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8112">
      <w:pPr>
        <w:spacing w:before="240" w:beforeLines="100" w:after="240" w:afterLines="100" w:line="240" w:lineRule="atLeast"/>
        <w:jc w:val="center"/>
        <w:rPr>
          <w:rFonts w:hint="eastAsia" w:ascii="仿宋_GB2312" w:hAnsi="方正小标宋简体" w:eastAsia="仿宋_GB2312" w:cs="方正小标宋简体"/>
          <w:b/>
          <w:color w:val="auto"/>
          <w:sz w:val="52"/>
          <w:szCs w:val="52"/>
        </w:rPr>
      </w:pPr>
      <w:bookmarkStart w:id="1161" w:name="_GoBack"/>
      <w:r>
        <w:rPr>
          <w:rFonts w:hint="eastAsia" w:ascii="仿宋_GB2312" w:hAnsi="方正小标宋简体" w:eastAsia="仿宋_GB2312" w:cs="方正小标宋简体"/>
          <w:b/>
          <w:color w:val="auto"/>
          <w:sz w:val="52"/>
          <w:szCs w:val="52"/>
        </w:rPr>
        <w:t>喀什地区公安局采购一批打印机硒鼓、耗材项目竞争性谈判文件</w:t>
      </w:r>
    </w:p>
    <w:p w14:paraId="38C8EEA2">
      <w:pPr>
        <w:pStyle w:val="5"/>
        <w:topLinePunct/>
        <w:spacing w:before="57" w:line="224" w:lineRule="auto"/>
        <w:jc w:val="center"/>
        <w:outlineLvl w:val="0"/>
        <w:rPr>
          <w:rFonts w:ascii="Times New Roman" w:hAnsi="Times New Roman" w:eastAsia="方正仿宋简体"/>
          <w:color w:val="auto"/>
          <w:spacing w:val="5"/>
          <w:sz w:val="28"/>
          <w:szCs w:val="28"/>
        </w:rPr>
      </w:pPr>
      <w:bookmarkStart w:id="0" w:name="_Toc14602"/>
    </w:p>
    <w:p w14:paraId="525CA61C">
      <w:pPr>
        <w:pStyle w:val="5"/>
        <w:topLinePunct/>
        <w:spacing w:before="57" w:line="224" w:lineRule="auto"/>
        <w:jc w:val="center"/>
        <w:outlineLvl w:val="0"/>
        <w:rPr>
          <w:rFonts w:ascii="Times New Roman" w:hAnsi="Times New Roman" w:eastAsia="方正仿宋简体"/>
          <w:color w:val="auto"/>
          <w:spacing w:val="5"/>
          <w:sz w:val="28"/>
          <w:szCs w:val="28"/>
        </w:rPr>
      </w:pPr>
    </w:p>
    <w:p w14:paraId="1BB7C372">
      <w:pPr>
        <w:pStyle w:val="49"/>
        <w:rPr>
          <w:rFonts w:ascii="Times New Roman" w:eastAsia="方正仿宋简体" w:cs="Times New Roman"/>
          <w:color w:val="auto"/>
          <w:sz w:val="28"/>
          <w:szCs w:val="28"/>
        </w:rPr>
      </w:pPr>
    </w:p>
    <w:p w14:paraId="2DB5164A">
      <w:pPr>
        <w:pStyle w:val="5"/>
        <w:topLinePunct/>
        <w:spacing w:before="57" w:line="224" w:lineRule="auto"/>
        <w:jc w:val="center"/>
        <w:outlineLvl w:val="0"/>
        <w:rPr>
          <w:rFonts w:hint="eastAsia" w:ascii="仿宋_GB2312" w:hAnsi="Times New Roman" w:eastAsia="仿宋_GB2312"/>
          <w:b/>
          <w:bCs/>
          <w:color w:val="auto"/>
          <w:sz w:val="44"/>
          <w:szCs w:val="44"/>
        </w:rPr>
      </w:pPr>
      <w:bookmarkStart w:id="1" w:name="_Toc4344"/>
      <w:r>
        <w:rPr>
          <w:rFonts w:hint="eastAsia" w:ascii="仿宋_GB2312" w:hAnsi="Times New Roman" w:eastAsia="仿宋_GB2312"/>
          <w:b/>
          <w:bCs/>
          <w:color w:val="auto"/>
          <w:spacing w:val="5"/>
          <w:sz w:val="44"/>
          <w:szCs w:val="44"/>
        </w:rPr>
        <w:t>【电子评标】</w:t>
      </w:r>
      <w:bookmarkEnd w:id="0"/>
      <w:bookmarkEnd w:id="1"/>
    </w:p>
    <w:p w14:paraId="1F81CDF5">
      <w:pPr>
        <w:pStyle w:val="49"/>
        <w:rPr>
          <w:rFonts w:hint="eastAsia" w:ascii="Times New Roman" w:eastAsia="方正仿宋简体" w:cs="Times New Roman"/>
          <w:color w:val="auto"/>
          <w:sz w:val="28"/>
          <w:szCs w:val="28"/>
        </w:rPr>
      </w:pPr>
    </w:p>
    <w:p w14:paraId="3C739BD7">
      <w:pPr>
        <w:pStyle w:val="49"/>
        <w:rPr>
          <w:rFonts w:hint="eastAsia" w:ascii="Times New Roman" w:eastAsia="方正仿宋简体" w:cs="Times New Roman"/>
          <w:color w:val="auto"/>
          <w:sz w:val="28"/>
          <w:szCs w:val="28"/>
        </w:rPr>
      </w:pPr>
    </w:p>
    <w:p w14:paraId="468B5B31">
      <w:pPr>
        <w:pStyle w:val="49"/>
        <w:rPr>
          <w:rFonts w:hint="eastAsia" w:ascii="Times New Roman" w:eastAsia="方正仿宋简体" w:cs="Times New Roman"/>
          <w:color w:val="auto"/>
          <w:sz w:val="28"/>
          <w:szCs w:val="28"/>
        </w:rPr>
      </w:pPr>
    </w:p>
    <w:p w14:paraId="66BA81FB">
      <w:pPr>
        <w:rPr>
          <w:rFonts w:hint="eastAsia" w:ascii="仿宋_GB2312" w:eastAsia="仿宋_GB2312"/>
          <w:color w:val="auto"/>
          <w:sz w:val="28"/>
          <w:szCs w:val="28"/>
        </w:rPr>
      </w:pPr>
    </w:p>
    <w:p w14:paraId="2B9D5A3F">
      <w:pPr>
        <w:pStyle w:val="2"/>
        <w:ind w:firstLine="480"/>
        <w:rPr>
          <w:rFonts w:hint="eastAsia"/>
          <w:color w:val="auto"/>
        </w:rPr>
      </w:pPr>
    </w:p>
    <w:p w14:paraId="68218E5E">
      <w:pPr>
        <w:pStyle w:val="4"/>
        <w:ind w:firstLine="240"/>
        <w:rPr>
          <w:color w:val="auto"/>
        </w:rPr>
      </w:pPr>
    </w:p>
    <w:p w14:paraId="01F646A2">
      <w:pPr>
        <w:pStyle w:val="5"/>
        <w:topLinePunct/>
        <w:spacing w:before="0" w:line="560" w:lineRule="exact"/>
        <w:ind w:firstLine="1108" w:firstLineChars="400"/>
        <w:rPr>
          <w:rFonts w:hint="eastAsia" w:ascii="仿宋_GB2312" w:hAnsi="Times New Roman" w:eastAsia="仿宋_GB2312"/>
          <w:b/>
          <w:bCs/>
          <w:color w:val="auto"/>
          <w:spacing w:val="-2"/>
          <w:sz w:val="28"/>
          <w:szCs w:val="28"/>
          <w:u w:val="single"/>
        </w:rPr>
      </w:pPr>
      <w:r>
        <w:rPr>
          <w:rFonts w:hint="eastAsia" w:ascii="仿宋_GB2312" w:hAnsi="Times New Roman" w:eastAsia="仿宋_GB2312"/>
          <w:b/>
          <w:bCs/>
          <w:color w:val="auto"/>
          <w:spacing w:val="-2"/>
          <w:sz w:val="28"/>
          <w:szCs w:val="28"/>
        </w:rPr>
        <w:t>项目编号：</w:t>
      </w:r>
      <w:r>
        <w:rPr>
          <w:rFonts w:hint="eastAsia" w:ascii="仿宋_GB2312" w:hAnsi="Times New Roman" w:eastAsia="仿宋_GB2312"/>
          <w:b/>
          <w:bCs/>
          <w:color w:val="auto"/>
          <w:spacing w:val="-2"/>
          <w:sz w:val="28"/>
          <w:szCs w:val="28"/>
          <w:u w:val="single"/>
        </w:rPr>
        <w:t xml:space="preserve"> KSDQ-YY2025(TP)-01号   </w:t>
      </w:r>
    </w:p>
    <w:p w14:paraId="34205749">
      <w:pPr>
        <w:pStyle w:val="5"/>
        <w:topLinePunct/>
        <w:spacing w:before="0" w:line="560" w:lineRule="exact"/>
        <w:ind w:firstLine="1100" w:firstLineChars="400"/>
        <w:rPr>
          <w:rFonts w:hint="eastAsia" w:ascii="仿宋_GB2312" w:hAnsi="Times New Roman" w:eastAsia="仿宋_GB2312"/>
          <w:b/>
          <w:bCs/>
          <w:color w:val="auto"/>
          <w:spacing w:val="-2"/>
          <w:sz w:val="28"/>
          <w:szCs w:val="28"/>
          <w:u w:val="single"/>
        </w:rPr>
      </w:pPr>
      <w:r>
        <w:rPr>
          <w:rFonts w:hint="eastAsia" w:ascii="仿宋_GB2312" w:hAnsi="Times New Roman" w:eastAsia="仿宋_GB2312"/>
          <w:b/>
          <w:bCs/>
          <w:color w:val="auto"/>
          <w:spacing w:val="-3"/>
          <w:sz w:val="28"/>
          <w:szCs w:val="28"/>
        </w:rPr>
        <w:t>采购单位：</w:t>
      </w:r>
      <w:r>
        <w:rPr>
          <w:rFonts w:hint="eastAsia" w:ascii="仿宋_GB2312" w:hAnsi="Times New Roman" w:eastAsia="仿宋_GB2312"/>
          <w:b/>
          <w:bCs/>
          <w:color w:val="auto"/>
          <w:spacing w:val="-2"/>
          <w:sz w:val="28"/>
          <w:szCs w:val="28"/>
          <w:u w:val="single"/>
        </w:rPr>
        <w:t xml:space="preserve"> 喀什地区公安局           </w:t>
      </w:r>
    </w:p>
    <w:p w14:paraId="3DFDD8B6">
      <w:pPr>
        <w:pStyle w:val="5"/>
        <w:topLinePunct/>
        <w:spacing w:before="0" w:line="560" w:lineRule="exact"/>
        <w:ind w:firstLine="1108" w:firstLineChars="400"/>
        <w:rPr>
          <w:rFonts w:hint="eastAsia" w:ascii="仿宋_GB2312" w:hAnsi="Times New Roman" w:eastAsia="仿宋_GB2312"/>
          <w:b/>
          <w:bCs/>
          <w:color w:val="auto"/>
          <w:spacing w:val="-2"/>
          <w:sz w:val="28"/>
          <w:szCs w:val="28"/>
          <w:u w:val="single"/>
        </w:rPr>
      </w:pPr>
      <w:r>
        <w:rPr>
          <w:rFonts w:hint="eastAsia" w:ascii="仿宋_GB2312" w:hAnsi="Times New Roman" w:eastAsia="仿宋_GB2312"/>
          <w:b/>
          <w:bCs/>
          <w:color w:val="auto"/>
          <w:spacing w:val="-2"/>
          <w:sz w:val="28"/>
          <w:szCs w:val="28"/>
        </w:rPr>
        <w:t>联 系 人：</w:t>
      </w:r>
      <w:r>
        <w:rPr>
          <w:rFonts w:hint="eastAsia" w:ascii="仿宋_GB2312" w:hAnsi="Times New Roman" w:eastAsia="仿宋_GB2312"/>
          <w:b/>
          <w:bCs/>
          <w:color w:val="auto"/>
          <w:spacing w:val="-2"/>
          <w:sz w:val="28"/>
          <w:szCs w:val="28"/>
          <w:u w:val="single"/>
        </w:rPr>
        <w:t xml:space="preserve">      郑誉             </w:t>
      </w:r>
    </w:p>
    <w:p w14:paraId="1C27E17C">
      <w:pPr>
        <w:pStyle w:val="5"/>
        <w:topLinePunct/>
        <w:spacing w:before="0" w:line="560" w:lineRule="exact"/>
        <w:ind w:firstLine="1108" w:firstLineChars="400"/>
        <w:rPr>
          <w:rFonts w:hint="eastAsia" w:ascii="仿宋_GB2312" w:hAnsi="Times New Roman" w:eastAsia="仿宋_GB2312"/>
          <w:b/>
          <w:bCs/>
          <w:color w:val="auto"/>
          <w:spacing w:val="-2"/>
          <w:sz w:val="28"/>
          <w:szCs w:val="28"/>
          <w:u w:val="single"/>
        </w:rPr>
      </w:pPr>
      <w:r>
        <w:rPr>
          <w:rFonts w:hint="eastAsia" w:ascii="仿宋_GB2312" w:hAnsi="Times New Roman" w:eastAsia="仿宋_GB2312"/>
          <w:b/>
          <w:bCs/>
          <w:color w:val="auto"/>
          <w:spacing w:val="-2"/>
          <w:sz w:val="28"/>
          <w:szCs w:val="28"/>
        </w:rPr>
        <w:t>联系电话：</w:t>
      </w:r>
      <w:r>
        <w:rPr>
          <w:rFonts w:hint="eastAsia" w:ascii="仿宋_GB2312" w:hAnsi="Times New Roman" w:eastAsia="仿宋_GB2312"/>
          <w:b/>
          <w:bCs/>
          <w:color w:val="auto"/>
          <w:spacing w:val="-2"/>
          <w:sz w:val="28"/>
          <w:szCs w:val="28"/>
          <w:u w:val="single"/>
        </w:rPr>
        <w:t xml:space="preserve">    18609982458          </w:t>
      </w:r>
    </w:p>
    <w:p w14:paraId="192D92D6">
      <w:pPr>
        <w:widowControl/>
        <w:ind w:firstLine="1100" w:firstLineChars="400"/>
        <w:jc w:val="left"/>
        <w:rPr>
          <w:rFonts w:hint="eastAsia" w:ascii="仿宋_GB2312" w:eastAsia="仿宋_GB2312"/>
          <w:color w:val="auto"/>
          <w:sz w:val="28"/>
          <w:szCs w:val="28"/>
          <w:u w:val="single"/>
        </w:rPr>
      </w:pPr>
      <w:r>
        <w:rPr>
          <w:rFonts w:hint="eastAsia" w:ascii="仿宋_GB2312" w:eastAsia="仿宋_GB2312"/>
          <w:b/>
          <w:bCs/>
          <w:color w:val="auto"/>
          <w:spacing w:val="-3"/>
          <w:sz w:val="28"/>
          <w:szCs w:val="28"/>
        </w:rPr>
        <w:t>采购代理机构：</w:t>
      </w:r>
      <w:r>
        <w:rPr>
          <w:rFonts w:hint="eastAsia" w:ascii="仿宋_GB2312" w:eastAsia="仿宋_GB2312"/>
          <w:b/>
          <w:bCs/>
          <w:color w:val="auto"/>
          <w:spacing w:val="-3"/>
          <w:sz w:val="28"/>
          <w:szCs w:val="28"/>
          <w:u w:val="single"/>
        </w:rPr>
        <w:t xml:space="preserve"> 喀什域源建设工程项目管理有限公司</w:t>
      </w:r>
    </w:p>
    <w:p w14:paraId="5B0F1210">
      <w:pPr>
        <w:widowControl/>
        <w:ind w:firstLine="1108" w:firstLineChars="400"/>
        <w:jc w:val="left"/>
        <w:rPr>
          <w:rFonts w:hint="eastAsia" w:ascii="仿宋_GB2312" w:eastAsia="仿宋_GB2312"/>
          <w:b/>
          <w:bCs/>
          <w:color w:val="auto"/>
          <w:spacing w:val="-2"/>
          <w:sz w:val="28"/>
          <w:szCs w:val="28"/>
          <w:u w:val="single"/>
        </w:rPr>
      </w:pPr>
      <w:r>
        <w:rPr>
          <w:rFonts w:hint="eastAsia" w:ascii="仿宋_GB2312" w:eastAsia="仿宋_GB2312"/>
          <w:b/>
          <w:bCs/>
          <w:color w:val="auto"/>
          <w:spacing w:val="-2"/>
          <w:sz w:val="28"/>
          <w:szCs w:val="28"/>
        </w:rPr>
        <w:t>联 系 人：</w:t>
      </w:r>
      <w:r>
        <w:rPr>
          <w:rFonts w:hint="eastAsia" w:ascii="仿宋_GB2312" w:eastAsia="仿宋_GB2312"/>
          <w:b/>
          <w:bCs/>
          <w:color w:val="auto"/>
          <w:spacing w:val="-2"/>
          <w:sz w:val="28"/>
          <w:szCs w:val="28"/>
          <w:u w:val="single"/>
        </w:rPr>
        <w:t xml:space="preserve">       李军              </w:t>
      </w:r>
    </w:p>
    <w:p w14:paraId="094AA111">
      <w:pPr>
        <w:pStyle w:val="5"/>
        <w:topLinePunct/>
        <w:spacing w:before="0" w:line="560" w:lineRule="exact"/>
        <w:ind w:firstLine="1108" w:firstLineChars="400"/>
        <w:rPr>
          <w:rFonts w:hint="eastAsia" w:ascii="仿宋_GB2312" w:hAnsi="Times New Roman" w:eastAsia="仿宋_GB2312"/>
          <w:b/>
          <w:bCs/>
          <w:color w:val="auto"/>
          <w:spacing w:val="-2"/>
          <w:sz w:val="28"/>
          <w:szCs w:val="28"/>
        </w:rPr>
      </w:pPr>
      <w:r>
        <w:rPr>
          <w:rFonts w:hint="eastAsia" w:ascii="仿宋_GB2312" w:hAnsi="Times New Roman" w:eastAsia="仿宋_GB2312"/>
          <w:b/>
          <w:bCs/>
          <w:color w:val="auto"/>
          <w:spacing w:val="-2"/>
          <w:sz w:val="28"/>
          <w:szCs w:val="28"/>
        </w:rPr>
        <w:t>联系电话：</w:t>
      </w:r>
      <w:r>
        <w:rPr>
          <w:rFonts w:hint="eastAsia" w:ascii="仿宋_GB2312" w:hAnsi="Times New Roman" w:eastAsia="仿宋_GB2312"/>
          <w:b/>
          <w:bCs/>
          <w:color w:val="auto"/>
          <w:spacing w:val="-2"/>
          <w:sz w:val="28"/>
          <w:szCs w:val="28"/>
          <w:u w:val="single"/>
        </w:rPr>
        <w:t xml:space="preserve">    18299036697            </w:t>
      </w:r>
    </w:p>
    <w:p w14:paraId="474F1148">
      <w:pPr>
        <w:topLinePunct/>
        <w:spacing w:line="560" w:lineRule="exact"/>
        <w:rPr>
          <w:rFonts w:hint="eastAsia" w:ascii="仿宋_GB2312" w:eastAsia="仿宋_GB2312"/>
          <w:b/>
          <w:bCs/>
          <w:color w:val="auto"/>
          <w:sz w:val="28"/>
          <w:szCs w:val="28"/>
        </w:rPr>
      </w:pPr>
    </w:p>
    <w:p w14:paraId="183B9B6C">
      <w:pPr>
        <w:topLinePunct/>
        <w:spacing w:line="560" w:lineRule="exact"/>
        <w:rPr>
          <w:rFonts w:hint="eastAsia" w:ascii="仿宋_GB2312" w:eastAsia="仿宋_GB2312"/>
          <w:b/>
          <w:bCs/>
          <w:color w:val="auto"/>
          <w:sz w:val="28"/>
          <w:szCs w:val="28"/>
        </w:rPr>
      </w:pPr>
    </w:p>
    <w:p w14:paraId="3D39E73F">
      <w:pPr>
        <w:pStyle w:val="5"/>
        <w:topLinePunct/>
        <w:spacing w:before="0" w:line="560" w:lineRule="exact"/>
        <w:jc w:val="center"/>
        <w:rPr>
          <w:rFonts w:hint="eastAsia" w:ascii="仿宋_GB2312" w:hAnsi="Times New Roman" w:eastAsia="仿宋_GB2312"/>
          <w:b/>
          <w:bCs/>
          <w:color w:val="auto"/>
          <w:sz w:val="28"/>
          <w:szCs w:val="28"/>
        </w:rPr>
        <w:sectPr>
          <w:headerReference r:id="rId3" w:type="default"/>
          <w:pgSz w:w="11906" w:h="16839"/>
          <w:pgMar w:top="1984" w:right="1531" w:bottom="1701" w:left="1531" w:header="852" w:footer="0" w:gutter="0"/>
          <w:pgNumType w:start="0"/>
          <w:cols w:space="720" w:num="1"/>
        </w:sectPr>
      </w:pPr>
      <w:r>
        <w:rPr>
          <w:rFonts w:hint="eastAsia" w:ascii="仿宋_GB2312" w:hAnsi="Times New Roman" w:eastAsia="仿宋_GB2312"/>
          <w:b/>
          <w:bCs/>
          <w:color w:val="auto"/>
          <w:spacing w:val="-7"/>
          <w:sz w:val="28"/>
          <w:szCs w:val="28"/>
        </w:rPr>
        <w:t>日期：2025年7月</w:t>
      </w:r>
    </w:p>
    <w:p w14:paraId="1C574A79">
      <w:pPr>
        <w:tabs>
          <w:tab w:val="left" w:pos="545"/>
          <w:tab w:val="center" w:pos="4740"/>
        </w:tabs>
        <w:snapToGrid w:val="0"/>
        <w:spacing w:line="400" w:lineRule="exact"/>
        <w:ind w:left="1079" w:leftChars="257" w:hanging="540"/>
        <w:jc w:val="center"/>
        <w:textAlignment w:val="baseline"/>
        <w:rPr>
          <w:rFonts w:hint="eastAsia" w:ascii="仿宋_GB2312" w:eastAsia="仿宋_GB2312"/>
          <w:b/>
          <w:color w:val="auto"/>
          <w:sz w:val="32"/>
          <w:szCs w:val="32"/>
        </w:rPr>
      </w:pPr>
      <w:r>
        <w:rPr>
          <w:rFonts w:hint="eastAsia" w:ascii="仿宋_GB2312" w:eastAsia="仿宋_GB2312"/>
          <w:b/>
          <w:color w:val="auto"/>
          <w:sz w:val="32"/>
          <w:szCs w:val="32"/>
        </w:rPr>
        <w:t>目  录</w:t>
      </w:r>
    </w:p>
    <w:p w14:paraId="5AFE20C3">
      <w:pPr>
        <w:pStyle w:val="27"/>
        <w:tabs>
          <w:tab w:val="right" w:leader="dot" w:pos="8843"/>
        </w:tabs>
        <w:rPr>
          <w:rFonts w:hint="eastAsia" w:ascii="仿宋_GB2312" w:eastAsia="仿宋_GB2312"/>
          <w:color w:val="auto"/>
          <w:sz w:val="24"/>
        </w:rPr>
      </w:pPr>
      <w:r>
        <w:rPr>
          <w:rFonts w:hint="eastAsia" w:ascii="仿宋_GB2312" w:eastAsia="仿宋_GB2312"/>
          <w:color w:val="auto"/>
          <w:kern w:val="0"/>
          <w:sz w:val="24"/>
        </w:rPr>
        <w:fldChar w:fldCharType="begin"/>
      </w:r>
      <w:r>
        <w:rPr>
          <w:rFonts w:hint="eastAsia" w:ascii="仿宋_GB2312" w:eastAsia="仿宋_GB2312"/>
          <w:color w:val="auto"/>
          <w:kern w:val="0"/>
          <w:sz w:val="24"/>
        </w:rPr>
        <w:instrText xml:space="preserve"> TOC \o "1-3" \h \z \u </w:instrText>
      </w:r>
      <w:r>
        <w:rPr>
          <w:rFonts w:hint="eastAsia" w:ascii="仿宋_GB2312" w:eastAsia="仿宋_GB2312"/>
          <w:color w:val="auto"/>
          <w:kern w:val="0"/>
          <w:sz w:val="24"/>
        </w:rPr>
        <w:fldChar w:fldCharType="separate"/>
      </w:r>
      <w:r>
        <w:rPr>
          <w:color w:val="auto"/>
        </w:rPr>
        <w:fldChar w:fldCharType="begin"/>
      </w:r>
      <w:r>
        <w:rPr>
          <w:color w:val="auto"/>
        </w:rPr>
        <w:instrText xml:space="preserve"> HYPERLINK \l "_Toc13413" </w:instrText>
      </w:r>
      <w:r>
        <w:rPr>
          <w:color w:val="auto"/>
        </w:rPr>
        <w:fldChar w:fldCharType="separate"/>
      </w:r>
      <w:r>
        <w:rPr>
          <w:rFonts w:hint="eastAsia" w:ascii="仿宋_GB2312" w:eastAsia="仿宋_GB2312"/>
          <w:color w:val="auto"/>
          <w:kern w:val="0"/>
          <w:sz w:val="24"/>
        </w:rPr>
        <w:t xml:space="preserve">第1章  </w:t>
      </w:r>
      <w:r>
        <w:rPr>
          <w:rFonts w:hint="eastAsia" w:ascii="仿宋_GB2312" w:eastAsia="仿宋_GB2312"/>
          <w:color w:val="auto"/>
          <w:sz w:val="24"/>
        </w:rPr>
        <w:t>供应商须知</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_Toc13413 \h </w:instrText>
      </w:r>
      <w:r>
        <w:rPr>
          <w:rFonts w:hint="eastAsia" w:ascii="仿宋_GB2312" w:eastAsia="仿宋_GB2312"/>
          <w:color w:val="auto"/>
          <w:sz w:val="24"/>
        </w:rPr>
        <w:fldChar w:fldCharType="separate"/>
      </w:r>
      <w:r>
        <w:rPr>
          <w:rFonts w:hint="eastAsia" w:ascii="仿宋_GB2312" w:eastAsia="仿宋_GB2312"/>
          <w:color w:val="auto"/>
          <w:sz w:val="24"/>
        </w:rPr>
        <w:t>1</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72897235">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"_Toc16274" </w:instrText>
      </w:r>
      <w:r>
        <w:rPr>
          <w:color w:val="auto"/>
        </w:rPr>
        <w:fldChar w:fldCharType="separate"/>
      </w:r>
      <w:r>
        <w:rPr>
          <w:rFonts w:hint="eastAsia" w:ascii="仿宋_GB2312" w:eastAsia="仿宋_GB2312"/>
          <w:color w:val="auto"/>
          <w:sz w:val="24"/>
        </w:rPr>
        <w:t>一   总 则</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_Toc16274 \h </w:instrText>
      </w:r>
      <w:r>
        <w:rPr>
          <w:rFonts w:hint="eastAsia" w:ascii="仿宋_GB2312" w:eastAsia="仿宋_GB2312"/>
          <w:color w:val="auto"/>
          <w:sz w:val="24"/>
        </w:rPr>
        <w:fldChar w:fldCharType="separate"/>
      </w:r>
      <w:r>
        <w:rPr>
          <w:rFonts w:hint="eastAsia" w:ascii="仿宋_GB2312" w:eastAsia="仿宋_GB2312"/>
          <w:color w:val="auto"/>
          <w:sz w:val="24"/>
        </w:rPr>
        <w:t>1</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4F75C2E3">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"_Toc22880" </w:instrText>
      </w:r>
      <w:r>
        <w:rPr>
          <w:color w:val="auto"/>
        </w:rPr>
        <w:fldChar w:fldCharType="separate"/>
      </w:r>
      <w:r>
        <w:rPr>
          <w:rFonts w:hint="eastAsia" w:ascii="仿宋_GB2312" w:eastAsia="仿宋_GB2312"/>
          <w:color w:val="auto"/>
          <w:sz w:val="24"/>
        </w:rPr>
        <w:t>1.采购人、采购代理机构及供应商</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_Toc22880 \h </w:instrText>
      </w:r>
      <w:r>
        <w:rPr>
          <w:rFonts w:hint="eastAsia" w:ascii="仿宋_GB2312" w:eastAsia="仿宋_GB2312"/>
          <w:color w:val="auto"/>
          <w:sz w:val="24"/>
        </w:rPr>
        <w:fldChar w:fldCharType="separate"/>
      </w:r>
      <w:r>
        <w:rPr>
          <w:rFonts w:hint="eastAsia" w:ascii="仿宋_GB2312" w:eastAsia="仿宋_GB2312"/>
          <w:color w:val="auto"/>
          <w:sz w:val="24"/>
        </w:rPr>
        <w:t>1</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BC856C7">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"_Toc18147" </w:instrText>
      </w:r>
      <w:r>
        <w:rPr>
          <w:color w:val="auto"/>
        </w:rPr>
        <w:fldChar w:fldCharType="separate"/>
      </w:r>
      <w:r>
        <w:rPr>
          <w:rFonts w:hint="eastAsia" w:ascii="仿宋_GB2312" w:eastAsia="仿宋_GB2312"/>
          <w:color w:val="auto"/>
          <w:sz w:val="24"/>
        </w:rPr>
        <w:t>2.资金来源</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_Toc18147 \h </w:instrText>
      </w:r>
      <w:r>
        <w:rPr>
          <w:rFonts w:hint="eastAsia" w:ascii="仿宋_GB2312" w:eastAsia="仿宋_GB2312"/>
          <w:color w:val="auto"/>
          <w:sz w:val="24"/>
        </w:rPr>
        <w:fldChar w:fldCharType="separate"/>
      </w:r>
      <w:r>
        <w:rPr>
          <w:rFonts w:hint="eastAsia" w:ascii="仿宋_GB2312" w:eastAsia="仿宋_GB2312"/>
          <w:color w:val="auto"/>
          <w:sz w:val="24"/>
        </w:rPr>
        <w:t>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391E72E">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"_Toc18116" </w:instrText>
      </w:r>
      <w:r>
        <w:rPr>
          <w:color w:val="auto"/>
        </w:rPr>
        <w:fldChar w:fldCharType="separate"/>
      </w:r>
      <w:r>
        <w:rPr>
          <w:rFonts w:hint="eastAsia" w:ascii="仿宋_GB2312" w:eastAsia="仿宋_GB2312"/>
          <w:color w:val="auto"/>
          <w:sz w:val="24"/>
        </w:rPr>
        <w:t>3.谈判费用</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_Toc18116 \h </w:instrText>
      </w:r>
      <w:r>
        <w:rPr>
          <w:rFonts w:hint="eastAsia" w:ascii="仿宋_GB2312" w:eastAsia="仿宋_GB2312"/>
          <w:color w:val="auto"/>
          <w:sz w:val="24"/>
        </w:rPr>
        <w:fldChar w:fldCharType="separate"/>
      </w:r>
      <w:r>
        <w:rPr>
          <w:rFonts w:hint="eastAsia" w:ascii="仿宋_GB2312" w:eastAsia="仿宋_GB2312"/>
          <w:color w:val="auto"/>
          <w:sz w:val="24"/>
        </w:rPr>
        <w:t>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7D668F8B">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"_Toc16977" </w:instrText>
      </w:r>
      <w:r>
        <w:rPr>
          <w:color w:val="auto"/>
        </w:rPr>
        <w:fldChar w:fldCharType="separate"/>
      </w:r>
      <w:r>
        <w:rPr>
          <w:rFonts w:hint="eastAsia" w:ascii="仿宋_GB2312" w:eastAsia="仿宋_GB2312"/>
          <w:color w:val="auto"/>
          <w:sz w:val="24"/>
        </w:rPr>
        <w:t>4.适用法律</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_Toc16977 \h </w:instrText>
      </w:r>
      <w:r>
        <w:rPr>
          <w:rFonts w:hint="eastAsia" w:ascii="仿宋_GB2312" w:eastAsia="仿宋_GB2312"/>
          <w:color w:val="auto"/>
          <w:sz w:val="24"/>
        </w:rPr>
        <w:fldChar w:fldCharType="separate"/>
      </w:r>
      <w:r>
        <w:rPr>
          <w:rFonts w:hint="eastAsia" w:ascii="仿宋_GB2312" w:eastAsia="仿宋_GB2312"/>
          <w:color w:val="auto"/>
          <w:sz w:val="24"/>
        </w:rPr>
        <w:t>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461A8B3">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"_Toc2556" </w:instrText>
      </w:r>
      <w:r>
        <w:rPr>
          <w:color w:val="auto"/>
        </w:rPr>
        <w:fldChar w:fldCharType="separate"/>
      </w:r>
      <w:r>
        <w:rPr>
          <w:rFonts w:hint="eastAsia" w:ascii="仿宋_GB2312" w:eastAsia="仿宋_GB2312"/>
          <w:color w:val="auto"/>
          <w:sz w:val="24"/>
        </w:rPr>
        <w:t>二   谈判文件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_Toc2556 \h </w:instrText>
      </w:r>
      <w:r>
        <w:rPr>
          <w:rFonts w:hint="eastAsia" w:ascii="仿宋_GB2312" w:eastAsia="仿宋_GB2312"/>
          <w:color w:val="auto"/>
          <w:sz w:val="24"/>
        </w:rPr>
        <w:fldChar w:fldCharType="separate"/>
      </w:r>
      <w:r>
        <w:rPr>
          <w:rFonts w:hint="eastAsia" w:ascii="仿宋_GB2312" w:eastAsia="仿宋_GB2312"/>
          <w:color w:val="auto"/>
          <w:sz w:val="24"/>
        </w:rPr>
        <w:t>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2F6D526">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"_Toc17567" </w:instrText>
      </w:r>
      <w:r>
        <w:rPr>
          <w:color w:val="auto"/>
        </w:rPr>
        <w:fldChar w:fldCharType="separate"/>
      </w:r>
      <w:r>
        <w:rPr>
          <w:rFonts w:hint="eastAsia" w:ascii="仿宋_GB2312" w:eastAsia="仿宋_GB2312"/>
          <w:color w:val="auto"/>
          <w:sz w:val="24"/>
        </w:rPr>
        <w:t>5.谈判文件构成</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_Toc17567 \h </w:instrText>
      </w:r>
      <w:r>
        <w:rPr>
          <w:rFonts w:hint="eastAsia" w:ascii="仿宋_GB2312" w:eastAsia="仿宋_GB2312"/>
          <w:color w:val="auto"/>
          <w:sz w:val="24"/>
        </w:rPr>
        <w:fldChar w:fldCharType="separate"/>
      </w:r>
      <w:r>
        <w:rPr>
          <w:rFonts w:hint="eastAsia" w:ascii="仿宋_GB2312" w:eastAsia="仿宋_GB2312"/>
          <w:color w:val="auto"/>
          <w:sz w:val="24"/>
        </w:rPr>
        <w:t>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32840BB">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"_Toc21016" </w:instrText>
      </w:r>
      <w:r>
        <w:rPr>
          <w:color w:val="auto"/>
        </w:rPr>
        <w:fldChar w:fldCharType="separate"/>
      </w:r>
      <w:r>
        <w:rPr>
          <w:rFonts w:hint="eastAsia" w:ascii="仿宋_GB2312" w:eastAsia="仿宋_GB2312"/>
          <w:color w:val="auto"/>
          <w:sz w:val="24"/>
        </w:rPr>
        <w:t>6.谈判文件的澄清与修改</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_Toc21016 \h </w:instrText>
      </w:r>
      <w:r>
        <w:rPr>
          <w:rFonts w:hint="eastAsia" w:ascii="仿宋_GB2312" w:eastAsia="仿宋_GB2312"/>
          <w:color w:val="auto"/>
          <w:sz w:val="24"/>
        </w:rPr>
        <w:fldChar w:fldCharType="separate"/>
      </w:r>
      <w:r>
        <w:rPr>
          <w:rFonts w:hint="eastAsia" w:ascii="仿宋_GB2312" w:eastAsia="仿宋_GB2312"/>
          <w:color w:val="auto"/>
          <w:sz w:val="24"/>
        </w:rPr>
        <w:t>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9D61614">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"_Toc27039" </w:instrText>
      </w:r>
      <w:r>
        <w:rPr>
          <w:color w:val="auto"/>
        </w:rPr>
        <w:fldChar w:fldCharType="separate"/>
      </w:r>
      <w:r>
        <w:rPr>
          <w:rFonts w:hint="eastAsia" w:ascii="仿宋_GB2312" w:eastAsia="仿宋_GB2312"/>
          <w:color w:val="auto"/>
          <w:sz w:val="24"/>
        </w:rPr>
        <w:t>7.响应文件递交截止时间的顺延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_Toc27039 \h </w:instrText>
      </w:r>
      <w:r>
        <w:rPr>
          <w:rFonts w:hint="eastAsia" w:ascii="仿宋_GB2312" w:eastAsia="仿宋_GB2312"/>
          <w:color w:val="auto"/>
          <w:sz w:val="24"/>
        </w:rPr>
        <w:fldChar w:fldCharType="separate"/>
      </w:r>
      <w:r>
        <w:rPr>
          <w:rFonts w:hint="eastAsia" w:ascii="仿宋_GB2312" w:eastAsia="仿宋_GB2312"/>
          <w:color w:val="auto"/>
          <w:sz w:val="24"/>
        </w:rPr>
        <w:t>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419B2139">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"_Toc19049" </w:instrText>
      </w:r>
      <w:r>
        <w:rPr>
          <w:color w:val="auto"/>
        </w:rPr>
        <w:fldChar w:fldCharType="separate"/>
      </w:r>
      <w:r>
        <w:rPr>
          <w:rFonts w:hint="eastAsia" w:ascii="仿宋_GB2312" w:eastAsia="仿宋_GB2312"/>
          <w:color w:val="auto"/>
          <w:sz w:val="24"/>
        </w:rPr>
        <w:t>三   响应文件的编制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_Toc19049 \h </w:instrText>
      </w:r>
      <w:r>
        <w:rPr>
          <w:rFonts w:hint="eastAsia" w:ascii="仿宋_GB2312" w:eastAsia="仿宋_GB2312"/>
          <w:color w:val="auto"/>
          <w:sz w:val="24"/>
        </w:rPr>
        <w:fldChar w:fldCharType="separate"/>
      </w:r>
      <w:r>
        <w:rPr>
          <w:rFonts w:hint="eastAsia" w:ascii="仿宋_GB2312" w:eastAsia="仿宋_GB2312"/>
          <w:color w:val="auto"/>
          <w:sz w:val="24"/>
        </w:rPr>
        <w:t>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46EAE8B">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"_Toc15451" </w:instrText>
      </w:r>
      <w:r>
        <w:rPr>
          <w:color w:val="auto"/>
        </w:rPr>
        <w:fldChar w:fldCharType="separate"/>
      </w:r>
      <w:r>
        <w:rPr>
          <w:rFonts w:hint="eastAsia" w:ascii="仿宋_GB2312" w:eastAsia="仿宋_GB2312"/>
          <w:color w:val="auto"/>
          <w:sz w:val="24"/>
        </w:rPr>
        <w:t>8.响应范围及文字、计量单位要求</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_Toc15451 \h </w:instrText>
      </w:r>
      <w:r>
        <w:rPr>
          <w:rFonts w:hint="eastAsia" w:ascii="仿宋_GB2312" w:eastAsia="仿宋_GB2312"/>
          <w:color w:val="auto"/>
          <w:sz w:val="24"/>
        </w:rPr>
        <w:fldChar w:fldCharType="separate"/>
      </w:r>
      <w:r>
        <w:rPr>
          <w:rFonts w:hint="eastAsia" w:ascii="仿宋_GB2312" w:eastAsia="仿宋_GB2312"/>
          <w:color w:val="auto"/>
          <w:sz w:val="24"/>
        </w:rPr>
        <w:t>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777A8FA0">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"_Toc19012" </w:instrText>
      </w:r>
      <w:r>
        <w:rPr>
          <w:color w:val="auto"/>
        </w:rPr>
        <w:fldChar w:fldCharType="separate"/>
      </w:r>
      <w:r>
        <w:rPr>
          <w:rFonts w:hint="eastAsia" w:ascii="仿宋_GB2312" w:eastAsia="仿宋_GB2312"/>
          <w:color w:val="auto"/>
          <w:sz w:val="24"/>
        </w:rPr>
        <w:t>9.响应文件构成</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_Toc19012 \h </w:instrText>
      </w:r>
      <w:r>
        <w:rPr>
          <w:rFonts w:hint="eastAsia" w:ascii="仿宋_GB2312" w:eastAsia="仿宋_GB2312"/>
          <w:color w:val="auto"/>
          <w:sz w:val="24"/>
        </w:rPr>
        <w:fldChar w:fldCharType="separate"/>
      </w:r>
      <w:r>
        <w:rPr>
          <w:rFonts w:hint="eastAsia" w:ascii="仿宋_GB2312" w:eastAsia="仿宋_GB2312"/>
          <w:color w:val="auto"/>
          <w:sz w:val="24"/>
        </w:rPr>
        <w:t>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BF6ABAA">
      <w:pPr>
        <w:pStyle w:val="18"/>
        <w:tabs>
          <w:tab w:val="right" w:pos="3600"/>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"_Toc21310" </w:instrText>
      </w:r>
      <w:r>
        <w:rPr>
          <w:color w:val="auto"/>
        </w:rPr>
        <w:fldChar w:fldCharType="separate"/>
      </w:r>
      <w:r>
        <w:rPr>
          <w:rFonts w:hint="eastAsia" w:ascii="仿宋_GB2312" w:eastAsia="仿宋_GB2312"/>
          <w:color w:val="auto"/>
          <w:sz w:val="24"/>
        </w:rPr>
        <w:t>10.</w:t>
      </w:r>
      <w:r>
        <w:rPr>
          <w:rFonts w:hint="eastAsia" w:ascii="仿宋_GB2312" w:eastAsia="仿宋_GB2312"/>
          <w:color w:val="auto"/>
          <w:sz w:val="24"/>
        </w:rPr>
        <w:tab/>
      </w:r>
      <w:r>
        <w:rPr>
          <w:rFonts w:hint="eastAsia" w:ascii="仿宋_GB2312" w:eastAsia="仿宋_GB2312"/>
          <w:color w:val="auto"/>
          <w:sz w:val="24"/>
        </w:rPr>
        <w:t>证明响应标的的合格性和符合谈判文件规定的技术文件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_Toc21310 \h </w:instrText>
      </w:r>
      <w:r>
        <w:rPr>
          <w:rFonts w:hint="eastAsia" w:ascii="仿宋_GB2312" w:eastAsia="仿宋_GB2312"/>
          <w:color w:val="auto"/>
          <w:sz w:val="24"/>
        </w:rPr>
        <w:fldChar w:fldCharType="separate"/>
      </w:r>
      <w:r>
        <w:rPr>
          <w:rFonts w:hint="eastAsia" w:ascii="仿宋_GB2312" w:eastAsia="仿宋_GB2312"/>
          <w:color w:val="auto"/>
          <w:sz w:val="24"/>
        </w:rPr>
        <w:t>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22053E0">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"_Toc18021" </w:instrText>
      </w:r>
      <w:r>
        <w:rPr>
          <w:color w:val="auto"/>
        </w:rPr>
        <w:fldChar w:fldCharType="separate"/>
      </w:r>
      <w:r>
        <w:rPr>
          <w:rFonts w:hint="eastAsia" w:ascii="仿宋_GB2312" w:eastAsia="仿宋_GB2312"/>
          <w:color w:val="auto"/>
          <w:sz w:val="24"/>
        </w:rPr>
        <w:t>11.投标报价</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_Toc18021 \h </w:instrText>
      </w:r>
      <w:r>
        <w:rPr>
          <w:rFonts w:hint="eastAsia" w:ascii="仿宋_GB2312" w:eastAsia="仿宋_GB2312"/>
          <w:color w:val="auto"/>
          <w:sz w:val="24"/>
        </w:rPr>
        <w:fldChar w:fldCharType="separate"/>
      </w:r>
      <w:r>
        <w:rPr>
          <w:rFonts w:hint="eastAsia" w:ascii="仿宋_GB2312" w:eastAsia="仿宋_GB2312"/>
          <w:color w:val="auto"/>
          <w:sz w:val="24"/>
        </w:rPr>
        <w:t>5</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3938EED">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"_Toc4130" </w:instrText>
      </w:r>
      <w:r>
        <w:rPr>
          <w:color w:val="auto"/>
        </w:rPr>
        <w:fldChar w:fldCharType="separate"/>
      </w:r>
      <w:r>
        <w:rPr>
          <w:rFonts w:hint="eastAsia" w:ascii="仿宋_GB2312" w:eastAsia="仿宋_GB2312"/>
          <w:color w:val="auto"/>
          <w:sz w:val="24"/>
        </w:rPr>
        <w:t>12.响应保证金</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_Toc4130 \h </w:instrText>
      </w:r>
      <w:r>
        <w:rPr>
          <w:rFonts w:hint="eastAsia" w:ascii="仿宋_GB2312" w:eastAsia="仿宋_GB2312"/>
          <w:color w:val="auto"/>
          <w:sz w:val="24"/>
        </w:rPr>
        <w:fldChar w:fldCharType="separate"/>
      </w:r>
      <w:r>
        <w:rPr>
          <w:rFonts w:hint="eastAsia" w:ascii="仿宋_GB2312" w:eastAsia="仿宋_GB2312"/>
          <w:color w:val="auto"/>
          <w:sz w:val="24"/>
        </w:rPr>
        <w:t>5</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47A6A504">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"_Toc8451" </w:instrText>
      </w:r>
      <w:r>
        <w:rPr>
          <w:color w:val="auto"/>
        </w:rPr>
        <w:fldChar w:fldCharType="separate"/>
      </w:r>
      <w:r>
        <w:rPr>
          <w:rFonts w:hint="eastAsia" w:ascii="仿宋_GB2312" w:eastAsia="仿宋_GB2312"/>
          <w:color w:val="auto"/>
          <w:sz w:val="24"/>
        </w:rPr>
        <w:t>13.响应有效期</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_Toc8451 \h </w:instrText>
      </w:r>
      <w:r>
        <w:rPr>
          <w:rFonts w:hint="eastAsia" w:ascii="仿宋_GB2312" w:eastAsia="仿宋_GB2312"/>
          <w:color w:val="auto"/>
          <w:sz w:val="24"/>
        </w:rPr>
        <w:fldChar w:fldCharType="separate"/>
      </w:r>
      <w:r>
        <w:rPr>
          <w:rFonts w:hint="eastAsia" w:ascii="仿宋_GB2312" w:eastAsia="仿宋_GB2312"/>
          <w:color w:val="auto"/>
          <w:sz w:val="24"/>
        </w:rPr>
        <w:t>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4772ACFA">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"_Toc23811" </w:instrText>
      </w:r>
      <w:r>
        <w:rPr>
          <w:color w:val="auto"/>
        </w:rPr>
        <w:fldChar w:fldCharType="separate"/>
      </w:r>
      <w:r>
        <w:rPr>
          <w:rFonts w:hint="eastAsia" w:ascii="仿宋_GB2312" w:eastAsia="仿宋_GB2312"/>
          <w:color w:val="auto"/>
          <w:sz w:val="24"/>
        </w:rPr>
        <w:t>14.响应文件的签署及规定</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_Toc23811 \h </w:instrText>
      </w:r>
      <w:r>
        <w:rPr>
          <w:rFonts w:hint="eastAsia" w:ascii="仿宋_GB2312" w:eastAsia="仿宋_GB2312"/>
          <w:color w:val="auto"/>
          <w:sz w:val="24"/>
        </w:rPr>
        <w:fldChar w:fldCharType="separate"/>
      </w:r>
      <w:r>
        <w:rPr>
          <w:rFonts w:hint="eastAsia" w:ascii="仿宋_GB2312" w:eastAsia="仿宋_GB2312"/>
          <w:color w:val="auto"/>
          <w:sz w:val="24"/>
        </w:rPr>
        <w:t>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2D355F3">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"_Toc29258" </w:instrText>
      </w:r>
      <w:r>
        <w:rPr>
          <w:color w:val="auto"/>
        </w:rPr>
        <w:fldChar w:fldCharType="separate"/>
      </w:r>
      <w:r>
        <w:rPr>
          <w:rFonts w:hint="eastAsia" w:ascii="仿宋_GB2312" w:eastAsia="仿宋_GB2312"/>
          <w:color w:val="auto"/>
          <w:sz w:val="24"/>
        </w:rPr>
        <w:t>四   响应文件的递交</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_Toc29258 \h </w:instrText>
      </w:r>
      <w:r>
        <w:rPr>
          <w:rFonts w:hint="eastAsia" w:ascii="仿宋_GB2312" w:eastAsia="仿宋_GB2312"/>
          <w:color w:val="auto"/>
          <w:sz w:val="24"/>
        </w:rPr>
        <w:fldChar w:fldCharType="separate"/>
      </w:r>
      <w:r>
        <w:rPr>
          <w:rFonts w:hint="eastAsia" w:ascii="仿宋_GB2312" w:eastAsia="仿宋_GB2312"/>
          <w:color w:val="auto"/>
          <w:sz w:val="24"/>
        </w:rPr>
        <w:t>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DE9401E">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"_Toc22293" </w:instrText>
      </w:r>
      <w:r>
        <w:rPr>
          <w:color w:val="auto"/>
        </w:rPr>
        <w:fldChar w:fldCharType="separate"/>
      </w:r>
      <w:r>
        <w:rPr>
          <w:rFonts w:hint="eastAsia" w:ascii="仿宋_GB2312" w:eastAsia="仿宋_GB2312"/>
          <w:color w:val="auto"/>
          <w:sz w:val="24"/>
        </w:rPr>
        <w:t>15.响应文件的密封和标记</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_Toc22293 \h </w:instrText>
      </w:r>
      <w:r>
        <w:rPr>
          <w:rFonts w:hint="eastAsia" w:ascii="仿宋_GB2312" w:eastAsia="仿宋_GB2312"/>
          <w:color w:val="auto"/>
          <w:sz w:val="24"/>
        </w:rPr>
        <w:fldChar w:fldCharType="separate"/>
      </w:r>
      <w:r>
        <w:rPr>
          <w:rFonts w:hint="eastAsia" w:ascii="仿宋_GB2312" w:eastAsia="仿宋_GB2312"/>
          <w:color w:val="auto"/>
          <w:sz w:val="24"/>
        </w:rPr>
        <w:t>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4E88FEFA">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"_Toc31108" </w:instrText>
      </w:r>
      <w:r>
        <w:rPr>
          <w:color w:val="auto"/>
        </w:rPr>
        <w:fldChar w:fldCharType="separate"/>
      </w:r>
      <w:r>
        <w:rPr>
          <w:rFonts w:hint="eastAsia" w:ascii="仿宋_GB2312" w:eastAsia="仿宋_GB2312"/>
          <w:color w:val="auto"/>
          <w:sz w:val="24"/>
        </w:rPr>
        <w:t>16.响应截止</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_Toc31108 \h </w:instrText>
      </w:r>
      <w:r>
        <w:rPr>
          <w:rFonts w:hint="eastAsia" w:ascii="仿宋_GB2312" w:eastAsia="仿宋_GB2312"/>
          <w:color w:val="auto"/>
          <w:sz w:val="24"/>
        </w:rPr>
        <w:fldChar w:fldCharType="separate"/>
      </w:r>
      <w:r>
        <w:rPr>
          <w:rFonts w:hint="eastAsia" w:ascii="仿宋_GB2312" w:eastAsia="仿宋_GB2312"/>
          <w:color w:val="auto"/>
          <w:sz w:val="24"/>
        </w:rPr>
        <w:t>7</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FA6F72C">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"_Toc9142" </w:instrText>
      </w:r>
      <w:r>
        <w:rPr>
          <w:color w:val="auto"/>
        </w:rPr>
        <w:fldChar w:fldCharType="separate"/>
      </w:r>
      <w:r>
        <w:rPr>
          <w:rFonts w:hint="eastAsia" w:ascii="仿宋_GB2312" w:eastAsia="仿宋_GB2312"/>
          <w:color w:val="auto"/>
          <w:sz w:val="24"/>
        </w:rPr>
        <w:t>17.响应文件的接收、修改与撤回</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_Toc9142 \h </w:instrText>
      </w:r>
      <w:r>
        <w:rPr>
          <w:rFonts w:hint="eastAsia" w:ascii="仿宋_GB2312" w:eastAsia="仿宋_GB2312"/>
          <w:color w:val="auto"/>
          <w:sz w:val="24"/>
        </w:rPr>
        <w:fldChar w:fldCharType="separate"/>
      </w:r>
      <w:r>
        <w:rPr>
          <w:rFonts w:hint="eastAsia" w:ascii="仿宋_GB2312" w:eastAsia="仿宋_GB2312"/>
          <w:color w:val="auto"/>
          <w:sz w:val="24"/>
        </w:rPr>
        <w:t>7</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752B32E2">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"_Toc9424" </w:instrText>
      </w:r>
      <w:r>
        <w:rPr>
          <w:color w:val="auto"/>
        </w:rPr>
        <w:fldChar w:fldCharType="separate"/>
      </w:r>
      <w:r>
        <w:rPr>
          <w:rFonts w:hint="eastAsia" w:ascii="仿宋_GB2312" w:eastAsia="仿宋_GB2312"/>
          <w:color w:val="auto"/>
          <w:sz w:val="24"/>
        </w:rPr>
        <w:t>五   谈判及评审</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_Toc9424 \h </w:instrText>
      </w:r>
      <w:r>
        <w:rPr>
          <w:rFonts w:hint="eastAsia" w:ascii="仿宋_GB2312" w:eastAsia="仿宋_GB2312"/>
          <w:color w:val="auto"/>
          <w:sz w:val="24"/>
        </w:rPr>
        <w:fldChar w:fldCharType="separate"/>
      </w:r>
      <w:r>
        <w:rPr>
          <w:rFonts w:hint="eastAsia" w:ascii="仿宋_GB2312" w:eastAsia="仿宋_GB2312"/>
          <w:color w:val="auto"/>
          <w:sz w:val="24"/>
        </w:rPr>
        <w:t>7</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2E42136">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"_Toc17884" </w:instrText>
      </w:r>
      <w:r>
        <w:rPr>
          <w:color w:val="auto"/>
        </w:rPr>
        <w:fldChar w:fldCharType="separate"/>
      </w:r>
      <w:r>
        <w:rPr>
          <w:rFonts w:hint="eastAsia" w:ascii="仿宋_GB2312" w:eastAsia="仿宋_GB2312"/>
          <w:color w:val="auto"/>
          <w:sz w:val="24"/>
        </w:rPr>
        <w:t>18. 谈判</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_Toc17884 \h </w:instrText>
      </w:r>
      <w:r>
        <w:rPr>
          <w:rFonts w:hint="eastAsia" w:ascii="仿宋_GB2312" w:eastAsia="仿宋_GB2312"/>
          <w:color w:val="auto"/>
          <w:sz w:val="24"/>
        </w:rPr>
        <w:fldChar w:fldCharType="separate"/>
      </w:r>
      <w:r>
        <w:rPr>
          <w:rFonts w:hint="eastAsia" w:ascii="仿宋_GB2312" w:eastAsia="仿宋_GB2312"/>
          <w:color w:val="auto"/>
          <w:sz w:val="24"/>
        </w:rPr>
        <w:t>7</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AE28C40">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"_Toc16354" </w:instrText>
      </w:r>
      <w:r>
        <w:rPr>
          <w:color w:val="auto"/>
        </w:rPr>
        <w:fldChar w:fldCharType="separate"/>
      </w:r>
      <w:r>
        <w:rPr>
          <w:rFonts w:hint="eastAsia" w:ascii="仿宋_GB2312" w:eastAsia="仿宋_GB2312"/>
          <w:color w:val="auto"/>
          <w:sz w:val="24"/>
        </w:rPr>
        <w:t>19.资格审查及组建谈判小组</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_Toc16354 \h </w:instrText>
      </w:r>
      <w:r>
        <w:rPr>
          <w:rFonts w:hint="eastAsia" w:ascii="仿宋_GB2312" w:eastAsia="仿宋_GB2312"/>
          <w:color w:val="auto"/>
          <w:sz w:val="24"/>
        </w:rPr>
        <w:fldChar w:fldCharType="separate"/>
      </w:r>
      <w:r>
        <w:rPr>
          <w:rFonts w:hint="eastAsia" w:ascii="仿宋_GB2312" w:eastAsia="仿宋_GB2312"/>
          <w:color w:val="auto"/>
          <w:sz w:val="24"/>
        </w:rPr>
        <w:t>9</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697F16C">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"_Toc27883" </w:instrText>
      </w:r>
      <w:r>
        <w:rPr>
          <w:color w:val="auto"/>
        </w:rPr>
        <w:fldChar w:fldCharType="separate"/>
      </w:r>
      <w:r>
        <w:rPr>
          <w:rFonts w:hint="eastAsia" w:ascii="仿宋_GB2312" w:eastAsia="仿宋_GB2312"/>
          <w:color w:val="auto"/>
          <w:sz w:val="24"/>
        </w:rPr>
        <w:t>20.响应文件符合性审查与澄清</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_Toc27883 \h </w:instrText>
      </w:r>
      <w:r>
        <w:rPr>
          <w:rFonts w:hint="eastAsia" w:ascii="仿宋_GB2312" w:eastAsia="仿宋_GB2312"/>
          <w:color w:val="auto"/>
          <w:sz w:val="24"/>
        </w:rPr>
        <w:fldChar w:fldCharType="separate"/>
      </w:r>
      <w:r>
        <w:rPr>
          <w:rFonts w:hint="eastAsia" w:ascii="仿宋_GB2312" w:eastAsia="仿宋_GB2312"/>
          <w:color w:val="auto"/>
          <w:sz w:val="24"/>
        </w:rPr>
        <w:t>10</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4BDD444">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"_Toc14276" </w:instrText>
      </w:r>
      <w:r>
        <w:rPr>
          <w:color w:val="auto"/>
        </w:rPr>
        <w:fldChar w:fldCharType="separate"/>
      </w:r>
      <w:r>
        <w:rPr>
          <w:rFonts w:hint="eastAsia" w:ascii="仿宋_GB2312" w:eastAsia="仿宋_GB2312"/>
          <w:color w:val="auto"/>
          <w:sz w:val="24"/>
        </w:rPr>
        <w:t>21.响应偏离</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_Toc14276 \h </w:instrText>
      </w:r>
      <w:r>
        <w:rPr>
          <w:rFonts w:hint="eastAsia" w:ascii="仿宋_GB2312" w:eastAsia="仿宋_GB2312"/>
          <w:color w:val="auto"/>
          <w:sz w:val="24"/>
        </w:rPr>
        <w:fldChar w:fldCharType="separate"/>
      </w:r>
      <w:r>
        <w:rPr>
          <w:rFonts w:hint="eastAsia" w:ascii="仿宋_GB2312" w:eastAsia="仿宋_GB2312"/>
          <w:color w:val="auto"/>
          <w:sz w:val="24"/>
        </w:rPr>
        <w:t>11</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491D1EE3">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"_Toc5683" </w:instrText>
      </w:r>
      <w:r>
        <w:rPr>
          <w:color w:val="auto"/>
        </w:rPr>
        <w:fldChar w:fldCharType="separate"/>
      </w:r>
      <w:r>
        <w:rPr>
          <w:rFonts w:hint="eastAsia" w:ascii="仿宋_GB2312" w:eastAsia="仿宋_GB2312"/>
          <w:color w:val="auto"/>
          <w:sz w:val="24"/>
        </w:rPr>
        <w:t>22.响应无效</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_Toc5683 \h </w:instrText>
      </w:r>
      <w:r>
        <w:rPr>
          <w:rFonts w:hint="eastAsia" w:ascii="仿宋_GB2312" w:eastAsia="仿宋_GB2312"/>
          <w:color w:val="auto"/>
          <w:sz w:val="24"/>
        </w:rPr>
        <w:fldChar w:fldCharType="separate"/>
      </w:r>
      <w:r>
        <w:rPr>
          <w:rFonts w:hint="eastAsia" w:ascii="仿宋_GB2312" w:eastAsia="仿宋_GB2312"/>
          <w:color w:val="auto"/>
          <w:sz w:val="24"/>
        </w:rPr>
        <w:t>11</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49515E43">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"_Toc16420" </w:instrText>
      </w:r>
      <w:r>
        <w:rPr>
          <w:color w:val="auto"/>
        </w:rPr>
        <w:fldChar w:fldCharType="separate"/>
      </w:r>
      <w:r>
        <w:rPr>
          <w:rFonts w:hint="eastAsia" w:ascii="仿宋_GB2312" w:eastAsia="仿宋_GB2312"/>
          <w:color w:val="auto"/>
          <w:sz w:val="24"/>
        </w:rPr>
        <w:t>23.比较与评价</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_Toc16420 \h </w:instrText>
      </w:r>
      <w:r>
        <w:rPr>
          <w:rFonts w:hint="eastAsia" w:ascii="仿宋_GB2312" w:eastAsia="仿宋_GB2312"/>
          <w:color w:val="auto"/>
          <w:sz w:val="24"/>
        </w:rPr>
        <w:fldChar w:fldCharType="separate"/>
      </w:r>
      <w:r>
        <w:rPr>
          <w:rFonts w:hint="eastAsia" w:ascii="仿宋_GB2312" w:eastAsia="仿宋_GB2312"/>
          <w:color w:val="auto"/>
          <w:sz w:val="24"/>
        </w:rPr>
        <w:t>12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8F89A68">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"_Toc11267" </w:instrText>
      </w:r>
      <w:r>
        <w:rPr>
          <w:color w:val="auto"/>
        </w:rPr>
        <w:fldChar w:fldCharType="separate"/>
      </w:r>
      <w:r>
        <w:rPr>
          <w:rFonts w:hint="eastAsia" w:ascii="仿宋_GB2312" w:eastAsia="仿宋_GB2312"/>
          <w:color w:val="auto"/>
          <w:sz w:val="24"/>
        </w:rPr>
        <w:t>24.废标</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_Toc11267 \h </w:instrText>
      </w:r>
      <w:r>
        <w:rPr>
          <w:rFonts w:hint="eastAsia" w:ascii="仿宋_GB2312" w:eastAsia="仿宋_GB2312"/>
          <w:color w:val="auto"/>
          <w:sz w:val="24"/>
        </w:rPr>
        <w:fldChar w:fldCharType="separate"/>
      </w:r>
      <w:r>
        <w:rPr>
          <w:rFonts w:hint="eastAsia" w:ascii="仿宋_GB2312" w:eastAsia="仿宋_GB2312"/>
          <w:color w:val="auto"/>
          <w:sz w:val="24"/>
        </w:rPr>
        <w:t>12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08BB57C0">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"_Toc16129" </w:instrText>
      </w:r>
      <w:r>
        <w:rPr>
          <w:color w:val="auto"/>
        </w:rPr>
        <w:fldChar w:fldCharType="separate"/>
      </w:r>
      <w:r>
        <w:rPr>
          <w:rFonts w:hint="eastAsia" w:ascii="仿宋_GB2312" w:eastAsia="仿宋_GB2312"/>
          <w:color w:val="auto"/>
          <w:sz w:val="24"/>
        </w:rPr>
        <w:t>25.保密原则</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_Toc16129 \h </w:instrText>
      </w:r>
      <w:r>
        <w:rPr>
          <w:rFonts w:hint="eastAsia" w:ascii="仿宋_GB2312" w:eastAsia="仿宋_GB2312"/>
          <w:color w:val="auto"/>
          <w:sz w:val="24"/>
        </w:rPr>
        <w:fldChar w:fldCharType="separate"/>
      </w:r>
      <w:r>
        <w:rPr>
          <w:rFonts w:hint="eastAsia" w:ascii="仿宋_GB2312" w:eastAsia="仿宋_GB2312"/>
          <w:color w:val="auto"/>
          <w:sz w:val="24"/>
        </w:rPr>
        <w:t>13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3B0F620">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"_Toc1827" </w:instrText>
      </w:r>
      <w:r>
        <w:rPr>
          <w:color w:val="auto"/>
        </w:rPr>
        <w:fldChar w:fldCharType="separate"/>
      </w:r>
      <w:r>
        <w:rPr>
          <w:rFonts w:hint="eastAsia" w:ascii="仿宋_GB2312" w:eastAsia="仿宋_GB2312"/>
          <w:color w:val="auto"/>
          <w:sz w:val="24"/>
        </w:rPr>
        <w:t>六   确定成交</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_Toc1827 \h </w:instrText>
      </w:r>
      <w:r>
        <w:rPr>
          <w:rFonts w:hint="eastAsia" w:ascii="仿宋_GB2312" w:eastAsia="仿宋_GB2312"/>
          <w:color w:val="auto"/>
          <w:sz w:val="24"/>
        </w:rPr>
        <w:fldChar w:fldCharType="separate"/>
      </w:r>
      <w:r>
        <w:rPr>
          <w:rFonts w:hint="eastAsia" w:ascii="仿宋_GB2312" w:eastAsia="仿宋_GB2312"/>
          <w:color w:val="auto"/>
          <w:sz w:val="24"/>
        </w:rPr>
        <w:t>13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B39E96E">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"_Toc23710" </w:instrText>
      </w:r>
      <w:r>
        <w:rPr>
          <w:color w:val="auto"/>
        </w:rPr>
        <w:fldChar w:fldCharType="separate"/>
      </w:r>
      <w:r>
        <w:rPr>
          <w:rFonts w:hint="eastAsia" w:ascii="仿宋_GB2312" w:eastAsia="仿宋_GB2312"/>
          <w:color w:val="auto"/>
          <w:sz w:val="24"/>
        </w:rPr>
        <w:t>26.成交候选人的确定原则及标准</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_Toc23710 \h </w:instrText>
      </w:r>
      <w:r>
        <w:rPr>
          <w:rFonts w:hint="eastAsia" w:ascii="仿宋_GB2312" w:eastAsia="仿宋_GB2312"/>
          <w:color w:val="auto"/>
          <w:sz w:val="24"/>
        </w:rPr>
        <w:fldChar w:fldCharType="separate"/>
      </w:r>
      <w:r>
        <w:rPr>
          <w:rFonts w:hint="eastAsia" w:ascii="仿宋_GB2312" w:eastAsia="仿宋_GB2312"/>
          <w:color w:val="auto"/>
          <w:sz w:val="24"/>
        </w:rPr>
        <w:t>13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0327E853">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"_Toc27171" </w:instrText>
      </w:r>
      <w:r>
        <w:rPr>
          <w:color w:val="auto"/>
        </w:rPr>
        <w:fldChar w:fldCharType="separate"/>
      </w:r>
      <w:r>
        <w:rPr>
          <w:rFonts w:hint="eastAsia" w:ascii="仿宋_GB2312" w:eastAsia="仿宋_GB2312"/>
          <w:bCs/>
          <w:color w:val="auto"/>
          <w:sz w:val="24"/>
        </w:rPr>
        <w:t>27.确定成交候选人和成交供应商</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_Toc27171 \h </w:instrText>
      </w:r>
      <w:r>
        <w:rPr>
          <w:rFonts w:hint="eastAsia" w:ascii="仿宋_GB2312" w:eastAsia="仿宋_GB2312"/>
          <w:color w:val="auto"/>
          <w:sz w:val="24"/>
        </w:rPr>
        <w:fldChar w:fldCharType="separate"/>
      </w:r>
      <w:r>
        <w:rPr>
          <w:rFonts w:hint="eastAsia" w:ascii="仿宋_GB2312" w:eastAsia="仿宋_GB2312"/>
          <w:color w:val="auto"/>
          <w:sz w:val="24"/>
        </w:rPr>
        <w:t>13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C3996CE">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"_Toc16853" </w:instrText>
      </w:r>
      <w:r>
        <w:rPr>
          <w:color w:val="auto"/>
        </w:rPr>
        <w:fldChar w:fldCharType="separate"/>
      </w:r>
      <w:r>
        <w:rPr>
          <w:rFonts w:hint="eastAsia" w:ascii="仿宋_GB2312" w:eastAsia="仿宋_GB2312"/>
          <w:color w:val="auto"/>
          <w:sz w:val="24"/>
        </w:rPr>
        <w:t>28.采购任务取消</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_Toc16853 \h </w:instrText>
      </w:r>
      <w:r>
        <w:rPr>
          <w:rFonts w:hint="eastAsia" w:ascii="仿宋_GB2312" w:eastAsia="仿宋_GB2312"/>
          <w:color w:val="auto"/>
          <w:sz w:val="24"/>
        </w:rPr>
        <w:fldChar w:fldCharType="separate"/>
      </w:r>
      <w:r>
        <w:rPr>
          <w:rFonts w:hint="eastAsia" w:ascii="仿宋_GB2312" w:eastAsia="仿宋_GB2312"/>
          <w:color w:val="auto"/>
          <w:sz w:val="24"/>
        </w:rPr>
        <w:t>13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C644793">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"_Toc32635" </w:instrText>
      </w:r>
      <w:r>
        <w:rPr>
          <w:color w:val="auto"/>
        </w:rPr>
        <w:fldChar w:fldCharType="separate"/>
      </w:r>
      <w:r>
        <w:rPr>
          <w:rFonts w:hint="eastAsia" w:ascii="仿宋_GB2312" w:eastAsia="仿宋_GB2312"/>
          <w:color w:val="auto"/>
          <w:sz w:val="24"/>
        </w:rPr>
        <w:t>29.成交通知书和采购结果通知书</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_Toc32635 \h </w:instrText>
      </w:r>
      <w:r>
        <w:rPr>
          <w:rFonts w:hint="eastAsia" w:ascii="仿宋_GB2312" w:eastAsia="仿宋_GB2312"/>
          <w:color w:val="auto"/>
          <w:sz w:val="24"/>
        </w:rPr>
        <w:fldChar w:fldCharType="separate"/>
      </w:r>
      <w:r>
        <w:rPr>
          <w:rFonts w:hint="eastAsia" w:ascii="仿宋_GB2312" w:eastAsia="仿宋_GB2312"/>
          <w:color w:val="auto"/>
          <w:sz w:val="24"/>
        </w:rPr>
        <w:t>13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B04C63B">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"_Toc1987" </w:instrText>
      </w:r>
      <w:r>
        <w:rPr>
          <w:color w:val="auto"/>
        </w:rPr>
        <w:fldChar w:fldCharType="separate"/>
      </w:r>
      <w:r>
        <w:rPr>
          <w:rFonts w:hint="eastAsia" w:ascii="仿宋_GB2312" w:eastAsia="仿宋_GB2312"/>
          <w:color w:val="auto"/>
          <w:sz w:val="24"/>
        </w:rPr>
        <w:t>30.签订合同及履约验收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_Toc1987 \h </w:instrText>
      </w:r>
      <w:r>
        <w:rPr>
          <w:rFonts w:hint="eastAsia" w:ascii="仿宋_GB2312" w:eastAsia="仿宋_GB2312"/>
          <w:color w:val="auto"/>
          <w:sz w:val="24"/>
        </w:rPr>
        <w:fldChar w:fldCharType="separate"/>
      </w:r>
      <w:r>
        <w:rPr>
          <w:rFonts w:hint="eastAsia" w:ascii="仿宋_GB2312" w:eastAsia="仿宋_GB2312"/>
          <w:color w:val="auto"/>
          <w:sz w:val="24"/>
        </w:rPr>
        <w:t>14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7A4EDE83">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"_Toc15602" </w:instrText>
      </w:r>
      <w:r>
        <w:rPr>
          <w:color w:val="auto"/>
        </w:rPr>
        <w:fldChar w:fldCharType="separate"/>
      </w:r>
      <w:r>
        <w:rPr>
          <w:rFonts w:hint="eastAsia" w:ascii="仿宋_GB2312" w:eastAsia="仿宋_GB2312"/>
          <w:color w:val="auto"/>
          <w:sz w:val="24"/>
        </w:rPr>
        <w:t>31.履约保证金</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_Toc15602 \h </w:instrText>
      </w:r>
      <w:r>
        <w:rPr>
          <w:rFonts w:hint="eastAsia" w:ascii="仿宋_GB2312" w:eastAsia="仿宋_GB2312"/>
          <w:color w:val="auto"/>
          <w:sz w:val="24"/>
        </w:rPr>
        <w:fldChar w:fldCharType="separate"/>
      </w:r>
      <w:r>
        <w:rPr>
          <w:rFonts w:hint="eastAsia" w:ascii="仿宋_GB2312" w:eastAsia="仿宋_GB2312"/>
          <w:color w:val="auto"/>
          <w:sz w:val="24"/>
        </w:rPr>
        <w:t>14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D9DF125">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"_Toc15937" </w:instrText>
      </w:r>
      <w:r>
        <w:rPr>
          <w:color w:val="auto"/>
        </w:rPr>
        <w:fldChar w:fldCharType="separate"/>
      </w:r>
      <w:r>
        <w:rPr>
          <w:rFonts w:hint="eastAsia" w:ascii="仿宋_GB2312" w:eastAsia="仿宋_GB2312"/>
          <w:color w:val="auto"/>
          <w:sz w:val="24"/>
        </w:rPr>
        <w:t>32.成交服务费</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_Toc15937 \h </w:instrText>
      </w:r>
      <w:r>
        <w:rPr>
          <w:rFonts w:hint="eastAsia" w:ascii="仿宋_GB2312" w:eastAsia="仿宋_GB2312"/>
          <w:color w:val="auto"/>
          <w:sz w:val="24"/>
        </w:rPr>
        <w:fldChar w:fldCharType="separate"/>
      </w:r>
      <w:r>
        <w:rPr>
          <w:rFonts w:hint="eastAsia" w:ascii="仿宋_GB2312" w:eastAsia="仿宋_GB2312"/>
          <w:color w:val="auto"/>
          <w:sz w:val="24"/>
        </w:rPr>
        <w:t>14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63C5162">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"_Toc30442" </w:instrText>
      </w:r>
      <w:r>
        <w:rPr>
          <w:color w:val="auto"/>
        </w:rPr>
        <w:fldChar w:fldCharType="separate"/>
      </w:r>
      <w:r>
        <w:rPr>
          <w:rFonts w:hint="eastAsia" w:ascii="仿宋_GB2312" w:eastAsia="仿宋_GB2312"/>
          <w:color w:val="auto"/>
          <w:sz w:val="24"/>
        </w:rPr>
        <w:t>33.政府采购信用担保</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_Toc30442 \h </w:instrText>
      </w:r>
      <w:r>
        <w:rPr>
          <w:rFonts w:hint="eastAsia" w:ascii="仿宋_GB2312" w:eastAsia="仿宋_GB2312"/>
          <w:color w:val="auto"/>
          <w:sz w:val="24"/>
        </w:rPr>
        <w:fldChar w:fldCharType="separate"/>
      </w:r>
      <w:r>
        <w:rPr>
          <w:rFonts w:hint="eastAsia" w:ascii="仿宋_GB2312" w:eastAsia="仿宋_GB2312"/>
          <w:color w:val="auto"/>
          <w:sz w:val="24"/>
        </w:rPr>
        <w:t>14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8574599">
      <w:pPr>
        <w:pStyle w:val="18"/>
        <w:tabs>
          <w:tab w:val="right" w:leader="dot" w:pos="8843"/>
          <w:tab w:val="clear" w:pos="1260"/>
          <w:tab w:val="clear" w:pos="8630"/>
        </w:tabs>
        <w:rPr>
          <w:rFonts w:hint="eastAsia" w:ascii="仿宋_GB2312" w:eastAsia="仿宋_GB2312"/>
          <w:color w:val="auto"/>
          <w:sz w:val="24"/>
        </w:rPr>
      </w:pPr>
      <w:r>
        <w:rPr>
          <w:color w:val="auto"/>
        </w:rPr>
        <w:fldChar w:fldCharType="begin"/>
      </w:r>
      <w:r>
        <w:rPr>
          <w:color w:val="auto"/>
        </w:rPr>
        <w:instrText xml:space="preserve"> HYPERLINK \l "_Toc31135" </w:instrText>
      </w:r>
      <w:r>
        <w:rPr>
          <w:color w:val="auto"/>
        </w:rPr>
        <w:fldChar w:fldCharType="separate"/>
      </w:r>
      <w:r>
        <w:rPr>
          <w:rFonts w:hint="eastAsia" w:ascii="仿宋_GB2312" w:eastAsia="仿宋_GB2312"/>
          <w:color w:val="auto"/>
          <w:sz w:val="24"/>
        </w:rPr>
        <w:t>34.廉洁自律规定</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_Toc31135 \h </w:instrText>
      </w:r>
      <w:r>
        <w:rPr>
          <w:rFonts w:hint="eastAsia" w:ascii="仿宋_GB2312" w:eastAsia="仿宋_GB2312"/>
          <w:color w:val="auto"/>
          <w:sz w:val="24"/>
        </w:rPr>
        <w:fldChar w:fldCharType="separate"/>
      </w:r>
      <w:r>
        <w:rPr>
          <w:rFonts w:hint="eastAsia" w:ascii="仿宋_GB2312" w:eastAsia="仿宋_GB2312"/>
          <w:color w:val="auto"/>
          <w:sz w:val="24"/>
        </w:rPr>
        <w:t>14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73E0E40">
      <w:pPr>
        <w:pStyle w:val="18"/>
        <w:tabs>
          <w:tab w:val="right" w:leader="dot" w:pos="8843"/>
          <w:tab w:val="clear" w:pos="1260"/>
          <w:tab w:val="clear" w:pos="8630"/>
        </w:tabs>
        <w:ind w:left="0" w:leftChars="0" w:firstLine="420" w:firstLineChars="200"/>
        <w:rPr>
          <w:rFonts w:hint="eastAsia" w:ascii="仿宋_GB2312" w:eastAsia="仿宋_GB2312"/>
          <w:color w:val="auto"/>
          <w:sz w:val="24"/>
        </w:rPr>
      </w:pPr>
      <w:r>
        <w:rPr>
          <w:color w:val="auto"/>
        </w:rPr>
        <w:fldChar w:fldCharType="begin"/>
      </w:r>
      <w:r>
        <w:rPr>
          <w:color w:val="auto"/>
        </w:rPr>
        <w:instrText xml:space="preserve"> HYPERLINK \l "_Toc1062" </w:instrText>
      </w:r>
      <w:r>
        <w:rPr>
          <w:color w:val="auto"/>
        </w:rPr>
        <w:fldChar w:fldCharType="separate"/>
      </w:r>
      <w:r>
        <w:rPr>
          <w:rFonts w:hint="eastAsia" w:ascii="仿宋_GB2312" w:eastAsia="仿宋_GB2312"/>
          <w:color w:val="auto"/>
          <w:sz w:val="24"/>
        </w:rPr>
        <w:t>35.人员回避</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_Toc1062 \h </w:instrText>
      </w:r>
      <w:r>
        <w:rPr>
          <w:rFonts w:hint="eastAsia" w:ascii="仿宋_GB2312" w:eastAsia="仿宋_GB2312"/>
          <w:color w:val="auto"/>
          <w:sz w:val="24"/>
        </w:rPr>
        <w:fldChar w:fldCharType="separate"/>
      </w:r>
      <w:r>
        <w:rPr>
          <w:rFonts w:hint="eastAsia" w:ascii="仿宋_GB2312" w:eastAsia="仿宋_GB2312"/>
          <w:color w:val="auto"/>
          <w:sz w:val="24"/>
        </w:rPr>
        <w:t>15</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56F204D">
      <w:pPr>
        <w:pStyle w:val="18"/>
        <w:tabs>
          <w:tab w:val="right" w:leader="dot" w:pos="8843"/>
          <w:tab w:val="clear" w:pos="1260"/>
          <w:tab w:val="clear" w:pos="8630"/>
        </w:tabs>
        <w:ind w:left="0" w:leftChars="0" w:firstLine="420" w:firstLineChars="200"/>
        <w:rPr>
          <w:rFonts w:hint="eastAsia" w:ascii="仿宋_GB2312" w:eastAsia="仿宋_GB2312"/>
          <w:color w:val="auto"/>
          <w:sz w:val="24"/>
        </w:rPr>
      </w:pPr>
      <w:r>
        <w:rPr>
          <w:color w:val="auto"/>
        </w:rPr>
        <w:fldChar w:fldCharType="begin"/>
      </w:r>
      <w:r>
        <w:rPr>
          <w:color w:val="auto"/>
        </w:rPr>
        <w:instrText xml:space="preserve"> HYPERLINK \l "_Toc8850" </w:instrText>
      </w:r>
      <w:r>
        <w:rPr>
          <w:color w:val="auto"/>
        </w:rPr>
        <w:fldChar w:fldCharType="separate"/>
      </w:r>
      <w:r>
        <w:rPr>
          <w:rFonts w:hint="eastAsia" w:ascii="仿宋_GB2312" w:eastAsia="仿宋_GB2312"/>
          <w:color w:val="auto"/>
          <w:sz w:val="24"/>
        </w:rPr>
        <w:t>36.质疑与接收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_Toc8850 \h </w:instrText>
      </w:r>
      <w:r>
        <w:rPr>
          <w:rFonts w:hint="eastAsia" w:ascii="仿宋_GB2312" w:eastAsia="仿宋_GB2312"/>
          <w:color w:val="auto"/>
          <w:sz w:val="24"/>
        </w:rPr>
        <w:fldChar w:fldCharType="separate"/>
      </w:r>
      <w:r>
        <w:rPr>
          <w:rFonts w:hint="eastAsia" w:ascii="仿宋_GB2312" w:eastAsia="仿宋_GB2312"/>
          <w:color w:val="auto"/>
          <w:sz w:val="24"/>
        </w:rPr>
        <w:t>15</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29CDB61">
      <w:pPr>
        <w:pStyle w:val="27"/>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"_Toc29221" </w:instrText>
      </w:r>
      <w:r>
        <w:rPr>
          <w:color w:val="auto"/>
        </w:rPr>
        <w:fldChar w:fldCharType="separate"/>
      </w:r>
      <w:r>
        <w:rPr>
          <w:rFonts w:hint="eastAsia" w:ascii="仿宋_GB2312" w:eastAsia="仿宋_GB2312"/>
          <w:color w:val="auto"/>
          <w:sz w:val="24"/>
        </w:rPr>
        <w:t>第2章 响应文件格式</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_Toc29221 \h </w:instrText>
      </w:r>
      <w:r>
        <w:rPr>
          <w:rFonts w:hint="eastAsia" w:ascii="仿宋_GB2312" w:eastAsia="仿宋_GB2312"/>
          <w:color w:val="auto"/>
          <w:sz w:val="24"/>
        </w:rPr>
        <w:fldChar w:fldCharType="separate"/>
      </w:r>
      <w:r>
        <w:rPr>
          <w:rFonts w:hint="eastAsia" w:ascii="仿宋_GB2312" w:eastAsia="仿宋_GB2312"/>
          <w:color w:val="auto"/>
          <w:sz w:val="24"/>
        </w:rPr>
        <w:t>22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05ECA8B3">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"_Toc18649" </w:instrText>
      </w:r>
      <w:r>
        <w:rPr>
          <w:color w:val="auto"/>
        </w:rPr>
        <w:fldChar w:fldCharType="separate"/>
      </w:r>
      <w:r>
        <w:rPr>
          <w:rFonts w:hint="eastAsia" w:ascii="仿宋_GB2312" w:eastAsia="仿宋_GB2312"/>
          <w:color w:val="auto"/>
          <w:sz w:val="24"/>
        </w:rPr>
        <w:t>第一部分 响应报价一览表及资格证明文件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_Toc18649 \h </w:instrText>
      </w:r>
      <w:r>
        <w:rPr>
          <w:rFonts w:hint="eastAsia" w:ascii="仿宋_GB2312" w:eastAsia="仿宋_GB2312"/>
          <w:color w:val="auto"/>
          <w:sz w:val="24"/>
        </w:rPr>
        <w:fldChar w:fldCharType="separate"/>
      </w:r>
      <w:r>
        <w:rPr>
          <w:rFonts w:hint="eastAsia" w:ascii="仿宋_GB2312" w:eastAsia="仿宋_GB2312"/>
          <w:color w:val="auto"/>
          <w:sz w:val="24"/>
        </w:rPr>
        <w:t>22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17974797">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"_Toc2677" </w:instrText>
      </w:r>
      <w:r>
        <w:rPr>
          <w:color w:val="auto"/>
        </w:rPr>
        <w:fldChar w:fldCharType="separate"/>
      </w:r>
      <w:r>
        <w:rPr>
          <w:rFonts w:hint="eastAsia" w:ascii="仿宋_GB2312" w:eastAsia="仿宋_GB2312"/>
          <w:color w:val="auto"/>
          <w:sz w:val="24"/>
        </w:rPr>
        <w:t>第二部分  商务及技术文件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_Toc2677 \h </w:instrText>
      </w:r>
      <w:r>
        <w:rPr>
          <w:rFonts w:hint="eastAsia" w:ascii="仿宋_GB2312" w:eastAsia="仿宋_GB2312"/>
          <w:color w:val="auto"/>
          <w:sz w:val="24"/>
        </w:rPr>
        <w:fldChar w:fldCharType="separate"/>
      </w:r>
      <w:r>
        <w:rPr>
          <w:rFonts w:hint="eastAsia" w:ascii="仿宋_GB2312" w:eastAsia="仿宋_GB2312"/>
          <w:color w:val="auto"/>
          <w:sz w:val="24"/>
        </w:rPr>
        <w:t>31</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D77B556">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"_Toc27254" </w:instrText>
      </w:r>
      <w:r>
        <w:rPr>
          <w:color w:val="auto"/>
        </w:rPr>
        <w:fldChar w:fldCharType="separate"/>
      </w:r>
      <w:r>
        <w:rPr>
          <w:rFonts w:hint="eastAsia" w:ascii="仿宋_GB2312" w:eastAsia="仿宋_GB2312"/>
          <w:color w:val="auto"/>
          <w:sz w:val="24"/>
        </w:rPr>
        <w:t>1、响应函</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_Toc27254 \h </w:instrText>
      </w:r>
      <w:r>
        <w:rPr>
          <w:rFonts w:hint="eastAsia" w:ascii="仿宋_GB2312" w:eastAsia="仿宋_GB2312"/>
          <w:color w:val="auto"/>
          <w:sz w:val="24"/>
        </w:rPr>
        <w:fldChar w:fldCharType="separate"/>
      </w:r>
      <w:r>
        <w:rPr>
          <w:rFonts w:hint="eastAsia" w:ascii="仿宋_GB2312" w:eastAsia="仿宋_GB2312"/>
          <w:color w:val="auto"/>
          <w:sz w:val="24"/>
        </w:rPr>
        <w:t>32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0B8D64C">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"_Toc19943" </w:instrText>
      </w:r>
      <w:r>
        <w:rPr>
          <w:color w:val="auto"/>
        </w:rPr>
        <w:fldChar w:fldCharType="separate"/>
      </w:r>
      <w:r>
        <w:rPr>
          <w:rFonts w:hint="eastAsia" w:ascii="仿宋_GB2312" w:eastAsia="仿宋_GB2312"/>
          <w:color w:val="auto"/>
          <w:sz w:val="24"/>
        </w:rPr>
        <w:t>2、货物需求表</w:t>
      </w:r>
      <w:r>
        <w:rPr>
          <w:rFonts w:hint="eastAsia" w:ascii="仿宋_GB2312" w:eastAsia="仿宋_GB2312"/>
          <w:color w:val="auto"/>
          <w:sz w:val="24"/>
        </w:rPr>
        <w:tab/>
      </w:r>
      <w:r>
        <w:rPr>
          <w:rFonts w:hint="eastAsia" w:ascii="仿宋_GB2312" w:eastAsia="仿宋_GB2312"/>
          <w:color w:val="auto"/>
          <w:sz w:val="24"/>
        </w:rPr>
        <w:t>3</w:t>
      </w:r>
      <w:r>
        <w:rPr>
          <w:rFonts w:hint="eastAsia" w:ascii="仿宋_GB2312" w:eastAsia="仿宋_GB2312"/>
          <w:color w:val="auto"/>
          <w:sz w:val="24"/>
        </w:rPr>
        <w:fldChar w:fldCharType="end"/>
      </w:r>
      <w:r>
        <w:rPr>
          <w:rFonts w:hint="eastAsia" w:ascii="仿宋_GB2312" w:eastAsia="仿宋_GB2312"/>
          <w:color w:val="auto"/>
          <w:kern w:val="0"/>
          <w:sz w:val="24"/>
        </w:rPr>
        <w:t>8</w:t>
      </w:r>
    </w:p>
    <w:p w14:paraId="62962A16">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"_Toc21605" </w:instrText>
      </w:r>
      <w:r>
        <w:rPr>
          <w:color w:val="auto"/>
        </w:rPr>
        <w:fldChar w:fldCharType="separate"/>
      </w:r>
      <w:r>
        <w:rPr>
          <w:rFonts w:hint="eastAsia" w:ascii="仿宋_GB2312" w:eastAsia="仿宋_GB2312"/>
          <w:bCs/>
          <w:color w:val="auto"/>
          <w:sz w:val="24"/>
        </w:rPr>
        <w:t>3、报价明细表</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_Toc21605 \h </w:instrText>
      </w:r>
      <w:r>
        <w:rPr>
          <w:rFonts w:hint="eastAsia" w:ascii="仿宋_GB2312" w:eastAsia="仿宋_GB2312"/>
          <w:color w:val="auto"/>
          <w:sz w:val="24"/>
        </w:rPr>
        <w:fldChar w:fldCharType="separate"/>
      </w:r>
      <w:r>
        <w:rPr>
          <w:rFonts w:hint="eastAsia" w:ascii="仿宋_GB2312" w:eastAsia="仿宋_GB2312"/>
          <w:color w:val="auto"/>
          <w:sz w:val="24"/>
        </w:rPr>
        <w:t>34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439FBC9">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"_Toc9239" </w:instrText>
      </w:r>
      <w:r>
        <w:rPr>
          <w:color w:val="auto"/>
        </w:rPr>
        <w:fldChar w:fldCharType="separate"/>
      </w:r>
      <w:r>
        <w:rPr>
          <w:rFonts w:hint="eastAsia" w:ascii="仿宋_GB2312" w:eastAsia="仿宋_GB2312"/>
          <w:bCs/>
          <w:color w:val="auto"/>
          <w:sz w:val="24"/>
        </w:rPr>
        <w:t>4、技术规格偏离表</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_Toc9239 \h </w:instrText>
      </w:r>
      <w:r>
        <w:rPr>
          <w:rFonts w:hint="eastAsia" w:ascii="仿宋_GB2312" w:eastAsia="仿宋_GB2312"/>
          <w:color w:val="auto"/>
          <w:sz w:val="24"/>
        </w:rPr>
        <w:fldChar w:fldCharType="separate"/>
      </w:r>
      <w:r>
        <w:rPr>
          <w:rFonts w:hint="eastAsia" w:ascii="仿宋_GB2312" w:eastAsia="仿宋_GB2312"/>
          <w:color w:val="auto"/>
          <w:sz w:val="24"/>
        </w:rPr>
        <w:t>35</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B552B60">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"_Toc3667" </w:instrText>
      </w:r>
      <w:r>
        <w:rPr>
          <w:color w:val="auto"/>
        </w:rPr>
        <w:fldChar w:fldCharType="separate"/>
      </w:r>
      <w:r>
        <w:rPr>
          <w:rFonts w:hint="eastAsia" w:ascii="仿宋_GB2312" w:eastAsia="仿宋_GB2312"/>
          <w:bCs/>
          <w:color w:val="auto"/>
          <w:sz w:val="24"/>
        </w:rPr>
        <w:t>5、商务条款偏离表</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_Toc3667 \h </w:instrText>
      </w:r>
      <w:r>
        <w:rPr>
          <w:rFonts w:hint="eastAsia" w:ascii="仿宋_GB2312" w:eastAsia="仿宋_GB2312"/>
          <w:color w:val="auto"/>
          <w:sz w:val="24"/>
        </w:rPr>
        <w:fldChar w:fldCharType="separate"/>
      </w:r>
      <w:r>
        <w:rPr>
          <w:rFonts w:hint="eastAsia" w:ascii="仿宋_GB2312" w:eastAsia="仿宋_GB2312"/>
          <w:color w:val="auto"/>
          <w:sz w:val="24"/>
        </w:rPr>
        <w:t>36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1B2C97CD">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"_Toc10868" </w:instrText>
      </w:r>
      <w:r>
        <w:rPr>
          <w:color w:val="auto"/>
        </w:rPr>
        <w:fldChar w:fldCharType="separate"/>
      </w:r>
      <w:r>
        <w:rPr>
          <w:rFonts w:hint="eastAsia" w:ascii="仿宋_GB2312" w:eastAsia="仿宋_GB2312"/>
          <w:bCs/>
          <w:color w:val="auto"/>
          <w:sz w:val="24"/>
        </w:rPr>
        <w:t>6-1中小企业声明函（货物）</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_Toc10868 \h </w:instrText>
      </w:r>
      <w:r>
        <w:rPr>
          <w:rFonts w:hint="eastAsia" w:ascii="仿宋_GB2312" w:eastAsia="仿宋_GB2312"/>
          <w:color w:val="auto"/>
          <w:sz w:val="24"/>
        </w:rPr>
        <w:fldChar w:fldCharType="separate"/>
      </w:r>
      <w:r>
        <w:rPr>
          <w:rFonts w:hint="eastAsia" w:ascii="仿宋_GB2312" w:eastAsia="仿宋_GB2312"/>
          <w:color w:val="auto"/>
          <w:sz w:val="24"/>
        </w:rPr>
        <w:t>37</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14452518">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"_Toc22272" </w:instrText>
      </w:r>
      <w:r>
        <w:rPr>
          <w:color w:val="auto"/>
        </w:rPr>
        <w:fldChar w:fldCharType="separate"/>
      </w:r>
      <w:r>
        <w:rPr>
          <w:rFonts w:hint="eastAsia" w:ascii="仿宋_GB2312" w:eastAsia="仿宋_GB2312"/>
          <w:bCs/>
          <w:color w:val="auto"/>
          <w:sz w:val="24"/>
        </w:rPr>
        <w:t>6-2 残疾人福利性单位声明函</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_Toc22272 \h </w:instrText>
      </w:r>
      <w:r>
        <w:rPr>
          <w:rFonts w:hint="eastAsia" w:ascii="仿宋_GB2312" w:eastAsia="仿宋_GB2312"/>
          <w:color w:val="auto"/>
          <w:sz w:val="24"/>
        </w:rPr>
        <w:fldChar w:fldCharType="separate"/>
      </w:r>
      <w:r>
        <w:rPr>
          <w:rFonts w:hint="eastAsia" w:ascii="仿宋_GB2312" w:eastAsia="仿宋_GB2312"/>
          <w:color w:val="auto"/>
          <w:sz w:val="24"/>
        </w:rPr>
        <w:t>38</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3865A9E">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"_Toc23104" </w:instrText>
      </w:r>
      <w:r>
        <w:rPr>
          <w:color w:val="auto"/>
        </w:rPr>
        <w:fldChar w:fldCharType="separate"/>
      </w:r>
      <w:r>
        <w:rPr>
          <w:rFonts w:hint="eastAsia" w:ascii="仿宋_GB2312" w:eastAsia="仿宋_GB2312"/>
          <w:bCs/>
          <w:color w:val="auto"/>
          <w:sz w:val="24"/>
        </w:rPr>
        <w:t>7、供应商关联单位的说明</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_Toc23104 \h </w:instrText>
      </w:r>
      <w:r>
        <w:rPr>
          <w:rFonts w:hint="eastAsia" w:ascii="仿宋_GB2312" w:eastAsia="仿宋_GB2312"/>
          <w:color w:val="auto"/>
          <w:sz w:val="24"/>
        </w:rPr>
        <w:fldChar w:fldCharType="separate"/>
      </w:r>
      <w:r>
        <w:rPr>
          <w:rFonts w:hint="eastAsia" w:ascii="仿宋_GB2312" w:eastAsia="仿宋_GB2312"/>
          <w:color w:val="auto"/>
          <w:sz w:val="24"/>
        </w:rPr>
        <w:t>40</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9175455">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"_Toc21192" </w:instrText>
      </w:r>
      <w:r>
        <w:rPr>
          <w:color w:val="auto"/>
        </w:rPr>
        <w:fldChar w:fldCharType="separate"/>
      </w:r>
      <w:r>
        <w:rPr>
          <w:rFonts w:hint="eastAsia" w:ascii="仿宋_GB2312" w:eastAsia="仿宋_GB2312"/>
          <w:bCs/>
          <w:color w:val="auto"/>
          <w:sz w:val="24"/>
        </w:rPr>
        <w:t>8、供应商可提供有利于投标的其他资格证明材料</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_Toc21192 \h </w:instrText>
      </w:r>
      <w:r>
        <w:rPr>
          <w:rFonts w:hint="eastAsia" w:ascii="仿宋_GB2312" w:eastAsia="仿宋_GB2312"/>
          <w:color w:val="auto"/>
          <w:sz w:val="24"/>
        </w:rPr>
        <w:fldChar w:fldCharType="separate"/>
      </w:r>
      <w:r>
        <w:rPr>
          <w:rFonts w:hint="eastAsia" w:ascii="仿宋_GB2312" w:eastAsia="仿宋_GB2312"/>
          <w:color w:val="auto"/>
          <w:sz w:val="24"/>
        </w:rPr>
        <w:t>40</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47B4F59">
      <w:pPr>
        <w:pStyle w:val="27"/>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"_Toc19333" </w:instrText>
      </w:r>
      <w:r>
        <w:rPr>
          <w:color w:val="auto"/>
        </w:rPr>
        <w:fldChar w:fldCharType="separate"/>
      </w:r>
      <w:r>
        <w:rPr>
          <w:rFonts w:hint="eastAsia" w:ascii="仿宋_GB2312" w:eastAsia="仿宋_GB2312"/>
          <w:color w:val="auto"/>
          <w:sz w:val="24"/>
        </w:rPr>
        <w:t>第3章 谈判邀请</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_Toc19333 \h </w:instrText>
      </w:r>
      <w:r>
        <w:rPr>
          <w:rFonts w:hint="eastAsia" w:ascii="仿宋_GB2312" w:eastAsia="仿宋_GB2312"/>
          <w:color w:val="auto"/>
          <w:sz w:val="24"/>
        </w:rPr>
        <w:fldChar w:fldCharType="separate"/>
      </w:r>
      <w:r>
        <w:rPr>
          <w:rFonts w:hint="eastAsia" w:ascii="仿宋_GB2312" w:eastAsia="仿宋_GB2312"/>
          <w:color w:val="auto"/>
          <w:sz w:val="24"/>
        </w:rPr>
        <w:t>44</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7C00C35A">
      <w:pPr>
        <w:pStyle w:val="27"/>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"_Toc16060" </w:instrText>
      </w:r>
      <w:r>
        <w:rPr>
          <w:color w:val="auto"/>
        </w:rPr>
        <w:fldChar w:fldCharType="separate"/>
      </w:r>
      <w:r>
        <w:rPr>
          <w:rFonts w:hint="eastAsia" w:ascii="仿宋_GB2312" w:eastAsia="仿宋_GB2312"/>
          <w:color w:val="auto"/>
          <w:sz w:val="24"/>
        </w:rPr>
        <w:t>第4章 供应商须知资料表</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_Toc16060 \h </w:instrText>
      </w:r>
      <w:r>
        <w:rPr>
          <w:rFonts w:hint="eastAsia" w:ascii="仿宋_GB2312" w:eastAsia="仿宋_GB2312"/>
          <w:color w:val="auto"/>
          <w:sz w:val="24"/>
        </w:rPr>
        <w:fldChar w:fldCharType="separate"/>
      </w:r>
      <w:r>
        <w:rPr>
          <w:rFonts w:hint="eastAsia" w:ascii="仿宋_GB2312" w:eastAsia="仿宋_GB2312"/>
          <w:color w:val="auto"/>
          <w:sz w:val="24"/>
        </w:rPr>
        <w:t>48</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53579F6A">
      <w:pPr>
        <w:pStyle w:val="27"/>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"_Toc5606" </w:instrText>
      </w:r>
      <w:r>
        <w:rPr>
          <w:color w:val="auto"/>
        </w:rPr>
        <w:fldChar w:fldCharType="separate"/>
      </w:r>
      <w:r>
        <w:rPr>
          <w:rFonts w:hint="eastAsia" w:ascii="仿宋_GB2312" w:eastAsia="仿宋_GB2312"/>
          <w:color w:val="auto"/>
          <w:sz w:val="24"/>
        </w:rPr>
        <w:t>第5章 货物需求一览表及技术规格商务要求</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_Toc5606 \h </w:instrText>
      </w:r>
      <w:r>
        <w:rPr>
          <w:rFonts w:hint="eastAsia" w:ascii="仿宋_GB2312" w:eastAsia="仿宋_GB2312"/>
          <w:color w:val="auto"/>
          <w:sz w:val="24"/>
        </w:rPr>
        <w:fldChar w:fldCharType="separate"/>
      </w:r>
      <w:r>
        <w:rPr>
          <w:rFonts w:hint="eastAsia" w:ascii="仿宋_GB2312" w:eastAsia="仿宋_GB2312"/>
          <w:color w:val="auto"/>
          <w:sz w:val="24"/>
        </w:rPr>
        <w:t>56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D66956C">
      <w:pPr>
        <w:pStyle w:val="33"/>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"_Toc4299" </w:instrText>
      </w:r>
      <w:r>
        <w:rPr>
          <w:color w:val="auto"/>
        </w:rPr>
        <w:fldChar w:fldCharType="separate"/>
      </w:r>
      <w:r>
        <w:rPr>
          <w:rFonts w:hint="eastAsia" w:ascii="仿宋_GB2312" w:eastAsia="仿宋_GB2312"/>
          <w:bCs/>
          <w:color w:val="auto"/>
          <w:sz w:val="24"/>
        </w:rPr>
        <w:t>一、 货物需求技术规格</w:t>
      </w:r>
      <w:r>
        <w:rPr>
          <w:rFonts w:hint="eastAsia" w:ascii="仿宋_GB2312" w:eastAsia="仿宋_GB2312"/>
          <w:color w:val="auto"/>
          <w:sz w:val="24"/>
        </w:rPr>
        <w:t>.</w:t>
      </w:r>
      <w:r>
        <w:rPr>
          <w:rFonts w:hint="eastAsia" w:ascii="仿宋_GB2312" w:eastAsia="仿宋_GB2312"/>
          <w:color w:val="auto"/>
          <w:sz w:val="24"/>
        </w:rPr>
        <w:fldChar w:fldCharType="end"/>
      </w:r>
      <w:r>
        <w:rPr>
          <w:rFonts w:hint="eastAsia" w:ascii="仿宋_GB2312" w:eastAsia="仿宋_GB2312"/>
          <w:color w:val="auto"/>
          <w:kern w:val="0"/>
          <w:sz w:val="24"/>
        </w:rPr>
        <w:t>..............................................72</w:t>
      </w:r>
    </w:p>
    <w:p w14:paraId="5C38A3E0">
      <w:pPr>
        <w:pStyle w:val="33"/>
        <w:tabs>
          <w:tab w:val="right" w:leader="dot" w:pos="8843"/>
        </w:tabs>
        <w:rPr>
          <w:rFonts w:hint="eastAsia" w:ascii="仿宋_GB2312" w:eastAsia="仿宋_GB2312"/>
          <w:bCs/>
          <w:color w:val="auto"/>
          <w:sz w:val="24"/>
        </w:rPr>
      </w:pPr>
      <w:r>
        <w:rPr>
          <w:color w:val="auto"/>
        </w:rPr>
        <w:fldChar w:fldCharType="begin"/>
      </w:r>
      <w:r>
        <w:rPr>
          <w:color w:val="auto"/>
        </w:rPr>
        <w:instrText xml:space="preserve"> HYPERLINK \l "_Toc19795" </w:instrText>
      </w:r>
      <w:r>
        <w:rPr>
          <w:color w:val="auto"/>
        </w:rPr>
        <w:fldChar w:fldCharType="separate"/>
      </w:r>
      <w:r>
        <w:rPr>
          <w:rFonts w:hint="eastAsia" w:ascii="仿宋_GB2312" w:eastAsia="仿宋_GB2312"/>
          <w:bCs/>
          <w:color w:val="auto"/>
          <w:sz w:val="24"/>
        </w:rPr>
        <w:t>二、商务要求</w:t>
      </w:r>
      <w:r>
        <w:rPr>
          <w:rFonts w:hint="eastAsia" w:ascii="仿宋_GB2312" w:eastAsia="仿宋_GB2312"/>
          <w:bCs/>
          <w:color w:val="auto"/>
          <w:sz w:val="24"/>
        </w:rPr>
        <w:tab/>
      </w:r>
      <w:r>
        <w:rPr>
          <w:rFonts w:hint="eastAsia" w:ascii="仿宋_GB2312" w:eastAsia="仿宋_GB2312"/>
          <w:bCs/>
          <w:color w:val="auto"/>
          <w:sz w:val="24"/>
        </w:rPr>
        <w:t>87</w:t>
      </w:r>
      <w:r>
        <w:rPr>
          <w:rFonts w:hint="eastAsia" w:ascii="仿宋_GB2312" w:eastAsia="仿宋_GB2312"/>
          <w:bCs/>
          <w:color w:val="auto"/>
          <w:sz w:val="24"/>
        </w:rPr>
        <w:fldChar w:fldCharType="end"/>
      </w:r>
    </w:p>
    <w:p w14:paraId="4C5A6366">
      <w:pPr>
        <w:pStyle w:val="27"/>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"_Toc5606" </w:instrText>
      </w:r>
      <w:r>
        <w:rPr>
          <w:color w:val="auto"/>
        </w:rPr>
        <w:fldChar w:fldCharType="separate"/>
      </w:r>
      <w:r>
        <w:rPr>
          <w:rFonts w:hint="eastAsia" w:ascii="仿宋_GB2312" w:eastAsia="仿宋_GB2312"/>
          <w:color w:val="auto"/>
          <w:sz w:val="24"/>
        </w:rPr>
        <w:t>第6章 评审方法和标准</w:t>
      </w:r>
      <w:r>
        <w:rPr>
          <w:rFonts w:hint="eastAsia" w:ascii="仿宋_GB2312" w:eastAsia="仿宋_GB2312"/>
          <w:color w:val="auto"/>
          <w:sz w:val="24"/>
        </w:rPr>
        <w:tab/>
      </w:r>
      <w:r>
        <w:rPr>
          <w:rFonts w:hint="eastAsia" w:ascii="仿宋_GB2312" w:eastAsia="仿宋_GB2312"/>
          <w:color w:val="auto"/>
          <w:sz w:val="24"/>
        </w:rPr>
        <w:t>8</w:t>
      </w:r>
      <w:r>
        <w:rPr>
          <w:rFonts w:hint="eastAsia" w:ascii="仿宋_GB2312" w:eastAsia="仿宋_GB2312"/>
          <w:color w:val="auto"/>
          <w:sz w:val="24"/>
        </w:rPr>
        <w:fldChar w:fldCharType="end"/>
      </w:r>
      <w:r>
        <w:rPr>
          <w:rFonts w:hint="eastAsia" w:ascii="仿宋_GB2312" w:eastAsia="仿宋_GB2312"/>
          <w:color w:val="auto"/>
          <w:kern w:val="0"/>
          <w:sz w:val="24"/>
        </w:rPr>
        <w:t>9</w:t>
      </w:r>
    </w:p>
    <w:p w14:paraId="2350D205">
      <w:pPr>
        <w:pStyle w:val="27"/>
        <w:tabs>
          <w:tab w:val="right" w:leader="dot" w:pos="8843"/>
        </w:tabs>
        <w:rPr>
          <w:rFonts w:hint="eastAsia" w:ascii="仿宋_GB2312" w:eastAsia="仿宋_GB2312"/>
          <w:color w:val="auto"/>
          <w:sz w:val="24"/>
        </w:rPr>
      </w:pPr>
      <w:r>
        <w:rPr>
          <w:color w:val="auto"/>
        </w:rPr>
        <w:fldChar w:fldCharType="begin"/>
      </w:r>
      <w:r>
        <w:rPr>
          <w:color w:val="auto"/>
        </w:rPr>
        <w:instrText xml:space="preserve"> HYPERLINK \l "_Toc30198" </w:instrText>
      </w:r>
      <w:r>
        <w:rPr>
          <w:color w:val="auto"/>
        </w:rPr>
        <w:fldChar w:fldCharType="separate"/>
      </w:r>
      <w:r>
        <w:rPr>
          <w:rFonts w:hint="eastAsia" w:ascii="仿宋_GB2312" w:eastAsia="仿宋_GB2312"/>
          <w:color w:val="auto"/>
          <w:sz w:val="24"/>
        </w:rPr>
        <w:t>第7章  政府采购合同</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_Toc30198 \h </w:instrText>
      </w:r>
      <w:r>
        <w:rPr>
          <w:rFonts w:hint="eastAsia" w:ascii="仿宋_GB2312" w:eastAsia="仿宋_GB2312"/>
          <w:color w:val="auto"/>
          <w:sz w:val="24"/>
        </w:rPr>
        <w:fldChar w:fldCharType="separate"/>
      </w:r>
      <w:r>
        <w:rPr>
          <w:rFonts w:hint="eastAsia" w:ascii="仿宋_GB2312" w:eastAsia="仿宋_GB2312"/>
          <w:color w:val="auto"/>
          <w:sz w:val="24"/>
        </w:rPr>
        <w:t>66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0398062">
      <w:pPr>
        <w:jc w:val="center"/>
        <w:rPr>
          <w:rFonts w:hint="eastAsia" w:ascii="仿宋_GB2312" w:eastAsia="仿宋_GB2312"/>
          <w:color w:val="auto"/>
          <w:kern w:val="0"/>
          <w:sz w:val="24"/>
        </w:rPr>
      </w:pPr>
      <w:r>
        <w:rPr>
          <w:rFonts w:hint="eastAsia" w:ascii="仿宋_GB2312" w:eastAsia="仿宋_GB2312"/>
          <w:color w:val="auto"/>
          <w:kern w:val="0"/>
          <w:sz w:val="24"/>
        </w:rPr>
        <w:fldChar w:fldCharType="end"/>
      </w:r>
      <w:bookmarkStart w:id="2" w:name="_Toc518923059"/>
      <w:bookmarkStart w:id="3" w:name="_Toc1462"/>
      <w:bookmarkStart w:id="4" w:name="_Toc10715352"/>
    </w:p>
    <w:p w14:paraId="175BF32C">
      <w:pPr>
        <w:pStyle w:val="2"/>
        <w:ind w:firstLine="480"/>
        <w:rPr>
          <w:rFonts w:hint="eastAsia"/>
          <w:color w:val="auto"/>
        </w:rPr>
      </w:pPr>
    </w:p>
    <w:p w14:paraId="1988C0DD">
      <w:pPr>
        <w:pStyle w:val="4"/>
        <w:ind w:firstLine="240"/>
        <w:rPr>
          <w:rFonts w:hint="eastAsia"/>
          <w:color w:val="auto"/>
        </w:rPr>
      </w:pPr>
    </w:p>
    <w:p w14:paraId="22A322B8">
      <w:pPr>
        <w:rPr>
          <w:rFonts w:hint="eastAsia"/>
          <w:color w:val="auto"/>
        </w:rPr>
      </w:pPr>
    </w:p>
    <w:p w14:paraId="6E32D245">
      <w:pPr>
        <w:pStyle w:val="2"/>
        <w:ind w:firstLine="480"/>
        <w:rPr>
          <w:rFonts w:hint="eastAsia"/>
          <w:color w:val="auto"/>
        </w:rPr>
      </w:pPr>
    </w:p>
    <w:p w14:paraId="18CC7673">
      <w:pPr>
        <w:pStyle w:val="4"/>
        <w:ind w:firstLine="240"/>
        <w:rPr>
          <w:rFonts w:hint="eastAsia"/>
          <w:color w:val="auto"/>
        </w:rPr>
      </w:pPr>
    </w:p>
    <w:p w14:paraId="579260A0">
      <w:pPr>
        <w:rPr>
          <w:rFonts w:hint="eastAsia"/>
          <w:color w:val="auto"/>
        </w:rPr>
      </w:pPr>
    </w:p>
    <w:p w14:paraId="3C101FC8">
      <w:pPr>
        <w:pStyle w:val="2"/>
        <w:ind w:firstLine="480"/>
        <w:rPr>
          <w:rFonts w:hint="eastAsia"/>
          <w:color w:val="auto"/>
        </w:rPr>
      </w:pPr>
    </w:p>
    <w:p w14:paraId="7468EB32">
      <w:pPr>
        <w:pStyle w:val="4"/>
        <w:ind w:firstLine="240"/>
        <w:rPr>
          <w:rFonts w:hint="eastAsia"/>
          <w:color w:val="auto"/>
        </w:rPr>
      </w:pPr>
    </w:p>
    <w:p w14:paraId="3877E737">
      <w:pPr>
        <w:rPr>
          <w:rFonts w:hint="eastAsia"/>
          <w:color w:val="auto"/>
        </w:rPr>
      </w:pPr>
    </w:p>
    <w:p w14:paraId="265DD4E5">
      <w:pPr>
        <w:pStyle w:val="2"/>
        <w:ind w:firstLine="480"/>
        <w:rPr>
          <w:rFonts w:hint="eastAsia"/>
          <w:color w:val="auto"/>
        </w:rPr>
      </w:pPr>
    </w:p>
    <w:p w14:paraId="25A963B4">
      <w:pPr>
        <w:pStyle w:val="4"/>
        <w:ind w:firstLine="240"/>
        <w:rPr>
          <w:rFonts w:hint="eastAsia"/>
          <w:color w:val="auto"/>
        </w:rPr>
      </w:pPr>
    </w:p>
    <w:p w14:paraId="28251A11">
      <w:pPr>
        <w:rPr>
          <w:rFonts w:hint="eastAsia"/>
          <w:color w:val="auto"/>
        </w:rPr>
      </w:pPr>
    </w:p>
    <w:p w14:paraId="37C6163A">
      <w:pPr>
        <w:pStyle w:val="2"/>
        <w:ind w:firstLine="480"/>
        <w:rPr>
          <w:rFonts w:hint="eastAsia"/>
          <w:color w:val="auto"/>
        </w:rPr>
      </w:pPr>
    </w:p>
    <w:p w14:paraId="1B812C21">
      <w:pPr>
        <w:pStyle w:val="4"/>
        <w:ind w:firstLine="240"/>
        <w:rPr>
          <w:color w:val="auto"/>
        </w:rPr>
      </w:pPr>
    </w:p>
    <w:p w14:paraId="74262AA5">
      <w:pPr>
        <w:jc w:val="center"/>
        <w:rPr>
          <w:rFonts w:hint="eastAsia" w:ascii="仿宋_GB2312" w:eastAsia="仿宋_GB2312"/>
          <w:b/>
          <w:bCs/>
          <w:color w:val="auto"/>
          <w:sz w:val="28"/>
          <w:szCs w:val="28"/>
        </w:rPr>
      </w:pPr>
      <w:r>
        <w:rPr>
          <w:rFonts w:hint="eastAsia" w:ascii="仿宋_GB2312" w:hAnsi="方正小标宋简体" w:eastAsia="仿宋_GB2312" w:cs="方正小标宋简体"/>
          <w:b/>
          <w:bCs/>
          <w:color w:val="auto"/>
          <w:sz w:val="36"/>
          <w:szCs w:val="36"/>
        </w:rPr>
        <w:t>喀什地区公安局采购一批打印机硒鼓、耗材项目</w:t>
      </w:r>
    </w:p>
    <w:p w14:paraId="551FDECC">
      <w:pPr>
        <w:spacing w:line="240" w:lineRule="atLeast"/>
        <w:ind w:left="1079" w:leftChars="257" w:hanging="540"/>
        <w:jc w:val="center"/>
        <w:rPr>
          <w:rFonts w:hint="eastAsia" w:ascii="仿宋_GB2312" w:hAnsi="方正小标宋简体" w:eastAsia="仿宋_GB2312" w:cs="方正小标宋简体"/>
          <w:b/>
          <w:bCs/>
          <w:color w:val="auto"/>
          <w:sz w:val="36"/>
          <w:szCs w:val="36"/>
        </w:rPr>
      </w:pPr>
      <w:bookmarkStart w:id="5" w:name="_Toc29956"/>
      <w:r>
        <w:rPr>
          <w:rFonts w:hint="eastAsia" w:ascii="仿宋_GB2312" w:hAnsi="方正小标宋简体" w:eastAsia="仿宋_GB2312" w:cs="方正小标宋简体"/>
          <w:b/>
          <w:bCs/>
          <w:color w:val="auto"/>
          <w:sz w:val="36"/>
          <w:szCs w:val="36"/>
        </w:rPr>
        <w:t>项目编号：</w:t>
      </w:r>
      <w:bookmarkEnd w:id="5"/>
      <w:bookmarkStart w:id="6" w:name="_Toc31396"/>
      <w:bookmarkStart w:id="7" w:name="_Toc10715351"/>
      <w:r>
        <w:rPr>
          <w:rFonts w:hint="eastAsia" w:ascii="仿宋_GB2312" w:hAnsi="方正小标宋简体" w:eastAsia="仿宋_GB2312" w:cs="方正小标宋简体"/>
          <w:b/>
          <w:bCs/>
          <w:color w:val="auto"/>
          <w:sz w:val="36"/>
          <w:szCs w:val="36"/>
        </w:rPr>
        <w:t>KSDQ-YY2025(TP)-01号</w:t>
      </w:r>
    </w:p>
    <w:p w14:paraId="67C4F23F">
      <w:pPr>
        <w:spacing w:line="240" w:lineRule="atLeast"/>
        <w:ind w:left="1079" w:leftChars="257" w:hanging="540"/>
        <w:jc w:val="center"/>
        <w:rPr>
          <w:rFonts w:ascii="方正小标宋简体" w:hAnsi="方正小标宋简体" w:eastAsia="方正小标宋简体" w:cs="方正小标宋简体"/>
          <w:bCs/>
          <w:color w:val="auto"/>
          <w:sz w:val="36"/>
          <w:szCs w:val="36"/>
        </w:rPr>
      </w:pPr>
    </w:p>
    <w:p w14:paraId="42F55F9E">
      <w:pPr>
        <w:pStyle w:val="29"/>
        <w:rPr>
          <w:rFonts w:ascii="方正小标宋简体" w:hAnsi="方正小标宋简体" w:eastAsia="方正小标宋简体" w:cs="方正小标宋简体"/>
          <w:bCs/>
          <w:color w:val="auto"/>
          <w:sz w:val="36"/>
          <w:szCs w:val="36"/>
        </w:rPr>
      </w:pPr>
    </w:p>
    <w:p w14:paraId="12666ACE">
      <w:pPr>
        <w:pStyle w:val="5"/>
        <w:rPr>
          <w:rFonts w:ascii="方正小标宋简体" w:hAnsi="方正小标宋简体" w:eastAsia="方正小标宋简体" w:cs="方正小标宋简体"/>
          <w:bCs/>
          <w:color w:val="auto"/>
          <w:sz w:val="36"/>
          <w:szCs w:val="36"/>
        </w:rPr>
      </w:pPr>
    </w:p>
    <w:p w14:paraId="6D256CC4">
      <w:pPr>
        <w:rPr>
          <w:rFonts w:ascii="方正小标宋简体" w:hAnsi="方正小标宋简体" w:eastAsia="方正小标宋简体" w:cs="方正小标宋简体"/>
          <w:bCs/>
          <w:color w:val="auto"/>
          <w:sz w:val="36"/>
          <w:szCs w:val="36"/>
        </w:rPr>
      </w:pPr>
    </w:p>
    <w:p w14:paraId="03631536">
      <w:pPr>
        <w:pStyle w:val="29"/>
        <w:rPr>
          <w:rFonts w:ascii="方正小标宋简体" w:hAnsi="方正小标宋简体" w:eastAsia="方正小标宋简体" w:cs="方正小标宋简体"/>
          <w:bCs/>
          <w:color w:val="auto"/>
          <w:sz w:val="36"/>
          <w:szCs w:val="36"/>
        </w:rPr>
      </w:pPr>
    </w:p>
    <w:p w14:paraId="3B8081CC">
      <w:pPr>
        <w:pStyle w:val="5"/>
        <w:rPr>
          <w:rFonts w:ascii="方正小标宋简体" w:hAnsi="方正小标宋简体" w:eastAsia="方正小标宋简体" w:cs="方正小标宋简体"/>
          <w:color w:val="auto"/>
          <w:sz w:val="44"/>
          <w:szCs w:val="44"/>
        </w:rPr>
      </w:pPr>
    </w:p>
    <w:p w14:paraId="57023D27">
      <w:pPr>
        <w:jc w:val="center"/>
        <w:rPr>
          <w:rFonts w:hint="eastAsia" w:ascii="仿宋_GB2312" w:hAnsi="方正小标宋简体" w:eastAsia="仿宋_GB2312" w:cs="方正小标宋简体"/>
          <w:b/>
          <w:bCs/>
          <w:color w:val="auto"/>
          <w:sz w:val="36"/>
          <w:szCs w:val="36"/>
        </w:rPr>
      </w:pPr>
      <w:r>
        <w:rPr>
          <w:rFonts w:hint="eastAsia" w:ascii="仿宋_GB2312" w:hAnsi="方正小标宋简体" w:eastAsia="仿宋_GB2312" w:cs="方正小标宋简体"/>
          <w:b/>
          <w:bCs/>
          <w:color w:val="auto"/>
          <w:sz w:val="36"/>
          <w:szCs w:val="36"/>
        </w:rPr>
        <w:t>第一册</w:t>
      </w:r>
      <w:bookmarkEnd w:id="6"/>
      <w:bookmarkEnd w:id="7"/>
    </w:p>
    <w:p w14:paraId="1148D5AE">
      <w:pPr>
        <w:pStyle w:val="49"/>
        <w:rPr>
          <w:rFonts w:ascii="Times New Roman" w:eastAsia="方正仿宋简体" w:cs="Times New Roman"/>
          <w:color w:val="auto"/>
          <w:sz w:val="28"/>
          <w:szCs w:val="28"/>
        </w:rPr>
        <w:sectPr>
          <w:headerReference r:id="rId4" w:type="default"/>
          <w:footerReference r:id="rId5" w:type="default"/>
          <w:pgSz w:w="11906" w:h="16838"/>
          <w:pgMar w:top="1984" w:right="1531" w:bottom="1701" w:left="1531" w:header="851" w:footer="992" w:gutter="0"/>
          <w:pgNumType w:start="1"/>
          <w:cols w:space="720" w:num="1"/>
          <w:docGrid w:type="linesAndChars" w:linePitch="312" w:charSpace="0"/>
        </w:sectPr>
      </w:pPr>
    </w:p>
    <w:p w14:paraId="23F2C410">
      <w:pPr>
        <w:pStyle w:val="7"/>
        <w:tabs>
          <w:tab w:val="left" w:pos="0"/>
        </w:tabs>
        <w:snapToGrid w:val="0"/>
        <w:spacing w:before="0" w:after="0" w:line="360" w:lineRule="auto"/>
        <w:textAlignment w:val="baseline"/>
        <w:rPr>
          <w:rFonts w:hint="eastAsia" w:ascii="仿宋_GB2312" w:eastAsia="仿宋_GB2312"/>
          <w:color w:val="auto"/>
          <w:szCs w:val="32"/>
        </w:rPr>
      </w:pPr>
      <w:bookmarkStart w:id="8" w:name="_Toc13413"/>
      <w:r>
        <w:rPr>
          <w:rFonts w:hint="eastAsia" w:ascii="仿宋_GB2312" w:eastAsia="仿宋_GB2312"/>
          <w:color w:val="auto"/>
          <w:kern w:val="0"/>
          <w:szCs w:val="32"/>
        </w:rPr>
        <w:t xml:space="preserve">第1章  </w:t>
      </w:r>
      <w:r>
        <w:rPr>
          <w:rFonts w:hint="eastAsia" w:ascii="仿宋_GB2312" w:eastAsia="仿宋_GB2312"/>
          <w:color w:val="auto"/>
          <w:szCs w:val="32"/>
        </w:rPr>
        <w:t>供应商须知</w:t>
      </w:r>
      <w:bookmarkEnd w:id="2"/>
      <w:bookmarkEnd w:id="3"/>
      <w:bookmarkEnd w:id="4"/>
      <w:bookmarkEnd w:id="8"/>
    </w:p>
    <w:p w14:paraId="65A20062">
      <w:pPr>
        <w:pStyle w:val="8"/>
        <w:snapToGrid w:val="0"/>
        <w:spacing w:before="0" w:line="240" w:lineRule="atLeast"/>
        <w:ind w:left="1079" w:leftChars="257" w:hanging="540"/>
        <w:textAlignment w:val="baseline"/>
        <w:rPr>
          <w:rFonts w:hint="eastAsia" w:ascii="仿宋_GB2312" w:hAnsi="Times New Roman" w:eastAsia="仿宋_GB2312"/>
          <w:color w:val="auto"/>
          <w:sz w:val="28"/>
          <w:szCs w:val="28"/>
        </w:rPr>
      </w:pPr>
      <w:bookmarkStart w:id="9" w:name="_Toc515647757"/>
      <w:bookmarkStart w:id="10" w:name="_Toc520356143"/>
      <w:bookmarkStart w:id="11" w:name="_Toc216582805"/>
      <w:bookmarkStart w:id="12" w:name="_Toc21215"/>
      <w:bookmarkStart w:id="13" w:name="_Toc16274"/>
      <w:bookmarkStart w:id="14" w:name="_Toc21015"/>
      <w:r>
        <w:rPr>
          <w:rFonts w:hint="eastAsia" w:ascii="仿宋_GB2312" w:hAnsi="Times New Roman" w:eastAsia="仿宋_GB2312"/>
          <w:color w:val="auto"/>
          <w:sz w:val="28"/>
          <w:szCs w:val="28"/>
        </w:rPr>
        <w:t xml:space="preserve">一   </w:t>
      </w:r>
      <w:bookmarkEnd w:id="9"/>
      <w:bookmarkEnd w:id="10"/>
      <w:bookmarkEnd w:id="11"/>
      <w:r>
        <w:rPr>
          <w:rFonts w:hint="eastAsia" w:ascii="仿宋_GB2312" w:hAnsi="Times New Roman" w:eastAsia="仿宋_GB2312"/>
          <w:color w:val="auto"/>
          <w:sz w:val="28"/>
          <w:szCs w:val="28"/>
        </w:rPr>
        <w:t>总 则</w:t>
      </w:r>
      <w:bookmarkEnd w:id="12"/>
      <w:bookmarkEnd w:id="13"/>
      <w:bookmarkEnd w:id="14"/>
    </w:p>
    <w:p w14:paraId="2F13F010">
      <w:pPr>
        <w:pStyle w:val="9"/>
        <w:snapToGrid w:val="0"/>
        <w:spacing w:before="0" w:after="0" w:line="380" w:lineRule="exact"/>
        <w:textAlignment w:val="baseline"/>
        <w:rPr>
          <w:rFonts w:hint="eastAsia" w:ascii="仿宋_GB2312" w:eastAsia="仿宋_GB2312"/>
          <w:color w:val="auto"/>
          <w:szCs w:val="24"/>
          <w:u w:val="none"/>
        </w:rPr>
      </w:pPr>
      <w:bookmarkStart w:id="15" w:name="_Toc32189"/>
      <w:bookmarkStart w:id="16" w:name="_Toc32623"/>
      <w:bookmarkStart w:id="17" w:name="_Toc520356144"/>
      <w:bookmarkStart w:id="18" w:name="_Toc515647758"/>
      <w:bookmarkStart w:id="19" w:name="_Toc28974"/>
      <w:bookmarkStart w:id="20" w:name="_Toc19826"/>
      <w:bookmarkStart w:id="21" w:name="_Toc11217"/>
      <w:bookmarkStart w:id="22" w:name="_Toc6040"/>
      <w:bookmarkStart w:id="23" w:name="_Toc16501"/>
      <w:bookmarkStart w:id="24" w:name="_Toc16079"/>
      <w:bookmarkStart w:id="25" w:name="_Toc20385"/>
      <w:bookmarkStart w:id="26" w:name="_Toc22880"/>
      <w:bookmarkStart w:id="27" w:name="_Toc27535"/>
      <w:r>
        <w:rPr>
          <w:rFonts w:hint="eastAsia" w:ascii="仿宋_GB2312" w:eastAsia="仿宋_GB2312"/>
          <w:color w:val="auto"/>
          <w:szCs w:val="24"/>
          <w:u w:val="none"/>
        </w:rPr>
        <w:t>1.采购人、采购代理机构及</w:t>
      </w:r>
      <w:bookmarkEnd w:id="15"/>
      <w:bookmarkEnd w:id="16"/>
      <w:bookmarkEnd w:id="17"/>
      <w:bookmarkEnd w:id="18"/>
      <w:r>
        <w:rPr>
          <w:rFonts w:hint="eastAsia" w:ascii="仿宋_GB2312" w:eastAsia="仿宋_GB2312"/>
          <w:color w:val="auto"/>
          <w:szCs w:val="24"/>
          <w:u w:val="none"/>
        </w:rPr>
        <w:t>供应商</w:t>
      </w:r>
      <w:bookmarkEnd w:id="19"/>
      <w:bookmarkEnd w:id="20"/>
      <w:bookmarkEnd w:id="21"/>
      <w:bookmarkEnd w:id="22"/>
      <w:bookmarkEnd w:id="23"/>
      <w:bookmarkEnd w:id="24"/>
      <w:bookmarkEnd w:id="25"/>
      <w:bookmarkEnd w:id="26"/>
      <w:bookmarkEnd w:id="27"/>
    </w:p>
    <w:p w14:paraId="12D7FAC8">
      <w:pPr>
        <w:tabs>
          <w:tab w:val="left" w:pos="0"/>
        </w:tabs>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1.1     采购人：是指依法开展政府采购活动的国家机关、事业单位、团体组织。本项目的采购人见</w:t>
      </w:r>
      <w:r>
        <w:rPr>
          <w:rFonts w:hint="eastAsia" w:ascii="仿宋_GB2312" w:eastAsia="仿宋_GB2312"/>
          <w:color w:val="auto"/>
          <w:sz w:val="24"/>
          <w:u w:val="single" w:color="000000"/>
        </w:rPr>
        <w:t>供应商须知资料表</w:t>
      </w:r>
      <w:r>
        <w:rPr>
          <w:rFonts w:hint="eastAsia" w:ascii="仿宋_GB2312" w:eastAsia="仿宋_GB2312"/>
          <w:color w:val="auto"/>
          <w:sz w:val="24"/>
        </w:rPr>
        <w:t>。</w:t>
      </w:r>
    </w:p>
    <w:p w14:paraId="039BD901">
      <w:pPr>
        <w:tabs>
          <w:tab w:val="left" w:pos="0"/>
        </w:tabs>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1.2     采购代理机构：是指在集中采购机构或从事采购代理业务的社会中介机构。本项目的采购代理机构见</w:t>
      </w:r>
      <w:r>
        <w:rPr>
          <w:rFonts w:hint="eastAsia" w:ascii="仿宋_GB2312" w:eastAsia="仿宋_GB2312"/>
          <w:color w:val="auto"/>
          <w:sz w:val="24"/>
          <w:u w:val="single"/>
        </w:rPr>
        <w:t>供应商须知资料表。</w:t>
      </w:r>
    </w:p>
    <w:p w14:paraId="2C96E994">
      <w:pPr>
        <w:tabs>
          <w:tab w:val="left" w:pos="0"/>
        </w:tabs>
        <w:snapToGrid w:val="0"/>
        <w:spacing w:line="380" w:lineRule="exact"/>
        <w:ind w:left="888" w:hanging="888" w:hangingChars="370"/>
        <w:textAlignment w:val="baseline"/>
        <w:rPr>
          <w:rFonts w:hint="eastAsia" w:ascii="仿宋_GB2312" w:eastAsia="仿宋_GB2312"/>
          <w:color w:val="auto"/>
          <w:sz w:val="24"/>
        </w:rPr>
      </w:pPr>
      <w:r>
        <w:rPr>
          <w:rFonts w:hint="eastAsia" w:ascii="仿宋_GB2312" w:eastAsia="仿宋_GB2312"/>
          <w:color w:val="auto"/>
          <w:sz w:val="24"/>
        </w:rPr>
        <w:t>1.3     谈判供应商：是指响应谈判文件的法人、非法人组织或者自然人。潜在谈判供应商：以谈判文件规定的方式获取本项目谈判文件的法人、非法人组织或者自然人。本项目的供应商须满足以下条件：</w:t>
      </w:r>
    </w:p>
    <w:p w14:paraId="0F3BCE06">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1.3.1</w:t>
      </w:r>
      <w:r>
        <w:rPr>
          <w:rFonts w:hint="eastAsia" w:ascii="仿宋_GB2312" w:eastAsia="仿宋_GB2312"/>
          <w:color w:val="auto"/>
          <w:sz w:val="24"/>
        </w:rPr>
        <w:tab/>
      </w:r>
      <w:r>
        <w:rPr>
          <w:rFonts w:hint="eastAsia" w:ascii="仿宋_GB2312" w:eastAsia="仿宋_GB2312"/>
          <w:color w:val="auto"/>
          <w:sz w:val="24"/>
        </w:rPr>
        <w:t>在中华人民共和国境内注册，能够独立承担民事责任，有生产或供应能力的本国供应商。</w:t>
      </w:r>
    </w:p>
    <w:p w14:paraId="12066447">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1.3.2   具备《中华人民共和国政府采购法》第二十二条关于供应商条件的规定，遵守本项目采购人本级和上级财政部门政府采购的有关规定。</w:t>
      </w:r>
    </w:p>
    <w:p w14:paraId="2B4DC91E">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1.3.3   以采购代理机构认可的方式获得了本项目的谈判文件。</w:t>
      </w:r>
    </w:p>
    <w:p w14:paraId="0A1F5769">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1.3.4   符合</w:t>
      </w:r>
      <w:r>
        <w:rPr>
          <w:rFonts w:hint="eastAsia" w:ascii="仿宋_GB2312" w:eastAsia="仿宋_GB2312"/>
          <w:color w:val="auto"/>
          <w:sz w:val="24"/>
          <w:u w:val="single" w:color="000000"/>
        </w:rPr>
        <w:t>供应商须知资料表</w:t>
      </w:r>
      <w:r>
        <w:rPr>
          <w:rFonts w:hint="eastAsia" w:ascii="仿宋_GB2312" w:eastAsia="仿宋_GB2312"/>
          <w:color w:val="auto"/>
          <w:sz w:val="24"/>
        </w:rPr>
        <w:t>中规定的其他要求。</w:t>
      </w:r>
    </w:p>
    <w:p w14:paraId="5B39A967">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1.3.5   若</w:t>
      </w:r>
      <w:r>
        <w:rPr>
          <w:rFonts w:hint="eastAsia" w:ascii="仿宋_GB2312" w:eastAsia="仿宋_GB2312"/>
          <w:color w:val="auto"/>
          <w:sz w:val="24"/>
          <w:u w:val="single" w:color="000000"/>
        </w:rPr>
        <w:t>供应商须知资料表</w:t>
      </w:r>
      <w:r>
        <w:rPr>
          <w:rFonts w:hint="eastAsia" w:ascii="仿宋_GB2312" w:eastAsia="仿宋_GB2312"/>
          <w:color w:val="auto"/>
          <w:sz w:val="24"/>
        </w:rPr>
        <w:t>中写明允许采购进口产品，供应商应保证所投产品可履行合法报通关手续进入中国关境内。</w:t>
      </w:r>
    </w:p>
    <w:p w14:paraId="5DE194DC">
      <w:pPr>
        <w:snapToGrid w:val="0"/>
        <w:spacing w:line="380" w:lineRule="exact"/>
        <w:ind w:left="1017" w:leftChars="456" w:hanging="60" w:hangingChars="25"/>
        <w:textAlignment w:val="baseline"/>
        <w:rPr>
          <w:rFonts w:hint="eastAsia" w:ascii="仿宋_GB2312" w:eastAsia="仿宋_GB2312"/>
          <w:color w:val="auto"/>
          <w:sz w:val="24"/>
        </w:rPr>
      </w:pPr>
      <w:r>
        <w:rPr>
          <w:rFonts w:hint="eastAsia" w:ascii="仿宋_GB2312" w:eastAsia="仿宋_GB2312"/>
          <w:color w:val="auto"/>
          <w:sz w:val="24"/>
        </w:rPr>
        <w:t>若供应商须知资料表中未写明允许采购进口产品，如供应商所投产品为进口产品，其响应将被认定为响应无效。</w:t>
      </w:r>
    </w:p>
    <w:p w14:paraId="234AB7DA">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1.3.6   若</w:t>
      </w:r>
      <w:r>
        <w:rPr>
          <w:rFonts w:hint="eastAsia" w:ascii="仿宋_GB2312" w:eastAsia="仿宋_GB2312"/>
          <w:color w:val="auto"/>
          <w:sz w:val="24"/>
          <w:u w:val="single" w:color="000000"/>
        </w:rPr>
        <w:t>供应商须知资料表</w:t>
      </w:r>
      <w:r>
        <w:rPr>
          <w:rFonts w:hint="eastAsia" w:ascii="仿宋_GB2312" w:eastAsia="仿宋_GB2312"/>
          <w:color w:val="auto"/>
          <w:sz w:val="24"/>
        </w:rPr>
        <w:t>中写明专门面向中小企业采购的，如供应商为非中小企业且所投产品为非中小企业产品，其响应将被认定为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43B286D7">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1.4     如</w:t>
      </w:r>
      <w:r>
        <w:rPr>
          <w:rFonts w:hint="eastAsia" w:ascii="仿宋_GB2312" w:eastAsia="仿宋_GB2312"/>
          <w:color w:val="auto"/>
          <w:sz w:val="24"/>
          <w:u w:val="single" w:color="000000"/>
        </w:rPr>
        <w:t>供应商须知资料表</w:t>
      </w:r>
      <w:r>
        <w:rPr>
          <w:rFonts w:hint="eastAsia" w:ascii="仿宋_GB2312" w:eastAsia="仿宋_GB2312"/>
          <w:color w:val="auto"/>
          <w:sz w:val="24"/>
        </w:rPr>
        <w:t>中允许联合体谈判，对联合体规定如下：</w:t>
      </w:r>
    </w:p>
    <w:p w14:paraId="0CEF8FA7">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1.4.1   两个以上供应商可以组成一个谈判联合体，以一个供应商的身份谈判。</w:t>
      </w:r>
    </w:p>
    <w:p w14:paraId="255A6572">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1.4.2   联合体各方均应符合《中华人民共和国政府采购法》第二十二条规定的条件。</w:t>
      </w:r>
    </w:p>
    <w:p w14:paraId="7EBF5437">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1.4.3   采购人根据采购项目对供应商的特殊要求，联合体中至少应当有一方符合相关规定。</w:t>
      </w:r>
    </w:p>
    <w:p w14:paraId="77826BC5">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1.4.4   联合体各方应签订共同谈判协议，明确约定联合体各方承担的工作和相应的责任，并将共同谈判协议连同作为谈判文件第一部分的内容提交。</w:t>
      </w:r>
    </w:p>
    <w:p w14:paraId="723DD7B1">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1.4.5   大中型企业、其他自然人、法人或者非法人组织与小型、微型企业组成联合体共同参加谈判，共同谈判协议中应写明小型、微型企业的协议合同金额占到共同谈判协议谈判总金额的比例。</w:t>
      </w:r>
    </w:p>
    <w:p w14:paraId="689F5808">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1.4.6   联合体中有同类资质的供应商按照联合体分工承担相同工作的，按照较低的资质等级确定联合体的资质等级。</w:t>
      </w:r>
    </w:p>
    <w:p w14:paraId="43C05E85">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1.4.7   以联合体形式参加政府采购活动的，联合体各方不得再单独参加或者与其他供应商另外组成联合体参加本项目谈判，否则相关响应将被认定为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4489D30C">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1.4.8   对联合体谈判的其他资格要求见</w:t>
      </w:r>
      <w:r>
        <w:rPr>
          <w:rFonts w:hint="eastAsia" w:ascii="仿宋_GB2312" w:eastAsia="仿宋_GB2312"/>
          <w:color w:val="auto"/>
          <w:sz w:val="24"/>
          <w:u w:val="single" w:color="000000"/>
        </w:rPr>
        <w:t>供应商须知资料表</w:t>
      </w:r>
      <w:r>
        <w:rPr>
          <w:rFonts w:hint="eastAsia" w:ascii="仿宋_GB2312" w:eastAsia="仿宋_GB2312"/>
          <w:color w:val="auto"/>
          <w:sz w:val="24"/>
        </w:rPr>
        <w:t>。</w:t>
      </w:r>
    </w:p>
    <w:p w14:paraId="30244983">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1.5     单位负责人为同一人或者存在直接控股、管理关系的不同供应商，其相关响应将被认定为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0735EF95">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1.6     为本项目提供过整体设计、规范编制或者项目管理、监理、检测等服务的供应商，不得再参加本项目上述货物以外的其他采购活动。否则其响应将被认定为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182D9C5A">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1.7</w:t>
      </w:r>
      <w:r>
        <w:rPr>
          <w:rFonts w:hint="eastAsia" w:ascii="仿宋_GB2312" w:eastAsia="仿宋_GB2312"/>
          <w:color w:val="auto"/>
          <w:sz w:val="24"/>
        </w:rPr>
        <w:tab/>
      </w:r>
      <w:r>
        <w:rPr>
          <w:rFonts w:hint="eastAsia" w:ascii="仿宋_GB2312" w:eastAsia="仿宋_GB2312"/>
          <w:color w:val="auto"/>
          <w:sz w:val="24"/>
        </w:rPr>
        <w:t>供应商在谈判过程中不得向采购人提供、给予任何有价值的物品，影响其正常决策行为。一经发现，其将被认定为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1ABF5C74">
      <w:pPr>
        <w:pStyle w:val="9"/>
        <w:snapToGrid w:val="0"/>
        <w:spacing w:before="0" w:after="0" w:line="380" w:lineRule="exact"/>
        <w:textAlignment w:val="baseline"/>
        <w:rPr>
          <w:rFonts w:hint="eastAsia" w:ascii="仿宋_GB2312" w:eastAsia="仿宋_GB2312"/>
          <w:color w:val="auto"/>
          <w:szCs w:val="24"/>
          <w:u w:val="none"/>
        </w:rPr>
      </w:pPr>
      <w:bookmarkStart w:id="28" w:name="_Toc20993"/>
      <w:bookmarkStart w:id="29" w:name="_Toc515647759"/>
      <w:bookmarkStart w:id="30" w:name="_Toc17954"/>
      <w:bookmarkStart w:id="31" w:name="_Toc18147"/>
      <w:bookmarkStart w:id="32" w:name="_Toc31303"/>
      <w:bookmarkStart w:id="33" w:name="_Toc1145"/>
      <w:bookmarkStart w:id="34" w:name="_Toc21415"/>
      <w:bookmarkStart w:id="35" w:name="_Toc5286"/>
      <w:bookmarkStart w:id="36" w:name="_Toc12139"/>
      <w:bookmarkStart w:id="37" w:name="_Toc12082"/>
      <w:bookmarkStart w:id="38" w:name="_Toc32017"/>
      <w:bookmarkStart w:id="39" w:name="_Toc12994"/>
      <w:r>
        <w:rPr>
          <w:rFonts w:hint="eastAsia" w:ascii="仿宋_GB2312" w:eastAsia="仿宋_GB2312"/>
          <w:color w:val="auto"/>
          <w:szCs w:val="24"/>
          <w:u w:val="none"/>
        </w:rPr>
        <w:t>2.资金来源</w:t>
      </w:r>
      <w:bookmarkEnd w:id="28"/>
      <w:bookmarkEnd w:id="29"/>
      <w:bookmarkEnd w:id="30"/>
      <w:bookmarkEnd w:id="31"/>
      <w:bookmarkEnd w:id="32"/>
      <w:bookmarkEnd w:id="33"/>
      <w:bookmarkEnd w:id="34"/>
      <w:bookmarkEnd w:id="35"/>
      <w:bookmarkEnd w:id="36"/>
      <w:bookmarkEnd w:id="37"/>
      <w:bookmarkEnd w:id="38"/>
      <w:bookmarkEnd w:id="39"/>
    </w:p>
    <w:p w14:paraId="1825DA3E">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2.1</w:t>
      </w:r>
      <w:r>
        <w:rPr>
          <w:rFonts w:hint="eastAsia" w:ascii="仿宋_GB2312" w:eastAsia="仿宋_GB2312"/>
          <w:color w:val="auto"/>
          <w:sz w:val="24"/>
        </w:rPr>
        <w:tab/>
      </w:r>
      <w:r>
        <w:rPr>
          <w:rFonts w:hint="eastAsia" w:ascii="仿宋_GB2312" w:eastAsia="仿宋_GB2312"/>
          <w:color w:val="auto"/>
          <w:sz w:val="24"/>
        </w:rPr>
        <w:t>本项目的采购人已获得足以支付本次招标后所签订的合同项下的资金（包括财政性资金和本项目采购中无法与财政性资金分割的非财政性资金）。</w:t>
      </w:r>
    </w:p>
    <w:p w14:paraId="7B2AAC7F">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2.2     项目预算金额和分项或分包最高限价</w:t>
      </w:r>
      <w:r>
        <w:rPr>
          <w:rFonts w:hint="eastAsia" w:ascii="仿宋_GB2312" w:eastAsia="仿宋_GB2312"/>
          <w:color w:val="auto"/>
          <w:sz w:val="24"/>
          <w:u w:val="single" w:color="000000"/>
        </w:rPr>
        <w:t>见供应商须知资料表</w:t>
      </w:r>
      <w:r>
        <w:rPr>
          <w:rFonts w:hint="eastAsia" w:ascii="仿宋_GB2312" w:eastAsia="仿宋_GB2312"/>
          <w:color w:val="auto"/>
          <w:sz w:val="24"/>
        </w:rPr>
        <w:t>。</w:t>
      </w:r>
    </w:p>
    <w:p w14:paraId="29B698A1">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2.3     供应商报价超过谈判文件规定的预算金额或者分项、分包最高限价的，其响应将被认定为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2FD7D8DE">
      <w:pPr>
        <w:pStyle w:val="9"/>
        <w:snapToGrid w:val="0"/>
        <w:spacing w:before="0" w:after="0" w:line="380" w:lineRule="exact"/>
        <w:textAlignment w:val="baseline"/>
        <w:rPr>
          <w:rFonts w:hint="eastAsia" w:ascii="仿宋_GB2312" w:eastAsia="仿宋_GB2312"/>
          <w:color w:val="auto"/>
          <w:szCs w:val="24"/>
          <w:u w:val="none"/>
        </w:rPr>
      </w:pPr>
      <w:bookmarkStart w:id="40" w:name="_Toc520356145"/>
      <w:bookmarkStart w:id="41" w:name="_Toc15936"/>
      <w:bookmarkStart w:id="42" w:name="_Toc15302"/>
      <w:bookmarkStart w:id="43" w:name="_Toc18116"/>
      <w:bookmarkStart w:id="44" w:name="_Toc515647760"/>
      <w:bookmarkStart w:id="45" w:name="_Toc20526"/>
      <w:bookmarkStart w:id="46" w:name="_Toc91"/>
      <w:bookmarkStart w:id="47" w:name="_Toc18168"/>
      <w:bookmarkStart w:id="48" w:name="_Toc6076"/>
      <w:bookmarkStart w:id="49" w:name="_Toc4556"/>
      <w:bookmarkStart w:id="50" w:name="_Toc23939"/>
      <w:bookmarkStart w:id="51" w:name="_Toc3164"/>
      <w:bookmarkStart w:id="52" w:name="_Toc20149"/>
      <w:r>
        <w:rPr>
          <w:rFonts w:hint="eastAsia" w:ascii="仿宋_GB2312" w:eastAsia="仿宋_GB2312"/>
          <w:color w:val="auto"/>
          <w:szCs w:val="24"/>
          <w:u w:val="none"/>
        </w:rPr>
        <w:t>3.谈判费用</w:t>
      </w:r>
      <w:bookmarkEnd w:id="40"/>
      <w:bookmarkEnd w:id="41"/>
      <w:bookmarkEnd w:id="42"/>
      <w:bookmarkEnd w:id="43"/>
      <w:bookmarkEnd w:id="44"/>
      <w:bookmarkEnd w:id="45"/>
      <w:bookmarkEnd w:id="46"/>
      <w:bookmarkEnd w:id="47"/>
      <w:bookmarkEnd w:id="48"/>
      <w:bookmarkEnd w:id="49"/>
      <w:bookmarkEnd w:id="50"/>
      <w:bookmarkEnd w:id="51"/>
      <w:bookmarkEnd w:id="52"/>
    </w:p>
    <w:p w14:paraId="686C429C">
      <w:pPr>
        <w:snapToGrid w:val="0"/>
        <w:spacing w:line="380" w:lineRule="exact"/>
        <w:ind w:left="957" w:leftChars="456"/>
        <w:textAlignment w:val="baseline"/>
        <w:rPr>
          <w:rFonts w:hint="eastAsia" w:ascii="仿宋_GB2312" w:eastAsia="仿宋_GB2312"/>
          <w:color w:val="auto"/>
          <w:sz w:val="24"/>
        </w:rPr>
      </w:pPr>
      <w:r>
        <w:rPr>
          <w:rFonts w:hint="eastAsia" w:ascii="仿宋_GB2312" w:eastAsia="仿宋_GB2312"/>
          <w:color w:val="auto"/>
          <w:sz w:val="24"/>
        </w:rPr>
        <w:t>不论谈判的结果如何，供应商应承担所有与准备和参加谈判有关的费用。</w:t>
      </w:r>
    </w:p>
    <w:p w14:paraId="2DABEBB9">
      <w:pPr>
        <w:pStyle w:val="9"/>
        <w:snapToGrid w:val="0"/>
        <w:spacing w:before="0" w:after="0" w:line="380" w:lineRule="exact"/>
        <w:textAlignment w:val="baseline"/>
        <w:rPr>
          <w:rFonts w:hint="eastAsia" w:ascii="仿宋_GB2312" w:eastAsia="仿宋_GB2312"/>
          <w:color w:val="auto"/>
          <w:szCs w:val="24"/>
          <w:u w:val="none"/>
        </w:rPr>
      </w:pPr>
      <w:bookmarkStart w:id="53" w:name="_Toc26501"/>
      <w:bookmarkStart w:id="54" w:name="_Toc15164"/>
      <w:bookmarkStart w:id="55" w:name="_Toc7327"/>
      <w:bookmarkStart w:id="56" w:name="_Toc23425"/>
      <w:bookmarkStart w:id="57" w:name="_Toc6116"/>
      <w:bookmarkStart w:id="58" w:name="_Toc16977"/>
      <w:bookmarkStart w:id="59" w:name="_Toc14158"/>
      <w:bookmarkStart w:id="60" w:name="_Toc4463"/>
      <w:bookmarkStart w:id="61" w:name="_Toc515647761"/>
      <w:bookmarkStart w:id="62" w:name="_Toc32069"/>
      <w:bookmarkStart w:id="63" w:name="_Toc29823"/>
      <w:bookmarkStart w:id="64" w:name="_Toc15428"/>
      <w:r>
        <w:rPr>
          <w:rFonts w:hint="eastAsia" w:ascii="仿宋_GB2312" w:eastAsia="仿宋_GB2312"/>
          <w:color w:val="auto"/>
          <w:szCs w:val="24"/>
          <w:u w:val="none"/>
        </w:rPr>
        <w:t>4.适用法律</w:t>
      </w:r>
      <w:bookmarkEnd w:id="53"/>
      <w:bookmarkEnd w:id="54"/>
      <w:bookmarkEnd w:id="55"/>
      <w:bookmarkEnd w:id="56"/>
      <w:bookmarkEnd w:id="57"/>
      <w:bookmarkEnd w:id="58"/>
      <w:bookmarkEnd w:id="59"/>
      <w:bookmarkEnd w:id="60"/>
      <w:bookmarkEnd w:id="61"/>
      <w:bookmarkEnd w:id="62"/>
      <w:bookmarkEnd w:id="63"/>
      <w:bookmarkEnd w:id="64"/>
    </w:p>
    <w:p w14:paraId="5C3089C5">
      <w:pPr>
        <w:snapToGrid w:val="0"/>
        <w:spacing w:line="380" w:lineRule="exact"/>
        <w:ind w:left="957" w:leftChars="456"/>
        <w:textAlignment w:val="baseline"/>
        <w:rPr>
          <w:rFonts w:hint="eastAsia" w:ascii="仿宋_GB2312" w:eastAsia="仿宋_GB2312"/>
          <w:color w:val="auto"/>
          <w:sz w:val="24"/>
        </w:rPr>
      </w:pPr>
      <w:r>
        <w:rPr>
          <w:rFonts w:hint="eastAsia" w:ascii="仿宋_GB2312" w:eastAsia="仿宋_GB2312"/>
          <w:color w:val="auto"/>
          <w:sz w:val="24"/>
        </w:rPr>
        <w:t>本项目采购人、采购代理机构、供应商、评审委员会的相关行为均受财政部令第74号《政府采购非招标采购方式管理办法》及本项目本级和上级财政部门政府采购有关规定的约束，其权利受到上述法律法规的保护。</w:t>
      </w:r>
    </w:p>
    <w:p w14:paraId="4D348117">
      <w:pPr>
        <w:snapToGrid w:val="0"/>
        <w:spacing w:line="380" w:lineRule="exact"/>
        <w:textAlignment w:val="baseline"/>
        <w:rPr>
          <w:rFonts w:hint="eastAsia" w:ascii="仿宋_GB2312" w:eastAsia="仿宋_GB2312"/>
          <w:color w:val="auto"/>
          <w:sz w:val="24"/>
        </w:rPr>
      </w:pPr>
    </w:p>
    <w:p w14:paraId="31B70524">
      <w:pPr>
        <w:pStyle w:val="8"/>
        <w:snapToGrid w:val="0"/>
        <w:spacing w:before="0" w:line="240" w:lineRule="atLeast"/>
        <w:ind w:left="1079" w:leftChars="257" w:hanging="540"/>
        <w:textAlignment w:val="baseline"/>
        <w:rPr>
          <w:rFonts w:hint="eastAsia" w:ascii="仿宋_GB2312" w:hAnsi="Times New Roman" w:eastAsia="仿宋_GB2312"/>
          <w:color w:val="auto"/>
          <w:sz w:val="32"/>
          <w:szCs w:val="32"/>
        </w:rPr>
      </w:pPr>
      <w:bookmarkStart w:id="65" w:name="_Toc520356146"/>
      <w:bookmarkStart w:id="66" w:name="_Toc515647762"/>
      <w:bookmarkStart w:id="67" w:name="_Toc4365"/>
      <w:bookmarkStart w:id="68" w:name="_Toc216582806"/>
      <w:bookmarkStart w:id="69" w:name="_Toc21566"/>
      <w:bookmarkStart w:id="70" w:name="_Toc2556"/>
      <w:bookmarkStart w:id="71" w:name="_Toc13692"/>
      <w:r>
        <w:rPr>
          <w:rFonts w:hint="eastAsia" w:ascii="仿宋_GB2312" w:hAnsi="Times New Roman" w:eastAsia="仿宋_GB2312"/>
          <w:color w:val="auto"/>
          <w:sz w:val="32"/>
          <w:szCs w:val="32"/>
        </w:rPr>
        <w:t xml:space="preserve">二   </w:t>
      </w:r>
      <w:bookmarkEnd w:id="65"/>
      <w:bookmarkEnd w:id="66"/>
      <w:bookmarkEnd w:id="67"/>
      <w:bookmarkEnd w:id="68"/>
      <w:bookmarkEnd w:id="69"/>
      <w:r>
        <w:rPr>
          <w:rFonts w:hint="eastAsia" w:ascii="仿宋_GB2312" w:hAnsi="Times New Roman" w:eastAsia="仿宋_GB2312"/>
          <w:color w:val="auto"/>
          <w:sz w:val="32"/>
          <w:szCs w:val="32"/>
        </w:rPr>
        <w:t>谈判文件</w:t>
      </w:r>
      <w:bookmarkEnd w:id="70"/>
      <w:bookmarkEnd w:id="71"/>
    </w:p>
    <w:p w14:paraId="07D17491">
      <w:pPr>
        <w:pStyle w:val="9"/>
        <w:snapToGrid w:val="0"/>
        <w:spacing w:before="0" w:after="0" w:line="380" w:lineRule="exact"/>
        <w:textAlignment w:val="baseline"/>
        <w:rPr>
          <w:rFonts w:hint="eastAsia" w:ascii="仿宋_GB2312" w:eastAsia="仿宋_GB2312"/>
          <w:color w:val="auto"/>
          <w:szCs w:val="24"/>
          <w:u w:val="none"/>
        </w:rPr>
      </w:pPr>
      <w:bookmarkStart w:id="72" w:name="_Toc16521"/>
      <w:bookmarkStart w:id="73" w:name="_Toc25743"/>
      <w:bookmarkStart w:id="74" w:name="_Toc16061"/>
      <w:bookmarkStart w:id="75" w:name="_Toc515647763"/>
      <w:bookmarkStart w:id="76" w:name="_Toc9520"/>
      <w:bookmarkStart w:id="77" w:name="_Toc520356147"/>
      <w:bookmarkStart w:id="78" w:name="_Toc4773"/>
      <w:bookmarkStart w:id="79" w:name="_Toc20128"/>
      <w:bookmarkStart w:id="80" w:name="_Toc17567"/>
      <w:bookmarkStart w:id="81" w:name="_Toc14084"/>
      <w:bookmarkStart w:id="82" w:name="_Toc27545"/>
      <w:bookmarkStart w:id="83" w:name="_Toc14409"/>
      <w:bookmarkStart w:id="84" w:name="_Toc4254"/>
      <w:r>
        <w:rPr>
          <w:rFonts w:hint="eastAsia" w:ascii="仿宋_GB2312" w:eastAsia="仿宋_GB2312"/>
          <w:color w:val="auto"/>
          <w:szCs w:val="24"/>
          <w:u w:val="none"/>
        </w:rPr>
        <w:t>5.谈判文件构成</w:t>
      </w:r>
      <w:bookmarkEnd w:id="72"/>
      <w:bookmarkEnd w:id="73"/>
      <w:bookmarkEnd w:id="74"/>
      <w:bookmarkEnd w:id="75"/>
      <w:bookmarkEnd w:id="76"/>
      <w:bookmarkEnd w:id="77"/>
      <w:bookmarkEnd w:id="78"/>
      <w:bookmarkEnd w:id="79"/>
      <w:bookmarkEnd w:id="80"/>
      <w:bookmarkEnd w:id="81"/>
      <w:bookmarkEnd w:id="82"/>
      <w:bookmarkEnd w:id="83"/>
      <w:bookmarkEnd w:id="84"/>
    </w:p>
    <w:p w14:paraId="252C8ED2">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5.1</w:t>
      </w:r>
      <w:r>
        <w:rPr>
          <w:rFonts w:hint="eastAsia" w:ascii="仿宋_GB2312" w:eastAsia="仿宋_GB2312"/>
          <w:color w:val="auto"/>
          <w:sz w:val="24"/>
        </w:rPr>
        <w:tab/>
      </w:r>
      <w:r>
        <w:rPr>
          <w:rFonts w:hint="eastAsia" w:ascii="仿宋_GB2312" w:eastAsia="仿宋_GB2312"/>
          <w:color w:val="auto"/>
          <w:sz w:val="24"/>
        </w:rPr>
        <w:t>谈判文件分为三册共7章，内容如下：</w:t>
      </w:r>
    </w:p>
    <w:p w14:paraId="0BFC1194">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第一册</w:t>
      </w:r>
    </w:p>
    <w:p w14:paraId="7A19261E">
      <w:pPr>
        <w:tabs>
          <w:tab w:val="left" w:pos="0"/>
        </w:tabs>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第1章 供应商须知</w:t>
      </w:r>
    </w:p>
    <w:p w14:paraId="3AFE2B65">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第2章 响应文件格式</w:t>
      </w:r>
    </w:p>
    <w:p w14:paraId="41BBA333">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第二册</w:t>
      </w:r>
    </w:p>
    <w:p w14:paraId="1CEF1F06">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第3章 谈判邀请</w:t>
      </w:r>
    </w:p>
    <w:p w14:paraId="481A8989">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第4章 供应商须知资料表</w:t>
      </w:r>
    </w:p>
    <w:p w14:paraId="7CB7486E">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第5章 货物需求一览表及技术规格商务要求</w:t>
      </w:r>
    </w:p>
    <w:p w14:paraId="19FAFC34">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第6章 评审方法和标准</w:t>
      </w:r>
    </w:p>
    <w:p w14:paraId="2CD2526A">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第三册</w:t>
      </w:r>
    </w:p>
    <w:p w14:paraId="30C03D05">
      <w:pPr>
        <w:snapToGrid w:val="0"/>
        <w:spacing w:line="380" w:lineRule="exact"/>
        <w:ind w:firstLine="960" w:firstLineChars="400"/>
        <w:textAlignment w:val="baseline"/>
        <w:rPr>
          <w:rFonts w:hint="eastAsia" w:ascii="仿宋_GB2312" w:eastAsia="仿宋_GB2312"/>
          <w:color w:val="auto"/>
          <w:sz w:val="24"/>
        </w:rPr>
      </w:pPr>
      <w:r>
        <w:rPr>
          <w:rFonts w:hint="eastAsia" w:ascii="仿宋_GB2312" w:eastAsia="仿宋_GB2312"/>
          <w:color w:val="auto"/>
          <w:sz w:val="24"/>
        </w:rPr>
        <w:t>第7章 政府采购合同格式</w:t>
      </w:r>
    </w:p>
    <w:p w14:paraId="6E59894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5.2</w:t>
      </w:r>
      <w:r>
        <w:rPr>
          <w:rFonts w:hint="eastAsia" w:ascii="仿宋_GB2312" w:eastAsia="仿宋_GB2312"/>
          <w:color w:val="auto"/>
          <w:sz w:val="24"/>
        </w:rPr>
        <w:tab/>
      </w:r>
      <w:r>
        <w:rPr>
          <w:rFonts w:hint="eastAsia" w:ascii="仿宋_GB2312" w:eastAsia="仿宋_GB2312"/>
          <w:color w:val="auto"/>
          <w:sz w:val="24"/>
        </w:rPr>
        <w:t>如本文件的前后内容不一致，以最后描述为准。</w:t>
      </w:r>
    </w:p>
    <w:p w14:paraId="5C9E28C7">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5.3     供应商应认真阅读谈判文件所有的事项、格式、条款和技术规范等。如供应商没有按照谈判文件要求提交全部资料，或者响应文件没有对谈判文件在各方面都做出实质性响应，可能导致其响应将被认定为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1F56967C">
      <w:pPr>
        <w:pStyle w:val="9"/>
        <w:snapToGrid w:val="0"/>
        <w:spacing w:before="0" w:after="0" w:line="380" w:lineRule="exact"/>
        <w:textAlignment w:val="baseline"/>
        <w:rPr>
          <w:rFonts w:hint="eastAsia" w:ascii="仿宋_GB2312" w:eastAsia="仿宋_GB2312"/>
          <w:color w:val="auto"/>
          <w:szCs w:val="24"/>
          <w:u w:val="none"/>
        </w:rPr>
      </w:pPr>
      <w:bookmarkStart w:id="85" w:name="_Toc520356148"/>
      <w:bookmarkStart w:id="86" w:name="_Toc515904805"/>
      <w:bookmarkStart w:id="87" w:name="_Toc21016"/>
      <w:bookmarkStart w:id="88" w:name="_Toc26044"/>
      <w:bookmarkStart w:id="89" w:name="_Toc9232"/>
      <w:bookmarkStart w:id="90" w:name="_Toc5443"/>
      <w:bookmarkStart w:id="91" w:name="_Toc73"/>
      <w:bookmarkStart w:id="92" w:name="_Toc11954"/>
      <w:bookmarkStart w:id="93" w:name="_Toc12118"/>
      <w:bookmarkStart w:id="94" w:name="_Toc24794"/>
      <w:bookmarkStart w:id="95" w:name="_Toc6163"/>
      <w:bookmarkStart w:id="96" w:name="_Toc17695"/>
      <w:bookmarkStart w:id="97" w:name="_Toc19969"/>
      <w:r>
        <w:rPr>
          <w:rFonts w:hint="eastAsia" w:ascii="仿宋_GB2312" w:eastAsia="仿宋_GB2312"/>
          <w:color w:val="auto"/>
          <w:szCs w:val="24"/>
          <w:u w:val="none"/>
        </w:rPr>
        <w:t>6.谈判文件的澄清</w:t>
      </w:r>
      <w:bookmarkEnd w:id="85"/>
      <w:bookmarkEnd w:id="86"/>
      <w:r>
        <w:rPr>
          <w:rFonts w:hint="eastAsia" w:ascii="仿宋_GB2312" w:eastAsia="仿宋_GB2312"/>
          <w:color w:val="auto"/>
          <w:szCs w:val="24"/>
          <w:u w:val="none"/>
        </w:rPr>
        <w:t>与修改</w:t>
      </w:r>
      <w:bookmarkEnd w:id="87"/>
      <w:bookmarkEnd w:id="88"/>
      <w:bookmarkEnd w:id="89"/>
      <w:bookmarkEnd w:id="90"/>
      <w:bookmarkEnd w:id="91"/>
      <w:bookmarkEnd w:id="92"/>
      <w:bookmarkEnd w:id="93"/>
      <w:bookmarkEnd w:id="94"/>
      <w:bookmarkEnd w:id="95"/>
      <w:bookmarkEnd w:id="96"/>
      <w:bookmarkEnd w:id="97"/>
    </w:p>
    <w:p w14:paraId="48104699">
      <w:pPr>
        <w:pStyle w:val="10"/>
        <w:snapToGrid w:val="0"/>
        <w:spacing w:line="380" w:lineRule="exact"/>
        <w:ind w:left="840" w:hanging="840" w:hangingChars="350"/>
        <w:textAlignment w:val="baseline"/>
        <w:rPr>
          <w:rFonts w:hint="eastAsia" w:ascii="仿宋_GB2312" w:eastAsia="仿宋_GB2312"/>
          <w:color w:val="auto"/>
          <w:szCs w:val="24"/>
        </w:rPr>
      </w:pPr>
      <w:r>
        <w:rPr>
          <w:rFonts w:hint="eastAsia" w:ascii="仿宋_GB2312" w:eastAsia="仿宋_GB2312"/>
          <w:color w:val="auto"/>
          <w:szCs w:val="24"/>
        </w:rPr>
        <w:t>6.1    采购人、采购代理机构可以对已发出的谈判文件等进行必要的澄清或者修改。澄清或者修改的内容为谈判文件的组成部分。澄清或者修改应当在原公告发布媒体上发布澄清公告。</w:t>
      </w:r>
    </w:p>
    <w:p w14:paraId="4387D36F">
      <w:pPr>
        <w:pStyle w:val="10"/>
        <w:snapToGrid w:val="0"/>
        <w:spacing w:line="380" w:lineRule="exact"/>
        <w:ind w:left="840" w:hanging="840" w:hangingChars="350"/>
        <w:textAlignment w:val="baseline"/>
        <w:rPr>
          <w:rFonts w:hint="eastAsia" w:ascii="仿宋_GB2312" w:eastAsia="仿宋_GB2312"/>
          <w:color w:val="auto"/>
          <w:szCs w:val="24"/>
        </w:rPr>
      </w:pPr>
      <w:r>
        <w:rPr>
          <w:rFonts w:hint="eastAsia" w:ascii="仿宋_GB2312" w:eastAsia="仿宋_GB2312"/>
          <w:color w:val="auto"/>
          <w:szCs w:val="24"/>
        </w:rPr>
        <w:t>6.2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1FA44A1">
      <w:pPr>
        <w:pStyle w:val="10"/>
        <w:snapToGrid w:val="0"/>
        <w:spacing w:line="380" w:lineRule="exact"/>
        <w:ind w:left="840" w:hanging="840" w:hangingChars="350"/>
        <w:textAlignment w:val="baseline"/>
        <w:rPr>
          <w:rFonts w:hint="eastAsia" w:ascii="仿宋_GB2312" w:eastAsia="仿宋_GB2312"/>
          <w:color w:val="auto"/>
          <w:szCs w:val="24"/>
        </w:rPr>
      </w:pPr>
      <w:bookmarkStart w:id="98" w:name="_Toc520356149"/>
      <w:bookmarkStart w:id="99" w:name="_Toc515904806"/>
      <w:bookmarkStart w:id="100" w:name="_Ref467378678"/>
      <w:r>
        <w:rPr>
          <w:rFonts w:hint="eastAsia" w:ascii="仿宋_GB2312" w:eastAsia="仿宋_GB2312"/>
          <w:color w:val="auto"/>
          <w:szCs w:val="24"/>
        </w:rPr>
        <w:t>6.3</w:t>
      </w:r>
      <w:r>
        <w:rPr>
          <w:rFonts w:hint="eastAsia" w:ascii="仿宋_GB2312" w:eastAsia="仿宋_GB2312"/>
          <w:color w:val="auto"/>
          <w:szCs w:val="24"/>
        </w:rPr>
        <w:tab/>
      </w:r>
      <w:r>
        <w:rPr>
          <w:rFonts w:hint="eastAsia" w:ascii="仿宋_GB2312" w:eastAsia="仿宋_GB2312"/>
          <w:color w:val="auto"/>
          <w:szCs w:val="24"/>
        </w:rPr>
        <w:t>谈判文件中有不一致的，有澄清的部分以最终的澄清更正内容为准；未澄清的，以供应商须知前附表为准；供应商须知前附表不涉及的内容，以编排在后的最后描述为准。</w:t>
      </w:r>
    </w:p>
    <w:p w14:paraId="0999F71F">
      <w:pPr>
        <w:pStyle w:val="10"/>
        <w:snapToGrid w:val="0"/>
        <w:spacing w:line="380" w:lineRule="exact"/>
        <w:ind w:left="840" w:hanging="840" w:hangingChars="350"/>
        <w:textAlignment w:val="baseline"/>
        <w:rPr>
          <w:rFonts w:hint="eastAsia" w:ascii="仿宋_GB2312" w:eastAsia="仿宋_GB2312"/>
          <w:color w:val="auto"/>
          <w:szCs w:val="24"/>
        </w:rPr>
      </w:pPr>
      <w:r>
        <w:rPr>
          <w:rFonts w:hint="eastAsia" w:ascii="仿宋_GB2312" w:eastAsia="仿宋_GB2312"/>
          <w:color w:val="auto"/>
          <w:szCs w:val="24"/>
        </w:rPr>
        <w:t>6.4    供应商应及时关注本项目原公告发布媒体上发布的澄清公告或修改内容并自行下载，采购人、采购代理机构不再另行通知。</w:t>
      </w:r>
    </w:p>
    <w:p w14:paraId="2D8B81BF">
      <w:pPr>
        <w:pStyle w:val="9"/>
        <w:tabs>
          <w:tab w:val="left" w:pos="900"/>
        </w:tabs>
        <w:snapToGrid w:val="0"/>
        <w:spacing w:before="0" w:after="0" w:line="380" w:lineRule="exact"/>
        <w:textAlignment w:val="baseline"/>
        <w:rPr>
          <w:rFonts w:hint="eastAsia" w:ascii="仿宋_GB2312" w:eastAsia="仿宋_GB2312"/>
          <w:color w:val="auto"/>
          <w:szCs w:val="24"/>
          <w:u w:val="none"/>
        </w:rPr>
      </w:pPr>
      <w:bookmarkStart w:id="101" w:name="_Toc16792"/>
      <w:bookmarkStart w:id="102" w:name="_Toc14294"/>
      <w:bookmarkStart w:id="103" w:name="_Toc25635"/>
      <w:bookmarkStart w:id="104" w:name="_Toc12058"/>
      <w:bookmarkStart w:id="105" w:name="_Toc28181"/>
      <w:bookmarkStart w:id="106" w:name="_Toc27039"/>
      <w:bookmarkStart w:id="107" w:name="_Toc18879"/>
      <w:bookmarkStart w:id="108" w:name="_Toc3801"/>
      <w:bookmarkStart w:id="109" w:name="_Toc16843"/>
      <w:bookmarkStart w:id="110" w:name="_Toc5970"/>
      <w:bookmarkStart w:id="111" w:name="_Toc14569"/>
      <w:r>
        <w:rPr>
          <w:rFonts w:hint="eastAsia" w:ascii="仿宋_GB2312" w:eastAsia="仿宋_GB2312"/>
          <w:color w:val="auto"/>
          <w:szCs w:val="24"/>
          <w:u w:val="none"/>
        </w:rPr>
        <w:t>7</w:t>
      </w:r>
      <w:bookmarkEnd w:id="98"/>
      <w:bookmarkEnd w:id="99"/>
      <w:bookmarkEnd w:id="100"/>
      <w:r>
        <w:rPr>
          <w:rFonts w:hint="eastAsia" w:ascii="仿宋_GB2312" w:eastAsia="仿宋_GB2312"/>
          <w:color w:val="auto"/>
          <w:szCs w:val="24"/>
          <w:u w:val="none"/>
        </w:rPr>
        <w:t>.响应文件递交截止时间的顺延</w:t>
      </w:r>
      <w:bookmarkEnd w:id="101"/>
      <w:bookmarkEnd w:id="102"/>
      <w:bookmarkEnd w:id="103"/>
      <w:bookmarkEnd w:id="104"/>
      <w:bookmarkEnd w:id="105"/>
      <w:bookmarkEnd w:id="106"/>
      <w:bookmarkEnd w:id="107"/>
      <w:bookmarkEnd w:id="108"/>
      <w:bookmarkEnd w:id="109"/>
      <w:bookmarkEnd w:id="110"/>
      <w:bookmarkEnd w:id="111"/>
    </w:p>
    <w:p w14:paraId="3B38AB68">
      <w:pPr>
        <w:snapToGrid w:val="0"/>
        <w:spacing w:line="380" w:lineRule="exact"/>
        <w:ind w:left="720" w:hanging="720" w:hangingChars="300"/>
        <w:textAlignment w:val="baseline"/>
        <w:rPr>
          <w:rFonts w:hint="eastAsia" w:ascii="仿宋_GB2312" w:eastAsia="仿宋_GB2312"/>
          <w:color w:val="auto"/>
          <w:kern w:val="0"/>
          <w:sz w:val="24"/>
        </w:rPr>
      </w:pPr>
      <w:r>
        <w:rPr>
          <w:rFonts w:hint="eastAsia" w:ascii="仿宋_GB2312" w:eastAsia="仿宋_GB2312"/>
          <w:color w:val="auto"/>
          <w:kern w:val="0"/>
          <w:sz w:val="24"/>
        </w:rPr>
        <w:t>7.1   为使供应商有足够的时间对谈判文件的澄清或者修改部分进行研究而准备或因其他原因，采购人将依法决定是否顺延响应截止时间。顺延变更公告应当在原公告发布媒体上发布。</w:t>
      </w:r>
    </w:p>
    <w:p w14:paraId="5D072CC0">
      <w:pPr>
        <w:snapToGrid w:val="0"/>
        <w:spacing w:line="380" w:lineRule="exact"/>
        <w:ind w:left="720" w:hanging="720" w:hangingChars="300"/>
        <w:textAlignment w:val="baseline"/>
        <w:rPr>
          <w:rFonts w:hint="eastAsia" w:ascii="仿宋_GB2312" w:eastAsia="仿宋_GB2312"/>
          <w:color w:val="auto"/>
          <w:kern w:val="0"/>
          <w:sz w:val="24"/>
        </w:rPr>
      </w:pPr>
      <w:r>
        <w:rPr>
          <w:rFonts w:hint="eastAsia" w:ascii="仿宋_GB2312" w:eastAsia="仿宋_GB2312"/>
          <w:color w:val="auto"/>
          <w:kern w:val="0"/>
          <w:sz w:val="24"/>
        </w:rPr>
        <w:t>7.2   供应商应及时关注本项目原公告发布媒体上发布的变更公告，采购人、采购代理机构不再另行通知。</w:t>
      </w:r>
    </w:p>
    <w:p w14:paraId="1C3B88D9">
      <w:pPr>
        <w:snapToGrid w:val="0"/>
        <w:spacing w:line="380" w:lineRule="exact"/>
        <w:ind w:left="720" w:hanging="720" w:hangingChars="300"/>
        <w:textAlignment w:val="baseline"/>
        <w:rPr>
          <w:rFonts w:hint="eastAsia" w:ascii="仿宋_GB2312" w:eastAsia="仿宋_GB2312"/>
          <w:color w:val="auto"/>
          <w:kern w:val="0"/>
          <w:sz w:val="24"/>
        </w:rPr>
      </w:pPr>
      <w:r>
        <w:rPr>
          <w:rFonts w:hint="eastAsia" w:ascii="仿宋_GB2312" w:eastAsia="仿宋_GB2312"/>
          <w:color w:val="auto"/>
          <w:kern w:val="0"/>
          <w:sz w:val="24"/>
        </w:rPr>
        <w:t>7.3   供应商应认真阅读谈判文件所有的事项、格式、条款和技术规范等。如供应商没有按照谈判文件要求提交全部资料，或者响应文件没有对谈判文件的实质性要求做出响应，其响应将被认定为响应无效。</w:t>
      </w:r>
    </w:p>
    <w:p w14:paraId="2C3D3DC5">
      <w:pPr>
        <w:snapToGrid w:val="0"/>
        <w:spacing w:line="380" w:lineRule="exact"/>
        <w:ind w:left="720" w:hanging="720" w:hangingChars="300"/>
        <w:textAlignment w:val="baseline"/>
        <w:rPr>
          <w:rFonts w:ascii="仿宋_GB2312" w:eastAsia="仿宋_GB2312"/>
          <w:color w:val="auto"/>
          <w:sz w:val="24"/>
        </w:rPr>
      </w:pPr>
      <w:r>
        <w:rPr>
          <w:rFonts w:hint="eastAsia" w:ascii="仿宋_GB2312" w:eastAsia="仿宋_GB2312"/>
          <w:color w:val="auto"/>
          <w:kern w:val="0"/>
          <w:sz w:val="24"/>
        </w:rPr>
        <w:t>7.4   原则上采购人、采购代理机构不要求投标供应商提供样品。除仅凭书面方式不能准确描述采购需求，或者需要对样品进行主观判断以确认是否满足采购需求等特殊情况除外。如需提供样品，对样品相关要求见供应商须知前附表。</w:t>
      </w:r>
    </w:p>
    <w:p w14:paraId="50A35A7A">
      <w:pPr>
        <w:pStyle w:val="8"/>
        <w:snapToGrid w:val="0"/>
        <w:spacing w:before="0" w:line="240" w:lineRule="atLeast"/>
        <w:ind w:left="1079" w:leftChars="257" w:hanging="540"/>
        <w:textAlignment w:val="baseline"/>
        <w:rPr>
          <w:rFonts w:hint="eastAsia" w:ascii="仿宋_GB2312" w:hAnsi="Times New Roman" w:eastAsia="仿宋_GB2312"/>
          <w:color w:val="auto"/>
          <w:sz w:val="28"/>
          <w:szCs w:val="28"/>
        </w:rPr>
      </w:pPr>
      <w:bookmarkStart w:id="112" w:name="_Toc516367020"/>
      <w:bookmarkStart w:id="113" w:name="_Toc216582807"/>
      <w:bookmarkStart w:id="114" w:name="_Toc30808"/>
      <w:bookmarkStart w:id="115" w:name="_Toc19049"/>
      <w:bookmarkStart w:id="116" w:name="_Toc18070"/>
      <w:bookmarkStart w:id="117" w:name="_Toc16906"/>
      <w:bookmarkStart w:id="118" w:name="_Toc515647766"/>
      <w:bookmarkStart w:id="119" w:name="_Toc7636"/>
      <w:bookmarkStart w:id="120" w:name="_Toc520356150"/>
      <w:r>
        <w:rPr>
          <w:rFonts w:hint="eastAsia" w:ascii="仿宋_GB2312" w:hAnsi="Times New Roman" w:eastAsia="仿宋_GB2312"/>
          <w:color w:val="auto"/>
          <w:sz w:val="28"/>
          <w:szCs w:val="28"/>
        </w:rPr>
        <w:t xml:space="preserve">三   </w:t>
      </w:r>
      <w:bookmarkEnd w:id="112"/>
      <w:r>
        <w:rPr>
          <w:rFonts w:hint="eastAsia" w:ascii="仿宋_GB2312" w:hAnsi="Times New Roman" w:eastAsia="仿宋_GB2312"/>
          <w:color w:val="auto"/>
          <w:sz w:val="28"/>
          <w:szCs w:val="28"/>
        </w:rPr>
        <w:t>响应文件的编制</w:t>
      </w:r>
      <w:bookmarkEnd w:id="113"/>
      <w:bookmarkEnd w:id="114"/>
      <w:bookmarkEnd w:id="115"/>
      <w:bookmarkEnd w:id="116"/>
      <w:bookmarkEnd w:id="117"/>
      <w:bookmarkEnd w:id="118"/>
      <w:bookmarkEnd w:id="119"/>
      <w:bookmarkEnd w:id="120"/>
    </w:p>
    <w:p w14:paraId="295FDADD">
      <w:pPr>
        <w:pStyle w:val="10"/>
        <w:snapToGrid w:val="0"/>
        <w:spacing w:line="380" w:lineRule="exact"/>
        <w:textAlignment w:val="baseline"/>
        <w:rPr>
          <w:rFonts w:hint="eastAsia" w:ascii="仿宋_GB2312" w:eastAsia="仿宋_GB2312"/>
          <w:color w:val="auto"/>
          <w:szCs w:val="24"/>
        </w:rPr>
      </w:pPr>
    </w:p>
    <w:p w14:paraId="5C0F42B3">
      <w:pPr>
        <w:pStyle w:val="9"/>
        <w:tabs>
          <w:tab w:val="left" w:pos="900"/>
        </w:tabs>
        <w:snapToGrid w:val="0"/>
        <w:spacing w:before="0" w:after="0" w:line="380" w:lineRule="exact"/>
        <w:textAlignment w:val="baseline"/>
        <w:rPr>
          <w:rFonts w:hint="eastAsia" w:ascii="仿宋_GB2312" w:eastAsia="仿宋_GB2312"/>
          <w:color w:val="auto"/>
          <w:szCs w:val="24"/>
          <w:u w:val="none"/>
        </w:rPr>
      </w:pPr>
      <w:bookmarkStart w:id="121" w:name="_Toc7786"/>
      <w:bookmarkStart w:id="122" w:name="_Toc19644"/>
      <w:bookmarkStart w:id="123" w:name="_Toc515647767"/>
      <w:bookmarkStart w:id="124" w:name="_Toc3553"/>
      <w:bookmarkStart w:id="125" w:name="_Toc20168"/>
      <w:bookmarkStart w:id="126" w:name="_Toc4525"/>
      <w:bookmarkStart w:id="127" w:name="_Toc8762"/>
      <w:bookmarkStart w:id="128" w:name="_Toc21065"/>
      <w:bookmarkStart w:id="129" w:name="_Toc520356151"/>
      <w:bookmarkStart w:id="130" w:name="_Toc516367021"/>
      <w:bookmarkStart w:id="131" w:name="_Toc31904"/>
      <w:bookmarkStart w:id="132" w:name="_Toc21848"/>
      <w:bookmarkStart w:id="133" w:name="_Toc14330"/>
      <w:bookmarkStart w:id="134" w:name="_Toc19003"/>
      <w:bookmarkStart w:id="135" w:name="_Toc15451"/>
      <w:r>
        <w:rPr>
          <w:rFonts w:hint="eastAsia" w:ascii="仿宋_GB2312" w:eastAsia="仿宋_GB2312"/>
          <w:color w:val="auto"/>
          <w:szCs w:val="24"/>
          <w:u w:val="none"/>
        </w:rPr>
        <w:t>8.响应范围及文字、计量单位</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仿宋_GB2312" w:eastAsia="仿宋_GB2312"/>
          <w:color w:val="auto"/>
          <w:szCs w:val="24"/>
          <w:u w:val="none"/>
        </w:rPr>
        <w:t>要求</w:t>
      </w:r>
      <w:bookmarkEnd w:id="135"/>
    </w:p>
    <w:p w14:paraId="4E848C5D">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8.1</w:t>
      </w:r>
      <w:r>
        <w:rPr>
          <w:rFonts w:hint="eastAsia" w:ascii="仿宋_GB2312" w:eastAsia="仿宋_GB2312"/>
          <w:color w:val="auto"/>
          <w:sz w:val="24"/>
        </w:rPr>
        <w:tab/>
      </w:r>
      <w:r>
        <w:rPr>
          <w:rFonts w:hint="eastAsia" w:ascii="仿宋_GB2312" w:eastAsia="仿宋_GB2312"/>
          <w:color w:val="auto"/>
          <w:sz w:val="24"/>
        </w:rPr>
        <w:t>项目有分包的，供应商可对谈判文件其中某一个或几个分包货物进行谈判，除非在</w:t>
      </w:r>
      <w:r>
        <w:rPr>
          <w:rFonts w:hint="eastAsia" w:ascii="仿宋_GB2312" w:eastAsia="仿宋_GB2312"/>
          <w:color w:val="auto"/>
          <w:sz w:val="24"/>
          <w:u w:val="single" w:color="000000"/>
        </w:rPr>
        <w:t>供应商须知资料表</w:t>
      </w:r>
      <w:r>
        <w:rPr>
          <w:rFonts w:hint="eastAsia" w:ascii="仿宋_GB2312" w:eastAsia="仿宋_GB2312"/>
          <w:color w:val="auto"/>
          <w:sz w:val="24"/>
        </w:rPr>
        <w:t>中另有规定。</w:t>
      </w:r>
    </w:p>
    <w:p w14:paraId="420BAB96">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8.2     供应商应当对所投分包谈判文件中“货物需求”所列的所有内容进行响应，如仅响应某一包中的部分内容，其该包响应将被认定为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62AA201A">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8.3     无论谈判文件第5章货物需求一览表及技术规格中是否要求，供应商所投货物均应符合国家强制性标准。</w:t>
      </w:r>
    </w:p>
    <w:p w14:paraId="5D7B38E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8.4     响应文件应使用规范汉字书写(专有名词须加注中文解释)，并采用通用的图形符号，不得出现与常规书写格式不符的内容。</w:t>
      </w:r>
    </w:p>
    <w:p w14:paraId="4A0E00C3">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8.5     除谈判文件中有特殊要求外，响应文件中所使用的计量单位，应采用中华人民共和国法定计量单位。</w:t>
      </w:r>
    </w:p>
    <w:p w14:paraId="6FA78C97">
      <w:pPr>
        <w:pStyle w:val="9"/>
        <w:tabs>
          <w:tab w:val="left" w:pos="900"/>
        </w:tabs>
        <w:snapToGrid w:val="0"/>
        <w:spacing w:before="0" w:after="0" w:line="380" w:lineRule="exact"/>
        <w:textAlignment w:val="baseline"/>
        <w:rPr>
          <w:rFonts w:hint="eastAsia" w:ascii="仿宋_GB2312" w:eastAsia="仿宋_GB2312"/>
          <w:color w:val="auto"/>
          <w:szCs w:val="24"/>
          <w:u w:val="none"/>
        </w:rPr>
      </w:pPr>
      <w:bookmarkStart w:id="136" w:name="_Toc516367022"/>
      <w:bookmarkStart w:id="137" w:name="_Ref467306676"/>
      <w:bookmarkStart w:id="138" w:name="_Ref467306195"/>
      <w:bookmarkStart w:id="139" w:name="_Toc13837"/>
      <w:bookmarkStart w:id="140" w:name="_Toc26502"/>
      <w:bookmarkStart w:id="141" w:name="_Toc2709"/>
      <w:bookmarkStart w:id="142" w:name="_Toc3006"/>
      <w:bookmarkStart w:id="143" w:name="_Toc2582"/>
      <w:bookmarkStart w:id="144" w:name="_Toc28307"/>
      <w:bookmarkStart w:id="145" w:name="_Toc520356152"/>
      <w:bookmarkStart w:id="146" w:name="_Toc10364"/>
      <w:bookmarkStart w:id="147" w:name="_Toc19012"/>
      <w:bookmarkStart w:id="148" w:name="_Toc19752"/>
      <w:bookmarkStart w:id="149" w:name="_Toc14931"/>
      <w:bookmarkStart w:id="150" w:name="_Toc8989"/>
      <w:bookmarkStart w:id="151" w:name="_Toc28670"/>
      <w:bookmarkStart w:id="152" w:name="_Toc515647768"/>
      <w:r>
        <w:rPr>
          <w:rFonts w:hint="eastAsia" w:ascii="仿宋_GB2312" w:eastAsia="仿宋_GB2312"/>
          <w:color w:val="auto"/>
          <w:szCs w:val="24"/>
          <w:u w:val="none"/>
        </w:rPr>
        <w:t>9.</w:t>
      </w:r>
      <w:bookmarkEnd w:id="136"/>
      <w:bookmarkEnd w:id="137"/>
      <w:bookmarkEnd w:id="138"/>
      <w:r>
        <w:rPr>
          <w:rFonts w:hint="eastAsia" w:ascii="仿宋_GB2312" w:eastAsia="仿宋_GB2312"/>
          <w:color w:val="auto"/>
          <w:szCs w:val="24"/>
          <w:u w:val="none"/>
        </w:rPr>
        <w:t>响应文件构成</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B2141B1">
      <w:pPr>
        <w:tabs>
          <w:tab w:val="left" w:pos="900"/>
          <w:tab w:val="left" w:pos="5580"/>
        </w:tabs>
        <w:snapToGrid w:val="0"/>
        <w:spacing w:line="380" w:lineRule="exact"/>
        <w:ind w:left="960" w:hanging="960" w:hangingChars="400"/>
        <w:jc w:val="left"/>
        <w:textAlignment w:val="baseline"/>
        <w:rPr>
          <w:rFonts w:hint="eastAsia" w:ascii="仿宋_GB2312" w:eastAsia="仿宋_GB2312"/>
          <w:color w:val="auto"/>
          <w:sz w:val="24"/>
          <w:u w:val="single" w:color="000000"/>
        </w:rPr>
      </w:pPr>
      <w:bookmarkStart w:id="153" w:name="_Ref467052588"/>
      <w:r>
        <w:rPr>
          <w:rFonts w:hint="eastAsia" w:ascii="仿宋_GB2312" w:eastAsia="仿宋_GB2312"/>
          <w:color w:val="auto"/>
          <w:sz w:val="24"/>
        </w:rPr>
        <w:t xml:space="preserve">9.1     </w:t>
      </w:r>
      <w:r>
        <w:rPr>
          <w:rFonts w:hint="eastAsia" w:ascii="仿宋_GB2312" w:eastAsia="仿宋_GB2312"/>
          <w:color w:val="auto"/>
          <w:sz w:val="24"/>
          <w:u w:val="single" w:color="000000"/>
        </w:rPr>
        <w:t>投标人应完整地按谈判文件提供的响应文件格式及要求编写响应文件，响应文件应包括“开标一览表及资格证明文件”和“商务及技术文件”两部分，</w:t>
      </w:r>
      <w:r>
        <w:rPr>
          <w:rFonts w:hint="eastAsia" w:ascii="仿宋_GB2312" w:eastAsia="仿宋_GB2312"/>
          <w:color w:val="auto"/>
          <w:spacing w:val="9"/>
          <w:sz w:val="24"/>
          <w:u w:val="single"/>
        </w:rPr>
        <w:t>投</w:t>
      </w:r>
      <w:r>
        <w:rPr>
          <w:rFonts w:hint="eastAsia" w:ascii="仿宋_GB2312" w:eastAsia="仿宋_GB2312"/>
          <w:color w:val="auto"/>
          <w:spacing w:val="20"/>
          <w:sz w:val="24"/>
          <w:u w:val="single"/>
        </w:rPr>
        <w:t>标</w:t>
      </w:r>
      <w:r>
        <w:rPr>
          <w:rFonts w:hint="eastAsia" w:ascii="仿宋_GB2312" w:eastAsia="仿宋_GB2312"/>
          <w:color w:val="auto"/>
          <w:spacing w:val="13"/>
          <w:sz w:val="24"/>
          <w:u w:val="single"/>
        </w:rPr>
        <w:t>人</w:t>
      </w:r>
      <w:r>
        <w:rPr>
          <w:rFonts w:hint="eastAsia" w:ascii="仿宋_GB2312" w:eastAsia="仿宋_GB2312"/>
          <w:color w:val="auto"/>
          <w:spacing w:val="10"/>
          <w:sz w:val="24"/>
          <w:u w:val="single"/>
        </w:rPr>
        <w:t>须在投标截止时间前在系统上递交电子投标文件。投标人的电子投标</w:t>
      </w:r>
      <w:r>
        <w:rPr>
          <w:rFonts w:hint="eastAsia" w:ascii="仿宋_GB2312" w:eastAsia="仿宋_GB2312"/>
          <w:color w:val="auto"/>
          <w:spacing w:val="7"/>
          <w:sz w:val="24"/>
          <w:u w:val="single"/>
        </w:rPr>
        <w:t>文件是经过</w:t>
      </w:r>
      <w:r>
        <w:rPr>
          <w:rFonts w:hint="eastAsia" w:ascii="仿宋_GB2312" w:eastAsia="仿宋_GB2312"/>
          <w:color w:val="auto"/>
          <w:sz w:val="24"/>
          <w:u w:val="single"/>
        </w:rPr>
        <w:t>CA</w:t>
      </w:r>
      <w:r>
        <w:rPr>
          <w:rFonts w:hint="eastAsia" w:ascii="仿宋_GB2312" w:eastAsia="仿宋_GB2312"/>
          <w:color w:val="auto"/>
          <w:spacing w:val="7"/>
          <w:sz w:val="24"/>
          <w:u w:val="single"/>
        </w:rPr>
        <w:t xml:space="preserve"> 证书加密后上传提交的，任何单位或个人均无法在投标截止</w:t>
      </w:r>
      <w:r>
        <w:rPr>
          <w:rFonts w:hint="eastAsia" w:ascii="仿宋_GB2312" w:eastAsia="仿宋_GB2312"/>
          <w:color w:val="auto"/>
          <w:spacing w:val="2"/>
          <w:sz w:val="24"/>
          <w:u w:val="single"/>
        </w:rPr>
        <w:t>时</w:t>
      </w:r>
      <w:r>
        <w:rPr>
          <w:rFonts w:hint="eastAsia" w:ascii="仿宋_GB2312" w:eastAsia="仿宋_GB2312"/>
          <w:color w:val="auto"/>
          <w:spacing w:val="4"/>
          <w:sz w:val="24"/>
          <w:u w:val="single"/>
        </w:rPr>
        <w:t>间 (即开标时间)之前查</w:t>
      </w:r>
      <w:r>
        <w:rPr>
          <w:rFonts w:hint="eastAsia" w:ascii="仿宋_GB2312" w:eastAsia="仿宋_GB2312"/>
          <w:color w:val="auto"/>
          <w:spacing w:val="2"/>
          <w:sz w:val="24"/>
          <w:u w:val="single"/>
        </w:rPr>
        <w:t>看或篡改，不存在泄密风险。</w:t>
      </w:r>
    </w:p>
    <w:p w14:paraId="2055A3A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9.2    上述文件应按照谈判文件规定的格式填写、签署和盖章。</w:t>
      </w:r>
      <w:bookmarkEnd w:id="153"/>
      <w:r>
        <w:rPr>
          <w:rFonts w:hint="eastAsia" w:ascii="仿宋_GB2312" w:eastAsia="仿宋_GB2312"/>
          <w:color w:val="auto"/>
          <w:sz w:val="24"/>
        </w:rPr>
        <w:t>若投标人未依照要求制作响应文件的，则视为不响应谈判文件编制响应文件的要求，为</w:t>
      </w:r>
      <w:r>
        <w:rPr>
          <w:rFonts w:hint="eastAsia" w:ascii="仿宋_GB2312" w:eastAsia="仿宋_GB2312"/>
          <w:b/>
          <w:bCs/>
          <w:color w:val="auto"/>
          <w:sz w:val="24"/>
        </w:rPr>
        <w:t>响应无效</w:t>
      </w:r>
      <w:r>
        <w:rPr>
          <w:rFonts w:hint="eastAsia" w:ascii="仿宋_GB2312" w:eastAsia="仿宋_GB2312"/>
          <w:color w:val="auto"/>
          <w:sz w:val="24"/>
        </w:rPr>
        <w:t>。</w:t>
      </w:r>
    </w:p>
    <w:p w14:paraId="191147F5">
      <w:pPr>
        <w:pStyle w:val="9"/>
        <w:tabs>
          <w:tab w:val="left" w:pos="900"/>
        </w:tabs>
        <w:snapToGrid w:val="0"/>
        <w:spacing w:before="0" w:after="0" w:line="380" w:lineRule="exact"/>
        <w:textAlignment w:val="baseline"/>
        <w:rPr>
          <w:rFonts w:hint="eastAsia" w:ascii="仿宋_GB2312" w:eastAsia="仿宋_GB2312"/>
          <w:color w:val="auto"/>
          <w:szCs w:val="24"/>
          <w:u w:val="none"/>
        </w:rPr>
      </w:pPr>
      <w:bookmarkStart w:id="154" w:name="_Toc25631"/>
      <w:bookmarkStart w:id="155" w:name="_Toc5860"/>
      <w:bookmarkStart w:id="156" w:name="_Toc15064"/>
      <w:bookmarkStart w:id="157" w:name="_Toc6860"/>
      <w:bookmarkStart w:id="158" w:name="_Toc870"/>
      <w:bookmarkStart w:id="159" w:name="_Toc520356153"/>
      <w:bookmarkStart w:id="160" w:name="_Toc8626"/>
      <w:bookmarkStart w:id="161" w:name="_Toc516367023"/>
      <w:bookmarkStart w:id="162" w:name="_Toc32014"/>
      <w:bookmarkStart w:id="163" w:name="_Toc28330"/>
      <w:bookmarkStart w:id="164" w:name="_Toc4601"/>
      <w:bookmarkStart w:id="165" w:name="_Toc4291"/>
      <w:bookmarkStart w:id="166" w:name="_Toc515647769"/>
      <w:bookmarkStart w:id="167" w:name="_Toc10379"/>
      <w:bookmarkStart w:id="168" w:name="_Toc21310"/>
      <w:r>
        <w:rPr>
          <w:rFonts w:hint="eastAsia" w:ascii="仿宋_GB2312" w:eastAsia="仿宋_GB2312"/>
          <w:color w:val="auto"/>
          <w:szCs w:val="24"/>
          <w:u w:val="none"/>
        </w:rPr>
        <w:t>10.</w:t>
      </w:r>
      <w:r>
        <w:rPr>
          <w:rFonts w:hint="eastAsia" w:ascii="仿宋_GB2312" w:eastAsia="仿宋_GB2312"/>
          <w:color w:val="auto"/>
          <w:szCs w:val="24"/>
          <w:u w:val="none"/>
        </w:rPr>
        <w:tab/>
      </w:r>
      <w:r>
        <w:rPr>
          <w:rFonts w:hint="eastAsia" w:ascii="仿宋_GB2312" w:eastAsia="仿宋_GB2312"/>
          <w:color w:val="auto"/>
          <w:szCs w:val="24"/>
          <w:u w:val="none"/>
        </w:rPr>
        <w:t>证明响应标的的合格性和符合谈判文件规定的技术文件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466BA76">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10.1</w:t>
      </w:r>
      <w:r>
        <w:rPr>
          <w:rFonts w:hint="eastAsia" w:ascii="仿宋_GB2312" w:eastAsia="仿宋_GB2312"/>
          <w:color w:val="auto"/>
          <w:sz w:val="24"/>
        </w:rPr>
        <w:tab/>
      </w:r>
      <w:r>
        <w:rPr>
          <w:rFonts w:hint="eastAsia" w:ascii="仿宋_GB2312" w:eastAsia="仿宋_GB2312"/>
          <w:color w:val="auto"/>
          <w:sz w:val="24"/>
        </w:rPr>
        <w:t>供应商应提交证明文件，证明其响应标的符合谈判文件规定。该证明文件是响应文件的技术文件。</w:t>
      </w:r>
    </w:p>
    <w:p w14:paraId="2B28789D">
      <w:pPr>
        <w:snapToGrid w:val="0"/>
        <w:spacing w:line="380" w:lineRule="exact"/>
        <w:ind w:left="900" w:hanging="900" w:hangingChars="375"/>
        <w:textAlignment w:val="baseline"/>
        <w:rPr>
          <w:rFonts w:hint="eastAsia" w:ascii="仿宋_GB2312" w:eastAsia="仿宋_GB2312"/>
          <w:color w:val="auto"/>
          <w:sz w:val="24"/>
        </w:rPr>
      </w:pPr>
      <w:bookmarkStart w:id="169" w:name="_Ref467306244"/>
      <w:r>
        <w:rPr>
          <w:rFonts w:hint="eastAsia" w:ascii="仿宋_GB2312" w:eastAsia="仿宋_GB2312"/>
          <w:color w:val="auto"/>
          <w:sz w:val="24"/>
        </w:rPr>
        <w:t>10.2</w:t>
      </w:r>
      <w:r>
        <w:rPr>
          <w:rFonts w:hint="eastAsia" w:ascii="仿宋_GB2312" w:eastAsia="仿宋_GB2312"/>
          <w:color w:val="auto"/>
          <w:sz w:val="24"/>
        </w:rPr>
        <w:tab/>
      </w:r>
      <w:r>
        <w:rPr>
          <w:rFonts w:hint="eastAsia" w:ascii="仿宋_GB2312" w:eastAsia="仿宋_GB2312"/>
          <w:color w:val="auto"/>
          <w:sz w:val="24"/>
        </w:rPr>
        <w:t>上款所述的证明文件，可以是文字资料、图纸和数据，</w:t>
      </w:r>
      <w:bookmarkEnd w:id="169"/>
      <w:r>
        <w:rPr>
          <w:rFonts w:hint="eastAsia" w:ascii="仿宋_GB2312" w:eastAsia="仿宋_GB2312"/>
          <w:color w:val="auto"/>
          <w:sz w:val="24"/>
        </w:rPr>
        <w:t>它包括：</w:t>
      </w:r>
    </w:p>
    <w:p w14:paraId="462D9096">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10.2.1</w:t>
      </w:r>
      <w:r>
        <w:rPr>
          <w:rFonts w:hint="eastAsia" w:ascii="仿宋_GB2312" w:eastAsia="仿宋_GB2312"/>
          <w:color w:val="auto"/>
          <w:sz w:val="24"/>
        </w:rPr>
        <w:tab/>
      </w:r>
      <w:r>
        <w:rPr>
          <w:rFonts w:hint="eastAsia" w:ascii="仿宋_GB2312" w:eastAsia="仿宋_GB2312"/>
          <w:color w:val="auto"/>
          <w:sz w:val="24"/>
        </w:rPr>
        <w:t>货物主要技术指标和性能的详细说明及实现的功能或者目标；</w:t>
      </w:r>
    </w:p>
    <w:p w14:paraId="7553883D">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10.2.2</w:t>
      </w:r>
      <w:r>
        <w:rPr>
          <w:rFonts w:hint="eastAsia" w:ascii="仿宋_GB2312" w:eastAsia="仿宋_GB2312"/>
          <w:color w:val="auto"/>
          <w:sz w:val="24"/>
        </w:rPr>
        <w:tab/>
      </w:r>
      <w:r>
        <w:rPr>
          <w:rFonts w:hint="eastAsia" w:ascii="仿宋_GB2312" w:eastAsia="仿宋_GB2312"/>
          <w:color w:val="auto"/>
          <w:sz w:val="24"/>
        </w:rPr>
        <w:t>货物从买方开始使用至谈判文件规定的保质期内正常、连续地使用所必须的备品备件和专用工具清单，包括备品备件和专用工具的货源及现行价格；</w:t>
      </w:r>
    </w:p>
    <w:p w14:paraId="44E7748E">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10.2.3  对照谈判文件技术规格，逐条说明所提供货物及伴随的工程和服务已对谈判文件的技术规格做出了实质性的响应，或申明与技术规格条文的偏差和例外。</w:t>
      </w:r>
    </w:p>
    <w:p w14:paraId="1D9811C2">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10.3</w:t>
      </w:r>
      <w:r>
        <w:rPr>
          <w:rFonts w:hint="eastAsia" w:ascii="仿宋_GB2312" w:eastAsia="仿宋_GB2312"/>
          <w:color w:val="auto"/>
          <w:sz w:val="24"/>
        </w:rPr>
        <w:tab/>
      </w:r>
      <w:r>
        <w:rPr>
          <w:rFonts w:hint="eastAsia" w:ascii="仿宋_GB2312" w:eastAsia="仿宋_GB2312"/>
          <w:color w:val="auto"/>
          <w:sz w:val="24"/>
        </w:rPr>
        <w:t>供应商应注意采购人在技术规格中指出的工艺、材料和设备的参照品牌型号或分类号仅起说明作用，并没有任何限制性。供应商在谈判中可以选用替代牌号或分类号，但这些替代要实质上相当于技术规格的要求。采购人、采购代理机构承诺不以上述参照品牌型号或分类号作为评标时判定其谈判是否有效的标准。任何品牌的供应商均可依法参加本项目的采购活动。</w:t>
      </w:r>
    </w:p>
    <w:p w14:paraId="35620A21">
      <w:pPr>
        <w:pStyle w:val="10"/>
        <w:ind w:firstLine="0"/>
        <w:rPr>
          <w:rFonts w:hint="eastAsia" w:ascii="仿宋_GB2312" w:eastAsia="仿宋_GB2312"/>
          <w:color w:val="auto"/>
          <w:kern w:val="2"/>
          <w:szCs w:val="24"/>
        </w:rPr>
      </w:pPr>
      <w:r>
        <w:rPr>
          <w:rFonts w:hint="eastAsia" w:ascii="仿宋_GB2312" w:eastAsia="仿宋_GB2312"/>
          <w:color w:val="auto"/>
          <w:kern w:val="2"/>
          <w:szCs w:val="24"/>
        </w:rPr>
        <w:t>10.4   本条所指证明文件不包括对谈判文件相关部分的文字、图标的复制。</w:t>
      </w:r>
    </w:p>
    <w:p w14:paraId="27519257">
      <w:pPr>
        <w:pStyle w:val="9"/>
        <w:snapToGrid w:val="0"/>
        <w:spacing w:before="0" w:after="0" w:line="380" w:lineRule="exact"/>
        <w:textAlignment w:val="baseline"/>
        <w:rPr>
          <w:rFonts w:hint="eastAsia" w:ascii="仿宋_GB2312" w:eastAsia="仿宋_GB2312"/>
          <w:color w:val="auto"/>
          <w:szCs w:val="24"/>
          <w:u w:val="none"/>
        </w:rPr>
      </w:pPr>
      <w:bookmarkStart w:id="170" w:name="_Toc6864"/>
      <w:bookmarkStart w:id="171" w:name="_Toc15870"/>
      <w:bookmarkStart w:id="172" w:name="_Toc16854"/>
      <w:bookmarkStart w:id="173" w:name="_Toc5859"/>
      <w:bookmarkStart w:id="174" w:name="_Toc9025"/>
      <w:bookmarkStart w:id="175" w:name="_Toc5239"/>
      <w:bookmarkStart w:id="176" w:name="_Toc7506"/>
      <w:bookmarkStart w:id="177" w:name="_Toc2248"/>
      <w:bookmarkStart w:id="178" w:name="_Toc18021"/>
      <w:bookmarkStart w:id="179" w:name="_Toc515647770"/>
      <w:bookmarkStart w:id="180" w:name="_Toc27117"/>
      <w:bookmarkStart w:id="181" w:name="_Toc520356155"/>
      <w:bookmarkStart w:id="182" w:name="_Toc23231"/>
      <w:bookmarkStart w:id="183" w:name="_Toc7688"/>
      <w:r>
        <w:rPr>
          <w:rFonts w:hint="eastAsia" w:ascii="仿宋_GB2312" w:eastAsia="仿宋_GB2312"/>
          <w:color w:val="auto"/>
          <w:szCs w:val="24"/>
          <w:u w:val="none"/>
        </w:rPr>
        <w:t>11.投标报价</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3E80A33">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11.1</w:t>
      </w:r>
      <w:r>
        <w:rPr>
          <w:rFonts w:hint="eastAsia" w:ascii="仿宋_GB2312" w:eastAsia="仿宋_GB2312"/>
          <w:color w:val="auto"/>
          <w:sz w:val="24"/>
        </w:rPr>
        <w:tab/>
      </w:r>
      <w:r>
        <w:rPr>
          <w:rFonts w:hint="eastAsia" w:ascii="仿宋_GB2312" w:eastAsia="仿宋_GB2312"/>
          <w:color w:val="auto"/>
          <w:sz w:val="24"/>
        </w:rPr>
        <w:t>供应商的报价应当包括满足本次谈判全部采购需求所应提供的货物，以及伴随的服务和工程，所有响应均以人民币报价。</w:t>
      </w:r>
    </w:p>
    <w:p w14:paraId="7AD9B8EF">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11.2</w:t>
      </w:r>
      <w:r>
        <w:rPr>
          <w:rFonts w:hint="eastAsia" w:ascii="仿宋_GB2312" w:eastAsia="仿宋_GB2312"/>
          <w:color w:val="auto"/>
          <w:sz w:val="24"/>
        </w:rPr>
        <w:tab/>
      </w:r>
      <w:r>
        <w:rPr>
          <w:rFonts w:hint="eastAsia" w:ascii="仿宋_GB2312" w:eastAsia="仿宋_GB2312"/>
          <w:color w:val="auto"/>
          <w:sz w:val="24"/>
        </w:rPr>
        <w:t>供应商应在分项报价表上标明响应货物及相关服务的单价（如适用）和总价，并由法定代表人或其授权代表签署。</w:t>
      </w:r>
    </w:p>
    <w:p w14:paraId="0D3C527B">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11.3</w:t>
      </w:r>
      <w:r>
        <w:rPr>
          <w:rFonts w:hint="eastAsia" w:ascii="仿宋_GB2312" w:eastAsia="仿宋_GB2312"/>
          <w:color w:val="auto"/>
          <w:sz w:val="24"/>
        </w:rPr>
        <w:tab/>
      </w:r>
      <w:r>
        <w:rPr>
          <w:rFonts w:hint="eastAsia" w:ascii="仿宋_GB2312" w:eastAsia="仿宋_GB2312"/>
          <w:color w:val="auto"/>
          <w:sz w:val="24"/>
        </w:rPr>
        <w:t>分项报价表上的价格应按下列方式填写：应包括：响应货物（包括备品备件、专用工具等）的价格（包括已在中国国内的进口货物完税后的仓库交货价、展室交货价或货架交货价），投标货物运输（含保险）、安装（如有）、调试、检验、技术服务、培训和招标文件要求提供的所有伴随服务、工程等费用；</w:t>
      </w:r>
    </w:p>
    <w:p w14:paraId="2569A11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11.3.1  谈判服务费用。</w:t>
      </w:r>
    </w:p>
    <w:p w14:paraId="6F6B1B18">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11.3.2  供应商所报的各分项谈判单价在合同履行过程中是固定不变的，不得以任何理由予以变更。任何包含价格调整要求的谈判，其响应将被认定为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07B87653">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11.4</w:t>
      </w:r>
      <w:r>
        <w:rPr>
          <w:rFonts w:hint="eastAsia" w:ascii="仿宋_GB2312" w:eastAsia="仿宋_GB2312"/>
          <w:color w:val="auto"/>
          <w:sz w:val="24"/>
        </w:rPr>
        <w:tab/>
      </w:r>
      <w:r>
        <w:rPr>
          <w:rFonts w:hint="eastAsia" w:ascii="仿宋_GB2312" w:eastAsia="仿宋_GB2312"/>
          <w:color w:val="auto"/>
          <w:sz w:val="24"/>
        </w:rPr>
        <w:t>采购人不接受具有附加条件的报价。</w:t>
      </w:r>
    </w:p>
    <w:p w14:paraId="0852A888">
      <w:pPr>
        <w:pStyle w:val="9"/>
        <w:snapToGrid w:val="0"/>
        <w:spacing w:before="0" w:after="0" w:line="380" w:lineRule="exact"/>
        <w:textAlignment w:val="baseline"/>
        <w:rPr>
          <w:rFonts w:hint="eastAsia" w:ascii="仿宋_GB2312" w:eastAsia="仿宋_GB2312"/>
          <w:color w:val="auto"/>
          <w:szCs w:val="24"/>
          <w:u w:val="none"/>
        </w:rPr>
      </w:pPr>
      <w:bookmarkStart w:id="184" w:name="_Toc9763"/>
      <w:bookmarkStart w:id="185" w:name="_Ref467306513"/>
      <w:bookmarkStart w:id="186" w:name="_Toc16693"/>
      <w:bookmarkStart w:id="187" w:name="_Toc1651"/>
      <w:bookmarkStart w:id="188" w:name="_Toc5302"/>
      <w:bookmarkStart w:id="189" w:name="_Toc11514"/>
      <w:bookmarkStart w:id="190" w:name="_Toc20519"/>
      <w:bookmarkStart w:id="191" w:name="_Toc515647771"/>
      <w:bookmarkStart w:id="192" w:name="_Toc31526"/>
      <w:bookmarkStart w:id="193" w:name="_Toc4130"/>
      <w:bookmarkStart w:id="194" w:name="_Toc17788"/>
      <w:bookmarkStart w:id="195" w:name="_Toc520356156"/>
      <w:bookmarkStart w:id="196" w:name="_Toc19405"/>
      <w:bookmarkStart w:id="197" w:name="_Toc8505"/>
      <w:bookmarkStart w:id="198" w:name="_Toc30640"/>
      <w:r>
        <w:rPr>
          <w:rFonts w:hint="eastAsia" w:ascii="仿宋_GB2312" w:eastAsia="仿宋_GB2312"/>
          <w:color w:val="auto"/>
          <w:szCs w:val="24"/>
          <w:u w:val="none"/>
        </w:rPr>
        <w:t>12.响应保证金</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E141C60">
      <w:pPr>
        <w:snapToGrid w:val="0"/>
        <w:spacing w:line="380" w:lineRule="exact"/>
        <w:ind w:left="900" w:hanging="900" w:hangingChars="375"/>
        <w:textAlignment w:val="baseline"/>
        <w:rPr>
          <w:rFonts w:hint="eastAsia" w:ascii="仿宋_GB2312" w:eastAsia="仿宋_GB2312"/>
          <w:color w:val="auto"/>
          <w:sz w:val="24"/>
        </w:rPr>
      </w:pPr>
      <w:bookmarkStart w:id="199" w:name="_Ref467306302"/>
      <w:r>
        <w:rPr>
          <w:rFonts w:hint="eastAsia" w:ascii="仿宋_GB2312" w:eastAsia="仿宋_GB2312"/>
          <w:color w:val="auto"/>
          <w:sz w:val="24"/>
        </w:rPr>
        <w:t>12.1</w:t>
      </w:r>
      <w:r>
        <w:rPr>
          <w:rFonts w:hint="eastAsia" w:ascii="仿宋_GB2312" w:eastAsia="仿宋_GB2312"/>
          <w:color w:val="auto"/>
          <w:sz w:val="24"/>
        </w:rPr>
        <w:tab/>
      </w:r>
      <w:r>
        <w:rPr>
          <w:rFonts w:hint="eastAsia" w:ascii="仿宋_GB2312" w:eastAsia="仿宋_GB2312"/>
          <w:color w:val="auto"/>
          <w:sz w:val="24"/>
        </w:rPr>
        <w:t>供应商应提交</w:t>
      </w:r>
      <w:r>
        <w:rPr>
          <w:rFonts w:hint="eastAsia" w:ascii="仿宋_GB2312" w:eastAsia="仿宋_GB2312"/>
          <w:color w:val="auto"/>
          <w:sz w:val="24"/>
          <w:u w:val="single" w:color="000000"/>
        </w:rPr>
        <w:t>供应商须知资料表</w:t>
      </w:r>
      <w:r>
        <w:rPr>
          <w:rFonts w:hint="eastAsia" w:ascii="仿宋_GB2312" w:eastAsia="仿宋_GB2312"/>
          <w:color w:val="auto"/>
          <w:sz w:val="24"/>
        </w:rPr>
        <w:t>中规定的响应保证金</w:t>
      </w:r>
      <w:bookmarkEnd w:id="199"/>
      <w:r>
        <w:rPr>
          <w:rFonts w:hint="eastAsia" w:ascii="仿宋_GB2312" w:eastAsia="仿宋_GB2312"/>
          <w:color w:val="auto"/>
          <w:sz w:val="24"/>
        </w:rPr>
        <w:t>，并作为其谈判的一部分。供应商未在规定时间内缴纳保证金或保证金数额不足以及未按谈判文件规定交纳保证金的，其响应将被认定为响应无效。</w:t>
      </w:r>
    </w:p>
    <w:p w14:paraId="017D6AD6">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12.2</w:t>
      </w:r>
      <w:r>
        <w:rPr>
          <w:rFonts w:hint="eastAsia" w:ascii="仿宋_GB2312" w:eastAsia="仿宋_GB2312"/>
          <w:color w:val="auto"/>
          <w:sz w:val="24"/>
        </w:rPr>
        <w:tab/>
      </w:r>
      <w:bookmarkStart w:id="200" w:name="_Ref467306336"/>
      <w:r>
        <w:rPr>
          <w:rFonts w:hint="eastAsia" w:ascii="仿宋_GB2312" w:eastAsia="仿宋_GB2312"/>
          <w:color w:val="auto"/>
          <w:sz w:val="24"/>
        </w:rPr>
        <w:t>有下列情形之一的，保证金不予退还：</w:t>
      </w:r>
    </w:p>
    <w:p w14:paraId="46DBAF27">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（一）供应商在提交响应文件截止时间后撤回响应文件的；</w:t>
      </w:r>
    </w:p>
    <w:p w14:paraId="3C1E1F72">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（二）供应商在响应文件中提供虚假材料的；</w:t>
      </w:r>
    </w:p>
    <w:p w14:paraId="378A519D">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（三）除因不可抗力或谈判文件、询价通知书认可的情形以外，成交供应商不与采购人签订合同的；</w:t>
      </w:r>
    </w:p>
    <w:p w14:paraId="7181BD4A">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（四）供应商与采购人、其他供应商或者采购代理机构恶意串通的；</w:t>
      </w:r>
    </w:p>
    <w:p w14:paraId="71C0BDAF">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（五）谈判文件规定的其他情形。</w:t>
      </w:r>
    </w:p>
    <w:p w14:paraId="00E7B39D">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12.3</w:t>
      </w:r>
      <w:r>
        <w:rPr>
          <w:rFonts w:hint="eastAsia" w:ascii="仿宋_GB2312" w:eastAsia="仿宋_GB2312"/>
          <w:color w:val="auto"/>
          <w:sz w:val="24"/>
        </w:rPr>
        <w:tab/>
      </w:r>
      <w:bookmarkEnd w:id="200"/>
      <w:r>
        <w:rPr>
          <w:rFonts w:hint="eastAsia" w:ascii="仿宋_GB2312" w:eastAsia="仿宋_GB2312"/>
          <w:color w:val="auto"/>
          <w:sz w:val="24"/>
        </w:rPr>
        <w:t>政府采购信用担保试点范围内的项目，接受符合财政部门规定的政府采购谈判担保函原件。</w:t>
      </w:r>
    </w:p>
    <w:p w14:paraId="3E861DE5">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12.4</w:t>
      </w:r>
      <w:r>
        <w:rPr>
          <w:rFonts w:hint="eastAsia" w:ascii="仿宋_GB2312" w:eastAsia="仿宋_GB2312"/>
          <w:color w:val="auto"/>
          <w:sz w:val="24"/>
        </w:rPr>
        <w:tab/>
      </w:r>
      <w:r>
        <w:rPr>
          <w:rFonts w:hint="eastAsia" w:ascii="仿宋_GB2312" w:eastAsia="仿宋_GB2312"/>
          <w:color w:val="auto"/>
          <w:sz w:val="24"/>
        </w:rPr>
        <w:t>供应商未按本须知第12.1和12.3条规定提交谈判保证金的，其响应将被认定为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3D2CB5DD">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12.4.1  采用电汇形式的，一般可以实时入账。</w:t>
      </w:r>
    </w:p>
    <w:p w14:paraId="4DE045BF">
      <w:pPr>
        <w:snapToGrid w:val="0"/>
        <w:spacing w:line="380" w:lineRule="exact"/>
        <w:ind w:left="960" w:hanging="960" w:hangingChars="400"/>
        <w:jc w:val="left"/>
        <w:textAlignment w:val="baseline"/>
        <w:rPr>
          <w:rFonts w:hint="eastAsia" w:ascii="仿宋_GB2312" w:eastAsia="仿宋_GB2312"/>
          <w:color w:val="auto"/>
          <w:sz w:val="24"/>
        </w:rPr>
      </w:pPr>
      <w:r>
        <w:rPr>
          <w:rFonts w:hint="eastAsia" w:ascii="仿宋_GB2312" w:eastAsia="仿宋_GB2312"/>
          <w:color w:val="auto"/>
          <w:sz w:val="24"/>
        </w:rPr>
        <w:t>12.4.2  采用支票形式的，供应商则应充分考虑支票入账时间，以确保谈判保证金能按时进入指定账户。根据银行信息交换和付款时间，支票从递交至实际入账一般需要4-5个工作日。如供应商未及时提交支票或支票不符合银行委托收款要求（如污损、折叠、胶装等），导致谈判保证金不能按时进入指定账户的，将按照谈判文件的第22.2条相关规定处理。</w:t>
      </w:r>
    </w:p>
    <w:p w14:paraId="64919B65">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12.5    联合体谈判的，可以由联合体中的一方或者共同提交谈判保证金。以一方名义提交谈判保证金的，对联合体各方均具有约束力。</w:t>
      </w:r>
    </w:p>
    <w:p w14:paraId="17FEC548">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12.6</w:t>
      </w:r>
      <w:r>
        <w:rPr>
          <w:rFonts w:hint="eastAsia" w:ascii="仿宋_GB2312" w:eastAsia="仿宋_GB2312"/>
          <w:color w:val="auto"/>
          <w:sz w:val="24"/>
        </w:rPr>
        <w:tab/>
      </w:r>
      <w:r>
        <w:rPr>
          <w:rFonts w:hint="eastAsia" w:ascii="仿宋_GB2312" w:eastAsia="仿宋_GB2312"/>
          <w:color w:val="auto"/>
          <w:sz w:val="24"/>
        </w:rPr>
        <w:t>谈判保证金的退还</w:t>
      </w:r>
    </w:p>
    <w:p w14:paraId="223712D5">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12.6.1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0B7A47FC">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12.6.2  供应商应及时联系保证金收受机构办理退还谈判保证金手续。</w:t>
      </w:r>
    </w:p>
    <w:p w14:paraId="1B175E8B">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12.6.3  政府采购谈判担保函不予退回。</w:t>
      </w:r>
    </w:p>
    <w:p w14:paraId="45658420">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12.7    因供应商自身原因导致无法及时退还的，采购人或采购代理机构将不承担相应责任。</w:t>
      </w:r>
    </w:p>
    <w:p w14:paraId="0269A134">
      <w:pPr>
        <w:pStyle w:val="9"/>
        <w:snapToGrid w:val="0"/>
        <w:spacing w:before="0" w:after="0" w:line="380" w:lineRule="exact"/>
        <w:textAlignment w:val="baseline"/>
        <w:rPr>
          <w:rFonts w:hint="eastAsia" w:ascii="仿宋_GB2312" w:eastAsia="仿宋_GB2312"/>
          <w:color w:val="auto"/>
          <w:szCs w:val="24"/>
          <w:u w:val="none"/>
        </w:rPr>
      </w:pPr>
      <w:bookmarkStart w:id="201" w:name="_Toc12769"/>
      <w:bookmarkStart w:id="202" w:name="_Toc20387"/>
      <w:bookmarkStart w:id="203" w:name="_Toc3815"/>
      <w:bookmarkStart w:id="204" w:name="_Toc1400"/>
      <w:bookmarkStart w:id="205" w:name="_Toc515647772"/>
      <w:bookmarkStart w:id="206" w:name="_Toc32569"/>
      <w:bookmarkStart w:id="207" w:name="_Toc277"/>
      <w:bookmarkStart w:id="208" w:name="_Toc29124"/>
      <w:bookmarkStart w:id="209" w:name="_Toc8451"/>
      <w:bookmarkStart w:id="210" w:name="_Toc23590"/>
      <w:bookmarkStart w:id="211" w:name="_Toc21509"/>
      <w:bookmarkStart w:id="212" w:name="_Toc325"/>
      <w:bookmarkStart w:id="213" w:name="_Toc520356157"/>
      <w:bookmarkStart w:id="214" w:name="_Toc8146"/>
      <w:r>
        <w:rPr>
          <w:rFonts w:hint="eastAsia" w:ascii="仿宋_GB2312" w:eastAsia="仿宋_GB2312"/>
          <w:color w:val="auto"/>
          <w:szCs w:val="24"/>
          <w:u w:val="none"/>
        </w:rPr>
        <w:t>13.响应有效期</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41CFCCB">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13.1</w:t>
      </w:r>
      <w:r>
        <w:rPr>
          <w:rFonts w:hint="eastAsia" w:ascii="仿宋_GB2312" w:eastAsia="仿宋_GB2312"/>
          <w:color w:val="auto"/>
          <w:sz w:val="24"/>
        </w:rPr>
        <w:tab/>
      </w:r>
      <w:r>
        <w:rPr>
          <w:rFonts w:hint="eastAsia" w:ascii="仿宋_GB2312" w:eastAsia="仿宋_GB2312"/>
          <w:color w:val="auto"/>
          <w:sz w:val="24"/>
        </w:rPr>
        <w:t>响应应在</w:t>
      </w:r>
      <w:r>
        <w:rPr>
          <w:rFonts w:hint="eastAsia" w:ascii="仿宋_GB2312" w:eastAsia="仿宋_GB2312"/>
          <w:color w:val="auto"/>
          <w:sz w:val="24"/>
          <w:u w:val="single" w:color="000000"/>
        </w:rPr>
        <w:t>供应商须知资料表</w:t>
      </w:r>
      <w:r>
        <w:rPr>
          <w:rFonts w:hint="eastAsia" w:ascii="仿宋_GB2312" w:eastAsia="仿宋_GB2312"/>
          <w:color w:val="auto"/>
          <w:sz w:val="24"/>
        </w:rPr>
        <w:t>中规定时间内保持有效。响应有效期不满足要求的响应，其响应将被认定为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730B1064">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13.2</w:t>
      </w:r>
      <w:r>
        <w:rPr>
          <w:rFonts w:hint="eastAsia" w:ascii="仿宋_GB2312" w:eastAsia="仿宋_GB2312"/>
          <w:color w:val="auto"/>
          <w:sz w:val="24"/>
        </w:rPr>
        <w:tab/>
      </w:r>
      <w:r>
        <w:rPr>
          <w:rFonts w:hint="eastAsia" w:ascii="仿宋_GB2312" w:eastAsia="仿宋_GB2312"/>
          <w:color w:val="auto"/>
          <w:sz w:val="24"/>
        </w:rPr>
        <w:t>因特殊原因，采购人或采购代理机构可在原响应有效期截止之前，要求供应商延长响应文件的有效期。供应商也可以拒绝延长响应有效期的要求，且不承担任何责任。上述要求和答复都应以书面形式提交。</w:t>
      </w:r>
    </w:p>
    <w:p w14:paraId="6E9962B0">
      <w:pPr>
        <w:pStyle w:val="9"/>
        <w:snapToGrid w:val="0"/>
        <w:spacing w:before="0" w:after="0" w:line="380" w:lineRule="exact"/>
        <w:textAlignment w:val="baseline"/>
        <w:rPr>
          <w:rFonts w:hint="eastAsia" w:ascii="仿宋_GB2312" w:eastAsia="仿宋_GB2312"/>
          <w:color w:val="auto"/>
          <w:szCs w:val="24"/>
          <w:u w:val="none"/>
        </w:rPr>
      </w:pPr>
      <w:bookmarkStart w:id="215" w:name="_Toc520356158"/>
      <w:bookmarkStart w:id="216" w:name="_Toc493"/>
      <w:bookmarkStart w:id="217" w:name="_Toc24880"/>
      <w:bookmarkStart w:id="218" w:name="_Toc540"/>
      <w:bookmarkStart w:id="219" w:name="_Toc26606"/>
      <w:bookmarkStart w:id="220" w:name="_Toc17074"/>
      <w:bookmarkStart w:id="221" w:name="_Toc515647773"/>
      <w:bookmarkStart w:id="222" w:name="_Toc23811"/>
      <w:bookmarkStart w:id="223" w:name="_Toc29649"/>
      <w:bookmarkStart w:id="224" w:name="_Toc14581"/>
      <w:bookmarkStart w:id="225" w:name="_Toc4551"/>
      <w:bookmarkStart w:id="226" w:name="_Toc21843"/>
      <w:bookmarkStart w:id="227" w:name="_Toc19311"/>
      <w:bookmarkStart w:id="228" w:name="_Toc28395"/>
      <w:r>
        <w:rPr>
          <w:rFonts w:hint="eastAsia" w:ascii="仿宋_GB2312" w:eastAsia="仿宋_GB2312"/>
          <w:color w:val="auto"/>
          <w:szCs w:val="24"/>
          <w:u w:val="none"/>
        </w:rPr>
        <w:t>14.响应文件的签署</w:t>
      </w:r>
      <w:bookmarkEnd w:id="215"/>
      <w:r>
        <w:rPr>
          <w:rFonts w:hint="eastAsia" w:ascii="仿宋_GB2312" w:eastAsia="仿宋_GB2312"/>
          <w:color w:val="auto"/>
          <w:szCs w:val="24"/>
          <w:u w:val="none"/>
        </w:rPr>
        <w:t>及规定</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6D1B720B">
      <w:pPr>
        <w:spacing w:line="380" w:lineRule="exact"/>
        <w:ind w:left="900" w:hanging="900" w:hangingChars="375"/>
        <w:rPr>
          <w:rFonts w:hint="eastAsia" w:ascii="仿宋_GB2312" w:eastAsia="仿宋_GB2312"/>
          <w:color w:val="auto"/>
          <w:sz w:val="24"/>
        </w:rPr>
      </w:pPr>
      <w:bookmarkStart w:id="229" w:name="_Toc3461"/>
      <w:bookmarkStart w:id="230" w:name="_Toc16865"/>
      <w:bookmarkStart w:id="231" w:name="_Toc520356159"/>
      <w:bookmarkStart w:id="232" w:name="_Toc8711"/>
      <w:bookmarkStart w:id="233" w:name="_Toc216582808"/>
      <w:bookmarkStart w:id="234" w:name="_Toc11179"/>
      <w:bookmarkStart w:id="235" w:name="_Toc515647774"/>
      <w:r>
        <w:rPr>
          <w:rFonts w:hint="eastAsia" w:ascii="仿宋_GB2312" w:eastAsia="仿宋_GB2312"/>
          <w:color w:val="auto"/>
          <w:sz w:val="24"/>
        </w:rPr>
        <w:t>14.1</w:t>
      </w:r>
      <w:r>
        <w:rPr>
          <w:rFonts w:hint="eastAsia" w:ascii="仿宋_GB2312" w:eastAsia="仿宋_GB2312"/>
          <w:color w:val="auto"/>
          <w:sz w:val="24"/>
        </w:rPr>
        <w:tab/>
      </w:r>
      <w:r>
        <w:rPr>
          <w:rFonts w:hint="eastAsia" w:ascii="仿宋_GB2312" w:eastAsia="仿宋_GB2312"/>
          <w:color w:val="auto"/>
          <w:sz w:val="24"/>
        </w:rPr>
        <w:t>投标人应按</w:t>
      </w:r>
      <w:r>
        <w:rPr>
          <w:rFonts w:hint="eastAsia" w:ascii="仿宋_GB2312" w:eastAsia="仿宋_GB2312"/>
          <w:color w:val="auto"/>
          <w:sz w:val="24"/>
          <w:u w:val="single"/>
        </w:rPr>
        <w:t>供应商须知资料表</w:t>
      </w:r>
      <w:r>
        <w:rPr>
          <w:rFonts w:hint="eastAsia" w:ascii="仿宋_GB2312" w:eastAsia="仿宋_GB2312"/>
          <w:color w:val="auto"/>
          <w:sz w:val="24"/>
        </w:rPr>
        <w:t>中的规定，准备和递交加密的电子响应文件、谈判报价一览表、资格证明文件。</w:t>
      </w:r>
    </w:p>
    <w:p w14:paraId="09EB75D5">
      <w:pPr>
        <w:spacing w:line="380" w:lineRule="exact"/>
        <w:ind w:left="900" w:hanging="900" w:hangingChars="375"/>
        <w:rPr>
          <w:rFonts w:hint="eastAsia" w:ascii="仿宋_GB2312" w:eastAsia="仿宋_GB2312"/>
          <w:b/>
          <w:color w:val="auto"/>
          <w:sz w:val="24"/>
        </w:rPr>
      </w:pPr>
      <w:r>
        <w:rPr>
          <w:rFonts w:hint="eastAsia" w:ascii="仿宋_GB2312" w:eastAsia="仿宋_GB2312"/>
          <w:color w:val="auto"/>
          <w:sz w:val="24"/>
        </w:rPr>
        <w:t>14.2</w:t>
      </w:r>
      <w:r>
        <w:rPr>
          <w:rFonts w:hint="eastAsia" w:ascii="仿宋_GB2312" w:eastAsia="仿宋_GB2312"/>
          <w:color w:val="auto"/>
          <w:sz w:val="24"/>
        </w:rPr>
        <w:tab/>
      </w:r>
      <w:r>
        <w:rPr>
          <w:rFonts w:hint="eastAsia" w:ascii="仿宋_GB2312" w:eastAsia="仿宋_GB2312"/>
          <w:color w:val="auto"/>
          <w:sz w:val="24"/>
        </w:rPr>
        <w:t>响应文件需通过CA加密，递交至政采云电子投标客户端，并由投标人的法定代表人或经其正式委托代理人按谈判文件的规定在响应文件上电子签章。委托代理人须有书面的“法定代表人授权委托书”，并将其附在响应文件中。未按谈判文件要求签署和盖章的响应文件，其响应将被认定为响应无效。</w:t>
      </w:r>
    </w:p>
    <w:p w14:paraId="09D970AF">
      <w:pPr>
        <w:spacing w:line="380" w:lineRule="exact"/>
        <w:ind w:left="1054" w:hanging="1050" w:hangingChars="375"/>
        <w:jc w:val="center"/>
        <w:outlineLvl w:val="1"/>
        <w:rPr>
          <w:rFonts w:hint="eastAsia" w:ascii="仿宋_GB2312" w:eastAsia="仿宋_GB2312"/>
          <w:b/>
          <w:color w:val="auto"/>
          <w:sz w:val="28"/>
          <w:szCs w:val="28"/>
        </w:rPr>
      </w:pPr>
      <w:bookmarkStart w:id="236" w:name="_Toc29258"/>
      <w:r>
        <w:rPr>
          <w:rFonts w:hint="eastAsia" w:ascii="仿宋_GB2312" w:eastAsia="仿宋_GB2312"/>
          <w:b/>
          <w:color w:val="auto"/>
          <w:sz w:val="28"/>
          <w:szCs w:val="28"/>
        </w:rPr>
        <w:t>四   响应文件的递交</w:t>
      </w:r>
      <w:bookmarkEnd w:id="229"/>
      <w:bookmarkEnd w:id="230"/>
      <w:bookmarkEnd w:id="231"/>
      <w:bookmarkEnd w:id="232"/>
      <w:bookmarkEnd w:id="233"/>
      <w:bookmarkEnd w:id="234"/>
      <w:bookmarkEnd w:id="235"/>
      <w:bookmarkEnd w:id="236"/>
    </w:p>
    <w:p w14:paraId="4DB44871">
      <w:pPr>
        <w:pStyle w:val="9"/>
        <w:snapToGrid w:val="0"/>
        <w:spacing w:before="0" w:after="0" w:line="380" w:lineRule="exact"/>
        <w:textAlignment w:val="baseline"/>
        <w:rPr>
          <w:rFonts w:hint="eastAsia" w:ascii="仿宋_GB2312" w:eastAsia="仿宋_GB2312"/>
          <w:color w:val="auto"/>
          <w:szCs w:val="24"/>
          <w:u w:val="none"/>
        </w:rPr>
      </w:pPr>
      <w:bookmarkStart w:id="237" w:name="_Toc13617"/>
      <w:bookmarkStart w:id="238" w:name="_Toc21645"/>
      <w:bookmarkStart w:id="239" w:name="_Toc6764"/>
      <w:bookmarkStart w:id="240" w:name="_Toc415"/>
      <w:bookmarkStart w:id="241" w:name="_Toc520356160"/>
      <w:bookmarkStart w:id="242" w:name="_Toc6188"/>
      <w:bookmarkStart w:id="243" w:name="_Toc9759"/>
      <w:bookmarkStart w:id="244" w:name="_Toc16507"/>
      <w:bookmarkStart w:id="245" w:name="_Toc32337"/>
      <w:bookmarkStart w:id="246" w:name="_Toc22380"/>
      <w:bookmarkStart w:id="247" w:name="_Toc515647775"/>
      <w:bookmarkStart w:id="248" w:name="_Toc24069"/>
      <w:bookmarkStart w:id="249" w:name="_Toc30799"/>
      <w:bookmarkStart w:id="250" w:name="_Toc22293"/>
      <w:r>
        <w:rPr>
          <w:rFonts w:hint="eastAsia" w:ascii="仿宋_GB2312" w:eastAsia="仿宋_GB2312"/>
          <w:color w:val="auto"/>
          <w:szCs w:val="24"/>
          <w:u w:val="none"/>
        </w:rPr>
        <w:t>15.响应文件的密封和标记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6588E3D">
      <w:pPr>
        <w:spacing w:line="380" w:lineRule="exact"/>
        <w:ind w:left="900" w:hanging="900" w:hangingChars="375"/>
        <w:rPr>
          <w:rFonts w:hint="eastAsia" w:ascii="仿宋_GB2312" w:eastAsia="仿宋_GB2312"/>
          <w:color w:val="auto"/>
          <w:sz w:val="24"/>
        </w:rPr>
      </w:pPr>
      <w:r>
        <w:rPr>
          <w:rFonts w:hint="eastAsia" w:ascii="仿宋_GB2312" w:eastAsia="仿宋_GB2312"/>
          <w:color w:val="auto"/>
          <w:sz w:val="24"/>
        </w:rPr>
        <w:t>15.1    为方便评审及进行资格审查，供应商应将响应文件第一部分和第二部分的内容合并，并在每部分标明“第一部分开标一览表及资格证明文件 ”或“第二部分商务及技术文件 ”字样，并在封皮正面标明“响应文件”字样。</w:t>
      </w:r>
    </w:p>
    <w:p w14:paraId="5E3F0333">
      <w:pPr>
        <w:spacing w:line="380" w:lineRule="exact"/>
        <w:ind w:left="900" w:hanging="900" w:hangingChars="375"/>
        <w:rPr>
          <w:rFonts w:hint="eastAsia" w:ascii="仿宋_GB2312" w:eastAsia="仿宋_GB2312"/>
          <w:color w:val="auto"/>
          <w:sz w:val="24"/>
        </w:rPr>
      </w:pPr>
      <w:r>
        <w:rPr>
          <w:rFonts w:hint="eastAsia" w:ascii="仿宋_GB2312" w:eastAsia="仿宋_GB2312"/>
          <w:color w:val="auto"/>
          <w:sz w:val="24"/>
        </w:rPr>
        <w:t>15.2    所有电子投标文件封面应：</w:t>
      </w:r>
    </w:p>
    <w:p w14:paraId="65A3BB02">
      <w:pPr>
        <w:spacing w:line="380" w:lineRule="exact"/>
        <w:ind w:left="957" w:leftChars="456" w:firstLine="60" w:firstLineChars="25"/>
        <w:rPr>
          <w:rFonts w:hint="eastAsia" w:ascii="仿宋_GB2312" w:eastAsia="仿宋_GB2312"/>
          <w:color w:val="auto"/>
          <w:sz w:val="24"/>
        </w:rPr>
      </w:pPr>
      <w:r>
        <w:rPr>
          <w:rFonts w:hint="eastAsia" w:ascii="仿宋_GB2312" w:eastAsia="仿宋_GB2312"/>
          <w:color w:val="auto"/>
          <w:sz w:val="24"/>
        </w:rPr>
        <w:t>注明“响应文件”，以及谈判公告或谈判文件中指明的项目名称、项目编号、供应商名称和“在（开标时间）之前不得启封”的字样。</w:t>
      </w:r>
    </w:p>
    <w:p w14:paraId="2A10DFF3">
      <w:pPr>
        <w:pStyle w:val="9"/>
        <w:snapToGrid w:val="0"/>
        <w:spacing w:before="0" w:after="0" w:line="380" w:lineRule="exact"/>
        <w:textAlignment w:val="baseline"/>
        <w:rPr>
          <w:rFonts w:hint="eastAsia" w:ascii="仿宋_GB2312" w:eastAsia="仿宋_GB2312"/>
          <w:color w:val="auto"/>
          <w:szCs w:val="24"/>
          <w:u w:val="none"/>
        </w:rPr>
      </w:pPr>
      <w:bookmarkStart w:id="251" w:name="_Toc31921"/>
      <w:bookmarkStart w:id="252" w:name="_Toc24025"/>
      <w:bookmarkStart w:id="253" w:name="_Toc9840"/>
      <w:bookmarkStart w:id="254" w:name="_Toc515647776"/>
      <w:bookmarkStart w:id="255" w:name="_Toc3372"/>
      <w:bookmarkStart w:id="256" w:name="_Toc520356161"/>
      <w:bookmarkStart w:id="257" w:name="_Toc8557"/>
      <w:bookmarkStart w:id="258" w:name="_Toc12751"/>
      <w:bookmarkStart w:id="259" w:name="_Toc9452"/>
      <w:bookmarkStart w:id="260" w:name="_Toc7478"/>
      <w:bookmarkStart w:id="261" w:name="_Toc26069"/>
      <w:bookmarkStart w:id="262" w:name="_Toc2068"/>
      <w:bookmarkStart w:id="263" w:name="_Toc18350"/>
      <w:bookmarkStart w:id="264" w:name="_Toc31108"/>
      <w:r>
        <w:rPr>
          <w:rFonts w:hint="eastAsia" w:ascii="仿宋_GB2312" w:eastAsia="仿宋_GB2312"/>
          <w:color w:val="auto"/>
          <w:szCs w:val="24"/>
          <w:u w:val="none"/>
        </w:rPr>
        <w:t>16.</w:t>
      </w:r>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eastAsia" w:ascii="仿宋_GB2312" w:eastAsia="仿宋_GB2312"/>
          <w:color w:val="auto"/>
          <w:szCs w:val="24"/>
          <w:u w:val="none"/>
        </w:rPr>
        <w:t>响应截止</w:t>
      </w:r>
      <w:bookmarkEnd w:id="264"/>
    </w:p>
    <w:p w14:paraId="30ED06F8">
      <w:pPr>
        <w:spacing w:line="380" w:lineRule="exact"/>
        <w:ind w:left="900" w:hanging="900" w:hangingChars="375"/>
        <w:rPr>
          <w:rFonts w:hint="eastAsia" w:ascii="仿宋_GB2312" w:eastAsia="仿宋_GB2312"/>
          <w:color w:val="auto"/>
          <w:sz w:val="24"/>
        </w:rPr>
      </w:pPr>
      <w:r>
        <w:rPr>
          <w:rFonts w:hint="eastAsia" w:ascii="仿宋_GB2312" w:eastAsia="仿宋_GB2312"/>
          <w:color w:val="auto"/>
          <w:sz w:val="24"/>
        </w:rPr>
        <w:t>16.1</w:t>
      </w:r>
      <w:r>
        <w:rPr>
          <w:rFonts w:hint="eastAsia" w:ascii="仿宋_GB2312" w:eastAsia="仿宋_GB2312"/>
          <w:color w:val="auto"/>
          <w:sz w:val="24"/>
        </w:rPr>
        <w:tab/>
      </w:r>
      <w:r>
        <w:rPr>
          <w:rFonts w:hint="eastAsia" w:ascii="仿宋_GB2312" w:eastAsia="仿宋_GB2312"/>
          <w:color w:val="auto"/>
          <w:sz w:val="24"/>
        </w:rPr>
        <w:t>供应商应在</w:t>
      </w:r>
      <w:r>
        <w:rPr>
          <w:rFonts w:hint="eastAsia" w:ascii="仿宋_GB2312" w:eastAsia="仿宋_GB2312"/>
          <w:color w:val="auto"/>
          <w:sz w:val="24"/>
          <w:u w:val="single"/>
        </w:rPr>
        <w:t>供应商须知资料表</w:t>
      </w:r>
      <w:r>
        <w:rPr>
          <w:rFonts w:hint="eastAsia" w:ascii="仿宋_GB2312" w:eastAsia="仿宋_GB2312"/>
          <w:color w:val="auto"/>
          <w:sz w:val="24"/>
        </w:rPr>
        <w:t>中规定的截止时间前，将响应文件递交至采购公告中规定的地点。</w:t>
      </w:r>
    </w:p>
    <w:p w14:paraId="279C3844">
      <w:pPr>
        <w:spacing w:line="380" w:lineRule="exact"/>
        <w:ind w:left="900" w:hanging="900" w:hangingChars="375"/>
        <w:rPr>
          <w:rFonts w:hint="eastAsia" w:ascii="仿宋_GB2312" w:eastAsia="仿宋_GB2312"/>
          <w:color w:val="auto"/>
          <w:sz w:val="24"/>
        </w:rPr>
      </w:pPr>
      <w:r>
        <w:rPr>
          <w:rFonts w:hint="eastAsia" w:ascii="仿宋_GB2312" w:eastAsia="仿宋_GB2312"/>
          <w:color w:val="auto"/>
          <w:sz w:val="24"/>
        </w:rPr>
        <w:t>16.2</w:t>
      </w:r>
      <w:r>
        <w:rPr>
          <w:rFonts w:hint="eastAsia" w:ascii="仿宋_GB2312" w:eastAsia="仿宋_GB2312"/>
          <w:color w:val="auto"/>
          <w:sz w:val="24"/>
        </w:rPr>
        <w:tab/>
      </w:r>
      <w:r>
        <w:rPr>
          <w:rFonts w:hint="eastAsia" w:ascii="仿宋_GB2312" w:eastAsia="仿宋_GB2312"/>
          <w:color w:val="auto"/>
          <w:sz w:val="24"/>
        </w:rPr>
        <w:t>采购人和采购代理机构有权按本须知的规定，延迟响应截止时间。在此情况下，采购人、采购代理机构和供应商受响应截止时间制约的所有权利和义务均应延长至新的截止时间。</w:t>
      </w:r>
    </w:p>
    <w:p w14:paraId="097E68EE">
      <w:pPr>
        <w:spacing w:line="380" w:lineRule="exact"/>
        <w:ind w:left="900" w:hanging="900" w:hangingChars="375"/>
        <w:rPr>
          <w:rFonts w:hint="eastAsia" w:ascii="仿宋_GB2312" w:eastAsia="仿宋_GB2312"/>
          <w:color w:val="auto"/>
          <w:sz w:val="24"/>
        </w:rPr>
      </w:pPr>
      <w:r>
        <w:rPr>
          <w:rFonts w:hint="eastAsia" w:ascii="仿宋_GB2312" w:eastAsia="仿宋_GB2312"/>
          <w:color w:val="auto"/>
          <w:sz w:val="24"/>
        </w:rPr>
        <w:t>16.3</w:t>
      </w:r>
      <w:r>
        <w:rPr>
          <w:rFonts w:hint="eastAsia" w:ascii="仿宋_GB2312" w:eastAsia="仿宋_GB2312"/>
          <w:color w:val="auto"/>
          <w:sz w:val="24"/>
        </w:rPr>
        <w:tab/>
      </w:r>
      <w:r>
        <w:rPr>
          <w:rFonts w:hint="eastAsia" w:ascii="仿宋_GB2312" w:eastAsia="仿宋_GB2312"/>
          <w:color w:val="auto"/>
          <w:sz w:val="24"/>
        </w:rPr>
        <w:t>采购人和采购代理机构将拒绝接收在响应截止时间后递交的响应文件。</w:t>
      </w:r>
    </w:p>
    <w:p w14:paraId="0532CCA8">
      <w:pPr>
        <w:pStyle w:val="9"/>
        <w:snapToGrid w:val="0"/>
        <w:spacing w:before="0" w:after="0" w:line="380" w:lineRule="exact"/>
        <w:textAlignment w:val="baseline"/>
        <w:rPr>
          <w:rFonts w:hint="eastAsia" w:ascii="仿宋_GB2312" w:eastAsia="仿宋_GB2312"/>
          <w:color w:val="auto"/>
          <w:szCs w:val="24"/>
          <w:u w:val="none"/>
        </w:rPr>
      </w:pPr>
      <w:bookmarkStart w:id="265" w:name="_Toc24275"/>
      <w:bookmarkStart w:id="266" w:name="_Toc3014"/>
      <w:bookmarkStart w:id="267" w:name="_Toc520356162"/>
      <w:bookmarkStart w:id="268" w:name="_Toc11003"/>
      <w:bookmarkStart w:id="269" w:name="_Toc23557"/>
      <w:bookmarkStart w:id="270" w:name="_Toc10299"/>
      <w:bookmarkStart w:id="271" w:name="_Toc515647777"/>
      <w:bookmarkStart w:id="272" w:name="_Toc29943"/>
      <w:bookmarkStart w:id="273" w:name="_Toc22201"/>
      <w:bookmarkStart w:id="274" w:name="_Toc7274"/>
      <w:bookmarkStart w:id="275" w:name="_Toc18537"/>
      <w:bookmarkStart w:id="276" w:name="_Toc9142"/>
      <w:bookmarkStart w:id="277" w:name="_Toc9478"/>
      <w:bookmarkStart w:id="278" w:name="_Toc18594"/>
      <w:r>
        <w:rPr>
          <w:rFonts w:hint="eastAsia" w:ascii="仿宋_GB2312" w:eastAsia="仿宋_GB2312"/>
          <w:color w:val="auto"/>
          <w:szCs w:val="24"/>
          <w:u w:val="none"/>
        </w:rPr>
        <w:t>17.响应文件的接收、修改与撤回</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631A451">
      <w:pPr>
        <w:snapToGrid w:val="0"/>
        <w:spacing w:line="380" w:lineRule="exact"/>
        <w:ind w:left="840" w:hanging="840" w:hangingChars="350"/>
        <w:textAlignment w:val="baseline"/>
        <w:rPr>
          <w:rFonts w:hint="eastAsia" w:ascii="仿宋_GB2312" w:eastAsia="仿宋_GB2312"/>
          <w:color w:val="auto"/>
          <w:sz w:val="24"/>
        </w:rPr>
      </w:pPr>
      <w:r>
        <w:rPr>
          <w:rFonts w:hint="eastAsia" w:ascii="仿宋_GB2312" w:eastAsia="仿宋_GB2312"/>
          <w:color w:val="auto"/>
          <w:sz w:val="24"/>
        </w:rPr>
        <w:t>17.1   在投标截止时间后投标人将无法上传投标文件。</w:t>
      </w:r>
    </w:p>
    <w:p w14:paraId="523988F2">
      <w:pPr>
        <w:snapToGrid w:val="0"/>
        <w:spacing w:line="380" w:lineRule="exact"/>
        <w:ind w:left="840" w:hanging="840" w:hangingChars="350"/>
        <w:textAlignment w:val="baseline"/>
        <w:rPr>
          <w:rFonts w:hint="eastAsia" w:ascii="仿宋_GB2312" w:eastAsia="仿宋_GB2312"/>
          <w:color w:val="auto"/>
          <w:sz w:val="24"/>
        </w:rPr>
      </w:pPr>
      <w:r>
        <w:rPr>
          <w:rFonts w:hint="eastAsia" w:ascii="仿宋_GB2312" w:eastAsia="仿宋_GB2312"/>
          <w:color w:val="auto"/>
          <w:sz w:val="24"/>
        </w:rPr>
        <w:t>17.2</w:t>
      </w:r>
      <w:r>
        <w:rPr>
          <w:rFonts w:hint="eastAsia" w:ascii="仿宋_GB2312" w:eastAsia="仿宋_GB2312"/>
          <w:color w:val="auto"/>
          <w:sz w:val="24"/>
        </w:rPr>
        <w:tab/>
      </w:r>
      <w:r>
        <w:rPr>
          <w:rFonts w:hint="eastAsia" w:ascii="仿宋_GB2312" w:eastAsia="仿宋_GB2312"/>
          <w:color w:val="auto"/>
          <w:sz w:val="24"/>
        </w:rPr>
        <w:t>上传投标文件以后，在投标截止时间前投标人可随时进行修改或撤回投标文件。</w:t>
      </w:r>
    </w:p>
    <w:p w14:paraId="1337234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173    在响应截止期之后，采购人和采购代理机构不接受供应商主动对其响应文件做任何修改。</w:t>
      </w:r>
    </w:p>
    <w:p w14:paraId="6BE6440E">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17.4</w:t>
      </w:r>
      <w:r>
        <w:rPr>
          <w:rFonts w:hint="eastAsia" w:ascii="仿宋_GB2312" w:eastAsia="仿宋_GB2312"/>
          <w:color w:val="auto"/>
          <w:sz w:val="24"/>
        </w:rPr>
        <w:tab/>
      </w:r>
      <w:r>
        <w:rPr>
          <w:rFonts w:hint="eastAsia" w:ascii="仿宋_GB2312" w:eastAsia="仿宋_GB2312"/>
          <w:color w:val="auto"/>
          <w:sz w:val="24"/>
        </w:rPr>
        <w:t>采购人和采购代理机构对所接收响应文件概不退回。</w:t>
      </w:r>
    </w:p>
    <w:p w14:paraId="7DBB8179">
      <w:pPr>
        <w:pStyle w:val="8"/>
        <w:snapToGrid w:val="0"/>
        <w:spacing w:before="0" w:line="380" w:lineRule="exact"/>
        <w:ind w:hanging="540"/>
        <w:textAlignment w:val="baseline"/>
        <w:rPr>
          <w:rFonts w:ascii="Times New Roman" w:hAnsi="Times New Roman" w:eastAsia="方正仿宋简体"/>
          <w:color w:val="auto"/>
          <w:sz w:val="24"/>
          <w:szCs w:val="24"/>
        </w:rPr>
      </w:pPr>
      <w:bookmarkStart w:id="279" w:name="_Toc12436"/>
      <w:bookmarkStart w:id="280" w:name="_Toc520356163"/>
      <w:bookmarkStart w:id="281" w:name="_Toc28398"/>
      <w:bookmarkStart w:id="282" w:name="_Toc515647778"/>
      <w:bookmarkStart w:id="283" w:name="_Toc16124"/>
      <w:bookmarkStart w:id="284" w:name="_Toc216582809"/>
      <w:bookmarkStart w:id="285" w:name="_Toc27283"/>
    </w:p>
    <w:p w14:paraId="73DF935B">
      <w:pPr>
        <w:pStyle w:val="8"/>
        <w:snapToGrid w:val="0"/>
        <w:spacing w:before="0" w:line="380" w:lineRule="exact"/>
        <w:ind w:hanging="540"/>
        <w:textAlignment w:val="baseline"/>
        <w:rPr>
          <w:rFonts w:hint="eastAsia" w:ascii="仿宋_GB2312" w:hAnsi="Times New Roman" w:eastAsia="仿宋_GB2312"/>
          <w:color w:val="auto"/>
          <w:sz w:val="28"/>
          <w:szCs w:val="28"/>
        </w:rPr>
      </w:pPr>
      <w:bookmarkStart w:id="286" w:name="_Toc9424"/>
      <w:r>
        <w:rPr>
          <w:rFonts w:hint="eastAsia" w:ascii="仿宋_GB2312" w:hAnsi="Times New Roman" w:eastAsia="仿宋_GB2312"/>
          <w:color w:val="auto"/>
          <w:sz w:val="28"/>
          <w:szCs w:val="28"/>
        </w:rPr>
        <w:t>五   谈判及评</w:t>
      </w:r>
      <w:bookmarkEnd w:id="279"/>
      <w:bookmarkEnd w:id="280"/>
      <w:bookmarkEnd w:id="281"/>
      <w:bookmarkEnd w:id="282"/>
      <w:bookmarkEnd w:id="283"/>
      <w:bookmarkEnd w:id="284"/>
      <w:bookmarkEnd w:id="285"/>
      <w:r>
        <w:rPr>
          <w:rFonts w:hint="eastAsia" w:ascii="仿宋_GB2312" w:hAnsi="Times New Roman" w:eastAsia="仿宋_GB2312"/>
          <w:color w:val="auto"/>
          <w:sz w:val="28"/>
          <w:szCs w:val="28"/>
        </w:rPr>
        <w:t>审</w:t>
      </w:r>
      <w:bookmarkEnd w:id="286"/>
    </w:p>
    <w:p w14:paraId="27D6EB26">
      <w:pPr>
        <w:pStyle w:val="9"/>
        <w:numPr>
          <w:ilvl w:val="0"/>
          <w:numId w:val="2"/>
        </w:numPr>
        <w:snapToGrid w:val="0"/>
        <w:spacing w:before="0" w:after="0" w:line="380" w:lineRule="exact"/>
        <w:textAlignment w:val="baseline"/>
        <w:rPr>
          <w:rFonts w:hint="eastAsia" w:ascii="仿宋_GB2312" w:eastAsia="仿宋_GB2312"/>
          <w:color w:val="auto"/>
          <w:szCs w:val="24"/>
          <w:u w:val="none"/>
        </w:rPr>
      </w:pPr>
      <w:bookmarkStart w:id="287" w:name="_Toc17884"/>
      <w:r>
        <w:rPr>
          <w:rFonts w:hint="eastAsia" w:ascii="仿宋_GB2312" w:eastAsia="仿宋_GB2312"/>
          <w:color w:val="auto"/>
          <w:szCs w:val="24"/>
          <w:u w:val="none"/>
        </w:rPr>
        <w:t>谈判</w:t>
      </w:r>
      <w:bookmarkEnd w:id="287"/>
    </w:p>
    <w:p w14:paraId="2B2F7B01">
      <w:pPr>
        <w:numPr>
          <w:ilvl w:val="1"/>
          <w:numId w:val="2"/>
        </w:num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投标人按照</w:t>
      </w:r>
      <w:r>
        <w:rPr>
          <w:rFonts w:hint="eastAsia" w:ascii="仿宋_GB2312" w:eastAsia="仿宋_GB2312"/>
          <w:color w:val="auto"/>
          <w:sz w:val="24"/>
          <w:u w:val="single"/>
        </w:rPr>
        <w:t>供应商须知资料表</w:t>
      </w:r>
      <w:r>
        <w:rPr>
          <w:rFonts w:hint="eastAsia" w:ascii="仿宋_GB2312" w:eastAsia="仿宋_GB2312"/>
          <w:color w:val="auto"/>
          <w:sz w:val="24"/>
        </w:rPr>
        <w:t>中规定的判时间谈和地点，在规定时间内递交响应文件。</w:t>
      </w:r>
    </w:p>
    <w:p w14:paraId="7DC352AB">
      <w:pPr>
        <w:numPr>
          <w:ilvl w:val="1"/>
          <w:numId w:val="2"/>
        </w:num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采购人和采购代理机构将按</w:t>
      </w:r>
      <w:r>
        <w:rPr>
          <w:rFonts w:hint="eastAsia" w:ascii="仿宋_GB2312" w:eastAsia="仿宋_GB2312"/>
          <w:color w:val="auto"/>
          <w:sz w:val="24"/>
          <w:u w:val="single"/>
        </w:rPr>
        <w:t>供应商须知资料表中</w:t>
      </w:r>
      <w:r>
        <w:rPr>
          <w:rFonts w:hint="eastAsia" w:ascii="仿宋_GB2312" w:eastAsia="仿宋_GB2312"/>
          <w:color w:val="auto"/>
          <w:sz w:val="24"/>
        </w:rPr>
        <w:t>规定的开标时间和地点，组织进行竞争性谈判。</w:t>
      </w:r>
    </w:p>
    <w:p w14:paraId="742B776B">
      <w:pPr>
        <w:numPr>
          <w:ilvl w:val="1"/>
          <w:numId w:val="2"/>
        </w:num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响应文件的解密：谈判时，采购代理机构点击“开启解密”后，投标人用“项目采购-开标评标”功能进行解密响应文件，</w:t>
      </w:r>
      <w:r>
        <w:rPr>
          <w:rFonts w:hint="eastAsia" w:ascii="仿宋_GB2312" w:eastAsia="仿宋_GB2312"/>
          <w:b/>
          <w:bCs/>
          <w:color w:val="auto"/>
          <w:sz w:val="24"/>
        </w:rPr>
        <w:t>解密时长为30分钟</w:t>
      </w:r>
      <w:r>
        <w:rPr>
          <w:rFonts w:hint="eastAsia" w:ascii="仿宋_GB2312" w:eastAsia="仿宋_GB2312"/>
          <w:color w:val="auto"/>
          <w:sz w:val="24"/>
        </w:rPr>
        <w:t>，投标人应使用与加密时使用的同一把CA锁进行解密操作。如出现供应商自身原因造成的无法未按时解密的，其响应将被认定为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569D7A4D">
      <w:pPr>
        <w:numPr>
          <w:ilvl w:val="1"/>
          <w:numId w:val="2"/>
        </w:num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由采购代理机构开启报价，所有供应商在线CA签字确认，</w:t>
      </w:r>
      <w:r>
        <w:rPr>
          <w:rFonts w:hint="eastAsia" w:ascii="仿宋_GB2312" w:eastAsia="仿宋_GB2312"/>
          <w:b/>
          <w:bCs/>
          <w:color w:val="auto"/>
          <w:sz w:val="24"/>
        </w:rPr>
        <w:t>报价确认时段限制为10分钟</w:t>
      </w:r>
      <w:r>
        <w:rPr>
          <w:rFonts w:hint="eastAsia" w:ascii="仿宋_GB2312" w:eastAsia="仿宋_GB2312"/>
          <w:color w:val="auto"/>
          <w:sz w:val="24"/>
        </w:rPr>
        <w:t>。</w:t>
      </w:r>
    </w:p>
    <w:p w14:paraId="10031EC6">
      <w:pPr>
        <w:spacing w:line="400" w:lineRule="exact"/>
        <w:ind w:left="960" w:hanging="960" w:hangingChars="400"/>
        <w:rPr>
          <w:rFonts w:hint="eastAsia" w:ascii="仿宋_GB2312" w:eastAsia="仿宋_GB2312"/>
          <w:color w:val="auto"/>
          <w:sz w:val="24"/>
        </w:rPr>
      </w:pPr>
      <w:r>
        <w:rPr>
          <w:rFonts w:hint="eastAsia" w:ascii="仿宋_GB2312" w:eastAsia="仿宋_GB2312"/>
          <w:color w:val="auto"/>
          <w:sz w:val="24"/>
        </w:rPr>
        <w:t>18.5   本次采用不见面方式，在规定的谈判截止时间(谈判时间)和供应商单位须知前附表规定的地点谈判。供应商单位的法定代表人或其委托代理人无需到达谈判现场,仅需在任意地点通过政采云不见面谈判系统,使用 CA 密钥完成远程解密、提疑澄清、报价、结果公布等交互环节。</w:t>
      </w:r>
    </w:p>
    <w:p w14:paraId="26940ABB">
      <w:pPr>
        <w:spacing w:line="400" w:lineRule="exact"/>
        <w:ind w:left="957" w:leftChars="456"/>
        <w:rPr>
          <w:rFonts w:hint="eastAsia" w:ascii="仿宋_GB2312" w:eastAsia="仿宋_GB2312"/>
          <w:color w:val="auto"/>
          <w:sz w:val="24"/>
        </w:rPr>
      </w:pPr>
      <w:r>
        <w:rPr>
          <w:rFonts w:hint="eastAsia" w:ascii="仿宋_GB2312" w:eastAsia="仿宋_GB2312"/>
          <w:color w:val="auto"/>
          <w:sz w:val="24"/>
        </w:rPr>
        <w:t>谈判前供应商单位完成设备测试，保证摄像头及麦克风正常使用。自开始时间起至谈判结束，供应商单位须登录新疆政府采购平台并保持网络畅通，随时答复评审委员会的疑问。若供应商单位未在规定时间内答复的，由此产生的后果将由供应商单位自行承担。</w:t>
      </w:r>
    </w:p>
    <w:p w14:paraId="26E41D5A">
      <w:pPr>
        <w:spacing w:line="400" w:lineRule="exact"/>
        <w:ind w:left="957" w:leftChars="456"/>
        <w:rPr>
          <w:rFonts w:hint="eastAsia" w:ascii="仿宋_GB2312" w:eastAsia="仿宋_GB2312"/>
          <w:color w:val="auto"/>
          <w:sz w:val="24"/>
        </w:rPr>
      </w:pPr>
      <w:r>
        <w:rPr>
          <w:rFonts w:hint="eastAsia" w:ascii="仿宋_GB2312" w:eastAsia="仿宋_GB2312"/>
          <w:color w:val="auto"/>
          <w:sz w:val="24"/>
        </w:rPr>
        <w:t>法定代表人或法定代表人授权委托人参与远程交互,中途不得更换,在无效谈判资格、澄清、提疑、传送文件等特殊情况下需要交互时，供应商单位一端参与交互的人员将均被视为是供应商单位的授权委托人或法定代表人，供应商单位不得以不承认交互人员的资格或身份等为借口推脱，供应商单位自行承担随意更换人员所导致的一切后果。</w:t>
      </w:r>
    </w:p>
    <w:p w14:paraId="7E55E5AF">
      <w:pPr>
        <w:pStyle w:val="10"/>
        <w:spacing w:line="380" w:lineRule="exact"/>
        <w:ind w:left="960" w:hanging="960" w:hangingChars="400"/>
        <w:rPr>
          <w:rFonts w:hint="eastAsia" w:ascii="仿宋_GB2312" w:eastAsia="仿宋_GB2312"/>
          <w:color w:val="auto"/>
          <w:szCs w:val="24"/>
        </w:rPr>
      </w:pPr>
      <w:r>
        <w:rPr>
          <w:rFonts w:hint="eastAsia" w:ascii="仿宋_GB2312" w:eastAsia="仿宋_GB2312"/>
          <w:color w:val="auto"/>
          <w:szCs w:val="24"/>
        </w:rPr>
        <w:t xml:space="preserve">18.6    </w:t>
      </w:r>
      <w:bookmarkStart w:id="288" w:name="_Toc520356165"/>
      <w:bookmarkStart w:id="289" w:name="_Toc19296"/>
      <w:bookmarkStart w:id="290" w:name="_Toc5428"/>
      <w:bookmarkStart w:id="291" w:name="_Toc515647780"/>
      <w:bookmarkStart w:id="292" w:name="_Toc21372"/>
      <w:bookmarkStart w:id="293" w:name="_Toc5768"/>
      <w:bookmarkStart w:id="294" w:name="_Toc28768"/>
      <w:bookmarkStart w:id="295" w:name="_Toc18658"/>
      <w:bookmarkStart w:id="296" w:name="_Toc6401"/>
      <w:bookmarkStart w:id="297" w:name="_Toc18057"/>
      <w:bookmarkStart w:id="298" w:name="_Toc5402"/>
      <w:bookmarkStart w:id="299" w:name="_Toc9240"/>
      <w:bookmarkStart w:id="300" w:name="_Toc14954"/>
      <w:r>
        <w:rPr>
          <w:rFonts w:hint="eastAsia" w:ascii="仿宋_GB2312" w:eastAsia="仿宋_GB2312"/>
          <w:color w:val="auto"/>
          <w:szCs w:val="24"/>
        </w:rPr>
        <w:t>供应商之间不得相互串通报价，不得妨碍其他供应商的公平竞争，不得损害采购单位或者其他供应商的合法权益。</w:t>
      </w:r>
    </w:p>
    <w:p w14:paraId="40CD59FE">
      <w:pPr>
        <w:pStyle w:val="10"/>
        <w:spacing w:line="380" w:lineRule="exact"/>
        <w:ind w:left="960" w:hanging="960" w:hangingChars="400"/>
        <w:rPr>
          <w:rFonts w:hint="eastAsia" w:ascii="仿宋_GB2312" w:eastAsia="仿宋_GB2312"/>
          <w:color w:val="auto"/>
          <w:szCs w:val="24"/>
        </w:rPr>
      </w:pPr>
      <w:r>
        <w:rPr>
          <w:rFonts w:hint="eastAsia" w:ascii="仿宋_GB2312" w:eastAsia="仿宋_GB2312"/>
          <w:color w:val="auto"/>
          <w:szCs w:val="24"/>
        </w:rPr>
        <w:t>18.7    供应商不得以向采购单位、评审委员会成员行贿或者采取其他不正当手段谋取成交。</w:t>
      </w:r>
    </w:p>
    <w:p w14:paraId="6D3CD0B1">
      <w:pPr>
        <w:spacing w:line="400" w:lineRule="exact"/>
        <w:ind w:left="960" w:hanging="960" w:hangingChars="400"/>
        <w:rPr>
          <w:rFonts w:hint="eastAsia" w:ascii="仿宋_GB2312" w:eastAsia="仿宋_GB2312"/>
          <w:color w:val="auto"/>
          <w:sz w:val="24"/>
        </w:rPr>
      </w:pPr>
      <w:r>
        <w:rPr>
          <w:rFonts w:hint="eastAsia" w:ascii="仿宋_GB2312" w:eastAsia="仿宋_GB2312"/>
          <w:color w:val="auto"/>
          <w:sz w:val="24"/>
        </w:rPr>
        <w:t>18.8    谈判小组进行谈判：</w:t>
      </w:r>
    </w:p>
    <w:p w14:paraId="657AD028">
      <w:pPr>
        <w:spacing w:line="380" w:lineRule="exact"/>
        <w:ind w:left="960" w:hanging="960" w:hangingChars="400"/>
        <w:rPr>
          <w:rFonts w:hint="eastAsia" w:ascii="仿宋_GB2312" w:eastAsia="仿宋_GB2312"/>
          <w:color w:val="auto"/>
          <w:sz w:val="24"/>
        </w:rPr>
      </w:pPr>
      <w:r>
        <w:rPr>
          <w:rFonts w:hint="eastAsia" w:ascii="仿宋_GB2312" w:eastAsia="仿宋_GB2312"/>
          <w:color w:val="auto"/>
          <w:sz w:val="24"/>
        </w:rPr>
        <w:t>18.8.1   谈判小组应当对响应文件进行评审，并根据谈判文件规定的程序、评定成交的标准等事项与实质性响应谈判文件要求的供应商进行谈判。未实质性响应谈判文件的响应文件按无效处理，谈判小组应当告知有关供应商。谈判小组应当集中与单一供应商分别进行谈判，并给予所有参加谈判的供应商平等的谈判机会。</w:t>
      </w:r>
    </w:p>
    <w:p w14:paraId="6D1ED1FE">
      <w:pPr>
        <w:pStyle w:val="10"/>
        <w:spacing w:line="380" w:lineRule="exact"/>
        <w:ind w:left="960" w:hanging="960" w:hangingChars="400"/>
        <w:rPr>
          <w:rFonts w:hint="eastAsia" w:ascii="仿宋_GB2312" w:eastAsia="仿宋_GB2312"/>
          <w:color w:val="auto"/>
          <w:kern w:val="2"/>
          <w:szCs w:val="24"/>
        </w:rPr>
      </w:pPr>
      <w:r>
        <w:rPr>
          <w:rFonts w:hint="eastAsia" w:ascii="仿宋_GB2312" w:eastAsia="仿宋_GB2312"/>
          <w:color w:val="auto"/>
          <w:kern w:val="2"/>
          <w:szCs w:val="24"/>
        </w:rPr>
        <w:t>18.8.2  谈判过程中,谈判小组可以根据谈判文件和谈判情况实质性变动采购需求中的技术、服务要求以及合同草案条款，但不得变动谈判文件中的其他内容。实质性变动的内容，须经采购人代表确认。</w:t>
      </w:r>
    </w:p>
    <w:p w14:paraId="4BD64DC1">
      <w:pPr>
        <w:pStyle w:val="10"/>
        <w:spacing w:line="380" w:lineRule="exact"/>
        <w:ind w:left="960" w:hanging="960" w:hangingChars="400"/>
        <w:rPr>
          <w:rFonts w:hint="eastAsia" w:ascii="仿宋_GB2312" w:eastAsia="仿宋_GB2312"/>
          <w:color w:val="auto"/>
          <w:kern w:val="2"/>
          <w:szCs w:val="24"/>
        </w:rPr>
      </w:pPr>
      <w:r>
        <w:rPr>
          <w:rFonts w:hint="eastAsia" w:ascii="仿宋_GB2312" w:eastAsia="仿宋_GB2312"/>
          <w:color w:val="auto"/>
          <w:kern w:val="2"/>
          <w:szCs w:val="24"/>
        </w:rPr>
        <w:t>18.8.3   对谈判文件作出的实质性变动是谈判文件的有效组成部分, 谈判小组应当及时以书面形式同时通知所有参加谈判的供应商，并给所有谈判供应商提供较充分的修正时间。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7A911D15">
      <w:pPr>
        <w:pStyle w:val="10"/>
        <w:spacing w:line="380" w:lineRule="exact"/>
        <w:ind w:left="960" w:hanging="960" w:hangingChars="400"/>
        <w:rPr>
          <w:rFonts w:hint="eastAsia" w:ascii="仿宋_GB2312" w:eastAsia="仿宋_GB2312"/>
          <w:color w:val="auto"/>
          <w:kern w:val="2"/>
          <w:szCs w:val="24"/>
        </w:rPr>
      </w:pPr>
      <w:r>
        <w:rPr>
          <w:rFonts w:hint="eastAsia" w:ascii="仿宋_GB2312" w:eastAsia="仿宋_GB2312"/>
          <w:color w:val="auto"/>
          <w:kern w:val="2"/>
          <w:szCs w:val="24"/>
        </w:rPr>
        <w:t>18.8.4  谈判文件能够详细列明采购标的的技术、服务要求的，谈判结束后，谈判小组应当要求所有继续参加谈判的供应商在规定时间内提交最后报价，提交最后报价的供应商不得少于3家。</w:t>
      </w:r>
    </w:p>
    <w:p w14:paraId="1DEF45FB">
      <w:pPr>
        <w:pStyle w:val="10"/>
        <w:spacing w:line="380" w:lineRule="exact"/>
        <w:ind w:left="957" w:leftChars="456" w:firstLine="0"/>
        <w:rPr>
          <w:rFonts w:hint="eastAsia" w:ascii="仿宋_GB2312" w:eastAsia="仿宋_GB2312"/>
          <w:color w:val="auto"/>
          <w:kern w:val="2"/>
          <w:szCs w:val="24"/>
        </w:rPr>
      </w:pPr>
      <w:r>
        <w:rPr>
          <w:rFonts w:hint="eastAsia" w:ascii="仿宋_GB2312" w:eastAsia="仿宋_GB2312"/>
          <w:color w:val="auto"/>
          <w:kern w:val="2"/>
          <w:szCs w:val="24"/>
        </w:rPr>
        <w:t>谈判文件不能详细列明采购标的的技术、服务要求的，需经谈判由供应商提供最终设计方案或解决方案的，谈判结束后，谈判小组应当按照少数服从多数的原则投票推荐3家以上供应商的设计方案或者解决方案，并要求其在规定时间内提交最后报价。</w:t>
      </w:r>
    </w:p>
    <w:p w14:paraId="31C17CAA">
      <w:pPr>
        <w:pStyle w:val="10"/>
        <w:spacing w:line="380" w:lineRule="exact"/>
        <w:ind w:left="957" w:leftChars="456" w:firstLine="0"/>
        <w:rPr>
          <w:rFonts w:hint="eastAsia" w:ascii="仿宋_GB2312" w:eastAsia="仿宋_GB2312"/>
          <w:color w:val="auto"/>
          <w:kern w:val="2"/>
          <w:szCs w:val="24"/>
        </w:rPr>
      </w:pPr>
      <w:r>
        <w:rPr>
          <w:rFonts w:hint="eastAsia" w:ascii="仿宋_GB2312" w:eastAsia="仿宋_GB2312"/>
          <w:color w:val="auto"/>
          <w:kern w:val="2"/>
          <w:szCs w:val="24"/>
        </w:rPr>
        <w:t>最后报价是供应商响应文件的有效组成文件。</w:t>
      </w:r>
    </w:p>
    <w:p w14:paraId="20BE9FE1">
      <w:pPr>
        <w:pStyle w:val="10"/>
        <w:spacing w:line="380" w:lineRule="exact"/>
        <w:ind w:left="960" w:hanging="960" w:hangingChars="400"/>
        <w:rPr>
          <w:rFonts w:hint="eastAsia" w:ascii="仿宋_GB2312" w:eastAsia="仿宋_GB2312"/>
          <w:color w:val="auto"/>
          <w:kern w:val="2"/>
          <w:szCs w:val="24"/>
        </w:rPr>
      </w:pPr>
      <w:r>
        <w:rPr>
          <w:rFonts w:hint="eastAsia" w:ascii="仿宋_GB2312" w:eastAsia="仿宋_GB2312"/>
          <w:color w:val="auto"/>
          <w:kern w:val="2"/>
          <w:szCs w:val="24"/>
        </w:rPr>
        <w:t>18.8.5  已提交响应文件的供应商，在提交最后报价之前，可以根据谈判情况退出谈判。采购人、采购代理机构应当退还退出谈判的供应商的保证金。</w:t>
      </w:r>
    </w:p>
    <w:p w14:paraId="663595E3">
      <w:pPr>
        <w:pStyle w:val="9"/>
        <w:snapToGrid w:val="0"/>
        <w:spacing w:before="0" w:after="0" w:line="380" w:lineRule="exact"/>
        <w:textAlignment w:val="baseline"/>
        <w:rPr>
          <w:rFonts w:hint="eastAsia" w:ascii="仿宋_GB2312" w:eastAsia="仿宋_GB2312"/>
          <w:color w:val="auto"/>
          <w:szCs w:val="24"/>
          <w:u w:val="none"/>
        </w:rPr>
      </w:pPr>
      <w:bookmarkStart w:id="301" w:name="_Toc16354"/>
      <w:r>
        <w:rPr>
          <w:rFonts w:hint="eastAsia" w:ascii="仿宋_GB2312" w:eastAsia="仿宋_GB2312"/>
          <w:color w:val="auto"/>
          <w:szCs w:val="24"/>
          <w:u w:val="none"/>
        </w:rPr>
        <w:t>19.</w:t>
      </w:r>
      <w:bookmarkEnd w:id="288"/>
      <w:r>
        <w:rPr>
          <w:rFonts w:hint="eastAsia" w:ascii="仿宋_GB2312" w:eastAsia="仿宋_GB2312"/>
          <w:color w:val="auto"/>
          <w:szCs w:val="24"/>
          <w:u w:val="none"/>
        </w:rPr>
        <w:t>资格审查及组建</w:t>
      </w:r>
      <w:bookmarkEnd w:id="289"/>
      <w:bookmarkEnd w:id="290"/>
      <w:bookmarkEnd w:id="291"/>
      <w:bookmarkEnd w:id="292"/>
      <w:r>
        <w:rPr>
          <w:rFonts w:hint="eastAsia" w:ascii="仿宋_GB2312" w:eastAsia="仿宋_GB2312"/>
          <w:color w:val="auto"/>
          <w:szCs w:val="24"/>
          <w:u w:val="none"/>
        </w:rPr>
        <w:t>谈判小组</w:t>
      </w:r>
      <w:bookmarkEnd w:id="293"/>
      <w:bookmarkEnd w:id="294"/>
      <w:bookmarkEnd w:id="295"/>
      <w:bookmarkEnd w:id="296"/>
      <w:bookmarkEnd w:id="297"/>
      <w:bookmarkEnd w:id="298"/>
      <w:bookmarkEnd w:id="299"/>
      <w:bookmarkEnd w:id="300"/>
      <w:bookmarkEnd w:id="301"/>
    </w:p>
    <w:p w14:paraId="6FCB2DF8">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19.1    采购人或采购代理机构依据法律法规和谈判文件中规定的内容，对供应商资格进行审查，未通过资格审查的供应商不进入评标。</w:t>
      </w:r>
    </w:p>
    <w:p w14:paraId="6F473F1F">
      <w:pPr>
        <w:widowControl/>
        <w:snapToGrid w:val="0"/>
        <w:spacing w:line="380" w:lineRule="exact"/>
        <w:jc w:val="left"/>
        <w:textAlignment w:val="baseline"/>
        <w:rPr>
          <w:rFonts w:hint="eastAsia" w:ascii="仿宋_GB2312" w:eastAsia="仿宋_GB2312"/>
          <w:b/>
          <w:bCs/>
          <w:color w:val="auto"/>
          <w:sz w:val="24"/>
        </w:rPr>
      </w:pPr>
      <w:r>
        <w:rPr>
          <w:rFonts w:hint="eastAsia" w:ascii="仿宋_GB2312" w:eastAsia="仿宋_GB2312"/>
          <w:color w:val="auto"/>
          <w:sz w:val="28"/>
          <w:szCs w:val="28"/>
        </w:rPr>
        <w:t xml:space="preserve">        </w:t>
      </w:r>
      <w:r>
        <w:rPr>
          <w:rFonts w:hint="eastAsia" w:ascii="仿宋_GB2312" w:eastAsia="仿宋_GB2312"/>
          <w:b/>
          <w:bCs/>
          <w:color w:val="auto"/>
          <w:sz w:val="24"/>
        </w:rPr>
        <w:t>资格审查内容如下：</w:t>
      </w:r>
    </w:p>
    <w:p w14:paraId="079D1BCC">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（1）企业三证合一的法人营业执照或含二维码的营业执照；</w:t>
      </w:r>
    </w:p>
    <w:p w14:paraId="056107A4">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 xml:space="preserve">（2）法定代表人授权书及被授权人身份证，法人资格证明，法人本人参与投标提供法人身份证；  </w:t>
      </w:r>
    </w:p>
    <w:p w14:paraId="40D8891A">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3）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w:t>
      </w:r>
    </w:p>
    <w:p w14:paraId="0453C7F0">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（4）2024年的财务审计报告与健全的财务会计制度（新成立的公司近三个月内的银行资信证明与健全的财务会计制度）；</w:t>
      </w:r>
    </w:p>
    <w:p w14:paraId="6F76639C">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（5）缴纳税收近半年任意1个月的完税证明（零申报请出具税务部门加盖公章的证明材料或无欠款税收证明）；</w:t>
      </w:r>
    </w:p>
    <w:p w14:paraId="1B6FEFB2">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（6）根据《财政部关于在政府采购活动中查询及使用信用记录有关问题的通知》（财库</w:t>
      </w:r>
      <w:r>
        <w:rPr>
          <w:rFonts w:hint="eastAsia" w:ascii="宋体" w:hAnsi="宋体" w:cs="宋体"/>
          <w:b/>
          <w:bCs/>
          <w:color w:val="auto"/>
          <w:sz w:val="24"/>
        </w:rPr>
        <w:t>﹝</w:t>
      </w:r>
      <w:r>
        <w:rPr>
          <w:rFonts w:hint="eastAsia" w:ascii="仿宋_GB2312" w:eastAsia="仿宋_GB2312"/>
          <w:b/>
          <w:bCs/>
          <w:color w:val="auto"/>
          <w:sz w:val="24"/>
        </w:rPr>
        <w:t>2016</w:t>
      </w:r>
      <w:r>
        <w:rPr>
          <w:rFonts w:hint="eastAsia" w:ascii="宋体" w:hAnsi="宋体" w:cs="宋体"/>
          <w:b/>
          <w:bCs/>
          <w:color w:val="auto"/>
          <w:sz w:val="24"/>
        </w:rPr>
        <w:t>﹞</w:t>
      </w:r>
      <w:r>
        <w:rPr>
          <w:rFonts w:hint="eastAsia" w:ascii="仿宋_GB2312" w:eastAsia="仿宋_GB2312"/>
          <w:b/>
          <w:bCs/>
          <w:color w:val="auto"/>
          <w:sz w:val="24"/>
        </w:rPr>
        <w:t>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197C994B">
      <w:pPr>
        <w:snapToGrid w:val="0"/>
        <w:spacing w:line="380" w:lineRule="exact"/>
        <w:ind w:left="1037" w:leftChars="494"/>
        <w:textAlignment w:val="baseline"/>
        <w:rPr>
          <w:rFonts w:ascii="仿宋_GB2312" w:eastAsia="仿宋_GB2312"/>
          <w:b/>
          <w:bCs/>
          <w:color w:val="auto"/>
          <w:sz w:val="24"/>
        </w:rPr>
      </w:pPr>
      <w:r>
        <w:rPr>
          <w:rFonts w:ascii="仿宋_GB2312" w:eastAsia="仿宋_GB2312"/>
          <w:b/>
          <w:bCs/>
          <w:color w:val="auto"/>
          <w:sz w:val="24"/>
        </w:rPr>
        <w:t>（7）在参加政府采购活动中前三年内无重大违法记录的承诺书；</w:t>
      </w:r>
    </w:p>
    <w:p w14:paraId="6BC77368">
      <w:pPr>
        <w:snapToGrid w:val="0"/>
        <w:spacing w:line="380" w:lineRule="exact"/>
        <w:ind w:left="1037" w:leftChars="494"/>
        <w:textAlignment w:val="baseline"/>
        <w:rPr>
          <w:rFonts w:ascii="仿宋_GB2312" w:eastAsia="仿宋_GB2312"/>
          <w:b/>
          <w:bCs/>
          <w:color w:val="auto"/>
          <w:sz w:val="24"/>
        </w:rPr>
      </w:pPr>
      <w:r>
        <w:rPr>
          <w:rFonts w:ascii="仿宋_GB2312" w:eastAsia="仿宋_GB2312"/>
          <w:b/>
          <w:bCs/>
          <w:color w:val="auto"/>
          <w:sz w:val="24"/>
        </w:rPr>
        <w:t>（8）提供针对本次项目《反商业贿赂承诺书》书面声明；</w:t>
      </w:r>
    </w:p>
    <w:p w14:paraId="67D6A964">
      <w:pPr>
        <w:snapToGrid w:val="0"/>
        <w:spacing w:line="380" w:lineRule="exact"/>
        <w:ind w:left="1037" w:leftChars="494"/>
        <w:textAlignment w:val="baseline"/>
        <w:rPr>
          <w:rFonts w:ascii="仿宋_GB2312" w:eastAsia="仿宋_GB2312"/>
          <w:b/>
          <w:bCs/>
          <w:color w:val="auto"/>
          <w:sz w:val="24"/>
        </w:rPr>
      </w:pPr>
      <w:r>
        <w:rPr>
          <w:rFonts w:ascii="仿宋_GB2312" w:eastAsia="仿宋_GB2312"/>
          <w:b/>
          <w:bCs/>
          <w:color w:val="auto"/>
          <w:sz w:val="24"/>
        </w:rPr>
        <w:t>（</w:t>
      </w:r>
      <w:r>
        <w:rPr>
          <w:rFonts w:hint="eastAsia" w:ascii="仿宋_GB2312" w:eastAsia="仿宋_GB2312"/>
          <w:b/>
          <w:bCs/>
          <w:color w:val="auto"/>
          <w:sz w:val="24"/>
        </w:rPr>
        <w:t>9</w:t>
      </w:r>
      <w:r>
        <w:rPr>
          <w:rFonts w:ascii="仿宋_GB2312" w:eastAsia="仿宋_GB2312"/>
          <w:b/>
          <w:bCs/>
          <w:color w:val="auto"/>
          <w:sz w:val="24"/>
        </w:rPr>
        <w:t>）</w:t>
      </w:r>
      <w:r>
        <w:rPr>
          <w:rFonts w:hint="eastAsia" w:ascii="仿宋_GB2312" w:eastAsia="仿宋_GB2312"/>
          <w:b/>
          <w:bCs/>
          <w:color w:val="auto"/>
          <w:sz w:val="24"/>
        </w:rPr>
        <w:t>中小企业声明函</w:t>
      </w:r>
      <w:r>
        <w:rPr>
          <w:rFonts w:ascii="仿宋_GB2312" w:eastAsia="仿宋_GB2312"/>
          <w:b/>
          <w:bCs/>
          <w:color w:val="auto"/>
          <w:sz w:val="24"/>
        </w:rPr>
        <w:t>。</w:t>
      </w:r>
    </w:p>
    <w:p w14:paraId="5210607A">
      <w:pPr>
        <w:snapToGrid w:val="0"/>
        <w:spacing w:line="380" w:lineRule="exact"/>
        <w:ind w:left="1037" w:leftChars="494"/>
        <w:textAlignment w:val="baseline"/>
        <w:rPr>
          <w:rFonts w:ascii="仿宋_GB2312" w:eastAsia="仿宋_GB2312"/>
          <w:b/>
          <w:color w:val="auto"/>
          <w:sz w:val="24"/>
        </w:rPr>
      </w:pPr>
      <w:r>
        <w:rPr>
          <w:rFonts w:ascii="仿宋_GB2312" w:eastAsia="仿宋_GB2312"/>
          <w:b/>
          <w:color w:val="auto"/>
          <w:sz w:val="24"/>
        </w:rPr>
        <w:t>提示：①上述资质谈判现场能够通过官方网络查证的，均视为合格供应商。②完税证明中“税种”非养老保险、医疗保险、失业保险、工伤保险和生育保险。③“信用中国”网站(www.creditchina.gov.cn)查询记录请下载完整的查询报告并加盖公章上传扫描件。④未通过资格审查的供应商或供应商不足3家的，不得进入评审。</w:t>
      </w:r>
    </w:p>
    <w:p w14:paraId="5D1BFCF5">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19.2    采购人或采购代理机构将在投标截止后 1 小时间内查询投标人的信用记录。供应商存在不良信用记录的，其响应将被认定为响应无效。</w:t>
      </w:r>
    </w:p>
    <w:p w14:paraId="7129A4FF">
      <w:pPr>
        <w:snapToGrid w:val="0"/>
        <w:spacing w:line="380" w:lineRule="exact"/>
        <w:ind w:left="960" w:hanging="960" w:hangingChars="400"/>
        <w:textAlignment w:val="baseline"/>
        <w:rPr>
          <w:rFonts w:hint="eastAsia" w:ascii="仿宋_GB2312" w:eastAsia="仿宋_GB2312"/>
          <w:color w:val="auto"/>
          <w:sz w:val="24"/>
        </w:rPr>
      </w:pPr>
      <w:r>
        <w:rPr>
          <w:rFonts w:hint="eastAsia" w:ascii="仿宋_GB2312" w:eastAsia="仿宋_GB2312"/>
          <w:color w:val="auto"/>
          <w:sz w:val="24"/>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14:paraId="79DA6AF1">
      <w:pPr>
        <w:snapToGrid w:val="0"/>
        <w:spacing w:line="380" w:lineRule="exact"/>
        <w:ind w:left="957" w:leftChars="456"/>
        <w:textAlignment w:val="baseline"/>
        <w:rPr>
          <w:rFonts w:hint="eastAsia" w:ascii="仿宋_GB2312" w:eastAsia="仿宋_GB2312"/>
          <w:color w:val="auto"/>
          <w:sz w:val="24"/>
        </w:rPr>
      </w:pPr>
      <w:r>
        <w:rPr>
          <w:rFonts w:hint="eastAsia" w:ascii="仿宋_GB2312" w:eastAsia="仿宋_GB2312"/>
          <w:color w:val="auto"/>
          <w:sz w:val="24"/>
        </w:rPr>
        <w:t>以联合体形式参加谈判的，联合体任何成员存在以上不良信用记录的，联合体响应将被认定为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3ACCF8ED">
      <w:pPr>
        <w:pStyle w:val="10"/>
        <w:snapToGrid w:val="0"/>
        <w:spacing w:line="380" w:lineRule="exact"/>
        <w:ind w:left="850" w:hanging="849" w:hangingChars="354"/>
        <w:jc w:val="both"/>
        <w:textAlignment w:val="baseline"/>
        <w:rPr>
          <w:rFonts w:hint="eastAsia" w:ascii="仿宋_GB2312" w:eastAsia="仿宋_GB2312"/>
          <w:color w:val="auto"/>
          <w:szCs w:val="24"/>
        </w:rPr>
      </w:pPr>
      <w:r>
        <w:rPr>
          <w:rFonts w:hint="eastAsia" w:ascii="仿宋_GB2312" w:eastAsia="仿宋_GB2312"/>
          <w:color w:val="auto"/>
          <w:szCs w:val="24"/>
        </w:rPr>
        <w:t>19.2.2  查询及记录方式：采购人或采购代理机构经办人将查询结果签字存档。供应商不良信用记录以采购人或采购代理机构查询结果为准。在本谈判文件规定的查询时间之后，网站信息发生的任何变更均不再作为评标依据。</w:t>
      </w:r>
    </w:p>
    <w:p w14:paraId="59B62563">
      <w:pPr>
        <w:pStyle w:val="10"/>
        <w:snapToGrid w:val="0"/>
        <w:ind w:left="980" w:leftChars="467" w:firstLine="0"/>
        <w:jc w:val="both"/>
        <w:textAlignment w:val="baseline"/>
        <w:rPr>
          <w:rFonts w:hint="eastAsia" w:ascii="仿宋_GB2312" w:eastAsia="仿宋_GB2312"/>
          <w:color w:val="auto"/>
          <w:szCs w:val="24"/>
        </w:rPr>
      </w:pPr>
      <w:r>
        <w:rPr>
          <w:rFonts w:hint="eastAsia" w:ascii="仿宋_GB2312" w:eastAsia="仿宋_GB2312"/>
          <w:color w:val="auto"/>
          <w:szCs w:val="24"/>
        </w:rPr>
        <w:t>供应商自行提供的与网站信息不一致的其他证明材料亦不作为资格审查依据。</w:t>
      </w:r>
    </w:p>
    <w:p w14:paraId="149CAD67">
      <w:pPr>
        <w:pStyle w:val="9"/>
        <w:snapToGrid w:val="0"/>
        <w:spacing w:before="0" w:after="0" w:line="380" w:lineRule="exact"/>
        <w:ind w:left="960" w:hanging="960" w:hangingChars="400"/>
        <w:jc w:val="both"/>
        <w:textAlignment w:val="baseline"/>
        <w:rPr>
          <w:rFonts w:hint="eastAsia" w:ascii="仿宋_GB2312" w:eastAsia="仿宋_GB2312"/>
          <w:bCs/>
          <w:color w:val="auto"/>
          <w:szCs w:val="24"/>
          <w:u w:val="none"/>
          <w:lang w:eastAsia="zh-CN"/>
        </w:rPr>
      </w:pPr>
      <w:bookmarkStart w:id="302" w:name="_Toc22125"/>
      <w:r>
        <w:rPr>
          <w:rFonts w:ascii="Times New Roman" w:eastAsia="方正仿宋简体"/>
          <w:b w:val="0"/>
          <w:bCs/>
          <w:color w:val="auto"/>
          <w:szCs w:val="24"/>
          <w:u w:val="none"/>
        </w:rPr>
        <w:t xml:space="preserve">19.3 </w:t>
      </w:r>
      <w:r>
        <w:rPr>
          <w:rFonts w:ascii="Times New Roman" w:eastAsia="方正仿宋简体"/>
          <w:color w:val="auto"/>
          <w:szCs w:val="24"/>
          <w:u w:val="none"/>
        </w:rPr>
        <w:t xml:space="preserve"> </w:t>
      </w:r>
      <w:r>
        <w:rPr>
          <w:rFonts w:hint="eastAsia" w:ascii="仿宋_GB2312" w:eastAsia="仿宋_GB2312"/>
          <w:color w:val="auto"/>
          <w:szCs w:val="24"/>
          <w:u w:val="none"/>
        </w:rPr>
        <w:t xml:space="preserve"> </w:t>
      </w:r>
      <w:r>
        <w:rPr>
          <w:rFonts w:hint="eastAsia" w:ascii="仿宋_GB2312" w:eastAsia="仿宋_GB2312"/>
          <w:b w:val="0"/>
          <w:color w:val="auto"/>
          <w:szCs w:val="24"/>
          <w:u w:val="none"/>
        </w:rPr>
        <w:t>按照财政部令第74号《政府采购非招标采购方式管理办法》的有关规定依法成立竞争性谈判小组，负责本项目评审工作。</w:t>
      </w:r>
      <w:bookmarkEnd w:id="302"/>
      <w:bookmarkStart w:id="303" w:name="_Toc520356166"/>
      <w:bookmarkStart w:id="304" w:name="_Toc19949"/>
      <w:bookmarkStart w:id="305" w:name="_Toc17520"/>
      <w:bookmarkStart w:id="306" w:name="_Toc515647781"/>
      <w:bookmarkStart w:id="307" w:name="_Toc656"/>
      <w:bookmarkStart w:id="308" w:name="_Toc27625"/>
      <w:bookmarkStart w:id="309" w:name="_Toc17557"/>
      <w:bookmarkStart w:id="310" w:name="_Toc29938"/>
      <w:bookmarkStart w:id="311" w:name="_Toc29043"/>
      <w:bookmarkStart w:id="312" w:name="_Toc22740"/>
      <w:bookmarkStart w:id="313" w:name="_Toc27883"/>
      <w:bookmarkStart w:id="314" w:name="_Toc15335"/>
      <w:bookmarkStart w:id="315" w:name="_Toc28479"/>
      <w:bookmarkStart w:id="316" w:name="_Toc7742"/>
      <w:r>
        <w:rPr>
          <w:rFonts w:hint="eastAsia" w:ascii="仿宋_GB2312" w:eastAsia="仿宋_GB2312"/>
          <w:b w:val="0"/>
          <w:color w:val="auto"/>
          <w:szCs w:val="24"/>
          <w:u w:val="none"/>
        </w:rPr>
        <w:t>采用竞争性谈判方式采购的政府采购项目，评审专家应当从政府采购评审专家库内相关专业的专家名单中随机抽取。</w:t>
      </w:r>
      <w:r>
        <w:rPr>
          <w:rFonts w:hint="eastAsia" w:ascii="仿宋_GB2312" w:eastAsia="仿宋_GB2312"/>
          <w:bCs/>
          <w:color w:val="auto"/>
          <w:szCs w:val="24"/>
          <w:u w:val="none"/>
        </w:rPr>
        <w:t>本项目采用竞争性谈判方式采购，评审专家3人</w:t>
      </w:r>
      <w:r>
        <w:rPr>
          <w:rFonts w:hint="eastAsia" w:ascii="仿宋_GB2312" w:eastAsia="仿宋_GB2312"/>
          <w:bCs/>
          <w:color w:val="auto"/>
          <w:szCs w:val="24"/>
          <w:u w:val="none"/>
          <w:lang w:eastAsia="zh-CN"/>
        </w:rPr>
        <w:t>。</w:t>
      </w:r>
    </w:p>
    <w:p w14:paraId="4D531013">
      <w:pPr>
        <w:pStyle w:val="9"/>
        <w:snapToGrid w:val="0"/>
        <w:spacing w:before="0" w:after="0" w:line="380" w:lineRule="exact"/>
        <w:ind w:left="964" w:hanging="960" w:hangingChars="400"/>
        <w:textAlignment w:val="baseline"/>
        <w:rPr>
          <w:rFonts w:hint="eastAsia" w:ascii="仿宋_GB2312" w:eastAsia="仿宋_GB2312"/>
          <w:b w:val="0"/>
          <w:bCs/>
          <w:color w:val="auto"/>
          <w:szCs w:val="24"/>
          <w:u w:val="none"/>
          <w:bdr w:val="single" w:color="auto" w:sz="4" w:space="0"/>
        </w:rPr>
      </w:pPr>
      <w:r>
        <w:rPr>
          <w:rFonts w:hint="eastAsia" w:ascii="仿宋_GB2312" w:eastAsia="仿宋_GB2312"/>
          <w:color w:val="auto"/>
          <w:szCs w:val="24"/>
          <w:u w:val="none"/>
        </w:rPr>
        <w:t>20.</w:t>
      </w:r>
      <w:bookmarkEnd w:id="303"/>
      <w:r>
        <w:rPr>
          <w:rFonts w:hint="eastAsia" w:ascii="仿宋_GB2312" w:eastAsia="仿宋_GB2312"/>
          <w:color w:val="auto"/>
          <w:szCs w:val="24"/>
          <w:u w:val="none"/>
        </w:rPr>
        <w:t>响应文件符合性审查与澄清</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5C30816B">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20.1   符合性审查是指依据谈判文件的规定，从响应文件的有效性和完整性对谈判文件的响应程度进行审查，以确定是否对谈判文件的实质性要求做出响应。</w:t>
      </w:r>
      <w:bookmarkStart w:id="317" w:name="_Hlt522424701"/>
      <w:bookmarkEnd w:id="317"/>
      <w:bookmarkStart w:id="318" w:name="_Toc520356167"/>
    </w:p>
    <w:p w14:paraId="2C06D00A">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20.2</w:t>
      </w:r>
      <w:r>
        <w:rPr>
          <w:rFonts w:hint="eastAsia" w:ascii="仿宋_GB2312" w:eastAsia="仿宋_GB2312"/>
          <w:color w:val="auto"/>
          <w:sz w:val="24"/>
        </w:rPr>
        <w:tab/>
      </w:r>
      <w:r>
        <w:rPr>
          <w:rFonts w:hint="eastAsia" w:ascii="仿宋_GB2312" w:eastAsia="仿宋_GB2312"/>
          <w:color w:val="auto"/>
          <w:sz w:val="24"/>
        </w:rPr>
        <w:t>响应文件的澄清</w:t>
      </w:r>
    </w:p>
    <w:p w14:paraId="7A9E2F72">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20.2.1  在评标期间，谈判小组将以书面方式要求供应商对其响应文件中含义不明确、对同类问题表述不一致或者有明显文字和计算错误的内容，以及谈判小组认为供应商的报价明显低于其他通过符合性检查供应商的报价，有可能影响履约的情况作必要的澄清、说明或补正。供应商的澄清、说明或补正应在谈判小组规定的时间内以书面方式进行，并不得超出响应文件范围或者改变响应文件的实质性内容。</w:t>
      </w:r>
    </w:p>
    <w:p w14:paraId="06D2ABCF">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20.2.2  供应商的的澄清、说明或补正将作为响应文件的一部分。</w:t>
      </w:r>
    </w:p>
    <w:p w14:paraId="4EE5FB8C">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20.3    响应文件报价出现前后不一致的，按照下列规定修正：</w:t>
      </w:r>
    </w:p>
    <w:p w14:paraId="0F41B0D8">
      <w:pPr>
        <w:snapToGrid w:val="0"/>
        <w:spacing w:line="380" w:lineRule="exact"/>
        <w:ind w:left="1020" w:hanging="1020" w:hangingChars="425"/>
        <w:textAlignment w:val="baseline"/>
        <w:rPr>
          <w:rFonts w:hint="eastAsia" w:ascii="仿宋_GB2312" w:eastAsia="仿宋_GB2312"/>
          <w:color w:val="auto"/>
          <w:sz w:val="24"/>
        </w:rPr>
      </w:pPr>
      <w:r>
        <w:rPr>
          <w:rFonts w:hint="eastAsia" w:ascii="仿宋_GB2312" w:eastAsia="仿宋_GB2312"/>
          <w:color w:val="auto"/>
          <w:sz w:val="24"/>
        </w:rPr>
        <w:t>　　   （一）响应文件中开标一览表（报价表）内容与响应文件中相应内容不一致的，以开标一览表（报价表）为准；</w:t>
      </w:r>
    </w:p>
    <w:p w14:paraId="59A39759">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（二）大写金额和小写金额不一致的，以大写金额为准；</w:t>
      </w:r>
    </w:p>
    <w:p w14:paraId="1BAAA145">
      <w:pPr>
        <w:snapToGrid w:val="0"/>
        <w:spacing w:line="380" w:lineRule="exact"/>
        <w:ind w:left="1020" w:hanging="1020" w:hangingChars="425"/>
        <w:textAlignment w:val="baseline"/>
        <w:rPr>
          <w:rFonts w:hint="eastAsia" w:ascii="仿宋_GB2312" w:eastAsia="仿宋_GB2312"/>
          <w:color w:val="auto"/>
          <w:sz w:val="24"/>
        </w:rPr>
      </w:pPr>
      <w:r>
        <w:rPr>
          <w:rFonts w:hint="eastAsia" w:ascii="仿宋_GB2312" w:eastAsia="仿宋_GB2312"/>
          <w:color w:val="auto"/>
          <w:sz w:val="24"/>
        </w:rPr>
        <w:t>　   　（三）单价金额小数点或者百分比有明显错位的，以开标一览表的总价为准，并修改单价；</w:t>
      </w:r>
    </w:p>
    <w:p w14:paraId="742370BB">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（四）总价金额与按单价汇总金额不一致的，以单价金额计算结果为准。</w:t>
      </w:r>
    </w:p>
    <w:p w14:paraId="54CCE5AE">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同时出现两种以上不一致的，按照前款规定的顺序修正。修正后的报价按照第20.2条的规定经供应商确认后产生约束力，供应商不确认的，其响应将被认定为</w:t>
      </w:r>
      <w:r>
        <w:rPr>
          <w:rFonts w:hint="eastAsia" w:ascii="仿宋_GB2312" w:eastAsia="仿宋_GB2312"/>
          <w:b/>
          <w:bCs/>
          <w:color w:val="auto"/>
          <w:sz w:val="24"/>
        </w:rPr>
        <w:t>响应无效</w:t>
      </w:r>
      <w:r>
        <w:rPr>
          <w:rFonts w:hint="eastAsia" w:ascii="仿宋_GB2312" w:eastAsia="仿宋_GB2312"/>
          <w:color w:val="auto"/>
          <w:sz w:val="24"/>
        </w:rPr>
        <w:t>。对不同文字文本响应文件的解释发生异议的，以中文文本为准。</w:t>
      </w:r>
    </w:p>
    <w:p w14:paraId="73AC99D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xml:space="preserve">20.4   </w:t>
      </w:r>
      <w:r>
        <w:rPr>
          <w:rFonts w:hint="eastAsia" w:ascii="仿宋_GB2312" w:eastAsia="仿宋_GB2312"/>
          <w:color w:val="auto"/>
          <w:sz w:val="24"/>
        </w:rPr>
        <w:t>如一个分包内只有一种产品，不同供应商所投产品为同一品牌的，按如下方式处理：</w:t>
      </w:r>
    </w:p>
    <w:p w14:paraId="57AD06F8">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xml:space="preserve">20.4.1 </w:t>
      </w:r>
      <w:r>
        <w:rPr>
          <w:rFonts w:hint="eastAsia" w:ascii="仿宋_GB2312" w:eastAsia="仿宋_GB2312"/>
          <w:color w:val="auto"/>
          <w:sz w:val="24"/>
        </w:rPr>
        <w:t xml:space="preserve"> 本项目使用最低评标价法，提供相同品牌产品且通过资格审查、符合性审查的不同供应商，按报价最低的获得成交供应商推荐资格；报价相同的，由采购人或者采购人委托谈判小组按照谈判文件中评标办法规定的方式确定一个供应商获得成交供应商推荐资格；未规定的采取随机抽取方式确定，其他同品牌供应商不作为成交候选人。</w:t>
      </w:r>
    </w:p>
    <w:p w14:paraId="1CB8FF26">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04FDF0C5">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xml:space="preserve">        如采购人所采购产品为政府强制采购的节能产品，供应商所投产品的品牌及型号必须为清单中有效期内产品并提供证明文件，否则其响应将被认定为</w:t>
      </w:r>
      <w:r>
        <w:rPr>
          <w:rFonts w:hint="eastAsia" w:ascii="仿宋_GB2312" w:eastAsia="仿宋_GB2312"/>
          <w:b/>
          <w:bCs/>
          <w:color w:val="auto"/>
          <w:sz w:val="24"/>
        </w:rPr>
        <w:t>响应无效</w:t>
      </w:r>
      <w:r>
        <w:rPr>
          <w:rFonts w:hint="eastAsia" w:ascii="仿宋_GB2312" w:eastAsia="仿宋_GB2312"/>
          <w:color w:val="auto"/>
          <w:sz w:val="24"/>
        </w:rPr>
        <w:t>。</w:t>
      </w:r>
    </w:p>
    <w:p w14:paraId="54C6D943">
      <w:pPr>
        <w:pStyle w:val="9"/>
        <w:snapToGrid w:val="0"/>
        <w:spacing w:before="0" w:after="0" w:line="380" w:lineRule="exact"/>
        <w:textAlignment w:val="baseline"/>
        <w:rPr>
          <w:rFonts w:hint="eastAsia" w:ascii="仿宋_GB2312" w:eastAsia="仿宋_GB2312"/>
          <w:color w:val="auto"/>
          <w:szCs w:val="24"/>
          <w:u w:val="none"/>
        </w:rPr>
      </w:pPr>
      <w:bookmarkStart w:id="319" w:name="_Toc1939"/>
      <w:bookmarkStart w:id="320" w:name="_Toc29782"/>
      <w:bookmarkStart w:id="321" w:name="_Toc27164"/>
      <w:bookmarkStart w:id="322" w:name="_Toc6364"/>
      <w:bookmarkStart w:id="323" w:name="_Toc6695"/>
      <w:bookmarkStart w:id="324" w:name="_Toc14136"/>
      <w:bookmarkStart w:id="325" w:name="_Toc515647782"/>
      <w:bookmarkStart w:id="326" w:name="_Toc14276"/>
      <w:bookmarkStart w:id="327" w:name="_Toc28934"/>
      <w:bookmarkStart w:id="328" w:name="_Toc18222"/>
      <w:bookmarkStart w:id="329" w:name="_Toc9469"/>
      <w:bookmarkStart w:id="330" w:name="_Toc12340"/>
      <w:bookmarkStart w:id="331" w:name="_Toc30430"/>
      <w:r>
        <w:rPr>
          <w:rFonts w:hint="eastAsia" w:ascii="仿宋_GB2312" w:eastAsia="仿宋_GB2312"/>
          <w:color w:val="auto"/>
          <w:szCs w:val="24"/>
          <w:u w:val="none"/>
        </w:rPr>
        <w:t>21.响应偏离</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36396468">
      <w:pPr>
        <w:snapToGrid w:val="0"/>
        <w:spacing w:line="380" w:lineRule="exact"/>
        <w:ind w:left="881" w:hanging="880" w:hangingChars="367"/>
        <w:textAlignment w:val="baseline"/>
        <w:rPr>
          <w:rFonts w:hint="eastAsia" w:ascii="仿宋_GB2312" w:eastAsia="仿宋_GB2312"/>
          <w:color w:val="auto"/>
          <w:sz w:val="24"/>
          <w:highlight w:val="yellow"/>
        </w:rPr>
      </w:pPr>
      <w:r>
        <w:rPr>
          <w:rFonts w:hint="eastAsia" w:ascii="仿宋_GB2312" w:eastAsia="仿宋_GB2312"/>
          <w:color w:val="auto"/>
          <w:sz w:val="24"/>
        </w:rPr>
        <w:t xml:space="preserve">      </w:t>
      </w:r>
      <w:r>
        <w:rPr>
          <w:rFonts w:hint="eastAsia" w:ascii="仿宋_GB2312" w:eastAsia="仿宋_GB2312"/>
          <w:b/>
          <w:bCs/>
          <w:color w:val="auto"/>
          <w:sz w:val="24"/>
        </w:rPr>
        <w:t xml:space="preserve"> </w:t>
      </w:r>
      <w:r>
        <w:rPr>
          <w:rFonts w:hint="eastAsia" w:ascii="仿宋_GB2312" w:eastAsia="仿宋_GB2312"/>
          <w:color w:val="auto"/>
          <w:sz w:val="24"/>
        </w:rPr>
        <w:t>谈判小组可以接受响应文件中不构成实质性偏离的不正规或不一致。</w:t>
      </w:r>
    </w:p>
    <w:p w14:paraId="2618E9BF">
      <w:pPr>
        <w:pStyle w:val="9"/>
        <w:snapToGrid w:val="0"/>
        <w:spacing w:before="0" w:after="0" w:line="380" w:lineRule="exact"/>
        <w:textAlignment w:val="baseline"/>
        <w:rPr>
          <w:rFonts w:hint="eastAsia" w:ascii="仿宋_GB2312" w:eastAsia="仿宋_GB2312"/>
          <w:color w:val="auto"/>
          <w:szCs w:val="24"/>
          <w:u w:val="none"/>
        </w:rPr>
      </w:pPr>
      <w:bookmarkStart w:id="332" w:name="_Toc515647783"/>
      <w:bookmarkStart w:id="333" w:name="_Toc4950"/>
      <w:bookmarkStart w:id="334" w:name="_Toc2275"/>
      <w:bookmarkStart w:id="335" w:name="_Toc27546"/>
      <w:bookmarkStart w:id="336" w:name="_Toc13775"/>
      <w:bookmarkStart w:id="337" w:name="_Toc108"/>
      <w:bookmarkStart w:id="338" w:name="_Toc30267"/>
      <w:bookmarkStart w:id="339" w:name="_Toc9173"/>
      <w:bookmarkStart w:id="340" w:name="_Toc31191"/>
      <w:bookmarkStart w:id="341" w:name="_Toc23480"/>
      <w:bookmarkStart w:id="342" w:name="_Toc5683"/>
      <w:bookmarkStart w:id="343" w:name="_Toc6092"/>
      <w:bookmarkStart w:id="344" w:name="_Toc16242"/>
      <w:r>
        <w:rPr>
          <w:rFonts w:hint="eastAsia" w:ascii="仿宋_GB2312" w:eastAsia="仿宋_GB2312"/>
          <w:color w:val="auto"/>
          <w:szCs w:val="24"/>
          <w:u w:val="none"/>
        </w:rPr>
        <w:t>22.</w:t>
      </w:r>
      <w:bookmarkEnd w:id="332"/>
      <w:r>
        <w:rPr>
          <w:rFonts w:hint="eastAsia" w:ascii="仿宋_GB2312" w:eastAsia="仿宋_GB2312"/>
          <w:color w:val="auto"/>
          <w:szCs w:val="24"/>
          <w:u w:val="none"/>
        </w:rPr>
        <w:t>响应无效</w:t>
      </w:r>
      <w:bookmarkEnd w:id="333"/>
      <w:bookmarkEnd w:id="334"/>
      <w:bookmarkEnd w:id="335"/>
      <w:bookmarkEnd w:id="336"/>
      <w:bookmarkEnd w:id="337"/>
      <w:bookmarkEnd w:id="338"/>
      <w:bookmarkEnd w:id="339"/>
      <w:bookmarkEnd w:id="340"/>
      <w:bookmarkEnd w:id="341"/>
      <w:bookmarkEnd w:id="342"/>
      <w:bookmarkEnd w:id="343"/>
      <w:bookmarkEnd w:id="344"/>
    </w:p>
    <w:p w14:paraId="210084D1">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22.1   在比较与评价之前，根据本须知的规定，谈判小组要审查每份响应文件是否实质上响应了谈判文件的要求。实质上响应的响应文件应该是与谈判文件要求的全部条款、条件和规格相符，没有重大偏离的响应。对关键条款的偏离，将被认定为</w:t>
      </w:r>
      <w:r>
        <w:rPr>
          <w:rFonts w:hint="eastAsia" w:ascii="仿宋_GB2312" w:eastAsia="仿宋_GB2312"/>
          <w:b/>
          <w:bCs/>
          <w:color w:val="auto"/>
          <w:sz w:val="24"/>
        </w:rPr>
        <w:t>响应无效</w:t>
      </w:r>
      <w:r>
        <w:rPr>
          <w:rFonts w:hint="eastAsia" w:ascii="仿宋_GB2312" w:eastAsia="仿宋_GB2312"/>
          <w:color w:val="auto"/>
          <w:sz w:val="24"/>
        </w:rPr>
        <w:t>。供应商不得通过修正或撤销不符合要求的偏离，从而使其响应成为实质上响应。</w:t>
      </w:r>
    </w:p>
    <w:p w14:paraId="18C7EE3E">
      <w:pPr>
        <w:snapToGrid w:val="0"/>
        <w:spacing w:line="380" w:lineRule="exact"/>
        <w:ind w:left="957" w:leftChars="456"/>
        <w:textAlignment w:val="baseline"/>
        <w:rPr>
          <w:rFonts w:hint="eastAsia" w:ascii="仿宋_GB2312" w:eastAsia="仿宋_GB2312"/>
          <w:color w:val="auto"/>
          <w:sz w:val="24"/>
        </w:rPr>
      </w:pPr>
      <w:r>
        <w:rPr>
          <w:rFonts w:hint="eastAsia" w:ascii="仿宋_GB2312" w:eastAsia="仿宋_GB2312"/>
          <w:color w:val="auto"/>
          <w:sz w:val="24"/>
        </w:rPr>
        <w:t>谈判小组决定谈判的响应性只根据谈判文件要求、响应文件内容及财政主管部门指定相关信息发布媒体。</w:t>
      </w:r>
    </w:p>
    <w:p w14:paraId="4275FD31">
      <w:pPr>
        <w:snapToGrid w:val="0"/>
        <w:spacing w:line="380" w:lineRule="exact"/>
        <w:ind w:left="900" w:hanging="900" w:hangingChars="375"/>
        <w:textAlignment w:val="baseline"/>
        <w:rPr>
          <w:rFonts w:hint="eastAsia" w:ascii="仿宋_GB2312" w:eastAsia="仿宋_GB2312"/>
          <w:b/>
          <w:bCs/>
          <w:color w:val="auto"/>
          <w:sz w:val="24"/>
        </w:rPr>
      </w:pPr>
      <w:r>
        <w:rPr>
          <w:rFonts w:hint="eastAsia" w:ascii="仿宋_GB2312" w:eastAsia="仿宋_GB2312"/>
          <w:color w:val="auto"/>
          <w:sz w:val="24"/>
        </w:rPr>
        <w:t>22.2</w:t>
      </w:r>
      <w:r>
        <w:rPr>
          <w:rFonts w:hint="eastAsia" w:ascii="仿宋_GB2312" w:eastAsia="仿宋_GB2312"/>
          <w:color w:val="auto"/>
          <w:sz w:val="24"/>
        </w:rPr>
        <w:tab/>
      </w:r>
      <w:r>
        <w:rPr>
          <w:rFonts w:hint="eastAsia" w:ascii="仿宋_GB2312" w:eastAsia="仿宋_GB2312"/>
          <w:b/>
          <w:bCs/>
          <w:color w:val="auto"/>
          <w:sz w:val="24"/>
        </w:rPr>
        <w:t>如发现下列情况之一的，其响应将被认定为响应无效：（以下情形应当在谈判文件中规定，并以醒目的方式标明）</w:t>
      </w:r>
    </w:p>
    <w:p w14:paraId="2CABA75D">
      <w:pPr>
        <w:snapToGrid w:val="0"/>
        <w:spacing w:line="380" w:lineRule="exact"/>
        <w:ind w:left="-180" w:firstLine="960" w:firstLineChars="400"/>
        <w:textAlignment w:val="baseline"/>
        <w:rPr>
          <w:rFonts w:hint="eastAsia" w:ascii="仿宋_GB2312" w:eastAsia="仿宋_GB2312"/>
          <w:b/>
          <w:bCs/>
          <w:color w:val="auto"/>
          <w:sz w:val="24"/>
        </w:rPr>
      </w:pPr>
      <w:r>
        <w:rPr>
          <w:rFonts w:hint="eastAsia" w:ascii="仿宋_GB2312" w:eastAsia="仿宋_GB2312"/>
          <w:b/>
          <w:bCs/>
          <w:color w:val="auto"/>
          <w:sz w:val="24"/>
        </w:rPr>
        <w:t>（1）未按谈判文件规定的形式和金额提交响应保证金的；</w:t>
      </w:r>
    </w:p>
    <w:p w14:paraId="6B18FC55">
      <w:pPr>
        <w:snapToGrid w:val="0"/>
        <w:spacing w:line="380" w:lineRule="exact"/>
        <w:ind w:left="-180" w:firstLine="960" w:firstLineChars="400"/>
        <w:textAlignment w:val="baseline"/>
        <w:rPr>
          <w:rFonts w:hint="eastAsia" w:ascii="仿宋_GB2312" w:eastAsia="仿宋_GB2312"/>
          <w:b/>
          <w:bCs/>
          <w:color w:val="auto"/>
          <w:sz w:val="24"/>
        </w:rPr>
      </w:pPr>
      <w:r>
        <w:rPr>
          <w:rFonts w:hint="eastAsia" w:ascii="仿宋_GB2312" w:eastAsia="仿宋_GB2312"/>
          <w:b/>
          <w:bCs/>
          <w:color w:val="auto"/>
          <w:sz w:val="24"/>
        </w:rPr>
        <w:t>（2）未按照谈判文件规定要求签署、盖章的；</w:t>
      </w:r>
    </w:p>
    <w:p w14:paraId="5E1EABAF">
      <w:pPr>
        <w:snapToGrid w:val="0"/>
        <w:spacing w:line="380" w:lineRule="exact"/>
        <w:ind w:left="-180" w:firstLine="960" w:firstLineChars="400"/>
        <w:textAlignment w:val="baseline"/>
        <w:rPr>
          <w:rFonts w:hint="eastAsia" w:ascii="仿宋_GB2312" w:eastAsia="仿宋_GB2312"/>
          <w:b/>
          <w:bCs/>
          <w:color w:val="auto"/>
          <w:sz w:val="24"/>
        </w:rPr>
      </w:pPr>
      <w:r>
        <w:rPr>
          <w:rFonts w:hint="eastAsia" w:ascii="仿宋_GB2312" w:eastAsia="仿宋_GB2312"/>
          <w:b/>
          <w:bCs/>
          <w:color w:val="auto"/>
          <w:sz w:val="24"/>
        </w:rPr>
        <w:t>（3）未满足谈判文件中技术条款的实质性要求；</w:t>
      </w:r>
    </w:p>
    <w:p w14:paraId="42179C9B">
      <w:pPr>
        <w:snapToGrid w:val="0"/>
        <w:spacing w:line="380" w:lineRule="exact"/>
        <w:ind w:left="-180" w:firstLine="960" w:firstLineChars="400"/>
        <w:textAlignment w:val="baseline"/>
        <w:rPr>
          <w:rFonts w:hint="eastAsia" w:ascii="仿宋_GB2312" w:eastAsia="仿宋_GB2312"/>
          <w:b/>
          <w:bCs/>
          <w:color w:val="auto"/>
          <w:sz w:val="24"/>
        </w:rPr>
      </w:pPr>
      <w:r>
        <w:rPr>
          <w:rFonts w:hint="eastAsia" w:ascii="仿宋_GB2312" w:eastAsia="仿宋_GB2312"/>
          <w:b/>
          <w:bCs/>
          <w:color w:val="auto"/>
          <w:sz w:val="24"/>
        </w:rPr>
        <w:t>（4）与其他供应商串通投标，或者与招标人串通投标；</w:t>
      </w:r>
    </w:p>
    <w:p w14:paraId="11184477">
      <w:pPr>
        <w:snapToGrid w:val="0"/>
        <w:spacing w:line="380" w:lineRule="exact"/>
        <w:ind w:left="-180" w:firstLine="960" w:firstLineChars="400"/>
        <w:textAlignment w:val="baseline"/>
        <w:rPr>
          <w:rFonts w:hint="eastAsia" w:ascii="仿宋_GB2312" w:eastAsia="仿宋_GB2312"/>
          <w:b/>
          <w:bCs/>
          <w:color w:val="auto"/>
          <w:sz w:val="24"/>
        </w:rPr>
      </w:pPr>
      <w:r>
        <w:rPr>
          <w:rFonts w:hint="eastAsia" w:ascii="仿宋_GB2312" w:eastAsia="仿宋_GB2312"/>
          <w:b/>
          <w:bCs/>
          <w:color w:val="auto"/>
          <w:sz w:val="24"/>
        </w:rPr>
        <w:t>（5）属于谈判文件规定的其他响应无效情形；</w:t>
      </w:r>
    </w:p>
    <w:p w14:paraId="1D151159">
      <w:pPr>
        <w:snapToGrid w:val="0"/>
        <w:spacing w:line="380" w:lineRule="exact"/>
        <w:ind w:left="1277" w:leftChars="437" w:hanging="360" w:hangingChars="150"/>
        <w:textAlignment w:val="baseline"/>
        <w:rPr>
          <w:rFonts w:hint="eastAsia" w:ascii="仿宋_GB2312" w:eastAsia="仿宋_GB2312"/>
          <w:b/>
          <w:bCs/>
          <w:color w:val="auto"/>
          <w:sz w:val="24"/>
        </w:rPr>
      </w:pPr>
      <w:r>
        <w:rPr>
          <w:rFonts w:hint="eastAsia" w:ascii="仿宋_GB2312" w:eastAsia="仿宋_GB2312"/>
          <w:b/>
          <w:bCs/>
          <w:color w:val="auto"/>
          <w:sz w:val="24"/>
        </w:rPr>
        <w:t>（6）谈判小组认为供应商的报价明显低于其他通过符合性检查供应商的报价，有可能影响履约的，且供应商未按照规定证明其报价合理性的；</w:t>
      </w:r>
    </w:p>
    <w:p w14:paraId="0928B8FD">
      <w:pPr>
        <w:snapToGrid w:val="0"/>
        <w:spacing w:line="380" w:lineRule="exact"/>
        <w:ind w:firstLine="720" w:firstLineChars="300"/>
        <w:textAlignment w:val="baseline"/>
        <w:rPr>
          <w:rFonts w:hint="eastAsia" w:ascii="仿宋_GB2312" w:eastAsia="仿宋_GB2312"/>
          <w:b/>
          <w:bCs/>
          <w:color w:val="auto"/>
          <w:sz w:val="24"/>
        </w:rPr>
      </w:pPr>
      <w:r>
        <w:rPr>
          <w:rFonts w:hint="eastAsia" w:ascii="仿宋_GB2312" w:eastAsia="仿宋_GB2312"/>
          <w:b/>
          <w:bCs/>
          <w:color w:val="auto"/>
          <w:sz w:val="24"/>
        </w:rPr>
        <w:t>（7）响应文件含有采购人不能接受的附加条件的；</w:t>
      </w:r>
    </w:p>
    <w:p w14:paraId="24B9D49B">
      <w:pPr>
        <w:tabs>
          <w:tab w:val="left" w:pos="0"/>
        </w:tabs>
        <w:snapToGrid w:val="0"/>
        <w:spacing w:line="380" w:lineRule="exact"/>
        <w:ind w:left="942" w:leftChars="449"/>
        <w:textAlignment w:val="baseline"/>
        <w:rPr>
          <w:rFonts w:hint="eastAsia" w:ascii="仿宋_GB2312" w:eastAsia="仿宋_GB2312"/>
          <w:b/>
          <w:bCs/>
          <w:color w:val="auto"/>
          <w:sz w:val="24"/>
        </w:rPr>
      </w:pPr>
      <w:r>
        <w:rPr>
          <w:rFonts w:hint="eastAsia" w:ascii="仿宋_GB2312" w:eastAsia="仿宋_GB2312"/>
          <w:b/>
          <w:bCs/>
          <w:color w:val="auto"/>
          <w:sz w:val="24"/>
        </w:rPr>
        <w:t>（8）不符合政府采购法律法规和谈判文件中规定的其他实质性要求的。</w:t>
      </w:r>
    </w:p>
    <w:p w14:paraId="5EF289E9">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22.3    有下列情形之一的，属于恶意串通，对供应商依照政府采购法第七十七条第一款的规定追究法律责任，对采购人、采购代理机构及其工作人员依照政府采购法第七十二条的规定追究法律责任：</w:t>
      </w:r>
    </w:p>
    <w:p w14:paraId="5A5795CF">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（1）供应商直接或者间接从采购人或者采购代理机构处获得其他供应商的相关情况并修改其响应文件或者响应文件；</w:t>
      </w:r>
    </w:p>
    <w:p w14:paraId="7A5914D0">
      <w:pPr>
        <w:snapToGrid w:val="0"/>
        <w:spacing w:line="380" w:lineRule="exact"/>
        <w:ind w:left="898" w:leftChars="342" w:hanging="180" w:hangingChars="75"/>
        <w:textAlignment w:val="baseline"/>
        <w:rPr>
          <w:rFonts w:hint="eastAsia" w:ascii="仿宋_GB2312" w:eastAsia="仿宋_GB2312"/>
          <w:color w:val="auto"/>
          <w:sz w:val="24"/>
        </w:rPr>
      </w:pPr>
      <w:r>
        <w:rPr>
          <w:rFonts w:hint="eastAsia" w:ascii="仿宋_GB2312" w:eastAsia="仿宋_GB2312"/>
          <w:color w:val="auto"/>
          <w:sz w:val="24"/>
        </w:rPr>
        <w:t>（2）供应商按照采购人或者采购代理机构的授意撤换、修改响应文件或者响应文件；</w:t>
      </w:r>
    </w:p>
    <w:p w14:paraId="44AA8DB8">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（3）供应商之间协商报价、技术方案等响应文件或者响应文件的实质性内容；</w:t>
      </w:r>
    </w:p>
    <w:p w14:paraId="6B2CB061">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（4）属于同一集团、协会、商会等组织成员的供应商按照该组织要求协同参加政府采购活动；</w:t>
      </w:r>
    </w:p>
    <w:p w14:paraId="5209505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（5）供应商之间事先约定由某一特定供应商中标、成交；</w:t>
      </w:r>
    </w:p>
    <w:p w14:paraId="2E26653D">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（6）供应商之间商定部分供应商放弃参加政府采购活动或者放弃中标、成交；</w:t>
      </w:r>
    </w:p>
    <w:p w14:paraId="563EE642">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（7）供应商与采购人或者采购代理机构之间、供应商相互之间，为谋求特定供应商中标、成交或者排斥其他供应商的其他串通行为。</w:t>
      </w:r>
    </w:p>
    <w:p w14:paraId="68F3243F">
      <w:pPr>
        <w:pStyle w:val="9"/>
        <w:snapToGrid w:val="0"/>
        <w:spacing w:before="0" w:after="0" w:line="380" w:lineRule="exact"/>
        <w:textAlignment w:val="baseline"/>
        <w:rPr>
          <w:rFonts w:hint="eastAsia" w:ascii="仿宋_GB2312" w:eastAsia="仿宋_GB2312"/>
          <w:color w:val="auto"/>
          <w:szCs w:val="24"/>
          <w:u w:val="none"/>
        </w:rPr>
      </w:pPr>
      <w:bookmarkStart w:id="345" w:name="_Toc6450"/>
      <w:bookmarkStart w:id="346" w:name="_Toc16420"/>
      <w:bookmarkStart w:id="347" w:name="_Toc5075"/>
      <w:bookmarkStart w:id="348" w:name="_Toc21841"/>
      <w:bookmarkStart w:id="349" w:name="_Toc22941"/>
      <w:bookmarkStart w:id="350" w:name="_Toc31440"/>
      <w:bookmarkStart w:id="351" w:name="_Toc22903"/>
      <w:bookmarkStart w:id="352" w:name="_Toc28827"/>
      <w:bookmarkStart w:id="353" w:name="_Toc4263"/>
      <w:bookmarkStart w:id="354" w:name="_Toc13652"/>
      <w:bookmarkStart w:id="355" w:name="_Toc3834"/>
      <w:bookmarkStart w:id="356" w:name="_Toc515647784"/>
      <w:bookmarkStart w:id="357" w:name="_Toc30567"/>
      <w:r>
        <w:rPr>
          <w:rFonts w:hint="eastAsia" w:ascii="仿宋_GB2312" w:eastAsia="仿宋_GB2312"/>
          <w:color w:val="auto"/>
          <w:szCs w:val="24"/>
          <w:u w:val="none"/>
        </w:rPr>
        <w:t>23.</w:t>
      </w:r>
      <w:bookmarkEnd w:id="318"/>
      <w:r>
        <w:rPr>
          <w:rFonts w:hint="eastAsia" w:ascii="仿宋_GB2312" w:eastAsia="仿宋_GB2312"/>
          <w:color w:val="auto"/>
          <w:szCs w:val="24"/>
          <w:u w:val="none"/>
        </w:rPr>
        <w:t>比较与评价</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74ABC91F">
      <w:pPr>
        <w:snapToGrid w:val="0"/>
        <w:spacing w:line="380" w:lineRule="exact"/>
        <w:ind w:left="957" w:leftChars="456" w:firstLine="60" w:firstLineChars="25"/>
        <w:textAlignment w:val="baseline"/>
        <w:rPr>
          <w:rFonts w:hint="eastAsia" w:ascii="仿宋_GB2312" w:eastAsia="仿宋_GB2312"/>
          <w:color w:val="auto"/>
          <w:sz w:val="24"/>
        </w:rPr>
      </w:pPr>
      <w:r>
        <w:rPr>
          <w:rFonts w:hint="eastAsia" w:ascii="仿宋_GB2312" w:eastAsia="仿宋_GB2312"/>
          <w:color w:val="auto"/>
          <w:sz w:val="24"/>
        </w:rPr>
        <w:t>评标严格按照谈判文件的要求和条件进行。根据实际情况，在</w:t>
      </w:r>
      <w:r>
        <w:rPr>
          <w:rFonts w:hint="eastAsia" w:ascii="仿宋_GB2312" w:eastAsia="仿宋_GB2312"/>
          <w:color w:val="auto"/>
          <w:sz w:val="24"/>
          <w:u w:val="single"/>
        </w:rPr>
        <w:t>供应商须知资料表</w:t>
      </w:r>
      <w:r>
        <w:rPr>
          <w:rFonts w:hint="eastAsia" w:ascii="仿宋_GB2312" w:eastAsia="仿宋_GB2312"/>
          <w:color w:val="auto"/>
          <w:sz w:val="24"/>
        </w:rPr>
        <w:t>中规定采用哪种评标方法。</w:t>
      </w:r>
      <w:r>
        <w:rPr>
          <w:rFonts w:hint="eastAsia" w:ascii="仿宋_GB2312" w:eastAsia="仿宋_GB2312"/>
          <w:color w:val="auto"/>
          <w:sz w:val="24"/>
        </w:rPr>
        <w:t>本项目采用招标方式：竞争性谈判；评审方法：最低评标价法。本项目采用政采云线上电子招投标及评标。</w:t>
      </w:r>
    </w:p>
    <w:p w14:paraId="735A4EBE">
      <w:pPr>
        <w:snapToGrid w:val="0"/>
        <w:spacing w:line="380" w:lineRule="exact"/>
        <w:ind w:left="957" w:leftChars="456" w:firstLine="60" w:firstLineChars="25"/>
        <w:textAlignment w:val="baseline"/>
        <w:rPr>
          <w:rFonts w:hint="eastAsia" w:ascii="仿宋_GB2312" w:eastAsia="仿宋_GB2312"/>
          <w:color w:val="auto"/>
          <w:sz w:val="24"/>
        </w:rPr>
      </w:pPr>
      <w:r>
        <w:rPr>
          <w:rFonts w:hint="eastAsia" w:ascii="仿宋_GB2312" w:eastAsia="仿宋_GB2312"/>
          <w:color w:val="auto"/>
          <w:sz w:val="24"/>
        </w:rPr>
        <w:t>谈判小组应当从质量和服务均能满足采购文件实质性响应要求的供应商中，按照最后报价由低到高的顺序提出3名以上成交候选人，并编写评审报告。</w:t>
      </w:r>
    </w:p>
    <w:p w14:paraId="5DBED5CF">
      <w:pPr>
        <w:pStyle w:val="9"/>
        <w:snapToGrid w:val="0"/>
        <w:spacing w:before="0" w:after="0" w:line="380" w:lineRule="exact"/>
        <w:textAlignment w:val="baseline"/>
        <w:rPr>
          <w:rFonts w:hint="eastAsia" w:ascii="仿宋_GB2312" w:eastAsia="仿宋_GB2312"/>
          <w:color w:val="auto"/>
          <w:szCs w:val="24"/>
          <w:u w:val="none"/>
        </w:rPr>
      </w:pPr>
      <w:bookmarkStart w:id="358" w:name="_Toc520356168"/>
      <w:bookmarkStart w:id="359" w:name="_Toc16201"/>
      <w:bookmarkStart w:id="360" w:name="_Toc20227"/>
      <w:bookmarkStart w:id="361" w:name="_Toc14935"/>
      <w:bookmarkStart w:id="362" w:name="_Toc28413"/>
      <w:bookmarkStart w:id="363" w:name="_Toc2539"/>
      <w:bookmarkStart w:id="364" w:name="_Toc2218"/>
      <w:bookmarkStart w:id="365" w:name="_Toc4586"/>
      <w:bookmarkStart w:id="366" w:name="_Toc28843"/>
      <w:bookmarkStart w:id="367" w:name="_Toc9378"/>
      <w:bookmarkStart w:id="368" w:name="_Toc18922"/>
      <w:bookmarkStart w:id="369" w:name="_Toc6912"/>
      <w:bookmarkStart w:id="370" w:name="_Toc515647785"/>
      <w:bookmarkStart w:id="371" w:name="_Toc11267"/>
      <w:r>
        <w:rPr>
          <w:rFonts w:hint="eastAsia" w:ascii="仿宋_GB2312" w:eastAsia="仿宋_GB2312"/>
          <w:color w:val="auto"/>
          <w:szCs w:val="24"/>
          <w:u w:val="none"/>
        </w:rPr>
        <w:t>24</w:t>
      </w:r>
      <w:bookmarkEnd w:id="358"/>
      <w:r>
        <w:rPr>
          <w:rFonts w:hint="eastAsia" w:ascii="仿宋_GB2312" w:eastAsia="仿宋_GB2312"/>
          <w:color w:val="auto"/>
          <w:szCs w:val="24"/>
          <w:u w:val="none"/>
        </w:rPr>
        <w:t>.废标</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70FD3538">
      <w:pPr>
        <w:snapToGrid w:val="0"/>
        <w:spacing w:line="380" w:lineRule="exact"/>
        <w:ind w:left="239" w:leftChars="114" w:firstLine="660" w:firstLineChars="275"/>
        <w:textAlignment w:val="baseline"/>
        <w:rPr>
          <w:rFonts w:hint="eastAsia" w:ascii="仿宋_GB2312" w:eastAsia="仿宋_GB2312"/>
          <w:color w:val="auto"/>
          <w:sz w:val="24"/>
        </w:rPr>
      </w:pPr>
      <w:r>
        <w:rPr>
          <w:rFonts w:hint="eastAsia" w:ascii="仿宋_GB2312" w:eastAsia="仿宋_GB2312"/>
          <w:color w:val="auto"/>
          <w:sz w:val="24"/>
        </w:rPr>
        <w:t xml:space="preserve">出现下列情形之一，将导致项目废标： </w:t>
      </w:r>
    </w:p>
    <w:p w14:paraId="234FB79A">
      <w:pPr>
        <w:snapToGrid w:val="0"/>
        <w:spacing w:line="380" w:lineRule="exact"/>
        <w:ind w:left="1197" w:leftChars="456" w:hanging="240" w:hangingChars="100"/>
        <w:textAlignment w:val="baseline"/>
        <w:rPr>
          <w:rFonts w:hint="eastAsia" w:ascii="仿宋_GB2312" w:eastAsia="仿宋_GB2312"/>
          <w:color w:val="auto"/>
          <w:sz w:val="24"/>
        </w:rPr>
      </w:pPr>
      <w:r>
        <w:rPr>
          <w:rFonts w:hint="eastAsia" w:ascii="仿宋_GB2312" w:eastAsia="仿宋_GB2312"/>
          <w:color w:val="auto"/>
          <w:sz w:val="24"/>
        </w:rPr>
        <w:t>（1）符合专业条件的供应商或者对招标文件做实质性响应的供应商不足三家；</w:t>
      </w:r>
    </w:p>
    <w:p w14:paraId="5541033D">
      <w:pPr>
        <w:snapToGrid w:val="0"/>
        <w:spacing w:line="380" w:lineRule="exact"/>
        <w:ind w:left="1197" w:leftChars="456" w:hanging="240" w:hangingChars="100"/>
        <w:textAlignment w:val="baseline"/>
        <w:rPr>
          <w:rFonts w:hint="eastAsia" w:ascii="仿宋_GB2312" w:eastAsia="仿宋_GB2312"/>
          <w:color w:val="auto"/>
          <w:sz w:val="24"/>
        </w:rPr>
      </w:pPr>
      <w:r>
        <w:rPr>
          <w:rFonts w:hint="eastAsia" w:ascii="仿宋_GB2312" w:eastAsia="仿宋_GB2312"/>
          <w:color w:val="auto"/>
          <w:sz w:val="24"/>
        </w:rPr>
        <w:t>（2）出现影响采购公正的违法、违规行为的；</w:t>
      </w:r>
    </w:p>
    <w:p w14:paraId="2537D4F6">
      <w:pPr>
        <w:snapToGrid w:val="0"/>
        <w:spacing w:line="380" w:lineRule="exact"/>
        <w:ind w:left="1197" w:leftChars="456" w:hanging="240" w:hangingChars="100"/>
        <w:textAlignment w:val="baseline"/>
        <w:rPr>
          <w:rFonts w:hint="eastAsia" w:ascii="仿宋_GB2312" w:eastAsia="仿宋_GB2312"/>
          <w:color w:val="auto"/>
          <w:sz w:val="24"/>
        </w:rPr>
      </w:pPr>
      <w:r>
        <w:rPr>
          <w:rFonts w:hint="eastAsia" w:ascii="仿宋_GB2312" w:eastAsia="仿宋_GB2312"/>
          <w:color w:val="auto"/>
          <w:sz w:val="24"/>
        </w:rPr>
        <w:t>（3）供应商的报价均超过了采购预算，采购人不能支付的；</w:t>
      </w:r>
    </w:p>
    <w:p w14:paraId="3FDE91D1">
      <w:pPr>
        <w:snapToGrid w:val="0"/>
        <w:spacing w:line="380" w:lineRule="exact"/>
        <w:ind w:left="1197" w:leftChars="456" w:hanging="240" w:hangingChars="100"/>
        <w:textAlignment w:val="baseline"/>
        <w:rPr>
          <w:rFonts w:hint="eastAsia" w:ascii="仿宋_GB2312" w:eastAsia="仿宋_GB2312"/>
          <w:color w:val="auto"/>
          <w:sz w:val="24"/>
        </w:rPr>
      </w:pPr>
      <w:r>
        <w:rPr>
          <w:rFonts w:hint="eastAsia" w:ascii="仿宋_GB2312" w:eastAsia="仿宋_GB2312"/>
          <w:color w:val="auto"/>
          <w:sz w:val="24"/>
        </w:rPr>
        <w:t xml:space="preserve">（4）因重大变故，采购任务取消的。   </w:t>
      </w:r>
    </w:p>
    <w:p w14:paraId="4E414B9B">
      <w:pPr>
        <w:pStyle w:val="9"/>
        <w:snapToGrid w:val="0"/>
        <w:spacing w:before="0" w:after="0" w:line="380" w:lineRule="exact"/>
        <w:textAlignment w:val="baseline"/>
        <w:rPr>
          <w:rFonts w:hint="eastAsia" w:ascii="仿宋_GB2312" w:eastAsia="仿宋_GB2312"/>
          <w:color w:val="auto"/>
          <w:szCs w:val="24"/>
          <w:u w:val="none"/>
        </w:rPr>
      </w:pPr>
      <w:bookmarkStart w:id="372" w:name="_Toc27162"/>
      <w:bookmarkStart w:id="373" w:name="_Toc23141"/>
      <w:bookmarkStart w:id="374" w:name="_Toc11249"/>
      <w:bookmarkStart w:id="375" w:name="_Toc31289"/>
      <w:bookmarkStart w:id="376" w:name="_Toc8444"/>
      <w:bookmarkStart w:id="377" w:name="_Toc4481"/>
      <w:bookmarkStart w:id="378" w:name="_Toc20205"/>
      <w:bookmarkStart w:id="379" w:name="_Toc15505"/>
      <w:bookmarkStart w:id="380" w:name="_Toc515647786"/>
      <w:bookmarkStart w:id="381" w:name="_Toc8176"/>
      <w:bookmarkStart w:id="382" w:name="_Toc16129"/>
      <w:bookmarkStart w:id="383" w:name="_Toc25920"/>
      <w:bookmarkStart w:id="384" w:name="_Toc24972"/>
      <w:bookmarkStart w:id="385" w:name="_Toc520356169"/>
      <w:r>
        <w:rPr>
          <w:rFonts w:hint="eastAsia" w:ascii="仿宋_GB2312" w:eastAsia="仿宋_GB2312"/>
          <w:color w:val="auto"/>
          <w:szCs w:val="24"/>
          <w:u w:val="none"/>
        </w:rPr>
        <w:t>25.保密原则</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642C0C21">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25.1</w:t>
      </w:r>
      <w:r>
        <w:rPr>
          <w:rFonts w:hint="eastAsia" w:ascii="仿宋_GB2312" w:eastAsia="仿宋_GB2312"/>
          <w:color w:val="auto"/>
          <w:sz w:val="24"/>
        </w:rPr>
        <w:tab/>
      </w:r>
      <w:r>
        <w:rPr>
          <w:rFonts w:hint="eastAsia" w:ascii="仿宋_GB2312" w:eastAsia="仿宋_GB2312"/>
          <w:color w:val="auto"/>
          <w:sz w:val="24"/>
        </w:rPr>
        <w:t>评标将在严格保密的情况下进行。</w:t>
      </w:r>
    </w:p>
    <w:p w14:paraId="4AE651A9">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25.2</w:t>
      </w:r>
      <w:r>
        <w:rPr>
          <w:rFonts w:hint="eastAsia" w:ascii="仿宋_GB2312" w:eastAsia="仿宋_GB2312"/>
          <w:color w:val="auto"/>
          <w:sz w:val="24"/>
        </w:rPr>
        <w:tab/>
      </w:r>
      <w:r>
        <w:rPr>
          <w:rFonts w:hint="eastAsia" w:ascii="仿宋_GB2312" w:eastAsia="仿宋_GB2312"/>
          <w:color w:val="auto"/>
          <w:sz w:val="24"/>
        </w:rPr>
        <w:t>政府采购评审专家应当遵守评审工作纪律，不得泄露评审文件、评审情况和评审中获悉的商业秘密。</w:t>
      </w:r>
    </w:p>
    <w:p w14:paraId="6BA87FD3">
      <w:pPr>
        <w:pStyle w:val="8"/>
        <w:snapToGrid w:val="0"/>
        <w:spacing w:before="0" w:line="380" w:lineRule="exact"/>
        <w:ind w:hanging="540"/>
        <w:textAlignment w:val="baseline"/>
        <w:rPr>
          <w:rFonts w:ascii="Times New Roman" w:hAnsi="Times New Roman" w:eastAsia="方正仿宋简体"/>
          <w:color w:val="auto"/>
          <w:sz w:val="28"/>
          <w:szCs w:val="28"/>
        </w:rPr>
      </w:pPr>
      <w:bookmarkStart w:id="386" w:name="_Toc23904"/>
      <w:bookmarkStart w:id="387" w:name="_Toc515647787"/>
      <w:bookmarkStart w:id="388" w:name="_Toc31195"/>
      <w:bookmarkStart w:id="389" w:name="_Toc216582810"/>
      <w:bookmarkStart w:id="390" w:name="_Toc12143"/>
      <w:bookmarkStart w:id="391" w:name="_Toc27482"/>
    </w:p>
    <w:p w14:paraId="2BECDD05">
      <w:pPr>
        <w:pStyle w:val="8"/>
        <w:snapToGrid w:val="0"/>
        <w:spacing w:before="0" w:line="380" w:lineRule="exact"/>
        <w:ind w:hanging="540"/>
        <w:textAlignment w:val="baseline"/>
        <w:rPr>
          <w:rFonts w:hint="eastAsia" w:ascii="仿宋_GB2312" w:hAnsi="Times New Roman" w:eastAsia="仿宋_GB2312"/>
          <w:color w:val="auto"/>
          <w:sz w:val="28"/>
          <w:szCs w:val="28"/>
        </w:rPr>
      </w:pPr>
      <w:bookmarkStart w:id="392" w:name="_Toc1827"/>
      <w:r>
        <w:rPr>
          <w:rFonts w:hint="eastAsia" w:ascii="仿宋_GB2312" w:hAnsi="Times New Roman" w:eastAsia="仿宋_GB2312"/>
          <w:color w:val="auto"/>
          <w:sz w:val="28"/>
          <w:szCs w:val="28"/>
        </w:rPr>
        <w:t xml:space="preserve">六   </w:t>
      </w:r>
      <w:bookmarkEnd w:id="385"/>
      <w:r>
        <w:rPr>
          <w:rFonts w:hint="eastAsia" w:ascii="仿宋_GB2312" w:hAnsi="Times New Roman" w:eastAsia="仿宋_GB2312"/>
          <w:color w:val="auto"/>
          <w:sz w:val="28"/>
          <w:szCs w:val="28"/>
        </w:rPr>
        <w:t>确定</w:t>
      </w:r>
      <w:bookmarkEnd w:id="386"/>
      <w:bookmarkEnd w:id="387"/>
      <w:bookmarkEnd w:id="388"/>
      <w:bookmarkEnd w:id="389"/>
      <w:bookmarkEnd w:id="390"/>
      <w:r>
        <w:rPr>
          <w:rFonts w:hint="eastAsia" w:ascii="仿宋_GB2312" w:hAnsi="Times New Roman" w:eastAsia="仿宋_GB2312"/>
          <w:color w:val="auto"/>
          <w:sz w:val="28"/>
          <w:szCs w:val="28"/>
        </w:rPr>
        <w:t>成交</w:t>
      </w:r>
      <w:bookmarkEnd w:id="391"/>
      <w:bookmarkEnd w:id="392"/>
    </w:p>
    <w:p w14:paraId="7ECC232D">
      <w:pPr>
        <w:pStyle w:val="10"/>
        <w:snapToGrid w:val="0"/>
        <w:spacing w:line="380" w:lineRule="exact"/>
        <w:ind w:firstLine="0"/>
        <w:textAlignment w:val="baseline"/>
        <w:rPr>
          <w:rFonts w:hint="eastAsia" w:ascii="仿宋_GB2312" w:eastAsia="仿宋_GB2312"/>
          <w:color w:val="auto"/>
          <w:sz w:val="28"/>
          <w:szCs w:val="28"/>
        </w:rPr>
      </w:pPr>
    </w:p>
    <w:p w14:paraId="035BEA4E">
      <w:pPr>
        <w:pStyle w:val="9"/>
        <w:snapToGrid w:val="0"/>
        <w:spacing w:before="0" w:after="0" w:line="380" w:lineRule="exact"/>
        <w:textAlignment w:val="baseline"/>
        <w:rPr>
          <w:rFonts w:hint="eastAsia" w:ascii="仿宋_GB2312" w:eastAsia="仿宋_GB2312"/>
          <w:color w:val="auto"/>
          <w:szCs w:val="24"/>
          <w:u w:val="none"/>
        </w:rPr>
      </w:pPr>
      <w:bookmarkStart w:id="393" w:name="_Ref467307010"/>
      <w:bookmarkStart w:id="394" w:name="_Toc515647788"/>
      <w:bookmarkStart w:id="395" w:name="_Toc4774"/>
      <w:bookmarkStart w:id="396" w:name="_Toc15848"/>
      <w:bookmarkStart w:id="397" w:name="_Toc7632"/>
      <w:bookmarkStart w:id="398" w:name="_Toc23617"/>
      <w:bookmarkStart w:id="399" w:name="_Toc19391"/>
      <w:bookmarkStart w:id="400" w:name="_Toc10858"/>
      <w:bookmarkStart w:id="401" w:name="_Toc8936"/>
      <w:bookmarkStart w:id="402" w:name="_Toc23710"/>
      <w:bookmarkStart w:id="403" w:name="_Toc29606"/>
      <w:bookmarkStart w:id="404" w:name="_Toc520356170"/>
      <w:bookmarkStart w:id="405" w:name="_Toc20286"/>
      <w:bookmarkStart w:id="406" w:name="_Toc23762"/>
      <w:bookmarkStart w:id="407" w:name="_Toc20156"/>
      <w:r>
        <w:rPr>
          <w:rFonts w:hint="eastAsia" w:ascii="仿宋_GB2312" w:eastAsia="仿宋_GB2312"/>
          <w:color w:val="auto"/>
          <w:szCs w:val="24"/>
          <w:u w:val="none"/>
        </w:rPr>
        <w:t>26.成交候选人的确定原则及标准</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6761D602">
      <w:pPr>
        <w:spacing w:line="380" w:lineRule="exact"/>
        <w:ind w:left="957" w:leftChars="456"/>
        <w:rPr>
          <w:rFonts w:hint="eastAsia" w:ascii="仿宋_GB2312" w:eastAsia="仿宋_GB2312"/>
          <w:color w:val="auto"/>
          <w:sz w:val="24"/>
        </w:rPr>
      </w:pPr>
      <w:bookmarkStart w:id="408" w:name="_Toc520356171"/>
      <w:bookmarkStart w:id="409" w:name="_Toc24948"/>
      <w:bookmarkStart w:id="410" w:name="_Toc1644"/>
      <w:bookmarkStart w:id="411" w:name="_Toc3720"/>
      <w:bookmarkStart w:id="412" w:name="_Toc515647789"/>
      <w:bookmarkStart w:id="413" w:name="_Toc23951"/>
      <w:bookmarkStart w:id="414" w:name="_Toc17933"/>
      <w:bookmarkStart w:id="415" w:name="_Toc16846"/>
      <w:bookmarkStart w:id="416" w:name="_Toc17164"/>
      <w:bookmarkStart w:id="417" w:name="_Toc9653"/>
      <w:bookmarkStart w:id="418" w:name="_Toc5598"/>
      <w:bookmarkStart w:id="419" w:name="_Toc1227"/>
      <w:bookmarkStart w:id="420" w:name="_Toc14558"/>
      <w:r>
        <w:rPr>
          <w:rFonts w:hint="eastAsia" w:ascii="仿宋_GB2312" w:eastAsia="仿宋_GB2312"/>
          <w:color w:val="auto"/>
          <w:sz w:val="24"/>
        </w:rPr>
        <w:t>除谈判小组受采购人委托直接确定成交供应商的情形外，谈判小组应当从质量和服务均能满足采购文件实质性响应要求的供应商中，按照最后报价由低到高的顺序推荐成交候选人。</w:t>
      </w:r>
    </w:p>
    <w:p w14:paraId="3B1E6731">
      <w:pPr>
        <w:pStyle w:val="9"/>
        <w:tabs>
          <w:tab w:val="left" w:pos="900"/>
        </w:tabs>
        <w:snapToGrid w:val="0"/>
        <w:spacing w:before="0" w:after="0" w:line="380" w:lineRule="exact"/>
        <w:textAlignment w:val="baseline"/>
        <w:rPr>
          <w:rFonts w:hint="eastAsia" w:ascii="仿宋_GB2312" w:eastAsia="仿宋_GB2312"/>
          <w:bCs/>
          <w:color w:val="auto"/>
          <w:szCs w:val="24"/>
          <w:u w:val="none"/>
        </w:rPr>
      </w:pPr>
      <w:bookmarkStart w:id="421" w:name="_Toc27171"/>
      <w:r>
        <w:rPr>
          <w:rFonts w:hint="eastAsia" w:ascii="仿宋_GB2312" w:eastAsia="仿宋_GB2312"/>
          <w:bCs/>
          <w:color w:val="auto"/>
          <w:szCs w:val="24"/>
          <w:u w:val="none"/>
        </w:rPr>
        <w:t>27</w:t>
      </w:r>
      <w:bookmarkEnd w:id="408"/>
      <w:r>
        <w:rPr>
          <w:rFonts w:hint="eastAsia" w:ascii="仿宋_GB2312" w:eastAsia="仿宋_GB2312"/>
          <w:bCs/>
          <w:color w:val="auto"/>
          <w:szCs w:val="24"/>
          <w:u w:val="none"/>
        </w:rPr>
        <w:t>.确定成交候选人和</w:t>
      </w:r>
      <w:bookmarkEnd w:id="409"/>
      <w:bookmarkEnd w:id="410"/>
      <w:bookmarkEnd w:id="411"/>
      <w:bookmarkEnd w:id="412"/>
      <w:bookmarkEnd w:id="413"/>
      <w:bookmarkEnd w:id="414"/>
      <w:bookmarkEnd w:id="415"/>
      <w:bookmarkEnd w:id="416"/>
      <w:bookmarkEnd w:id="417"/>
      <w:bookmarkEnd w:id="418"/>
      <w:bookmarkEnd w:id="419"/>
      <w:bookmarkEnd w:id="420"/>
      <w:r>
        <w:rPr>
          <w:rFonts w:hint="eastAsia" w:ascii="仿宋_GB2312" w:eastAsia="仿宋_GB2312"/>
          <w:bCs/>
          <w:color w:val="auto"/>
          <w:szCs w:val="24"/>
          <w:u w:val="none"/>
        </w:rPr>
        <w:t>成交供应商</w:t>
      </w:r>
      <w:bookmarkEnd w:id="421"/>
    </w:p>
    <w:p w14:paraId="5AFF194C">
      <w:pPr>
        <w:snapToGrid w:val="0"/>
        <w:spacing w:line="380" w:lineRule="exact"/>
        <w:ind w:left="957" w:leftChars="456" w:firstLine="60" w:firstLineChars="25"/>
        <w:textAlignment w:val="baseline"/>
        <w:rPr>
          <w:rFonts w:hint="eastAsia" w:ascii="仿宋_GB2312" w:eastAsia="仿宋_GB2312"/>
          <w:color w:val="auto"/>
          <w:sz w:val="24"/>
        </w:rPr>
      </w:pPr>
      <w:r>
        <w:rPr>
          <w:rFonts w:hint="eastAsia" w:ascii="仿宋_GB2312" w:eastAsia="仿宋_GB2312"/>
          <w:color w:val="auto"/>
          <w:sz w:val="24"/>
        </w:rPr>
        <w:t>谈判小组将根据评标标准，按</w:t>
      </w:r>
      <w:r>
        <w:rPr>
          <w:rFonts w:hint="eastAsia" w:ascii="仿宋_GB2312" w:eastAsia="仿宋_GB2312"/>
          <w:color w:val="auto"/>
          <w:sz w:val="24"/>
          <w:u w:val="single" w:color="000000"/>
        </w:rPr>
        <w:t>供应商须知资料表中</w:t>
      </w:r>
      <w:r>
        <w:rPr>
          <w:rFonts w:hint="eastAsia" w:ascii="仿宋_GB2312" w:eastAsia="仿宋_GB2312"/>
          <w:color w:val="auto"/>
          <w:sz w:val="24"/>
        </w:rPr>
        <w:t>规定数量推荐成交候选人；或根据采购人的委托，直接确定成交供应商。</w:t>
      </w:r>
    </w:p>
    <w:p w14:paraId="4CDD81A4">
      <w:pPr>
        <w:snapToGrid w:val="0"/>
        <w:spacing w:line="380" w:lineRule="exact"/>
        <w:ind w:left="957" w:leftChars="456" w:firstLine="60" w:firstLineChars="25"/>
        <w:textAlignment w:val="baseline"/>
        <w:rPr>
          <w:rFonts w:hint="eastAsia" w:ascii="仿宋_GB2312" w:eastAsia="仿宋_GB2312"/>
          <w:color w:val="auto"/>
          <w:sz w:val="24"/>
        </w:rPr>
      </w:pPr>
      <w:r>
        <w:rPr>
          <w:rFonts w:hint="eastAsia" w:ascii="仿宋_GB2312" w:eastAsia="仿宋_GB2312"/>
          <w:color w:val="auto"/>
          <w:sz w:val="24"/>
        </w:rPr>
        <w:t>采购代理机构应当在评审结束后2个工作日内将评审报告送采购人确认。</w:t>
      </w:r>
    </w:p>
    <w:p w14:paraId="2049593E">
      <w:pPr>
        <w:snapToGrid w:val="0"/>
        <w:spacing w:line="380" w:lineRule="exact"/>
        <w:ind w:left="957" w:leftChars="456" w:firstLine="60" w:firstLineChars="25"/>
        <w:textAlignment w:val="baseline"/>
        <w:rPr>
          <w:rFonts w:hint="eastAsia" w:ascii="仿宋_GB2312" w:eastAsia="仿宋_GB2312"/>
          <w:color w:val="auto"/>
          <w:sz w:val="24"/>
        </w:rPr>
      </w:pPr>
      <w:r>
        <w:rPr>
          <w:rFonts w:hint="eastAsia" w:ascii="仿宋_GB2312" w:eastAsia="仿宋_GB2312"/>
          <w:color w:val="auto"/>
          <w:sz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724AF68">
      <w:pPr>
        <w:pStyle w:val="9"/>
        <w:tabs>
          <w:tab w:val="left" w:pos="900"/>
        </w:tabs>
        <w:snapToGrid w:val="0"/>
        <w:spacing w:before="0" w:after="0" w:line="380" w:lineRule="exact"/>
        <w:textAlignment w:val="baseline"/>
        <w:rPr>
          <w:rFonts w:hint="eastAsia" w:ascii="仿宋_GB2312" w:eastAsia="仿宋_GB2312"/>
          <w:color w:val="auto"/>
          <w:szCs w:val="24"/>
          <w:u w:val="none"/>
        </w:rPr>
      </w:pPr>
      <w:bookmarkStart w:id="422" w:name="_Toc520356173"/>
      <w:bookmarkStart w:id="423" w:name="_Ref467306874"/>
      <w:bookmarkStart w:id="424" w:name="_Toc249"/>
      <w:bookmarkStart w:id="425" w:name="_Toc12652"/>
      <w:bookmarkStart w:id="426" w:name="_Toc515647790"/>
      <w:bookmarkStart w:id="427" w:name="_Toc27133"/>
      <w:bookmarkStart w:id="428" w:name="_Toc16853"/>
      <w:bookmarkStart w:id="429" w:name="_Toc8389"/>
      <w:bookmarkStart w:id="430" w:name="_Toc2091"/>
      <w:bookmarkStart w:id="431" w:name="_Toc24602"/>
      <w:bookmarkStart w:id="432" w:name="_Toc28562"/>
      <w:bookmarkStart w:id="433" w:name="_Toc27036"/>
      <w:bookmarkStart w:id="434" w:name="_Toc27308"/>
      <w:bookmarkStart w:id="435" w:name="_Toc7729"/>
      <w:bookmarkStart w:id="436" w:name="_Toc20633"/>
      <w:r>
        <w:rPr>
          <w:rFonts w:hint="eastAsia" w:ascii="仿宋_GB2312" w:eastAsia="仿宋_GB2312"/>
          <w:color w:val="auto"/>
          <w:szCs w:val="24"/>
          <w:u w:val="none"/>
        </w:rPr>
        <w:t>28.</w:t>
      </w:r>
      <w:bookmarkEnd w:id="422"/>
      <w:bookmarkEnd w:id="423"/>
      <w:r>
        <w:rPr>
          <w:rFonts w:hint="eastAsia" w:ascii="仿宋_GB2312" w:eastAsia="仿宋_GB2312"/>
          <w:color w:val="auto"/>
          <w:szCs w:val="24"/>
          <w:u w:val="none"/>
        </w:rPr>
        <w:t>采购任务取消</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2CC14A91">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ab/>
      </w:r>
      <w:r>
        <w:rPr>
          <w:rFonts w:hint="eastAsia" w:ascii="仿宋_GB2312" w:eastAsia="仿宋_GB2312"/>
          <w:color w:val="auto"/>
          <w:sz w:val="24"/>
        </w:rPr>
        <w:t>因重大变故采购任务取消时，采购人有权拒绝任何供应商成交，且对受影响的供应商不承担任何责任。</w:t>
      </w:r>
      <w:bookmarkStart w:id="437" w:name="_Toc520356174"/>
    </w:p>
    <w:p w14:paraId="0E11166A">
      <w:pPr>
        <w:pStyle w:val="9"/>
        <w:snapToGrid w:val="0"/>
        <w:spacing w:before="0" w:after="0" w:line="380" w:lineRule="exact"/>
        <w:textAlignment w:val="baseline"/>
        <w:rPr>
          <w:rFonts w:hint="eastAsia" w:ascii="仿宋_GB2312" w:eastAsia="仿宋_GB2312"/>
          <w:color w:val="auto"/>
          <w:szCs w:val="24"/>
          <w:u w:val="none"/>
        </w:rPr>
      </w:pPr>
      <w:bookmarkStart w:id="438" w:name="_Toc29249"/>
      <w:bookmarkStart w:id="439" w:name="_Toc26091"/>
      <w:bookmarkStart w:id="440" w:name="_Toc2401"/>
      <w:bookmarkStart w:id="441" w:name="_Toc27516"/>
      <w:bookmarkStart w:id="442" w:name="_Toc11134"/>
      <w:bookmarkStart w:id="443" w:name="_Toc6223"/>
      <w:bookmarkStart w:id="444" w:name="_Toc30170"/>
      <w:bookmarkStart w:id="445" w:name="_Toc31099"/>
      <w:bookmarkStart w:id="446" w:name="_Toc7938"/>
      <w:bookmarkStart w:id="447" w:name="_Toc32635"/>
      <w:bookmarkStart w:id="448" w:name="_Toc515647791"/>
      <w:bookmarkStart w:id="449" w:name="_Toc20620"/>
      <w:bookmarkStart w:id="450" w:name="_Toc15270"/>
      <w:r>
        <w:rPr>
          <w:rFonts w:hint="eastAsia" w:ascii="仿宋_GB2312" w:eastAsia="仿宋_GB2312"/>
          <w:color w:val="auto"/>
          <w:szCs w:val="24"/>
          <w:u w:val="none"/>
        </w:rPr>
        <w:t>29.</w:t>
      </w:r>
      <w:bookmarkEnd w:id="437"/>
      <w:r>
        <w:rPr>
          <w:rFonts w:hint="eastAsia" w:ascii="仿宋_GB2312" w:eastAsia="仿宋_GB2312"/>
          <w:color w:val="auto"/>
          <w:szCs w:val="24"/>
          <w:u w:val="none"/>
        </w:rPr>
        <w:t>成交通知书和采购结果通知书</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320576AA">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29.1</w:t>
      </w:r>
      <w:r>
        <w:rPr>
          <w:rFonts w:hint="eastAsia" w:ascii="仿宋_GB2312" w:eastAsia="仿宋_GB2312"/>
          <w:color w:val="auto"/>
          <w:sz w:val="24"/>
        </w:rPr>
        <w:tab/>
      </w:r>
      <w:r>
        <w:rPr>
          <w:rFonts w:hint="eastAsia" w:ascii="仿宋_GB2312" w:eastAsia="仿宋_GB2312"/>
          <w:color w:val="auto"/>
          <w:sz w:val="24"/>
        </w:rPr>
        <w:t>在谈判有效期内，中标人确定后，采购人或者采购代理机构发布中标结果公告，同时向成交供应商发出中标通知书。</w:t>
      </w:r>
    </w:p>
    <w:p w14:paraId="40470EA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29.2</w:t>
      </w:r>
      <w:r>
        <w:rPr>
          <w:rFonts w:hint="eastAsia" w:ascii="仿宋_GB2312" w:eastAsia="仿宋_GB2312"/>
          <w:color w:val="auto"/>
          <w:sz w:val="24"/>
        </w:rPr>
        <w:tab/>
      </w:r>
      <w:r>
        <w:rPr>
          <w:rFonts w:hint="eastAsia" w:ascii="仿宋_GB2312" w:eastAsia="仿宋_GB2312"/>
          <w:color w:val="auto"/>
          <w:sz w:val="24"/>
        </w:rPr>
        <w:t>中标通知书是合同的组成部分。</w:t>
      </w:r>
    </w:p>
    <w:p w14:paraId="51E3595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29.3    采购结果通知书和中标通知书同时发出。采购结果通知书中将告知未中标供应商未中标的原因。</w:t>
      </w:r>
    </w:p>
    <w:p w14:paraId="20FF2DC8">
      <w:pPr>
        <w:pStyle w:val="9"/>
        <w:snapToGrid w:val="0"/>
        <w:spacing w:before="0" w:after="0" w:line="380" w:lineRule="exact"/>
        <w:textAlignment w:val="baseline"/>
        <w:rPr>
          <w:rFonts w:hint="eastAsia" w:ascii="仿宋_GB2312" w:eastAsia="仿宋_GB2312"/>
          <w:color w:val="auto"/>
          <w:szCs w:val="24"/>
          <w:u w:val="none"/>
        </w:rPr>
      </w:pPr>
      <w:bookmarkStart w:id="451" w:name="_Toc29762"/>
      <w:bookmarkStart w:id="452" w:name="_Toc11296"/>
      <w:bookmarkStart w:id="453" w:name="_Toc15063"/>
      <w:bookmarkStart w:id="454" w:name="_Toc1076"/>
      <w:bookmarkStart w:id="455" w:name="_Ref467306377"/>
      <w:bookmarkStart w:id="456" w:name="_Ref467306978"/>
      <w:bookmarkStart w:id="457" w:name="_Toc790"/>
      <w:bookmarkStart w:id="458" w:name="_Ref467307204"/>
      <w:bookmarkStart w:id="459" w:name="_Ref467307062"/>
      <w:bookmarkStart w:id="460" w:name="_Toc22868"/>
      <w:bookmarkStart w:id="461" w:name="_Toc8912"/>
      <w:bookmarkStart w:id="462" w:name="_Toc307"/>
      <w:bookmarkStart w:id="463" w:name="_Toc19431"/>
      <w:bookmarkStart w:id="464" w:name="_Toc20587"/>
      <w:bookmarkStart w:id="465" w:name="_Toc7779"/>
      <w:bookmarkStart w:id="466" w:name="_Toc520356175"/>
      <w:bookmarkStart w:id="467" w:name="_Toc515647792"/>
      <w:bookmarkStart w:id="468" w:name="_Toc1987"/>
      <w:r>
        <w:rPr>
          <w:rFonts w:hint="eastAsia" w:ascii="仿宋_GB2312" w:eastAsia="仿宋_GB2312"/>
          <w:color w:val="auto"/>
          <w:szCs w:val="24"/>
          <w:u w:val="none"/>
        </w:rPr>
        <w:t>30.签订合同</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hint="eastAsia" w:ascii="仿宋_GB2312" w:eastAsia="仿宋_GB2312"/>
          <w:color w:val="auto"/>
          <w:szCs w:val="24"/>
          <w:u w:val="none"/>
        </w:rPr>
        <w:t>及履约验收</w:t>
      </w:r>
      <w:bookmarkEnd w:id="468"/>
    </w:p>
    <w:p w14:paraId="75EC1B0F">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30.1</w:t>
      </w:r>
      <w:r>
        <w:rPr>
          <w:rFonts w:hint="eastAsia" w:ascii="仿宋_GB2312" w:eastAsia="仿宋_GB2312"/>
          <w:color w:val="auto"/>
          <w:sz w:val="24"/>
        </w:rPr>
        <w:tab/>
      </w:r>
      <w:r>
        <w:rPr>
          <w:rFonts w:hint="eastAsia" w:ascii="仿宋_GB2312" w:eastAsia="仿宋_GB2312"/>
          <w:color w:val="auto"/>
          <w:sz w:val="24"/>
        </w:rPr>
        <w:t>成交供应商应当自发出中标通知书之日起30日内，与采购人签订合同。</w:t>
      </w:r>
    </w:p>
    <w:p w14:paraId="44E8639D">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30.2</w:t>
      </w:r>
      <w:r>
        <w:rPr>
          <w:rFonts w:hint="eastAsia" w:ascii="仿宋_GB2312" w:eastAsia="仿宋_GB2312"/>
          <w:color w:val="auto"/>
          <w:sz w:val="24"/>
        </w:rPr>
        <w:tab/>
      </w:r>
      <w:bookmarkStart w:id="469" w:name="_Ref467307090"/>
      <w:bookmarkStart w:id="470" w:name="_Ref467306425"/>
      <w:bookmarkStart w:id="471" w:name="_Toc520356176"/>
      <w:r>
        <w:rPr>
          <w:rFonts w:hint="eastAsia" w:ascii="仿宋_GB2312" w:eastAsia="仿宋_GB2312"/>
          <w:color w:val="auto"/>
          <w:sz w:val="24"/>
        </w:rPr>
        <w:t>谈判文件、成交供应商的响应文件及其澄清文件等，均为签订合同的依据。采购人不得向成交供应商提出任何不合理的要求作为签订合同的条件。</w:t>
      </w:r>
    </w:p>
    <w:p w14:paraId="4BBB8FD1">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30.3   成交供应商拒绝与采购人签订合同的，采购人可以按照评审报告推荐的成交候选人名单排序，确定下一成交候选人为成交供应商，也可以重新开展政府采购活动。拒绝签订政府采购合同的成交供应商不得参加对该项目重新开展的采购活动。</w:t>
      </w:r>
    </w:p>
    <w:p w14:paraId="3FD32FC6">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30.4   当出现法律法规规定的成交无效或成交结果无效情形时，且合格的供应</w:t>
      </w:r>
    </w:p>
    <w:p w14:paraId="12548016">
      <w:pPr>
        <w:snapToGrid w:val="0"/>
        <w:spacing w:line="380" w:lineRule="exact"/>
        <w:ind w:left="957" w:leftChars="456"/>
        <w:textAlignment w:val="baseline"/>
        <w:rPr>
          <w:rFonts w:hint="eastAsia" w:ascii="仿宋_GB2312" w:eastAsia="仿宋_GB2312"/>
          <w:color w:val="auto"/>
          <w:sz w:val="24"/>
        </w:rPr>
      </w:pPr>
      <w:r>
        <w:rPr>
          <w:rFonts w:hint="eastAsia" w:ascii="仿宋_GB2312" w:eastAsia="仿宋_GB2312"/>
          <w:color w:val="auto"/>
          <w:sz w:val="24"/>
        </w:rPr>
        <w:t>商数量符合规定，采购人可与排名下一位的成交候选人另行签订合同，或依法重新开展采购活动。</w:t>
      </w:r>
    </w:p>
    <w:p w14:paraId="636E4ED8">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30.5   根据《关于进一步加强政府采购需求和履约验收管理的指导意见》财库[2016]205号有关规定依法依规进行履约验收。</w:t>
      </w:r>
    </w:p>
    <w:p w14:paraId="6887F95A">
      <w:pPr>
        <w:pStyle w:val="9"/>
        <w:snapToGrid w:val="0"/>
        <w:spacing w:before="0" w:after="0" w:line="380" w:lineRule="exact"/>
        <w:textAlignment w:val="baseline"/>
        <w:rPr>
          <w:rFonts w:hint="eastAsia" w:ascii="仿宋_GB2312" w:eastAsia="仿宋_GB2312"/>
          <w:color w:val="auto"/>
          <w:szCs w:val="24"/>
          <w:u w:val="none"/>
        </w:rPr>
      </w:pPr>
      <w:bookmarkStart w:id="472" w:name="_Toc6921"/>
      <w:bookmarkStart w:id="473" w:name="_Toc10911"/>
      <w:bookmarkStart w:id="474" w:name="_Toc32532"/>
      <w:bookmarkStart w:id="475" w:name="_Toc5437"/>
      <w:bookmarkStart w:id="476" w:name="_Toc14080"/>
      <w:bookmarkStart w:id="477" w:name="_Toc22555"/>
      <w:bookmarkStart w:id="478" w:name="_Toc14839"/>
      <w:bookmarkStart w:id="479" w:name="_Toc15602"/>
      <w:bookmarkStart w:id="480" w:name="_Toc515647793"/>
      <w:bookmarkStart w:id="481" w:name="_Toc24808"/>
      <w:bookmarkStart w:id="482" w:name="_Toc15573"/>
      <w:bookmarkStart w:id="483" w:name="_Toc26893"/>
      <w:bookmarkStart w:id="484" w:name="_Toc22126"/>
      <w:r>
        <w:rPr>
          <w:rFonts w:hint="eastAsia" w:ascii="仿宋_GB2312" w:eastAsia="仿宋_GB2312"/>
          <w:color w:val="auto"/>
          <w:szCs w:val="24"/>
          <w:u w:val="none"/>
        </w:rPr>
        <w:t>31.履约保证金</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7769EF5C">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31.1</w:t>
      </w:r>
      <w:r>
        <w:rPr>
          <w:rFonts w:hint="eastAsia" w:ascii="仿宋_GB2312" w:eastAsia="仿宋_GB2312"/>
          <w:color w:val="auto"/>
          <w:sz w:val="24"/>
        </w:rPr>
        <w:tab/>
      </w:r>
      <w:r>
        <w:rPr>
          <w:rFonts w:hint="eastAsia" w:ascii="仿宋_GB2312" w:eastAsia="仿宋_GB2312"/>
          <w:color w:val="auto"/>
          <w:sz w:val="24"/>
        </w:rPr>
        <w:t>成交供应商应按照</w:t>
      </w:r>
      <w:r>
        <w:rPr>
          <w:rFonts w:hint="eastAsia" w:ascii="仿宋_GB2312" w:eastAsia="仿宋_GB2312"/>
          <w:color w:val="auto"/>
          <w:sz w:val="24"/>
          <w:u w:val="single"/>
        </w:rPr>
        <w:t>供应商须知资料表</w:t>
      </w:r>
      <w:r>
        <w:rPr>
          <w:rFonts w:hint="eastAsia" w:ascii="仿宋_GB2312" w:eastAsia="仿宋_GB2312"/>
          <w:color w:val="auto"/>
          <w:sz w:val="24"/>
        </w:rPr>
        <w:t>规定向采购人缴纳履约保证金（如采用保函形式，格式见本章附件1）。</w:t>
      </w:r>
    </w:p>
    <w:p w14:paraId="752F5C2D">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31.2</w:t>
      </w:r>
      <w:r>
        <w:rPr>
          <w:rFonts w:hint="eastAsia" w:ascii="仿宋_GB2312" w:eastAsia="仿宋_GB2312"/>
          <w:color w:val="auto"/>
          <w:sz w:val="24"/>
        </w:rPr>
        <w:tab/>
      </w:r>
      <w:r>
        <w:rPr>
          <w:rFonts w:hint="eastAsia" w:ascii="仿宋_GB2312" w:eastAsia="仿宋_GB2312"/>
          <w:color w:val="auto"/>
          <w:sz w:val="24"/>
        </w:rPr>
        <w:t>政府采购利用担保试点范围内的项目，除31.1规定的情形外，成交供应商也可以按照财政部门的规定，向采购人提供合格的履约担保函（格式见本章附件2）。</w:t>
      </w:r>
    </w:p>
    <w:p w14:paraId="067A710C">
      <w:pPr>
        <w:snapToGrid w:val="0"/>
        <w:spacing w:line="380" w:lineRule="exact"/>
        <w:ind w:left="960" w:hanging="960" w:hangingChars="400"/>
        <w:jc w:val="left"/>
        <w:textAlignment w:val="baseline"/>
        <w:rPr>
          <w:rFonts w:hint="eastAsia" w:ascii="仿宋_GB2312" w:eastAsia="仿宋_GB2312"/>
          <w:bCs/>
          <w:color w:val="auto"/>
          <w:sz w:val="24"/>
          <w:u w:val="single" w:color="000000"/>
        </w:rPr>
      </w:pPr>
      <w:bookmarkStart w:id="485" w:name="_Toc32107"/>
      <w:bookmarkStart w:id="486" w:name="_Toc7088"/>
      <w:bookmarkStart w:id="487" w:name="_Toc864"/>
      <w:bookmarkStart w:id="488" w:name="_Toc5352"/>
      <w:bookmarkStart w:id="489" w:name="_Toc1888"/>
      <w:bookmarkStart w:id="490" w:name="_Toc14350"/>
      <w:bookmarkStart w:id="491" w:name="_Toc13783"/>
      <w:r>
        <w:rPr>
          <w:rFonts w:hint="eastAsia" w:ascii="仿宋_GB2312" w:eastAsia="仿宋_GB2312"/>
          <w:color w:val="auto"/>
          <w:sz w:val="24"/>
        </w:rPr>
        <w:t>31.3   如果成交供应商没有按照上述履约保证金的规定执行，将视为放弃成交资格，成交供应商的谈判保证金将不予退还。在此情况下，采购人可确定下一候选</w:t>
      </w:r>
      <w:r>
        <w:rPr>
          <w:rFonts w:hint="eastAsia" w:ascii="仿宋_GB2312" w:eastAsia="仿宋_GB2312"/>
          <w:bCs/>
          <w:color w:val="auto"/>
          <w:sz w:val="24"/>
        </w:rPr>
        <w:t>人为成交供应商，也可以重新开展采购活动。</w:t>
      </w:r>
      <w:bookmarkEnd w:id="485"/>
      <w:bookmarkEnd w:id="486"/>
      <w:bookmarkEnd w:id="487"/>
      <w:bookmarkEnd w:id="488"/>
      <w:bookmarkEnd w:id="489"/>
      <w:bookmarkEnd w:id="490"/>
      <w:bookmarkEnd w:id="491"/>
    </w:p>
    <w:p w14:paraId="153E5665">
      <w:pPr>
        <w:pStyle w:val="9"/>
        <w:snapToGrid w:val="0"/>
        <w:spacing w:before="0" w:after="0" w:line="380" w:lineRule="exact"/>
        <w:textAlignment w:val="baseline"/>
        <w:rPr>
          <w:rFonts w:ascii="Times New Roman" w:eastAsia="方正仿宋简体"/>
          <w:color w:val="auto"/>
          <w:szCs w:val="24"/>
          <w:u w:val="none"/>
        </w:rPr>
      </w:pPr>
      <w:bookmarkStart w:id="492" w:name="_Toc15937"/>
      <w:bookmarkStart w:id="493" w:name="_Toc31215"/>
      <w:bookmarkStart w:id="494" w:name="_Toc26452"/>
      <w:bookmarkStart w:id="495" w:name="_Toc12971"/>
      <w:bookmarkStart w:id="496" w:name="_Toc23392"/>
      <w:bookmarkStart w:id="497" w:name="_Toc11939"/>
      <w:bookmarkStart w:id="498" w:name="_Toc27934"/>
      <w:bookmarkStart w:id="499" w:name="_Toc29652"/>
      <w:bookmarkStart w:id="500" w:name="_Toc10734"/>
      <w:bookmarkStart w:id="501" w:name="_Toc3090"/>
      <w:bookmarkStart w:id="502" w:name="_Toc16384"/>
      <w:bookmarkStart w:id="503" w:name="_Toc515647794"/>
      <w:bookmarkStart w:id="504" w:name="_Toc29408"/>
      <w:r>
        <w:rPr>
          <w:rFonts w:ascii="Times New Roman" w:eastAsia="方正仿宋简体"/>
          <w:color w:val="auto"/>
          <w:szCs w:val="24"/>
          <w:u w:val="none"/>
        </w:rPr>
        <w:t>32.成交服务费</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4036B4E2">
      <w:pPr>
        <w:spacing w:line="380" w:lineRule="exact"/>
        <w:ind w:left="909" w:leftChars="433"/>
        <w:rPr>
          <w:rFonts w:ascii="仿宋" w:hAnsi="仿宋" w:eastAsia="仿宋" w:cs="仿宋"/>
          <w:color w:val="auto"/>
          <w:sz w:val="24"/>
        </w:rPr>
      </w:pPr>
      <w:bookmarkStart w:id="505" w:name="_Toc15699"/>
      <w:bookmarkStart w:id="506" w:name="_Toc515647795"/>
      <w:bookmarkStart w:id="507" w:name="_Toc28128"/>
      <w:bookmarkStart w:id="508" w:name="_Toc30442"/>
      <w:bookmarkStart w:id="509" w:name="_Toc26134"/>
      <w:bookmarkStart w:id="510" w:name="_Toc1343"/>
      <w:bookmarkStart w:id="511" w:name="_Toc6923"/>
      <w:bookmarkStart w:id="512" w:name="_Toc18898"/>
      <w:bookmarkStart w:id="513" w:name="_Toc7049"/>
      <w:bookmarkStart w:id="514" w:name="_Toc5403"/>
      <w:bookmarkStart w:id="515" w:name="_Toc24064"/>
      <w:bookmarkStart w:id="516" w:name="_Toc32437"/>
      <w:bookmarkStart w:id="517" w:name="_Toc31549"/>
      <w:r>
        <w:rPr>
          <w:rFonts w:hint="eastAsia" w:ascii="仿宋_GB2312" w:eastAsia="仿宋_GB2312"/>
          <w:color w:val="auto"/>
          <w:sz w:val="24"/>
        </w:rPr>
        <w:t>中标人须按照</w:t>
      </w:r>
      <w:r>
        <w:rPr>
          <w:rFonts w:hint="eastAsia" w:ascii="仿宋_GB2312" w:eastAsia="仿宋_GB2312"/>
          <w:color w:val="auto"/>
          <w:sz w:val="24"/>
          <w:u w:val="single"/>
        </w:rPr>
        <w:t>供应商须知资料表</w:t>
      </w:r>
      <w:r>
        <w:rPr>
          <w:rFonts w:hint="eastAsia" w:ascii="仿宋_GB2312" w:eastAsia="仿宋_GB2312"/>
          <w:color w:val="auto"/>
          <w:sz w:val="24"/>
        </w:rPr>
        <w:t>表规定，向采购代理机构支付中标服务费。</w:t>
      </w:r>
    </w:p>
    <w:p w14:paraId="567E9849">
      <w:pPr>
        <w:snapToGrid w:val="0"/>
        <w:spacing w:line="380" w:lineRule="exact"/>
        <w:jc w:val="left"/>
        <w:textAlignment w:val="baseline"/>
        <w:rPr>
          <w:rFonts w:hint="eastAsia" w:ascii="仿宋_GB2312" w:eastAsia="仿宋_GB2312"/>
          <w:color w:val="auto"/>
          <w:sz w:val="24"/>
        </w:rPr>
      </w:pPr>
      <w:r>
        <w:rPr>
          <w:rFonts w:hint="eastAsia" w:ascii="仿宋_GB2312" w:eastAsia="仿宋_GB2312"/>
          <w:color w:val="auto"/>
          <w:sz w:val="24"/>
        </w:rPr>
        <w:t>33.政府采购信用担保</w:t>
      </w:r>
      <w:bookmarkEnd w:id="505"/>
      <w:bookmarkEnd w:id="506"/>
      <w:bookmarkEnd w:id="507"/>
      <w:bookmarkEnd w:id="508"/>
      <w:bookmarkEnd w:id="509"/>
      <w:bookmarkEnd w:id="510"/>
      <w:bookmarkEnd w:id="511"/>
      <w:bookmarkEnd w:id="512"/>
      <w:bookmarkEnd w:id="513"/>
      <w:bookmarkEnd w:id="514"/>
      <w:bookmarkEnd w:id="515"/>
      <w:bookmarkEnd w:id="516"/>
      <w:bookmarkEnd w:id="517"/>
    </w:p>
    <w:p w14:paraId="770D90C0">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33.1   本项目是否属于信用担保试点范围见</w:t>
      </w:r>
      <w:r>
        <w:rPr>
          <w:rFonts w:hint="eastAsia" w:ascii="仿宋_GB2312" w:eastAsia="仿宋_GB2312"/>
          <w:color w:val="auto"/>
          <w:sz w:val="24"/>
          <w:u w:val="single"/>
        </w:rPr>
        <w:t>供应商须知资料表</w:t>
      </w:r>
      <w:r>
        <w:rPr>
          <w:rFonts w:hint="eastAsia" w:ascii="仿宋_GB2312" w:eastAsia="仿宋_GB2312"/>
          <w:color w:val="auto"/>
          <w:sz w:val="24"/>
        </w:rPr>
        <w:t>。</w:t>
      </w:r>
    </w:p>
    <w:p w14:paraId="3614AE35">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33.2   如属于政府采购信用担保试点范围内，中小型企业供应商可以自由按照财政部门的规定，采用谈判担保、履约担保和融资担保。</w:t>
      </w:r>
    </w:p>
    <w:p w14:paraId="5FED8CF6">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33.2.1 供应商递交的谈判担保函和履约担保函应符合本谈判文件的规定。</w:t>
      </w:r>
    </w:p>
    <w:p w14:paraId="23082C01">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33.2.2 成交供应商可以采取融资担保的形式为政府采购项目履约进行融资。</w:t>
      </w:r>
    </w:p>
    <w:p w14:paraId="11830A99">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33.2.3 合格的政府采购专业信用担保机构名单见</w:t>
      </w:r>
      <w:r>
        <w:rPr>
          <w:rFonts w:hint="eastAsia" w:ascii="仿宋_GB2312" w:eastAsia="仿宋_GB2312"/>
          <w:color w:val="auto"/>
          <w:sz w:val="24"/>
          <w:u w:val="single"/>
        </w:rPr>
        <w:t>供应商须知资料表</w:t>
      </w:r>
      <w:r>
        <w:rPr>
          <w:rFonts w:hint="eastAsia" w:ascii="仿宋_GB2312" w:eastAsia="仿宋_GB2312"/>
          <w:color w:val="auto"/>
          <w:sz w:val="24"/>
        </w:rPr>
        <w:t>。</w:t>
      </w:r>
    </w:p>
    <w:p w14:paraId="418B9BC7">
      <w:pPr>
        <w:pStyle w:val="9"/>
        <w:snapToGrid w:val="0"/>
        <w:spacing w:before="0" w:after="0" w:line="380" w:lineRule="exact"/>
        <w:textAlignment w:val="baseline"/>
        <w:rPr>
          <w:rFonts w:hint="eastAsia" w:ascii="仿宋_GB2312" w:eastAsia="仿宋_GB2312"/>
          <w:color w:val="auto"/>
          <w:szCs w:val="24"/>
          <w:u w:val="none"/>
        </w:rPr>
      </w:pPr>
      <w:bookmarkStart w:id="518" w:name="_Toc15842"/>
      <w:bookmarkStart w:id="519" w:name="_Toc9673"/>
      <w:bookmarkStart w:id="520" w:name="_Toc2133"/>
      <w:bookmarkStart w:id="521" w:name="_Toc7616"/>
      <w:bookmarkStart w:id="522" w:name="_Toc27619"/>
      <w:bookmarkStart w:id="523" w:name="_Toc26887"/>
      <w:bookmarkStart w:id="524" w:name="_Toc23999"/>
      <w:bookmarkStart w:id="525" w:name="_Toc9559"/>
      <w:bookmarkStart w:id="526" w:name="_Toc515647796"/>
      <w:bookmarkStart w:id="527" w:name="_Toc16394"/>
      <w:bookmarkStart w:id="528" w:name="_Toc24726"/>
      <w:bookmarkStart w:id="529" w:name="_Toc31135"/>
      <w:bookmarkStart w:id="530" w:name="_Toc28874"/>
      <w:r>
        <w:rPr>
          <w:rFonts w:hint="eastAsia" w:ascii="仿宋_GB2312" w:eastAsia="仿宋_GB2312"/>
          <w:color w:val="auto"/>
          <w:szCs w:val="24"/>
          <w:u w:val="none"/>
        </w:rPr>
        <w:t>34.廉洁自律规定</w:t>
      </w:r>
      <w:bookmarkEnd w:id="518"/>
      <w:bookmarkEnd w:id="519"/>
      <w:bookmarkEnd w:id="520"/>
      <w:bookmarkEnd w:id="521"/>
      <w:bookmarkEnd w:id="522"/>
      <w:bookmarkEnd w:id="523"/>
      <w:bookmarkEnd w:id="524"/>
      <w:bookmarkEnd w:id="525"/>
      <w:bookmarkEnd w:id="526"/>
      <w:bookmarkEnd w:id="527"/>
      <w:bookmarkEnd w:id="528"/>
      <w:bookmarkEnd w:id="529"/>
      <w:bookmarkEnd w:id="530"/>
    </w:p>
    <w:p w14:paraId="2EF263DC">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34.1   采购代理机构工作人员不得以不正当手段获取政府采购代理业务，不得与采购人、供应商恶意串通操纵政府采购活动。</w:t>
      </w:r>
    </w:p>
    <w:p w14:paraId="3B4F19D8">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34.2   采购代理机构工作人员不得接受采购人或者供应商组织的宴请、旅游、娱乐，不得收受礼品、现金、有价证券等，不得向采购人或者供应商报销应当由个人承担的费用。</w:t>
      </w:r>
    </w:p>
    <w:p w14:paraId="5CAE6305">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34.3   为强化采购代理机构内部监督机制，供应商可按</w:t>
      </w:r>
      <w:r>
        <w:rPr>
          <w:rFonts w:hint="eastAsia" w:ascii="仿宋_GB2312" w:eastAsia="仿宋_GB2312"/>
          <w:color w:val="auto"/>
          <w:sz w:val="24"/>
          <w:u w:val="single" w:color="000000"/>
        </w:rPr>
        <w:t>供应商须知资料表中的</w:t>
      </w:r>
      <w:r>
        <w:rPr>
          <w:rFonts w:hint="eastAsia" w:ascii="仿宋_GB2312" w:eastAsia="仿宋_GB2312"/>
          <w:color w:val="auto"/>
          <w:sz w:val="24"/>
        </w:rPr>
        <w:t>监督电话和邮箱，反映采购代理机构的廉洁自律等问题。</w:t>
      </w:r>
    </w:p>
    <w:p w14:paraId="1D761D6A">
      <w:pPr>
        <w:pStyle w:val="9"/>
        <w:snapToGrid w:val="0"/>
        <w:spacing w:before="0" w:after="0" w:line="380" w:lineRule="exact"/>
        <w:textAlignment w:val="baseline"/>
        <w:rPr>
          <w:rFonts w:hint="eastAsia" w:ascii="仿宋_GB2312" w:eastAsia="仿宋_GB2312"/>
          <w:color w:val="auto"/>
          <w:szCs w:val="24"/>
          <w:u w:val="none"/>
        </w:rPr>
      </w:pPr>
      <w:bookmarkStart w:id="531" w:name="_Toc8702"/>
      <w:bookmarkStart w:id="532" w:name="_Toc1011"/>
      <w:bookmarkStart w:id="533" w:name="_Toc15647"/>
      <w:bookmarkStart w:id="534" w:name="_Toc1062"/>
      <w:bookmarkStart w:id="535" w:name="_Toc3386"/>
      <w:bookmarkStart w:id="536" w:name="_Toc22851"/>
      <w:bookmarkStart w:id="537" w:name="_Toc25440"/>
      <w:bookmarkStart w:id="538" w:name="_Toc25480"/>
      <w:bookmarkStart w:id="539" w:name="_Toc20804"/>
      <w:bookmarkStart w:id="540" w:name="_Toc24873"/>
      <w:bookmarkStart w:id="541" w:name="_Toc17910"/>
      <w:bookmarkStart w:id="542" w:name="_Toc515647797"/>
      <w:bookmarkStart w:id="543" w:name="_Toc11586"/>
      <w:r>
        <w:rPr>
          <w:rFonts w:hint="eastAsia" w:ascii="仿宋_GB2312" w:eastAsia="仿宋_GB2312"/>
          <w:color w:val="auto"/>
          <w:szCs w:val="24"/>
          <w:u w:val="none"/>
        </w:rPr>
        <w:t>35.人员回避</w:t>
      </w:r>
      <w:bookmarkEnd w:id="531"/>
      <w:bookmarkEnd w:id="532"/>
      <w:bookmarkEnd w:id="533"/>
      <w:bookmarkEnd w:id="534"/>
      <w:bookmarkEnd w:id="535"/>
      <w:bookmarkEnd w:id="536"/>
      <w:bookmarkEnd w:id="537"/>
      <w:bookmarkEnd w:id="538"/>
      <w:bookmarkEnd w:id="539"/>
      <w:bookmarkEnd w:id="540"/>
      <w:bookmarkEnd w:id="541"/>
      <w:bookmarkEnd w:id="542"/>
      <w:bookmarkEnd w:id="543"/>
    </w:p>
    <w:p w14:paraId="0306CFAB">
      <w:pPr>
        <w:snapToGrid w:val="0"/>
        <w:spacing w:line="380" w:lineRule="exact"/>
        <w:ind w:left="900" w:hanging="900" w:hangingChars="375"/>
        <w:textAlignment w:val="baseline"/>
        <w:rPr>
          <w:rFonts w:hint="eastAsia" w:ascii="仿宋_GB2312" w:eastAsia="仿宋_GB2312"/>
          <w:color w:val="auto"/>
          <w:sz w:val="24"/>
        </w:rPr>
      </w:pPr>
      <w:r>
        <w:rPr>
          <w:rFonts w:hint="eastAsia" w:ascii="仿宋_GB2312" w:eastAsia="仿宋_GB2312"/>
          <w:color w:val="auto"/>
          <w:sz w:val="24"/>
        </w:rPr>
        <w:t xml:space="preserve">       供应商认为采购人员及其相关人员有法律法规所列与其他供应商有利害关系的，可以向采购人或采购代理机构书面提出回避申请，并说明理由。</w:t>
      </w:r>
    </w:p>
    <w:p w14:paraId="2F10DB22">
      <w:pPr>
        <w:pStyle w:val="9"/>
        <w:snapToGrid w:val="0"/>
        <w:spacing w:before="0" w:after="0" w:line="380" w:lineRule="exact"/>
        <w:textAlignment w:val="baseline"/>
        <w:rPr>
          <w:rFonts w:hint="eastAsia" w:ascii="仿宋_GB2312" w:eastAsia="仿宋_GB2312"/>
          <w:color w:val="auto"/>
          <w:szCs w:val="24"/>
          <w:u w:val="none"/>
        </w:rPr>
      </w:pPr>
      <w:bookmarkStart w:id="544" w:name="_Toc31508"/>
      <w:bookmarkStart w:id="545" w:name="_Toc11115"/>
      <w:bookmarkStart w:id="546" w:name="_Toc14325"/>
      <w:bookmarkStart w:id="547" w:name="_Toc15825"/>
      <w:bookmarkStart w:id="548" w:name="_Toc24595"/>
      <w:bookmarkStart w:id="549" w:name="_Toc1148"/>
      <w:bookmarkStart w:id="550" w:name="_Toc515647798"/>
      <w:bookmarkStart w:id="551" w:name="_Toc9031"/>
      <w:bookmarkStart w:id="552" w:name="_Toc8850"/>
      <w:bookmarkStart w:id="553" w:name="_Toc24801"/>
      <w:bookmarkStart w:id="554" w:name="_Toc25962"/>
      <w:bookmarkStart w:id="555" w:name="_Toc30280"/>
      <w:bookmarkStart w:id="556" w:name="_Toc23729"/>
      <w:r>
        <w:rPr>
          <w:rFonts w:hint="eastAsia" w:ascii="仿宋_GB2312" w:eastAsia="仿宋_GB2312"/>
          <w:color w:val="auto"/>
          <w:szCs w:val="24"/>
          <w:u w:val="none"/>
        </w:rPr>
        <w:t>36.质疑与接收</w:t>
      </w:r>
      <w:bookmarkEnd w:id="544"/>
      <w:bookmarkEnd w:id="545"/>
      <w:bookmarkEnd w:id="546"/>
      <w:bookmarkEnd w:id="547"/>
      <w:bookmarkEnd w:id="548"/>
      <w:bookmarkEnd w:id="549"/>
      <w:bookmarkEnd w:id="550"/>
      <w:bookmarkEnd w:id="551"/>
      <w:bookmarkEnd w:id="552"/>
      <w:bookmarkEnd w:id="553"/>
      <w:bookmarkEnd w:id="554"/>
      <w:bookmarkEnd w:id="555"/>
      <w:bookmarkEnd w:id="556"/>
    </w:p>
    <w:p w14:paraId="703A0455">
      <w:pPr>
        <w:snapToGrid w:val="0"/>
        <w:spacing w:line="380" w:lineRule="exact"/>
        <w:ind w:left="708" w:hanging="708" w:hangingChars="295"/>
        <w:textAlignment w:val="baseline"/>
        <w:rPr>
          <w:rFonts w:hint="eastAsia" w:ascii="仿宋_GB2312" w:eastAsia="仿宋_GB2312"/>
          <w:color w:val="auto"/>
          <w:sz w:val="24"/>
        </w:rPr>
      </w:pPr>
      <w:r>
        <w:rPr>
          <w:rFonts w:hint="eastAsia" w:ascii="仿宋_GB2312" w:eastAsia="仿宋_GB2312"/>
          <w:color w:val="auto"/>
          <w:sz w:val="24"/>
        </w:rPr>
        <w:t>36.1  供应商认为谈判文件、招标过程和成交结果使自己的权益受到损害的，可以根据财政部令第74号《政府采购非招标采购方式管理办法》和财政部令第94号《政府采购质疑和投诉办法》的有关规定，依法向采购人或其委托的采购代理机构提出质疑。</w:t>
      </w:r>
    </w:p>
    <w:p w14:paraId="768012B0">
      <w:pPr>
        <w:snapToGrid w:val="0"/>
        <w:spacing w:line="380" w:lineRule="exact"/>
        <w:ind w:left="708" w:hanging="708" w:hangingChars="295"/>
        <w:textAlignment w:val="baseline"/>
        <w:rPr>
          <w:rFonts w:hint="eastAsia" w:ascii="仿宋_GB2312" w:eastAsia="仿宋_GB2312"/>
          <w:color w:val="auto"/>
          <w:sz w:val="24"/>
        </w:rPr>
      </w:pPr>
      <w:r>
        <w:rPr>
          <w:rFonts w:hint="eastAsia" w:ascii="仿宋_GB2312" w:eastAsia="仿宋_GB2312"/>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5FAC9172">
      <w:pPr>
        <w:snapToGrid w:val="0"/>
        <w:spacing w:line="380" w:lineRule="exact"/>
        <w:ind w:left="718" w:leftChars="342"/>
        <w:textAlignment w:val="baseline"/>
        <w:rPr>
          <w:rFonts w:hint="eastAsia" w:ascii="仿宋_GB2312" w:eastAsia="仿宋_GB2312"/>
          <w:color w:val="auto"/>
          <w:sz w:val="24"/>
        </w:rPr>
      </w:pPr>
      <w:r>
        <w:rPr>
          <w:rFonts w:hint="eastAsia" w:ascii="仿宋_GB2312" w:eastAsia="仿宋_GB2312"/>
          <w:color w:val="auto"/>
          <w:sz w:val="24"/>
        </w:rPr>
        <w:t>超出法定质疑期的、重复提出的、分次提出的或内容、形式不符合《政府采购质疑和投诉办法》的，质疑供应商将依法承担不利后果。</w:t>
      </w:r>
    </w:p>
    <w:p w14:paraId="59DFD631">
      <w:pPr>
        <w:snapToGrid w:val="0"/>
        <w:spacing w:line="380" w:lineRule="exact"/>
        <w:ind w:left="708" w:hanging="708" w:hangingChars="295"/>
        <w:textAlignment w:val="baseline"/>
        <w:rPr>
          <w:rFonts w:hint="eastAsia" w:ascii="仿宋_GB2312" w:eastAsia="仿宋_GB2312"/>
          <w:color w:val="auto"/>
          <w:sz w:val="24"/>
        </w:rPr>
      </w:pPr>
      <w:r>
        <w:rPr>
          <w:rFonts w:hint="eastAsia" w:ascii="仿宋_GB2312" w:eastAsia="仿宋_GB2312"/>
          <w:color w:val="auto"/>
          <w:sz w:val="24"/>
        </w:rPr>
        <w:t>36.3  采购代理机构质疑函接收部门、联系电话和通讯地址, 见</w:t>
      </w:r>
      <w:r>
        <w:rPr>
          <w:rFonts w:hint="eastAsia" w:ascii="仿宋_GB2312" w:eastAsia="仿宋_GB2312"/>
          <w:color w:val="auto"/>
          <w:sz w:val="24"/>
          <w:u w:val="single" w:color="000000"/>
        </w:rPr>
        <w:t>供应商须知资料表。</w:t>
      </w:r>
    </w:p>
    <w:p w14:paraId="180CBEBC">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35.4   质疑的提出</w:t>
      </w:r>
    </w:p>
    <w:p w14:paraId="6D2365E1">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35.5   本采购文件中所称质疑及答复，是指参加本次采购活动的供应商对政府采购活动中的采购文件、采购过程和成交结果向采购方提出质疑，采购方答复质疑的行为。</w:t>
      </w:r>
    </w:p>
    <w:p w14:paraId="2554BE79">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471CF1F5">
      <w:pPr>
        <w:snapToGrid w:val="0"/>
        <w:spacing w:line="380" w:lineRule="exact"/>
        <w:ind w:left="718" w:leftChars="342" w:firstLine="60" w:firstLineChars="25"/>
        <w:jc w:val="left"/>
        <w:textAlignment w:val="baseline"/>
        <w:rPr>
          <w:rFonts w:hint="eastAsia" w:ascii="仿宋_GB2312" w:eastAsia="仿宋_GB2312"/>
          <w:color w:val="auto"/>
          <w:sz w:val="24"/>
        </w:rPr>
      </w:pPr>
      <w:r>
        <w:rPr>
          <w:rFonts w:hint="eastAsia" w:ascii="仿宋_GB2312" w:eastAsia="仿宋_GB2312"/>
          <w:color w:val="auto"/>
          <w:sz w:val="24"/>
        </w:rPr>
        <w:t>（一）对可以质疑的采购文件提出质疑的，为收到采购文件之日或者采购文件公告期限届满之日；</w:t>
      </w:r>
    </w:p>
    <w:p w14:paraId="4E87EB66">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（二）对采购过程提出质疑的，为各采购程序环节结束之日；</w:t>
      </w:r>
    </w:p>
    <w:p w14:paraId="30D68820">
      <w:pPr>
        <w:snapToGrid w:val="0"/>
        <w:spacing w:line="380" w:lineRule="exact"/>
        <w:ind w:firstLine="720" w:firstLineChars="300"/>
        <w:jc w:val="left"/>
        <w:textAlignment w:val="baseline"/>
        <w:rPr>
          <w:rFonts w:hint="eastAsia" w:ascii="仿宋_GB2312" w:eastAsia="仿宋_GB2312"/>
          <w:color w:val="auto"/>
          <w:sz w:val="24"/>
        </w:rPr>
      </w:pPr>
      <w:r>
        <w:rPr>
          <w:rFonts w:hint="eastAsia" w:ascii="仿宋_GB2312" w:eastAsia="仿宋_GB2312"/>
          <w:color w:val="auto"/>
          <w:sz w:val="24"/>
        </w:rPr>
        <w:t>（三）对成交结果提出质疑的，为成交结果公告期限届满之日。</w:t>
      </w:r>
    </w:p>
    <w:p w14:paraId="5BD09574">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35.7   对可以质疑的采购文件提出质疑的，质疑人为参与本项目的报价方或潜在报价方。可质疑的文件为采购公告以及采购文件（包括属于其组成部分的澄清、修改、补充文件和评审标准、合同文本等）。</w:t>
      </w:r>
    </w:p>
    <w:p w14:paraId="065B002F">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1F9A63B">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35.9   提出质疑应当符合下列条件：</w:t>
      </w:r>
    </w:p>
    <w:p w14:paraId="208DB5AE">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（一）质疑主体应当符合有关规定；</w:t>
      </w:r>
    </w:p>
    <w:p w14:paraId="6FAB4948">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（二）在质疑法定期限内提出；</w:t>
      </w:r>
    </w:p>
    <w:p w14:paraId="03FBF77E">
      <w:pPr>
        <w:snapToGrid w:val="0"/>
        <w:spacing w:line="380" w:lineRule="exact"/>
        <w:ind w:left="958" w:leftChars="342" w:hanging="240" w:hangingChars="100"/>
        <w:jc w:val="left"/>
        <w:textAlignment w:val="baseline"/>
        <w:rPr>
          <w:rFonts w:hint="eastAsia" w:ascii="仿宋_GB2312" w:eastAsia="仿宋_GB2312"/>
          <w:color w:val="auto"/>
          <w:sz w:val="24"/>
        </w:rPr>
      </w:pPr>
      <w:r>
        <w:rPr>
          <w:rFonts w:hint="eastAsia" w:ascii="仿宋_GB2312" w:eastAsia="仿宋_GB2312"/>
          <w:color w:val="auto"/>
          <w:sz w:val="24"/>
        </w:rPr>
        <w:t>（三）属于可以提出质疑的政府采购事项受理范围和本项目采购人的管辖权范围；</w:t>
      </w:r>
    </w:p>
    <w:p w14:paraId="437DF20E">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（四）政府采购法律、法规、规章规定的其他条件。</w:t>
      </w:r>
    </w:p>
    <w:p w14:paraId="540FC2F3">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CE0E9B0">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35.11  质疑人所提供的证明材料应当具有真实性、合法性以及与质疑事项的关联性和证明力，否则不能作为认定该质疑事项成立的依据。</w:t>
      </w:r>
    </w:p>
    <w:p w14:paraId="5A5F8756">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35.12  质疑人提出质疑时应当提交质疑函。质疑函包括下列内容：</w:t>
      </w:r>
    </w:p>
    <w:p w14:paraId="481D0B3F">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（一）提出质疑的质疑人的名称、地址、邮编、联系人及联系电话等；</w:t>
      </w:r>
    </w:p>
    <w:p w14:paraId="3D1E7B3F">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（二）质疑项目的名称、编号；</w:t>
      </w:r>
    </w:p>
    <w:p w14:paraId="005599E4">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（三）质疑事项；</w:t>
      </w:r>
    </w:p>
    <w:p w14:paraId="63052B04">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（四）事实依据和证明材料；</w:t>
      </w:r>
    </w:p>
    <w:p w14:paraId="26E1FA56">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（五）法律依据；</w:t>
      </w:r>
    </w:p>
    <w:p w14:paraId="7B55AD0E">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（六）提出质疑的日期。</w:t>
      </w:r>
    </w:p>
    <w:p w14:paraId="5C426928">
      <w:pPr>
        <w:snapToGrid w:val="0"/>
        <w:spacing w:line="380" w:lineRule="exact"/>
        <w:ind w:left="957" w:leftChars="456" w:firstLine="60" w:firstLineChars="25"/>
        <w:jc w:val="left"/>
        <w:textAlignment w:val="baseline"/>
        <w:rPr>
          <w:rFonts w:hint="eastAsia" w:ascii="仿宋_GB2312" w:eastAsia="仿宋_GB2312"/>
          <w:color w:val="auto"/>
          <w:sz w:val="24"/>
        </w:rPr>
      </w:pPr>
      <w:r>
        <w:rPr>
          <w:rFonts w:hint="eastAsia" w:ascii="仿宋_GB2312" w:eastAsia="仿宋_GB2312"/>
          <w:color w:val="auto"/>
          <w:sz w:val="24"/>
        </w:rPr>
        <w:t>质疑函采用实名制。质疑人为自然人的应当由本人签字，并附有效身份证明文件；质疑人为法人或者非法人组织的应当由法定代表人或者负责人签字并加盖公章，并附有效身份证明文件。</w:t>
      </w:r>
    </w:p>
    <w:p w14:paraId="7C0C3037">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35.13  质疑人可以委托代理人进行质疑。代理人应当提交授权委托书。授权委托书应当载明委托代理的具体权限、期限和相关事项。</w:t>
      </w:r>
    </w:p>
    <w:p w14:paraId="596984D0">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35.14  质疑的审查和受理</w:t>
      </w:r>
    </w:p>
    <w:p w14:paraId="762D9AD4">
      <w:pPr>
        <w:snapToGrid w:val="0"/>
        <w:spacing w:line="380" w:lineRule="exact"/>
        <w:ind w:left="957" w:leftChars="456"/>
        <w:jc w:val="left"/>
        <w:textAlignment w:val="baseline"/>
        <w:rPr>
          <w:rFonts w:hint="eastAsia" w:ascii="仿宋_GB2312" w:eastAsia="仿宋_GB2312"/>
          <w:color w:val="auto"/>
          <w:sz w:val="24"/>
        </w:rPr>
      </w:pPr>
      <w:r>
        <w:rPr>
          <w:rFonts w:hint="eastAsia" w:ascii="仿宋_GB2312" w:eastAsia="仿宋_GB2312"/>
          <w:color w:val="auto"/>
          <w:sz w:val="24"/>
        </w:rPr>
        <w:t>采购方在收到质疑函后应当及时审查是否符合质疑受理条件，对符合质疑受理条件的，及时予以受理。</w:t>
      </w:r>
    </w:p>
    <w:p w14:paraId="189FD07C">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35.15  对不符合质疑受理条件的，分别按照下列不同情形予以处理：</w:t>
      </w:r>
    </w:p>
    <w:p w14:paraId="78CF00B6">
      <w:pPr>
        <w:snapToGrid w:val="0"/>
        <w:spacing w:line="380" w:lineRule="exact"/>
        <w:ind w:left="1137" w:leftChars="456" w:hanging="180" w:hangingChars="75"/>
        <w:jc w:val="left"/>
        <w:textAlignment w:val="baseline"/>
        <w:rPr>
          <w:rFonts w:hint="eastAsia" w:ascii="仿宋_GB2312" w:eastAsia="仿宋_GB2312"/>
          <w:color w:val="auto"/>
          <w:sz w:val="24"/>
        </w:rPr>
      </w:pPr>
      <w:r>
        <w:rPr>
          <w:rFonts w:hint="eastAsia" w:ascii="仿宋_GB2312" w:eastAsia="仿宋_GB2312"/>
          <w:color w:val="auto"/>
          <w:sz w:val="24"/>
        </w:rPr>
        <w:t>（一）质疑函内容不符合规定的，告知质疑人进行修改并重新提出质疑。修改后质疑事项仍不具体、不明确或者最终递交质疑函的时间超过质疑法定期限的，不予受理；</w:t>
      </w:r>
    </w:p>
    <w:p w14:paraId="08CF366B">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（二）质疑主体不符合有关规定的，告知质疑人不予受理；</w:t>
      </w:r>
    </w:p>
    <w:p w14:paraId="0DB3E611">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（三）超过质疑法定期限提出质疑的，告知质疑人不予受理；</w:t>
      </w:r>
    </w:p>
    <w:p w14:paraId="25BE27E1">
      <w:pPr>
        <w:snapToGrid w:val="0"/>
        <w:spacing w:line="380" w:lineRule="exact"/>
        <w:ind w:left="958" w:leftChars="342" w:hanging="240" w:hangingChars="100"/>
        <w:jc w:val="left"/>
        <w:textAlignment w:val="baseline"/>
        <w:rPr>
          <w:rFonts w:hint="eastAsia" w:ascii="仿宋_GB2312" w:eastAsia="仿宋_GB2312"/>
          <w:color w:val="auto"/>
          <w:sz w:val="24"/>
        </w:rPr>
      </w:pPr>
      <w:r>
        <w:rPr>
          <w:rFonts w:hint="eastAsia" w:ascii="仿宋_GB2312" w:eastAsia="仿宋_GB2312"/>
          <w:color w:val="auto"/>
          <w:sz w:val="24"/>
        </w:rPr>
        <w:t>（四）对不属于可以提出质疑的政府采购事项提出质疑的，告知质疑人不予受理；</w:t>
      </w:r>
    </w:p>
    <w:p w14:paraId="5B582388">
      <w:pPr>
        <w:snapToGrid w:val="0"/>
        <w:spacing w:line="380" w:lineRule="exact"/>
        <w:ind w:left="718" w:leftChars="342"/>
        <w:jc w:val="left"/>
        <w:textAlignment w:val="baseline"/>
        <w:rPr>
          <w:rFonts w:hint="eastAsia" w:ascii="仿宋_GB2312" w:eastAsia="仿宋_GB2312"/>
          <w:color w:val="auto"/>
          <w:sz w:val="24"/>
        </w:rPr>
      </w:pPr>
      <w:r>
        <w:rPr>
          <w:rFonts w:hint="eastAsia" w:ascii="仿宋_GB2312" w:eastAsia="仿宋_GB2312"/>
          <w:color w:val="auto"/>
          <w:sz w:val="24"/>
        </w:rPr>
        <w:t>（五）质疑不属于本项目采购方管辖的，告知质疑人向有管辖权的采购人提出质疑；</w:t>
      </w:r>
    </w:p>
    <w:p w14:paraId="6C0FC906">
      <w:pPr>
        <w:snapToGrid w:val="0"/>
        <w:spacing w:line="380" w:lineRule="exact"/>
        <w:ind w:left="239" w:leftChars="114" w:firstLine="540" w:firstLineChars="225"/>
        <w:jc w:val="left"/>
        <w:textAlignment w:val="baseline"/>
        <w:rPr>
          <w:rFonts w:hint="eastAsia" w:ascii="仿宋_GB2312" w:eastAsia="仿宋_GB2312"/>
          <w:color w:val="auto"/>
          <w:sz w:val="24"/>
        </w:rPr>
      </w:pPr>
      <w:r>
        <w:rPr>
          <w:rFonts w:hint="eastAsia" w:ascii="仿宋_GB2312" w:eastAsia="仿宋_GB2312"/>
          <w:color w:val="auto"/>
          <w:sz w:val="24"/>
        </w:rPr>
        <w:t>（六）质疑不符合其他条件的，告知质疑人不予受理。</w:t>
      </w:r>
    </w:p>
    <w:p w14:paraId="28B86ACF">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35.16  质疑的处理和答复</w:t>
      </w:r>
    </w:p>
    <w:p w14:paraId="28DF1111">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35.17  采购方受理质疑后，将及时把质疑函发送给被质疑人，并要求其在一定限期内提交书面答复，同时提供有关证据、依据和相关材料。</w:t>
      </w:r>
    </w:p>
    <w:p w14:paraId="2D665907">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35.18  对于质疑事项中涉及的问题较多、情况比较复杂的，为了全面查清事实、取得充分的证据，采购方认为有必要时，可以进行调查取证或者组织质证。</w:t>
      </w:r>
    </w:p>
    <w:p w14:paraId="0FCD828C">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35.19  对评审过程、成交结果提出质疑的，采购方可以组织原评审委员会协助答复质疑。</w:t>
      </w:r>
    </w:p>
    <w:p w14:paraId="79F9D7EE">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35.20  质疑处理过程中，质疑人书面申请撤回质疑的，将终止质疑处理程序。</w:t>
      </w:r>
    </w:p>
    <w:p w14:paraId="497A6F03">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35.21  质疑人拒绝配合采购方依法对质疑进行调查处理的，采购方将按质疑人自动撤回质疑处理；被质疑人拒绝配合采购方依法对质疑进行调查处理的，采购方将视同其认可质疑事项。</w:t>
      </w:r>
    </w:p>
    <w:p w14:paraId="6D0FB570">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35.22  质疑人拒绝配合采购方依法对质疑进行调查处理的，采购方将按质疑人自动撤回质疑处理；被质疑人拒绝配合采购方依法对质疑进行调查处理的，采购方将视同其认可质疑事项。</w:t>
      </w:r>
    </w:p>
    <w:p w14:paraId="6F4165E6">
      <w:pPr>
        <w:snapToGrid w:val="0"/>
        <w:spacing w:line="380" w:lineRule="exact"/>
        <w:ind w:left="900" w:hanging="900" w:hangingChars="375"/>
        <w:jc w:val="left"/>
        <w:textAlignment w:val="baseline"/>
        <w:rPr>
          <w:rFonts w:hint="eastAsia" w:ascii="仿宋_GB2312" w:eastAsia="仿宋_GB2312"/>
          <w:color w:val="auto"/>
          <w:sz w:val="24"/>
        </w:rPr>
      </w:pPr>
      <w:r>
        <w:rPr>
          <w:rFonts w:hint="eastAsia" w:ascii="仿宋_GB2312" w:eastAsia="仿宋_GB2312"/>
          <w:color w:val="auto"/>
          <w:sz w:val="24"/>
        </w:rPr>
        <w:t>35.23  采购方将在正式受理质疑后7个工作日内作出答复。</w:t>
      </w:r>
    </w:p>
    <w:p w14:paraId="073C53FF">
      <w:pPr>
        <w:pStyle w:val="49"/>
        <w:snapToGrid w:val="0"/>
        <w:spacing w:line="380" w:lineRule="exact"/>
        <w:jc w:val="both"/>
        <w:textAlignment w:val="baseline"/>
        <w:rPr>
          <w:rFonts w:hint="eastAsia" w:ascii="仿宋_GB2312" w:eastAsia="仿宋_GB2312" w:cs="Times New Roman"/>
          <w:color w:val="auto"/>
        </w:rPr>
      </w:pPr>
      <w:r>
        <w:rPr>
          <w:rFonts w:hint="eastAsia" w:ascii="仿宋_GB2312" w:eastAsia="仿宋_GB2312" w:cs="Times New Roman"/>
          <w:color w:val="auto"/>
        </w:rPr>
        <w:t>35.24  质疑答复应当包括下列内容：</w:t>
      </w:r>
    </w:p>
    <w:p w14:paraId="0AEBE432">
      <w:pPr>
        <w:pStyle w:val="49"/>
        <w:snapToGrid w:val="0"/>
        <w:spacing w:line="380" w:lineRule="exact"/>
        <w:ind w:firstLine="720" w:firstLineChars="300"/>
        <w:jc w:val="both"/>
        <w:textAlignment w:val="baseline"/>
        <w:rPr>
          <w:rFonts w:hint="eastAsia" w:ascii="仿宋_GB2312" w:eastAsia="仿宋_GB2312" w:cs="Times New Roman"/>
          <w:color w:val="auto"/>
        </w:rPr>
      </w:pPr>
      <w:r>
        <w:rPr>
          <w:rFonts w:hint="eastAsia" w:ascii="仿宋_GB2312" w:eastAsia="仿宋_GB2312" w:cs="Times New Roman"/>
          <w:color w:val="auto"/>
        </w:rPr>
        <w:t>（一）质疑人的姓名或者名称；</w:t>
      </w:r>
    </w:p>
    <w:p w14:paraId="05C730B4">
      <w:pPr>
        <w:pStyle w:val="49"/>
        <w:snapToGrid w:val="0"/>
        <w:spacing w:line="380" w:lineRule="exact"/>
        <w:ind w:firstLine="720" w:firstLineChars="300"/>
        <w:jc w:val="both"/>
        <w:textAlignment w:val="baseline"/>
        <w:rPr>
          <w:rFonts w:hint="eastAsia" w:ascii="仿宋_GB2312" w:eastAsia="仿宋_GB2312" w:cs="Times New Roman"/>
          <w:color w:val="auto"/>
        </w:rPr>
      </w:pPr>
      <w:r>
        <w:rPr>
          <w:rFonts w:hint="eastAsia" w:ascii="仿宋_GB2312" w:eastAsia="仿宋_GB2312" w:cs="Times New Roman"/>
          <w:color w:val="auto"/>
        </w:rPr>
        <w:t>（二）收到质疑函的日期、质疑项目名称及编号；</w:t>
      </w:r>
    </w:p>
    <w:p w14:paraId="470035ED">
      <w:pPr>
        <w:pStyle w:val="49"/>
        <w:snapToGrid w:val="0"/>
        <w:spacing w:line="380" w:lineRule="exact"/>
        <w:ind w:firstLine="720" w:firstLineChars="300"/>
        <w:jc w:val="both"/>
        <w:textAlignment w:val="baseline"/>
        <w:rPr>
          <w:rFonts w:hint="eastAsia" w:ascii="仿宋_GB2312" w:eastAsia="仿宋_GB2312" w:cs="Times New Roman"/>
          <w:color w:val="auto"/>
        </w:rPr>
      </w:pPr>
      <w:r>
        <w:rPr>
          <w:rFonts w:hint="eastAsia" w:ascii="仿宋_GB2312" w:eastAsia="仿宋_GB2312" w:cs="Times New Roman"/>
          <w:color w:val="auto"/>
        </w:rPr>
        <w:t>（三）质疑事项、质疑答复的具体内容、事实依据和法律依据；</w:t>
      </w:r>
    </w:p>
    <w:p w14:paraId="579179A1">
      <w:pPr>
        <w:pStyle w:val="49"/>
        <w:snapToGrid w:val="0"/>
        <w:spacing w:line="380" w:lineRule="exact"/>
        <w:ind w:firstLine="720" w:firstLineChars="300"/>
        <w:jc w:val="both"/>
        <w:textAlignment w:val="baseline"/>
        <w:rPr>
          <w:rFonts w:hint="eastAsia" w:ascii="仿宋_GB2312" w:eastAsia="仿宋_GB2312" w:cs="Times New Roman"/>
          <w:color w:val="auto"/>
        </w:rPr>
      </w:pPr>
      <w:r>
        <w:rPr>
          <w:rFonts w:hint="eastAsia" w:ascii="仿宋_GB2312" w:eastAsia="仿宋_GB2312" w:cs="Times New Roman"/>
          <w:color w:val="auto"/>
        </w:rPr>
        <w:t>（四）告知质疑供应商依法投诉的权利；</w:t>
      </w:r>
    </w:p>
    <w:p w14:paraId="4F8C98A4">
      <w:pPr>
        <w:pStyle w:val="49"/>
        <w:snapToGrid w:val="0"/>
        <w:spacing w:line="380" w:lineRule="exact"/>
        <w:ind w:firstLine="720" w:firstLineChars="300"/>
        <w:jc w:val="both"/>
        <w:textAlignment w:val="baseline"/>
        <w:rPr>
          <w:rFonts w:hint="eastAsia" w:ascii="仿宋_GB2312" w:eastAsia="仿宋_GB2312" w:cs="Times New Roman"/>
          <w:color w:val="auto"/>
        </w:rPr>
      </w:pPr>
      <w:r>
        <w:rPr>
          <w:rFonts w:hint="eastAsia" w:ascii="仿宋_GB2312" w:eastAsia="仿宋_GB2312" w:cs="Times New Roman"/>
          <w:color w:val="auto"/>
        </w:rPr>
        <w:t>（五）质疑答复人名称；</w:t>
      </w:r>
    </w:p>
    <w:p w14:paraId="4621949D">
      <w:pPr>
        <w:pStyle w:val="49"/>
        <w:snapToGrid w:val="0"/>
        <w:spacing w:line="380" w:lineRule="exact"/>
        <w:ind w:firstLine="720" w:firstLineChars="300"/>
        <w:jc w:val="both"/>
        <w:textAlignment w:val="baseline"/>
        <w:rPr>
          <w:rFonts w:hint="eastAsia" w:ascii="仿宋_GB2312" w:eastAsia="仿宋_GB2312" w:cs="Times New Roman"/>
          <w:color w:val="auto"/>
        </w:rPr>
      </w:pPr>
      <w:r>
        <w:rPr>
          <w:rFonts w:hint="eastAsia" w:ascii="仿宋_GB2312" w:eastAsia="仿宋_GB2312" w:cs="Times New Roman"/>
          <w:color w:val="auto"/>
        </w:rPr>
        <w:t>（六）答复质疑的日期。</w:t>
      </w:r>
    </w:p>
    <w:p w14:paraId="2F6260D4">
      <w:pPr>
        <w:snapToGrid w:val="0"/>
        <w:spacing w:line="380" w:lineRule="exact"/>
        <w:jc w:val="center"/>
        <w:textAlignment w:val="baseline"/>
        <w:rPr>
          <w:rFonts w:hint="eastAsia" w:ascii="仿宋_GB2312" w:eastAsia="仿宋_GB2312"/>
          <w:b/>
          <w:bCs/>
          <w:color w:val="auto"/>
          <w:sz w:val="28"/>
          <w:szCs w:val="28"/>
        </w:rPr>
      </w:pPr>
    </w:p>
    <w:p w14:paraId="24BECAC1">
      <w:pPr>
        <w:snapToGrid w:val="0"/>
        <w:spacing w:line="380" w:lineRule="exact"/>
        <w:jc w:val="center"/>
        <w:textAlignment w:val="baseline"/>
        <w:rPr>
          <w:rFonts w:hint="eastAsia" w:ascii="仿宋_GB2312" w:eastAsia="仿宋_GB2312"/>
          <w:b/>
          <w:bCs/>
          <w:color w:val="auto"/>
          <w:sz w:val="24"/>
        </w:rPr>
      </w:pPr>
      <w:bookmarkStart w:id="557" w:name="_Toc14949"/>
      <w:bookmarkStart w:id="558" w:name="_Toc24577"/>
      <w:r>
        <w:rPr>
          <w:rFonts w:hint="eastAsia" w:ascii="仿宋_GB2312" w:eastAsia="仿宋_GB2312"/>
          <w:b/>
          <w:bCs/>
          <w:color w:val="auto"/>
          <w:sz w:val="24"/>
        </w:rPr>
        <w:t>质疑函范本</w:t>
      </w:r>
      <w:bookmarkEnd w:id="557"/>
      <w:bookmarkEnd w:id="558"/>
    </w:p>
    <w:p w14:paraId="51C8782C">
      <w:pPr>
        <w:snapToGrid w:val="0"/>
        <w:spacing w:line="380" w:lineRule="exact"/>
        <w:textAlignment w:val="baseline"/>
        <w:rPr>
          <w:rFonts w:hint="eastAsia" w:ascii="仿宋_GB2312" w:eastAsia="仿宋_GB2312"/>
          <w:bCs/>
          <w:color w:val="auto"/>
          <w:sz w:val="24"/>
        </w:rPr>
      </w:pPr>
      <w:r>
        <w:rPr>
          <w:rFonts w:hint="eastAsia" w:ascii="仿宋_GB2312" w:eastAsia="仿宋_GB2312"/>
          <w:bCs/>
          <w:color w:val="auto"/>
          <w:sz w:val="24"/>
        </w:rPr>
        <w:t>一、质疑供应商基本信息</w:t>
      </w:r>
    </w:p>
    <w:p w14:paraId="66B65824">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质疑供应商：</w:t>
      </w:r>
      <w:r>
        <w:rPr>
          <w:rFonts w:hint="eastAsia" w:ascii="仿宋_GB2312" w:eastAsia="仿宋_GB2312"/>
          <w:color w:val="auto"/>
          <w:sz w:val="24"/>
          <w:u w:val="dotted" w:color="000000"/>
        </w:rPr>
        <w:t xml:space="preserve">                                        </w:t>
      </w:r>
    </w:p>
    <w:p w14:paraId="5A95D066">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地址：</w:t>
      </w:r>
      <w:r>
        <w:rPr>
          <w:rFonts w:hint="eastAsia" w:ascii="仿宋_GB2312" w:eastAsia="仿宋_GB2312"/>
          <w:color w:val="auto"/>
          <w:sz w:val="24"/>
          <w:u w:val="dotted" w:color="000000"/>
        </w:rPr>
        <w:t xml:space="preserve">                          </w:t>
      </w:r>
      <w:r>
        <w:rPr>
          <w:rFonts w:hint="eastAsia" w:ascii="仿宋_GB2312" w:eastAsia="仿宋_GB2312"/>
          <w:color w:val="auto"/>
          <w:sz w:val="24"/>
        </w:rPr>
        <w:t>邮编：</w:t>
      </w:r>
      <w:r>
        <w:rPr>
          <w:rFonts w:hint="eastAsia" w:ascii="仿宋_GB2312" w:eastAsia="仿宋_GB2312"/>
          <w:color w:val="auto"/>
          <w:sz w:val="24"/>
          <w:u w:val="dotted" w:color="000000"/>
        </w:rPr>
        <w:t xml:space="preserve">                                                   </w:t>
      </w:r>
    </w:p>
    <w:p w14:paraId="658F9DFD">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联系人：</w:t>
      </w:r>
      <w:r>
        <w:rPr>
          <w:rFonts w:hint="eastAsia" w:ascii="仿宋_GB2312" w:eastAsia="仿宋_GB2312"/>
          <w:color w:val="auto"/>
          <w:sz w:val="24"/>
          <w:u w:val="dotted" w:color="000000"/>
        </w:rPr>
        <w:t xml:space="preserve">                      </w:t>
      </w:r>
      <w:r>
        <w:rPr>
          <w:rFonts w:hint="eastAsia" w:ascii="仿宋_GB2312" w:eastAsia="仿宋_GB2312"/>
          <w:color w:val="auto"/>
          <w:sz w:val="24"/>
        </w:rPr>
        <w:t>联系电话：</w:t>
      </w:r>
      <w:r>
        <w:rPr>
          <w:rFonts w:hint="eastAsia" w:ascii="仿宋_GB2312" w:eastAsia="仿宋_GB2312"/>
          <w:color w:val="auto"/>
          <w:sz w:val="24"/>
          <w:u w:val="dotted" w:color="000000"/>
        </w:rPr>
        <w:t xml:space="preserve">                              </w:t>
      </w:r>
    </w:p>
    <w:p w14:paraId="34394542">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授权代表：</w:t>
      </w:r>
      <w:r>
        <w:rPr>
          <w:rFonts w:hint="eastAsia" w:ascii="仿宋_GB2312" w:eastAsia="仿宋_GB2312"/>
          <w:color w:val="auto"/>
          <w:sz w:val="24"/>
          <w:u w:val="dotted" w:color="000000"/>
        </w:rPr>
        <w:t xml:space="preserve">                                          </w:t>
      </w:r>
    </w:p>
    <w:p w14:paraId="4BBEFD74">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联系电话：</w:t>
      </w:r>
      <w:r>
        <w:rPr>
          <w:rFonts w:hint="eastAsia" w:ascii="仿宋_GB2312" w:eastAsia="仿宋_GB2312"/>
          <w:color w:val="auto"/>
          <w:sz w:val="24"/>
          <w:u w:val="dotted" w:color="000000"/>
        </w:rPr>
        <w:t xml:space="preserve">                                           </w:t>
      </w:r>
      <w:r>
        <w:rPr>
          <w:rFonts w:hint="eastAsia" w:ascii="仿宋_GB2312" w:eastAsia="仿宋_GB2312"/>
          <w:color w:val="auto"/>
          <w:sz w:val="24"/>
        </w:rPr>
        <w:t xml:space="preserve"> </w:t>
      </w:r>
    </w:p>
    <w:p w14:paraId="1891A35A">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 xml:space="preserve">地址： </w:t>
      </w:r>
      <w:r>
        <w:rPr>
          <w:rFonts w:hint="eastAsia" w:ascii="仿宋_GB2312" w:eastAsia="仿宋_GB2312"/>
          <w:color w:val="auto"/>
          <w:sz w:val="24"/>
          <w:u w:val="dotted" w:color="000000"/>
        </w:rPr>
        <w:t xml:space="preserve">                        </w:t>
      </w:r>
      <w:r>
        <w:rPr>
          <w:rFonts w:hint="eastAsia" w:ascii="仿宋_GB2312" w:eastAsia="仿宋_GB2312"/>
          <w:color w:val="auto"/>
          <w:sz w:val="24"/>
        </w:rPr>
        <w:t>邮编：</w:t>
      </w:r>
      <w:r>
        <w:rPr>
          <w:rFonts w:hint="eastAsia" w:ascii="仿宋_GB2312" w:eastAsia="仿宋_GB2312"/>
          <w:color w:val="auto"/>
          <w:sz w:val="24"/>
          <w:u w:val="dotted" w:color="000000"/>
        </w:rPr>
        <w:t xml:space="preserve">                                                </w:t>
      </w:r>
    </w:p>
    <w:p w14:paraId="30BE1617">
      <w:pPr>
        <w:snapToGrid w:val="0"/>
        <w:spacing w:line="380" w:lineRule="exact"/>
        <w:textAlignment w:val="baseline"/>
        <w:rPr>
          <w:rFonts w:hint="eastAsia" w:ascii="仿宋_GB2312" w:eastAsia="仿宋_GB2312"/>
          <w:bCs/>
          <w:color w:val="auto"/>
          <w:sz w:val="24"/>
        </w:rPr>
      </w:pPr>
      <w:r>
        <w:rPr>
          <w:rFonts w:hint="eastAsia" w:ascii="仿宋_GB2312" w:eastAsia="仿宋_GB2312"/>
          <w:bCs/>
          <w:color w:val="auto"/>
          <w:sz w:val="24"/>
        </w:rPr>
        <w:t>二、质疑项目基本情况</w:t>
      </w:r>
    </w:p>
    <w:p w14:paraId="29519CF2">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质疑项目的名称：</w:t>
      </w:r>
      <w:r>
        <w:rPr>
          <w:rFonts w:hint="eastAsia" w:ascii="仿宋_GB2312" w:eastAsia="仿宋_GB2312"/>
          <w:color w:val="auto"/>
          <w:sz w:val="24"/>
          <w:u w:val="dotted" w:color="000000"/>
        </w:rPr>
        <w:t xml:space="preserve">                                      </w:t>
      </w:r>
    </w:p>
    <w:p w14:paraId="13D7A656">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质疑项目的编号：</w:t>
      </w:r>
      <w:r>
        <w:rPr>
          <w:rFonts w:hint="eastAsia" w:ascii="仿宋_GB2312" w:eastAsia="仿宋_GB2312"/>
          <w:color w:val="auto"/>
          <w:sz w:val="24"/>
          <w:u w:val="dotted" w:color="000000"/>
        </w:rPr>
        <w:t xml:space="preserve">               </w:t>
      </w:r>
      <w:r>
        <w:rPr>
          <w:rFonts w:hint="eastAsia" w:ascii="仿宋_GB2312" w:eastAsia="仿宋_GB2312"/>
          <w:color w:val="auto"/>
          <w:sz w:val="24"/>
        </w:rPr>
        <w:t>包号：</w:t>
      </w:r>
      <w:r>
        <w:rPr>
          <w:rFonts w:hint="eastAsia" w:ascii="仿宋_GB2312" w:eastAsia="仿宋_GB2312"/>
          <w:color w:val="auto"/>
          <w:sz w:val="24"/>
          <w:u w:val="dotted" w:color="000000"/>
        </w:rPr>
        <w:t xml:space="preserve">                 </w:t>
      </w:r>
    </w:p>
    <w:p w14:paraId="6CE27E92">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采购人名称：</w:t>
      </w:r>
      <w:r>
        <w:rPr>
          <w:rFonts w:hint="eastAsia" w:ascii="仿宋_GB2312" w:eastAsia="仿宋_GB2312"/>
          <w:color w:val="auto"/>
          <w:sz w:val="24"/>
          <w:u w:val="dotted" w:color="000000"/>
        </w:rPr>
        <w:t xml:space="preserve">                                         </w:t>
      </w:r>
    </w:p>
    <w:p w14:paraId="7765010E">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谈判文件获取日期：</w:t>
      </w:r>
      <w:r>
        <w:rPr>
          <w:rFonts w:hint="eastAsia" w:ascii="仿宋_GB2312" w:eastAsia="仿宋_GB2312"/>
          <w:color w:val="auto"/>
          <w:sz w:val="24"/>
          <w:u w:val="dotted" w:color="000000"/>
        </w:rPr>
        <w:t xml:space="preserve">                                           </w:t>
      </w:r>
    </w:p>
    <w:p w14:paraId="1062B61E">
      <w:pPr>
        <w:snapToGrid w:val="0"/>
        <w:spacing w:line="380" w:lineRule="exact"/>
        <w:textAlignment w:val="baseline"/>
        <w:rPr>
          <w:rFonts w:hint="eastAsia" w:ascii="仿宋_GB2312" w:eastAsia="仿宋_GB2312"/>
          <w:bCs/>
          <w:color w:val="auto"/>
          <w:sz w:val="24"/>
        </w:rPr>
      </w:pPr>
      <w:r>
        <w:rPr>
          <w:rFonts w:hint="eastAsia" w:ascii="仿宋_GB2312" w:eastAsia="仿宋_GB2312"/>
          <w:bCs/>
          <w:color w:val="auto"/>
          <w:sz w:val="24"/>
        </w:rPr>
        <w:t>三、质疑事项具体内容</w:t>
      </w:r>
    </w:p>
    <w:p w14:paraId="51D0F832">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质疑事项1：</w:t>
      </w:r>
      <w:r>
        <w:rPr>
          <w:rFonts w:hint="eastAsia" w:ascii="仿宋_GB2312" w:eastAsia="仿宋_GB2312"/>
          <w:color w:val="auto"/>
          <w:sz w:val="24"/>
          <w:u w:val="dotted" w:color="000000"/>
        </w:rPr>
        <w:t xml:space="preserve">                                         </w:t>
      </w:r>
    </w:p>
    <w:p w14:paraId="00B3D0E5">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事实依据：</w:t>
      </w:r>
      <w:r>
        <w:rPr>
          <w:rFonts w:hint="eastAsia" w:ascii="仿宋_GB2312" w:eastAsia="仿宋_GB2312"/>
          <w:color w:val="auto"/>
          <w:sz w:val="24"/>
          <w:u w:val="dotted" w:color="000000"/>
        </w:rPr>
        <w:t xml:space="preserve">                                          </w:t>
      </w:r>
    </w:p>
    <w:p w14:paraId="4084BB23">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u w:val="dotted" w:color="000000"/>
        </w:rPr>
        <w:t xml:space="preserve">                                                       </w:t>
      </w:r>
    </w:p>
    <w:p w14:paraId="0B38FE82">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法律依据：</w:t>
      </w:r>
      <w:r>
        <w:rPr>
          <w:rFonts w:hint="eastAsia" w:ascii="仿宋_GB2312" w:eastAsia="仿宋_GB2312"/>
          <w:color w:val="auto"/>
          <w:sz w:val="24"/>
          <w:u w:val="dotted" w:color="000000"/>
        </w:rPr>
        <w:t xml:space="preserve">                                          </w:t>
      </w:r>
    </w:p>
    <w:p w14:paraId="608E80E7">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u w:val="dotted" w:color="000000"/>
        </w:rPr>
        <w:t xml:space="preserve">                                                     </w:t>
      </w:r>
    </w:p>
    <w:p w14:paraId="1E2D8F9A">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质疑事项2</w:t>
      </w:r>
    </w:p>
    <w:p w14:paraId="1AA57573">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w:t>
      </w:r>
    </w:p>
    <w:p w14:paraId="446E1B0D">
      <w:pPr>
        <w:snapToGrid w:val="0"/>
        <w:spacing w:line="380" w:lineRule="exact"/>
        <w:textAlignment w:val="baseline"/>
        <w:rPr>
          <w:rFonts w:hint="eastAsia" w:ascii="仿宋_GB2312" w:eastAsia="仿宋_GB2312"/>
          <w:bCs/>
          <w:color w:val="auto"/>
          <w:sz w:val="24"/>
        </w:rPr>
      </w:pPr>
      <w:r>
        <w:rPr>
          <w:rFonts w:hint="eastAsia" w:ascii="仿宋_GB2312" w:eastAsia="仿宋_GB2312"/>
          <w:bCs/>
          <w:color w:val="auto"/>
          <w:sz w:val="24"/>
        </w:rPr>
        <w:t>四、与质疑事项相关的质疑请求</w:t>
      </w:r>
    </w:p>
    <w:p w14:paraId="6DBD5045">
      <w:pPr>
        <w:snapToGrid w:val="0"/>
        <w:spacing w:line="380" w:lineRule="exact"/>
        <w:textAlignment w:val="baseline"/>
        <w:rPr>
          <w:rFonts w:hint="eastAsia" w:ascii="仿宋_GB2312" w:eastAsia="仿宋_GB2312"/>
          <w:color w:val="auto"/>
          <w:sz w:val="24"/>
          <w:u w:val="dotted" w:color="000000"/>
        </w:rPr>
      </w:pPr>
      <w:r>
        <w:rPr>
          <w:rFonts w:hint="eastAsia" w:ascii="仿宋_GB2312" w:eastAsia="仿宋_GB2312"/>
          <w:color w:val="auto"/>
          <w:sz w:val="24"/>
        </w:rPr>
        <w:t>请求：</w:t>
      </w:r>
      <w:r>
        <w:rPr>
          <w:rFonts w:hint="eastAsia" w:ascii="仿宋_GB2312" w:eastAsia="仿宋_GB2312"/>
          <w:color w:val="auto"/>
          <w:sz w:val="24"/>
          <w:u w:val="dotted" w:color="000000"/>
        </w:rPr>
        <w:t xml:space="preserve">                                               </w:t>
      </w:r>
    </w:p>
    <w:p w14:paraId="1A1488CD">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 xml:space="preserve">签字(签章)：                   公章：                      </w:t>
      </w:r>
    </w:p>
    <w:p w14:paraId="4FC9C185">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 xml:space="preserve">日期：    </w:t>
      </w:r>
    </w:p>
    <w:p w14:paraId="04398ADB">
      <w:pPr>
        <w:snapToGrid w:val="0"/>
        <w:spacing w:line="380" w:lineRule="exact"/>
        <w:textAlignment w:val="baseline"/>
        <w:rPr>
          <w:rFonts w:hint="eastAsia" w:ascii="仿宋_GB2312" w:eastAsia="仿宋_GB2312"/>
          <w:b/>
          <w:color w:val="auto"/>
          <w:sz w:val="24"/>
        </w:rPr>
      </w:pPr>
    </w:p>
    <w:p w14:paraId="37161C4D">
      <w:pPr>
        <w:snapToGrid w:val="0"/>
        <w:spacing w:line="280" w:lineRule="exact"/>
        <w:textAlignment w:val="baseline"/>
        <w:rPr>
          <w:rFonts w:hint="eastAsia" w:ascii="仿宋_GB2312" w:eastAsia="仿宋_GB2312"/>
          <w:b/>
          <w:color w:val="auto"/>
          <w:sz w:val="24"/>
        </w:rPr>
      </w:pPr>
      <w:r>
        <w:rPr>
          <w:rFonts w:hint="eastAsia" w:ascii="仿宋_GB2312" w:eastAsia="仿宋_GB2312"/>
          <w:b/>
          <w:color w:val="auto"/>
          <w:sz w:val="24"/>
        </w:rPr>
        <w:t>质疑函制作说明：</w:t>
      </w:r>
    </w:p>
    <w:p w14:paraId="25A1C8E5">
      <w:pPr>
        <w:widowControl/>
        <w:snapToGrid w:val="0"/>
        <w:spacing w:line="280" w:lineRule="exact"/>
        <w:ind w:firstLine="480" w:firstLineChars="200"/>
        <w:jc w:val="left"/>
        <w:textAlignment w:val="baseline"/>
        <w:rPr>
          <w:rFonts w:hint="eastAsia" w:ascii="仿宋_GB2312" w:eastAsia="仿宋_GB2312"/>
          <w:color w:val="auto"/>
          <w:sz w:val="24"/>
        </w:rPr>
      </w:pPr>
      <w:r>
        <w:rPr>
          <w:rFonts w:hint="eastAsia" w:ascii="仿宋_GB2312" w:eastAsia="仿宋_GB2312"/>
          <w:color w:val="auto"/>
          <w:sz w:val="24"/>
        </w:rPr>
        <w:t>1.供应商提出质疑时，应提交质疑函和必要的证明材料。</w:t>
      </w:r>
    </w:p>
    <w:p w14:paraId="4BEF62B3">
      <w:pPr>
        <w:widowControl/>
        <w:snapToGrid w:val="0"/>
        <w:spacing w:line="280" w:lineRule="exact"/>
        <w:ind w:firstLine="480" w:firstLineChars="200"/>
        <w:jc w:val="left"/>
        <w:textAlignment w:val="baseline"/>
        <w:rPr>
          <w:rFonts w:hint="eastAsia" w:ascii="仿宋_GB2312" w:eastAsia="仿宋_GB2312"/>
          <w:color w:val="auto"/>
          <w:sz w:val="24"/>
        </w:rPr>
      </w:pPr>
      <w:r>
        <w:rPr>
          <w:rFonts w:hint="eastAsia" w:ascii="仿宋_GB2312" w:eastAsia="仿宋_GB2312"/>
          <w:color w:val="auto"/>
          <w:sz w:val="24"/>
        </w:rPr>
        <w:t>2.质疑供应商若委托代理人进行质疑的，质疑函应按要求列明“授权代表”的有关内容，并在附件中提交由质疑</w:t>
      </w:r>
      <w:r>
        <w:rPr>
          <w:rFonts w:hint="eastAsia" w:ascii="仿宋_GB2312" w:eastAsia="仿宋_GB2312"/>
          <w:color w:val="auto"/>
          <w:kern w:val="0"/>
          <w:sz w:val="24"/>
        </w:rPr>
        <w:t>供应商签署的授权委托书。授权委托书应载明代理人的姓名或者名称、代理事项、具体权限、期限和相关事项。</w:t>
      </w:r>
    </w:p>
    <w:p w14:paraId="634D0170">
      <w:pPr>
        <w:widowControl/>
        <w:snapToGrid w:val="0"/>
        <w:spacing w:line="280" w:lineRule="exact"/>
        <w:ind w:firstLine="480" w:firstLineChars="200"/>
        <w:jc w:val="left"/>
        <w:textAlignment w:val="baseline"/>
        <w:rPr>
          <w:rFonts w:hint="eastAsia" w:ascii="仿宋_GB2312" w:eastAsia="仿宋_GB2312"/>
          <w:color w:val="auto"/>
          <w:sz w:val="24"/>
        </w:rPr>
      </w:pPr>
      <w:r>
        <w:rPr>
          <w:rFonts w:hint="eastAsia" w:ascii="仿宋_GB2312" w:eastAsia="仿宋_GB2312"/>
          <w:color w:val="auto"/>
          <w:sz w:val="24"/>
        </w:rPr>
        <w:t>3.质疑供应商若对项目的某一分包进行质疑，质疑函中应列明具体分包号。</w:t>
      </w:r>
    </w:p>
    <w:p w14:paraId="14DD7ABE">
      <w:pPr>
        <w:widowControl/>
        <w:snapToGrid w:val="0"/>
        <w:spacing w:line="280" w:lineRule="exact"/>
        <w:ind w:firstLine="480" w:firstLineChars="200"/>
        <w:jc w:val="left"/>
        <w:textAlignment w:val="baseline"/>
        <w:rPr>
          <w:rFonts w:hint="eastAsia" w:ascii="仿宋_GB2312" w:eastAsia="仿宋_GB2312"/>
          <w:color w:val="auto"/>
          <w:sz w:val="24"/>
        </w:rPr>
      </w:pPr>
      <w:r>
        <w:rPr>
          <w:rFonts w:hint="eastAsia" w:ascii="仿宋_GB2312" w:eastAsia="仿宋_GB2312"/>
          <w:color w:val="auto"/>
          <w:sz w:val="24"/>
        </w:rPr>
        <w:t>4.质疑函的质疑事项应具体、明确，并有必要的事实依据和法律依据。</w:t>
      </w:r>
    </w:p>
    <w:p w14:paraId="3E20051F">
      <w:pPr>
        <w:widowControl/>
        <w:snapToGrid w:val="0"/>
        <w:spacing w:line="280" w:lineRule="exact"/>
        <w:ind w:firstLine="480" w:firstLineChars="200"/>
        <w:jc w:val="left"/>
        <w:textAlignment w:val="baseline"/>
        <w:rPr>
          <w:rFonts w:hint="eastAsia" w:ascii="仿宋_GB2312" w:eastAsia="仿宋_GB2312"/>
          <w:color w:val="auto"/>
          <w:sz w:val="24"/>
        </w:rPr>
      </w:pPr>
      <w:r>
        <w:rPr>
          <w:rFonts w:hint="eastAsia" w:ascii="仿宋_GB2312" w:eastAsia="仿宋_GB2312"/>
          <w:color w:val="auto"/>
          <w:sz w:val="24"/>
        </w:rPr>
        <w:t>5.质疑函的质疑请求应与质疑事项相关。</w:t>
      </w:r>
    </w:p>
    <w:p w14:paraId="16D059AB">
      <w:pPr>
        <w:widowControl/>
        <w:snapToGrid w:val="0"/>
        <w:spacing w:line="280" w:lineRule="exact"/>
        <w:ind w:firstLine="480" w:firstLineChars="200"/>
        <w:jc w:val="left"/>
        <w:textAlignment w:val="baseline"/>
        <w:rPr>
          <w:rFonts w:hint="eastAsia" w:ascii="仿宋_GB2312" w:eastAsia="仿宋_GB2312"/>
          <w:color w:val="auto"/>
          <w:sz w:val="24"/>
        </w:rPr>
      </w:pPr>
      <w:r>
        <w:rPr>
          <w:rFonts w:hint="eastAsia" w:ascii="仿宋_GB2312" w:eastAsia="仿宋_GB2312"/>
          <w:color w:val="auto"/>
          <w:sz w:val="24"/>
        </w:rPr>
        <w:t>6.质疑供应商为自然人的，质疑函应由本人签字；质疑供应商为法人或者其他组织的，质疑函应由法定代表人、主要负责人，或者其授权代表签字或者盖章，并加盖公章。</w:t>
      </w:r>
      <w:bookmarkStart w:id="559" w:name="_Toc216582812"/>
      <w:bookmarkStart w:id="560" w:name="_Toc515647802"/>
      <w:bookmarkStart w:id="561" w:name="_Toc728"/>
      <w:bookmarkStart w:id="562" w:name="_Toc702"/>
    </w:p>
    <w:p w14:paraId="1B8EFE99">
      <w:pPr>
        <w:pStyle w:val="2"/>
        <w:ind w:firstLine="480"/>
        <w:rPr>
          <w:rFonts w:hint="eastAsia"/>
          <w:color w:val="auto"/>
        </w:rPr>
      </w:pPr>
    </w:p>
    <w:p w14:paraId="3E66E59F">
      <w:pPr>
        <w:pStyle w:val="4"/>
        <w:ind w:firstLine="240"/>
        <w:rPr>
          <w:rFonts w:hint="eastAsia"/>
          <w:color w:val="auto"/>
        </w:rPr>
      </w:pPr>
    </w:p>
    <w:p w14:paraId="7CFAE63B">
      <w:pPr>
        <w:rPr>
          <w:rFonts w:hint="eastAsia"/>
          <w:color w:val="auto"/>
        </w:rPr>
      </w:pPr>
    </w:p>
    <w:p w14:paraId="33F6B89C">
      <w:pPr>
        <w:pStyle w:val="2"/>
        <w:ind w:firstLine="480"/>
        <w:rPr>
          <w:rFonts w:hint="eastAsia"/>
          <w:color w:val="auto"/>
        </w:rPr>
      </w:pPr>
    </w:p>
    <w:p w14:paraId="77F35CB8">
      <w:pPr>
        <w:pStyle w:val="8"/>
        <w:spacing w:before="0" w:line="420" w:lineRule="exact"/>
        <w:ind w:left="1079" w:leftChars="257" w:hanging="540"/>
        <w:rPr>
          <w:rFonts w:hint="eastAsia" w:ascii="仿宋_GB2312" w:hAnsi="Times New Roman" w:eastAsia="仿宋_GB2312"/>
          <w:color w:val="auto"/>
          <w:sz w:val="24"/>
          <w:szCs w:val="24"/>
        </w:rPr>
      </w:pPr>
      <w:bookmarkStart w:id="563" w:name="_Toc518923103"/>
      <w:bookmarkStart w:id="564" w:name="_Toc27511"/>
      <w:bookmarkStart w:id="565" w:name="_Toc31741"/>
      <w:bookmarkStart w:id="566" w:name="_Toc17034"/>
      <w:bookmarkStart w:id="567" w:name="_Toc7417"/>
      <w:r>
        <w:rPr>
          <w:rFonts w:hint="eastAsia" w:ascii="仿宋_GB2312" w:hAnsi="Times New Roman" w:eastAsia="仿宋_GB2312"/>
          <w:color w:val="auto"/>
          <w:sz w:val="24"/>
          <w:szCs w:val="24"/>
        </w:rPr>
        <w:t>附件1：履约保证金保函（格式）</w:t>
      </w:r>
      <w:bookmarkEnd w:id="563"/>
      <w:bookmarkEnd w:id="564"/>
      <w:bookmarkEnd w:id="565"/>
      <w:bookmarkEnd w:id="566"/>
      <w:bookmarkEnd w:id="567"/>
    </w:p>
    <w:p w14:paraId="60D163F4">
      <w:pPr>
        <w:pStyle w:val="19"/>
        <w:spacing w:line="420" w:lineRule="exact"/>
        <w:ind w:left="1079" w:leftChars="257" w:hanging="540"/>
        <w:rPr>
          <w:rFonts w:hint="eastAsia" w:ascii="仿宋_GB2312" w:hAnsi="Times New Roman" w:eastAsia="仿宋_GB2312"/>
          <w:b/>
          <w:color w:val="auto"/>
          <w:sz w:val="24"/>
          <w:szCs w:val="24"/>
        </w:rPr>
      </w:pPr>
      <w:r>
        <w:rPr>
          <w:rFonts w:hint="eastAsia" w:ascii="仿宋_GB2312" w:hAnsi="Times New Roman" w:eastAsia="仿宋_GB2312"/>
          <w:b/>
          <w:color w:val="auto"/>
          <w:sz w:val="24"/>
          <w:szCs w:val="24"/>
        </w:rPr>
        <w:t xml:space="preserve">                         （中标后开具）</w:t>
      </w:r>
    </w:p>
    <w:p w14:paraId="02FBA532">
      <w:pPr>
        <w:pStyle w:val="19"/>
        <w:spacing w:line="420" w:lineRule="exact"/>
        <w:ind w:left="1079" w:leftChars="257" w:hanging="540"/>
        <w:rPr>
          <w:rFonts w:hint="eastAsia" w:ascii="仿宋_GB2312" w:hAnsi="Times New Roman" w:eastAsia="仿宋_GB2312"/>
          <w:b/>
          <w:color w:val="auto"/>
          <w:sz w:val="24"/>
          <w:szCs w:val="24"/>
        </w:rPr>
      </w:pPr>
    </w:p>
    <w:p w14:paraId="78F820C5">
      <w:pPr>
        <w:pStyle w:val="19"/>
        <w:spacing w:line="42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致: (</w:t>
      </w:r>
      <w:r>
        <w:rPr>
          <w:rFonts w:hint="eastAsia" w:ascii="仿宋_GB2312" w:hAnsi="Times New Roman" w:eastAsia="仿宋_GB2312"/>
          <w:i/>
          <w:color w:val="auto"/>
          <w:sz w:val="24"/>
          <w:szCs w:val="24"/>
          <w:u w:val="single"/>
        </w:rPr>
        <w:t>买方名称</w:t>
      </w:r>
      <w:r>
        <w:rPr>
          <w:rFonts w:hint="eastAsia" w:ascii="仿宋_GB2312" w:hAnsi="Times New Roman" w:eastAsia="仿宋_GB2312"/>
          <w:color w:val="auto"/>
          <w:sz w:val="24"/>
          <w:szCs w:val="24"/>
        </w:rPr>
        <w:t>)</w:t>
      </w:r>
    </w:p>
    <w:p w14:paraId="02AFB5D3">
      <w:pPr>
        <w:pStyle w:val="19"/>
        <w:spacing w:line="420" w:lineRule="exact"/>
        <w:ind w:left="1079" w:leftChars="257" w:hanging="540"/>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号合同履约保函</w:t>
      </w:r>
    </w:p>
    <w:p w14:paraId="4C216275">
      <w:pPr>
        <w:pStyle w:val="19"/>
        <w:spacing w:line="420" w:lineRule="exact"/>
        <w:ind w:left="1079" w:leftChars="257" w:hanging="540"/>
        <w:jc w:val="center"/>
        <w:rPr>
          <w:rFonts w:hint="eastAsia" w:ascii="仿宋_GB2312" w:hAnsi="Times New Roman" w:eastAsia="仿宋_GB2312"/>
          <w:color w:val="auto"/>
          <w:sz w:val="24"/>
          <w:szCs w:val="24"/>
        </w:rPr>
      </w:pPr>
    </w:p>
    <w:p w14:paraId="12E1E2C6">
      <w:pPr>
        <w:pStyle w:val="19"/>
        <w:spacing w:line="420" w:lineRule="exact"/>
        <w:ind w:firstLine="600" w:firstLineChars="25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本保函作为贵方与(</w:t>
      </w:r>
      <w:r>
        <w:rPr>
          <w:rFonts w:hint="eastAsia" w:ascii="仿宋_GB2312" w:hAnsi="Times New Roman" w:eastAsia="仿宋_GB2312"/>
          <w:i/>
          <w:color w:val="auto"/>
          <w:sz w:val="24"/>
          <w:szCs w:val="24"/>
          <w:u w:val="single"/>
        </w:rPr>
        <w:t>卖方名称</w:t>
      </w:r>
      <w:r>
        <w:rPr>
          <w:rFonts w:hint="eastAsia" w:ascii="仿宋_GB2312" w:hAnsi="Times New Roman" w:eastAsia="仿宋_GB2312"/>
          <w:color w:val="auto"/>
          <w:sz w:val="24"/>
          <w:szCs w:val="24"/>
        </w:rPr>
        <w:t>)(以下简称卖方)于</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年</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月</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日就</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项目(以下简称项目)项下提供(</w:t>
      </w:r>
      <w:r>
        <w:rPr>
          <w:rFonts w:hint="eastAsia" w:ascii="仿宋_GB2312" w:hAnsi="Times New Roman" w:eastAsia="仿宋_GB2312"/>
          <w:i/>
          <w:color w:val="auto"/>
          <w:sz w:val="24"/>
          <w:szCs w:val="24"/>
          <w:u w:val="single"/>
        </w:rPr>
        <w:t>服务名称</w:t>
      </w:r>
      <w:r>
        <w:rPr>
          <w:rFonts w:hint="eastAsia" w:ascii="仿宋_GB2312" w:hAnsi="Times New Roman" w:eastAsia="仿宋_GB2312"/>
          <w:color w:val="auto"/>
          <w:sz w:val="24"/>
          <w:szCs w:val="24"/>
        </w:rPr>
        <w:t>)(以下简称服务)签订的(</w:t>
      </w:r>
      <w:r>
        <w:rPr>
          <w:rFonts w:hint="eastAsia" w:ascii="仿宋_GB2312" w:hAnsi="Times New Roman" w:eastAsia="仿宋_GB2312"/>
          <w:i/>
          <w:color w:val="auto"/>
          <w:sz w:val="24"/>
          <w:szCs w:val="24"/>
          <w:u w:val="single"/>
        </w:rPr>
        <w:t>合同号</w:t>
      </w:r>
      <w:r>
        <w:rPr>
          <w:rFonts w:hint="eastAsia" w:ascii="仿宋_GB2312" w:hAnsi="Times New Roman" w:eastAsia="仿宋_GB2312"/>
          <w:color w:val="auto"/>
          <w:sz w:val="24"/>
          <w:szCs w:val="24"/>
        </w:rPr>
        <w:t>)号合同的履约保函。</w:t>
      </w:r>
    </w:p>
    <w:p w14:paraId="66161FA1">
      <w:pPr>
        <w:pStyle w:val="19"/>
        <w:spacing w:line="420" w:lineRule="exact"/>
        <w:ind w:firstLine="540" w:firstLineChars="225"/>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w:t>
      </w:r>
      <w:r>
        <w:rPr>
          <w:rFonts w:hint="eastAsia" w:ascii="仿宋_GB2312" w:hAnsi="Times New Roman" w:eastAsia="仿宋_GB2312"/>
          <w:i/>
          <w:color w:val="auto"/>
          <w:sz w:val="24"/>
          <w:szCs w:val="24"/>
          <w:u w:val="single"/>
        </w:rPr>
        <w:t>出具保函的银行名称</w:t>
      </w:r>
      <w:r>
        <w:rPr>
          <w:rFonts w:hint="eastAsia" w:ascii="仿宋_GB2312" w:hAnsi="Times New Roman" w:eastAsia="仿宋_GB2312"/>
          <w:color w:val="auto"/>
          <w:sz w:val="24"/>
          <w:szCs w:val="24"/>
        </w:rPr>
        <w:t>)(以下简称银行)无条件地、不可撤销地具结保证本行、其继承人和受让人无追索地向贵方以(</w:t>
      </w:r>
      <w:r>
        <w:rPr>
          <w:rFonts w:hint="eastAsia" w:ascii="仿宋_GB2312" w:hAnsi="Times New Roman" w:eastAsia="仿宋_GB2312"/>
          <w:i/>
          <w:color w:val="auto"/>
          <w:sz w:val="24"/>
          <w:szCs w:val="24"/>
          <w:u w:val="single"/>
        </w:rPr>
        <w:t>货币名称</w:t>
      </w:r>
      <w:r>
        <w:rPr>
          <w:rFonts w:hint="eastAsia" w:ascii="仿宋_GB2312" w:hAnsi="Times New Roman" w:eastAsia="仿宋_GB2312"/>
          <w:color w:val="auto"/>
          <w:sz w:val="24"/>
          <w:szCs w:val="24"/>
        </w:rPr>
        <w:t>)支付总额不超过(</w:t>
      </w:r>
      <w:r>
        <w:rPr>
          <w:rFonts w:hint="eastAsia" w:ascii="仿宋_GB2312" w:hAnsi="Times New Roman" w:eastAsia="仿宋_GB2312"/>
          <w:i/>
          <w:color w:val="auto"/>
          <w:sz w:val="24"/>
          <w:szCs w:val="24"/>
          <w:u w:val="single"/>
        </w:rPr>
        <w:t>货币数量</w:t>
      </w:r>
      <w:r>
        <w:rPr>
          <w:rFonts w:hint="eastAsia" w:ascii="仿宋_GB2312" w:hAnsi="Times New Roman" w:eastAsia="仿宋_GB2312"/>
          <w:color w:val="auto"/>
          <w:sz w:val="24"/>
          <w:szCs w:val="24"/>
        </w:rPr>
        <w:t>),即相当于合同价格的</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%,并以此约定如下:</w:t>
      </w:r>
    </w:p>
    <w:p w14:paraId="396EB177">
      <w:pPr>
        <w:pStyle w:val="19"/>
        <w:spacing w:line="420" w:lineRule="exact"/>
        <w:ind w:left="539" w:leftChars="257"/>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645024BB">
      <w:pPr>
        <w:pStyle w:val="19"/>
        <w:spacing w:line="420" w:lineRule="exact"/>
        <w:ind w:left="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2.本保函项下的任何支付应为免税和净值。对于现有或将来的税收、关税、收费、费用扣减或预提税款，不论这些款项是何种性质和由谁征收，都不应从本保函项下的支付中扣除。</w:t>
      </w:r>
    </w:p>
    <w:p w14:paraId="2A74FD58">
      <w:pPr>
        <w:pStyle w:val="19"/>
        <w:spacing w:line="420" w:lineRule="exact"/>
        <w:ind w:left="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6EE4047">
      <w:pPr>
        <w:pStyle w:val="19"/>
        <w:spacing w:line="420" w:lineRule="exact"/>
        <w:ind w:left="1079"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4.本保函在本合同规定的保证期期满前完全有效。</w:t>
      </w:r>
    </w:p>
    <w:p w14:paraId="65F4F44E">
      <w:pPr>
        <w:pStyle w:val="19"/>
        <w:spacing w:line="420" w:lineRule="exact"/>
        <w:ind w:left="1079" w:leftChars="257" w:hanging="540"/>
        <w:rPr>
          <w:rFonts w:hint="eastAsia" w:ascii="仿宋_GB2312" w:hAnsi="Times New Roman" w:eastAsia="仿宋_GB2312"/>
          <w:color w:val="auto"/>
          <w:sz w:val="24"/>
          <w:szCs w:val="24"/>
        </w:rPr>
      </w:pPr>
    </w:p>
    <w:p w14:paraId="4D2D2F43">
      <w:pPr>
        <w:pStyle w:val="19"/>
        <w:spacing w:line="420" w:lineRule="exact"/>
        <w:ind w:left="1079"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谨启</w:t>
      </w:r>
    </w:p>
    <w:p w14:paraId="7CA9BDFC">
      <w:pPr>
        <w:pStyle w:val="19"/>
        <w:spacing w:line="420" w:lineRule="exact"/>
        <w:ind w:left="1079"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出具保函银行名称：</w:t>
      </w:r>
      <w:r>
        <w:rPr>
          <w:rFonts w:hint="eastAsia" w:ascii="仿宋_GB2312" w:hAnsi="Times New Roman" w:eastAsia="仿宋_GB2312"/>
          <w:color w:val="auto"/>
          <w:sz w:val="24"/>
          <w:szCs w:val="24"/>
          <w:u w:val="single"/>
        </w:rPr>
        <w:t xml:space="preserve">                             </w:t>
      </w:r>
    </w:p>
    <w:p w14:paraId="078E09A0">
      <w:pPr>
        <w:pStyle w:val="19"/>
        <w:spacing w:line="420" w:lineRule="exact"/>
        <w:ind w:left="1079"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签字人姓名和职务：</w:t>
      </w:r>
      <w:r>
        <w:rPr>
          <w:rFonts w:hint="eastAsia" w:ascii="仿宋_GB2312" w:hAnsi="Times New Roman" w:eastAsia="仿宋_GB2312"/>
          <w:color w:val="auto"/>
          <w:sz w:val="24"/>
          <w:szCs w:val="24"/>
          <w:u w:val="single"/>
        </w:rPr>
        <w:t xml:space="preserve">                             </w:t>
      </w:r>
    </w:p>
    <w:p w14:paraId="5C22BC04">
      <w:pPr>
        <w:pStyle w:val="19"/>
        <w:spacing w:line="420" w:lineRule="exact"/>
        <w:ind w:left="1079"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签字人签名：</w:t>
      </w:r>
      <w:r>
        <w:rPr>
          <w:rFonts w:hint="eastAsia" w:ascii="仿宋_GB2312" w:hAnsi="Times New Roman" w:eastAsia="仿宋_GB2312"/>
          <w:color w:val="auto"/>
          <w:sz w:val="24"/>
          <w:szCs w:val="24"/>
          <w:u w:val="single"/>
        </w:rPr>
        <w:t xml:space="preserve">                                   </w:t>
      </w:r>
    </w:p>
    <w:p w14:paraId="52F10186">
      <w:pPr>
        <w:pStyle w:val="19"/>
        <w:spacing w:line="420" w:lineRule="exact"/>
        <w:ind w:left="1079"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公章：</w:t>
      </w:r>
      <w:r>
        <w:rPr>
          <w:rFonts w:hint="eastAsia" w:ascii="仿宋_GB2312" w:hAnsi="Times New Roman" w:eastAsia="仿宋_GB2312"/>
          <w:color w:val="auto"/>
          <w:sz w:val="24"/>
          <w:szCs w:val="24"/>
          <w:u w:val="single"/>
        </w:rPr>
        <w:t xml:space="preserve">                                         </w:t>
      </w:r>
    </w:p>
    <w:p w14:paraId="709348BB">
      <w:pPr>
        <w:pStyle w:val="8"/>
        <w:spacing w:before="0" w:line="400" w:lineRule="exact"/>
        <w:ind w:left="1079" w:leftChars="257" w:hanging="540"/>
        <w:rPr>
          <w:rFonts w:hint="eastAsia" w:ascii="仿宋_GB2312" w:hAnsi="Times New Roman" w:eastAsia="仿宋_GB2312"/>
          <w:color w:val="auto"/>
          <w:sz w:val="28"/>
          <w:szCs w:val="28"/>
        </w:rPr>
      </w:pPr>
      <w:r>
        <w:rPr>
          <w:rFonts w:ascii="Times New Roman" w:hAnsi="Times New Roman" w:eastAsia="方正仿宋简体"/>
          <w:color w:val="auto"/>
          <w:sz w:val="24"/>
          <w:szCs w:val="24"/>
        </w:rPr>
        <w:br w:type="page"/>
      </w:r>
      <w:bookmarkStart w:id="568" w:name="_Toc518923104"/>
      <w:bookmarkStart w:id="569" w:name="_Toc31307"/>
      <w:bookmarkStart w:id="570" w:name="_Toc7166"/>
      <w:bookmarkStart w:id="571" w:name="_Toc26978"/>
      <w:bookmarkStart w:id="572" w:name="_Toc18872"/>
      <w:r>
        <w:rPr>
          <w:rFonts w:hint="eastAsia" w:ascii="仿宋_GB2312" w:hAnsi="Times New Roman" w:eastAsia="仿宋_GB2312"/>
          <w:color w:val="auto"/>
          <w:sz w:val="28"/>
          <w:szCs w:val="28"/>
        </w:rPr>
        <w:t>附件2：履约担保函格式</w:t>
      </w:r>
      <w:bookmarkEnd w:id="568"/>
      <w:bookmarkEnd w:id="569"/>
      <w:bookmarkEnd w:id="570"/>
      <w:bookmarkEnd w:id="571"/>
      <w:bookmarkEnd w:id="572"/>
    </w:p>
    <w:p w14:paraId="5FB16C3A">
      <w:pPr>
        <w:pStyle w:val="8"/>
        <w:spacing w:before="0" w:line="400" w:lineRule="exact"/>
        <w:ind w:left="1079" w:leftChars="257" w:hanging="540"/>
        <w:rPr>
          <w:rFonts w:ascii="仿宋_GB2312" w:hAnsi="Times New Roman" w:eastAsia="仿宋_GB2312"/>
          <w:b w:val="0"/>
          <w:color w:val="auto"/>
          <w:sz w:val="28"/>
          <w:szCs w:val="28"/>
        </w:rPr>
      </w:pPr>
      <w:bookmarkStart w:id="573" w:name="_Toc28123"/>
      <w:bookmarkStart w:id="574" w:name="_Toc16272"/>
      <w:bookmarkStart w:id="575" w:name="_Toc515904842"/>
      <w:bookmarkStart w:id="576" w:name="_Toc518923105"/>
      <w:bookmarkStart w:id="577" w:name="_Toc21462"/>
      <w:bookmarkStart w:id="578" w:name="_Toc25206"/>
      <w:r>
        <w:rPr>
          <w:rFonts w:hint="eastAsia" w:ascii="仿宋_GB2312" w:hAnsi="Times New Roman" w:eastAsia="仿宋_GB2312"/>
          <w:color w:val="auto"/>
          <w:sz w:val="28"/>
          <w:szCs w:val="28"/>
        </w:rPr>
        <w:t>（采用政府采购信用担保形式时使用）</w:t>
      </w:r>
      <w:bookmarkEnd w:id="573"/>
      <w:bookmarkEnd w:id="574"/>
      <w:bookmarkEnd w:id="575"/>
      <w:bookmarkEnd w:id="576"/>
      <w:bookmarkEnd w:id="577"/>
      <w:bookmarkEnd w:id="578"/>
    </w:p>
    <w:p w14:paraId="436E81A9">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政府采购履约担保函（项目用）</w:t>
      </w:r>
    </w:p>
    <w:p w14:paraId="1E2B11CF">
      <w:pPr>
        <w:spacing w:line="400" w:lineRule="exact"/>
        <w:rPr>
          <w:rFonts w:hint="eastAsia" w:ascii="仿宋_GB2312" w:eastAsia="仿宋_GB2312"/>
          <w:color w:val="auto"/>
          <w:sz w:val="28"/>
          <w:szCs w:val="28"/>
        </w:rPr>
      </w:pPr>
      <w:r>
        <w:rPr>
          <w:rFonts w:hint="eastAsia" w:ascii="仿宋_GB2312" w:eastAsia="仿宋_GB2312"/>
          <w:color w:val="auto"/>
          <w:sz w:val="28"/>
          <w:szCs w:val="28"/>
        </w:rPr>
        <w:t xml:space="preserve">                                                   编号：</w:t>
      </w:r>
    </w:p>
    <w:p w14:paraId="5B8C19AA">
      <w:pPr>
        <w:spacing w:line="360" w:lineRule="exact"/>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w:t>
      </w:r>
    </w:p>
    <w:p w14:paraId="013CD711">
      <w:pPr>
        <w:spacing w:line="360" w:lineRule="exact"/>
        <w:rPr>
          <w:rFonts w:ascii="仿宋" w:hAnsi="仿宋" w:eastAsia="仿宋" w:cs="仿宋"/>
          <w:color w:val="auto"/>
          <w:sz w:val="24"/>
        </w:rPr>
      </w:pPr>
    </w:p>
    <w:p w14:paraId="0F685932">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鉴于你方与</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（以下简称供应商）于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日签定编号为   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政府采购合同》（以下简称主合同），且依据该合同的约定，供应商应在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日前向你方交纳履约保证金，且可以履约担保函的形式交纳履约保证金。应供应商的申请，我方以保证的方式向你方提供如下履约保证金担保：</w:t>
      </w:r>
    </w:p>
    <w:p w14:paraId="59CA3F6E">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一、保证责任的情形及保证金额</w:t>
      </w:r>
    </w:p>
    <w:p w14:paraId="62FEDD92">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（一）在供应商出现下列情形之一时，我方承担保证责任：</w:t>
      </w:r>
    </w:p>
    <w:p w14:paraId="292F0E42">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1．将中标项目转让给他人，或者在投标文件中未说明，且未经采购招标机构人同意，将中标项目分包给他人的；</w:t>
      </w:r>
    </w:p>
    <w:p w14:paraId="17C8E218">
      <w:pPr>
        <w:spacing w:line="360" w:lineRule="exact"/>
        <w:rPr>
          <w:rFonts w:ascii="仿宋" w:hAnsi="仿宋" w:eastAsia="仿宋" w:cs="仿宋"/>
          <w:color w:val="auto"/>
          <w:sz w:val="24"/>
        </w:rPr>
      </w:pPr>
      <w:r>
        <w:rPr>
          <w:rFonts w:hint="eastAsia" w:ascii="仿宋" w:hAnsi="仿宋" w:eastAsia="仿宋" w:cs="仿宋"/>
          <w:color w:val="auto"/>
          <w:sz w:val="24"/>
        </w:rPr>
        <w:t xml:space="preserve">　　2．主合同约定的应当缴纳履约保证金的情形: </w:t>
      </w:r>
    </w:p>
    <w:p w14:paraId="6448B681">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（1）未按主合同约定的质量、数量和期限供应货物/提供服务/完成工程的；</w:t>
      </w:r>
    </w:p>
    <w:p w14:paraId="25506ED4">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BE5A4CF">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（二）我方的保证范围是主合同约定的合同价款总额的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%数额为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），币种为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。（即主合同履约保证金金额）</w:t>
      </w:r>
    </w:p>
    <w:p w14:paraId="545949AE">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二、保证的方式及保证期间</w:t>
      </w:r>
    </w:p>
    <w:p w14:paraId="434F7493">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我方保证的方式为：连带责任保证。</w:t>
      </w:r>
    </w:p>
    <w:p w14:paraId="1A1B5919">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我方保证的期间为：自本合同生效之日起至供应商按照主合同约定的供货/完工期限届满后</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日内。</w:t>
      </w:r>
    </w:p>
    <w:p w14:paraId="71A69DF4">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如果供应商未按主合同约定向贵方供应货物/提供服务/完成工程的，由我方在保证金额内向你方支付上述款项。</w:t>
      </w:r>
    </w:p>
    <w:p w14:paraId="7314EB49">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三、承担保证责任的程序</w:t>
      </w:r>
    </w:p>
    <w:p w14:paraId="01F6053E">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7C1787ED">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如果你方与供应商因货物质量问题产生争议，你方还需同时提供</w:t>
      </w:r>
      <w:r>
        <w:rPr>
          <w:rFonts w:hint="eastAsia" w:ascii="仿宋" w:hAnsi="仿宋" w:eastAsia="仿宋" w:cs="仿宋"/>
          <w:color w:val="auto"/>
          <w:sz w:val="24"/>
          <w:u w:val="single"/>
        </w:rPr>
        <w:t xml:space="preserve">        </w:t>
      </w:r>
      <w:r>
        <w:rPr>
          <w:rFonts w:hint="eastAsia" w:ascii="仿宋" w:hAnsi="仿宋" w:eastAsia="仿宋" w:cs="仿宋"/>
          <w:color w:val="auto"/>
          <w:sz w:val="24"/>
        </w:rPr>
        <w:t>部门出具的质量检测报告，或经诉讼（仲裁）程序裁决后的裁决书、调解书，本保证人即按照检测结果或裁决书、调解书决定是否承担保证责任。</w:t>
      </w:r>
    </w:p>
    <w:p w14:paraId="4271695D">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 我方收到你方的书面索赔通知及相应证明材料，在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工作日内进行核定后按照本保函的承诺承担保证责任。</w:t>
      </w:r>
    </w:p>
    <w:p w14:paraId="607EAE81">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四、保证责任的终止</w:t>
      </w:r>
    </w:p>
    <w:p w14:paraId="5603828C">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82A9D9D">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2．我方按照本保函向你方履行了保证责任后，自我方向你方支付款项（支付款项从我方账户划出）之日起，保证责任即终止。</w:t>
      </w:r>
    </w:p>
    <w:p w14:paraId="095D766B">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3．按照法律法规的规定或出现应终止我方保证责任的其它情形的，我方在本保函项下的保证责任亦终止。</w:t>
      </w:r>
    </w:p>
    <w:p w14:paraId="7F95CD01">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92A2DA9">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五、免责条款</w:t>
      </w:r>
    </w:p>
    <w:p w14:paraId="70797261">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1．因你方违反主合同约定致使供应商不能履行义务的，我方不承担保证责任。</w:t>
      </w:r>
    </w:p>
    <w:p w14:paraId="0498C021">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2．依照法律法规的规定或你方与供应商的另行约定，全部或者部分免除供应商应缴纳的保证金义务的，我方亦免除相应的保证责任。</w:t>
      </w:r>
    </w:p>
    <w:p w14:paraId="13799C11">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3．因不可抗力造成供应商不能履行供货义务的，我方不承担保证责任。</w:t>
      </w:r>
    </w:p>
    <w:p w14:paraId="01D5447A">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六、争议的解决</w:t>
      </w:r>
    </w:p>
    <w:p w14:paraId="6B722FBD">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因本保函发生的纠纷，由你我双方协商解决，协商不成的，通过诉讼程序解决，诉讼管辖地法院为</w:t>
      </w:r>
      <w:r>
        <w:rPr>
          <w:rFonts w:hint="eastAsia" w:ascii="仿宋" w:hAnsi="仿宋" w:eastAsia="仿宋" w:cs="仿宋"/>
          <w:color w:val="auto"/>
          <w:sz w:val="24"/>
          <w:u w:val="single"/>
        </w:rPr>
        <w:t xml:space="preserve">        </w:t>
      </w:r>
      <w:r>
        <w:rPr>
          <w:rFonts w:hint="eastAsia" w:ascii="仿宋" w:hAnsi="仿宋" w:eastAsia="仿宋" w:cs="仿宋"/>
          <w:color w:val="auto"/>
          <w:sz w:val="24"/>
        </w:rPr>
        <w:t>法院。</w:t>
      </w:r>
    </w:p>
    <w:p w14:paraId="6E187584">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七、保函的生效</w:t>
      </w:r>
    </w:p>
    <w:p w14:paraId="0AD78D64">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本保函自我方加盖公章之日起生效。</w:t>
      </w:r>
    </w:p>
    <w:p w14:paraId="0E5E201F">
      <w:pPr>
        <w:spacing w:line="360" w:lineRule="exact"/>
        <w:rPr>
          <w:rFonts w:ascii="仿宋" w:hAnsi="仿宋" w:eastAsia="仿宋" w:cs="仿宋"/>
          <w:color w:val="auto"/>
          <w:sz w:val="24"/>
        </w:rPr>
      </w:pPr>
    </w:p>
    <w:p w14:paraId="71DAD51C">
      <w:pPr>
        <w:spacing w:line="360" w:lineRule="exact"/>
        <w:rPr>
          <w:rFonts w:ascii="仿宋" w:hAnsi="仿宋" w:eastAsia="仿宋" w:cs="仿宋"/>
          <w:color w:val="auto"/>
          <w:sz w:val="24"/>
        </w:rPr>
      </w:pPr>
      <w:r>
        <w:rPr>
          <w:rFonts w:hint="eastAsia" w:ascii="仿宋" w:hAnsi="仿宋" w:eastAsia="仿宋" w:cs="仿宋"/>
          <w:color w:val="auto"/>
          <w:sz w:val="24"/>
        </w:rPr>
        <w:t xml:space="preserve">                                      </w:t>
      </w:r>
    </w:p>
    <w:p w14:paraId="37DDA1AB">
      <w:pPr>
        <w:spacing w:line="360" w:lineRule="exact"/>
        <w:ind w:firstLine="5400" w:firstLineChars="2250"/>
        <w:rPr>
          <w:rFonts w:ascii="仿宋" w:hAnsi="仿宋" w:eastAsia="仿宋" w:cs="仿宋"/>
          <w:color w:val="auto"/>
          <w:sz w:val="24"/>
        </w:rPr>
      </w:pPr>
      <w:r>
        <w:rPr>
          <w:rFonts w:hint="eastAsia" w:ascii="仿宋" w:hAnsi="仿宋" w:eastAsia="仿宋" w:cs="仿宋"/>
          <w:color w:val="auto"/>
          <w:sz w:val="24"/>
        </w:rPr>
        <w:t>保证人：（公章）</w:t>
      </w:r>
    </w:p>
    <w:p w14:paraId="2EE2BF71">
      <w:pPr>
        <w:spacing w:line="360" w:lineRule="exact"/>
        <w:rPr>
          <w:rFonts w:ascii="仿宋" w:hAnsi="仿宋" w:eastAsia="仿宋" w:cs="仿宋"/>
          <w:color w:val="auto"/>
          <w:sz w:val="24"/>
        </w:rPr>
      </w:pPr>
      <w:r>
        <w:rPr>
          <w:rFonts w:hint="eastAsia" w:ascii="仿宋" w:hAnsi="仿宋" w:eastAsia="仿宋" w:cs="仿宋"/>
          <w:color w:val="auto"/>
          <w:sz w:val="24"/>
        </w:rPr>
        <w:t xml:space="preserve">                   </w:t>
      </w:r>
    </w:p>
    <w:p w14:paraId="0562D233">
      <w:pPr>
        <w:spacing w:line="360" w:lineRule="exact"/>
        <w:rPr>
          <w:rFonts w:ascii="仿宋" w:hAnsi="仿宋" w:eastAsia="仿宋" w:cs="仿宋"/>
          <w:color w:val="auto"/>
          <w:sz w:val="24"/>
        </w:rPr>
      </w:pPr>
      <w:r>
        <w:rPr>
          <w:rFonts w:hint="eastAsia" w:ascii="仿宋" w:hAnsi="仿宋" w:eastAsia="仿宋" w:cs="仿宋"/>
          <w:color w:val="auto"/>
          <w:sz w:val="24"/>
        </w:rPr>
        <w:t xml:space="preserve">                                                   年     月      日</w:t>
      </w:r>
    </w:p>
    <w:p w14:paraId="6BA0BBAB">
      <w:pPr>
        <w:spacing w:line="400" w:lineRule="exact"/>
        <w:rPr>
          <w:rFonts w:hint="eastAsia" w:ascii="仿宋_GB2312" w:eastAsia="仿宋_GB2312"/>
          <w:color w:val="auto"/>
          <w:sz w:val="28"/>
          <w:szCs w:val="28"/>
        </w:rPr>
      </w:pPr>
    </w:p>
    <w:p w14:paraId="4332A52A">
      <w:pPr>
        <w:rPr>
          <w:rFonts w:eastAsia="方正仿宋简体"/>
          <w:color w:val="auto"/>
          <w:sz w:val="28"/>
          <w:szCs w:val="28"/>
        </w:rPr>
      </w:pPr>
      <w:bookmarkStart w:id="579" w:name="_Toc29221"/>
    </w:p>
    <w:p w14:paraId="0F41F6C6">
      <w:pPr>
        <w:pStyle w:val="2"/>
        <w:ind w:firstLine="560"/>
        <w:rPr>
          <w:rFonts w:eastAsia="方正仿宋简体"/>
          <w:color w:val="auto"/>
          <w:sz w:val="28"/>
          <w:szCs w:val="28"/>
        </w:rPr>
      </w:pPr>
    </w:p>
    <w:p w14:paraId="27C10615">
      <w:pPr>
        <w:pStyle w:val="4"/>
        <w:ind w:firstLine="280"/>
        <w:rPr>
          <w:rFonts w:ascii="Times New Roman" w:hAnsi="Times New Roman" w:eastAsia="方正仿宋简体"/>
          <w:color w:val="auto"/>
          <w:sz w:val="28"/>
          <w:szCs w:val="28"/>
        </w:rPr>
      </w:pPr>
    </w:p>
    <w:p w14:paraId="093E6027">
      <w:pPr>
        <w:rPr>
          <w:rFonts w:eastAsia="方正仿宋简体"/>
          <w:color w:val="auto"/>
          <w:sz w:val="28"/>
          <w:szCs w:val="28"/>
        </w:rPr>
      </w:pPr>
    </w:p>
    <w:p w14:paraId="4E0162A8">
      <w:pPr>
        <w:pStyle w:val="2"/>
        <w:ind w:firstLine="560"/>
        <w:rPr>
          <w:rFonts w:eastAsia="方正仿宋简体"/>
          <w:color w:val="auto"/>
          <w:sz w:val="28"/>
          <w:szCs w:val="28"/>
        </w:rPr>
      </w:pPr>
    </w:p>
    <w:p w14:paraId="0AF9EFDC">
      <w:pPr>
        <w:pStyle w:val="7"/>
        <w:snapToGrid w:val="0"/>
        <w:spacing w:before="312" w:beforeLines="100" w:after="312" w:afterLines="100" w:line="240" w:lineRule="atLeast"/>
        <w:textAlignment w:val="baseline"/>
        <w:rPr>
          <w:rFonts w:hint="eastAsia" w:ascii="仿宋_GB2312" w:eastAsia="仿宋_GB2312"/>
          <w:color w:val="auto"/>
          <w:sz w:val="28"/>
          <w:szCs w:val="28"/>
        </w:rPr>
      </w:pPr>
      <w:r>
        <w:rPr>
          <w:rFonts w:hint="eastAsia" w:ascii="仿宋_GB2312" w:eastAsia="仿宋_GB2312"/>
          <w:color w:val="auto"/>
          <w:sz w:val="28"/>
          <w:szCs w:val="28"/>
        </w:rPr>
        <w:t>第2章 响应文件格式</w:t>
      </w:r>
      <w:bookmarkEnd w:id="559"/>
      <w:bookmarkEnd w:id="560"/>
      <w:bookmarkEnd w:id="561"/>
      <w:bookmarkEnd w:id="562"/>
      <w:bookmarkEnd w:id="579"/>
    </w:p>
    <w:p w14:paraId="63A4EBC0">
      <w:pPr>
        <w:pStyle w:val="8"/>
        <w:snapToGrid w:val="0"/>
        <w:spacing w:before="0" w:line="240" w:lineRule="atLeast"/>
        <w:ind w:left="1079" w:leftChars="257" w:hanging="540"/>
        <w:textAlignment w:val="baseline"/>
        <w:rPr>
          <w:rFonts w:hint="eastAsia" w:ascii="仿宋_GB2312" w:hAnsi="Times New Roman" w:eastAsia="仿宋_GB2312"/>
          <w:color w:val="auto"/>
          <w:sz w:val="24"/>
          <w:szCs w:val="24"/>
        </w:rPr>
      </w:pPr>
      <w:bookmarkStart w:id="580" w:name="_Toc3315"/>
      <w:bookmarkStart w:id="581" w:name="_Toc19961"/>
      <w:bookmarkStart w:id="582" w:name="_Toc18694"/>
      <w:bookmarkStart w:id="583" w:name="_Toc18649"/>
      <w:bookmarkStart w:id="584" w:name="_Toc1126"/>
      <w:bookmarkStart w:id="585" w:name="_Toc515647803"/>
      <w:bookmarkStart w:id="586" w:name="_Toc26489"/>
      <w:bookmarkStart w:id="587" w:name="_Toc18974"/>
      <w:r>
        <w:rPr>
          <w:rFonts w:hint="eastAsia" w:ascii="仿宋_GB2312" w:hAnsi="Times New Roman" w:eastAsia="仿宋_GB2312"/>
          <w:color w:val="auto"/>
          <w:sz w:val="24"/>
          <w:szCs w:val="24"/>
        </w:rPr>
        <w:t>第一部分 响应报价一览表及资格证明文件</w:t>
      </w:r>
      <w:bookmarkEnd w:id="580"/>
      <w:bookmarkEnd w:id="581"/>
      <w:bookmarkEnd w:id="582"/>
      <w:bookmarkEnd w:id="583"/>
      <w:bookmarkEnd w:id="584"/>
      <w:bookmarkEnd w:id="585"/>
      <w:bookmarkEnd w:id="586"/>
      <w:bookmarkEnd w:id="587"/>
    </w:p>
    <w:p w14:paraId="6DE6BEA3">
      <w:pPr>
        <w:tabs>
          <w:tab w:val="left" w:pos="5580"/>
        </w:tabs>
        <w:snapToGrid w:val="0"/>
        <w:spacing w:line="360" w:lineRule="exact"/>
        <w:ind w:firstLine="480" w:firstLineChars="200"/>
        <w:jc w:val="left"/>
        <w:textAlignment w:val="baseline"/>
        <w:rPr>
          <w:rFonts w:hint="eastAsia" w:ascii="仿宋_GB2312" w:eastAsia="仿宋_GB2312"/>
          <w:color w:val="auto"/>
          <w:sz w:val="24"/>
        </w:rPr>
      </w:pPr>
      <w:r>
        <w:rPr>
          <w:rFonts w:hint="eastAsia" w:ascii="仿宋_GB2312" w:eastAsia="仿宋_GB2312"/>
          <w:color w:val="auto"/>
          <w:sz w:val="24"/>
        </w:rPr>
        <w:t>1.响应报价一览表;</w:t>
      </w:r>
    </w:p>
    <w:p w14:paraId="5221580C">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2.符合《中华人民共和国政府采购法》第二十二条的规定：</w:t>
      </w:r>
    </w:p>
    <w:p w14:paraId="6CB48000">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（1）企业三证合一的法人营业执照或含二维码的营业执照；</w:t>
      </w:r>
    </w:p>
    <w:p w14:paraId="5D3244DF">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 xml:space="preserve">（2）法定代表人授权书及被授权人身份证，法人资格证明，法人本人参与投标提供法人身份证；  </w:t>
      </w:r>
    </w:p>
    <w:p w14:paraId="3698D3E6">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3）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p w14:paraId="76BD3EBF">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（4）2024年的财务审计报告与健全的财务会计制度（新成立的公司近三个月内的银行资信证明与健全的财务会计制度）；</w:t>
      </w:r>
    </w:p>
    <w:p w14:paraId="31F0704F">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（5）缴纳税收近半年任意1个月的完税证明（零申报请出具税务部门加盖公章的证明材料或无欠款税收证明）；</w:t>
      </w:r>
    </w:p>
    <w:p w14:paraId="0DAFE1F4">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（6）根据《财政部关于在政府采购活动中查询及使用信用记录有关问题的通知》（财库</w:t>
      </w:r>
      <w:r>
        <w:rPr>
          <w:rFonts w:hint="eastAsia" w:ascii="宋体" w:hAnsi="宋体" w:cs="宋体"/>
          <w:color w:val="auto"/>
          <w:sz w:val="24"/>
        </w:rPr>
        <w:t>﹝</w:t>
      </w:r>
      <w:r>
        <w:rPr>
          <w:rFonts w:hint="eastAsia" w:ascii="仿宋_GB2312" w:eastAsia="仿宋_GB2312"/>
          <w:color w:val="auto"/>
          <w:sz w:val="24"/>
        </w:rPr>
        <w:t>2016</w:t>
      </w:r>
      <w:r>
        <w:rPr>
          <w:rFonts w:hint="eastAsia" w:ascii="宋体" w:hAnsi="宋体" w:cs="宋体"/>
          <w:color w:val="auto"/>
          <w:sz w:val="24"/>
        </w:rPr>
        <w:t>﹞</w:t>
      </w:r>
      <w:r>
        <w:rPr>
          <w:rFonts w:hint="eastAsia" w:ascii="仿宋_GB2312" w:eastAsia="仿宋_GB2312"/>
          <w:color w:val="auto"/>
          <w:sz w:val="24"/>
        </w:rPr>
        <w:t>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w:t>
      </w:r>
      <w:r>
        <w:rPr>
          <w:rFonts w:hint="eastAsia" w:ascii="仿宋_GB2312" w:eastAsia="仿宋_GB2312"/>
          <w:color w:val="auto"/>
          <w:sz w:val="24"/>
        </w:rPr>
        <w:t>国家企业信用信息公示系统( https://www.gsxt.gov.cn/index.html) 被列入失信被执行人、企业经营异常名录、重大税收违法案件当事人名单、列入严重违法失信企业名单(黑名单)信息，</w:t>
      </w:r>
      <w:r>
        <w:rPr>
          <w:rFonts w:hint="eastAsia" w:ascii="仿宋_GB2312" w:eastAsia="仿宋_GB2312"/>
          <w:color w:val="auto"/>
          <w:sz w:val="24"/>
        </w:rPr>
        <w:t>将拒绝其参加本次招标活动；（以采购代理机构或采购人查询为准）；（投标企业自行下载放入投标文件中，下载日期需在投标截止日内）；</w:t>
      </w:r>
    </w:p>
    <w:p w14:paraId="0A20E0F3">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（7）在参加政府采购活动中前三年内无重大违法记录的承诺书；</w:t>
      </w:r>
    </w:p>
    <w:p w14:paraId="183194D9">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（8）提供针对本次项目《反商业贿赂承诺书》书面声明；</w:t>
      </w:r>
    </w:p>
    <w:p w14:paraId="5FBA93C9">
      <w:pPr>
        <w:pStyle w:val="14"/>
        <w:spacing w:line="380" w:lineRule="exact"/>
        <w:ind w:firstLine="480" w:firstLineChars="200"/>
        <w:rPr>
          <w:rFonts w:hint="eastAsia" w:ascii="仿宋_GB2312" w:hAnsi="Times New Roman" w:eastAsia="仿宋_GB2312"/>
          <w:color w:val="auto"/>
        </w:rPr>
      </w:pPr>
      <w:r>
        <w:rPr>
          <w:rFonts w:hint="eastAsia" w:ascii="仿宋_GB2312" w:hAnsi="Times New Roman" w:eastAsia="仿宋_GB2312"/>
          <w:color w:val="auto"/>
        </w:rPr>
        <w:t>（9）中小企业声明函；</w:t>
      </w:r>
    </w:p>
    <w:p w14:paraId="425323BF">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3.投标保证金缴纳凭证或投标担保函。</w:t>
      </w:r>
    </w:p>
    <w:p w14:paraId="0F24D6A4">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4.供应商须知资料表要求的其他资格证明文件。</w:t>
      </w:r>
    </w:p>
    <w:p w14:paraId="238BD5F5">
      <w:pPr>
        <w:pStyle w:val="2"/>
        <w:ind w:firstLine="480"/>
        <w:rPr>
          <w:rFonts w:hint="eastAsia"/>
          <w:color w:val="auto"/>
        </w:rPr>
      </w:pPr>
    </w:p>
    <w:p w14:paraId="05D559AE">
      <w:pPr>
        <w:pStyle w:val="4"/>
        <w:ind w:firstLine="240"/>
        <w:rPr>
          <w:color w:val="auto"/>
        </w:rPr>
      </w:pPr>
    </w:p>
    <w:p w14:paraId="491F8315">
      <w:pPr>
        <w:pStyle w:val="8"/>
        <w:snapToGrid w:val="0"/>
        <w:spacing w:before="0" w:line="400" w:lineRule="atLeast"/>
        <w:jc w:val="both"/>
        <w:textAlignment w:val="baseline"/>
        <w:rPr>
          <w:rFonts w:hint="eastAsia" w:ascii="仿宋_GB2312" w:hAnsi="Times New Roman" w:eastAsia="仿宋_GB2312"/>
          <w:color w:val="auto"/>
          <w:sz w:val="24"/>
          <w:szCs w:val="24"/>
        </w:rPr>
      </w:pPr>
      <w:bookmarkStart w:id="588" w:name="_Toc16568"/>
      <w:bookmarkStart w:id="589" w:name="_Toc11138"/>
      <w:bookmarkStart w:id="590" w:name="_Toc26846"/>
      <w:bookmarkStart w:id="591" w:name="_Toc30524"/>
      <w:bookmarkStart w:id="592" w:name="_Toc31089"/>
      <w:bookmarkStart w:id="593" w:name="_Toc515647804"/>
      <w:bookmarkStart w:id="594" w:name="_Toc21614"/>
      <w:bookmarkStart w:id="595" w:name="_Toc14118"/>
      <w:bookmarkStart w:id="596" w:name="_Toc30630"/>
      <w:bookmarkStart w:id="597" w:name="_Toc22539"/>
      <w:bookmarkStart w:id="598" w:name="_Toc21484"/>
      <w:bookmarkStart w:id="599" w:name="_Toc3620"/>
      <w:bookmarkStart w:id="600" w:name="_Toc17198"/>
      <w:bookmarkStart w:id="601" w:name="_Toc18477"/>
      <w:bookmarkStart w:id="602" w:name="_Toc18995"/>
      <w:bookmarkStart w:id="603" w:name="_Toc4431"/>
      <w:bookmarkStart w:id="604" w:name="_Toc16750"/>
      <w:bookmarkStart w:id="605" w:name="_Toc520356217"/>
      <w:bookmarkStart w:id="606" w:name="_Ref467988698"/>
      <w:bookmarkStart w:id="607" w:name="_Toc480942349"/>
      <w:bookmarkStart w:id="608" w:name="_Toc216582813"/>
      <w:r>
        <w:rPr>
          <w:rFonts w:hint="eastAsia" w:ascii="仿宋_GB2312" w:hAnsi="Times New Roman" w:eastAsia="仿宋_GB2312"/>
          <w:color w:val="auto"/>
          <w:sz w:val="24"/>
          <w:szCs w:val="24"/>
        </w:rPr>
        <w:t>1、响应报价一览表</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7D68058F">
      <w:pPr>
        <w:pStyle w:val="10"/>
        <w:tabs>
          <w:tab w:val="left" w:pos="5580"/>
        </w:tabs>
        <w:snapToGrid w:val="0"/>
        <w:spacing w:line="400" w:lineRule="atLeast"/>
        <w:ind w:firstLine="0"/>
        <w:jc w:val="center"/>
        <w:textAlignment w:val="baseline"/>
        <w:rPr>
          <w:rFonts w:hint="eastAsia" w:ascii="仿宋_GB2312" w:eastAsia="仿宋_GB2312"/>
          <w:b/>
          <w:color w:val="auto"/>
          <w:szCs w:val="24"/>
        </w:rPr>
      </w:pPr>
      <w:bookmarkStart w:id="609" w:name="_Hlt520356241"/>
      <w:bookmarkEnd w:id="609"/>
    </w:p>
    <w:p w14:paraId="4A0CCA63">
      <w:pPr>
        <w:pStyle w:val="10"/>
        <w:tabs>
          <w:tab w:val="left" w:pos="5580"/>
        </w:tabs>
        <w:snapToGrid w:val="0"/>
        <w:spacing w:line="400" w:lineRule="atLeast"/>
        <w:ind w:firstLine="0"/>
        <w:jc w:val="center"/>
        <w:textAlignment w:val="baseline"/>
        <w:rPr>
          <w:rFonts w:hint="eastAsia" w:ascii="仿宋_GB2312" w:eastAsia="仿宋_GB2312"/>
          <w:color w:val="auto"/>
          <w:szCs w:val="24"/>
        </w:rPr>
      </w:pPr>
      <w:r>
        <w:rPr>
          <w:rFonts w:hint="eastAsia" w:ascii="仿宋_GB2312" w:eastAsia="仿宋_GB2312"/>
          <w:b/>
          <w:color w:val="auto"/>
          <w:szCs w:val="24"/>
        </w:rPr>
        <w:t>响应报价一览表</w:t>
      </w:r>
    </w:p>
    <w:p w14:paraId="6A703A14">
      <w:pPr>
        <w:tabs>
          <w:tab w:val="left" w:pos="1800"/>
          <w:tab w:val="left" w:pos="5580"/>
        </w:tabs>
        <w:snapToGrid w:val="0"/>
        <w:spacing w:line="400" w:lineRule="atLeast"/>
        <w:ind w:left="1079" w:leftChars="257" w:right="-867" w:hanging="540"/>
        <w:textAlignment w:val="baseline"/>
        <w:rPr>
          <w:rFonts w:hint="eastAsia" w:ascii="仿宋_GB2312" w:eastAsia="仿宋_GB2312"/>
          <w:color w:val="auto"/>
          <w:sz w:val="24"/>
        </w:rPr>
      </w:pPr>
    </w:p>
    <w:p w14:paraId="0B835A92">
      <w:pPr>
        <w:tabs>
          <w:tab w:val="left" w:pos="1800"/>
          <w:tab w:val="left" w:pos="5580"/>
        </w:tabs>
        <w:snapToGrid w:val="0"/>
        <w:spacing w:line="400" w:lineRule="atLeast"/>
        <w:ind w:left="1079" w:leftChars="257" w:right="-867" w:hanging="540"/>
        <w:textAlignment w:val="baseline"/>
        <w:rPr>
          <w:rFonts w:hint="eastAsia" w:ascii="仿宋_GB2312" w:eastAsia="仿宋_GB2312"/>
          <w:color w:val="auto"/>
          <w:sz w:val="24"/>
        </w:rPr>
      </w:pPr>
      <w:r>
        <w:rPr>
          <w:rFonts w:hint="eastAsia" w:ascii="仿宋_GB2312" w:eastAsia="仿宋_GB2312"/>
          <w:color w:val="auto"/>
          <w:sz w:val="24"/>
        </w:rPr>
        <w:t xml:space="preserve">项目名称：　                  项目编号：                          </w:t>
      </w:r>
    </w:p>
    <w:p w14:paraId="7EA87EB8">
      <w:pPr>
        <w:tabs>
          <w:tab w:val="left" w:pos="1800"/>
          <w:tab w:val="left" w:pos="5580"/>
        </w:tabs>
        <w:snapToGrid w:val="0"/>
        <w:spacing w:line="400" w:lineRule="atLeast"/>
        <w:ind w:left="1079" w:leftChars="257" w:right="-867" w:hanging="540"/>
        <w:textAlignment w:val="baseline"/>
        <w:rPr>
          <w:rFonts w:hint="eastAsia" w:ascii="仿宋_GB2312" w:eastAsia="仿宋_GB2312"/>
          <w:color w:val="auto"/>
          <w:sz w:val="24"/>
        </w:rPr>
      </w:pPr>
      <w:r>
        <w:rPr>
          <w:rFonts w:hint="eastAsia" w:ascii="仿宋_GB2312" w:eastAsia="仿宋_GB2312"/>
          <w:color w:val="auto"/>
          <w:sz w:val="24"/>
        </w:rPr>
        <w:t xml:space="preserve">标段号：                      报价单位：人民币  </w:t>
      </w:r>
      <w:r>
        <w:rPr>
          <w:rFonts w:hint="eastAsia" w:ascii="仿宋_GB2312" w:eastAsia="仿宋_GB2312"/>
          <w:b/>
          <w:color w:val="auto"/>
          <w:sz w:val="24"/>
        </w:rPr>
        <w:t>元</w:t>
      </w:r>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0"/>
        <w:gridCol w:w="837"/>
        <w:gridCol w:w="1605"/>
        <w:gridCol w:w="1260"/>
        <w:gridCol w:w="1065"/>
        <w:gridCol w:w="1850"/>
        <w:gridCol w:w="1214"/>
      </w:tblGrid>
      <w:tr w14:paraId="2875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470" w:type="dxa"/>
            <w:vAlign w:val="center"/>
          </w:tcPr>
          <w:p w14:paraId="36A0084D">
            <w:pPr>
              <w:tabs>
                <w:tab w:val="left" w:pos="5580"/>
              </w:tabs>
              <w:snapToGrid w:val="0"/>
              <w:spacing w:line="400" w:lineRule="atLeast"/>
              <w:ind w:right="-199"/>
              <w:jc w:val="center"/>
              <w:textAlignment w:val="baseline"/>
              <w:rPr>
                <w:rFonts w:hint="eastAsia" w:ascii="仿宋_GB2312" w:eastAsia="仿宋_GB2312"/>
                <w:color w:val="auto"/>
                <w:sz w:val="24"/>
              </w:rPr>
            </w:pPr>
            <w:r>
              <w:rPr>
                <w:rFonts w:hint="eastAsia" w:ascii="仿宋_GB2312" w:eastAsia="仿宋_GB2312"/>
                <w:color w:val="auto"/>
                <w:sz w:val="24"/>
              </w:rPr>
              <w:t>项目名称</w:t>
            </w:r>
          </w:p>
        </w:tc>
        <w:tc>
          <w:tcPr>
            <w:tcW w:w="837" w:type="dxa"/>
            <w:vAlign w:val="center"/>
          </w:tcPr>
          <w:p w14:paraId="15930F23">
            <w:pPr>
              <w:tabs>
                <w:tab w:val="left" w:pos="5580"/>
              </w:tabs>
              <w:snapToGrid w:val="0"/>
              <w:spacing w:line="400" w:lineRule="atLeast"/>
              <w:jc w:val="center"/>
              <w:textAlignment w:val="baseline"/>
              <w:rPr>
                <w:rFonts w:hint="eastAsia" w:ascii="仿宋_GB2312" w:eastAsia="仿宋_GB2312"/>
                <w:color w:val="auto"/>
                <w:sz w:val="24"/>
              </w:rPr>
            </w:pPr>
            <w:r>
              <w:rPr>
                <w:rFonts w:hint="eastAsia" w:ascii="仿宋_GB2312" w:eastAsia="仿宋_GB2312"/>
                <w:color w:val="auto"/>
                <w:sz w:val="24"/>
              </w:rPr>
              <w:t>响应总价</w:t>
            </w:r>
          </w:p>
        </w:tc>
        <w:tc>
          <w:tcPr>
            <w:tcW w:w="1605" w:type="dxa"/>
            <w:vAlign w:val="center"/>
          </w:tcPr>
          <w:p w14:paraId="0E1A4B83">
            <w:pPr>
              <w:tabs>
                <w:tab w:val="left" w:pos="5580"/>
              </w:tabs>
              <w:snapToGrid w:val="0"/>
              <w:spacing w:line="400" w:lineRule="atLeast"/>
              <w:jc w:val="center"/>
              <w:textAlignment w:val="baseline"/>
              <w:rPr>
                <w:rFonts w:hint="eastAsia" w:ascii="仿宋_GB2312" w:eastAsia="仿宋_GB2312"/>
                <w:color w:val="auto"/>
                <w:sz w:val="24"/>
              </w:rPr>
            </w:pPr>
            <w:r>
              <w:rPr>
                <w:rFonts w:hint="eastAsia" w:ascii="仿宋_GB2312" w:eastAsia="仿宋_GB2312"/>
                <w:color w:val="auto"/>
                <w:sz w:val="24"/>
              </w:rPr>
              <w:t>保证金缴纳方式及金额</w:t>
            </w:r>
          </w:p>
        </w:tc>
        <w:tc>
          <w:tcPr>
            <w:tcW w:w="1260" w:type="dxa"/>
            <w:vAlign w:val="center"/>
          </w:tcPr>
          <w:p w14:paraId="3FDEFE07">
            <w:pPr>
              <w:tabs>
                <w:tab w:val="left" w:pos="5580"/>
              </w:tabs>
              <w:snapToGrid w:val="0"/>
              <w:spacing w:line="400" w:lineRule="atLeast"/>
              <w:jc w:val="center"/>
              <w:textAlignment w:val="baseline"/>
              <w:rPr>
                <w:rFonts w:hint="eastAsia" w:ascii="仿宋_GB2312" w:eastAsia="仿宋_GB2312"/>
                <w:color w:val="auto"/>
                <w:sz w:val="24"/>
              </w:rPr>
            </w:pPr>
            <w:r>
              <w:rPr>
                <w:rFonts w:hint="eastAsia" w:ascii="仿宋_GB2312" w:eastAsia="仿宋_GB2312"/>
                <w:color w:val="auto"/>
                <w:sz w:val="24"/>
              </w:rPr>
              <w:t>供货期限</w:t>
            </w:r>
          </w:p>
        </w:tc>
        <w:tc>
          <w:tcPr>
            <w:tcW w:w="1065" w:type="dxa"/>
            <w:vAlign w:val="center"/>
          </w:tcPr>
          <w:p w14:paraId="1AE11079">
            <w:pPr>
              <w:tabs>
                <w:tab w:val="left" w:pos="5580"/>
              </w:tabs>
              <w:snapToGrid w:val="0"/>
              <w:spacing w:line="400" w:lineRule="atLeast"/>
              <w:jc w:val="center"/>
              <w:textAlignment w:val="baseline"/>
              <w:rPr>
                <w:rFonts w:hint="eastAsia" w:ascii="仿宋_GB2312" w:eastAsia="仿宋_GB2312"/>
                <w:color w:val="auto"/>
                <w:sz w:val="24"/>
              </w:rPr>
            </w:pPr>
            <w:r>
              <w:rPr>
                <w:rFonts w:hint="eastAsia" w:ascii="仿宋_GB2312" w:eastAsia="仿宋_GB2312"/>
                <w:color w:val="auto"/>
                <w:sz w:val="24"/>
              </w:rPr>
              <w:t>供货地点</w:t>
            </w:r>
          </w:p>
        </w:tc>
        <w:tc>
          <w:tcPr>
            <w:tcW w:w="1850" w:type="dxa"/>
            <w:vAlign w:val="center"/>
          </w:tcPr>
          <w:p w14:paraId="6BE7D4A4">
            <w:pPr>
              <w:tabs>
                <w:tab w:val="left" w:pos="5580"/>
              </w:tabs>
              <w:snapToGrid w:val="0"/>
              <w:spacing w:line="400" w:lineRule="atLeast"/>
              <w:jc w:val="center"/>
              <w:textAlignment w:val="baseline"/>
              <w:rPr>
                <w:rFonts w:hint="eastAsia" w:ascii="仿宋_GB2312" w:eastAsia="仿宋_GB2312"/>
                <w:color w:val="auto"/>
                <w:sz w:val="24"/>
              </w:rPr>
            </w:pPr>
            <w:r>
              <w:rPr>
                <w:rFonts w:hint="eastAsia" w:ascii="仿宋_GB2312" w:eastAsia="仿宋_GB2312"/>
                <w:color w:val="auto"/>
                <w:sz w:val="24"/>
              </w:rPr>
              <w:t>项目负责人及联系电话</w:t>
            </w:r>
          </w:p>
        </w:tc>
        <w:tc>
          <w:tcPr>
            <w:tcW w:w="1214" w:type="dxa"/>
            <w:vAlign w:val="center"/>
          </w:tcPr>
          <w:p w14:paraId="518A09FF">
            <w:pPr>
              <w:tabs>
                <w:tab w:val="left" w:pos="5580"/>
              </w:tabs>
              <w:snapToGrid w:val="0"/>
              <w:spacing w:line="400" w:lineRule="atLeast"/>
              <w:jc w:val="center"/>
              <w:textAlignment w:val="baseline"/>
              <w:rPr>
                <w:rFonts w:hint="eastAsia" w:ascii="仿宋_GB2312" w:eastAsia="仿宋_GB2312"/>
                <w:color w:val="auto"/>
                <w:sz w:val="24"/>
              </w:rPr>
            </w:pPr>
            <w:r>
              <w:rPr>
                <w:rFonts w:hint="eastAsia" w:ascii="仿宋_GB2312" w:eastAsia="仿宋_GB2312"/>
                <w:color w:val="auto"/>
                <w:sz w:val="24"/>
              </w:rPr>
              <w:t>备注</w:t>
            </w:r>
          </w:p>
        </w:tc>
      </w:tr>
      <w:tr w14:paraId="3C33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470" w:type="dxa"/>
            <w:vAlign w:val="center"/>
          </w:tcPr>
          <w:p w14:paraId="4056FDBD">
            <w:pPr>
              <w:tabs>
                <w:tab w:val="left" w:pos="5580"/>
              </w:tabs>
              <w:snapToGrid w:val="0"/>
              <w:spacing w:line="400" w:lineRule="atLeast"/>
              <w:ind w:left="1079" w:leftChars="257" w:hanging="540"/>
              <w:jc w:val="center"/>
              <w:textAlignment w:val="baseline"/>
              <w:rPr>
                <w:rFonts w:hint="eastAsia" w:ascii="仿宋_GB2312" w:eastAsia="仿宋_GB2312"/>
                <w:color w:val="auto"/>
                <w:sz w:val="24"/>
              </w:rPr>
            </w:pPr>
          </w:p>
        </w:tc>
        <w:tc>
          <w:tcPr>
            <w:tcW w:w="837" w:type="dxa"/>
            <w:vAlign w:val="center"/>
          </w:tcPr>
          <w:p w14:paraId="608FF0BE">
            <w:pPr>
              <w:tabs>
                <w:tab w:val="left" w:pos="5580"/>
              </w:tabs>
              <w:snapToGrid w:val="0"/>
              <w:spacing w:line="400" w:lineRule="atLeast"/>
              <w:jc w:val="left"/>
              <w:textAlignment w:val="baseline"/>
              <w:rPr>
                <w:rFonts w:hint="eastAsia" w:ascii="仿宋_GB2312" w:eastAsia="仿宋_GB2312"/>
                <w:color w:val="auto"/>
                <w:sz w:val="24"/>
              </w:rPr>
            </w:pPr>
            <w:r>
              <w:rPr>
                <w:rFonts w:hint="eastAsia" w:ascii="仿宋_GB2312" w:eastAsia="仿宋_GB2312"/>
                <w:color w:val="auto"/>
                <w:sz w:val="24"/>
              </w:rPr>
              <w:t>大写：</w:t>
            </w:r>
          </w:p>
          <w:p w14:paraId="4F909841">
            <w:pPr>
              <w:tabs>
                <w:tab w:val="left" w:pos="5580"/>
              </w:tabs>
              <w:snapToGrid w:val="0"/>
              <w:spacing w:line="400" w:lineRule="atLeast"/>
              <w:jc w:val="left"/>
              <w:textAlignment w:val="baseline"/>
              <w:rPr>
                <w:rFonts w:hint="eastAsia" w:ascii="仿宋_GB2312" w:eastAsia="仿宋_GB2312"/>
                <w:color w:val="auto"/>
                <w:sz w:val="24"/>
              </w:rPr>
            </w:pPr>
            <w:r>
              <w:rPr>
                <w:rFonts w:hint="eastAsia" w:ascii="仿宋_GB2312" w:eastAsia="仿宋_GB2312"/>
                <w:color w:val="auto"/>
                <w:sz w:val="24"/>
              </w:rPr>
              <w:t>小写：</w:t>
            </w:r>
          </w:p>
        </w:tc>
        <w:tc>
          <w:tcPr>
            <w:tcW w:w="1605" w:type="dxa"/>
            <w:vAlign w:val="center"/>
          </w:tcPr>
          <w:p w14:paraId="77BBC056">
            <w:pPr>
              <w:tabs>
                <w:tab w:val="left" w:pos="5580"/>
              </w:tabs>
              <w:snapToGrid w:val="0"/>
              <w:spacing w:line="400" w:lineRule="atLeast"/>
              <w:ind w:left="1079" w:leftChars="257" w:hanging="540"/>
              <w:jc w:val="center"/>
              <w:textAlignment w:val="baseline"/>
              <w:rPr>
                <w:rFonts w:hint="eastAsia" w:ascii="仿宋_GB2312" w:eastAsia="仿宋_GB2312"/>
                <w:color w:val="auto"/>
                <w:sz w:val="24"/>
              </w:rPr>
            </w:pPr>
          </w:p>
        </w:tc>
        <w:tc>
          <w:tcPr>
            <w:tcW w:w="1260" w:type="dxa"/>
            <w:vAlign w:val="center"/>
          </w:tcPr>
          <w:p w14:paraId="26F969B6">
            <w:pPr>
              <w:tabs>
                <w:tab w:val="left" w:pos="5580"/>
              </w:tabs>
              <w:snapToGrid w:val="0"/>
              <w:spacing w:line="400" w:lineRule="atLeast"/>
              <w:ind w:left="1079" w:leftChars="257" w:hanging="540"/>
              <w:jc w:val="center"/>
              <w:textAlignment w:val="baseline"/>
              <w:rPr>
                <w:rFonts w:hint="eastAsia" w:ascii="仿宋_GB2312" w:eastAsia="仿宋_GB2312"/>
                <w:color w:val="auto"/>
                <w:sz w:val="24"/>
              </w:rPr>
            </w:pPr>
          </w:p>
        </w:tc>
        <w:tc>
          <w:tcPr>
            <w:tcW w:w="1065" w:type="dxa"/>
            <w:vAlign w:val="center"/>
          </w:tcPr>
          <w:p w14:paraId="203D2E99">
            <w:pPr>
              <w:tabs>
                <w:tab w:val="left" w:pos="5580"/>
              </w:tabs>
              <w:snapToGrid w:val="0"/>
              <w:spacing w:line="400" w:lineRule="atLeast"/>
              <w:ind w:left="1079" w:leftChars="257" w:hanging="540"/>
              <w:jc w:val="center"/>
              <w:textAlignment w:val="baseline"/>
              <w:rPr>
                <w:rFonts w:hint="eastAsia" w:ascii="仿宋_GB2312" w:eastAsia="仿宋_GB2312"/>
                <w:color w:val="auto"/>
                <w:sz w:val="24"/>
              </w:rPr>
            </w:pPr>
          </w:p>
        </w:tc>
        <w:tc>
          <w:tcPr>
            <w:tcW w:w="1850" w:type="dxa"/>
            <w:vAlign w:val="center"/>
          </w:tcPr>
          <w:p w14:paraId="2AE088C6">
            <w:pPr>
              <w:tabs>
                <w:tab w:val="left" w:pos="5580"/>
              </w:tabs>
              <w:snapToGrid w:val="0"/>
              <w:spacing w:line="400" w:lineRule="atLeast"/>
              <w:ind w:left="1079" w:leftChars="257" w:hanging="540"/>
              <w:jc w:val="center"/>
              <w:textAlignment w:val="baseline"/>
              <w:rPr>
                <w:rFonts w:hint="eastAsia" w:ascii="仿宋_GB2312" w:eastAsia="仿宋_GB2312"/>
                <w:color w:val="auto"/>
                <w:sz w:val="24"/>
              </w:rPr>
            </w:pPr>
          </w:p>
        </w:tc>
        <w:tc>
          <w:tcPr>
            <w:tcW w:w="1214" w:type="dxa"/>
            <w:vAlign w:val="center"/>
          </w:tcPr>
          <w:p w14:paraId="157BC8FE">
            <w:pPr>
              <w:tabs>
                <w:tab w:val="left" w:pos="5580"/>
              </w:tabs>
              <w:snapToGrid w:val="0"/>
              <w:spacing w:line="400" w:lineRule="atLeast"/>
              <w:ind w:left="1079" w:leftChars="257" w:hanging="540"/>
              <w:jc w:val="center"/>
              <w:textAlignment w:val="baseline"/>
              <w:rPr>
                <w:rFonts w:hint="eastAsia" w:ascii="仿宋_GB2312" w:eastAsia="仿宋_GB2312"/>
                <w:color w:val="auto"/>
                <w:sz w:val="24"/>
              </w:rPr>
            </w:pPr>
          </w:p>
        </w:tc>
      </w:tr>
    </w:tbl>
    <w:p w14:paraId="4639AE5F">
      <w:pPr>
        <w:pStyle w:val="19"/>
        <w:tabs>
          <w:tab w:val="left" w:pos="5580"/>
        </w:tabs>
        <w:snapToGrid w:val="0"/>
        <w:spacing w:line="400" w:lineRule="atLeast"/>
        <w:textAlignment w:val="baseline"/>
        <w:rPr>
          <w:rFonts w:hint="eastAsia" w:ascii="仿宋_GB2312" w:hAnsi="Times New Roman" w:eastAsia="仿宋_GB2312"/>
          <w:color w:val="auto"/>
          <w:sz w:val="24"/>
          <w:szCs w:val="24"/>
          <w:u w:val="single" w:color="000000"/>
        </w:rPr>
      </w:pPr>
    </w:p>
    <w:p w14:paraId="4866C31A">
      <w:pPr>
        <w:pStyle w:val="19"/>
        <w:tabs>
          <w:tab w:val="left" w:pos="5580"/>
        </w:tabs>
        <w:snapToGrid w:val="0"/>
        <w:spacing w:line="400" w:lineRule="atLeast"/>
        <w:ind w:left="1079" w:leftChars="257" w:hanging="54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供应商名称（单位公章）：</w:t>
      </w:r>
      <w:r>
        <w:rPr>
          <w:rFonts w:hint="eastAsia" w:ascii="仿宋_GB2312" w:hAnsi="Times New Roman" w:eastAsia="仿宋_GB2312"/>
          <w:color w:val="auto"/>
          <w:sz w:val="24"/>
          <w:szCs w:val="24"/>
          <w:u w:val="single" w:color="000000"/>
        </w:rPr>
        <w:t xml:space="preserve">                       </w:t>
      </w:r>
    </w:p>
    <w:p w14:paraId="5CA62280">
      <w:pPr>
        <w:pStyle w:val="19"/>
        <w:tabs>
          <w:tab w:val="left" w:pos="5580"/>
        </w:tabs>
        <w:snapToGrid w:val="0"/>
        <w:spacing w:line="400" w:lineRule="atLeast"/>
        <w:ind w:left="1079" w:leftChars="257" w:hanging="540"/>
        <w:textAlignment w:val="baseline"/>
        <w:rPr>
          <w:rFonts w:hint="eastAsia" w:ascii="仿宋_GB2312" w:hAnsi="Times New Roman" w:eastAsia="仿宋_GB2312"/>
          <w:color w:val="auto"/>
          <w:sz w:val="24"/>
          <w:szCs w:val="24"/>
          <w:u w:val="single" w:color="000000"/>
        </w:rPr>
      </w:pPr>
      <w:r>
        <w:rPr>
          <w:rFonts w:hint="eastAsia" w:ascii="仿宋_GB2312" w:hAnsi="Times New Roman" w:eastAsia="仿宋_GB2312"/>
          <w:color w:val="auto"/>
          <w:sz w:val="24"/>
          <w:szCs w:val="24"/>
        </w:rPr>
        <w:t>法定代表人或委托代理人（签字或盖章）:</w:t>
      </w:r>
      <w:r>
        <w:rPr>
          <w:rFonts w:hint="eastAsia" w:ascii="仿宋_GB2312" w:hAnsi="Times New Roman" w:eastAsia="仿宋_GB2312"/>
          <w:color w:val="auto"/>
          <w:sz w:val="24"/>
          <w:szCs w:val="24"/>
          <w:u w:val="single" w:color="000000"/>
        </w:rPr>
        <w:tab/>
      </w:r>
    </w:p>
    <w:p w14:paraId="6960AC36">
      <w:pPr>
        <w:pStyle w:val="19"/>
        <w:tabs>
          <w:tab w:val="left" w:pos="5580"/>
        </w:tabs>
        <w:snapToGrid w:val="0"/>
        <w:spacing w:line="400" w:lineRule="atLeast"/>
        <w:ind w:left="1079" w:leftChars="257" w:hanging="540"/>
        <w:textAlignment w:val="baseline"/>
        <w:rPr>
          <w:rFonts w:hint="eastAsia" w:ascii="仿宋_GB2312" w:hAnsi="Times New Roman" w:eastAsia="仿宋_GB2312"/>
          <w:b/>
          <w:bCs/>
          <w:color w:val="auto"/>
          <w:sz w:val="24"/>
          <w:szCs w:val="24"/>
        </w:rPr>
      </w:pPr>
    </w:p>
    <w:p w14:paraId="0255B842">
      <w:pPr>
        <w:pStyle w:val="19"/>
        <w:tabs>
          <w:tab w:val="left" w:pos="5580"/>
        </w:tabs>
        <w:snapToGrid w:val="0"/>
        <w:spacing w:line="400" w:lineRule="atLeast"/>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注:1、此表应按谈判文件的规定填写、加密上传。</w:t>
      </w:r>
    </w:p>
    <w:p w14:paraId="3A78BBBC">
      <w:pPr>
        <w:pStyle w:val="19"/>
        <w:numPr>
          <w:ilvl w:val="0"/>
          <w:numId w:val="3"/>
        </w:numPr>
        <w:tabs>
          <w:tab w:val="left" w:pos="5580"/>
        </w:tabs>
        <w:snapToGrid w:val="0"/>
        <w:spacing w:line="400" w:lineRule="atLeast"/>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此表中，每包的投标总价应和分项报价表的总价相一致。</w:t>
      </w:r>
    </w:p>
    <w:p w14:paraId="6C8E87A6">
      <w:pPr>
        <w:pStyle w:val="19"/>
        <w:numPr>
          <w:ilvl w:val="0"/>
          <w:numId w:val="3"/>
        </w:numPr>
        <w:tabs>
          <w:tab w:val="left" w:pos="5580"/>
        </w:tabs>
        <w:snapToGrid w:val="0"/>
        <w:spacing w:line="400" w:lineRule="atLeast"/>
        <w:textAlignment w:val="baseline"/>
        <w:rPr>
          <w:rFonts w:hint="eastAsia" w:ascii="仿宋_GB2312" w:hAnsi="Times New Roman" w:eastAsia="仿宋_GB2312"/>
          <w:b/>
          <w:bCs/>
          <w:color w:val="auto"/>
          <w:sz w:val="24"/>
          <w:szCs w:val="24"/>
        </w:rPr>
      </w:pPr>
      <w:r>
        <w:rPr>
          <w:rFonts w:hint="eastAsia" w:ascii="仿宋_GB2312" w:hAnsi="Times New Roman" w:eastAsia="仿宋_GB2312"/>
          <w:color w:val="auto"/>
          <w:sz w:val="24"/>
          <w:szCs w:val="24"/>
        </w:rPr>
        <w:t>供应商报价时包含货物费、人工费、税费、运输费、装卸费、保险费等一切与本次项目相关的费用。</w:t>
      </w:r>
    </w:p>
    <w:p w14:paraId="5AC8BD5F">
      <w:pPr>
        <w:pStyle w:val="19"/>
        <w:tabs>
          <w:tab w:val="left" w:pos="5580"/>
        </w:tabs>
        <w:snapToGrid w:val="0"/>
        <w:spacing w:line="400" w:lineRule="atLeast"/>
        <w:textAlignment w:val="baseline"/>
        <w:rPr>
          <w:rFonts w:hint="eastAsia" w:ascii="仿宋_GB2312" w:hAnsi="Times New Roman" w:eastAsia="仿宋_GB2312"/>
          <w:b/>
          <w:color w:val="auto"/>
          <w:sz w:val="28"/>
          <w:szCs w:val="28"/>
        </w:rPr>
      </w:pPr>
    </w:p>
    <w:p w14:paraId="4BDE5A67">
      <w:pPr>
        <w:pStyle w:val="29"/>
        <w:textAlignment w:val="baseline"/>
        <w:rPr>
          <w:rFonts w:eastAsia="方正仿宋简体"/>
          <w:color w:val="auto"/>
          <w:sz w:val="28"/>
          <w:szCs w:val="28"/>
        </w:rPr>
      </w:pPr>
      <w:bookmarkStart w:id="610" w:name="_Toc16516"/>
      <w:bookmarkStart w:id="611" w:name="_Toc8241"/>
      <w:bookmarkStart w:id="612" w:name="_Toc22089"/>
      <w:bookmarkStart w:id="613" w:name="_Toc16088"/>
    </w:p>
    <w:p w14:paraId="384A9684">
      <w:pPr>
        <w:pStyle w:val="29"/>
        <w:textAlignment w:val="baseline"/>
        <w:rPr>
          <w:rFonts w:eastAsia="方正仿宋简体"/>
          <w:color w:val="auto"/>
          <w:sz w:val="28"/>
          <w:szCs w:val="28"/>
        </w:rPr>
      </w:pPr>
    </w:p>
    <w:p w14:paraId="469861D4">
      <w:pPr>
        <w:pStyle w:val="29"/>
        <w:textAlignment w:val="baseline"/>
        <w:rPr>
          <w:rFonts w:eastAsia="方正仿宋简体"/>
          <w:color w:val="auto"/>
          <w:sz w:val="28"/>
          <w:szCs w:val="28"/>
        </w:rPr>
      </w:pPr>
    </w:p>
    <w:p w14:paraId="659CE872">
      <w:pPr>
        <w:pStyle w:val="29"/>
        <w:textAlignment w:val="baseline"/>
        <w:rPr>
          <w:rFonts w:eastAsia="方正仿宋简体"/>
          <w:color w:val="auto"/>
          <w:sz w:val="28"/>
          <w:szCs w:val="28"/>
        </w:rPr>
      </w:pPr>
    </w:p>
    <w:p w14:paraId="1633BB14">
      <w:pPr>
        <w:pStyle w:val="29"/>
        <w:textAlignment w:val="baseline"/>
        <w:rPr>
          <w:rFonts w:eastAsia="方正仿宋简体"/>
          <w:color w:val="auto"/>
          <w:sz w:val="28"/>
          <w:szCs w:val="28"/>
        </w:rPr>
      </w:pPr>
    </w:p>
    <w:p w14:paraId="7C01B538">
      <w:pPr>
        <w:pStyle w:val="5"/>
        <w:rPr>
          <w:color w:val="auto"/>
        </w:rPr>
      </w:pPr>
    </w:p>
    <w:p w14:paraId="475A2BB9">
      <w:pPr>
        <w:pStyle w:val="29"/>
        <w:textAlignment w:val="baseline"/>
        <w:rPr>
          <w:rFonts w:eastAsia="方正仿宋简体"/>
          <w:color w:val="auto"/>
          <w:sz w:val="28"/>
          <w:szCs w:val="28"/>
        </w:rPr>
      </w:pPr>
    </w:p>
    <w:p w14:paraId="327AD1A1">
      <w:pPr>
        <w:pStyle w:val="29"/>
        <w:textAlignment w:val="baseline"/>
        <w:rPr>
          <w:rFonts w:hint="eastAsia" w:eastAsia="方正仿宋简体"/>
          <w:color w:val="auto"/>
          <w:sz w:val="28"/>
          <w:szCs w:val="28"/>
        </w:rPr>
      </w:pPr>
    </w:p>
    <w:p w14:paraId="55AF0EF8">
      <w:pPr>
        <w:pStyle w:val="5"/>
        <w:rPr>
          <w:rFonts w:hint="eastAsia"/>
          <w:color w:val="auto"/>
        </w:rPr>
      </w:pPr>
    </w:p>
    <w:p w14:paraId="3F1E95AA">
      <w:pPr>
        <w:pStyle w:val="6"/>
        <w:ind w:firstLine="560"/>
        <w:rPr>
          <w:rFonts w:hint="eastAsia"/>
          <w:color w:val="auto"/>
        </w:rPr>
      </w:pPr>
    </w:p>
    <w:p w14:paraId="07656C44">
      <w:pPr>
        <w:rPr>
          <w:rFonts w:hint="eastAsia"/>
          <w:color w:val="auto"/>
        </w:rPr>
      </w:pPr>
    </w:p>
    <w:p w14:paraId="18BF4233">
      <w:pPr>
        <w:pStyle w:val="2"/>
        <w:ind w:firstLine="480"/>
        <w:rPr>
          <w:color w:val="auto"/>
        </w:rPr>
      </w:pPr>
    </w:p>
    <w:p w14:paraId="7A6A502A">
      <w:pPr>
        <w:numPr>
          <w:ilvl w:val="0"/>
          <w:numId w:val="4"/>
        </w:numPr>
        <w:snapToGrid w:val="0"/>
        <w:spacing w:line="460" w:lineRule="exact"/>
        <w:textAlignment w:val="baseline"/>
        <w:outlineLvl w:val="1"/>
        <w:rPr>
          <w:rFonts w:hint="eastAsia" w:ascii="仿宋_GB2312" w:eastAsia="仿宋_GB2312"/>
          <w:b/>
          <w:color w:val="auto"/>
          <w:kern w:val="0"/>
          <w:sz w:val="24"/>
        </w:rPr>
      </w:pPr>
      <w:bookmarkStart w:id="614" w:name="_Toc1213"/>
      <w:r>
        <w:rPr>
          <w:rFonts w:hint="eastAsia" w:ascii="仿宋_GB2312" w:eastAsia="仿宋_GB2312"/>
          <w:b/>
          <w:color w:val="auto"/>
          <w:kern w:val="0"/>
          <w:sz w:val="24"/>
        </w:rPr>
        <w:t>符合《中华人民共和国政府采购法》第二十二条的规定</w:t>
      </w:r>
      <w:bookmarkEnd w:id="614"/>
    </w:p>
    <w:p w14:paraId="647B8C2F">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（1）企业三证合一的法人营业执照或含二维码的营业执照；</w:t>
      </w:r>
    </w:p>
    <w:p w14:paraId="6A91CC00">
      <w:pPr>
        <w:pStyle w:val="29"/>
        <w:ind w:firstLine="720" w:firstLineChars="300"/>
        <w:textAlignment w:val="baseline"/>
        <w:rPr>
          <w:rFonts w:hint="eastAsia" w:ascii="仿宋_GB2312" w:eastAsia="仿宋_GB2312"/>
          <w:color w:val="auto"/>
          <w:sz w:val="24"/>
        </w:rPr>
      </w:pPr>
      <w:r>
        <w:rPr>
          <w:rFonts w:hint="eastAsia" w:ascii="仿宋_GB2312" w:eastAsia="仿宋_GB2312"/>
          <w:color w:val="auto"/>
          <w:sz w:val="24"/>
        </w:rPr>
        <w:t>说明：原件扫描件加盖公章</w:t>
      </w:r>
    </w:p>
    <w:p w14:paraId="325AEBC7">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（2）法定代表人授权书及被授权人身份证，法人本人参与投标的提供法人身份证及法人资格证明；</w:t>
      </w:r>
    </w:p>
    <w:bookmarkEnd w:id="610"/>
    <w:bookmarkEnd w:id="611"/>
    <w:bookmarkEnd w:id="612"/>
    <w:bookmarkEnd w:id="613"/>
    <w:p w14:paraId="76DB9C90">
      <w:pPr>
        <w:pStyle w:val="19"/>
        <w:tabs>
          <w:tab w:val="left" w:pos="5580"/>
        </w:tabs>
        <w:spacing w:line="400" w:lineRule="exact"/>
        <w:ind w:firstLine="720" w:firstLineChars="300"/>
        <w:rPr>
          <w:rFonts w:hint="eastAsia" w:ascii="仿宋_GB2312" w:hAnsi="Times New Roman" w:eastAsia="仿宋_GB2312"/>
          <w:color w:val="auto"/>
          <w:sz w:val="24"/>
          <w:szCs w:val="24"/>
        </w:rPr>
      </w:pPr>
      <w:bookmarkStart w:id="615" w:name="_Toc13107"/>
      <w:bookmarkStart w:id="616" w:name="_Toc1083"/>
      <w:bookmarkStart w:id="617" w:name="_Toc6829"/>
      <w:bookmarkStart w:id="618" w:name="_Toc5436"/>
      <w:bookmarkStart w:id="619" w:name="_Toc22472"/>
      <w:bookmarkStart w:id="620" w:name="_Toc16640"/>
      <w:bookmarkStart w:id="621" w:name="_Toc515647807"/>
      <w:bookmarkStart w:id="622" w:name="_Toc21867"/>
      <w:r>
        <w:rPr>
          <w:rFonts w:hint="eastAsia" w:ascii="仿宋_GB2312" w:hAnsi="Times New Roman" w:eastAsia="仿宋_GB2312"/>
          <w:color w:val="auto"/>
          <w:sz w:val="24"/>
          <w:szCs w:val="24"/>
        </w:rPr>
        <w:t>说明：供应商为自然人的，应提供身份证明的复印件。</w:t>
      </w:r>
    </w:p>
    <w:p w14:paraId="3B581483">
      <w:pPr>
        <w:pStyle w:val="19"/>
        <w:spacing w:line="240" w:lineRule="atLeast"/>
        <w:jc w:val="center"/>
        <w:rPr>
          <w:rFonts w:hint="eastAsia" w:ascii="仿宋_GB2312" w:hAnsi="Times New Roman" w:eastAsia="仿宋_GB2312"/>
          <w:color w:val="auto"/>
          <w:sz w:val="24"/>
          <w:szCs w:val="24"/>
        </w:rPr>
      </w:pPr>
      <w:r>
        <w:rPr>
          <w:rFonts w:hint="eastAsia" w:ascii="仿宋_GB2312" w:hAnsi="Times New Roman" w:eastAsia="仿宋_GB2312"/>
          <w:b/>
          <w:color w:val="auto"/>
          <w:sz w:val="24"/>
          <w:szCs w:val="24"/>
        </w:rPr>
        <w:t>法定代表人身份证明</w:t>
      </w:r>
    </w:p>
    <w:p w14:paraId="39848117">
      <w:pPr>
        <w:spacing w:line="380" w:lineRule="exact"/>
        <w:rPr>
          <w:rFonts w:hint="eastAsia" w:ascii="仿宋_GB2312" w:eastAsia="仿宋_GB2312"/>
          <w:color w:val="auto"/>
          <w:sz w:val="24"/>
        </w:rPr>
      </w:pPr>
      <w:r>
        <w:rPr>
          <w:rFonts w:hint="eastAsia" w:ascii="仿宋_GB2312" w:eastAsia="仿宋_GB2312"/>
          <w:color w:val="auto"/>
          <w:sz w:val="24"/>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同志，现任我单位</w:t>
      </w:r>
      <w:r>
        <w:rPr>
          <w:rFonts w:hint="eastAsia" w:ascii="仿宋_GB2312" w:eastAsia="仿宋_GB2312"/>
          <w:color w:val="auto"/>
          <w:sz w:val="24"/>
          <w:u w:val="single"/>
        </w:rPr>
        <w:t xml:space="preserve">          </w:t>
      </w:r>
      <w:r>
        <w:rPr>
          <w:rFonts w:hint="eastAsia" w:ascii="仿宋_GB2312" w:eastAsia="仿宋_GB2312"/>
          <w:color w:val="auto"/>
          <w:sz w:val="24"/>
        </w:rPr>
        <w:t>职务，为法定代表人，特此证明。</w:t>
      </w:r>
    </w:p>
    <w:p w14:paraId="2A719779">
      <w:pPr>
        <w:spacing w:line="380" w:lineRule="exact"/>
        <w:ind w:firstLine="240" w:firstLineChars="100"/>
        <w:rPr>
          <w:rFonts w:hint="eastAsia" w:ascii="仿宋_GB2312" w:eastAsia="仿宋_GB2312"/>
          <w:color w:val="auto"/>
          <w:sz w:val="24"/>
        </w:rPr>
      </w:pPr>
      <w:r>
        <w:rPr>
          <w:rFonts w:hint="eastAsia" w:ascii="仿宋_GB2312" w:eastAsia="仿宋_GB2312"/>
          <w:color w:val="auto"/>
          <w:sz w:val="24"/>
        </w:rPr>
        <w:t xml:space="preserve">签发日期：                  单位：        </w:t>
      </w:r>
    </w:p>
    <w:p w14:paraId="00C3C1F5">
      <w:pPr>
        <w:spacing w:line="380" w:lineRule="exact"/>
        <w:ind w:firstLine="240" w:firstLineChars="100"/>
        <w:rPr>
          <w:rFonts w:hint="eastAsia" w:ascii="仿宋_GB2312" w:eastAsia="仿宋_GB2312"/>
          <w:color w:val="auto"/>
          <w:sz w:val="24"/>
        </w:rPr>
      </w:pPr>
      <w:r>
        <w:rPr>
          <w:rFonts w:hint="eastAsia" w:ascii="仿宋_GB2312" w:eastAsia="仿宋_GB2312"/>
          <w:color w:val="auto"/>
          <w:sz w:val="24"/>
        </w:rPr>
        <w:t>附：代表人性别：            年龄：           身份证号码：</w:t>
      </w:r>
    </w:p>
    <w:p w14:paraId="582F72CA">
      <w:pPr>
        <w:spacing w:line="380" w:lineRule="exact"/>
        <w:ind w:firstLine="240" w:firstLineChars="100"/>
        <w:rPr>
          <w:rFonts w:hint="eastAsia" w:ascii="仿宋_GB2312" w:eastAsia="仿宋_GB2312"/>
          <w:color w:val="auto"/>
          <w:sz w:val="24"/>
        </w:rPr>
      </w:pPr>
      <w:r>
        <w:rPr>
          <w:rFonts w:hint="eastAsia" w:ascii="仿宋_GB2312" w:eastAsia="仿宋_GB2312"/>
          <w:color w:val="auto"/>
          <w:sz w:val="24"/>
        </w:rPr>
        <w:t>联系电话：</w:t>
      </w:r>
    </w:p>
    <w:p w14:paraId="4FF9CC66">
      <w:pPr>
        <w:spacing w:line="380" w:lineRule="exact"/>
        <w:ind w:firstLine="240" w:firstLineChars="100"/>
        <w:rPr>
          <w:rFonts w:hint="eastAsia" w:ascii="仿宋_GB2312" w:eastAsia="仿宋_GB2312"/>
          <w:color w:val="auto"/>
          <w:sz w:val="24"/>
        </w:rPr>
      </w:pPr>
      <w:r>
        <w:rPr>
          <w:rFonts w:hint="eastAsia" w:ascii="仿宋_GB2312" w:eastAsia="仿宋_GB2312"/>
          <w:color w:val="auto"/>
          <w:sz w:val="24"/>
        </w:rPr>
        <w:t>营业执照号码：              经济性质：</w:t>
      </w:r>
    </w:p>
    <w:p w14:paraId="37660904">
      <w:pPr>
        <w:spacing w:line="380" w:lineRule="exact"/>
        <w:rPr>
          <w:rFonts w:hint="eastAsia" w:ascii="仿宋_GB2312" w:eastAsia="仿宋_GB2312"/>
          <w:color w:val="auto"/>
          <w:sz w:val="24"/>
        </w:rPr>
      </w:pPr>
      <w:r>
        <w:rPr>
          <w:rFonts w:hint="eastAsia" w:ascii="仿宋_GB2312" w:eastAsia="仿宋_GB2312"/>
          <w:color w:val="auto"/>
          <w:sz w:val="24"/>
        </w:rPr>
        <w:t>说明：</w:t>
      </w:r>
    </w:p>
    <w:p w14:paraId="050B3B8D">
      <w:pPr>
        <w:spacing w:line="380" w:lineRule="exact"/>
        <w:ind w:firstLine="240" w:firstLineChars="100"/>
        <w:rPr>
          <w:rFonts w:hint="eastAsia" w:ascii="仿宋_GB2312" w:eastAsia="仿宋_GB2312"/>
          <w:color w:val="auto"/>
          <w:sz w:val="24"/>
        </w:rPr>
      </w:pPr>
      <w:r>
        <w:rPr>
          <w:rFonts w:hint="eastAsia" w:ascii="仿宋_GB2312" w:eastAsia="仿宋_GB2312"/>
          <w:color w:val="auto"/>
          <w:sz w:val="24"/>
        </w:rPr>
        <w:t>1、法定代表人为企业事业单位、国家机关、社会团体的主要行政负责人。</w:t>
      </w:r>
    </w:p>
    <w:p w14:paraId="7E62836A">
      <w:pPr>
        <w:spacing w:line="380" w:lineRule="exact"/>
        <w:rPr>
          <w:rFonts w:hint="eastAsia" w:ascii="仿宋_GB2312" w:eastAsia="仿宋_GB2312"/>
          <w:color w:val="auto"/>
          <w:sz w:val="24"/>
        </w:rPr>
      </w:pPr>
      <w:r>
        <w:rPr>
          <w:rFonts w:hint="eastAsia" w:ascii="仿宋_GB2312" w:eastAsia="仿宋_GB2312"/>
          <w:color w:val="auto"/>
          <w:sz w:val="24"/>
        </w:rPr>
        <w:t xml:space="preserve">  2、内容必须填写真实、清楚、涂改无效，不得转让。</w:t>
      </w:r>
    </w:p>
    <w:p w14:paraId="486DE0A7">
      <w:pPr>
        <w:spacing w:line="380" w:lineRule="exact"/>
        <w:ind w:firstLine="240" w:firstLineChars="100"/>
        <w:rPr>
          <w:rFonts w:hint="eastAsia" w:ascii="仿宋_GB2312" w:eastAsia="仿宋_GB2312"/>
          <w:color w:val="auto"/>
          <w:sz w:val="24"/>
        </w:rPr>
      </w:pPr>
      <w:r>
        <w:rPr>
          <w:rFonts w:hint="eastAsia" w:ascii="仿宋_GB2312" w:eastAsia="仿宋_GB2312"/>
          <w:color w:val="auto"/>
          <w:sz w:val="24"/>
        </w:rPr>
        <w:t>3、将此证明书原件提交采购代理机构作为响应文件附件。</w:t>
      </w:r>
    </w:p>
    <w:p w14:paraId="4F618486">
      <w:pPr>
        <w:pStyle w:val="10"/>
        <w:spacing w:line="380" w:lineRule="exact"/>
        <w:rPr>
          <w:rFonts w:hint="eastAsia" w:ascii="仿宋_GB2312" w:eastAsia="仿宋_GB2312"/>
          <w:color w:val="auto"/>
          <w:szCs w:val="24"/>
        </w:rPr>
      </w:pPr>
      <w:r>
        <w:rPr>
          <w:rFonts w:hint="eastAsia" w:ascii="仿宋_GB2312" w:eastAsia="仿宋_GB2312"/>
          <w:color w:val="auto"/>
          <w:szCs w:val="24"/>
        </w:rPr>
        <w:t xml:space="preserve"> (为避免废标，请供应商务必提供本附件)</w:t>
      </w:r>
    </w:p>
    <w:p w14:paraId="4677EC7E">
      <w:pPr>
        <w:rPr>
          <w:rFonts w:hint="eastAsia" w:ascii="仿宋_GB2312" w:eastAsia="仿宋_GB2312"/>
          <w:color w:val="auto"/>
          <w:sz w:val="24"/>
        </w:rPr>
      </w:pPr>
    </w:p>
    <w:p w14:paraId="3788110D">
      <w:pPr>
        <w:spacing w:line="360" w:lineRule="auto"/>
        <w:rPr>
          <w:rFonts w:hint="eastAsia" w:ascii="仿宋_GB2312" w:eastAsia="仿宋_GB2312"/>
          <w:color w:val="auto"/>
          <w:sz w:val="24"/>
        </w:rPr>
      </w:pPr>
      <w:r>
        <w:rPr>
          <w:rFonts w:hint="eastAsia" w:ascii="仿宋_GB2312" w:eastAsia="仿宋_GB2312"/>
          <w:color w:val="auto"/>
          <w:sz w:val="24"/>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3DC6FD9">
                            <w:pPr>
                              <w:jc w:val="center"/>
                              <w:rPr>
                                <w:rFonts w:hAnsi="宋体"/>
                                <w:szCs w:val="21"/>
                              </w:rPr>
                            </w:pPr>
                          </w:p>
                          <w:p w14:paraId="1FFD1D5D">
                            <w:pPr>
                              <w:jc w:val="center"/>
                              <w:rPr>
                                <w:rFonts w:hAnsi="宋体"/>
                                <w:szCs w:val="21"/>
                              </w:rPr>
                            </w:pPr>
                          </w:p>
                          <w:p w14:paraId="00B500B9">
                            <w:pPr>
                              <w:jc w:val="center"/>
                              <w:rPr>
                                <w:rFonts w:hAnsi="宋体"/>
                                <w:szCs w:val="21"/>
                              </w:rPr>
                            </w:pPr>
                          </w:p>
                          <w:p w14:paraId="5C582082">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3360;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33DC6FD9">
                      <w:pPr>
                        <w:jc w:val="center"/>
                        <w:rPr>
                          <w:rFonts w:hAnsi="宋体"/>
                          <w:szCs w:val="21"/>
                        </w:rPr>
                      </w:pPr>
                    </w:p>
                    <w:p w14:paraId="1FFD1D5D">
                      <w:pPr>
                        <w:jc w:val="center"/>
                        <w:rPr>
                          <w:rFonts w:hAnsi="宋体"/>
                          <w:szCs w:val="21"/>
                        </w:rPr>
                      </w:pPr>
                    </w:p>
                    <w:p w14:paraId="00B500B9">
                      <w:pPr>
                        <w:jc w:val="center"/>
                        <w:rPr>
                          <w:rFonts w:hAnsi="宋体"/>
                          <w:szCs w:val="21"/>
                        </w:rPr>
                      </w:pPr>
                    </w:p>
                    <w:p w14:paraId="5C582082">
                      <w:pPr>
                        <w:jc w:val="center"/>
                        <w:rPr>
                          <w:szCs w:val="21"/>
                        </w:rPr>
                      </w:pPr>
                      <w:r>
                        <w:rPr>
                          <w:rFonts w:hint="eastAsia" w:hAnsi="宋体"/>
                          <w:szCs w:val="21"/>
                        </w:rPr>
                        <w:t>法定代表人身份证复印件</w:t>
                      </w:r>
                    </w:p>
                  </w:txbxContent>
                </v:textbox>
              </v:shape>
            </w:pict>
          </mc:Fallback>
        </mc:AlternateContent>
      </w:r>
      <w:r>
        <w:rPr>
          <w:rFonts w:hint="eastAsia" w:ascii="仿宋_GB2312" w:eastAsia="仿宋_GB2312"/>
          <w:color w:val="auto"/>
          <w:sz w:val="24"/>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9FCDD85">
                            <w:pPr>
                              <w:jc w:val="center"/>
                              <w:rPr>
                                <w:rFonts w:hAnsi="宋体"/>
                                <w:szCs w:val="21"/>
                              </w:rPr>
                            </w:pPr>
                            <w:r>
                              <w:rPr>
                                <w:rFonts w:hint="eastAsia" w:hAnsi="宋体"/>
                                <w:szCs w:val="21"/>
                              </w:rPr>
                              <w:t xml:space="preserve">  </w:t>
                            </w:r>
                          </w:p>
                          <w:p w14:paraId="103B7B85">
                            <w:pPr>
                              <w:jc w:val="center"/>
                              <w:rPr>
                                <w:rFonts w:hAnsi="宋体"/>
                                <w:szCs w:val="21"/>
                              </w:rPr>
                            </w:pPr>
                          </w:p>
                          <w:p w14:paraId="461926AB">
                            <w:pPr>
                              <w:jc w:val="center"/>
                              <w:rPr>
                                <w:rFonts w:hAnsi="宋体"/>
                                <w:szCs w:val="21"/>
                              </w:rPr>
                            </w:pPr>
                          </w:p>
                          <w:p w14:paraId="46F9376D">
                            <w:pPr>
                              <w:jc w:val="center"/>
                              <w:rPr>
                                <w:szCs w:val="21"/>
                              </w:rPr>
                            </w:pPr>
                            <w:r>
                              <w:rPr>
                                <w:rFonts w:hint="eastAsia" w:hAnsi="宋体"/>
                                <w:szCs w:val="21"/>
                              </w:rPr>
                              <w:t>法定代表人身份证复印件反面</w:t>
                            </w:r>
                          </w:p>
                          <w:p w14:paraId="69935833"/>
                          <w:p w14:paraId="25789DAC">
                            <w:pPr>
                              <w:pStyle w:val="10"/>
                            </w:pPr>
                          </w:p>
                          <w:p w14:paraId="08057566">
                            <w:pPr>
                              <w:pStyle w:val="10"/>
                            </w:pPr>
                          </w:p>
                          <w:p w14:paraId="293ACB50">
                            <w:pPr>
                              <w:pStyle w:val="10"/>
                            </w:pPr>
                          </w:p>
                          <w:p w14:paraId="7DC330BD">
                            <w:pPr>
                              <w:pStyle w:val="10"/>
                            </w:pPr>
                          </w:p>
                        </w:txbxContent>
                      </wps:txbx>
                      <wps:bodyPr wrap="square" upright="1"/>
                    </wps:wsp>
                  </a:graphicData>
                </a:graphic>
              </wp:anchor>
            </w:drawing>
          </mc:Choice>
          <mc:Fallback>
            <w:pict>
              <v:roundrect id="_x0000_s1026" o:spid="_x0000_s1026" o:spt="2" style="position:absolute;left:0pt;margin-left:229.8pt;margin-top:2.25pt;height:122.6pt;width:205.5pt;z-index:25166438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9FCDD85">
                      <w:pPr>
                        <w:jc w:val="center"/>
                        <w:rPr>
                          <w:rFonts w:hAnsi="宋体"/>
                          <w:szCs w:val="21"/>
                        </w:rPr>
                      </w:pPr>
                      <w:r>
                        <w:rPr>
                          <w:rFonts w:hint="eastAsia" w:hAnsi="宋体"/>
                          <w:szCs w:val="21"/>
                        </w:rPr>
                        <w:t xml:space="preserve">  </w:t>
                      </w:r>
                    </w:p>
                    <w:p w14:paraId="103B7B85">
                      <w:pPr>
                        <w:jc w:val="center"/>
                        <w:rPr>
                          <w:rFonts w:hAnsi="宋体"/>
                          <w:szCs w:val="21"/>
                        </w:rPr>
                      </w:pPr>
                    </w:p>
                    <w:p w14:paraId="461926AB">
                      <w:pPr>
                        <w:jc w:val="center"/>
                        <w:rPr>
                          <w:rFonts w:hAnsi="宋体"/>
                          <w:szCs w:val="21"/>
                        </w:rPr>
                      </w:pPr>
                    </w:p>
                    <w:p w14:paraId="46F9376D">
                      <w:pPr>
                        <w:jc w:val="center"/>
                        <w:rPr>
                          <w:szCs w:val="21"/>
                        </w:rPr>
                      </w:pPr>
                      <w:r>
                        <w:rPr>
                          <w:rFonts w:hint="eastAsia" w:hAnsi="宋体"/>
                          <w:szCs w:val="21"/>
                        </w:rPr>
                        <w:t>法定代表人身份证复印件反面</w:t>
                      </w:r>
                    </w:p>
                    <w:p w14:paraId="69935833"/>
                    <w:p w14:paraId="25789DAC">
                      <w:pPr>
                        <w:pStyle w:val="10"/>
                      </w:pPr>
                    </w:p>
                    <w:p w14:paraId="08057566">
                      <w:pPr>
                        <w:pStyle w:val="10"/>
                      </w:pPr>
                    </w:p>
                    <w:p w14:paraId="293ACB50">
                      <w:pPr>
                        <w:pStyle w:val="10"/>
                      </w:pPr>
                    </w:p>
                    <w:p w14:paraId="7DC330BD">
                      <w:pPr>
                        <w:pStyle w:val="10"/>
                      </w:pPr>
                    </w:p>
                  </w:txbxContent>
                </v:textbox>
              </v:roundrect>
            </w:pict>
          </mc:Fallback>
        </mc:AlternateContent>
      </w:r>
    </w:p>
    <w:p w14:paraId="7D08AA05">
      <w:pPr>
        <w:spacing w:line="360" w:lineRule="auto"/>
        <w:rPr>
          <w:rFonts w:hint="eastAsia" w:ascii="仿宋_GB2312" w:eastAsia="仿宋_GB2312"/>
          <w:color w:val="auto"/>
          <w:sz w:val="24"/>
        </w:rPr>
      </w:pPr>
    </w:p>
    <w:p w14:paraId="6A50F31B">
      <w:pPr>
        <w:spacing w:line="360" w:lineRule="auto"/>
        <w:rPr>
          <w:rFonts w:hint="eastAsia" w:ascii="仿宋_GB2312" w:eastAsia="仿宋_GB2312"/>
          <w:color w:val="auto"/>
          <w:sz w:val="24"/>
        </w:rPr>
      </w:pPr>
    </w:p>
    <w:p w14:paraId="3494BCE4">
      <w:pPr>
        <w:autoSpaceDE w:val="0"/>
        <w:autoSpaceDN w:val="0"/>
        <w:adjustRightInd w:val="0"/>
        <w:spacing w:line="360" w:lineRule="auto"/>
        <w:ind w:right="246"/>
        <w:rPr>
          <w:rFonts w:hint="eastAsia" w:ascii="仿宋_GB2312" w:eastAsia="仿宋_GB2312"/>
          <w:color w:val="auto"/>
          <w:kern w:val="0"/>
          <w:sz w:val="24"/>
        </w:rPr>
      </w:pPr>
    </w:p>
    <w:p w14:paraId="1DA5CCBA">
      <w:pPr>
        <w:pStyle w:val="2"/>
        <w:ind w:firstLine="480"/>
        <w:rPr>
          <w:rFonts w:hint="eastAsia"/>
          <w:color w:val="auto"/>
        </w:rPr>
      </w:pPr>
    </w:p>
    <w:p w14:paraId="593AE965">
      <w:pPr>
        <w:pStyle w:val="4"/>
        <w:ind w:firstLine="240"/>
        <w:rPr>
          <w:rFonts w:hint="eastAsia"/>
          <w:color w:val="auto"/>
        </w:rPr>
      </w:pPr>
    </w:p>
    <w:p w14:paraId="14CF3E52">
      <w:pPr>
        <w:rPr>
          <w:color w:val="auto"/>
        </w:rPr>
      </w:pPr>
    </w:p>
    <w:p w14:paraId="4B01E3C7">
      <w:pPr>
        <w:autoSpaceDE w:val="0"/>
        <w:autoSpaceDN w:val="0"/>
        <w:adjustRightInd w:val="0"/>
        <w:spacing w:line="360" w:lineRule="auto"/>
        <w:ind w:right="246" w:firstLine="784" w:firstLineChars="327"/>
        <w:rPr>
          <w:rFonts w:hint="eastAsia" w:ascii="仿宋_GB2312" w:eastAsia="仿宋_GB2312"/>
          <w:color w:val="auto"/>
          <w:sz w:val="24"/>
        </w:rPr>
      </w:pPr>
      <w:r>
        <w:rPr>
          <w:rFonts w:hint="eastAsia" w:ascii="仿宋_GB2312" w:eastAsia="仿宋_GB2312"/>
          <w:color w:val="auto"/>
          <w:kern w:val="0"/>
          <w:sz w:val="24"/>
        </w:rPr>
        <w:t>供应商（公章）：</w:t>
      </w:r>
      <w:r>
        <w:rPr>
          <w:rFonts w:hint="eastAsia" w:ascii="仿宋_GB2312" w:eastAsia="仿宋_GB2312"/>
          <w:color w:val="auto"/>
          <w:kern w:val="0"/>
          <w:sz w:val="24"/>
          <w:u w:val="single"/>
        </w:rPr>
        <w:t xml:space="preserve">                             </w:t>
      </w:r>
      <w:r>
        <w:rPr>
          <w:rFonts w:hint="eastAsia" w:ascii="仿宋_GB2312" w:eastAsia="仿宋_GB2312"/>
          <w:color w:val="auto"/>
          <w:kern w:val="0"/>
          <w:sz w:val="24"/>
        </w:rPr>
        <w:t xml:space="preserve"> </w:t>
      </w:r>
    </w:p>
    <w:p w14:paraId="1A1ACE03">
      <w:pPr>
        <w:adjustRightInd w:val="0"/>
        <w:snapToGrid w:val="0"/>
        <w:spacing w:line="360" w:lineRule="auto"/>
        <w:ind w:firstLine="784" w:firstLineChars="327"/>
        <w:rPr>
          <w:rFonts w:hint="eastAsia" w:ascii="仿宋_GB2312" w:eastAsia="仿宋_GB2312"/>
          <w:color w:val="auto"/>
          <w:sz w:val="24"/>
        </w:rPr>
      </w:pPr>
      <w:r>
        <w:rPr>
          <w:rFonts w:hint="eastAsia" w:ascii="仿宋_GB2312" w:eastAsia="仿宋_GB2312"/>
          <w:color w:val="auto"/>
          <w:kern w:val="0"/>
          <w:sz w:val="24"/>
        </w:rPr>
        <w:t>法定代表人（签字或盖章）：</w:t>
      </w:r>
      <w:r>
        <w:rPr>
          <w:rFonts w:hint="eastAsia" w:ascii="仿宋_GB2312" w:eastAsia="仿宋_GB2312"/>
          <w:color w:val="auto"/>
          <w:sz w:val="24"/>
          <w:u w:val="single"/>
        </w:rPr>
        <w:t xml:space="preserve">                    </w:t>
      </w:r>
    </w:p>
    <w:p w14:paraId="12B94EA8">
      <w:pPr>
        <w:adjustRightInd w:val="0"/>
        <w:snapToGrid w:val="0"/>
        <w:spacing w:line="360" w:lineRule="auto"/>
        <w:ind w:firstLine="784" w:firstLineChars="327"/>
        <w:rPr>
          <w:rFonts w:hint="eastAsia" w:ascii="仿宋_GB2312" w:eastAsia="仿宋_GB2312"/>
          <w:color w:val="auto"/>
          <w:sz w:val="24"/>
        </w:rPr>
      </w:pPr>
      <w:r>
        <w:rPr>
          <w:rFonts w:hint="eastAsia" w:ascii="仿宋_GB2312" w:eastAsia="仿宋_GB2312"/>
          <w:color w:val="auto"/>
          <w:sz w:val="24"/>
        </w:rPr>
        <w:t>日期：</w:t>
      </w:r>
      <w:r>
        <w:rPr>
          <w:rFonts w:hint="eastAsia" w:ascii="仿宋_GB2312" w:eastAsia="仿宋_GB2312"/>
          <w:color w:val="auto"/>
          <w:sz w:val="24"/>
          <w:u w:val="single"/>
        </w:rPr>
        <w:t xml:space="preserve">                                       </w:t>
      </w:r>
    </w:p>
    <w:p w14:paraId="3F7FE59F">
      <w:pPr>
        <w:spacing w:line="360" w:lineRule="auto"/>
        <w:jc w:val="center"/>
        <w:rPr>
          <w:rFonts w:hint="eastAsia" w:eastAsia="方正仿宋简体"/>
          <w:b/>
          <w:bCs/>
          <w:color w:val="auto"/>
          <w:sz w:val="24"/>
        </w:rPr>
      </w:pPr>
    </w:p>
    <w:p w14:paraId="256BD7D6">
      <w:pPr>
        <w:pStyle w:val="2"/>
        <w:ind w:firstLine="480"/>
        <w:rPr>
          <w:rFonts w:hint="eastAsia"/>
          <w:color w:val="auto"/>
        </w:rPr>
      </w:pPr>
    </w:p>
    <w:p w14:paraId="28318506">
      <w:pPr>
        <w:pStyle w:val="4"/>
        <w:ind w:firstLine="240"/>
        <w:rPr>
          <w:rFonts w:hint="eastAsia"/>
          <w:color w:val="auto"/>
        </w:rPr>
      </w:pPr>
    </w:p>
    <w:p w14:paraId="2189DCC8">
      <w:pPr>
        <w:rPr>
          <w:rFonts w:hint="eastAsia"/>
          <w:color w:val="auto"/>
        </w:rPr>
      </w:pPr>
    </w:p>
    <w:p w14:paraId="1F57094C">
      <w:pPr>
        <w:spacing w:line="360" w:lineRule="auto"/>
        <w:jc w:val="center"/>
        <w:rPr>
          <w:rFonts w:hint="eastAsia" w:ascii="仿宋_GB2312" w:eastAsia="仿宋_GB2312"/>
          <w:b/>
          <w:bCs/>
          <w:color w:val="auto"/>
          <w:sz w:val="28"/>
          <w:szCs w:val="28"/>
          <w:u w:val="single"/>
        </w:rPr>
      </w:pPr>
      <w:r>
        <w:rPr>
          <w:rFonts w:hint="eastAsia" w:ascii="仿宋_GB2312" w:eastAsia="仿宋_GB2312"/>
          <w:b/>
          <w:bCs/>
          <w:color w:val="auto"/>
          <w:sz w:val="28"/>
          <w:szCs w:val="28"/>
        </w:rPr>
        <w:t>法定代表人授权委托书</w:t>
      </w:r>
    </w:p>
    <w:p w14:paraId="5B3E4327">
      <w:pPr>
        <w:pStyle w:val="19"/>
        <w:tabs>
          <w:tab w:val="left" w:pos="5580"/>
        </w:tabs>
        <w:spacing w:line="360" w:lineRule="exact"/>
        <w:rPr>
          <w:rFonts w:hint="eastAsia" w:ascii="仿宋_GB2312" w:hAnsi="Times New Roman" w:eastAsia="仿宋_GB2312"/>
          <w:color w:val="auto"/>
          <w:sz w:val="24"/>
          <w:szCs w:val="24"/>
        </w:rPr>
      </w:pPr>
      <w:r>
        <w:rPr>
          <w:rFonts w:hint="eastAsia" w:ascii="仿宋_GB2312" w:hAnsi="Times New Roman" w:eastAsia="仿宋_GB2312"/>
          <w:color w:val="auto"/>
          <w:sz w:val="28"/>
          <w:szCs w:val="28"/>
        </w:rPr>
        <w:t xml:space="preserve">   </w:t>
      </w:r>
      <w:r>
        <w:rPr>
          <w:rFonts w:hint="eastAsia" w:ascii="仿宋_GB2312" w:hAnsi="Times New Roman" w:eastAsia="仿宋_GB2312"/>
          <w:color w:val="auto"/>
          <w:sz w:val="24"/>
          <w:szCs w:val="24"/>
        </w:rPr>
        <w:t xml:space="preserve"> 本授权书声明：注册于</w:t>
      </w:r>
      <w:r>
        <w:rPr>
          <w:rFonts w:hint="eastAsia" w:ascii="仿宋_GB2312" w:hAnsi="Times New Roman" w:eastAsia="仿宋_GB2312"/>
          <w:color w:val="auto"/>
          <w:sz w:val="24"/>
          <w:szCs w:val="24"/>
          <w:u w:val="single"/>
        </w:rPr>
        <w:t>（国家或地区的名称）</w:t>
      </w:r>
      <w:r>
        <w:rPr>
          <w:rFonts w:hint="eastAsia" w:ascii="仿宋_GB2312" w:hAnsi="Times New Roman" w:eastAsia="仿宋_GB2312"/>
          <w:color w:val="auto"/>
          <w:sz w:val="24"/>
          <w:szCs w:val="24"/>
        </w:rPr>
        <w:t>的（</w:t>
      </w:r>
      <w:r>
        <w:rPr>
          <w:rFonts w:hint="eastAsia" w:ascii="仿宋_GB2312" w:hAnsi="Times New Roman" w:eastAsia="仿宋_GB2312"/>
          <w:i/>
          <w:color w:val="auto"/>
          <w:sz w:val="24"/>
          <w:szCs w:val="24"/>
          <w:u w:val="single"/>
        </w:rPr>
        <w:t>供应商</w:t>
      </w:r>
      <w:r>
        <w:rPr>
          <w:rFonts w:hint="eastAsia" w:ascii="仿宋_GB2312" w:hAnsi="Times New Roman" w:eastAsia="仿宋_GB2312"/>
          <w:color w:val="auto"/>
          <w:sz w:val="24"/>
          <w:szCs w:val="24"/>
        </w:rPr>
        <w:t>）的在下面签字的（</w:t>
      </w:r>
      <w:r>
        <w:rPr>
          <w:rFonts w:hint="eastAsia" w:ascii="仿宋_GB2312" w:hAnsi="Times New Roman" w:eastAsia="仿宋_GB2312"/>
          <w:i/>
          <w:color w:val="auto"/>
          <w:sz w:val="24"/>
          <w:szCs w:val="24"/>
          <w:u w:val="single"/>
        </w:rPr>
        <w:t>法人代表姓名、职务</w:t>
      </w:r>
      <w:r>
        <w:rPr>
          <w:rFonts w:hint="eastAsia" w:ascii="仿宋_GB2312" w:hAnsi="Times New Roman" w:eastAsia="仿宋_GB2312"/>
          <w:color w:val="auto"/>
          <w:sz w:val="24"/>
          <w:szCs w:val="24"/>
        </w:rPr>
        <w:t>）代表我单位授权（</w:t>
      </w:r>
      <w:r>
        <w:rPr>
          <w:rFonts w:hint="eastAsia" w:ascii="仿宋_GB2312" w:hAnsi="Times New Roman" w:eastAsia="仿宋_GB2312"/>
          <w:i/>
          <w:color w:val="auto"/>
          <w:sz w:val="24"/>
          <w:szCs w:val="24"/>
          <w:u w:val="single"/>
        </w:rPr>
        <w:t>单位名称</w:t>
      </w:r>
      <w:r>
        <w:rPr>
          <w:rFonts w:hint="eastAsia" w:ascii="仿宋_GB2312" w:hAnsi="Times New Roman" w:eastAsia="仿宋_GB2312"/>
          <w:color w:val="auto"/>
          <w:sz w:val="24"/>
          <w:szCs w:val="24"/>
        </w:rPr>
        <w:t>）的在下面签字的（</w:t>
      </w:r>
      <w:r>
        <w:rPr>
          <w:rFonts w:hint="eastAsia" w:ascii="仿宋_GB2312" w:hAnsi="Times New Roman" w:eastAsia="仿宋_GB2312"/>
          <w:i/>
          <w:color w:val="auto"/>
          <w:sz w:val="24"/>
          <w:szCs w:val="24"/>
          <w:u w:val="single"/>
        </w:rPr>
        <w:t>被授权人的姓名、职务</w:t>
      </w:r>
      <w:r>
        <w:rPr>
          <w:rFonts w:hint="eastAsia" w:ascii="仿宋_GB2312" w:hAnsi="Times New Roman" w:eastAsia="仿宋_GB2312"/>
          <w:color w:val="auto"/>
          <w:sz w:val="24"/>
          <w:szCs w:val="24"/>
        </w:rPr>
        <w:t>）为我单位的合法代理人，就（</w:t>
      </w:r>
      <w:r>
        <w:rPr>
          <w:rFonts w:hint="eastAsia" w:ascii="仿宋_GB2312" w:hAnsi="Times New Roman" w:eastAsia="仿宋_GB2312"/>
          <w:i/>
          <w:color w:val="auto"/>
          <w:sz w:val="24"/>
          <w:szCs w:val="24"/>
          <w:u w:val="single"/>
        </w:rPr>
        <w:t>项目名称、编号）的</w:t>
      </w:r>
      <w:r>
        <w:rPr>
          <w:rFonts w:hint="eastAsia" w:ascii="仿宋_GB2312" w:hAnsi="Times New Roman" w:eastAsia="仿宋_GB2312"/>
          <w:color w:val="auto"/>
          <w:sz w:val="24"/>
          <w:szCs w:val="24"/>
        </w:rPr>
        <w:t>投标，以我单位名义处理一切与之有关的事务。</w:t>
      </w:r>
      <w:r>
        <w:rPr>
          <w:rFonts w:hint="eastAsia" w:ascii="仿宋_GB2312" w:hAnsi="Times New Roman" w:eastAsia="仿宋_GB2312"/>
          <w:color w:val="auto"/>
          <w:sz w:val="24"/>
          <w:szCs w:val="24"/>
        </w:rPr>
        <w:cr/>
      </w:r>
      <w:r>
        <w:rPr>
          <w:rFonts w:hint="eastAsia" w:ascii="仿宋_GB2312" w:hAnsi="Times New Roman" w:eastAsia="仿宋_GB2312"/>
          <w:color w:val="auto"/>
          <w:sz w:val="24"/>
          <w:szCs w:val="24"/>
        </w:rPr>
        <w:t>　　</w:t>
      </w:r>
    </w:p>
    <w:p w14:paraId="607FE9C6">
      <w:pPr>
        <w:pStyle w:val="19"/>
        <w:tabs>
          <w:tab w:val="left" w:pos="5580"/>
        </w:tabs>
        <w:spacing w:line="360" w:lineRule="exact"/>
        <w:ind w:left="-539" w:leftChars="-257" w:firstLine="900" w:firstLineChars="375"/>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本授权书于</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年</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月</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日签字生效,特此声明。</w:t>
      </w:r>
    </w:p>
    <w:p w14:paraId="141CDA26">
      <w:pPr>
        <w:pStyle w:val="19"/>
        <w:tabs>
          <w:tab w:val="left" w:pos="5580"/>
        </w:tabs>
        <w:spacing w:line="240" w:lineRule="atLeast"/>
        <w:ind w:left="-539" w:leftChars="-257" w:firstLine="900" w:firstLineChars="375"/>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圆角矩形 2"/>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092F450">
                            <w:pPr>
                              <w:rPr>
                                <w:rFonts w:hAnsi="宋体"/>
                              </w:rPr>
                            </w:pPr>
                          </w:p>
                          <w:p w14:paraId="0C5DC051">
                            <w:pPr>
                              <w:rPr>
                                <w:rFonts w:hAnsi="宋体"/>
                              </w:rPr>
                            </w:pPr>
                          </w:p>
                          <w:p w14:paraId="451B247B">
                            <w:pPr>
                              <w:rPr>
                                <w:rFonts w:hAnsi="宋体"/>
                              </w:rPr>
                            </w:pPr>
                          </w:p>
                          <w:p w14:paraId="40D5E996">
                            <w:r>
                              <w:rPr>
                                <w:rFonts w:hint="eastAsia" w:hAnsi="宋体"/>
                              </w:rPr>
                              <w:t>授权委托人身份证复印件反面</w:t>
                            </w:r>
                          </w:p>
                          <w:p w14:paraId="4DC14C0F"/>
                        </w:txbxContent>
                      </wps:txbx>
                      <wps:bodyPr wrap="square" upright="1"/>
                    </wps:wsp>
                  </a:graphicData>
                </a:graphic>
              </wp:anchor>
            </w:drawing>
          </mc:Choice>
          <mc:Fallback>
            <w:pict>
              <v:roundrect id="_x0000_s1026" o:spid="_x0000_s1026" o:spt="2" style="position:absolute;left:0pt;margin-left:239.3pt;margin-top:13.2pt;height:76.3pt;width:195.15pt;z-index:25166643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272BIjUCAABzBAAADgAAAGRycy9lMm9Eb2MueG1s&#10;rVRLjhMxEN0jcQfLe9KdaCbJtNKZBSFsEIwYOIDjT7eRf9hOunMBDsAaCYnNiENwnBEcg7LTZD6w&#10;yIJuqVO2q57rvarK4rLXCu24D9KaGo9HJUbcUMukaWr8/t362RyjEIlhRFnDa7znAV8unz5ZdK7i&#10;E9taxbhHAGJC1bkatzG6qigCbbkmYWQdN3AorNckwtI3BfOkA3StiklZTovOeua8pTwE2F0dDvGA&#10;6E8BtEJIyleWbjU38YDquSIRKIVWuoCXOVshOI1vhAg8IlVjYBrzFy4Be5O+xXJBqsYT10o6pEBO&#10;SeERJ02kgUuPUCsSCdp6+ReUltTbYEUcUauLA5GsCLAYl4+0uW6J45kLSB3cUfTw/2Dp692VR5LV&#10;eIKRIRoKfvvl06+bzz+/fr/98Q1NkkKdCxU4XrsrP6wCmIluL7xOv0AE9VnV/VFV3kdEYXNyNpuf&#10;lecYUTi7mF4AzwRa3EU7H+JLbjVKRo293Rr2FkqXFSW7VyFmadmQIGEfMBJaQaF2RKHxdDqdDYiD&#10;M2D/wUyRwSrJ1lKpvPDN5rnyCEJrvM7PEPzATRnUwXicz2cpcwKNLqDBwNQOxAqmyck9CAn3kedl&#10;ev+FnDJbkdAeMsgIyY1ULSfshWEo7h2UwcD04ZSD5gwjxWFYk5U9I5HqFE/QQZkEzfMogJBJ+FTO&#10;QwGTFftND7vJ3Fi2h27oYByA4sct8ZDB1nnZtFCWcSaT/KAXc/2GuUnNfn+dr7j7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Fn7jbAAAACgEAAA8AAAAAAAAAAQAgAAAAIgAAAGRycy9kb3du&#10;cmV2LnhtbFBLAQIUABQAAAAIAIdO4kDbvYEiNQIAAHMEAAAOAAAAAAAAAAEAIAAAACoBAABkcnMv&#10;ZTJvRG9jLnhtbFBLBQYAAAAABgAGAFkBAADRBQAAAAA=&#10;">
                <v:fill on="t" focussize="0,0"/>
                <v:stroke weight="1.25pt" color="#808080" joinstyle="round"/>
                <v:imagedata o:title=""/>
                <o:lock v:ext="edit" aspectratio="f"/>
                <v:textbox>
                  <w:txbxContent>
                    <w:p w14:paraId="3092F450">
                      <w:pPr>
                        <w:rPr>
                          <w:rFonts w:hAnsi="宋体"/>
                        </w:rPr>
                      </w:pPr>
                    </w:p>
                    <w:p w14:paraId="0C5DC051">
                      <w:pPr>
                        <w:rPr>
                          <w:rFonts w:hAnsi="宋体"/>
                        </w:rPr>
                      </w:pPr>
                    </w:p>
                    <w:p w14:paraId="451B247B">
                      <w:pPr>
                        <w:rPr>
                          <w:rFonts w:hAnsi="宋体"/>
                        </w:rPr>
                      </w:pPr>
                    </w:p>
                    <w:p w14:paraId="40D5E996">
                      <w:r>
                        <w:rPr>
                          <w:rFonts w:hint="eastAsia" w:hAnsi="宋体"/>
                        </w:rPr>
                        <w:t>授权委托人身份证复印件反面</w:t>
                      </w:r>
                    </w:p>
                    <w:p w14:paraId="4DC14C0F"/>
                  </w:txbxContent>
                </v:textbox>
              </v:roundrect>
            </w:pict>
          </mc:Fallback>
        </mc:AlternateContent>
      </w:r>
      <w:r>
        <w:rPr>
          <w:rFonts w:hint="eastAsia" w:ascii="仿宋_GB2312" w:hAnsi="Times New Roman" w:eastAsia="仿宋_GB2312"/>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317750" cy="998855"/>
                <wp:effectExtent l="4445" t="5080" r="20955" b="5715"/>
                <wp:wrapNone/>
                <wp:docPr id="1" name="流程图: 可选过程 1"/>
                <wp:cNvGraphicFramePr/>
                <a:graphic xmlns:a="http://schemas.openxmlformats.org/drawingml/2006/main">
                  <a:graphicData uri="http://schemas.microsoft.com/office/word/2010/wordprocessingShape">
                    <wps:wsp>
                      <wps:cNvSpPr/>
                      <wps:spPr>
                        <a:xfrm>
                          <a:off x="0" y="0"/>
                          <a:ext cx="2317750" cy="9988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7C9ED7">
                            <w:pPr>
                              <w:jc w:val="center"/>
                              <w:rPr>
                                <w:rFonts w:hAnsi="宋体"/>
                              </w:rPr>
                            </w:pPr>
                          </w:p>
                          <w:p w14:paraId="01DAF07F">
                            <w:pPr>
                              <w:jc w:val="center"/>
                              <w:rPr>
                                <w:rFonts w:hAnsi="宋体"/>
                              </w:rPr>
                            </w:pPr>
                          </w:p>
                          <w:p w14:paraId="5CE0B3CD">
                            <w:pPr>
                              <w:jc w:val="center"/>
                              <w:rPr>
                                <w:rFonts w:hAnsi="宋体"/>
                              </w:rPr>
                            </w:pPr>
                          </w:p>
                          <w:p w14:paraId="0C2A0DCE">
                            <w:pPr>
                              <w:jc w:val="center"/>
                            </w:pPr>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1.65pt;margin-top:10.7pt;height:78.65pt;width:182.5pt;z-index:251665408;mso-width-relative:page;mso-height-relative:page;" fillcolor="#FFFFFF" filled="t" stroked="t" coordsize="21600,21600" o:gfxdata="UEsDBAoAAAAAAIdO4kAAAAAAAAAAAAAAAAAEAAAAZHJzL1BLAwQUAAAACACHTuJA+Rimt9UAAAAI&#10;AQAADwAAAGRycy9kb3ducmV2LnhtbE2PwU6EMBCG7ya+QzMm3tzCYgCRsjEaPXkRN/Fa6AhEOiW0&#10;sOjTO57c48z/5Z9vysNmR7Hi7AdHCuJdBAKpdWagTsHx/fkmB+GDJqNHR6jgGz0cqsuLUhfGnegN&#10;1zp0gkvIF1pBH8JUSOnbHq32OzchcfbpZqsDj3MnzaxPXG5HuY+iVFo9EF/o9YSPPbZf9WIVbK8/&#10;zd3yErd16PM0+0jWp4ejVOr6Ko7uQQTcwj8Mf/qsDhU7NW4h48WoIEkYVLCPb0FwnKQ5LxrmsjwD&#10;WZXy/IHqF1BLAwQUAAAACACHTuJAyfOcsDYCAABrBAAADgAAAGRycy9lMm9Eb2MueG1srVTNjtMw&#10;EL4j8Q6W7zRtUdlu1HSFtpQLgkoLDzB1nMSS/7Ddpr3BCSEOPAAvwI0TV3ia5ectGDuhdBcOPZBD&#10;MrZnvpnvm3FmFzslyZY7L4wu6GgwpIRrZkqh64K+eL68N6XEB9AlSKN5Qffc04v53Tuz1uZ8bBoj&#10;S+4Igmift7agTQg2zzLPGq7AD4zlGg8r4xQEXLo6Kx20iK5kNh4OH2StcaV1hnHvcXfRHdIe0Z0C&#10;aKpKML4wbKO4Dh2q4xICUvKNsJ7OU7VVxVl4VlWeByILikxDemMStNfxnc1nkNcObCNYXwKcUsIt&#10;TgqExqQHqAUEIBsn/oJSgjnjTRUGzKisI5IUQRaj4S1trhqwPHFBqb09iO7/Hyx7ul05IkqcBEo0&#10;KGz4t8+vv398d/3hS06u33/6+ertj69vcIOMolit9TnGXNmV61cezch8VzkVv8iJ7JLA+4PAfBcI&#10;w83x/dHZ2QS1Z3h2fj6dTiYRNPsTbZ0Pj7lRJBoFraRpLxtw4aEM3GkIfNVNThIbtk986OJ/x8UK&#10;vJGiXAop08LV60vpyBZwApbp6VPecJOatFjSZDzB4gDHusJxQlNZlMbrOuW7EeGPgYfp+RdwLGwB&#10;vukKSAjRDXIlkFGyGg7lI12SsLcov8ZbR2MxipeUSI6XNFrJM4CQp3iioFLHJDxdgV6l2LuuW9EK&#10;u/UOQaO5NuUep6DFa4BkX27AYQUb60TdYA9S37PohzOYmtXflzjkx2u0j/8R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Ka31QAAAAgBAAAPAAAAAAAAAAEAIAAAACIAAABkcnMvZG93bnJldi54&#10;bWxQSwECFAAUAAAACACHTuJAyfOcsDYCAABrBAAADgAAAAAAAAABACAAAAAkAQAAZHJzL2Uyb0Rv&#10;Yy54bWxQSwUGAAAAAAYABgBZAQAAzAUAAAAA&#10;">
                <v:fill on="t" focussize="0,0"/>
                <v:stroke color="#000000" joinstyle="miter"/>
                <v:imagedata o:title=""/>
                <o:lock v:ext="edit" aspectratio="f"/>
                <v:textbox>
                  <w:txbxContent>
                    <w:p w14:paraId="047C9ED7">
                      <w:pPr>
                        <w:jc w:val="center"/>
                        <w:rPr>
                          <w:rFonts w:hAnsi="宋体"/>
                        </w:rPr>
                      </w:pPr>
                    </w:p>
                    <w:p w14:paraId="01DAF07F">
                      <w:pPr>
                        <w:jc w:val="center"/>
                        <w:rPr>
                          <w:rFonts w:hAnsi="宋体"/>
                        </w:rPr>
                      </w:pPr>
                    </w:p>
                    <w:p w14:paraId="5CE0B3CD">
                      <w:pPr>
                        <w:jc w:val="center"/>
                        <w:rPr>
                          <w:rFonts w:hAnsi="宋体"/>
                        </w:rPr>
                      </w:pPr>
                    </w:p>
                    <w:p w14:paraId="0C2A0DCE">
                      <w:pPr>
                        <w:jc w:val="center"/>
                      </w:pPr>
                      <w:r>
                        <w:rPr>
                          <w:rFonts w:hint="eastAsia" w:hAnsi="宋体"/>
                        </w:rPr>
                        <w:t>授权委托人身份证复印件正面</w:t>
                      </w:r>
                    </w:p>
                  </w:txbxContent>
                </v:textbox>
              </v:shape>
            </w:pict>
          </mc:Fallback>
        </mc:AlternateContent>
      </w:r>
    </w:p>
    <w:p w14:paraId="2960D02A">
      <w:pPr>
        <w:spacing w:line="360" w:lineRule="auto"/>
        <w:ind w:firstLine="240" w:firstLineChars="100"/>
        <w:rPr>
          <w:rFonts w:hint="eastAsia" w:ascii="仿宋_GB2312" w:eastAsia="仿宋_GB2312"/>
          <w:color w:val="auto"/>
          <w:sz w:val="24"/>
        </w:rPr>
      </w:pPr>
    </w:p>
    <w:p w14:paraId="31818A76">
      <w:pPr>
        <w:spacing w:line="360" w:lineRule="auto"/>
        <w:ind w:firstLine="240" w:firstLineChars="100"/>
        <w:rPr>
          <w:rFonts w:hint="eastAsia" w:ascii="仿宋_GB2312" w:eastAsia="仿宋_GB2312"/>
          <w:color w:val="auto"/>
          <w:sz w:val="24"/>
        </w:rPr>
      </w:pPr>
    </w:p>
    <w:p w14:paraId="66066236">
      <w:pPr>
        <w:spacing w:line="360" w:lineRule="auto"/>
        <w:ind w:firstLine="240" w:firstLineChars="100"/>
        <w:rPr>
          <w:rFonts w:hint="eastAsia" w:ascii="仿宋_GB2312" w:eastAsia="仿宋_GB2312"/>
          <w:color w:val="auto"/>
          <w:sz w:val="24"/>
        </w:rPr>
      </w:pPr>
    </w:p>
    <w:p w14:paraId="7ED2E593">
      <w:pPr>
        <w:spacing w:line="360" w:lineRule="auto"/>
        <w:ind w:firstLine="240" w:firstLineChars="100"/>
        <w:rPr>
          <w:rFonts w:hint="eastAsia" w:ascii="仿宋_GB2312" w:eastAsia="仿宋_GB2312"/>
          <w:color w:val="auto"/>
          <w:sz w:val="24"/>
        </w:rPr>
      </w:pPr>
    </w:p>
    <w:p w14:paraId="01D29963">
      <w:pPr>
        <w:spacing w:line="360" w:lineRule="auto"/>
        <w:ind w:firstLine="240" w:firstLineChars="100"/>
        <w:rPr>
          <w:rFonts w:hint="eastAsia" w:ascii="仿宋_GB2312" w:eastAsia="仿宋_GB2312"/>
          <w:color w:val="auto"/>
          <w:sz w:val="24"/>
        </w:rPr>
      </w:pPr>
      <w:r>
        <w:rPr>
          <w:rFonts w:hint="eastAsia" w:ascii="仿宋_GB2312" w:eastAsia="仿宋_GB2312"/>
          <w:color w:val="auto"/>
          <w:sz w:val="24"/>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圆角矩形 4"/>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E44CA1C">
                            <w:pPr>
                              <w:jc w:val="center"/>
                              <w:rPr>
                                <w:rFonts w:hAnsi="宋体"/>
                              </w:rPr>
                            </w:pPr>
                            <w:r>
                              <w:rPr>
                                <w:rFonts w:hint="eastAsia" w:hAnsi="宋体"/>
                              </w:rPr>
                              <w:t xml:space="preserve">  </w:t>
                            </w:r>
                          </w:p>
                          <w:p w14:paraId="2F38E6BC">
                            <w:pPr>
                              <w:rPr>
                                <w:rFonts w:hAnsi="宋体"/>
                              </w:rPr>
                            </w:pPr>
                          </w:p>
                          <w:p w14:paraId="11EE02F3">
                            <w:pPr>
                              <w:jc w:val="center"/>
                            </w:pPr>
                            <w:r>
                              <w:rPr>
                                <w:rFonts w:hint="eastAsia" w:hAnsi="宋体"/>
                              </w:rPr>
                              <w:t>法人身份证复印件反面</w:t>
                            </w:r>
                          </w:p>
                          <w:p w14:paraId="7886AF3E"/>
                        </w:txbxContent>
                      </wps:txbx>
                      <wps:bodyPr wrap="square" upright="1"/>
                    </wps:wsp>
                  </a:graphicData>
                </a:graphic>
              </wp:anchor>
            </w:drawing>
          </mc:Choice>
          <mc:Fallback>
            <w:pict>
              <v:roundrect id="_x0000_s1026" o:spid="_x0000_s1026" o:spt="2" style="position:absolute;left:0pt;margin-left:237.65pt;margin-top:7.6pt;height:73.65pt;width:199.65pt;z-index:25166848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IcQ6gTMCAABzBAAADgAAAGRycy9lMm9Eb2MueG1s&#10;rVRLjhMxEN0jcQfLe9JJZpIJrXRmQQgbBCMGDlCx3Wkj/7CddOcCHIA1EhIbxCE4zgiOQdlpMh9Y&#10;ZEFH6pTtqudXr6p6ftlpRXbCB2lNRUeDISXCMMul2VT03dvVkxklIYLhoKwRFd2LQC8Xjx/NW1eK&#10;sW2s4sITBDGhbF1FmxhdWRSBNUJDGFgnDB7W1muIuPSbgntoEV2rYjwcTovWeu68ZSIE3F0eDmmP&#10;6E8BtHUtmVhattXCxAOqFwoiphQa6QJdZLZ1LVh8XddBRKIqipnG/MZL0F6nd7GYQ7nx4BrJegpw&#10;CoUHOWmQBi89Qi0hAtl6+ReUlszbYOs4YFYXh0SyIpjFaPhAm+sGnMi5oNTBHUUP/w+WvdpdeSJ5&#10;Rc8pMaCx4DefP/769unnl+83P76S86RQ60KJjtfuyvergGZKt6u9Tv+YCOmyqvujqqKLhOHmeHI2&#10;wYcShmdPz9IqgRa30c6H+EJYTZJRUW+3hr/B0mVFYfcyxCwt7wkCf09JrRUWageKjKbT6UWP2Dsj&#10;9h/MFBmsknwllcoLv1k/U55gaEVX+emD77kpQ1ocj8nsIjEHbPQaGwxN7VCsYDaZ3L2QcBd5Nky/&#10;fyEnZksIzYFBRkhuUDYC+HPDSdw7LIPB6aOJgxacEiVwWJOVPSNIdYon6qBMghZ5FFDIJHwq56GA&#10;yYrdusPdZK4t32M3tDgOmOKHLXhksHVebhosyygnk/ywF3P9+rlJzX53na+4/VY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DRWe2wAAAAoBAAAPAAAAAAAAAAEAIAAAACIAAABkcnMvZG93bnJl&#10;di54bWxQSwECFAAUAAAACACHTuJAIcQ6gTMCAABzBAAADgAAAAAAAAABACAAAAAqAQAAZHJzL2Uy&#10;b0RvYy54bWxQSwUGAAAAAAYABgBZAQAAzwUAAAAA&#10;">
                <v:fill on="t" focussize="0,0"/>
                <v:stroke weight="1.25pt" color="#808080" joinstyle="round"/>
                <v:imagedata o:title=""/>
                <o:lock v:ext="edit" aspectratio="f"/>
                <v:textbox>
                  <w:txbxContent>
                    <w:p w14:paraId="2E44CA1C">
                      <w:pPr>
                        <w:jc w:val="center"/>
                        <w:rPr>
                          <w:rFonts w:hAnsi="宋体"/>
                        </w:rPr>
                      </w:pPr>
                      <w:r>
                        <w:rPr>
                          <w:rFonts w:hint="eastAsia" w:hAnsi="宋体"/>
                        </w:rPr>
                        <w:t xml:space="preserve">  </w:t>
                      </w:r>
                    </w:p>
                    <w:p w14:paraId="2F38E6BC">
                      <w:pPr>
                        <w:rPr>
                          <w:rFonts w:hAnsi="宋体"/>
                        </w:rPr>
                      </w:pPr>
                    </w:p>
                    <w:p w14:paraId="11EE02F3">
                      <w:pPr>
                        <w:jc w:val="center"/>
                      </w:pPr>
                      <w:r>
                        <w:rPr>
                          <w:rFonts w:hint="eastAsia" w:hAnsi="宋体"/>
                        </w:rPr>
                        <w:t>法人身份证复印件反面</w:t>
                      </w:r>
                    </w:p>
                    <w:p w14:paraId="7886AF3E"/>
                  </w:txbxContent>
                </v:textbox>
              </v:roundrect>
            </w:pict>
          </mc:Fallback>
        </mc:AlternateContent>
      </w:r>
      <w:r>
        <w:rPr>
          <w:rFonts w:hint="eastAsia" w:ascii="仿宋_GB2312" w:eastAsia="仿宋_GB2312"/>
          <w:color w:val="auto"/>
          <w:sz w:val="24"/>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BA65399">
                            <w:pPr>
                              <w:jc w:val="center"/>
                              <w:rPr>
                                <w:rFonts w:hAnsi="宋体"/>
                              </w:rPr>
                            </w:pPr>
                          </w:p>
                          <w:p w14:paraId="46687E6F">
                            <w:pPr>
                              <w:rPr>
                                <w:rFonts w:hAnsi="宋体"/>
                              </w:rPr>
                            </w:pPr>
                          </w:p>
                          <w:p w14:paraId="7B738275">
                            <w:pPr>
                              <w:jc w:val="center"/>
                            </w:pPr>
                            <w:r>
                              <w:rPr>
                                <w:rFonts w:hint="eastAsia" w:hAnsi="宋体"/>
                              </w:rPr>
                              <w:t>法人身份证复印件正面</w:t>
                            </w:r>
                          </w:p>
                          <w:p w14:paraId="056DFED7"/>
                        </w:txbxContent>
                      </wps:txbx>
                      <wps:bodyPr wrap="square"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7LCtjcCAAB0BAAADgAAAGRycy9lMm9Eb2MueG1srVRL&#10;jhMxEN0jcQfLe9KdzCQTWunMghA2CEYMHMDxp9vIP2wn3bkAB2CNhMQGcQiOM4JjUHaazAcWWdAt&#10;dcp21fOrV1VZXPZaoR33QVpT4/GoxIgbapk0TY3fvV0/mWMUIjGMKGt4jfc84Mvl40eLzlV8Ylur&#10;GPcIQEyoOlfjNkZXFUWgLdckjKzjBg6F9ZpEWPqmYJ50gK5VMSnLWdFZz5y3lIcAu6vDIR4Q/SmA&#10;VghJ+crSreYmHlA9VyRCSqGVLuBlZisEp/G1EIFHpGoMmcb8hUvA3qRvsVyQqvHEtZIOFMgpFB7k&#10;pIk0cOkRakUiQVsv/4LSknobrIgjanVxSCQrAlmMywfaXLfE8ZwLSB3cUfTw/2Dpq92VR5LV+Awj&#10;QzQU/Obzx1/fPv388v3mx1d0lhTqXKjA8dpd+WEVwEzp9sLr9AuJoD6ruj+qyvuIKGxOptPp5BwE&#10;p3A2Lifn86dZ9+I23PkQX3CrUTJq7O3WsDdQuywp2b0MMWvLBoaEvcdIaAWV2hGFxrPZ7CLxBMTB&#10;Gaw/mCkyWCXZWiqVF77ZPFMeQWiN1/kZgu+5KYM64DudX0yBOoFOF9BhYGoHagXTZHL3QsJd5HmZ&#10;3n8hJ2YrEtoDg4yQ3EjVcsKeG4bi3kEdDIwfThw0ZxgpDtOarOwZiVSneIIOyiRonmcBhEwypXoe&#10;Kpis2G962E3mxrI9tEMH8wApftgSDwy2zsumhbKMczLJD5oxqz0MTur2u+t8xe2f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IuywrY3AgAAdAQAAA4AAAAAAAAAAQAgAAAAJwEAAGRycy9l&#10;Mm9Eb2MueG1sUEsFBgAAAAAGAAYAWQEAANAFAAAAAA==&#10;">
                <v:fill on="t" focussize="0,0"/>
                <v:stroke weight="1.25pt" color="#808080" joinstyle="round"/>
                <v:imagedata o:title=""/>
                <o:lock v:ext="edit" aspectratio="f"/>
                <v:textbox>
                  <w:txbxContent>
                    <w:p w14:paraId="4BA65399">
                      <w:pPr>
                        <w:jc w:val="center"/>
                        <w:rPr>
                          <w:rFonts w:hAnsi="宋体"/>
                        </w:rPr>
                      </w:pPr>
                    </w:p>
                    <w:p w14:paraId="46687E6F">
                      <w:pPr>
                        <w:rPr>
                          <w:rFonts w:hAnsi="宋体"/>
                        </w:rPr>
                      </w:pPr>
                    </w:p>
                    <w:p w14:paraId="7B738275">
                      <w:pPr>
                        <w:jc w:val="center"/>
                      </w:pPr>
                      <w:r>
                        <w:rPr>
                          <w:rFonts w:hint="eastAsia" w:hAnsi="宋体"/>
                        </w:rPr>
                        <w:t>法人身份证复印件正面</w:t>
                      </w:r>
                    </w:p>
                    <w:p w14:paraId="056DFED7"/>
                  </w:txbxContent>
                </v:textbox>
              </v:roundrect>
            </w:pict>
          </mc:Fallback>
        </mc:AlternateContent>
      </w:r>
    </w:p>
    <w:p w14:paraId="2D98058D">
      <w:pPr>
        <w:spacing w:line="360" w:lineRule="auto"/>
        <w:ind w:firstLine="240" w:firstLineChars="100"/>
        <w:rPr>
          <w:rFonts w:hint="eastAsia" w:ascii="仿宋_GB2312" w:eastAsia="仿宋_GB2312"/>
          <w:color w:val="auto"/>
          <w:sz w:val="24"/>
        </w:rPr>
      </w:pPr>
    </w:p>
    <w:p w14:paraId="13C0D1BA">
      <w:pPr>
        <w:spacing w:line="360" w:lineRule="auto"/>
        <w:ind w:firstLine="240" w:firstLineChars="100"/>
        <w:rPr>
          <w:rFonts w:hint="eastAsia" w:ascii="仿宋_GB2312" w:eastAsia="仿宋_GB2312"/>
          <w:color w:val="auto"/>
          <w:sz w:val="24"/>
        </w:rPr>
      </w:pPr>
    </w:p>
    <w:p w14:paraId="4EA8E94A">
      <w:pPr>
        <w:spacing w:line="360" w:lineRule="auto"/>
        <w:ind w:firstLine="240" w:firstLineChars="100"/>
        <w:rPr>
          <w:rFonts w:hint="eastAsia" w:ascii="仿宋_GB2312" w:eastAsia="仿宋_GB2312"/>
          <w:color w:val="auto"/>
          <w:sz w:val="24"/>
        </w:rPr>
      </w:pPr>
    </w:p>
    <w:p w14:paraId="7E7FFC9A">
      <w:pPr>
        <w:pStyle w:val="19"/>
        <w:tabs>
          <w:tab w:val="left" w:pos="5580"/>
        </w:tabs>
        <w:spacing w:line="360" w:lineRule="exact"/>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供应商（公章）;</w:t>
      </w:r>
      <w:r>
        <w:rPr>
          <w:rFonts w:hint="eastAsia" w:ascii="仿宋_GB2312" w:hAnsi="Times New Roman" w:eastAsia="仿宋_GB2312"/>
          <w:color w:val="auto"/>
          <w:sz w:val="24"/>
          <w:szCs w:val="24"/>
          <w:u w:val="single"/>
        </w:rPr>
        <w:t xml:space="preserve">                                 </w:t>
      </w:r>
    </w:p>
    <w:p w14:paraId="6D0C8F4D">
      <w:pPr>
        <w:pStyle w:val="19"/>
        <w:tabs>
          <w:tab w:val="left" w:pos="5580"/>
        </w:tabs>
        <w:spacing w:line="360" w:lineRule="exact"/>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法定代表人（签字或盖章）：</w:t>
      </w:r>
      <w:r>
        <w:rPr>
          <w:rFonts w:hint="eastAsia" w:ascii="仿宋_GB2312" w:hAnsi="Times New Roman" w:eastAsia="仿宋_GB2312"/>
          <w:color w:val="auto"/>
          <w:sz w:val="24"/>
          <w:szCs w:val="24"/>
          <w:u w:val="single"/>
        </w:rPr>
        <w:t xml:space="preserve">                      </w:t>
      </w:r>
    </w:p>
    <w:p w14:paraId="41AC46AB">
      <w:pPr>
        <w:pStyle w:val="19"/>
        <w:tabs>
          <w:tab w:val="left" w:pos="5580"/>
        </w:tabs>
        <w:spacing w:line="360" w:lineRule="exact"/>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身份证号码：</w:t>
      </w:r>
      <w:r>
        <w:rPr>
          <w:rFonts w:hint="eastAsia" w:ascii="仿宋_GB2312" w:hAnsi="Times New Roman" w:eastAsia="仿宋_GB2312"/>
          <w:color w:val="auto"/>
          <w:sz w:val="24"/>
          <w:szCs w:val="24"/>
          <w:u w:val="single"/>
        </w:rPr>
        <w:t xml:space="preserve">                                    </w:t>
      </w:r>
    </w:p>
    <w:p w14:paraId="44CA568F">
      <w:pPr>
        <w:pStyle w:val="19"/>
        <w:tabs>
          <w:tab w:val="left" w:pos="5580"/>
        </w:tabs>
        <w:spacing w:line="36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委托代理人：</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 xml:space="preserve">         </w:t>
      </w:r>
    </w:p>
    <w:p w14:paraId="4F0AA969">
      <w:pPr>
        <w:pStyle w:val="19"/>
        <w:tabs>
          <w:tab w:val="left" w:pos="5580"/>
        </w:tabs>
        <w:spacing w:line="36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身份证号码：</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 xml:space="preserve"> </w:t>
      </w:r>
    </w:p>
    <w:p w14:paraId="4DBD8007">
      <w:pPr>
        <w:pStyle w:val="19"/>
        <w:tabs>
          <w:tab w:val="left" w:pos="5580"/>
        </w:tabs>
        <w:spacing w:line="36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详细通讯地址：</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 xml:space="preserve">     </w:t>
      </w:r>
    </w:p>
    <w:p w14:paraId="40DEBA53">
      <w:pPr>
        <w:pStyle w:val="19"/>
        <w:tabs>
          <w:tab w:val="left" w:pos="5580"/>
        </w:tabs>
        <w:spacing w:line="36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邮 政 编 码 ：</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 xml:space="preserve">     </w:t>
      </w:r>
    </w:p>
    <w:p w14:paraId="285E6E68">
      <w:pPr>
        <w:pStyle w:val="19"/>
        <w:tabs>
          <w:tab w:val="left" w:pos="5580"/>
        </w:tabs>
        <w:spacing w:line="36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传　　　　真：</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 xml:space="preserve">      </w:t>
      </w:r>
    </w:p>
    <w:p w14:paraId="0807C00D">
      <w:pPr>
        <w:pStyle w:val="19"/>
        <w:tabs>
          <w:tab w:val="left" w:pos="5580"/>
        </w:tabs>
        <w:spacing w:line="36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电　　　　话：</w:t>
      </w:r>
      <w:r>
        <w:rPr>
          <w:rFonts w:hint="eastAsia" w:ascii="仿宋_GB2312" w:hAnsi="Times New Roman" w:eastAsia="仿宋_GB2312"/>
          <w:color w:val="auto"/>
          <w:sz w:val="24"/>
          <w:szCs w:val="24"/>
          <w:u w:val="single"/>
        </w:rPr>
        <w:t xml:space="preserve">                                  </w:t>
      </w:r>
      <w:r>
        <w:rPr>
          <w:rFonts w:hint="eastAsia" w:ascii="仿宋_GB2312" w:hAnsi="Times New Roman" w:eastAsia="仿宋_GB2312"/>
          <w:color w:val="auto"/>
          <w:sz w:val="24"/>
          <w:szCs w:val="24"/>
        </w:rPr>
        <w:t xml:space="preserve">     </w:t>
      </w:r>
    </w:p>
    <w:p w14:paraId="27D94B53">
      <w:pPr>
        <w:pStyle w:val="19"/>
        <w:tabs>
          <w:tab w:val="left" w:pos="5580"/>
        </w:tabs>
        <w:spacing w:line="360" w:lineRule="exact"/>
        <w:rPr>
          <w:rFonts w:hint="eastAsia" w:ascii="仿宋_GB2312" w:hAnsi="Times New Roman" w:eastAsia="仿宋_GB2312"/>
          <w:color w:val="auto"/>
          <w:sz w:val="24"/>
          <w:szCs w:val="24"/>
        </w:rPr>
      </w:pPr>
    </w:p>
    <w:p w14:paraId="004A5DD8">
      <w:pPr>
        <w:pStyle w:val="19"/>
        <w:tabs>
          <w:tab w:val="left" w:pos="5580"/>
        </w:tabs>
        <w:spacing w:line="360" w:lineRule="exact"/>
        <w:ind w:firstLine="5280" w:firstLineChars="22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xml:space="preserve">年   月   日 </w:t>
      </w:r>
      <w:bookmarkEnd w:id="615"/>
      <w:bookmarkEnd w:id="616"/>
      <w:bookmarkEnd w:id="617"/>
      <w:bookmarkEnd w:id="618"/>
      <w:bookmarkEnd w:id="619"/>
      <w:bookmarkEnd w:id="620"/>
      <w:bookmarkEnd w:id="621"/>
      <w:bookmarkEnd w:id="622"/>
    </w:p>
    <w:p w14:paraId="6758C8F8">
      <w:pPr>
        <w:snapToGrid w:val="0"/>
        <w:spacing w:line="380" w:lineRule="exact"/>
        <w:ind w:firstLine="560" w:firstLineChars="200"/>
        <w:textAlignment w:val="baseline"/>
        <w:rPr>
          <w:rFonts w:hint="eastAsia" w:eastAsia="方正仿宋简体"/>
          <w:color w:val="auto"/>
          <w:sz w:val="28"/>
          <w:szCs w:val="28"/>
        </w:rPr>
      </w:pPr>
    </w:p>
    <w:p w14:paraId="7C9D6511">
      <w:pPr>
        <w:pStyle w:val="2"/>
        <w:ind w:firstLine="480"/>
        <w:rPr>
          <w:rFonts w:hint="eastAsia"/>
          <w:color w:val="auto"/>
        </w:rPr>
      </w:pPr>
    </w:p>
    <w:p w14:paraId="1971025A">
      <w:pPr>
        <w:pStyle w:val="4"/>
        <w:ind w:firstLine="240"/>
        <w:rPr>
          <w:rFonts w:hint="eastAsia"/>
          <w:color w:val="auto"/>
        </w:rPr>
      </w:pPr>
    </w:p>
    <w:p w14:paraId="35D52D4C">
      <w:pPr>
        <w:rPr>
          <w:rFonts w:hint="eastAsia"/>
          <w:color w:val="auto"/>
        </w:rPr>
      </w:pPr>
    </w:p>
    <w:p w14:paraId="649F203F">
      <w:pPr>
        <w:pStyle w:val="2"/>
        <w:ind w:firstLine="480"/>
        <w:rPr>
          <w:rFonts w:hint="eastAsia"/>
          <w:color w:val="auto"/>
        </w:rPr>
      </w:pPr>
    </w:p>
    <w:p w14:paraId="32B68420">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3）法定代表人或被委托人：由社保部门或税务局出具的投标单位缴纳的社保证明和个人缴纳的社保明细表（近半年任意1个月的社保缴费凭证及个人缴费明细）；（新成立公司提供自成立之日起至今的相关证明文件）；</w:t>
      </w:r>
    </w:p>
    <w:p w14:paraId="132A0AF2">
      <w:pPr>
        <w:snapToGrid w:val="0"/>
        <w:spacing w:line="380" w:lineRule="exact"/>
        <w:ind w:firstLine="560" w:firstLineChars="200"/>
        <w:textAlignment w:val="baseline"/>
        <w:rPr>
          <w:rFonts w:eastAsia="方正仿宋简体"/>
          <w:color w:val="auto"/>
          <w:sz w:val="28"/>
          <w:szCs w:val="28"/>
        </w:rPr>
      </w:pPr>
    </w:p>
    <w:p w14:paraId="6D53538D">
      <w:pPr>
        <w:snapToGrid w:val="0"/>
        <w:spacing w:line="380" w:lineRule="exact"/>
        <w:textAlignment w:val="baseline"/>
        <w:rPr>
          <w:rFonts w:eastAsia="方正仿宋简体"/>
          <w:color w:val="auto"/>
          <w:sz w:val="28"/>
          <w:szCs w:val="28"/>
        </w:rPr>
      </w:pPr>
    </w:p>
    <w:p w14:paraId="0C62C141">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（4）2024年的财务审计报告与健全的财务会计制度（新成立的公司近三个月内的银行资信证明与健全的财务会计制度）；</w:t>
      </w:r>
    </w:p>
    <w:p w14:paraId="62C3B8EF">
      <w:pPr>
        <w:pStyle w:val="19"/>
        <w:tabs>
          <w:tab w:val="left" w:pos="5580"/>
        </w:tabs>
        <w:spacing w:line="40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说明：1、提供本单位上年度经会计师事务所出具的完整的审计报告复印件须加盖本单位公章。</w:t>
      </w:r>
    </w:p>
    <w:p w14:paraId="7DBD93A0">
      <w:pPr>
        <w:snapToGrid w:val="0"/>
        <w:spacing w:line="380" w:lineRule="exact"/>
        <w:ind w:firstLine="480" w:firstLineChars="200"/>
        <w:textAlignment w:val="baseline"/>
        <w:rPr>
          <w:rFonts w:eastAsia="方正仿宋简体"/>
          <w:color w:val="auto"/>
          <w:sz w:val="24"/>
        </w:rPr>
      </w:pPr>
    </w:p>
    <w:p w14:paraId="5D84EC4D">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（5）在税务局依法缴纳近半年任意一个月税收证明的良好记录或投标截止日内无拖欠税收证明；</w:t>
      </w:r>
    </w:p>
    <w:p w14:paraId="05545855">
      <w:pPr>
        <w:snapToGrid w:val="0"/>
        <w:spacing w:line="380" w:lineRule="exact"/>
        <w:ind w:firstLine="720" w:firstLineChars="300"/>
        <w:textAlignment w:val="baseline"/>
        <w:rPr>
          <w:rFonts w:hint="eastAsia" w:ascii="仿宋_GB2312" w:eastAsia="仿宋_GB2312"/>
          <w:color w:val="auto"/>
          <w:sz w:val="24"/>
        </w:rPr>
      </w:pPr>
      <w:r>
        <w:rPr>
          <w:rFonts w:hint="eastAsia" w:ascii="仿宋_GB2312" w:eastAsia="仿宋_GB2312"/>
          <w:color w:val="auto"/>
          <w:sz w:val="24"/>
        </w:rPr>
        <w:t>说明 ：1）“投标企业提供税务部门出具的任意一个月的完税证明；”：①若供应商某月税收为零申报，须提供当月加盖税务局公章的无欠税证明或“国家税务总局电子税务局（12366.chinatax.gov.cn/bsfw/onlinetaxation/main）”的 申报结果查询截图。②完税证明中“税种”非养老保险、医疗保险、失业保险、 工伤保险和生育保险。复印件上应加盖本单位章。</w:t>
      </w:r>
    </w:p>
    <w:p w14:paraId="716E34E0">
      <w:pPr>
        <w:pStyle w:val="2"/>
        <w:ind w:firstLine="480"/>
        <w:rPr>
          <w:color w:val="auto"/>
        </w:rPr>
      </w:pPr>
    </w:p>
    <w:p w14:paraId="1B753C4F">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（6）根据《财政部关于在政府采购活动中查询及使用信用记录有关问题的通知》（财库</w:t>
      </w:r>
      <w:r>
        <w:rPr>
          <w:rFonts w:hint="eastAsia" w:ascii="宋体" w:hAnsi="宋体" w:cs="宋体"/>
          <w:color w:val="auto"/>
          <w:sz w:val="24"/>
        </w:rPr>
        <w:t>﹝</w:t>
      </w:r>
      <w:r>
        <w:rPr>
          <w:rFonts w:hint="eastAsia" w:ascii="仿宋_GB2312" w:eastAsia="仿宋_GB2312"/>
          <w:color w:val="auto"/>
          <w:sz w:val="24"/>
        </w:rPr>
        <w:t>2016</w:t>
      </w:r>
      <w:r>
        <w:rPr>
          <w:rFonts w:hint="eastAsia" w:ascii="宋体" w:hAnsi="宋体" w:cs="宋体"/>
          <w:color w:val="auto"/>
          <w:sz w:val="24"/>
        </w:rPr>
        <w:t>﹞</w:t>
      </w:r>
      <w:r>
        <w:rPr>
          <w:rFonts w:hint="eastAsia" w:ascii="仿宋_GB2312" w:eastAsia="仿宋_GB2312"/>
          <w:color w:val="auto"/>
          <w:sz w:val="24"/>
        </w:rPr>
        <w:t>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2C942879">
      <w:pPr>
        <w:snapToGrid w:val="0"/>
        <w:spacing w:line="380" w:lineRule="exact"/>
        <w:ind w:firstLine="480" w:firstLineChars="200"/>
        <w:textAlignment w:val="baseline"/>
        <w:rPr>
          <w:rFonts w:eastAsia="方正仿宋简体"/>
          <w:color w:val="auto"/>
          <w:sz w:val="24"/>
        </w:rPr>
      </w:pPr>
    </w:p>
    <w:p w14:paraId="452CCF9F">
      <w:pPr>
        <w:snapToGrid w:val="0"/>
        <w:spacing w:line="380" w:lineRule="exact"/>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（7）在参加政府采购活动中前三年内无重大违法记录的承诺书；</w:t>
      </w:r>
    </w:p>
    <w:p w14:paraId="3853D802">
      <w:pPr>
        <w:pStyle w:val="19"/>
        <w:tabs>
          <w:tab w:val="left" w:pos="5580"/>
        </w:tabs>
        <w:spacing w:line="40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说明：1.供应商应按照相关法规规定如实作出说明，格式自拟。</w:t>
      </w:r>
    </w:p>
    <w:p w14:paraId="66800F01">
      <w:pPr>
        <w:snapToGrid w:val="0"/>
        <w:textAlignment w:val="baseline"/>
        <w:rPr>
          <w:rFonts w:hint="eastAsia" w:ascii="仿宋_GB2312" w:eastAsia="仿宋_GB2312"/>
          <w:color w:val="auto"/>
          <w:sz w:val="24"/>
        </w:rPr>
      </w:pPr>
    </w:p>
    <w:p w14:paraId="2088F5B0">
      <w:pPr>
        <w:snapToGrid w:val="0"/>
        <w:ind w:firstLine="480" w:firstLineChars="200"/>
        <w:textAlignment w:val="baseline"/>
        <w:rPr>
          <w:rFonts w:hint="eastAsia" w:ascii="仿宋_GB2312" w:eastAsia="仿宋_GB2312"/>
          <w:color w:val="auto"/>
          <w:sz w:val="24"/>
        </w:rPr>
      </w:pPr>
      <w:r>
        <w:rPr>
          <w:rFonts w:hint="eastAsia" w:ascii="仿宋_GB2312" w:eastAsia="仿宋_GB2312"/>
          <w:color w:val="auto"/>
          <w:sz w:val="24"/>
        </w:rPr>
        <w:t>（8）针对本次采购项目《反商业贿赂承诺书》的书面声明；</w:t>
      </w:r>
    </w:p>
    <w:p w14:paraId="142021D4">
      <w:pPr>
        <w:snapToGrid w:val="0"/>
        <w:textAlignment w:val="baseline"/>
        <w:rPr>
          <w:rFonts w:hint="eastAsia" w:ascii="仿宋_GB2312" w:eastAsia="仿宋_GB2312"/>
          <w:bCs/>
          <w:color w:val="auto"/>
          <w:sz w:val="24"/>
        </w:rPr>
      </w:pPr>
      <w:r>
        <w:rPr>
          <w:rFonts w:hint="eastAsia" w:ascii="仿宋_GB2312" w:eastAsia="仿宋_GB2312"/>
          <w:bCs/>
          <w:color w:val="auto"/>
          <w:sz w:val="24"/>
        </w:rPr>
        <w:t xml:space="preserve">      </w:t>
      </w:r>
      <w:r>
        <w:rPr>
          <w:rFonts w:hint="eastAsia" w:ascii="仿宋_GB2312" w:eastAsia="仿宋_GB2312"/>
          <w:color w:val="auto"/>
          <w:sz w:val="24"/>
        </w:rPr>
        <w:t>说明：格式自拟</w:t>
      </w:r>
    </w:p>
    <w:p w14:paraId="3BE46B7A">
      <w:pPr>
        <w:pStyle w:val="36"/>
        <w:widowControl/>
        <w:spacing w:before="0" w:after="0" w:line="620" w:lineRule="exact"/>
        <w:ind w:firstLine="480" w:firstLineChars="200"/>
        <w:rPr>
          <w:rFonts w:hint="eastAsia" w:ascii="仿宋_GB2312" w:eastAsia="仿宋_GB2312"/>
          <w:color w:val="auto"/>
        </w:rPr>
      </w:pPr>
      <w:r>
        <w:rPr>
          <w:rFonts w:hint="eastAsia" w:ascii="仿宋_GB2312" w:eastAsia="仿宋_GB2312"/>
          <w:color w:val="auto"/>
        </w:rPr>
        <w:t>（9）中小企业声明函</w:t>
      </w:r>
    </w:p>
    <w:p w14:paraId="0B105209">
      <w:pPr>
        <w:pStyle w:val="10"/>
        <w:ind w:firstLine="0"/>
        <w:rPr>
          <w:rFonts w:ascii="Times New Roman" w:eastAsia="方正仿宋简体"/>
          <w:color w:val="auto"/>
          <w:sz w:val="28"/>
          <w:szCs w:val="28"/>
        </w:rPr>
      </w:pPr>
    </w:p>
    <w:p w14:paraId="66753EAD">
      <w:pPr>
        <w:rPr>
          <w:rFonts w:eastAsia="方正仿宋简体"/>
          <w:color w:val="auto"/>
          <w:sz w:val="28"/>
          <w:szCs w:val="28"/>
        </w:rPr>
      </w:pPr>
    </w:p>
    <w:p w14:paraId="259296E2">
      <w:pPr>
        <w:snapToGrid w:val="0"/>
        <w:spacing w:line="380" w:lineRule="exact"/>
        <w:textAlignment w:val="baseline"/>
        <w:rPr>
          <w:rFonts w:eastAsia="方正仿宋简体"/>
          <w:b/>
          <w:bCs/>
          <w:color w:val="auto"/>
          <w:sz w:val="28"/>
          <w:szCs w:val="28"/>
        </w:rPr>
      </w:pPr>
    </w:p>
    <w:p w14:paraId="76998F32">
      <w:pPr>
        <w:pStyle w:val="8"/>
        <w:numPr>
          <w:ilvl w:val="0"/>
          <w:numId w:val="5"/>
        </w:numPr>
        <w:topLinePunct/>
        <w:spacing w:before="0" w:line="240" w:lineRule="atLeas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投标保证金缴纳凭证或投标担保函</w:t>
      </w:r>
    </w:p>
    <w:p w14:paraId="504BD09A">
      <w:pPr>
        <w:rPr>
          <w:rFonts w:hint="eastAsia" w:ascii="仿宋_GB2312" w:eastAsia="仿宋_GB2312"/>
          <w:color w:val="auto"/>
          <w:sz w:val="24"/>
        </w:rPr>
      </w:pPr>
    </w:p>
    <w:p w14:paraId="1F495847">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b/>
          <w:bCs/>
          <w:snapToGrid w:val="0"/>
          <w:color w:val="auto"/>
          <w:kern w:val="0"/>
          <w:sz w:val="24"/>
        </w:rPr>
      </w:pPr>
      <w:r>
        <w:rPr>
          <w:rFonts w:hint="eastAsia" w:ascii="仿宋_GB2312" w:eastAsia="仿宋_GB2312"/>
          <w:snapToGrid w:val="0"/>
          <w:color w:val="auto"/>
          <w:kern w:val="0"/>
          <w:sz w:val="24"/>
        </w:rPr>
        <w:t>投标人可将本项目投标保证金支付的汇款凭证、支票、汇票或保证金收据（如有）的扫描件作为缴纳凭证放在本部分，应加盖本单位章；使用银行保函等其他投标担保函的，应将担保函扫描件放在本部分中；如采用政府采购信用担保形式的，应使用（投标文件格式一）,将原件扫描件放在本部分中。</w:t>
      </w:r>
    </w:p>
    <w:p w14:paraId="688D0A02">
      <w:pPr>
        <w:pStyle w:val="8"/>
        <w:jc w:val="both"/>
        <w:rPr>
          <w:rFonts w:hint="eastAsia" w:ascii="Times New Roman" w:hAnsi="Times New Roman" w:eastAsia="方正仿宋简体"/>
          <w:color w:val="auto"/>
          <w:sz w:val="28"/>
          <w:szCs w:val="28"/>
        </w:rPr>
      </w:pPr>
    </w:p>
    <w:p w14:paraId="35705EF8">
      <w:pPr>
        <w:rPr>
          <w:rFonts w:hint="eastAsia"/>
          <w:color w:val="auto"/>
        </w:rPr>
      </w:pPr>
    </w:p>
    <w:p w14:paraId="6DD89197">
      <w:pPr>
        <w:pStyle w:val="2"/>
        <w:ind w:firstLine="480"/>
        <w:rPr>
          <w:rFonts w:hint="eastAsia"/>
          <w:color w:val="auto"/>
        </w:rPr>
      </w:pPr>
    </w:p>
    <w:p w14:paraId="5BF20D3F">
      <w:pPr>
        <w:pStyle w:val="4"/>
        <w:ind w:firstLine="240"/>
        <w:rPr>
          <w:rFonts w:hint="eastAsia"/>
          <w:color w:val="auto"/>
        </w:rPr>
      </w:pPr>
    </w:p>
    <w:p w14:paraId="051B4E6F">
      <w:pPr>
        <w:rPr>
          <w:rFonts w:hint="eastAsia"/>
          <w:color w:val="auto"/>
        </w:rPr>
      </w:pPr>
    </w:p>
    <w:p w14:paraId="7A3AF8FF">
      <w:pPr>
        <w:pStyle w:val="2"/>
        <w:ind w:firstLine="480"/>
        <w:rPr>
          <w:rFonts w:hint="eastAsia"/>
          <w:color w:val="auto"/>
        </w:rPr>
      </w:pPr>
    </w:p>
    <w:p w14:paraId="703BE4CD">
      <w:pPr>
        <w:pStyle w:val="4"/>
        <w:ind w:firstLine="240"/>
        <w:rPr>
          <w:rFonts w:hint="eastAsia"/>
          <w:color w:val="auto"/>
        </w:rPr>
      </w:pPr>
    </w:p>
    <w:p w14:paraId="7BA7BBE5">
      <w:pPr>
        <w:rPr>
          <w:rFonts w:hint="eastAsia"/>
          <w:color w:val="auto"/>
        </w:rPr>
      </w:pPr>
    </w:p>
    <w:p w14:paraId="3C6A3997">
      <w:pPr>
        <w:pStyle w:val="2"/>
        <w:ind w:firstLine="480"/>
        <w:rPr>
          <w:rFonts w:hint="eastAsia"/>
          <w:color w:val="auto"/>
        </w:rPr>
      </w:pPr>
    </w:p>
    <w:p w14:paraId="67E6E07D">
      <w:pPr>
        <w:pStyle w:val="4"/>
        <w:ind w:firstLine="240"/>
        <w:rPr>
          <w:rFonts w:hint="eastAsia"/>
          <w:color w:val="auto"/>
        </w:rPr>
      </w:pPr>
    </w:p>
    <w:p w14:paraId="1A270362">
      <w:pPr>
        <w:rPr>
          <w:rFonts w:hint="eastAsia"/>
          <w:color w:val="auto"/>
        </w:rPr>
      </w:pPr>
    </w:p>
    <w:p w14:paraId="65D90B1D">
      <w:pPr>
        <w:pStyle w:val="2"/>
        <w:ind w:firstLine="480"/>
        <w:rPr>
          <w:rFonts w:hint="eastAsia"/>
          <w:color w:val="auto"/>
        </w:rPr>
      </w:pPr>
    </w:p>
    <w:p w14:paraId="56DD766A">
      <w:pPr>
        <w:pStyle w:val="4"/>
        <w:ind w:firstLine="240"/>
        <w:rPr>
          <w:rFonts w:hint="eastAsia"/>
          <w:color w:val="auto"/>
        </w:rPr>
      </w:pPr>
    </w:p>
    <w:p w14:paraId="2DEF2818">
      <w:pPr>
        <w:rPr>
          <w:rFonts w:hint="eastAsia"/>
          <w:color w:val="auto"/>
        </w:rPr>
      </w:pPr>
    </w:p>
    <w:p w14:paraId="3B7DEF8A">
      <w:pPr>
        <w:pStyle w:val="2"/>
        <w:ind w:firstLine="480"/>
        <w:rPr>
          <w:rFonts w:hint="eastAsia"/>
          <w:color w:val="auto"/>
        </w:rPr>
      </w:pPr>
    </w:p>
    <w:p w14:paraId="1F229162">
      <w:pPr>
        <w:pStyle w:val="4"/>
        <w:ind w:firstLine="240"/>
        <w:rPr>
          <w:rFonts w:hint="eastAsia"/>
          <w:color w:val="auto"/>
        </w:rPr>
      </w:pPr>
    </w:p>
    <w:p w14:paraId="5604D510">
      <w:pPr>
        <w:rPr>
          <w:rFonts w:hint="eastAsia"/>
          <w:color w:val="auto"/>
        </w:rPr>
      </w:pPr>
    </w:p>
    <w:p w14:paraId="394EA3E3">
      <w:pPr>
        <w:pStyle w:val="2"/>
        <w:ind w:firstLine="480"/>
        <w:rPr>
          <w:rFonts w:hint="eastAsia"/>
          <w:color w:val="auto"/>
        </w:rPr>
      </w:pPr>
    </w:p>
    <w:p w14:paraId="288BE342">
      <w:pPr>
        <w:pStyle w:val="4"/>
        <w:ind w:firstLine="240"/>
        <w:rPr>
          <w:rFonts w:hint="eastAsia"/>
          <w:color w:val="auto"/>
        </w:rPr>
      </w:pPr>
    </w:p>
    <w:p w14:paraId="51F6DB04">
      <w:pPr>
        <w:rPr>
          <w:rFonts w:hint="eastAsia"/>
          <w:color w:val="auto"/>
        </w:rPr>
      </w:pPr>
    </w:p>
    <w:p w14:paraId="4739C699">
      <w:pPr>
        <w:pStyle w:val="2"/>
        <w:ind w:firstLine="480"/>
        <w:rPr>
          <w:color w:val="auto"/>
        </w:rPr>
      </w:pPr>
    </w:p>
    <w:p w14:paraId="69F734B8">
      <w:pPr>
        <w:widowControl/>
        <w:kinsoku w:val="0"/>
        <w:topLinePunct/>
        <w:autoSpaceDE w:val="0"/>
        <w:autoSpaceDN w:val="0"/>
        <w:adjustRightInd w:val="0"/>
        <w:snapToGrid w:val="0"/>
        <w:spacing w:line="240" w:lineRule="atLeast"/>
        <w:jc w:val="center"/>
        <w:textAlignment w:val="baseline"/>
        <w:rPr>
          <w:rFonts w:eastAsia="方正仿宋简体"/>
          <w:b/>
          <w:bCs/>
          <w:snapToGrid w:val="0"/>
          <w:color w:val="auto"/>
          <w:kern w:val="0"/>
          <w:sz w:val="28"/>
          <w:szCs w:val="28"/>
        </w:rPr>
      </w:pPr>
    </w:p>
    <w:p w14:paraId="433B3A5E">
      <w:pPr>
        <w:widowControl/>
        <w:kinsoku w:val="0"/>
        <w:topLinePunct/>
        <w:autoSpaceDE w:val="0"/>
        <w:autoSpaceDN w:val="0"/>
        <w:adjustRightInd w:val="0"/>
        <w:snapToGrid w:val="0"/>
        <w:spacing w:line="240" w:lineRule="atLeast"/>
        <w:jc w:val="center"/>
        <w:textAlignment w:val="baseline"/>
        <w:rPr>
          <w:rFonts w:hint="eastAsia" w:ascii="仿宋_GB2312" w:eastAsia="仿宋_GB2312"/>
          <w:b/>
          <w:bCs/>
          <w:snapToGrid w:val="0"/>
          <w:color w:val="auto"/>
          <w:kern w:val="0"/>
          <w:sz w:val="24"/>
        </w:rPr>
      </w:pPr>
      <w:r>
        <w:rPr>
          <w:rFonts w:hint="eastAsia" w:ascii="仿宋_GB2312" w:eastAsia="仿宋_GB2312"/>
          <w:b/>
          <w:bCs/>
          <w:snapToGrid w:val="0"/>
          <w:color w:val="auto"/>
          <w:kern w:val="0"/>
          <w:sz w:val="24"/>
        </w:rPr>
        <w:t>政府采购投标担保函 （项目用）（投标文件格式一）</w:t>
      </w:r>
    </w:p>
    <w:p w14:paraId="05D10A0C">
      <w:pPr>
        <w:widowControl/>
        <w:kinsoku w:val="0"/>
        <w:topLinePunct/>
        <w:autoSpaceDE w:val="0"/>
        <w:autoSpaceDN w:val="0"/>
        <w:adjustRightInd w:val="0"/>
        <w:snapToGrid w:val="0"/>
        <w:spacing w:line="240" w:lineRule="atLeast"/>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编号：</w:t>
      </w:r>
    </w:p>
    <w:p w14:paraId="5BC27440">
      <w:pPr>
        <w:widowControl/>
        <w:kinsoku w:val="0"/>
        <w:topLinePunct/>
        <w:autoSpaceDE w:val="0"/>
        <w:autoSpaceDN w:val="0"/>
        <w:adjustRightInd w:val="0"/>
        <w:snapToGrid w:val="0"/>
        <w:spacing w:line="240" w:lineRule="atLeast"/>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 xml:space="preserve"> </w:t>
      </w:r>
    </w:p>
    <w:p w14:paraId="21C8EF2E">
      <w:pPr>
        <w:widowControl/>
        <w:kinsoku w:val="0"/>
        <w:topLinePunct/>
        <w:autoSpaceDE w:val="0"/>
        <w:autoSpaceDN w:val="0"/>
        <w:adjustRightInd w:val="0"/>
        <w:snapToGrid w:val="0"/>
        <w:spacing w:line="240" w:lineRule="atLeast"/>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（采购人或采购代理机构）：</w:t>
      </w:r>
    </w:p>
    <w:p w14:paraId="28D18A64">
      <w:pPr>
        <w:widowControl/>
        <w:kinsoku w:val="0"/>
        <w:topLinePunct/>
        <w:autoSpaceDE w:val="0"/>
        <w:autoSpaceDN w:val="0"/>
        <w:adjustRightInd w:val="0"/>
        <w:snapToGrid w:val="0"/>
        <w:spacing w:line="240" w:lineRule="atLeast"/>
        <w:jc w:val="left"/>
        <w:textAlignment w:val="baseline"/>
        <w:rPr>
          <w:rFonts w:hint="eastAsia" w:ascii="仿宋_GB2312" w:eastAsia="仿宋_GB2312"/>
          <w:snapToGrid w:val="0"/>
          <w:color w:val="auto"/>
          <w:kern w:val="0"/>
          <w:sz w:val="24"/>
        </w:rPr>
      </w:pPr>
    </w:p>
    <w:p w14:paraId="06F36110">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鉴于</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（以下简称“投标人”）拟参加编号为</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的</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EBEF888">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一、保证责任的情形及保证金额</w:t>
      </w:r>
    </w:p>
    <w:p w14:paraId="7E13C879">
      <w:pPr>
        <w:widowControl/>
        <w:kinsoku w:val="0"/>
        <w:topLinePunct/>
        <w:autoSpaceDE w:val="0"/>
        <w:autoSpaceDN w:val="0"/>
        <w:adjustRightInd w:val="0"/>
        <w:snapToGrid w:val="0"/>
        <w:spacing w:line="240" w:lineRule="atLeast"/>
        <w:ind w:firstLine="240" w:firstLineChars="1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（一）在投标人出现下列情形之一时，我方承担保证责任：</w:t>
      </w:r>
    </w:p>
    <w:p w14:paraId="15703230">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1．中标后投标人无正当理由不与采购人或者采购代理机构签订《政府采购合同》；</w:t>
      </w:r>
    </w:p>
    <w:p w14:paraId="19785A70">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2．招标文件规定的投标人应当缴纳保证金的其他情形。</w:t>
      </w:r>
    </w:p>
    <w:p w14:paraId="3D3398B1">
      <w:pPr>
        <w:widowControl/>
        <w:kinsoku w:val="0"/>
        <w:topLinePunct/>
        <w:autoSpaceDE w:val="0"/>
        <w:autoSpaceDN w:val="0"/>
        <w:adjustRightInd w:val="0"/>
        <w:snapToGrid w:val="0"/>
        <w:spacing w:line="240" w:lineRule="atLeast"/>
        <w:ind w:firstLine="240" w:firstLineChars="1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（二）我方承担保证责任的最高金额为人民币</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元（大写</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），即本项目的投标保证金金额。</w:t>
      </w:r>
    </w:p>
    <w:p w14:paraId="3C0E1764">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二、保证的方式及保证期间</w:t>
      </w:r>
    </w:p>
    <w:p w14:paraId="40E979EC">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我方保证的方式为：连带责任保证。</w:t>
      </w:r>
    </w:p>
    <w:p w14:paraId="1576E102">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我方的保证期间为：自本保函生效之日起</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个月止。</w:t>
      </w:r>
    </w:p>
    <w:p w14:paraId="2A8397CB">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三、承担保证责任的程序</w:t>
      </w:r>
    </w:p>
    <w:p w14:paraId="5022E81D">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248242F">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2．我方在收到索赔通知及相关证明材料后，在</w:t>
      </w:r>
      <w:r>
        <w:rPr>
          <w:rFonts w:hint="eastAsia" w:ascii="仿宋_GB2312" w:eastAsia="仿宋_GB2312"/>
          <w:snapToGrid w:val="0"/>
          <w:color w:val="auto"/>
          <w:kern w:val="0"/>
          <w:sz w:val="24"/>
          <w:u w:val="single"/>
        </w:rPr>
        <w:t>　　　</w:t>
      </w:r>
      <w:r>
        <w:rPr>
          <w:rFonts w:hint="eastAsia" w:ascii="仿宋_GB2312" w:eastAsia="仿宋_GB2312"/>
          <w:snapToGrid w:val="0"/>
          <w:color w:val="auto"/>
          <w:kern w:val="0"/>
          <w:sz w:val="24"/>
        </w:rPr>
        <w:t>个工作日内进行审查，符合应承担保证责任情形的，我方应按照你方的要求代投标人向你方支付投标保证金。</w:t>
      </w:r>
    </w:p>
    <w:p w14:paraId="70FD208B">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四、保证责任的终止</w:t>
      </w:r>
    </w:p>
    <w:p w14:paraId="4D04AA90">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1．保证期间届满你方未向我方书面主张保证责任的，自保证期间届满次日起，我方保证责任自动终止。</w:t>
      </w:r>
    </w:p>
    <w:p w14:paraId="40BAD5A8">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2．我方按照本保函向你贵方履行了保证责任后，自我方向你贵方支付款项（支付款项从我方账户划出）之日起，保证责任终止。</w:t>
      </w:r>
    </w:p>
    <w:p w14:paraId="13121DAE">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3．按照法律法规的规定或出现我方保证责任终止的其它情形的，我方在本保函项下的保证责任亦终止。</w:t>
      </w:r>
    </w:p>
    <w:p w14:paraId="2389D55D">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五、免责条款</w:t>
      </w:r>
    </w:p>
    <w:p w14:paraId="2C1F5685">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1．依照法律规定或你方与投标人的另行约定，全部或者部分免除投标人投标保证金义务时，我方亦免除相应的保证责任。</w:t>
      </w:r>
    </w:p>
    <w:p w14:paraId="27A460ED">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2．因你方原因致使投标人发生本保函第一条第（一）款约定情形的，我方不承担保证责任。</w:t>
      </w:r>
    </w:p>
    <w:p w14:paraId="11904E1A">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3．因不可抗力造成投标人发生本保函第一条约定情形的，我方不承担保证责任。</w:t>
      </w:r>
    </w:p>
    <w:p w14:paraId="2C4C5CF2">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4．你方或其他有权机关对招标文件进行任何澄清或修改，加重我方保证责任的，我方对加重部分不承担保证责任，但该澄清或修改经我方事先书面同意的除外。</w:t>
      </w:r>
    </w:p>
    <w:p w14:paraId="6030CF0D">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六、争议的解决</w:t>
      </w:r>
    </w:p>
    <w:p w14:paraId="570F255B">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因本保函发生的纠纷，由你我双方协商解决，协商不成的，通过诉讼程序解决，诉讼管辖地法院为</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法院。</w:t>
      </w:r>
    </w:p>
    <w:p w14:paraId="1B2B4E82">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七、保函的生效</w:t>
      </w:r>
    </w:p>
    <w:p w14:paraId="05E3AAD1">
      <w:pPr>
        <w:widowControl/>
        <w:kinsoku w:val="0"/>
        <w:topLinePunct/>
        <w:autoSpaceDE w:val="0"/>
        <w:autoSpaceDN w:val="0"/>
        <w:adjustRightInd w:val="0"/>
        <w:snapToGrid w:val="0"/>
        <w:spacing w:line="240" w:lineRule="atLeast"/>
        <w:ind w:firstLine="480" w:firstLineChars="2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本保函自我方加盖公章之日起生效。</w:t>
      </w:r>
    </w:p>
    <w:p w14:paraId="405E39B0">
      <w:pPr>
        <w:widowControl/>
        <w:kinsoku w:val="0"/>
        <w:topLinePunct/>
        <w:autoSpaceDE w:val="0"/>
        <w:autoSpaceDN w:val="0"/>
        <w:adjustRightInd w:val="0"/>
        <w:snapToGrid w:val="0"/>
        <w:spacing w:line="240" w:lineRule="atLeast"/>
        <w:ind w:firstLine="5520" w:firstLineChars="2300"/>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保证人：（公章）</w:t>
      </w:r>
    </w:p>
    <w:p w14:paraId="3CDFEC74">
      <w:pPr>
        <w:widowControl/>
        <w:kinsoku w:val="0"/>
        <w:topLinePunct/>
        <w:autoSpaceDE w:val="0"/>
        <w:autoSpaceDN w:val="0"/>
        <w:adjustRightInd w:val="0"/>
        <w:snapToGrid w:val="0"/>
        <w:spacing w:line="240" w:lineRule="atLeast"/>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 xml:space="preserve">                               </w:t>
      </w:r>
    </w:p>
    <w:p w14:paraId="382AB1F8">
      <w:pPr>
        <w:topLinePunct/>
        <w:spacing w:line="240" w:lineRule="atLeast"/>
        <w:ind w:firstLine="5520" w:firstLineChars="2300"/>
        <w:rPr>
          <w:rFonts w:hint="eastAsia" w:ascii="仿宋_GB2312" w:eastAsia="仿宋_GB2312"/>
          <w:color w:val="auto"/>
          <w:sz w:val="24"/>
        </w:rPr>
        <w:sectPr>
          <w:headerReference r:id="rId6" w:type="default"/>
          <w:footerReference r:id="rId7" w:type="default"/>
          <w:pgSz w:w="11906" w:h="16838"/>
          <w:pgMar w:top="1984" w:right="1531" w:bottom="1701" w:left="1531" w:header="851" w:footer="992" w:gutter="0"/>
          <w:pgNumType w:start="1"/>
          <w:cols w:space="0" w:num="1"/>
          <w:docGrid w:type="linesAndChars" w:linePitch="312" w:charSpace="0"/>
        </w:sectPr>
      </w:pPr>
      <w:r>
        <w:rPr>
          <w:rFonts w:hint="eastAsia" w:ascii="仿宋_GB2312" w:eastAsia="仿宋_GB2312"/>
          <w:snapToGrid w:val="0"/>
          <w:color w:val="auto"/>
          <w:kern w:val="0"/>
          <w:sz w:val="24"/>
        </w:rPr>
        <w:t>年     月   日</w:t>
      </w:r>
    </w:p>
    <w:p w14:paraId="0B7E1408">
      <w:pPr>
        <w:snapToGrid w:val="0"/>
        <w:spacing w:line="380" w:lineRule="exact"/>
        <w:jc w:val="center"/>
        <w:textAlignment w:val="baseline"/>
        <w:rPr>
          <w:rFonts w:hint="eastAsia" w:ascii="仿宋_GB2312" w:eastAsia="仿宋_GB2312"/>
          <w:b/>
          <w:bCs/>
          <w:color w:val="auto"/>
          <w:sz w:val="24"/>
        </w:rPr>
      </w:pPr>
      <w:r>
        <w:rPr>
          <w:rFonts w:hint="eastAsia" w:ascii="仿宋_GB2312" w:eastAsia="仿宋_GB2312"/>
          <w:b/>
          <w:bCs/>
          <w:color w:val="auto"/>
          <w:sz w:val="24"/>
        </w:rPr>
        <w:t>4.供应商须知资料表要求的其他资格证明文件</w:t>
      </w:r>
    </w:p>
    <w:p w14:paraId="21B76F92">
      <w:pPr>
        <w:snapToGrid w:val="0"/>
        <w:ind w:firstLine="720" w:firstLineChars="300"/>
        <w:textAlignment w:val="baseline"/>
        <w:rPr>
          <w:rFonts w:hint="eastAsia" w:ascii="仿宋_GB2312" w:eastAsia="仿宋_GB2312"/>
          <w:color w:val="auto"/>
          <w:sz w:val="24"/>
        </w:rPr>
      </w:pPr>
    </w:p>
    <w:p w14:paraId="0A1C5877">
      <w:pPr>
        <w:snapToGrid w:val="0"/>
        <w:ind w:firstLine="720" w:firstLineChars="300"/>
        <w:textAlignment w:val="baseline"/>
        <w:rPr>
          <w:rFonts w:hint="eastAsia" w:ascii="仿宋_GB2312" w:eastAsia="仿宋_GB2312"/>
          <w:color w:val="auto"/>
          <w:sz w:val="24"/>
        </w:rPr>
      </w:pPr>
      <w:r>
        <w:rPr>
          <w:rFonts w:hint="eastAsia" w:ascii="仿宋_GB2312" w:eastAsia="仿宋_GB2312"/>
          <w:color w:val="auto"/>
          <w:sz w:val="24"/>
        </w:rPr>
        <w:t>说明：1.应提供投标人须知资料表要求的其他资格证明文件。</w:t>
      </w:r>
    </w:p>
    <w:p w14:paraId="27579A78">
      <w:pPr>
        <w:numPr>
          <w:ilvl w:val="0"/>
          <w:numId w:val="6"/>
        </w:numPr>
        <w:snapToGrid w:val="0"/>
        <w:ind w:firstLine="1440" w:firstLineChars="600"/>
        <w:textAlignment w:val="baseline"/>
        <w:rPr>
          <w:rFonts w:hint="eastAsia" w:ascii="仿宋_GB2312" w:eastAsia="仿宋_GB2312"/>
          <w:color w:val="auto"/>
          <w:sz w:val="24"/>
        </w:rPr>
      </w:pPr>
      <w:r>
        <w:rPr>
          <w:rFonts w:hint="eastAsia" w:ascii="仿宋_GB2312" w:eastAsia="仿宋_GB2312"/>
          <w:color w:val="auto"/>
          <w:sz w:val="24"/>
        </w:rPr>
        <w:t>复印件上应加盖本单位公章。</w:t>
      </w:r>
    </w:p>
    <w:p w14:paraId="07DF4C63">
      <w:pPr>
        <w:snapToGrid w:val="0"/>
        <w:ind w:firstLine="720" w:firstLineChars="300"/>
        <w:textAlignment w:val="baseline"/>
        <w:rPr>
          <w:rFonts w:hint="eastAsia" w:ascii="仿宋_GB2312" w:eastAsia="仿宋_GB2312"/>
          <w:color w:val="auto"/>
          <w:sz w:val="24"/>
        </w:rPr>
      </w:pPr>
      <w:r>
        <w:rPr>
          <w:rFonts w:hint="eastAsia" w:ascii="仿宋_GB2312" w:eastAsia="仿宋_GB2312"/>
          <w:color w:val="auto"/>
          <w:sz w:val="24"/>
        </w:rPr>
        <w:t xml:space="preserve">      3. 如果是联合体投标，联合体各方需提供的满足竞争性谈判文件要求的其他资格证明文件（本项目不接受联合体投标）。</w:t>
      </w:r>
    </w:p>
    <w:p w14:paraId="2C7E9077">
      <w:pPr>
        <w:snapToGrid w:val="0"/>
        <w:spacing w:line="360" w:lineRule="exact"/>
        <w:textAlignment w:val="baseline"/>
        <w:rPr>
          <w:rFonts w:eastAsia="方正仿宋简体"/>
          <w:b/>
          <w:color w:val="auto"/>
          <w:kern w:val="0"/>
          <w:sz w:val="28"/>
          <w:szCs w:val="28"/>
        </w:rPr>
      </w:pPr>
    </w:p>
    <w:p w14:paraId="29616290">
      <w:pPr>
        <w:snapToGrid w:val="0"/>
        <w:textAlignment w:val="baseline"/>
        <w:rPr>
          <w:rFonts w:eastAsia="方正仿宋简体"/>
          <w:color w:val="auto"/>
          <w:sz w:val="28"/>
          <w:szCs w:val="28"/>
        </w:rPr>
      </w:pPr>
    </w:p>
    <w:p w14:paraId="29818D4B">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5CA07E21">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70D3C716">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18D6DA87">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6EF2B994">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0F60D21C">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25E3769F">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3C416146">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04D65ADC">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39655C60">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0F084318">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760A6DA7">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05D72666">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6D373999">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0092E919">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3B94D457">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7D4F3E18">
      <w:pPr>
        <w:rPr>
          <w:rFonts w:eastAsia="方正仿宋简体"/>
          <w:color w:val="auto"/>
          <w:sz w:val="28"/>
          <w:szCs w:val="28"/>
        </w:rPr>
      </w:pPr>
    </w:p>
    <w:p w14:paraId="70C806EB">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69AB5301">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1CF8AD02">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4933463A">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241907C6">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4FC155C8">
      <w:pPr>
        <w:pStyle w:val="19"/>
        <w:tabs>
          <w:tab w:val="left" w:pos="5580"/>
        </w:tabs>
        <w:snapToGrid w:val="0"/>
        <w:spacing w:line="360" w:lineRule="exact"/>
        <w:textAlignment w:val="baseline"/>
        <w:rPr>
          <w:rFonts w:ascii="Times New Roman" w:hAnsi="Times New Roman" w:eastAsia="方正仿宋简体"/>
          <w:color w:val="auto"/>
          <w:sz w:val="28"/>
          <w:szCs w:val="28"/>
          <w:u w:val="single" w:color="000000"/>
        </w:rPr>
      </w:pPr>
    </w:p>
    <w:p w14:paraId="0343983F">
      <w:pPr>
        <w:pStyle w:val="32"/>
        <w:ind w:left="2520"/>
        <w:rPr>
          <w:rFonts w:eastAsia="方正仿宋简体"/>
          <w:color w:val="auto"/>
          <w:sz w:val="28"/>
          <w:szCs w:val="28"/>
          <w:u w:val="single" w:color="000000"/>
        </w:rPr>
      </w:pPr>
    </w:p>
    <w:p w14:paraId="0ABD33F2">
      <w:pPr>
        <w:rPr>
          <w:rFonts w:eastAsia="方正仿宋简体"/>
          <w:color w:val="auto"/>
          <w:sz w:val="28"/>
          <w:szCs w:val="28"/>
          <w:u w:val="single" w:color="000000"/>
        </w:rPr>
      </w:pPr>
    </w:p>
    <w:p w14:paraId="0E6C4F27">
      <w:pPr>
        <w:pStyle w:val="10"/>
        <w:rPr>
          <w:rFonts w:ascii="Times New Roman" w:eastAsia="方正仿宋简体"/>
          <w:color w:val="auto"/>
          <w:sz w:val="28"/>
          <w:szCs w:val="28"/>
          <w:u w:val="single" w:color="000000"/>
        </w:rPr>
      </w:pPr>
    </w:p>
    <w:p w14:paraId="26C0DCE1">
      <w:pPr>
        <w:rPr>
          <w:rFonts w:eastAsia="方正仿宋简体"/>
          <w:color w:val="auto"/>
          <w:sz w:val="28"/>
          <w:szCs w:val="28"/>
        </w:rPr>
      </w:pPr>
    </w:p>
    <w:p w14:paraId="466B600C">
      <w:pPr>
        <w:snapToGrid w:val="0"/>
        <w:spacing w:line="240" w:lineRule="atLeast"/>
        <w:ind w:left="1080" w:leftChars="257" w:hanging="540"/>
        <w:jc w:val="center"/>
        <w:textAlignment w:val="baseline"/>
        <w:rPr>
          <w:rFonts w:eastAsia="方正仿宋简体"/>
          <w:b/>
          <w:color w:val="auto"/>
          <w:sz w:val="28"/>
          <w:szCs w:val="28"/>
        </w:rPr>
      </w:pPr>
      <w:bookmarkStart w:id="623" w:name="_Toc3552"/>
      <w:bookmarkStart w:id="624" w:name="_Toc11956"/>
      <w:bookmarkStart w:id="625" w:name="_Toc11180"/>
      <w:bookmarkStart w:id="626" w:name="_Toc25827"/>
      <w:bookmarkStart w:id="627" w:name="_Toc12440"/>
      <w:bookmarkStart w:id="628" w:name="_Toc22967"/>
      <w:bookmarkStart w:id="629" w:name="_Toc515647816"/>
    </w:p>
    <w:p w14:paraId="7FD37CA7">
      <w:pPr>
        <w:pStyle w:val="8"/>
        <w:snapToGrid w:val="0"/>
        <w:spacing w:before="0" w:line="240" w:lineRule="atLeast"/>
        <w:ind w:left="1080" w:leftChars="257" w:hanging="540"/>
        <w:textAlignment w:val="baseline"/>
        <w:rPr>
          <w:rFonts w:ascii="Times New Roman" w:hAnsi="Times New Roman" w:eastAsia="方正仿宋简体"/>
          <w:color w:val="auto"/>
          <w:sz w:val="28"/>
          <w:szCs w:val="28"/>
        </w:rPr>
      </w:pPr>
    </w:p>
    <w:p w14:paraId="3283A3CC">
      <w:pPr>
        <w:pStyle w:val="8"/>
        <w:snapToGrid w:val="0"/>
        <w:spacing w:before="0" w:line="240" w:lineRule="atLeast"/>
        <w:ind w:left="1080" w:leftChars="257" w:hanging="540"/>
        <w:textAlignment w:val="baseline"/>
        <w:rPr>
          <w:rFonts w:hint="eastAsia" w:ascii="仿宋_GB2312" w:hAnsi="Times New Roman" w:eastAsia="仿宋_GB2312"/>
          <w:color w:val="auto"/>
          <w:sz w:val="24"/>
          <w:szCs w:val="24"/>
        </w:rPr>
      </w:pPr>
      <w:bookmarkStart w:id="630" w:name="_Toc2677"/>
      <w:r>
        <w:rPr>
          <w:rFonts w:hint="eastAsia" w:ascii="仿宋_GB2312" w:hAnsi="Times New Roman" w:eastAsia="仿宋_GB2312"/>
          <w:color w:val="auto"/>
          <w:sz w:val="24"/>
          <w:szCs w:val="24"/>
        </w:rPr>
        <w:t>第二部分  商务及技术文件</w:t>
      </w:r>
      <w:bookmarkEnd w:id="623"/>
      <w:bookmarkEnd w:id="624"/>
      <w:bookmarkEnd w:id="625"/>
      <w:bookmarkEnd w:id="626"/>
      <w:bookmarkEnd w:id="627"/>
      <w:bookmarkEnd w:id="628"/>
      <w:bookmarkEnd w:id="629"/>
      <w:bookmarkEnd w:id="630"/>
    </w:p>
    <w:p w14:paraId="7D5B73A0">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1、响应函</w:t>
      </w:r>
    </w:p>
    <w:p w14:paraId="372DA1C5">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2、货物需求一览表</w:t>
      </w:r>
    </w:p>
    <w:p w14:paraId="7A055EB2">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3、分项报价明细表</w:t>
      </w:r>
    </w:p>
    <w:p w14:paraId="754E8FEE">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4、技术规格偏离表</w:t>
      </w:r>
    </w:p>
    <w:p w14:paraId="0B6E1C9D">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5、</w:t>
      </w:r>
      <w:bookmarkStart w:id="631" w:name="_Toc5136_WPSOffice_Level1"/>
      <w:bookmarkStart w:id="632" w:name="_Toc2883_WPSOffice_Level2"/>
      <w:bookmarkStart w:id="633" w:name="_Toc30193_WPSOffice_Level2"/>
      <w:r>
        <w:rPr>
          <w:rFonts w:hint="eastAsia" w:ascii="仿宋_GB2312" w:hAnsi="Times New Roman" w:eastAsia="仿宋_GB2312"/>
          <w:color w:val="auto"/>
          <w:sz w:val="24"/>
          <w:szCs w:val="24"/>
        </w:rPr>
        <w:t>商务条款偏离表</w:t>
      </w:r>
    </w:p>
    <w:bookmarkEnd w:id="631"/>
    <w:bookmarkEnd w:id="632"/>
    <w:bookmarkEnd w:id="633"/>
    <w:p w14:paraId="04FC6794">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6-1 中小企业声明函</w:t>
      </w:r>
    </w:p>
    <w:p w14:paraId="5396DC2F">
      <w:pPr>
        <w:pStyle w:val="10"/>
        <w:ind w:firstLine="0"/>
        <w:rPr>
          <w:rFonts w:hint="eastAsia" w:ascii="仿宋_GB2312" w:eastAsia="仿宋_GB2312"/>
          <w:color w:val="auto"/>
          <w:kern w:val="2"/>
          <w:szCs w:val="24"/>
        </w:rPr>
      </w:pPr>
      <w:r>
        <w:rPr>
          <w:rFonts w:hint="eastAsia" w:ascii="仿宋_GB2312" w:eastAsia="仿宋_GB2312"/>
          <w:color w:val="auto"/>
          <w:szCs w:val="24"/>
        </w:rPr>
        <w:t xml:space="preserve">      </w:t>
      </w:r>
      <w:r>
        <w:rPr>
          <w:rFonts w:hint="eastAsia" w:ascii="仿宋_GB2312" w:eastAsia="仿宋_GB2312"/>
          <w:color w:val="auto"/>
          <w:kern w:val="2"/>
          <w:szCs w:val="24"/>
        </w:rPr>
        <w:t>6-2 投标人企业（单位）类型声明函</w:t>
      </w:r>
    </w:p>
    <w:p w14:paraId="3BE9912C">
      <w:pPr>
        <w:pStyle w:val="8"/>
        <w:spacing w:before="0" w:line="240" w:lineRule="auto"/>
        <w:ind w:firstLine="720" w:firstLineChars="300"/>
        <w:jc w:val="both"/>
        <w:rPr>
          <w:rFonts w:hint="eastAsia" w:ascii="仿宋_GB2312" w:hAnsi="Times New Roman" w:eastAsia="仿宋_GB2312"/>
          <w:b w:val="0"/>
          <w:color w:val="auto"/>
          <w:kern w:val="2"/>
          <w:sz w:val="24"/>
          <w:szCs w:val="24"/>
        </w:rPr>
      </w:pPr>
      <w:r>
        <w:rPr>
          <w:rFonts w:hint="eastAsia" w:ascii="仿宋_GB2312" w:hAnsi="Times New Roman" w:eastAsia="仿宋_GB2312"/>
          <w:b w:val="0"/>
          <w:color w:val="auto"/>
          <w:kern w:val="2"/>
          <w:sz w:val="24"/>
          <w:szCs w:val="24"/>
        </w:rPr>
        <w:t>6-3制造商企业（单位）类型声明函</w:t>
      </w:r>
    </w:p>
    <w:p w14:paraId="75F26632">
      <w:pPr>
        <w:pStyle w:val="19"/>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6-4残疾人福利性单位声明函</w:t>
      </w:r>
    </w:p>
    <w:p w14:paraId="59019AB8">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7、供应商关联单位的说明</w:t>
      </w:r>
    </w:p>
    <w:p w14:paraId="765B6FA7">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8、其他有利于谈判的技术条件</w:t>
      </w:r>
    </w:p>
    <w:p w14:paraId="165871DD">
      <w:pPr>
        <w:pStyle w:val="19"/>
        <w:spacing w:line="360" w:lineRule="exact"/>
        <w:ind w:firstLine="720" w:firstLineChars="3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9、响应文件格式范本</w:t>
      </w:r>
    </w:p>
    <w:p w14:paraId="113A7CF7">
      <w:pPr>
        <w:pStyle w:val="19"/>
        <w:snapToGrid w:val="0"/>
        <w:ind w:left="1080" w:leftChars="257" w:hanging="540"/>
        <w:textAlignment w:val="baseline"/>
        <w:rPr>
          <w:rFonts w:ascii="Times New Roman" w:hAnsi="Times New Roman" w:eastAsia="方正仿宋简体"/>
          <w:color w:val="auto"/>
          <w:sz w:val="28"/>
          <w:szCs w:val="28"/>
        </w:rPr>
      </w:pPr>
    </w:p>
    <w:p w14:paraId="6EB32B81">
      <w:pPr>
        <w:pStyle w:val="19"/>
        <w:tabs>
          <w:tab w:val="left" w:pos="5580"/>
        </w:tabs>
        <w:snapToGrid w:val="0"/>
        <w:spacing w:line="240" w:lineRule="atLeast"/>
        <w:textAlignment w:val="baseline"/>
        <w:rPr>
          <w:rFonts w:ascii="Times New Roman" w:hAnsi="Times New Roman" w:eastAsia="方正仿宋简体"/>
          <w:color w:val="auto"/>
          <w:sz w:val="28"/>
          <w:szCs w:val="28"/>
        </w:rPr>
      </w:pPr>
    </w:p>
    <w:p w14:paraId="5F8406AD">
      <w:pPr>
        <w:pStyle w:val="10"/>
        <w:rPr>
          <w:rFonts w:ascii="Times New Roman" w:eastAsia="方正仿宋简体"/>
          <w:color w:val="auto"/>
          <w:sz w:val="28"/>
          <w:szCs w:val="28"/>
        </w:rPr>
      </w:pPr>
    </w:p>
    <w:p w14:paraId="3B11EB0C">
      <w:pPr>
        <w:rPr>
          <w:rFonts w:eastAsia="方正仿宋简体"/>
          <w:color w:val="auto"/>
          <w:sz w:val="28"/>
          <w:szCs w:val="28"/>
        </w:rPr>
      </w:pPr>
    </w:p>
    <w:p w14:paraId="5F51A6A2">
      <w:pPr>
        <w:pStyle w:val="29"/>
        <w:rPr>
          <w:rFonts w:eastAsia="方正仿宋简体"/>
          <w:color w:val="auto"/>
          <w:sz w:val="28"/>
          <w:szCs w:val="28"/>
        </w:rPr>
      </w:pPr>
    </w:p>
    <w:p w14:paraId="6BD48D08">
      <w:pPr>
        <w:pStyle w:val="5"/>
        <w:rPr>
          <w:rFonts w:ascii="Times New Roman" w:hAnsi="Times New Roman" w:eastAsia="方正仿宋简体"/>
          <w:color w:val="auto"/>
          <w:sz w:val="28"/>
          <w:szCs w:val="28"/>
        </w:rPr>
      </w:pPr>
    </w:p>
    <w:p w14:paraId="4D5C7210">
      <w:pPr>
        <w:rPr>
          <w:rFonts w:eastAsia="方正仿宋简体"/>
          <w:color w:val="auto"/>
          <w:sz w:val="28"/>
          <w:szCs w:val="28"/>
        </w:rPr>
      </w:pPr>
    </w:p>
    <w:p w14:paraId="6A9A7B04">
      <w:pPr>
        <w:pStyle w:val="29"/>
        <w:rPr>
          <w:rFonts w:eastAsia="方正仿宋简体"/>
          <w:color w:val="auto"/>
          <w:sz w:val="28"/>
          <w:szCs w:val="28"/>
        </w:rPr>
      </w:pPr>
    </w:p>
    <w:p w14:paraId="41EFACD7">
      <w:pPr>
        <w:pStyle w:val="5"/>
        <w:rPr>
          <w:rFonts w:ascii="Times New Roman" w:hAnsi="Times New Roman" w:eastAsia="方正仿宋简体"/>
          <w:color w:val="auto"/>
          <w:sz w:val="28"/>
          <w:szCs w:val="28"/>
        </w:rPr>
      </w:pPr>
    </w:p>
    <w:p w14:paraId="0D11BEAB">
      <w:pPr>
        <w:rPr>
          <w:rFonts w:eastAsia="方正仿宋简体"/>
          <w:color w:val="auto"/>
          <w:sz w:val="28"/>
          <w:szCs w:val="28"/>
        </w:rPr>
      </w:pPr>
    </w:p>
    <w:p w14:paraId="181A3BE1">
      <w:pPr>
        <w:pStyle w:val="29"/>
        <w:rPr>
          <w:rFonts w:eastAsia="方正仿宋简体"/>
          <w:color w:val="auto"/>
          <w:sz w:val="28"/>
          <w:szCs w:val="28"/>
        </w:rPr>
      </w:pPr>
    </w:p>
    <w:p w14:paraId="59C6FADF">
      <w:pPr>
        <w:pStyle w:val="5"/>
        <w:rPr>
          <w:rFonts w:ascii="Times New Roman" w:hAnsi="Times New Roman" w:eastAsia="方正仿宋简体"/>
          <w:color w:val="auto"/>
          <w:sz w:val="28"/>
          <w:szCs w:val="28"/>
        </w:rPr>
      </w:pPr>
    </w:p>
    <w:p w14:paraId="4A132DCC">
      <w:pPr>
        <w:rPr>
          <w:rFonts w:eastAsia="方正仿宋简体"/>
          <w:color w:val="auto"/>
          <w:sz w:val="28"/>
          <w:szCs w:val="28"/>
        </w:rPr>
      </w:pPr>
    </w:p>
    <w:p w14:paraId="535B8C2F">
      <w:pPr>
        <w:pStyle w:val="29"/>
        <w:rPr>
          <w:rFonts w:eastAsia="方正仿宋简体"/>
          <w:color w:val="auto"/>
          <w:sz w:val="28"/>
          <w:szCs w:val="28"/>
        </w:rPr>
      </w:pPr>
    </w:p>
    <w:p w14:paraId="2E9419B9">
      <w:pPr>
        <w:pStyle w:val="5"/>
        <w:rPr>
          <w:rFonts w:ascii="Times New Roman" w:hAnsi="Times New Roman" w:eastAsia="方正仿宋简体"/>
          <w:color w:val="auto"/>
          <w:sz w:val="28"/>
          <w:szCs w:val="28"/>
        </w:rPr>
      </w:pPr>
    </w:p>
    <w:p w14:paraId="70F7A2F8">
      <w:pPr>
        <w:rPr>
          <w:rFonts w:eastAsia="方正仿宋简体"/>
          <w:color w:val="auto"/>
          <w:sz w:val="28"/>
          <w:szCs w:val="28"/>
        </w:rPr>
      </w:pPr>
    </w:p>
    <w:p w14:paraId="0139856B">
      <w:pPr>
        <w:pStyle w:val="29"/>
        <w:rPr>
          <w:rFonts w:eastAsia="方正仿宋简体"/>
          <w:color w:val="auto"/>
          <w:sz w:val="28"/>
          <w:szCs w:val="28"/>
        </w:rPr>
      </w:pPr>
    </w:p>
    <w:p w14:paraId="515B6166">
      <w:pPr>
        <w:pStyle w:val="5"/>
        <w:rPr>
          <w:rFonts w:ascii="Times New Roman" w:hAnsi="Times New Roman" w:eastAsia="方正仿宋简体"/>
          <w:color w:val="auto"/>
          <w:sz w:val="28"/>
          <w:szCs w:val="28"/>
        </w:rPr>
      </w:pPr>
    </w:p>
    <w:p w14:paraId="245BE405">
      <w:pPr>
        <w:rPr>
          <w:color w:val="auto"/>
        </w:rPr>
      </w:pPr>
    </w:p>
    <w:p w14:paraId="4AF674D4">
      <w:pPr>
        <w:pStyle w:val="19"/>
        <w:tabs>
          <w:tab w:val="left" w:pos="5580"/>
        </w:tabs>
        <w:snapToGrid w:val="0"/>
        <w:spacing w:line="240" w:lineRule="atLeast"/>
        <w:textAlignment w:val="baseline"/>
        <w:rPr>
          <w:rFonts w:ascii="Times New Roman" w:hAnsi="Times New Roman" w:eastAsia="方正仿宋简体"/>
          <w:color w:val="auto"/>
          <w:sz w:val="28"/>
          <w:szCs w:val="28"/>
        </w:rPr>
      </w:pPr>
    </w:p>
    <w:p w14:paraId="57890CD5">
      <w:pPr>
        <w:pStyle w:val="19"/>
        <w:tabs>
          <w:tab w:val="left" w:pos="5580"/>
        </w:tabs>
        <w:snapToGrid w:val="0"/>
        <w:spacing w:line="240" w:lineRule="atLeast"/>
        <w:textAlignment w:val="baseline"/>
        <w:rPr>
          <w:rFonts w:hint="eastAsia" w:ascii="Times New Roman" w:hAnsi="Times New Roman" w:eastAsia="方正仿宋简体"/>
          <w:color w:val="auto"/>
          <w:sz w:val="28"/>
          <w:szCs w:val="28"/>
        </w:rPr>
      </w:pPr>
    </w:p>
    <w:p w14:paraId="43E259C1">
      <w:pPr>
        <w:pStyle w:val="19"/>
        <w:tabs>
          <w:tab w:val="left" w:pos="5580"/>
        </w:tabs>
        <w:snapToGrid w:val="0"/>
        <w:spacing w:line="240" w:lineRule="atLeast"/>
        <w:textAlignment w:val="baseline"/>
        <w:rPr>
          <w:rFonts w:hint="eastAsia" w:ascii="Times New Roman" w:hAnsi="Times New Roman" w:eastAsia="方正仿宋简体"/>
          <w:color w:val="auto"/>
          <w:sz w:val="28"/>
          <w:szCs w:val="28"/>
        </w:rPr>
      </w:pPr>
    </w:p>
    <w:p w14:paraId="4D20F647">
      <w:pPr>
        <w:pStyle w:val="19"/>
        <w:tabs>
          <w:tab w:val="left" w:pos="5580"/>
        </w:tabs>
        <w:snapToGrid w:val="0"/>
        <w:spacing w:line="240" w:lineRule="atLeast"/>
        <w:textAlignment w:val="baseline"/>
        <w:rPr>
          <w:rFonts w:ascii="Times New Roman" w:hAnsi="Times New Roman" w:eastAsia="方正仿宋简体"/>
          <w:color w:val="auto"/>
          <w:sz w:val="28"/>
          <w:szCs w:val="28"/>
        </w:rPr>
      </w:pPr>
    </w:p>
    <w:bookmarkEnd w:id="605"/>
    <w:bookmarkEnd w:id="606"/>
    <w:bookmarkEnd w:id="607"/>
    <w:bookmarkEnd w:id="608"/>
    <w:p w14:paraId="7368DF99">
      <w:pPr>
        <w:pStyle w:val="8"/>
        <w:snapToGrid w:val="0"/>
        <w:spacing w:before="0" w:line="240" w:lineRule="atLeast"/>
        <w:textAlignment w:val="baseline"/>
        <w:rPr>
          <w:rFonts w:hint="eastAsia" w:ascii="仿宋_GB2312" w:hAnsi="Times New Roman" w:eastAsia="仿宋_GB2312"/>
          <w:color w:val="auto"/>
          <w:sz w:val="24"/>
          <w:szCs w:val="24"/>
        </w:rPr>
      </w:pPr>
      <w:bookmarkStart w:id="634" w:name="_Toc27254"/>
      <w:bookmarkStart w:id="635" w:name="_Toc9529"/>
      <w:bookmarkStart w:id="636" w:name="_Toc32628"/>
      <w:bookmarkStart w:id="637" w:name="_Toc18940"/>
      <w:bookmarkStart w:id="638" w:name="_Toc23195"/>
      <w:bookmarkStart w:id="639" w:name="_Toc16278"/>
      <w:bookmarkStart w:id="640" w:name="_Toc3467"/>
      <w:bookmarkStart w:id="641" w:name="_Toc21814"/>
      <w:bookmarkStart w:id="642" w:name="_Toc11664"/>
      <w:bookmarkStart w:id="643" w:name="_Toc6343"/>
      <w:bookmarkStart w:id="644" w:name="_Toc9921"/>
      <w:bookmarkStart w:id="645" w:name="_Toc22132"/>
      <w:bookmarkStart w:id="646" w:name="_Toc18267"/>
      <w:bookmarkStart w:id="647" w:name="_Toc24292"/>
      <w:bookmarkStart w:id="648" w:name="_Toc12151"/>
      <w:bookmarkStart w:id="649" w:name="_Toc14037"/>
      <w:bookmarkStart w:id="650" w:name="_Toc515647819"/>
      <w:bookmarkStart w:id="651" w:name="_Toc216582816"/>
      <w:bookmarkStart w:id="652" w:name="_Toc22104"/>
      <w:bookmarkStart w:id="653" w:name="_Toc25251"/>
      <w:r>
        <w:rPr>
          <w:rFonts w:hint="eastAsia" w:ascii="仿宋_GB2312" w:hAnsi="Times New Roman" w:eastAsia="仿宋_GB2312"/>
          <w:color w:val="auto"/>
          <w:sz w:val="24"/>
          <w:szCs w:val="24"/>
        </w:rPr>
        <w:t>1、响应函</w:t>
      </w:r>
      <w:bookmarkEnd w:id="634"/>
    </w:p>
    <w:p w14:paraId="66944F86">
      <w:pPr>
        <w:pStyle w:val="19"/>
        <w:tabs>
          <w:tab w:val="left" w:pos="5580"/>
        </w:tabs>
        <w:ind w:left="2" w:leftChars="1" w:firstLine="480" w:firstLineChars="20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根据贵方(</w:t>
      </w:r>
      <w:r>
        <w:rPr>
          <w:rFonts w:hint="eastAsia" w:ascii="仿宋_GB2312" w:hAnsi="微软雅黑" w:eastAsia="仿宋_GB2312" w:cs="微软雅黑"/>
          <w:i/>
          <w:iCs/>
          <w:color w:val="auto"/>
          <w:sz w:val="24"/>
          <w:szCs w:val="24"/>
          <w:u w:val="single"/>
        </w:rPr>
        <w:t>项目名称、包号</w:t>
      </w:r>
      <w:r>
        <w:rPr>
          <w:rFonts w:hint="eastAsia" w:ascii="仿宋_GB2312" w:hAnsi="微软雅黑" w:eastAsia="仿宋_GB2312" w:cs="微软雅黑"/>
          <w:color w:val="auto"/>
          <w:sz w:val="24"/>
          <w:szCs w:val="24"/>
        </w:rPr>
        <w:t>)项目的谈判邀请(</w:t>
      </w:r>
      <w:r>
        <w:rPr>
          <w:rFonts w:hint="eastAsia" w:ascii="仿宋_GB2312" w:hAnsi="微软雅黑" w:eastAsia="仿宋_GB2312" w:cs="微软雅黑"/>
          <w:i/>
          <w:iCs/>
          <w:color w:val="auto"/>
          <w:sz w:val="24"/>
          <w:szCs w:val="24"/>
          <w:u w:val="single"/>
        </w:rPr>
        <w:t>项目编号</w:t>
      </w:r>
      <w:r>
        <w:rPr>
          <w:rFonts w:hint="eastAsia" w:ascii="仿宋_GB2312" w:hAnsi="微软雅黑" w:eastAsia="仿宋_GB2312" w:cs="微软雅黑"/>
          <w:color w:val="auto"/>
          <w:sz w:val="24"/>
          <w:szCs w:val="24"/>
        </w:rPr>
        <w:t>),签字代表(</w:t>
      </w:r>
      <w:r>
        <w:rPr>
          <w:rFonts w:hint="eastAsia" w:ascii="仿宋_GB2312" w:hAnsi="微软雅黑" w:eastAsia="仿宋_GB2312" w:cs="微软雅黑"/>
          <w:i/>
          <w:iCs/>
          <w:color w:val="auto"/>
          <w:sz w:val="24"/>
          <w:szCs w:val="24"/>
          <w:u w:val="single"/>
        </w:rPr>
        <w:t>姓名、职务</w:t>
      </w:r>
      <w:r>
        <w:rPr>
          <w:rFonts w:hint="eastAsia" w:ascii="仿宋_GB2312" w:hAnsi="微软雅黑" w:eastAsia="仿宋_GB2312" w:cs="微软雅黑"/>
          <w:color w:val="auto"/>
          <w:sz w:val="24"/>
          <w:szCs w:val="24"/>
        </w:rPr>
        <w:t>)经正式授权并代表供应商（</w:t>
      </w:r>
      <w:r>
        <w:rPr>
          <w:rFonts w:hint="eastAsia" w:ascii="仿宋_GB2312" w:hAnsi="微软雅黑" w:eastAsia="仿宋_GB2312" w:cs="微软雅黑"/>
          <w:i/>
          <w:iCs/>
          <w:color w:val="auto"/>
          <w:sz w:val="24"/>
          <w:szCs w:val="24"/>
          <w:u w:val="single"/>
        </w:rPr>
        <w:t>名称、地址</w:t>
      </w:r>
      <w:r>
        <w:rPr>
          <w:rFonts w:hint="eastAsia" w:ascii="仿宋_GB2312" w:hAnsi="微软雅黑" w:eastAsia="仿宋_GB2312" w:cs="微软雅黑"/>
          <w:color w:val="auto"/>
          <w:sz w:val="24"/>
          <w:szCs w:val="24"/>
        </w:rPr>
        <w:t>）上传并签署响应文件，并以</w:t>
      </w:r>
      <w:r>
        <w:rPr>
          <w:rFonts w:hint="eastAsia" w:ascii="仿宋_GB2312" w:hAnsi="微软雅黑" w:eastAsia="仿宋_GB2312" w:cs="微软雅黑"/>
          <w:color w:val="auto"/>
          <w:sz w:val="24"/>
          <w:szCs w:val="24"/>
          <w:u w:val="single"/>
        </w:rPr>
        <w:t xml:space="preserve">         </w:t>
      </w:r>
      <w:r>
        <w:rPr>
          <w:rFonts w:hint="eastAsia" w:ascii="仿宋_GB2312" w:hAnsi="微软雅黑" w:eastAsia="仿宋_GB2312" w:cs="微软雅黑"/>
          <w:color w:val="auto"/>
          <w:sz w:val="24"/>
          <w:szCs w:val="24"/>
        </w:rPr>
        <w:t>形式出具的金额为</w:t>
      </w:r>
      <w:r>
        <w:rPr>
          <w:rFonts w:hint="eastAsia" w:ascii="仿宋_GB2312" w:hAnsi="微软雅黑" w:eastAsia="仿宋_GB2312" w:cs="微软雅黑"/>
          <w:color w:val="auto"/>
          <w:sz w:val="24"/>
          <w:szCs w:val="24"/>
          <w:u w:val="single"/>
        </w:rPr>
        <w:t xml:space="preserve">    元</w:t>
      </w:r>
      <w:r>
        <w:rPr>
          <w:rFonts w:hint="eastAsia" w:ascii="仿宋_GB2312" w:hAnsi="微软雅黑" w:eastAsia="仿宋_GB2312" w:cs="微软雅黑"/>
          <w:color w:val="auto"/>
          <w:sz w:val="24"/>
          <w:szCs w:val="24"/>
        </w:rPr>
        <w:t>人民币的投标保证金。</w:t>
      </w:r>
    </w:p>
    <w:p w14:paraId="3BB654B6">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据此，签字代表宣布同意如下：</w:t>
      </w:r>
    </w:p>
    <w:p w14:paraId="2150B2DE">
      <w:pPr>
        <w:pStyle w:val="19"/>
        <w:tabs>
          <w:tab w:val="left" w:pos="720"/>
          <w:tab w:val="left" w:pos="900"/>
        </w:tabs>
        <w:ind w:left="769" w:leftChars="257" w:hanging="229"/>
        <w:rPr>
          <w:rFonts w:hint="eastAsia" w:ascii="仿宋_GB2312" w:hAnsi="微软雅黑" w:eastAsia="仿宋_GB2312" w:cs="微软雅黑"/>
          <w:color w:val="auto"/>
          <w:sz w:val="24"/>
          <w:szCs w:val="24"/>
          <w:u w:val="single"/>
        </w:rPr>
      </w:pPr>
      <w:r>
        <w:rPr>
          <w:rFonts w:hint="eastAsia" w:ascii="仿宋_GB2312" w:hAnsi="微软雅黑" w:eastAsia="仿宋_GB2312" w:cs="微软雅黑"/>
          <w:color w:val="auto"/>
          <w:sz w:val="24"/>
          <w:szCs w:val="24"/>
        </w:rPr>
        <w:t>（1）附谈判标价格表中规定的应提供货物的谈判总价为</w:t>
      </w:r>
      <w:r>
        <w:rPr>
          <w:rFonts w:hint="eastAsia" w:ascii="仿宋_GB2312" w:hAnsi="微软雅黑" w:eastAsia="仿宋_GB2312" w:cs="微软雅黑"/>
          <w:color w:val="auto"/>
          <w:sz w:val="24"/>
          <w:szCs w:val="24"/>
          <w:u w:val="single"/>
        </w:rPr>
        <w:t>　　  （用文字和数字表示）</w:t>
      </w:r>
      <w:r>
        <w:rPr>
          <w:rFonts w:hint="eastAsia" w:ascii="仿宋_GB2312" w:hAnsi="微软雅黑" w:eastAsia="仿宋_GB2312" w:cs="微软雅黑"/>
          <w:color w:val="auto"/>
          <w:sz w:val="24"/>
          <w:szCs w:val="24"/>
        </w:rPr>
        <w:t>。</w:t>
      </w:r>
    </w:p>
    <w:p w14:paraId="43A0C5B2">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（2）本谈判有效期为自响应文件递交截止之日起</w:t>
      </w:r>
      <w:r>
        <w:rPr>
          <w:rFonts w:hint="eastAsia" w:ascii="仿宋_GB2312" w:hAnsi="微软雅黑" w:eastAsia="仿宋_GB2312" w:cs="微软雅黑"/>
          <w:color w:val="auto"/>
          <w:sz w:val="24"/>
          <w:szCs w:val="24"/>
          <w:u w:val="single"/>
        </w:rPr>
        <w:t xml:space="preserve">  </w:t>
      </w:r>
      <w:r>
        <w:rPr>
          <w:rFonts w:hint="eastAsia" w:ascii="仿宋_GB2312" w:hAnsi="微软雅黑" w:eastAsia="仿宋_GB2312" w:cs="微软雅黑"/>
          <w:color w:val="auto"/>
          <w:sz w:val="24"/>
          <w:szCs w:val="24"/>
          <w:highlight w:val="yellow"/>
          <w:u w:val="single"/>
        </w:rPr>
        <w:t xml:space="preserve">90 </w:t>
      </w:r>
      <w:r>
        <w:rPr>
          <w:rFonts w:hint="eastAsia" w:ascii="仿宋_GB2312" w:hAnsi="微软雅黑" w:eastAsia="仿宋_GB2312" w:cs="微软雅黑"/>
          <w:color w:val="auto"/>
          <w:sz w:val="24"/>
          <w:szCs w:val="24"/>
          <w:highlight w:val="yellow"/>
        </w:rPr>
        <w:t>个日历日</w:t>
      </w:r>
      <w:r>
        <w:rPr>
          <w:rFonts w:hint="eastAsia" w:ascii="仿宋_GB2312" w:hAnsi="微软雅黑" w:eastAsia="仿宋_GB2312" w:cs="微软雅黑"/>
          <w:color w:val="auto"/>
          <w:sz w:val="24"/>
          <w:szCs w:val="24"/>
        </w:rPr>
        <w:t>。</w:t>
      </w:r>
    </w:p>
    <w:p w14:paraId="20CCA5EB">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（3）联合体中的大中型企业和其他自然人、法人或者非法人组织，与联合体中的小型、微型企业之间</w:t>
      </w:r>
      <w:r>
        <w:rPr>
          <w:rFonts w:hint="eastAsia" w:ascii="仿宋_GB2312" w:hAnsi="微软雅黑" w:eastAsia="仿宋_GB2312" w:cs="微软雅黑"/>
          <w:color w:val="auto"/>
          <w:sz w:val="24"/>
          <w:szCs w:val="24"/>
          <w:u w:val="single"/>
        </w:rPr>
        <w:t xml:space="preserve">     （</w:t>
      </w:r>
      <w:r>
        <w:rPr>
          <w:rFonts w:hint="eastAsia" w:ascii="仿宋_GB2312" w:hAnsi="微软雅黑" w:eastAsia="仿宋_GB2312" w:cs="微软雅黑"/>
          <w:color w:val="auto"/>
          <w:sz w:val="24"/>
          <w:szCs w:val="24"/>
        </w:rPr>
        <w:t>存在、不存在）投资关系（如果是联合体的话）。</w:t>
      </w:r>
    </w:p>
    <w:p w14:paraId="6E15A0C3">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（4）已详细审查全部谈判文件，包括所有补充通知（如果有的话），完全理解并同意放弃对这方面有不明、误解和质疑的权力。</w:t>
      </w:r>
    </w:p>
    <w:p w14:paraId="0223D462">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（5）在规定的开标时间后，遵守谈判文件中有关保证金的规定。</w:t>
      </w:r>
    </w:p>
    <w:p w14:paraId="1298D790">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（6）我方不是为本项目提供整体设计、规范编制或者项目管理、监理、检测等服务的供应商，我方不是采购代理机构的附属机构。</w:t>
      </w:r>
    </w:p>
    <w:p w14:paraId="2886B751">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（7）在领取成交通知书的同时按谈判文件规定的形式，向贵方一次性支付成交服务费。</w:t>
      </w:r>
    </w:p>
    <w:p w14:paraId="76184F3F">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（8）按照贵方可能要求，提供与其谈判有关的一切数据或资料。</w:t>
      </w:r>
    </w:p>
    <w:p w14:paraId="6AC15A8D">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（9）按照谈判文件的规定履行合同责任和义务。</w:t>
      </w:r>
    </w:p>
    <w:p w14:paraId="68739407">
      <w:pPr>
        <w:pStyle w:val="19"/>
        <w:tabs>
          <w:tab w:val="left" w:pos="5580"/>
        </w:tabs>
        <w:ind w:left="359" w:leftChars="68" w:hanging="216" w:hangingChars="9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 xml:space="preserve">  与本谈判有关的一切正式往来信函请寄：</w:t>
      </w:r>
    </w:p>
    <w:p w14:paraId="61B66B52">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地址</w:t>
      </w:r>
      <w:r>
        <w:rPr>
          <w:rFonts w:hint="eastAsia" w:ascii="仿宋_GB2312" w:hAnsi="微软雅黑" w:eastAsia="仿宋_GB2312" w:cs="微软雅黑"/>
          <w:color w:val="auto"/>
          <w:sz w:val="24"/>
          <w:szCs w:val="24"/>
          <w:u w:val="single"/>
        </w:rPr>
        <w:t xml:space="preserve">                         </w:t>
      </w:r>
      <w:r>
        <w:rPr>
          <w:rFonts w:hint="eastAsia" w:ascii="仿宋_GB2312" w:hAnsi="微软雅黑" w:eastAsia="仿宋_GB2312" w:cs="微软雅黑"/>
          <w:color w:val="auto"/>
          <w:sz w:val="24"/>
          <w:szCs w:val="24"/>
        </w:rPr>
        <w:t xml:space="preserve">     传真</w:t>
      </w:r>
      <w:r>
        <w:rPr>
          <w:rFonts w:hint="eastAsia" w:ascii="仿宋_GB2312" w:hAnsi="微软雅黑" w:eastAsia="仿宋_GB2312" w:cs="微软雅黑"/>
          <w:color w:val="auto"/>
          <w:sz w:val="24"/>
          <w:szCs w:val="24"/>
          <w:u w:val="single"/>
        </w:rPr>
        <w:t xml:space="preserve">                             </w:t>
      </w:r>
    </w:p>
    <w:p w14:paraId="5CFC9864">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电话</w:t>
      </w:r>
      <w:r>
        <w:rPr>
          <w:rFonts w:hint="eastAsia" w:ascii="仿宋_GB2312" w:hAnsi="微软雅黑" w:eastAsia="仿宋_GB2312" w:cs="微软雅黑"/>
          <w:color w:val="auto"/>
          <w:sz w:val="24"/>
          <w:szCs w:val="24"/>
          <w:u w:val="single"/>
        </w:rPr>
        <w:t xml:space="preserve">                         </w:t>
      </w:r>
      <w:r>
        <w:rPr>
          <w:rFonts w:hint="eastAsia" w:ascii="仿宋_GB2312" w:hAnsi="微软雅黑" w:eastAsia="仿宋_GB2312" w:cs="微软雅黑"/>
          <w:color w:val="auto"/>
          <w:sz w:val="24"/>
          <w:szCs w:val="24"/>
        </w:rPr>
        <w:t xml:space="preserve">     电子函件</w:t>
      </w:r>
      <w:r>
        <w:rPr>
          <w:rFonts w:hint="eastAsia" w:ascii="仿宋_GB2312" w:hAnsi="微软雅黑" w:eastAsia="仿宋_GB2312" w:cs="微软雅黑"/>
          <w:color w:val="auto"/>
          <w:sz w:val="24"/>
          <w:szCs w:val="24"/>
          <w:u w:val="single"/>
        </w:rPr>
        <w:t xml:space="preserve">                         </w:t>
      </w:r>
    </w:p>
    <w:p w14:paraId="396A3FF6">
      <w:pPr>
        <w:pStyle w:val="19"/>
        <w:tabs>
          <w:tab w:val="left" w:pos="5580"/>
        </w:tabs>
        <w:ind w:left="1080" w:leftChars="257" w:hanging="540"/>
        <w:rPr>
          <w:rFonts w:hint="eastAsia" w:ascii="仿宋_GB2312" w:hAnsi="微软雅黑" w:eastAsia="仿宋_GB2312" w:cs="微软雅黑"/>
          <w:color w:val="auto"/>
          <w:sz w:val="24"/>
          <w:szCs w:val="24"/>
          <w:u w:val="single"/>
        </w:rPr>
      </w:pPr>
      <w:r>
        <w:rPr>
          <w:rFonts w:hint="eastAsia" w:ascii="仿宋_GB2312" w:hAnsi="微软雅黑" w:eastAsia="仿宋_GB2312" w:cs="微软雅黑"/>
          <w:color w:val="auto"/>
          <w:sz w:val="24"/>
          <w:szCs w:val="24"/>
        </w:rPr>
        <w:t>法定代表人或其委托代理人（签字或盖章）</w:t>
      </w:r>
      <w:r>
        <w:rPr>
          <w:rFonts w:hint="eastAsia" w:ascii="仿宋_GB2312" w:hAnsi="微软雅黑" w:eastAsia="仿宋_GB2312" w:cs="微软雅黑"/>
          <w:color w:val="auto"/>
          <w:sz w:val="24"/>
          <w:szCs w:val="24"/>
          <w:u w:val="single"/>
        </w:rPr>
        <w:t xml:space="preserve">                </w:t>
      </w:r>
    </w:p>
    <w:p w14:paraId="1CB1EDF7">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供应商名称（公章）</w:t>
      </w:r>
      <w:r>
        <w:rPr>
          <w:rFonts w:hint="eastAsia" w:ascii="仿宋_GB2312" w:hAnsi="微软雅黑" w:eastAsia="仿宋_GB2312" w:cs="微软雅黑"/>
          <w:color w:val="auto"/>
          <w:sz w:val="24"/>
          <w:szCs w:val="24"/>
          <w:u w:val="single"/>
        </w:rPr>
        <w:t xml:space="preserve">                  </w:t>
      </w:r>
    </w:p>
    <w:p w14:paraId="65A20F4C">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供应商开户银行（全称）</w:t>
      </w:r>
      <w:r>
        <w:rPr>
          <w:rFonts w:hint="eastAsia" w:ascii="仿宋_GB2312" w:hAnsi="微软雅黑" w:eastAsia="仿宋_GB2312" w:cs="微软雅黑"/>
          <w:color w:val="auto"/>
          <w:sz w:val="24"/>
          <w:szCs w:val="24"/>
          <w:u w:val="single"/>
        </w:rPr>
        <w:t xml:space="preserve">　　　　　　 </w:t>
      </w:r>
    </w:p>
    <w:p w14:paraId="57E608B7">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供应商银行帐号</w:t>
      </w:r>
      <w:r>
        <w:rPr>
          <w:rFonts w:hint="eastAsia" w:ascii="仿宋_GB2312" w:hAnsi="微软雅黑" w:eastAsia="仿宋_GB2312" w:cs="微软雅黑"/>
          <w:color w:val="auto"/>
          <w:sz w:val="24"/>
          <w:szCs w:val="24"/>
          <w:u w:val="single"/>
        </w:rPr>
        <w:t>　　　　　　　　 　　</w:t>
      </w:r>
    </w:p>
    <w:p w14:paraId="2CB25BA5">
      <w:pPr>
        <w:pStyle w:val="19"/>
        <w:tabs>
          <w:tab w:val="left" w:pos="5580"/>
        </w:tabs>
        <w:ind w:left="1080" w:leftChars="257" w:hanging="540"/>
        <w:rPr>
          <w:rFonts w:hint="eastAsia" w:ascii="仿宋_GB2312" w:hAnsi="微软雅黑" w:eastAsia="仿宋_GB2312" w:cs="微软雅黑"/>
          <w:color w:val="auto"/>
          <w:sz w:val="24"/>
          <w:szCs w:val="24"/>
        </w:rPr>
      </w:pPr>
      <w:r>
        <w:rPr>
          <w:rFonts w:hint="eastAsia" w:ascii="仿宋_GB2312" w:hAnsi="微软雅黑" w:eastAsia="仿宋_GB2312" w:cs="微软雅黑"/>
          <w:color w:val="auto"/>
          <w:sz w:val="24"/>
          <w:szCs w:val="24"/>
        </w:rPr>
        <w:t xml:space="preserve">日期 </w:t>
      </w:r>
      <w:r>
        <w:rPr>
          <w:rFonts w:hint="eastAsia" w:ascii="仿宋_GB2312" w:hAnsi="微软雅黑" w:eastAsia="仿宋_GB2312" w:cs="微软雅黑"/>
          <w:color w:val="auto"/>
          <w:sz w:val="24"/>
          <w:szCs w:val="24"/>
          <w:u w:val="single"/>
        </w:rPr>
        <w:t xml:space="preserve">                      </w:t>
      </w:r>
    </w:p>
    <w:p w14:paraId="78D02844">
      <w:pPr>
        <w:rPr>
          <w:rFonts w:hint="eastAsia" w:eastAsia="方正仿宋简体"/>
          <w:color w:val="auto"/>
          <w:sz w:val="24"/>
          <w:u w:val="single"/>
        </w:rPr>
      </w:pPr>
    </w:p>
    <w:p w14:paraId="5D88E947">
      <w:pPr>
        <w:pStyle w:val="2"/>
        <w:ind w:firstLine="480"/>
        <w:rPr>
          <w:rFonts w:hint="eastAsia"/>
          <w:color w:val="auto"/>
        </w:rPr>
      </w:pPr>
    </w:p>
    <w:p w14:paraId="163A576D">
      <w:pPr>
        <w:pStyle w:val="4"/>
        <w:ind w:firstLine="240"/>
        <w:rPr>
          <w:rFonts w:hint="eastAsia"/>
          <w:color w:val="auto"/>
        </w:rPr>
      </w:pPr>
    </w:p>
    <w:p w14:paraId="4E0F3EE5">
      <w:pPr>
        <w:rPr>
          <w:rFonts w:hint="eastAsia"/>
          <w:color w:val="auto"/>
        </w:rPr>
      </w:pPr>
    </w:p>
    <w:p w14:paraId="7014CEBC">
      <w:pPr>
        <w:pStyle w:val="2"/>
        <w:ind w:firstLine="480"/>
        <w:rPr>
          <w:rFonts w:hint="eastAsia"/>
          <w:color w:val="auto"/>
        </w:rPr>
      </w:pPr>
    </w:p>
    <w:p w14:paraId="7A14BD33">
      <w:pPr>
        <w:pStyle w:val="4"/>
        <w:ind w:firstLine="240"/>
        <w:rPr>
          <w:rFonts w:hint="eastAsia"/>
          <w:color w:val="auto"/>
        </w:rPr>
      </w:pPr>
    </w:p>
    <w:p w14:paraId="59C48865">
      <w:pPr>
        <w:rPr>
          <w:rFonts w:hint="eastAsia"/>
          <w:color w:val="auto"/>
        </w:rPr>
      </w:pPr>
    </w:p>
    <w:p w14:paraId="3993B1D6">
      <w:pPr>
        <w:rPr>
          <w:rFonts w:hint="eastAsia"/>
          <w:color w:val="auto"/>
        </w:rPr>
      </w:pPr>
    </w:p>
    <w:p w14:paraId="558008B7">
      <w:pPr>
        <w:pStyle w:val="2"/>
        <w:ind w:firstLine="480"/>
        <w:rPr>
          <w:rFonts w:hint="eastAsia"/>
          <w:color w:val="auto"/>
        </w:rPr>
      </w:pPr>
    </w:p>
    <w:p w14:paraId="0B456F5E">
      <w:pPr>
        <w:pStyle w:val="9"/>
        <w:rPr>
          <w:rFonts w:hint="eastAsia" w:ascii="Times New Roman"/>
          <w:b w:val="0"/>
          <w:color w:val="auto"/>
          <w:kern w:val="2"/>
          <w:szCs w:val="24"/>
          <w:u w:val="none"/>
        </w:rPr>
      </w:pPr>
    </w:p>
    <w:p w14:paraId="18A96E42">
      <w:pPr>
        <w:pStyle w:val="10"/>
        <w:rPr>
          <w:color w:val="auto"/>
        </w:rPr>
      </w:pPr>
    </w:p>
    <w:p w14:paraId="3A9BBA83">
      <w:pPr>
        <w:pStyle w:val="8"/>
        <w:spacing w:before="0"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2</w:t>
      </w:r>
      <w:bookmarkStart w:id="654" w:name="_Toc5101"/>
      <w:r>
        <w:rPr>
          <w:rFonts w:hint="eastAsia" w:ascii="仿宋_GB2312" w:hAnsi="Times New Roman" w:eastAsia="仿宋_GB2312"/>
          <w:bCs/>
          <w:color w:val="auto"/>
          <w:sz w:val="24"/>
          <w:szCs w:val="24"/>
        </w:rPr>
        <w:t>、货物需求一览表</w:t>
      </w:r>
    </w:p>
    <w:p w14:paraId="0DB5C02A">
      <w:pPr>
        <w:pStyle w:val="19"/>
        <w:spacing w:line="240" w:lineRule="atLeast"/>
        <w:jc w:val="left"/>
        <w:rPr>
          <w:rFonts w:hint="eastAsia" w:ascii="仿宋_GB2312" w:hAnsi="Times New Roman" w:eastAsia="仿宋_GB2312"/>
          <w:color w:val="auto"/>
          <w:sz w:val="24"/>
          <w:szCs w:val="24"/>
        </w:rPr>
      </w:pPr>
    </w:p>
    <w:p w14:paraId="5B19E006">
      <w:pPr>
        <w:pStyle w:val="19"/>
        <w:spacing w:line="400" w:lineRule="exact"/>
        <w:jc w:val="lef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项目名称:                    标段号：</w:t>
      </w:r>
    </w:p>
    <w:p w14:paraId="7965146A">
      <w:pPr>
        <w:pStyle w:val="19"/>
        <w:spacing w:line="400" w:lineRule="exact"/>
        <w:jc w:val="left"/>
        <w:rPr>
          <w:rFonts w:hint="eastAsia" w:ascii="仿宋_GB2312" w:hAnsi="Times New Roman" w:eastAsia="仿宋_GB2312"/>
          <w:color w:val="auto"/>
          <w:sz w:val="24"/>
          <w:szCs w:val="24"/>
        </w:rPr>
      </w:pPr>
    </w:p>
    <w:p w14:paraId="593713DA">
      <w:pPr>
        <w:pStyle w:val="19"/>
        <w:spacing w:line="400" w:lineRule="exact"/>
        <w:jc w:val="left"/>
        <w:rPr>
          <w:rFonts w:hint="eastAsia" w:ascii="仿宋_GB2312" w:hAnsi="Times New Roman" w:eastAsia="仿宋_GB2312"/>
          <w:b/>
          <w:bCs/>
          <w:color w:val="auto"/>
          <w:sz w:val="24"/>
          <w:szCs w:val="24"/>
        </w:rPr>
      </w:pPr>
      <w:r>
        <w:rPr>
          <w:rFonts w:hint="eastAsia" w:ascii="仿宋_GB2312" w:hAnsi="Times New Roman" w:eastAsia="仿宋_GB2312"/>
          <w:color w:val="auto"/>
          <w:sz w:val="24"/>
          <w:szCs w:val="24"/>
        </w:rPr>
        <w:t>项目编号:                    报价单位：人民币</w:t>
      </w:r>
      <w:r>
        <w:rPr>
          <w:rFonts w:hint="eastAsia" w:ascii="仿宋_GB2312" w:hAnsi="Times New Roman" w:eastAsia="仿宋_GB2312"/>
          <w:b/>
          <w:bCs/>
          <w:color w:val="auto"/>
          <w:sz w:val="24"/>
          <w:szCs w:val="24"/>
        </w:rPr>
        <w:t>元</w:t>
      </w:r>
    </w:p>
    <w:p w14:paraId="307F1AE2">
      <w:pPr>
        <w:pStyle w:val="19"/>
        <w:spacing w:line="400" w:lineRule="exact"/>
        <w:jc w:val="lef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xml:space="preserve">                                         </w:t>
      </w:r>
    </w:p>
    <w:p w14:paraId="5EE88B5E">
      <w:pPr>
        <w:pStyle w:val="19"/>
        <w:spacing w:line="400" w:lineRule="exact"/>
        <w:ind w:left="1080" w:leftChars="257" w:hanging="540"/>
        <w:rPr>
          <w:rFonts w:hint="eastAsia" w:ascii="仿宋_GB2312" w:hAnsi="Times New Roman" w:eastAsia="仿宋_GB2312"/>
          <w:color w:val="auto"/>
          <w:sz w:val="24"/>
          <w:szCs w:val="24"/>
        </w:rPr>
      </w:pPr>
    </w:p>
    <w:tbl>
      <w:tblPr>
        <w:tblStyle w:val="40"/>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03"/>
        <w:gridCol w:w="897"/>
        <w:gridCol w:w="1295"/>
        <w:gridCol w:w="1183"/>
        <w:gridCol w:w="1131"/>
        <w:gridCol w:w="1268"/>
        <w:gridCol w:w="996"/>
      </w:tblGrid>
      <w:tr w14:paraId="1CBB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762" w:type="dxa"/>
            <w:vAlign w:val="center"/>
          </w:tcPr>
          <w:p w14:paraId="2CDCB18E">
            <w:pPr>
              <w:widowControl/>
              <w:spacing w:line="400" w:lineRule="exact"/>
              <w:jc w:val="center"/>
              <w:textAlignment w:val="center"/>
              <w:rPr>
                <w:rFonts w:hint="eastAsia" w:ascii="仿宋_GB2312" w:eastAsia="仿宋_GB2312"/>
                <w:color w:val="auto"/>
                <w:sz w:val="24"/>
              </w:rPr>
            </w:pPr>
            <w:r>
              <w:rPr>
                <w:rFonts w:hint="eastAsia" w:ascii="仿宋_GB2312" w:eastAsia="仿宋_GB2312"/>
                <w:color w:val="auto"/>
                <w:kern w:val="0"/>
                <w:sz w:val="24"/>
              </w:rPr>
              <w:t>序号</w:t>
            </w:r>
          </w:p>
        </w:tc>
        <w:tc>
          <w:tcPr>
            <w:tcW w:w="1603" w:type="dxa"/>
            <w:vAlign w:val="center"/>
          </w:tcPr>
          <w:p w14:paraId="3BE55EAA">
            <w:pPr>
              <w:widowControl/>
              <w:spacing w:line="400" w:lineRule="exact"/>
              <w:jc w:val="center"/>
              <w:textAlignment w:val="center"/>
              <w:rPr>
                <w:rFonts w:hint="eastAsia" w:ascii="仿宋_GB2312" w:eastAsia="仿宋_GB2312"/>
                <w:color w:val="auto"/>
                <w:sz w:val="24"/>
              </w:rPr>
            </w:pPr>
            <w:r>
              <w:rPr>
                <w:rFonts w:hint="eastAsia" w:ascii="仿宋_GB2312" w:eastAsia="仿宋_GB2312"/>
                <w:color w:val="auto"/>
                <w:kern w:val="0"/>
                <w:sz w:val="24"/>
              </w:rPr>
              <w:t>货物名称</w:t>
            </w:r>
          </w:p>
        </w:tc>
        <w:tc>
          <w:tcPr>
            <w:tcW w:w="897" w:type="dxa"/>
            <w:vAlign w:val="center"/>
          </w:tcPr>
          <w:p w14:paraId="30C8DAE8">
            <w:pPr>
              <w:widowControl/>
              <w:spacing w:line="400" w:lineRule="exact"/>
              <w:jc w:val="center"/>
              <w:textAlignment w:val="center"/>
              <w:rPr>
                <w:rFonts w:hint="eastAsia" w:ascii="仿宋_GB2312" w:eastAsia="仿宋_GB2312"/>
                <w:color w:val="auto"/>
                <w:sz w:val="24"/>
              </w:rPr>
            </w:pPr>
            <w:r>
              <w:rPr>
                <w:rFonts w:hint="eastAsia" w:ascii="仿宋_GB2312" w:eastAsia="仿宋_GB2312"/>
                <w:color w:val="auto"/>
                <w:kern w:val="0"/>
                <w:sz w:val="24"/>
              </w:rPr>
              <w:t>数量</w:t>
            </w:r>
          </w:p>
        </w:tc>
        <w:tc>
          <w:tcPr>
            <w:tcW w:w="1295" w:type="dxa"/>
            <w:vAlign w:val="center"/>
          </w:tcPr>
          <w:p w14:paraId="5817D7CA">
            <w:pPr>
              <w:widowControl/>
              <w:spacing w:line="400" w:lineRule="exact"/>
              <w:jc w:val="center"/>
              <w:textAlignment w:val="center"/>
              <w:rPr>
                <w:rFonts w:hint="eastAsia" w:ascii="仿宋_GB2312" w:eastAsia="仿宋_GB2312"/>
                <w:color w:val="auto"/>
                <w:kern w:val="0"/>
                <w:sz w:val="24"/>
              </w:rPr>
            </w:pPr>
            <w:r>
              <w:rPr>
                <w:rFonts w:hint="eastAsia" w:ascii="仿宋_GB2312" w:eastAsia="仿宋_GB2312"/>
                <w:color w:val="auto"/>
                <w:kern w:val="0"/>
                <w:sz w:val="24"/>
              </w:rPr>
              <w:t>规格参数</w:t>
            </w:r>
          </w:p>
        </w:tc>
        <w:tc>
          <w:tcPr>
            <w:tcW w:w="1183" w:type="dxa"/>
            <w:vAlign w:val="center"/>
          </w:tcPr>
          <w:p w14:paraId="3ADA24EC">
            <w:pPr>
              <w:widowControl/>
              <w:spacing w:line="400" w:lineRule="exact"/>
              <w:jc w:val="center"/>
              <w:textAlignment w:val="center"/>
              <w:rPr>
                <w:rFonts w:hint="eastAsia" w:ascii="仿宋_GB2312" w:eastAsia="仿宋_GB2312"/>
                <w:color w:val="auto"/>
                <w:kern w:val="0"/>
                <w:sz w:val="24"/>
              </w:rPr>
            </w:pPr>
            <w:r>
              <w:rPr>
                <w:rFonts w:hint="eastAsia" w:ascii="仿宋_GB2312" w:eastAsia="仿宋_GB2312"/>
                <w:color w:val="auto"/>
                <w:kern w:val="0"/>
                <w:sz w:val="24"/>
              </w:rPr>
              <w:t>品牌</w:t>
            </w:r>
          </w:p>
          <w:p w14:paraId="0A9ED0B2">
            <w:pPr>
              <w:widowControl/>
              <w:spacing w:line="400" w:lineRule="exact"/>
              <w:jc w:val="center"/>
              <w:textAlignment w:val="center"/>
              <w:rPr>
                <w:rFonts w:hint="eastAsia" w:ascii="仿宋_GB2312" w:eastAsia="仿宋_GB2312"/>
                <w:color w:val="auto"/>
                <w:kern w:val="0"/>
                <w:sz w:val="24"/>
              </w:rPr>
            </w:pPr>
            <w:r>
              <w:rPr>
                <w:rFonts w:hint="eastAsia" w:ascii="仿宋_GB2312" w:eastAsia="仿宋_GB2312"/>
                <w:color w:val="auto"/>
                <w:kern w:val="0"/>
                <w:sz w:val="24"/>
              </w:rPr>
              <w:t>型号</w:t>
            </w:r>
          </w:p>
        </w:tc>
        <w:tc>
          <w:tcPr>
            <w:tcW w:w="1131" w:type="dxa"/>
            <w:vAlign w:val="center"/>
          </w:tcPr>
          <w:p w14:paraId="1D4A9FF4">
            <w:pPr>
              <w:widowControl/>
              <w:spacing w:line="400" w:lineRule="exact"/>
              <w:jc w:val="center"/>
              <w:textAlignment w:val="center"/>
              <w:rPr>
                <w:rFonts w:hint="eastAsia" w:ascii="仿宋_GB2312" w:eastAsia="仿宋_GB2312"/>
                <w:color w:val="auto"/>
                <w:kern w:val="0"/>
                <w:sz w:val="24"/>
              </w:rPr>
            </w:pPr>
            <w:r>
              <w:rPr>
                <w:rFonts w:hint="eastAsia" w:ascii="仿宋_GB2312" w:eastAsia="仿宋_GB2312"/>
                <w:color w:val="auto"/>
                <w:kern w:val="0"/>
                <w:sz w:val="24"/>
              </w:rPr>
              <w:t>供货期</w:t>
            </w:r>
          </w:p>
        </w:tc>
        <w:tc>
          <w:tcPr>
            <w:tcW w:w="1268" w:type="dxa"/>
            <w:vAlign w:val="center"/>
          </w:tcPr>
          <w:p w14:paraId="06053BF2">
            <w:pPr>
              <w:widowControl/>
              <w:spacing w:line="400" w:lineRule="exact"/>
              <w:jc w:val="center"/>
              <w:textAlignment w:val="center"/>
              <w:rPr>
                <w:rFonts w:hint="eastAsia" w:ascii="仿宋_GB2312" w:eastAsia="仿宋_GB2312"/>
                <w:color w:val="auto"/>
                <w:kern w:val="0"/>
                <w:sz w:val="24"/>
              </w:rPr>
            </w:pPr>
            <w:r>
              <w:rPr>
                <w:rFonts w:hint="eastAsia" w:ascii="仿宋_GB2312" w:eastAsia="仿宋_GB2312"/>
                <w:color w:val="auto"/>
                <w:kern w:val="0"/>
                <w:sz w:val="24"/>
              </w:rPr>
              <w:t>供货</w:t>
            </w:r>
          </w:p>
          <w:p w14:paraId="3398C406">
            <w:pPr>
              <w:widowControl/>
              <w:spacing w:line="400" w:lineRule="exact"/>
              <w:jc w:val="center"/>
              <w:textAlignment w:val="center"/>
              <w:rPr>
                <w:rFonts w:hint="eastAsia" w:ascii="仿宋_GB2312" w:eastAsia="仿宋_GB2312"/>
                <w:color w:val="auto"/>
                <w:sz w:val="24"/>
              </w:rPr>
            </w:pPr>
            <w:r>
              <w:rPr>
                <w:rFonts w:hint="eastAsia" w:ascii="仿宋_GB2312" w:eastAsia="仿宋_GB2312"/>
                <w:color w:val="auto"/>
                <w:kern w:val="0"/>
                <w:sz w:val="24"/>
              </w:rPr>
              <w:t>地点</w:t>
            </w:r>
          </w:p>
        </w:tc>
        <w:tc>
          <w:tcPr>
            <w:tcW w:w="996" w:type="dxa"/>
            <w:vAlign w:val="center"/>
          </w:tcPr>
          <w:p w14:paraId="5FD093D2">
            <w:pPr>
              <w:widowControl/>
              <w:spacing w:line="400" w:lineRule="exact"/>
              <w:jc w:val="center"/>
              <w:textAlignment w:val="center"/>
              <w:rPr>
                <w:rFonts w:hint="eastAsia" w:ascii="仿宋_GB2312" w:eastAsia="仿宋_GB2312"/>
                <w:color w:val="auto"/>
                <w:kern w:val="0"/>
                <w:sz w:val="24"/>
              </w:rPr>
            </w:pPr>
            <w:r>
              <w:rPr>
                <w:rFonts w:hint="eastAsia" w:ascii="仿宋_GB2312" w:eastAsia="仿宋_GB2312"/>
                <w:color w:val="auto"/>
                <w:kern w:val="0"/>
                <w:sz w:val="24"/>
              </w:rPr>
              <w:t>其他</w:t>
            </w:r>
          </w:p>
        </w:tc>
      </w:tr>
      <w:tr w14:paraId="20A1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5E74B0AF">
            <w:pPr>
              <w:pStyle w:val="19"/>
              <w:spacing w:line="400" w:lineRule="exact"/>
              <w:ind w:left="1080" w:leftChars="257" w:hanging="540"/>
              <w:rPr>
                <w:rFonts w:hint="eastAsia" w:ascii="仿宋_GB2312" w:hAnsi="Times New Roman" w:eastAsia="仿宋_GB2312"/>
                <w:color w:val="auto"/>
                <w:sz w:val="24"/>
                <w:szCs w:val="24"/>
              </w:rPr>
            </w:pPr>
          </w:p>
        </w:tc>
        <w:tc>
          <w:tcPr>
            <w:tcW w:w="1603" w:type="dxa"/>
          </w:tcPr>
          <w:p w14:paraId="7006AAE6">
            <w:pPr>
              <w:pStyle w:val="19"/>
              <w:spacing w:line="400" w:lineRule="exact"/>
              <w:ind w:left="1080" w:leftChars="257" w:hanging="540"/>
              <w:rPr>
                <w:rFonts w:hint="eastAsia" w:ascii="仿宋_GB2312" w:hAnsi="Times New Roman" w:eastAsia="仿宋_GB2312"/>
                <w:color w:val="auto"/>
                <w:sz w:val="24"/>
                <w:szCs w:val="24"/>
              </w:rPr>
            </w:pPr>
          </w:p>
        </w:tc>
        <w:tc>
          <w:tcPr>
            <w:tcW w:w="897" w:type="dxa"/>
          </w:tcPr>
          <w:p w14:paraId="02E648C1">
            <w:pPr>
              <w:pStyle w:val="19"/>
              <w:spacing w:line="400" w:lineRule="exact"/>
              <w:ind w:left="1080" w:leftChars="257" w:hanging="540"/>
              <w:rPr>
                <w:rFonts w:hint="eastAsia" w:ascii="仿宋_GB2312" w:hAnsi="Times New Roman" w:eastAsia="仿宋_GB2312"/>
                <w:color w:val="auto"/>
                <w:sz w:val="24"/>
                <w:szCs w:val="24"/>
              </w:rPr>
            </w:pPr>
          </w:p>
        </w:tc>
        <w:tc>
          <w:tcPr>
            <w:tcW w:w="1295" w:type="dxa"/>
          </w:tcPr>
          <w:p w14:paraId="23B8F53D">
            <w:pPr>
              <w:pStyle w:val="19"/>
              <w:spacing w:line="400" w:lineRule="exact"/>
              <w:ind w:left="1080" w:leftChars="257" w:hanging="540"/>
              <w:rPr>
                <w:rFonts w:hint="eastAsia" w:ascii="仿宋_GB2312" w:hAnsi="Times New Roman" w:eastAsia="仿宋_GB2312"/>
                <w:color w:val="auto"/>
                <w:sz w:val="24"/>
                <w:szCs w:val="24"/>
              </w:rPr>
            </w:pPr>
          </w:p>
        </w:tc>
        <w:tc>
          <w:tcPr>
            <w:tcW w:w="1183" w:type="dxa"/>
          </w:tcPr>
          <w:p w14:paraId="66F09EA5">
            <w:pPr>
              <w:pStyle w:val="19"/>
              <w:spacing w:line="400" w:lineRule="exact"/>
              <w:ind w:left="1080" w:leftChars="257" w:hanging="540"/>
              <w:rPr>
                <w:rFonts w:hint="eastAsia" w:ascii="仿宋_GB2312" w:hAnsi="Times New Roman" w:eastAsia="仿宋_GB2312"/>
                <w:color w:val="auto"/>
                <w:sz w:val="24"/>
                <w:szCs w:val="24"/>
              </w:rPr>
            </w:pPr>
          </w:p>
        </w:tc>
        <w:tc>
          <w:tcPr>
            <w:tcW w:w="1131" w:type="dxa"/>
          </w:tcPr>
          <w:p w14:paraId="215E4664">
            <w:pPr>
              <w:pStyle w:val="19"/>
              <w:spacing w:line="400" w:lineRule="exact"/>
              <w:ind w:left="1080" w:leftChars="257" w:hanging="540"/>
              <w:rPr>
                <w:rFonts w:hint="eastAsia" w:ascii="仿宋_GB2312" w:hAnsi="Times New Roman" w:eastAsia="仿宋_GB2312"/>
                <w:color w:val="auto"/>
                <w:sz w:val="24"/>
                <w:szCs w:val="24"/>
              </w:rPr>
            </w:pPr>
          </w:p>
        </w:tc>
        <w:tc>
          <w:tcPr>
            <w:tcW w:w="1268" w:type="dxa"/>
          </w:tcPr>
          <w:p w14:paraId="1E859D4A">
            <w:pPr>
              <w:pStyle w:val="19"/>
              <w:spacing w:line="400" w:lineRule="exact"/>
              <w:ind w:left="1080" w:leftChars="257" w:hanging="540"/>
              <w:rPr>
                <w:rFonts w:hint="eastAsia" w:ascii="仿宋_GB2312" w:hAnsi="Times New Roman" w:eastAsia="仿宋_GB2312"/>
                <w:color w:val="auto"/>
                <w:sz w:val="24"/>
                <w:szCs w:val="24"/>
              </w:rPr>
            </w:pPr>
          </w:p>
        </w:tc>
        <w:tc>
          <w:tcPr>
            <w:tcW w:w="996" w:type="dxa"/>
          </w:tcPr>
          <w:p w14:paraId="19FFA0A9">
            <w:pPr>
              <w:pStyle w:val="19"/>
              <w:spacing w:line="400" w:lineRule="exact"/>
              <w:ind w:left="1080" w:leftChars="257" w:hanging="540"/>
              <w:rPr>
                <w:rFonts w:hint="eastAsia" w:ascii="仿宋_GB2312" w:hAnsi="Times New Roman" w:eastAsia="仿宋_GB2312"/>
                <w:color w:val="auto"/>
                <w:sz w:val="24"/>
                <w:szCs w:val="24"/>
              </w:rPr>
            </w:pPr>
          </w:p>
        </w:tc>
      </w:tr>
      <w:tr w14:paraId="341B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6FADEB84">
            <w:pPr>
              <w:pStyle w:val="19"/>
              <w:spacing w:line="400" w:lineRule="exact"/>
              <w:ind w:left="1080" w:leftChars="257" w:hanging="540"/>
              <w:rPr>
                <w:rFonts w:hint="eastAsia" w:ascii="仿宋_GB2312" w:hAnsi="Times New Roman" w:eastAsia="仿宋_GB2312"/>
                <w:color w:val="auto"/>
                <w:sz w:val="24"/>
                <w:szCs w:val="24"/>
              </w:rPr>
            </w:pPr>
          </w:p>
        </w:tc>
        <w:tc>
          <w:tcPr>
            <w:tcW w:w="1603" w:type="dxa"/>
          </w:tcPr>
          <w:p w14:paraId="14707365">
            <w:pPr>
              <w:pStyle w:val="19"/>
              <w:spacing w:line="400" w:lineRule="exact"/>
              <w:ind w:left="1080" w:leftChars="257" w:hanging="540"/>
              <w:rPr>
                <w:rFonts w:hint="eastAsia" w:ascii="仿宋_GB2312" w:hAnsi="Times New Roman" w:eastAsia="仿宋_GB2312"/>
                <w:color w:val="auto"/>
                <w:sz w:val="24"/>
                <w:szCs w:val="24"/>
              </w:rPr>
            </w:pPr>
          </w:p>
        </w:tc>
        <w:tc>
          <w:tcPr>
            <w:tcW w:w="897" w:type="dxa"/>
          </w:tcPr>
          <w:p w14:paraId="0F4276AA">
            <w:pPr>
              <w:pStyle w:val="19"/>
              <w:spacing w:line="400" w:lineRule="exact"/>
              <w:ind w:left="1080" w:leftChars="257" w:hanging="540"/>
              <w:rPr>
                <w:rFonts w:hint="eastAsia" w:ascii="仿宋_GB2312" w:hAnsi="Times New Roman" w:eastAsia="仿宋_GB2312"/>
                <w:color w:val="auto"/>
                <w:sz w:val="24"/>
                <w:szCs w:val="24"/>
              </w:rPr>
            </w:pPr>
          </w:p>
        </w:tc>
        <w:tc>
          <w:tcPr>
            <w:tcW w:w="1295" w:type="dxa"/>
          </w:tcPr>
          <w:p w14:paraId="59C29344">
            <w:pPr>
              <w:pStyle w:val="19"/>
              <w:spacing w:line="400" w:lineRule="exact"/>
              <w:ind w:left="1080" w:leftChars="257" w:hanging="540"/>
              <w:rPr>
                <w:rFonts w:hint="eastAsia" w:ascii="仿宋_GB2312" w:hAnsi="Times New Roman" w:eastAsia="仿宋_GB2312"/>
                <w:color w:val="auto"/>
                <w:sz w:val="24"/>
                <w:szCs w:val="24"/>
              </w:rPr>
            </w:pPr>
          </w:p>
        </w:tc>
        <w:tc>
          <w:tcPr>
            <w:tcW w:w="1183" w:type="dxa"/>
          </w:tcPr>
          <w:p w14:paraId="7D898DF3">
            <w:pPr>
              <w:pStyle w:val="19"/>
              <w:spacing w:line="400" w:lineRule="exact"/>
              <w:ind w:left="1080" w:leftChars="257" w:hanging="540"/>
              <w:rPr>
                <w:rFonts w:hint="eastAsia" w:ascii="仿宋_GB2312" w:hAnsi="Times New Roman" w:eastAsia="仿宋_GB2312"/>
                <w:color w:val="auto"/>
                <w:sz w:val="24"/>
                <w:szCs w:val="24"/>
              </w:rPr>
            </w:pPr>
          </w:p>
        </w:tc>
        <w:tc>
          <w:tcPr>
            <w:tcW w:w="1131" w:type="dxa"/>
          </w:tcPr>
          <w:p w14:paraId="7A8C70B1">
            <w:pPr>
              <w:pStyle w:val="19"/>
              <w:spacing w:line="400" w:lineRule="exact"/>
              <w:ind w:left="1080" w:leftChars="257" w:hanging="540"/>
              <w:rPr>
                <w:rFonts w:hint="eastAsia" w:ascii="仿宋_GB2312" w:hAnsi="Times New Roman" w:eastAsia="仿宋_GB2312"/>
                <w:color w:val="auto"/>
                <w:sz w:val="24"/>
                <w:szCs w:val="24"/>
              </w:rPr>
            </w:pPr>
          </w:p>
        </w:tc>
        <w:tc>
          <w:tcPr>
            <w:tcW w:w="1268" w:type="dxa"/>
          </w:tcPr>
          <w:p w14:paraId="5FB5A6B4">
            <w:pPr>
              <w:pStyle w:val="19"/>
              <w:spacing w:line="400" w:lineRule="exact"/>
              <w:ind w:left="1080" w:leftChars="257" w:hanging="540"/>
              <w:rPr>
                <w:rFonts w:hint="eastAsia" w:ascii="仿宋_GB2312" w:hAnsi="Times New Roman" w:eastAsia="仿宋_GB2312"/>
                <w:color w:val="auto"/>
                <w:sz w:val="24"/>
                <w:szCs w:val="24"/>
              </w:rPr>
            </w:pPr>
          </w:p>
        </w:tc>
        <w:tc>
          <w:tcPr>
            <w:tcW w:w="996" w:type="dxa"/>
          </w:tcPr>
          <w:p w14:paraId="2874EBD8">
            <w:pPr>
              <w:pStyle w:val="19"/>
              <w:spacing w:line="400" w:lineRule="exact"/>
              <w:ind w:left="1080" w:leftChars="257" w:hanging="540"/>
              <w:rPr>
                <w:rFonts w:hint="eastAsia" w:ascii="仿宋_GB2312" w:hAnsi="Times New Roman" w:eastAsia="仿宋_GB2312"/>
                <w:color w:val="auto"/>
                <w:sz w:val="24"/>
                <w:szCs w:val="24"/>
              </w:rPr>
            </w:pPr>
          </w:p>
        </w:tc>
      </w:tr>
      <w:tr w14:paraId="023D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0B68E701">
            <w:pPr>
              <w:pStyle w:val="19"/>
              <w:spacing w:line="400" w:lineRule="exact"/>
              <w:ind w:left="1080" w:leftChars="257" w:hanging="540"/>
              <w:rPr>
                <w:rFonts w:hint="eastAsia" w:ascii="仿宋_GB2312" w:hAnsi="Times New Roman" w:eastAsia="仿宋_GB2312"/>
                <w:color w:val="auto"/>
                <w:sz w:val="24"/>
                <w:szCs w:val="24"/>
              </w:rPr>
            </w:pPr>
          </w:p>
        </w:tc>
        <w:tc>
          <w:tcPr>
            <w:tcW w:w="1603" w:type="dxa"/>
          </w:tcPr>
          <w:p w14:paraId="0B94C4D8">
            <w:pPr>
              <w:pStyle w:val="19"/>
              <w:spacing w:line="400" w:lineRule="exact"/>
              <w:ind w:left="1080" w:leftChars="257" w:hanging="540"/>
              <w:rPr>
                <w:rFonts w:hint="eastAsia" w:ascii="仿宋_GB2312" w:hAnsi="Times New Roman" w:eastAsia="仿宋_GB2312"/>
                <w:color w:val="auto"/>
                <w:sz w:val="24"/>
                <w:szCs w:val="24"/>
              </w:rPr>
            </w:pPr>
          </w:p>
        </w:tc>
        <w:tc>
          <w:tcPr>
            <w:tcW w:w="897" w:type="dxa"/>
          </w:tcPr>
          <w:p w14:paraId="0C7E0122">
            <w:pPr>
              <w:pStyle w:val="19"/>
              <w:spacing w:line="400" w:lineRule="exact"/>
              <w:ind w:left="1080" w:leftChars="257" w:hanging="540"/>
              <w:rPr>
                <w:rFonts w:hint="eastAsia" w:ascii="仿宋_GB2312" w:hAnsi="Times New Roman" w:eastAsia="仿宋_GB2312"/>
                <w:color w:val="auto"/>
                <w:sz w:val="24"/>
                <w:szCs w:val="24"/>
              </w:rPr>
            </w:pPr>
          </w:p>
        </w:tc>
        <w:tc>
          <w:tcPr>
            <w:tcW w:w="1295" w:type="dxa"/>
          </w:tcPr>
          <w:p w14:paraId="3D538EE0">
            <w:pPr>
              <w:pStyle w:val="19"/>
              <w:spacing w:line="400" w:lineRule="exact"/>
              <w:ind w:left="1080" w:leftChars="257" w:hanging="540"/>
              <w:rPr>
                <w:rFonts w:hint="eastAsia" w:ascii="仿宋_GB2312" w:hAnsi="Times New Roman" w:eastAsia="仿宋_GB2312"/>
                <w:color w:val="auto"/>
                <w:sz w:val="24"/>
                <w:szCs w:val="24"/>
              </w:rPr>
            </w:pPr>
          </w:p>
        </w:tc>
        <w:tc>
          <w:tcPr>
            <w:tcW w:w="1183" w:type="dxa"/>
          </w:tcPr>
          <w:p w14:paraId="7593D974">
            <w:pPr>
              <w:pStyle w:val="19"/>
              <w:spacing w:line="400" w:lineRule="exact"/>
              <w:ind w:left="1080" w:leftChars="257" w:hanging="540"/>
              <w:rPr>
                <w:rFonts w:hint="eastAsia" w:ascii="仿宋_GB2312" w:hAnsi="Times New Roman" w:eastAsia="仿宋_GB2312"/>
                <w:color w:val="auto"/>
                <w:sz w:val="24"/>
                <w:szCs w:val="24"/>
              </w:rPr>
            </w:pPr>
          </w:p>
        </w:tc>
        <w:tc>
          <w:tcPr>
            <w:tcW w:w="1131" w:type="dxa"/>
          </w:tcPr>
          <w:p w14:paraId="639272EF">
            <w:pPr>
              <w:pStyle w:val="19"/>
              <w:spacing w:line="400" w:lineRule="exact"/>
              <w:ind w:left="1080" w:leftChars="257" w:hanging="540"/>
              <w:rPr>
                <w:rFonts w:hint="eastAsia" w:ascii="仿宋_GB2312" w:hAnsi="Times New Roman" w:eastAsia="仿宋_GB2312"/>
                <w:color w:val="auto"/>
                <w:sz w:val="24"/>
                <w:szCs w:val="24"/>
              </w:rPr>
            </w:pPr>
          </w:p>
        </w:tc>
        <w:tc>
          <w:tcPr>
            <w:tcW w:w="1268" w:type="dxa"/>
          </w:tcPr>
          <w:p w14:paraId="4E635F89">
            <w:pPr>
              <w:pStyle w:val="19"/>
              <w:spacing w:line="400" w:lineRule="exact"/>
              <w:ind w:left="1080" w:leftChars="257" w:hanging="540"/>
              <w:rPr>
                <w:rFonts w:hint="eastAsia" w:ascii="仿宋_GB2312" w:hAnsi="Times New Roman" w:eastAsia="仿宋_GB2312"/>
                <w:color w:val="auto"/>
                <w:sz w:val="24"/>
                <w:szCs w:val="24"/>
              </w:rPr>
            </w:pPr>
          </w:p>
        </w:tc>
        <w:tc>
          <w:tcPr>
            <w:tcW w:w="996" w:type="dxa"/>
          </w:tcPr>
          <w:p w14:paraId="6AAE0699">
            <w:pPr>
              <w:pStyle w:val="19"/>
              <w:spacing w:line="400" w:lineRule="exact"/>
              <w:ind w:left="1080" w:leftChars="257" w:hanging="540"/>
              <w:rPr>
                <w:rFonts w:hint="eastAsia" w:ascii="仿宋_GB2312" w:hAnsi="Times New Roman" w:eastAsia="仿宋_GB2312"/>
                <w:color w:val="auto"/>
                <w:sz w:val="24"/>
                <w:szCs w:val="24"/>
              </w:rPr>
            </w:pPr>
          </w:p>
        </w:tc>
      </w:tr>
      <w:tr w14:paraId="2607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332E950C">
            <w:pPr>
              <w:pStyle w:val="19"/>
              <w:spacing w:line="400" w:lineRule="exact"/>
              <w:ind w:left="1080" w:leftChars="257" w:hanging="540"/>
              <w:rPr>
                <w:rFonts w:hint="eastAsia" w:ascii="仿宋_GB2312" w:hAnsi="Times New Roman" w:eastAsia="仿宋_GB2312"/>
                <w:color w:val="auto"/>
                <w:sz w:val="24"/>
                <w:szCs w:val="24"/>
              </w:rPr>
            </w:pPr>
          </w:p>
        </w:tc>
        <w:tc>
          <w:tcPr>
            <w:tcW w:w="1603" w:type="dxa"/>
          </w:tcPr>
          <w:p w14:paraId="33980135">
            <w:pPr>
              <w:pStyle w:val="19"/>
              <w:spacing w:line="400" w:lineRule="exact"/>
              <w:ind w:left="1080" w:leftChars="257" w:hanging="540"/>
              <w:rPr>
                <w:rFonts w:hint="eastAsia" w:ascii="仿宋_GB2312" w:hAnsi="Times New Roman" w:eastAsia="仿宋_GB2312"/>
                <w:color w:val="auto"/>
                <w:sz w:val="24"/>
                <w:szCs w:val="24"/>
              </w:rPr>
            </w:pPr>
          </w:p>
        </w:tc>
        <w:tc>
          <w:tcPr>
            <w:tcW w:w="897" w:type="dxa"/>
          </w:tcPr>
          <w:p w14:paraId="572881E0">
            <w:pPr>
              <w:pStyle w:val="19"/>
              <w:spacing w:line="400" w:lineRule="exact"/>
              <w:ind w:left="1080" w:leftChars="257" w:hanging="540"/>
              <w:rPr>
                <w:rFonts w:hint="eastAsia" w:ascii="仿宋_GB2312" w:hAnsi="Times New Roman" w:eastAsia="仿宋_GB2312"/>
                <w:color w:val="auto"/>
                <w:sz w:val="24"/>
                <w:szCs w:val="24"/>
              </w:rPr>
            </w:pPr>
          </w:p>
        </w:tc>
        <w:tc>
          <w:tcPr>
            <w:tcW w:w="1295" w:type="dxa"/>
          </w:tcPr>
          <w:p w14:paraId="65B07441">
            <w:pPr>
              <w:pStyle w:val="19"/>
              <w:spacing w:line="400" w:lineRule="exact"/>
              <w:ind w:left="1080" w:leftChars="257" w:hanging="540"/>
              <w:rPr>
                <w:rFonts w:hint="eastAsia" w:ascii="仿宋_GB2312" w:hAnsi="Times New Roman" w:eastAsia="仿宋_GB2312"/>
                <w:color w:val="auto"/>
                <w:sz w:val="24"/>
                <w:szCs w:val="24"/>
              </w:rPr>
            </w:pPr>
          </w:p>
        </w:tc>
        <w:tc>
          <w:tcPr>
            <w:tcW w:w="1183" w:type="dxa"/>
          </w:tcPr>
          <w:p w14:paraId="2571EAAA">
            <w:pPr>
              <w:pStyle w:val="19"/>
              <w:spacing w:line="400" w:lineRule="exact"/>
              <w:ind w:left="1080" w:leftChars="257" w:hanging="540"/>
              <w:rPr>
                <w:rFonts w:hint="eastAsia" w:ascii="仿宋_GB2312" w:hAnsi="Times New Roman" w:eastAsia="仿宋_GB2312"/>
                <w:color w:val="auto"/>
                <w:sz w:val="24"/>
                <w:szCs w:val="24"/>
              </w:rPr>
            </w:pPr>
          </w:p>
        </w:tc>
        <w:tc>
          <w:tcPr>
            <w:tcW w:w="1131" w:type="dxa"/>
          </w:tcPr>
          <w:p w14:paraId="4735F41E">
            <w:pPr>
              <w:pStyle w:val="19"/>
              <w:spacing w:line="400" w:lineRule="exact"/>
              <w:ind w:left="1080" w:leftChars="257" w:hanging="540"/>
              <w:rPr>
                <w:rFonts w:hint="eastAsia" w:ascii="仿宋_GB2312" w:hAnsi="Times New Roman" w:eastAsia="仿宋_GB2312"/>
                <w:color w:val="auto"/>
                <w:sz w:val="24"/>
                <w:szCs w:val="24"/>
              </w:rPr>
            </w:pPr>
          </w:p>
        </w:tc>
        <w:tc>
          <w:tcPr>
            <w:tcW w:w="1268" w:type="dxa"/>
          </w:tcPr>
          <w:p w14:paraId="133F0431">
            <w:pPr>
              <w:pStyle w:val="19"/>
              <w:spacing w:line="400" w:lineRule="exact"/>
              <w:ind w:left="1080" w:leftChars="257" w:hanging="540"/>
              <w:rPr>
                <w:rFonts w:hint="eastAsia" w:ascii="仿宋_GB2312" w:hAnsi="Times New Roman" w:eastAsia="仿宋_GB2312"/>
                <w:color w:val="auto"/>
                <w:sz w:val="24"/>
                <w:szCs w:val="24"/>
              </w:rPr>
            </w:pPr>
          </w:p>
        </w:tc>
        <w:tc>
          <w:tcPr>
            <w:tcW w:w="996" w:type="dxa"/>
          </w:tcPr>
          <w:p w14:paraId="70FB085E">
            <w:pPr>
              <w:pStyle w:val="19"/>
              <w:spacing w:line="400" w:lineRule="exact"/>
              <w:ind w:left="1080" w:leftChars="257" w:hanging="540"/>
              <w:rPr>
                <w:rFonts w:hint="eastAsia" w:ascii="仿宋_GB2312" w:hAnsi="Times New Roman" w:eastAsia="仿宋_GB2312"/>
                <w:color w:val="auto"/>
                <w:sz w:val="24"/>
                <w:szCs w:val="24"/>
              </w:rPr>
            </w:pPr>
          </w:p>
        </w:tc>
      </w:tr>
      <w:tr w14:paraId="5B89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1B0FAEFF">
            <w:pPr>
              <w:pStyle w:val="19"/>
              <w:spacing w:line="400" w:lineRule="exact"/>
              <w:ind w:left="1080" w:leftChars="257" w:hanging="540"/>
              <w:rPr>
                <w:rFonts w:hint="eastAsia" w:ascii="仿宋_GB2312" w:hAnsi="Times New Roman" w:eastAsia="仿宋_GB2312"/>
                <w:color w:val="auto"/>
                <w:sz w:val="24"/>
                <w:szCs w:val="24"/>
              </w:rPr>
            </w:pPr>
          </w:p>
        </w:tc>
        <w:tc>
          <w:tcPr>
            <w:tcW w:w="1603" w:type="dxa"/>
          </w:tcPr>
          <w:p w14:paraId="1159D024">
            <w:pPr>
              <w:pStyle w:val="19"/>
              <w:spacing w:line="400" w:lineRule="exact"/>
              <w:ind w:left="1080" w:leftChars="257" w:hanging="540"/>
              <w:rPr>
                <w:rFonts w:hint="eastAsia" w:ascii="仿宋_GB2312" w:hAnsi="Times New Roman" w:eastAsia="仿宋_GB2312"/>
                <w:color w:val="auto"/>
                <w:sz w:val="24"/>
                <w:szCs w:val="24"/>
              </w:rPr>
            </w:pPr>
          </w:p>
        </w:tc>
        <w:tc>
          <w:tcPr>
            <w:tcW w:w="897" w:type="dxa"/>
          </w:tcPr>
          <w:p w14:paraId="6C7C7088">
            <w:pPr>
              <w:pStyle w:val="19"/>
              <w:spacing w:line="400" w:lineRule="exact"/>
              <w:ind w:left="1080" w:leftChars="257" w:hanging="540"/>
              <w:rPr>
                <w:rFonts w:hint="eastAsia" w:ascii="仿宋_GB2312" w:hAnsi="Times New Roman" w:eastAsia="仿宋_GB2312"/>
                <w:color w:val="auto"/>
                <w:sz w:val="24"/>
                <w:szCs w:val="24"/>
              </w:rPr>
            </w:pPr>
          </w:p>
        </w:tc>
        <w:tc>
          <w:tcPr>
            <w:tcW w:w="1295" w:type="dxa"/>
          </w:tcPr>
          <w:p w14:paraId="5AE13151">
            <w:pPr>
              <w:pStyle w:val="19"/>
              <w:spacing w:line="400" w:lineRule="exact"/>
              <w:ind w:left="1080" w:leftChars="257" w:hanging="540"/>
              <w:rPr>
                <w:rFonts w:hint="eastAsia" w:ascii="仿宋_GB2312" w:hAnsi="Times New Roman" w:eastAsia="仿宋_GB2312"/>
                <w:color w:val="auto"/>
                <w:sz w:val="24"/>
                <w:szCs w:val="24"/>
              </w:rPr>
            </w:pPr>
          </w:p>
        </w:tc>
        <w:tc>
          <w:tcPr>
            <w:tcW w:w="1183" w:type="dxa"/>
          </w:tcPr>
          <w:p w14:paraId="7D8819CA">
            <w:pPr>
              <w:pStyle w:val="19"/>
              <w:spacing w:line="400" w:lineRule="exact"/>
              <w:ind w:left="1080" w:leftChars="257" w:hanging="540"/>
              <w:rPr>
                <w:rFonts w:hint="eastAsia" w:ascii="仿宋_GB2312" w:hAnsi="Times New Roman" w:eastAsia="仿宋_GB2312"/>
                <w:color w:val="auto"/>
                <w:sz w:val="24"/>
                <w:szCs w:val="24"/>
              </w:rPr>
            </w:pPr>
          </w:p>
        </w:tc>
        <w:tc>
          <w:tcPr>
            <w:tcW w:w="1131" w:type="dxa"/>
          </w:tcPr>
          <w:p w14:paraId="493407EA">
            <w:pPr>
              <w:pStyle w:val="19"/>
              <w:spacing w:line="400" w:lineRule="exact"/>
              <w:ind w:left="1080" w:leftChars="257" w:hanging="540"/>
              <w:rPr>
                <w:rFonts w:hint="eastAsia" w:ascii="仿宋_GB2312" w:hAnsi="Times New Roman" w:eastAsia="仿宋_GB2312"/>
                <w:color w:val="auto"/>
                <w:sz w:val="24"/>
                <w:szCs w:val="24"/>
              </w:rPr>
            </w:pPr>
          </w:p>
        </w:tc>
        <w:tc>
          <w:tcPr>
            <w:tcW w:w="1268" w:type="dxa"/>
          </w:tcPr>
          <w:p w14:paraId="1FB96939">
            <w:pPr>
              <w:pStyle w:val="19"/>
              <w:spacing w:line="400" w:lineRule="exact"/>
              <w:ind w:left="1080" w:leftChars="257" w:hanging="540"/>
              <w:rPr>
                <w:rFonts w:hint="eastAsia" w:ascii="仿宋_GB2312" w:hAnsi="Times New Roman" w:eastAsia="仿宋_GB2312"/>
                <w:color w:val="auto"/>
                <w:sz w:val="24"/>
                <w:szCs w:val="24"/>
              </w:rPr>
            </w:pPr>
          </w:p>
        </w:tc>
        <w:tc>
          <w:tcPr>
            <w:tcW w:w="996" w:type="dxa"/>
          </w:tcPr>
          <w:p w14:paraId="57646896">
            <w:pPr>
              <w:pStyle w:val="19"/>
              <w:spacing w:line="400" w:lineRule="exact"/>
              <w:ind w:left="1080" w:leftChars="257" w:hanging="540"/>
              <w:rPr>
                <w:rFonts w:hint="eastAsia" w:ascii="仿宋_GB2312" w:hAnsi="Times New Roman" w:eastAsia="仿宋_GB2312"/>
                <w:color w:val="auto"/>
                <w:sz w:val="24"/>
                <w:szCs w:val="24"/>
              </w:rPr>
            </w:pPr>
          </w:p>
        </w:tc>
      </w:tr>
      <w:tr w14:paraId="1427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0D05AA3E">
            <w:pPr>
              <w:pStyle w:val="19"/>
              <w:spacing w:line="400" w:lineRule="exact"/>
              <w:ind w:left="1080" w:leftChars="257" w:hanging="540"/>
              <w:rPr>
                <w:rFonts w:hint="eastAsia" w:ascii="仿宋_GB2312" w:hAnsi="Times New Roman" w:eastAsia="仿宋_GB2312"/>
                <w:color w:val="auto"/>
                <w:sz w:val="24"/>
                <w:szCs w:val="24"/>
              </w:rPr>
            </w:pPr>
          </w:p>
        </w:tc>
        <w:tc>
          <w:tcPr>
            <w:tcW w:w="1603" w:type="dxa"/>
          </w:tcPr>
          <w:p w14:paraId="133A555A">
            <w:pPr>
              <w:pStyle w:val="19"/>
              <w:spacing w:line="400" w:lineRule="exact"/>
              <w:ind w:left="1080" w:leftChars="257" w:hanging="540"/>
              <w:rPr>
                <w:rFonts w:hint="eastAsia" w:ascii="仿宋_GB2312" w:hAnsi="Times New Roman" w:eastAsia="仿宋_GB2312"/>
                <w:color w:val="auto"/>
                <w:sz w:val="24"/>
                <w:szCs w:val="24"/>
              </w:rPr>
            </w:pPr>
          </w:p>
        </w:tc>
        <w:tc>
          <w:tcPr>
            <w:tcW w:w="897" w:type="dxa"/>
          </w:tcPr>
          <w:p w14:paraId="22A67B8B">
            <w:pPr>
              <w:pStyle w:val="19"/>
              <w:spacing w:line="400" w:lineRule="exact"/>
              <w:ind w:left="1080" w:leftChars="257" w:hanging="540"/>
              <w:rPr>
                <w:rFonts w:hint="eastAsia" w:ascii="仿宋_GB2312" w:hAnsi="Times New Roman" w:eastAsia="仿宋_GB2312"/>
                <w:color w:val="auto"/>
                <w:sz w:val="24"/>
                <w:szCs w:val="24"/>
              </w:rPr>
            </w:pPr>
          </w:p>
        </w:tc>
        <w:tc>
          <w:tcPr>
            <w:tcW w:w="1295" w:type="dxa"/>
          </w:tcPr>
          <w:p w14:paraId="335D44E3">
            <w:pPr>
              <w:pStyle w:val="19"/>
              <w:spacing w:line="400" w:lineRule="exact"/>
              <w:ind w:left="1080" w:leftChars="257" w:hanging="540"/>
              <w:rPr>
                <w:rFonts w:hint="eastAsia" w:ascii="仿宋_GB2312" w:hAnsi="Times New Roman" w:eastAsia="仿宋_GB2312"/>
                <w:color w:val="auto"/>
                <w:sz w:val="24"/>
                <w:szCs w:val="24"/>
              </w:rPr>
            </w:pPr>
          </w:p>
        </w:tc>
        <w:tc>
          <w:tcPr>
            <w:tcW w:w="1183" w:type="dxa"/>
          </w:tcPr>
          <w:p w14:paraId="05622DB9">
            <w:pPr>
              <w:pStyle w:val="19"/>
              <w:spacing w:line="400" w:lineRule="exact"/>
              <w:ind w:left="1080" w:leftChars="257" w:hanging="540"/>
              <w:rPr>
                <w:rFonts w:hint="eastAsia" w:ascii="仿宋_GB2312" w:hAnsi="Times New Roman" w:eastAsia="仿宋_GB2312"/>
                <w:color w:val="auto"/>
                <w:sz w:val="24"/>
                <w:szCs w:val="24"/>
              </w:rPr>
            </w:pPr>
          </w:p>
        </w:tc>
        <w:tc>
          <w:tcPr>
            <w:tcW w:w="1131" w:type="dxa"/>
          </w:tcPr>
          <w:p w14:paraId="2FF1654F">
            <w:pPr>
              <w:pStyle w:val="19"/>
              <w:spacing w:line="400" w:lineRule="exact"/>
              <w:ind w:left="1080" w:leftChars="257" w:hanging="540"/>
              <w:rPr>
                <w:rFonts w:hint="eastAsia" w:ascii="仿宋_GB2312" w:hAnsi="Times New Roman" w:eastAsia="仿宋_GB2312"/>
                <w:color w:val="auto"/>
                <w:sz w:val="24"/>
                <w:szCs w:val="24"/>
              </w:rPr>
            </w:pPr>
          </w:p>
        </w:tc>
        <w:tc>
          <w:tcPr>
            <w:tcW w:w="1268" w:type="dxa"/>
          </w:tcPr>
          <w:p w14:paraId="35848389">
            <w:pPr>
              <w:pStyle w:val="19"/>
              <w:spacing w:line="400" w:lineRule="exact"/>
              <w:ind w:left="1080" w:leftChars="257" w:hanging="540"/>
              <w:rPr>
                <w:rFonts w:hint="eastAsia" w:ascii="仿宋_GB2312" w:hAnsi="Times New Roman" w:eastAsia="仿宋_GB2312"/>
                <w:color w:val="auto"/>
                <w:sz w:val="24"/>
                <w:szCs w:val="24"/>
              </w:rPr>
            </w:pPr>
          </w:p>
        </w:tc>
        <w:tc>
          <w:tcPr>
            <w:tcW w:w="996" w:type="dxa"/>
          </w:tcPr>
          <w:p w14:paraId="41A81600">
            <w:pPr>
              <w:pStyle w:val="19"/>
              <w:spacing w:line="400" w:lineRule="exact"/>
              <w:ind w:left="1080" w:leftChars="257" w:hanging="540"/>
              <w:rPr>
                <w:rFonts w:hint="eastAsia" w:ascii="仿宋_GB2312" w:hAnsi="Times New Roman" w:eastAsia="仿宋_GB2312"/>
                <w:color w:val="auto"/>
                <w:sz w:val="24"/>
                <w:szCs w:val="24"/>
              </w:rPr>
            </w:pPr>
          </w:p>
        </w:tc>
      </w:tr>
      <w:tr w14:paraId="5F5C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62" w:type="dxa"/>
          </w:tcPr>
          <w:p w14:paraId="20C58C41">
            <w:pPr>
              <w:pStyle w:val="19"/>
              <w:spacing w:line="400" w:lineRule="exact"/>
              <w:ind w:left="1080" w:leftChars="257" w:hanging="540"/>
              <w:rPr>
                <w:rFonts w:hint="eastAsia" w:ascii="仿宋_GB2312" w:hAnsi="Times New Roman" w:eastAsia="仿宋_GB2312"/>
                <w:color w:val="auto"/>
                <w:sz w:val="24"/>
                <w:szCs w:val="24"/>
              </w:rPr>
            </w:pPr>
          </w:p>
        </w:tc>
        <w:tc>
          <w:tcPr>
            <w:tcW w:w="1603" w:type="dxa"/>
          </w:tcPr>
          <w:p w14:paraId="2BB304A2">
            <w:pPr>
              <w:pStyle w:val="19"/>
              <w:spacing w:line="400" w:lineRule="exact"/>
              <w:ind w:left="1080" w:leftChars="257" w:hanging="540"/>
              <w:rPr>
                <w:rFonts w:hint="eastAsia" w:ascii="仿宋_GB2312" w:hAnsi="Times New Roman" w:eastAsia="仿宋_GB2312"/>
                <w:color w:val="auto"/>
                <w:sz w:val="24"/>
                <w:szCs w:val="24"/>
              </w:rPr>
            </w:pPr>
          </w:p>
        </w:tc>
        <w:tc>
          <w:tcPr>
            <w:tcW w:w="897" w:type="dxa"/>
          </w:tcPr>
          <w:p w14:paraId="6DE969BF">
            <w:pPr>
              <w:pStyle w:val="19"/>
              <w:spacing w:line="400" w:lineRule="exact"/>
              <w:ind w:left="1080" w:leftChars="257" w:hanging="540"/>
              <w:rPr>
                <w:rFonts w:hint="eastAsia" w:ascii="仿宋_GB2312" w:hAnsi="Times New Roman" w:eastAsia="仿宋_GB2312"/>
                <w:color w:val="auto"/>
                <w:sz w:val="24"/>
                <w:szCs w:val="24"/>
              </w:rPr>
            </w:pPr>
          </w:p>
        </w:tc>
        <w:tc>
          <w:tcPr>
            <w:tcW w:w="1295" w:type="dxa"/>
          </w:tcPr>
          <w:p w14:paraId="4450F4B0">
            <w:pPr>
              <w:pStyle w:val="19"/>
              <w:spacing w:line="400" w:lineRule="exact"/>
              <w:ind w:left="1080" w:leftChars="257" w:hanging="540"/>
              <w:rPr>
                <w:rFonts w:hint="eastAsia" w:ascii="仿宋_GB2312" w:hAnsi="Times New Roman" w:eastAsia="仿宋_GB2312"/>
                <w:color w:val="auto"/>
                <w:sz w:val="24"/>
                <w:szCs w:val="24"/>
              </w:rPr>
            </w:pPr>
          </w:p>
        </w:tc>
        <w:tc>
          <w:tcPr>
            <w:tcW w:w="1183" w:type="dxa"/>
          </w:tcPr>
          <w:p w14:paraId="0A7E5239">
            <w:pPr>
              <w:pStyle w:val="19"/>
              <w:spacing w:line="400" w:lineRule="exact"/>
              <w:ind w:left="1080" w:leftChars="257" w:hanging="540"/>
              <w:rPr>
                <w:rFonts w:hint="eastAsia" w:ascii="仿宋_GB2312" w:hAnsi="Times New Roman" w:eastAsia="仿宋_GB2312"/>
                <w:color w:val="auto"/>
                <w:sz w:val="24"/>
                <w:szCs w:val="24"/>
              </w:rPr>
            </w:pPr>
          </w:p>
        </w:tc>
        <w:tc>
          <w:tcPr>
            <w:tcW w:w="1131" w:type="dxa"/>
          </w:tcPr>
          <w:p w14:paraId="7AB7DD14">
            <w:pPr>
              <w:pStyle w:val="19"/>
              <w:spacing w:line="400" w:lineRule="exact"/>
              <w:ind w:left="1080" w:leftChars="257" w:hanging="540"/>
              <w:rPr>
                <w:rFonts w:hint="eastAsia" w:ascii="仿宋_GB2312" w:hAnsi="Times New Roman" w:eastAsia="仿宋_GB2312"/>
                <w:color w:val="auto"/>
                <w:sz w:val="24"/>
                <w:szCs w:val="24"/>
              </w:rPr>
            </w:pPr>
          </w:p>
        </w:tc>
        <w:tc>
          <w:tcPr>
            <w:tcW w:w="1268" w:type="dxa"/>
          </w:tcPr>
          <w:p w14:paraId="6F67CCE0">
            <w:pPr>
              <w:pStyle w:val="19"/>
              <w:spacing w:line="400" w:lineRule="exact"/>
              <w:ind w:left="1080" w:leftChars="257" w:hanging="540"/>
              <w:rPr>
                <w:rFonts w:hint="eastAsia" w:ascii="仿宋_GB2312" w:hAnsi="Times New Roman" w:eastAsia="仿宋_GB2312"/>
                <w:color w:val="auto"/>
                <w:sz w:val="24"/>
                <w:szCs w:val="24"/>
              </w:rPr>
            </w:pPr>
          </w:p>
        </w:tc>
        <w:tc>
          <w:tcPr>
            <w:tcW w:w="996" w:type="dxa"/>
          </w:tcPr>
          <w:p w14:paraId="51A6027C">
            <w:pPr>
              <w:pStyle w:val="19"/>
              <w:spacing w:line="400" w:lineRule="exact"/>
              <w:ind w:left="1080" w:leftChars="257" w:hanging="540"/>
              <w:rPr>
                <w:rFonts w:hint="eastAsia" w:ascii="仿宋_GB2312" w:hAnsi="Times New Roman" w:eastAsia="仿宋_GB2312"/>
                <w:color w:val="auto"/>
                <w:sz w:val="24"/>
                <w:szCs w:val="24"/>
              </w:rPr>
            </w:pPr>
          </w:p>
        </w:tc>
      </w:tr>
    </w:tbl>
    <w:p w14:paraId="1E75134B">
      <w:pPr>
        <w:pStyle w:val="19"/>
        <w:spacing w:line="400" w:lineRule="exact"/>
        <w:ind w:left="1080" w:leftChars="257" w:hanging="540"/>
        <w:rPr>
          <w:rFonts w:hint="eastAsia" w:ascii="仿宋_GB2312" w:hAnsi="Times New Roman" w:eastAsia="仿宋_GB2312"/>
          <w:color w:val="auto"/>
          <w:sz w:val="24"/>
          <w:szCs w:val="24"/>
        </w:rPr>
      </w:pPr>
    </w:p>
    <w:p w14:paraId="2E622C92">
      <w:pPr>
        <w:pStyle w:val="19"/>
        <w:spacing w:line="400" w:lineRule="exact"/>
        <w:ind w:left="1080"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 xml:space="preserve">法定代表人或其委托代理人（签字或盖章）: </w:t>
      </w:r>
      <w:r>
        <w:rPr>
          <w:rFonts w:hint="eastAsia" w:ascii="仿宋_GB2312" w:hAnsi="Times New Roman" w:eastAsia="仿宋_GB2312"/>
          <w:color w:val="auto"/>
          <w:sz w:val="24"/>
          <w:szCs w:val="24"/>
          <w:u w:val="single"/>
        </w:rPr>
        <w:t xml:space="preserve">                    </w:t>
      </w:r>
    </w:p>
    <w:p w14:paraId="7447503F">
      <w:pPr>
        <w:pStyle w:val="19"/>
        <w:tabs>
          <w:tab w:val="left" w:pos="5370"/>
        </w:tabs>
        <w:spacing w:line="400" w:lineRule="exact"/>
        <w:ind w:left="1080"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供应商(公章):</w:t>
      </w:r>
      <w:r>
        <w:rPr>
          <w:rFonts w:hint="eastAsia" w:ascii="仿宋_GB2312" w:hAnsi="Times New Roman" w:eastAsia="仿宋_GB2312"/>
          <w:color w:val="auto"/>
          <w:sz w:val="24"/>
          <w:szCs w:val="24"/>
          <w:u w:val="single"/>
        </w:rPr>
        <w:t xml:space="preserve">                                                </w:t>
      </w:r>
    </w:p>
    <w:p w14:paraId="5CA32519">
      <w:pPr>
        <w:pStyle w:val="19"/>
        <w:spacing w:line="400" w:lineRule="exact"/>
        <w:ind w:left="1080" w:leftChars="257" w:hanging="540"/>
        <w:rPr>
          <w:rFonts w:hint="eastAsia" w:ascii="仿宋_GB2312" w:hAnsi="Times New Roman" w:eastAsia="仿宋_GB2312"/>
          <w:color w:val="auto"/>
          <w:sz w:val="24"/>
          <w:szCs w:val="24"/>
        </w:rPr>
      </w:pPr>
    </w:p>
    <w:p w14:paraId="31632E70">
      <w:pPr>
        <w:pStyle w:val="19"/>
        <w:spacing w:line="400" w:lineRule="exact"/>
        <w:ind w:left="1080" w:leftChars="257" w:hanging="540"/>
        <w:rPr>
          <w:rFonts w:hint="eastAsia" w:ascii="仿宋_GB2312" w:hAnsi="Times New Roman" w:eastAsia="仿宋_GB2312"/>
          <w:b/>
          <w:bCs/>
          <w:color w:val="auto"/>
          <w:sz w:val="24"/>
          <w:szCs w:val="24"/>
        </w:rPr>
      </w:pPr>
      <w:r>
        <w:rPr>
          <w:rFonts w:hint="eastAsia" w:ascii="仿宋_GB2312" w:hAnsi="Times New Roman" w:eastAsia="仿宋_GB2312"/>
          <w:color w:val="auto"/>
          <w:sz w:val="24"/>
          <w:szCs w:val="24"/>
        </w:rPr>
        <w:t>注: 各项产品详细技术性能应另页描述（如有需要）。</w:t>
      </w:r>
    </w:p>
    <w:p w14:paraId="5F2A4C35">
      <w:pPr>
        <w:pStyle w:val="10"/>
        <w:ind w:firstLine="0"/>
        <w:rPr>
          <w:rFonts w:hint="eastAsia" w:ascii="仿宋_GB2312" w:eastAsia="仿宋_GB2312"/>
          <w:color w:val="auto"/>
          <w:szCs w:val="24"/>
        </w:rPr>
      </w:pPr>
    </w:p>
    <w:p w14:paraId="435485D7">
      <w:pPr>
        <w:pStyle w:val="10"/>
        <w:ind w:firstLine="0"/>
        <w:rPr>
          <w:rFonts w:hint="eastAsia" w:ascii="仿宋_GB2312" w:eastAsia="仿宋_GB2312"/>
          <w:color w:val="auto"/>
          <w:szCs w:val="24"/>
        </w:rPr>
      </w:pPr>
    </w:p>
    <w:p w14:paraId="23F6ECF2">
      <w:pPr>
        <w:pStyle w:val="10"/>
        <w:ind w:firstLine="0"/>
        <w:rPr>
          <w:rFonts w:hint="eastAsia" w:ascii="仿宋_GB2312" w:eastAsia="仿宋_GB2312"/>
          <w:color w:val="auto"/>
          <w:szCs w:val="24"/>
        </w:rPr>
      </w:pPr>
    </w:p>
    <w:p w14:paraId="0C325B0F">
      <w:pPr>
        <w:pStyle w:val="10"/>
        <w:ind w:firstLine="0"/>
        <w:rPr>
          <w:rFonts w:ascii="Times New Roman" w:eastAsia="方正仿宋简体"/>
          <w:color w:val="auto"/>
          <w:sz w:val="28"/>
          <w:szCs w:val="28"/>
        </w:rPr>
      </w:pPr>
    </w:p>
    <w:p w14:paraId="4F97BFF8">
      <w:pPr>
        <w:rPr>
          <w:rFonts w:eastAsia="方正仿宋简体"/>
          <w:color w:val="auto"/>
          <w:sz w:val="28"/>
          <w:szCs w:val="28"/>
        </w:rPr>
      </w:pPr>
    </w:p>
    <w:p w14:paraId="5DBD4AEE">
      <w:pPr>
        <w:pStyle w:val="8"/>
        <w:spacing w:before="0" w:line="360" w:lineRule="exact"/>
        <w:ind w:left="1080" w:leftChars="257" w:hanging="540"/>
        <w:rPr>
          <w:rFonts w:hint="eastAsia" w:ascii="Times New Roman" w:hAnsi="Times New Roman" w:eastAsia="方正仿宋简体"/>
          <w:color w:val="auto"/>
          <w:sz w:val="24"/>
          <w:szCs w:val="24"/>
        </w:rPr>
      </w:pPr>
      <w:bookmarkStart w:id="655" w:name="_Toc21605"/>
    </w:p>
    <w:p w14:paraId="20054C04">
      <w:pPr>
        <w:pStyle w:val="8"/>
        <w:spacing w:before="0" w:line="360" w:lineRule="exact"/>
        <w:ind w:left="1080" w:leftChars="257" w:hanging="540"/>
        <w:rPr>
          <w:rFonts w:hint="eastAsia" w:ascii="仿宋_GB2312" w:hAnsi="Times New Roman" w:eastAsia="仿宋_GB2312"/>
          <w:color w:val="auto"/>
          <w:sz w:val="24"/>
          <w:szCs w:val="24"/>
        </w:rPr>
      </w:pPr>
      <w:r>
        <w:rPr>
          <w:rFonts w:hint="eastAsia" w:ascii="仿宋_GB2312" w:hAnsi="Times New Roman" w:eastAsia="仿宋_GB2312"/>
          <w:bCs/>
          <w:color w:val="auto"/>
          <w:sz w:val="24"/>
          <w:szCs w:val="24"/>
        </w:rPr>
        <w:t>3、</w:t>
      </w:r>
      <w:bookmarkEnd w:id="635"/>
      <w:bookmarkEnd w:id="654"/>
      <w:r>
        <w:rPr>
          <w:rFonts w:hint="eastAsia" w:ascii="仿宋_GB2312" w:hAnsi="Times New Roman" w:eastAsia="仿宋_GB2312"/>
          <w:bCs/>
          <w:color w:val="auto"/>
          <w:sz w:val="24"/>
          <w:szCs w:val="24"/>
        </w:rPr>
        <w:t>分项报价明细表</w:t>
      </w:r>
      <w:bookmarkEnd w:id="655"/>
    </w:p>
    <w:p w14:paraId="07EFA5BE">
      <w:pPr>
        <w:pStyle w:val="19"/>
        <w:spacing w:line="360" w:lineRule="exact"/>
        <w:jc w:val="left"/>
        <w:rPr>
          <w:rFonts w:hint="eastAsia" w:ascii="仿宋_GB2312" w:hAnsi="Times New Roman" w:eastAsia="仿宋_GB2312"/>
          <w:color w:val="auto"/>
          <w:sz w:val="24"/>
          <w:szCs w:val="24"/>
        </w:rPr>
      </w:pPr>
    </w:p>
    <w:p w14:paraId="4AEB48F6">
      <w:pPr>
        <w:pStyle w:val="19"/>
        <w:spacing w:line="400" w:lineRule="exact"/>
        <w:jc w:val="lef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项目名称:                      招标编号:                      标段号： 　 　             报价单位：</w:t>
      </w:r>
      <w:r>
        <w:rPr>
          <w:rFonts w:hint="eastAsia" w:ascii="仿宋_GB2312" w:hAnsi="Times New Roman" w:eastAsia="仿宋_GB2312"/>
          <w:b/>
          <w:bCs/>
          <w:color w:val="auto"/>
          <w:sz w:val="24"/>
          <w:szCs w:val="24"/>
        </w:rPr>
        <w:t xml:space="preserve">元 </w:t>
      </w:r>
      <w:r>
        <w:rPr>
          <w:rFonts w:hint="eastAsia" w:ascii="仿宋_GB2312" w:hAnsi="Times New Roman" w:eastAsia="仿宋_GB2312"/>
          <w:color w:val="auto"/>
          <w:sz w:val="24"/>
          <w:szCs w:val="24"/>
        </w:rPr>
        <w:t xml:space="preserve"> </w:t>
      </w:r>
    </w:p>
    <w:tbl>
      <w:tblPr>
        <w:tblStyle w:val="40"/>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
        <w:gridCol w:w="1320"/>
        <w:gridCol w:w="759"/>
        <w:gridCol w:w="759"/>
        <w:gridCol w:w="1221"/>
        <w:gridCol w:w="759"/>
        <w:gridCol w:w="1020"/>
        <w:gridCol w:w="1125"/>
        <w:gridCol w:w="765"/>
        <w:gridCol w:w="810"/>
        <w:gridCol w:w="837"/>
      </w:tblGrid>
      <w:tr w14:paraId="1326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98" w:type="dxa"/>
            <w:noWrap/>
            <w:vAlign w:val="center"/>
          </w:tcPr>
          <w:p w14:paraId="3AE7BCED">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1336" w:type="dxa"/>
            <w:gridSpan w:val="2"/>
            <w:noWrap/>
            <w:vAlign w:val="center"/>
          </w:tcPr>
          <w:p w14:paraId="0B0678C6">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货物名称</w:t>
            </w:r>
          </w:p>
        </w:tc>
        <w:tc>
          <w:tcPr>
            <w:tcW w:w="759" w:type="dxa"/>
            <w:noWrap/>
            <w:vAlign w:val="center"/>
          </w:tcPr>
          <w:p w14:paraId="128106B6">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单位</w:t>
            </w:r>
          </w:p>
        </w:tc>
        <w:tc>
          <w:tcPr>
            <w:tcW w:w="759" w:type="dxa"/>
            <w:noWrap/>
            <w:vAlign w:val="center"/>
          </w:tcPr>
          <w:p w14:paraId="09948520">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数量</w:t>
            </w:r>
          </w:p>
        </w:tc>
        <w:tc>
          <w:tcPr>
            <w:tcW w:w="1221" w:type="dxa"/>
            <w:noWrap/>
            <w:vAlign w:val="center"/>
          </w:tcPr>
          <w:p w14:paraId="355C8B2D">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型号和规格</w:t>
            </w:r>
          </w:p>
        </w:tc>
        <w:tc>
          <w:tcPr>
            <w:tcW w:w="759" w:type="dxa"/>
            <w:noWrap/>
            <w:vAlign w:val="center"/>
          </w:tcPr>
          <w:p w14:paraId="1D18DA73">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品牌</w:t>
            </w:r>
          </w:p>
        </w:tc>
        <w:tc>
          <w:tcPr>
            <w:tcW w:w="1020" w:type="dxa"/>
            <w:noWrap/>
            <w:vAlign w:val="center"/>
          </w:tcPr>
          <w:p w14:paraId="7E0E373B">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原产地</w:t>
            </w:r>
          </w:p>
        </w:tc>
        <w:tc>
          <w:tcPr>
            <w:tcW w:w="1125" w:type="dxa"/>
            <w:noWrap/>
            <w:vAlign w:val="center"/>
          </w:tcPr>
          <w:p w14:paraId="711EF70F">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制造商名称</w:t>
            </w:r>
          </w:p>
        </w:tc>
        <w:tc>
          <w:tcPr>
            <w:tcW w:w="765" w:type="dxa"/>
            <w:noWrap/>
            <w:vAlign w:val="center"/>
          </w:tcPr>
          <w:p w14:paraId="43F65C61">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单价</w:t>
            </w:r>
          </w:p>
        </w:tc>
        <w:tc>
          <w:tcPr>
            <w:tcW w:w="810" w:type="dxa"/>
            <w:noWrap/>
            <w:vAlign w:val="center"/>
          </w:tcPr>
          <w:p w14:paraId="6A1FD19A">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总价</w:t>
            </w:r>
          </w:p>
        </w:tc>
        <w:tc>
          <w:tcPr>
            <w:tcW w:w="837" w:type="dxa"/>
            <w:noWrap/>
            <w:vAlign w:val="center"/>
          </w:tcPr>
          <w:p w14:paraId="2089C43E">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备注</w:t>
            </w:r>
          </w:p>
        </w:tc>
      </w:tr>
      <w:tr w14:paraId="2F0E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98" w:type="dxa"/>
            <w:noWrap/>
            <w:vAlign w:val="center"/>
          </w:tcPr>
          <w:p w14:paraId="40CC3DC6">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w:t>
            </w:r>
          </w:p>
        </w:tc>
        <w:tc>
          <w:tcPr>
            <w:tcW w:w="1336" w:type="dxa"/>
            <w:gridSpan w:val="2"/>
            <w:noWrap/>
            <w:vAlign w:val="center"/>
          </w:tcPr>
          <w:p w14:paraId="60FBDB3D">
            <w:pPr>
              <w:pStyle w:val="19"/>
              <w:spacing w:line="400" w:lineRule="exact"/>
              <w:jc w:val="center"/>
              <w:rPr>
                <w:rFonts w:hint="eastAsia" w:ascii="仿宋_GB2312" w:hAnsi="Times New Roman" w:eastAsia="仿宋_GB2312"/>
                <w:color w:val="auto"/>
                <w:sz w:val="24"/>
                <w:szCs w:val="24"/>
              </w:rPr>
            </w:pPr>
          </w:p>
        </w:tc>
        <w:tc>
          <w:tcPr>
            <w:tcW w:w="759" w:type="dxa"/>
            <w:noWrap/>
            <w:vAlign w:val="center"/>
          </w:tcPr>
          <w:p w14:paraId="098F1896">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3BDE32C6">
            <w:pPr>
              <w:pStyle w:val="19"/>
              <w:spacing w:line="400" w:lineRule="exact"/>
              <w:ind w:left="1080" w:leftChars="257" w:hanging="540"/>
              <w:jc w:val="center"/>
              <w:rPr>
                <w:rFonts w:hint="eastAsia" w:ascii="仿宋_GB2312" w:hAnsi="Times New Roman" w:eastAsia="仿宋_GB2312"/>
                <w:color w:val="auto"/>
                <w:sz w:val="24"/>
                <w:szCs w:val="24"/>
              </w:rPr>
            </w:pPr>
          </w:p>
        </w:tc>
        <w:tc>
          <w:tcPr>
            <w:tcW w:w="1221" w:type="dxa"/>
            <w:noWrap/>
            <w:vAlign w:val="center"/>
          </w:tcPr>
          <w:p w14:paraId="70133B72">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20E63343">
            <w:pPr>
              <w:pStyle w:val="19"/>
              <w:spacing w:line="400" w:lineRule="exact"/>
              <w:ind w:left="1080" w:leftChars="257" w:hanging="540"/>
              <w:jc w:val="center"/>
              <w:rPr>
                <w:rFonts w:hint="eastAsia" w:ascii="仿宋_GB2312" w:hAnsi="Times New Roman" w:eastAsia="仿宋_GB2312"/>
                <w:color w:val="auto"/>
                <w:sz w:val="24"/>
                <w:szCs w:val="24"/>
              </w:rPr>
            </w:pPr>
          </w:p>
        </w:tc>
        <w:tc>
          <w:tcPr>
            <w:tcW w:w="1020" w:type="dxa"/>
            <w:noWrap/>
            <w:vAlign w:val="center"/>
          </w:tcPr>
          <w:p w14:paraId="4F18E4C9">
            <w:pPr>
              <w:pStyle w:val="19"/>
              <w:spacing w:line="400" w:lineRule="exact"/>
              <w:ind w:left="1080" w:leftChars="257" w:hanging="540"/>
              <w:jc w:val="center"/>
              <w:rPr>
                <w:rFonts w:hint="eastAsia" w:ascii="仿宋_GB2312" w:hAnsi="Times New Roman" w:eastAsia="仿宋_GB2312"/>
                <w:color w:val="auto"/>
                <w:sz w:val="24"/>
                <w:szCs w:val="24"/>
              </w:rPr>
            </w:pPr>
          </w:p>
        </w:tc>
        <w:tc>
          <w:tcPr>
            <w:tcW w:w="1125" w:type="dxa"/>
            <w:noWrap/>
            <w:vAlign w:val="center"/>
          </w:tcPr>
          <w:p w14:paraId="61962C07">
            <w:pPr>
              <w:pStyle w:val="19"/>
              <w:spacing w:line="400" w:lineRule="exact"/>
              <w:ind w:left="1080" w:leftChars="257" w:hanging="540"/>
              <w:jc w:val="center"/>
              <w:rPr>
                <w:rFonts w:hint="eastAsia" w:ascii="仿宋_GB2312" w:hAnsi="Times New Roman" w:eastAsia="仿宋_GB2312"/>
                <w:color w:val="auto"/>
                <w:sz w:val="24"/>
                <w:szCs w:val="24"/>
              </w:rPr>
            </w:pPr>
          </w:p>
        </w:tc>
        <w:tc>
          <w:tcPr>
            <w:tcW w:w="765" w:type="dxa"/>
            <w:noWrap/>
            <w:vAlign w:val="center"/>
          </w:tcPr>
          <w:p w14:paraId="5AC1870E">
            <w:pPr>
              <w:pStyle w:val="19"/>
              <w:spacing w:line="400" w:lineRule="exact"/>
              <w:ind w:left="1080" w:leftChars="257" w:hanging="540"/>
              <w:jc w:val="center"/>
              <w:rPr>
                <w:rFonts w:hint="eastAsia" w:ascii="仿宋_GB2312" w:hAnsi="Times New Roman" w:eastAsia="仿宋_GB2312"/>
                <w:color w:val="auto"/>
                <w:sz w:val="24"/>
                <w:szCs w:val="24"/>
              </w:rPr>
            </w:pPr>
          </w:p>
        </w:tc>
        <w:tc>
          <w:tcPr>
            <w:tcW w:w="810" w:type="dxa"/>
            <w:noWrap/>
            <w:vAlign w:val="center"/>
          </w:tcPr>
          <w:p w14:paraId="4FB52C0C">
            <w:pPr>
              <w:pStyle w:val="19"/>
              <w:spacing w:line="400" w:lineRule="exact"/>
              <w:ind w:left="1080" w:leftChars="257" w:hanging="540"/>
              <w:jc w:val="center"/>
              <w:rPr>
                <w:rFonts w:hint="eastAsia" w:ascii="仿宋_GB2312" w:hAnsi="Times New Roman" w:eastAsia="仿宋_GB2312"/>
                <w:color w:val="auto"/>
                <w:sz w:val="24"/>
                <w:szCs w:val="24"/>
              </w:rPr>
            </w:pPr>
          </w:p>
        </w:tc>
        <w:tc>
          <w:tcPr>
            <w:tcW w:w="837" w:type="dxa"/>
            <w:noWrap/>
            <w:vAlign w:val="center"/>
          </w:tcPr>
          <w:p w14:paraId="3AB6F749">
            <w:pPr>
              <w:pStyle w:val="19"/>
              <w:spacing w:line="400" w:lineRule="exact"/>
              <w:ind w:left="1080" w:leftChars="257" w:hanging="540"/>
              <w:jc w:val="center"/>
              <w:rPr>
                <w:rFonts w:hint="eastAsia" w:ascii="仿宋_GB2312" w:hAnsi="Times New Roman" w:eastAsia="仿宋_GB2312"/>
                <w:color w:val="auto"/>
                <w:sz w:val="24"/>
                <w:szCs w:val="24"/>
              </w:rPr>
            </w:pPr>
          </w:p>
        </w:tc>
      </w:tr>
      <w:tr w14:paraId="75C8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8" w:type="dxa"/>
            <w:noWrap/>
            <w:vAlign w:val="center"/>
          </w:tcPr>
          <w:p w14:paraId="2F139D11">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w:t>
            </w:r>
          </w:p>
        </w:tc>
        <w:tc>
          <w:tcPr>
            <w:tcW w:w="1336" w:type="dxa"/>
            <w:gridSpan w:val="2"/>
            <w:noWrap/>
            <w:vAlign w:val="center"/>
          </w:tcPr>
          <w:p w14:paraId="6E7FC9A3">
            <w:pPr>
              <w:pStyle w:val="19"/>
              <w:spacing w:line="400" w:lineRule="exact"/>
              <w:jc w:val="center"/>
              <w:rPr>
                <w:rFonts w:hint="eastAsia" w:ascii="仿宋_GB2312" w:hAnsi="Times New Roman" w:eastAsia="仿宋_GB2312"/>
                <w:color w:val="auto"/>
                <w:sz w:val="24"/>
                <w:szCs w:val="24"/>
              </w:rPr>
            </w:pPr>
          </w:p>
        </w:tc>
        <w:tc>
          <w:tcPr>
            <w:tcW w:w="759" w:type="dxa"/>
            <w:noWrap/>
            <w:vAlign w:val="center"/>
          </w:tcPr>
          <w:p w14:paraId="3891ECF8">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4597A41E">
            <w:pPr>
              <w:pStyle w:val="19"/>
              <w:spacing w:line="400" w:lineRule="exact"/>
              <w:ind w:left="1080" w:leftChars="257" w:hanging="540"/>
              <w:jc w:val="center"/>
              <w:rPr>
                <w:rFonts w:hint="eastAsia" w:ascii="仿宋_GB2312" w:hAnsi="Times New Roman" w:eastAsia="仿宋_GB2312"/>
                <w:color w:val="auto"/>
                <w:sz w:val="24"/>
                <w:szCs w:val="24"/>
              </w:rPr>
            </w:pPr>
          </w:p>
        </w:tc>
        <w:tc>
          <w:tcPr>
            <w:tcW w:w="1221" w:type="dxa"/>
            <w:noWrap/>
            <w:vAlign w:val="center"/>
          </w:tcPr>
          <w:p w14:paraId="391419FB">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4F4B764E">
            <w:pPr>
              <w:pStyle w:val="19"/>
              <w:spacing w:line="400" w:lineRule="exact"/>
              <w:ind w:left="1080" w:leftChars="257" w:hanging="540"/>
              <w:jc w:val="center"/>
              <w:rPr>
                <w:rFonts w:hint="eastAsia" w:ascii="仿宋_GB2312" w:hAnsi="Times New Roman" w:eastAsia="仿宋_GB2312"/>
                <w:color w:val="auto"/>
                <w:sz w:val="24"/>
                <w:szCs w:val="24"/>
              </w:rPr>
            </w:pPr>
          </w:p>
        </w:tc>
        <w:tc>
          <w:tcPr>
            <w:tcW w:w="1020" w:type="dxa"/>
            <w:noWrap/>
            <w:vAlign w:val="center"/>
          </w:tcPr>
          <w:p w14:paraId="640178FA">
            <w:pPr>
              <w:pStyle w:val="19"/>
              <w:spacing w:line="400" w:lineRule="exact"/>
              <w:ind w:left="1080" w:leftChars="257" w:hanging="540"/>
              <w:jc w:val="center"/>
              <w:rPr>
                <w:rFonts w:hint="eastAsia" w:ascii="仿宋_GB2312" w:hAnsi="Times New Roman" w:eastAsia="仿宋_GB2312"/>
                <w:color w:val="auto"/>
                <w:sz w:val="24"/>
                <w:szCs w:val="24"/>
              </w:rPr>
            </w:pPr>
          </w:p>
        </w:tc>
        <w:tc>
          <w:tcPr>
            <w:tcW w:w="1125" w:type="dxa"/>
            <w:noWrap/>
            <w:vAlign w:val="center"/>
          </w:tcPr>
          <w:p w14:paraId="2AC4FDFF">
            <w:pPr>
              <w:pStyle w:val="19"/>
              <w:spacing w:line="400" w:lineRule="exact"/>
              <w:ind w:left="1080" w:leftChars="257" w:hanging="540"/>
              <w:jc w:val="center"/>
              <w:rPr>
                <w:rFonts w:hint="eastAsia" w:ascii="仿宋_GB2312" w:hAnsi="Times New Roman" w:eastAsia="仿宋_GB2312"/>
                <w:color w:val="auto"/>
                <w:sz w:val="24"/>
                <w:szCs w:val="24"/>
              </w:rPr>
            </w:pPr>
          </w:p>
        </w:tc>
        <w:tc>
          <w:tcPr>
            <w:tcW w:w="765" w:type="dxa"/>
            <w:noWrap/>
            <w:vAlign w:val="center"/>
          </w:tcPr>
          <w:p w14:paraId="68FC1B0C">
            <w:pPr>
              <w:pStyle w:val="19"/>
              <w:spacing w:line="400" w:lineRule="exact"/>
              <w:ind w:left="1080" w:leftChars="257" w:hanging="540"/>
              <w:jc w:val="center"/>
              <w:rPr>
                <w:rFonts w:hint="eastAsia" w:ascii="仿宋_GB2312" w:hAnsi="Times New Roman" w:eastAsia="仿宋_GB2312"/>
                <w:color w:val="auto"/>
                <w:sz w:val="24"/>
                <w:szCs w:val="24"/>
              </w:rPr>
            </w:pPr>
          </w:p>
        </w:tc>
        <w:tc>
          <w:tcPr>
            <w:tcW w:w="810" w:type="dxa"/>
            <w:noWrap/>
            <w:vAlign w:val="center"/>
          </w:tcPr>
          <w:p w14:paraId="25B2E212">
            <w:pPr>
              <w:pStyle w:val="19"/>
              <w:spacing w:line="400" w:lineRule="exact"/>
              <w:ind w:left="1080" w:leftChars="257" w:hanging="540"/>
              <w:jc w:val="center"/>
              <w:rPr>
                <w:rFonts w:hint="eastAsia" w:ascii="仿宋_GB2312" w:hAnsi="Times New Roman" w:eastAsia="仿宋_GB2312"/>
                <w:color w:val="auto"/>
                <w:sz w:val="24"/>
                <w:szCs w:val="24"/>
              </w:rPr>
            </w:pPr>
          </w:p>
        </w:tc>
        <w:tc>
          <w:tcPr>
            <w:tcW w:w="837" w:type="dxa"/>
            <w:noWrap/>
            <w:vAlign w:val="center"/>
          </w:tcPr>
          <w:p w14:paraId="23A7A534">
            <w:pPr>
              <w:pStyle w:val="19"/>
              <w:spacing w:line="400" w:lineRule="exact"/>
              <w:ind w:left="1080" w:leftChars="257" w:hanging="540"/>
              <w:jc w:val="center"/>
              <w:rPr>
                <w:rFonts w:hint="eastAsia" w:ascii="仿宋_GB2312" w:hAnsi="Times New Roman" w:eastAsia="仿宋_GB2312"/>
                <w:color w:val="auto"/>
                <w:sz w:val="24"/>
                <w:szCs w:val="24"/>
              </w:rPr>
            </w:pPr>
          </w:p>
        </w:tc>
      </w:tr>
      <w:tr w14:paraId="74AE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98" w:type="dxa"/>
            <w:noWrap/>
            <w:vAlign w:val="center"/>
          </w:tcPr>
          <w:p w14:paraId="64591674">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w:t>
            </w:r>
          </w:p>
        </w:tc>
        <w:tc>
          <w:tcPr>
            <w:tcW w:w="1336" w:type="dxa"/>
            <w:gridSpan w:val="2"/>
            <w:noWrap/>
            <w:vAlign w:val="center"/>
          </w:tcPr>
          <w:p w14:paraId="2AE4D932">
            <w:pPr>
              <w:pStyle w:val="19"/>
              <w:spacing w:line="400" w:lineRule="exact"/>
              <w:jc w:val="center"/>
              <w:rPr>
                <w:rFonts w:hint="eastAsia" w:ascii="仿宋_GB2312" w:hAnsi="Times New Roman" w:eastAsia="仿宋_GB2312"/>
                <w:color w:val="auto"/>
                <w:sz w:val="24"/>
                <w:szCs w:val="24"/>
              </w:rPr>
            </w:pPr>
          </w:p>
        </w:tc>
        <w:tc>
          <w:tcPr>
            <w:tcW w:w="759" w:type="dxa"/>
            <w:noWrap/>
            <w:vAlign w:val="center"/>
          </w:tcPr>
          <w:p w14:paraId="4614F3FE">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4409B9E9">
            <w:pPr>
              <w:pStyle w:val="19"/>
              <w:spacing w:line="400" w:lineRule="exact"/>
              <w:ind w:left="1080" w:leftChars="257" w:hanging="540"/>
              <w:jc w:val="center"/>
              <w:rPr>
                <w:rFonts w:hint="eastAsia" w:ascii="仿宋_GB2312" w:hAnsi="Times New Roman" w:eastAsia="仿宋_GB2312"/>
                <w:color w:val="auto"/>
                <w:sz w:val="24"/>
                <w:szCs w:val="24"/>
              </w:rPr>
            </w:pPr>
          </w:p>
        </w:tc>
        <w:tc>
          <w:tcPr>
            <w:tcW w:w="1221" w:type="dxa"/>
            <w:noWrap/>
            <w:vAlign w:val="center"/>
          </w:tcPr>
          <w:p w14:paraId="3BF14B32">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31EAD239">
            <w:pPr>
              <w:pStyle w:val="19"/>
              <w:spacing w:line="400" w:lineRule="exact"/>
              <w:ind w:left="1080" w:leftChars="257" w:hanging="540"/>
              <w:jc w:val="center"/>
              <w:rPr>
                <w:rFonts w:hint="eastAsia" w:ascii="仿宋_GB2312" w:hAnsi="Times New Roman" w:eastAsia="仿宋_GB2312"/>
                <w:color w:val="auto"/>
                <w:sz w:val="24"/>
                <w:szCs w:val="24"/>
              </w:rPr>
            </w:pPr>
          </w:p>
        </w:tc>
        <w:tc>
          <w:tcPr>
            <w:tcW w:w="1020" w:type="dxa"/>
            <w:noWrap/>
            <w:vAlign w:val="center"/>
          </w:tcPr>
          <w:p w14:paraId="5A0574DE">
            <w:pPr>
              <w:pStyle w:val="19"/>
              <w:spacing w:line="400" w:lineRule="exact"/>
              <w:ind w:left="1080" w:leftChars="257" w:hanging="540"/>
              <w:jc w:val="center"/>
              <w:rPr>
                <w:rFonts w:hint="eastAsia" w:ascii="仿宋_GB2312" w:hAnsi="Times New Roman" w:eastAsia="仿宋_GB2312"/>
                <w:color w:val="auto"/>
                <w:sz w:val="24"/>
                <w:szCs w:val="24"/>
              </w:rPr>
            </w:pPr>
          </w:p>
        </w:tc>
        <w:tc>
          <w:tcPr>
            <w:tcW w:w="1125" w:type="dxa"/>
            <w:noWrap/>
            <w:vAlign w:val="center"/>
          </w:tcPr>
          <w:p w14:paraId="4B776AEC">
            <w:pPr>
              <w:pStyle w:val="19"/>
              <w:spacing w:line="400" w:lineRule="exact"/>
              <w:ind w:left="1080" w:leftChars="257" w:hanging="540"/>
              <w:jc w:val="center"/>
              <w:rPr>
                <w:rFonts w:hint="eastAsia" w:ascii="仿宋_GB2312" w:hAnsi="Times New Roman" w:eastAsia="仿宋_GB2312"/>
                <w:color w:val="auto"/>
                <w:sz w:val="24"/>
                <w:szCs w:val="24"/>
              </w:rPr>
            </w:pPr>
          </w:p>
        </w:tc>
        <w:tc>
          <w:tcPr>
            <w:tcW w:w="765" w:type="dxa"/>
            <w:noWrap/>
            <w:vAlign w:val="center"/>
          </w:tcPr>
          <w:p w14:paraId="1217F7F8">
            <w:pPr>
              <w:pStyle w:val="19"/>
              <w:spacing w:line="400" w:lineRule="exact"/>
              <w:ind w:left="1080" w:leftChars="257" w:hanging="540"/>
              <w:jc w:val="center"/>
              <w:rPr>
                <w:rFonts w:hint="eastAsia" w:ascii="仿宋_GB2312" w:hAnsi="Times New Roman" w:eastAsia="仿宋_GB2312"/>
                <w:color w:val="auto"/>
                <w:sz w:val="24"/>
                <w:szCs w:val="24"/>
              </w:rPr>
            </w:pPr>
          </w:p>
        </w:tc>
        <w:tc>
          <w:tcPr>
            <w:tcW w:w="810" w:type="dxa"/>
            <w:noWrap/>
            <w:vAlign w:val="center"/>
          </w:tcPr>
          <w:p w14:paraId="146F8200">
            <w:pPr>
              <w:pStyle w:val="19"/>
              <w:spacing w:line="400" w:lineRule="exact"/>
              <w:ind w:left="1080" w:leftChars="257" w:hanging="540"/>
              <w:jc w:val="center"/>
              <w:rPr>
                <w:rFonts w:hint="eastAsia" w:ascii="仿宋_GB2312" w:hAnsi="Times New Roman" w:eastAsia="仿宋_GB2312"/>
                <w:color w:val="auto"/>
                <w:sz w:val="24"/>
                <w:szCs w:val="24"/>
              </w:rPr>
            </w:pPr>
          </w:p>
        </w:tc>
        <w:tc>
          <w:tcPr>
            <w:tcW w:w="837" w:type="dxa"/>
            <w:noWrap/>
            <w:vAlign w:val="center"/>
          </w:tcPr>
          <w:p w14:paraId="1857814C">
            <w:pPr>
              <w:pStyle w:val="19"/>
              <w:spacing w:line="400" w:lineRule="exact"/>
              <w:ind w:left="1080" w:leftChars="257" w:hanging="540"/>
              <w:jc w:val="center"/>
              <w:rPr>
                <w:rFonts w:hint="eastAsia" w:ascii="仿宋_GB2312" w:hAnsi="Times New Roman" w:eastAsia="仿宋_GB2312"/>
                <w:color w:val="auto"/>
                <w:sz w:val="24"/>
                <w:szCs w:val="24"/>
              </w:rPr>
            </w:pPr>
          </w:p>
        </w:tc>
      </w:tr>
      <w:tr w14:paraId="6CC5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8" w:type="dxa"/>
            <w:noWrap/>
            <w:vAlign w:val="center"/>
          </w:tcPr>
          <w:p w14:paraId="53F25485">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4.</w:t>
            </w:r>
          </w:p>
        </w:tc>
        <w:tc>
          <w:tcPr>
            <w:tcW w:w="1336" w:type="dxa"/>
            <w:gridSpan w:val="2"/>
            <w:noWrap/>
            <w:vAlign w:val="center"/>
          </w:tcPr>
          <w:p w14:paraId="626423D1">
            <w:pPr>
              <w:pStyle w:val="19"/>
              <w:spacing w:line="400" w:lineRule="exact"/>
              <w:jc w:val="center"/>
              <w:rPr>
                <w:rFonts w:hint="eastAsia" w:ascii="仿宋_GB2312" w:hAnsi="Times New Roman" w:eastAsia="仿宋_GB2312"/>
                <w:color w:val="auto"/>
                <w:sz w:val="24"/>
                <w:szCs w:val="24"/>
              </w:rPr>
            </w:pPr>
          </w:p>
        </w:tc>
        <w:tc>
          <w:tcPr>
            <w:tcW w:w="759" w:type="dxa"/>
            <w:noWrap/>
            <w:vAlign w:val="center"/>
          </w:tcPr>
          <w:p w14:paraId="664D59D7">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5AFF27D0">
            <w:pPr>
              <w:pStyle w:val="19"/>
              <w:spacing w:line="400" w:lineRule="exact"/>
              <w:ind w:left="1080" w:leftChars="257" w:hanging="540"/>
              <w:jc w:val="center"/>
              <w:rPr>
                <w:rFonts w:hint="eastAsia" w:ascii="仿宋_GB2312" w:hAnsi="Times New Roman" w:eastAsia="仿宋_GB2312"/>
                <w:color w:val="auto"/>
                <w:sz w:val="24"/>
                <w:szCs w:val="24"/>
              </w:rPr>
            </w:pPr>
          </w:p>
        </w:tc>
        <w:tc>
          <w:tcPr>
            <w:tcW w:w="1221" w:type="dxa"/>
            <w:noWrap/>
            <w:vAlign w:val="center"/>
          </w:tcPr>
          <w:p w14:paraId="4AA4999F">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0137F1D6">
            <w:pPr>
              <w:pStyle w:val="19"/>
              <w:spacing w:line="400" w:lineRule="exact"/>
              <w:ind w:left="1080" w:leftChars="257" w:hanging="540"/>
              <w:jc w:val="center"/>
              <w:rPr>
                <w:rFonts w:hint="eastAsia" w:ascii="仿宋_GB2312" w:hAnsi="Times New Roman" w:eastAsia="仿宋_GB2312"/>
                <w:color w:val="auto"/>
                <w:sz w:val="24"/>
                <w:szCs w:val="24"/>
              </w:rPr>
            </w:pPr>
          </w:p>
        </w:tc>
        <w:tc>
          <w:tcPr>
            <w:tcW w:w="1020" w:type="dxa"/>
            <w:noWrap/>
            <w:vAlign w:val="center"/>
          </w:tcPr>
          <w:p w14:paraId="232BEB24">
            <w:pPr>
              <w:pStyle w:val="19"/>
              <w:spacing w:line="400" w:lineRule="exact"/>
              <w:ind w:left="1080" w:leftChars="257" w:hanging="540"/>
              <w:jc w:val="center"/>
              <w:rPr>
                <w:rFonts w:hint="eastAsia" w:ascii="仿宋_GB2312" w:hAnsi="Times New Roman" w:eastAsia="仿宋_GB2312"/>
                <w:color w:val="auto"/>
                <w:sz w:val="24"/>
                <w:szCs w:val="24"/>
              </w:rPr>
            </w:pPr>
          </w:p>
        </w:tc>
        <w:tc>
          <w:tcPr>
            <w:tcW w:w="1125" w:type="dxa"/>
            <w:noWrap/>
            <w:vAlign w:val="center"/>
          </w:tcPr>
          <w:p w14:paraId="5C7D0333">
            <w:pPr>
              <w:pStyle w:val="19"/>
              <w:spacing w:line="400" w:lineRule="exact"/>
              <w:ind w:left="1080" w:leftChars="257" w:hanging="540"/>
              <w:jc w:val="center"/>
              <w:rPr>
                <w:rFonts w:hint="eastAsia" w:ascii="仿宋_GB2312" w:hAnsi="Times New Roman" w:eastAsia="仿宋_GB2312"/>
                <w:color w:val="auto"/>
                <w:sz w:val="24"/>
                <w:szCs w:val="24"/>
              </w:rPr>
            </w:pPr>
          </w:p>
        </w:tc>
        <w:tc>
          <w:tcPr>
            <w:tcW w:w="765" w:type="dxa"/>
            <w:noWrap/>
            <w:vAlign w:val="center"/>
          </w:tcPr>
          <w:p w14:paraId="04401074">
            <w:pPr>
              <w:pStyle w:val="19"/>
              <w:spacing w:line="400" w:lineRule="exact"/>
              <w:ind w:left="1080" w:leftChars="257" w:hanging="540"/>
              <w:jc w:val="center"/>
              <w:rPr>
                <w:rFonts w:hint="eastAsia" w:ascii="仿宋_GB2312" w:hAnsi="Times New Roman" w:eastAsia="仿宋_GB2312"/>
                <w:color w:val="auto"/>
                <w:sz w:val="24"/>
                <w:szCs w:val="24"/>
              </w:rPr>
            </w:pPr>
          </w:p>
        </w:tc>
        <w:tc>
          <w:tcPr>
            <w:tcW w:w="810" w:type="dxa"/>
            <w:noWrap/>
            <w:vAlign w:val="center"/>
          </w:tcPr>
          <w:p w14:paraId="4C3B16F3">
            <w:pPr>
              <w:pStyle w:val="19"/>
              <w:spacing w:line="400" w:lineRule="exact"/>
              <w:ind w:left="1080" w:leftChars="257" w:hanging="540"/>
              <w:jc w:val="center"/>
              <w:rPr>
                <w:rFonts w:hint="eastAsia" w:ascii="仿宋_GB2312" w:hAnsi="Times New Roman" w:eastAsia="仿宋_GB2312"/>
                <w:color w:val="auto"/>
                <w:sz w:val="24"/>
                <w:szCs w:val="24"/>
              </w:rPr>
            </w:pPr>
          </w:p>
        </w:tc>
        <w:tc>
          <w:tcPr>
            <w:tcW w:w="837" w:type="dxa"/>
            <w:noWrap/>
            <w:vAlign w:val="center"/>
          </w:tcPr>
          <w:p w14:paraId="00C9405E">
            <w:pPr>
              <w:pStyle w:val="19"/>
              <w:spacing w:line="400" w:lineRule="exact"/>
              <w:ind w:left="1080" w:leftChars="257" w:hanging="540"/>
              <w:jc w:val="center"/>
              <w:rPr>
                <w:rFonts w:hint="eastAsia" w:ascii="仿宋_GB2312" w:hAnsi="Times New Roman" w:eastAsia="仿宋_GB2312"/>
                <w:color w:val="auto"/>
                <w:sz w:val="24"/>
                <w:szCs w:val="24"/>
              </w:rPr>
            </w:pPr>
          </w:p>
        </w:tc>
      </w:tr>
      <w:tr w14:paraId="59BF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8" w:type="dxa"/>
            <w:noWrap/>
            <w:vAlign w:val="center"/>
          </w:tcPr>
          <w:p w14:paraId="4672397B">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5.</w:t>
            </w:r>
          </w:p>
        </w:tc>
        <w:tc>
          <w:tcPr>
            <w:tcW w:w="1336" w:type="dxa"/>
            <w:gridSpan w:val="2"/>
            <w:noWrap/>
            <w:vAlign w:val="center"/>
          </w:tcPr>
          <w:p w14:paraId="452DA0F1">
            <w:pPr>
              <w:pStyle w:val="19"/>
              <w:spacing w:line="400" w:lineRule="exact"/>
              <w:jc w:val="center"/>
              <w:rPr>
                <w:rFonts w:hint="eastAsia" w:ascii="仿宋_GB2312" w:hAnsi="Times New Roman" w:eastAsia="仿宋_GB2312"/>
                <w:color w:val="auto"/>
                <w:sz w:val="24"/>
                <w:szCs w:val="24"/>
              </w:rPr>
            </w:pPr>
          </w:p>
        </w:tc>
        <w:tc>
          <w:tcPr>
            <w:tcW w:w="759" w:type="dxa"/>
            <w:noWrap/>
            <w:vAlign w:val="center"/>
          </w:tcPr>
          <w:p w14:paraId="2AAF804A">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1A0D68CB">
            <w:pPr>
              <w:pStyle w:val="19"/>
              <w:spacing w:line="400" w:lineRule="exact"/>
              <w:ind w:left="1080" w:leftChars="257" w:hanging="540"/>
              <w:jc w:val="center"/>
              <w:rPr>
                <w:rFonts w:hint="eastAsia" w:ascii="仿宋_GB2312" w:hAnsi="Times New Roman" w:eastAsia="仿宋_GB2312"/>
                <w:color w:val="auto"/>
                <w:sz w:val="24"/>
                <w:szCs w:val="24"/>
              </w:rPr>
            </w:pPr>
          </w:p>
        </w:tc>
        <w:tc>
          <w:tcPr>
            <w:tcW w:w="1221" w:type="dxa"/>
            <w:noWrap/>
            <w:vAlign w:val="center"/>
          </w:tcPr>
          <w:p w14:paraId="1C6F8191">
            <w:pPr>
              <w:pStyle w:val="19"/>
              <w:spacing w:line="400" w:lineRule="exact"/>
              <w:ind w:left="1080" w:leftChars="257" w:hanging="540"/>
              <w:jc w:val="center"/>
              <w:rPr>
                <w:rFonts w:hint="eastAsia" w:ascii="仿宋_GB2312" w:hAnsi="Times New Roman" w:eastAsia="仿宋_GB2312"/>
                <w:color w:val="auto"/>
                <w:sz w:val="24"/>
                <w:szCs w:val="24"/>
              </w:rPr>
            </w:pPr>
          </w:p>
        </w:tc>
        <w:tc>
          <w:tcPr>
            <w:tcW w:w="759" w:type="dxa"/>
            <w:noWrap/>
            <w:vAlign w:val="center"/>
          </w:tcPr>
          <w:p w14:paraId="0FAF6399">
            <w:pPr>
              <w:pStyle w:val="19"/>
              <w:spacing w:line="400" w:lineRule="exact"/>
              <w:ind w:left="1080" w:leftChars="257" w:hanging="540"/>
              <w:jc w:val="center"/>
              <w:rPr>
                <w:rFonts w:hint="eastAsia" w:ascii="仿宋_GB2312" w:hAnsi="Times New Roman" w:eastAsia="仿宋_GB2312"/>
                <w:color w:val="auto"/>
                <w:sz w:val="24"/>
                <w:szCs w:val="24"/>
              </w:rPr>
            </w:pPr>
          </w:p>
        </w:tc>
        <w:tc>
          <w:tcPr>
            <w:tcW w:w="1020" w:type="dxa"/>
            <w:noWrap/>
            <w:vAlign w:val="center"/>
          </w:tcPr>
          <w:p w14:paraId="558A4870">
            <w:pPr>
              <w:pStyle w:val="19"/>
              <w:spacing w:line="400" w:lineRule="exact"/>
              <w:ind w:left="1080" w:leftChars="257" w:hanging="540"/>
              <w:jc w:val="center"/>
              <w:rPr>
                <w:rFonts w:hint="eastAsia" w:ascii="仿宋_GB2312" w:hAnsi="Times New Roman" w:eastAsia="仿宋_GB2312"/>
                <w:color w:val="auto"/>
                <w:sz w:val="24"/>
                <w:szCs w:val="24"/>
              </w:rPr>
            </w:pPr>
          </w:p>
        </w:tc>
        <w:tc>
          <w:tcPr>
            <w:tcW w:w="1125" w:type="dxa"/>
            <w:noWrap/>
            <w:vAlign w:val="center"/>
          </w:tcPr>
          <w:p w14:paraId="7C6C3FB3">
            <w:pPr>
              <w:pStyle w:val="19"/>
              <w:spacing w:line="400" w:lineRule="exact"/>
              <w:ind w:left="1080" w:leftChars="257" w:hanging="540"/>
              <w:jc w:val="center"/>
              <w:rPr>
                <w:rFonts w:hint="eastAsia" w:ascii="仿宋_GB2312" w:hAnsi="Times New Roman" w:eastAsia="仿宋_GB2312"/>
                <w:color w:val="auto"/>
                <w:sz w:val="24"/>
                <w:szCs w:val="24"/>
              </w:rPr>
            </w:pPr>
          </w:p>
        </w:tc>
        <w:tc>
          <w:tcPr>
            <w:tcW w:w="765" w:type="dxa"/>
            <w:noWrap/>
            <w:vAlign w:val="center"/>
          </w:tcPr>
          <w:p w14:paraId="42E97363">
            <w:pPr>
              <w:pStyle w:val="19"/>
              <w:spacing w:line="400" w:lineRule="exact"/>
              <w:ind w:left="1080" w:leftChars="257" w:hanging="540"/>
              <w:jc w:val="center"/>
              <w:rPr>
                <w:rFonts w:hint="eastAsia" w:ascii="仿宋_GB2312" w:hAnsi="Times New Roman" w:eastAsia="仿宋_GB2312"/>
                <w:color w:val="auto"/>
                <w:sz w:val="24"/>
                <w:szCs w:val="24"/>
              </w:rPr>
            </w:pPr>
          </w:p>
        </w:tc>
        <w:tc>
          <w:tcPr>
            <w:tcW w:w="810" w:type="dxa"/>
            <w:noWrap/>
            <w:vAlign w:val="center"/>
          </w:tcPr>
          <w:p w14:paraId="56A30FEC">
            <w:pPr>
              <w:pStyle w:val="19"/>
              <w:spacing w:line="400" w:lineRule="exact"/>
              <w:ind w:left="1080" w:leftChars="257" w:hanging="540"/>
              <w:jc w:val="center"/>
              <w:rPr>
                <w:rFonts w:hint="eastAsia" w:ascii="仿宋_GB2312" w:hAnsi="Times New Roman" w:eastAsia="仿宋_GB2312"/>
                <w:color w:val="auto"/>
                <w:sz w:val="24"/>
                <w:szCs w:val="24"/>
              </w:rPr>
            </w:pPr>
          </w:p>
        </w:tc>
        <w:tc>
          <w:tcPr>
            <w:tcW w:w="837" w:type="dxa"/>
            <w:noWrap/>
            <w:vAlign w:val="center"/>
          </w:tcPr>
          <w:p w14:paraId="68DA5471">
            <w:pPr>
              <w:pStyle w:val="19"/>
              <w:spacing w:line="400" w:lineRule="exact"/>
              <w:ind w:left="1080" w:leftChars="257" w:hanging="540"/>
              <w:jc w:val="center"/>
              <w:rPr>
                <w:rFonts w:hint="eastAsia" w:ascii="仿宋_GB2312" w:hAnsi="Times New Roman" w:eastAsia="仿宋_GB2312"/>
                <w:color w:val="auto"/>
                <w:sz w:val="24"/>
                <w:szCs w:val="24"/>
              </w:rPr>
            </w:pPr>
          </w:p>
        </w:tc>
      </w:tr>
      <w:tr w14:paraId="33FE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014" w:type="dxa"/>
            <w:gridSpan w:val="2"/>
            <w:noWrap/>
            <w:vAlign w:val="center"/>
          </w:tcPr>
          <w:p w14:paraId="0087C076">
            <w:pPr>
              <w:pStyle w:val="19"/>
              <w:spacing w:line="400" w:lineRule="exact"/>
              <w:rPr>
                <w:rFonts w:hint="eastAsia" w:ascii="仿宋_GB2312" w:hAnsi="Times New Roman" w:eastAsia="仿宋_GB2312"/>
                <w:color w:val="auto"/>
                <w:sz w:val="24"/>
                <w:szCs w:val="24"/>
              </w:rPr>
            </w:pPr>
          </w:p>
        </w:tc>
        <w:tc>
          <w:tcPr>
            <w:tcW w:w="7728" w:type="dxa"/>
            <w:gridSpan w:val="8"/>
            <w:noWrap/>
            <w:vAlign w:val="center"/>
          </w:tcPr>
          <w:p w14:paraId="1740456E">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总价：</w:t>
            </w:r>
          </w:p>
        </w:tc>
        <w:tc>
          <w:tcPr>
            <w:tcW w:w="1647" w:type="dxa"/>
            <w:gridSpan w:val="2"/>
            <w:noWrap/>
            <w:vAlign w:val="center"/>
          </w:tcPr>
          <w:p w14:paraId="5FC4C0A8">
            <w:pPr>
              <w:pStyle w:val="19"/>
              <w:spacing w:line="400" w:lineRule="exact"/>
              <w:ind w:left="1080" w:leftChars="257" w:hanging="540"/>
              <w:jc w:val="center"/>
              <w:rPr>
                <w:rFonts w:hint="eastAsia" w:ascii="仿宋_GB2312" w:hAnsi="Times New Roman" w:eastAsia="仿宋_GB2312"/>
                <w:color w:val="auto"/>
                <w:sz w:val="24"/>
                <w:szCs w:val="24"/>
              </w:rPr>
            </w:pPr>
          </w:p>
        </w:tc>
      </w:tr>
    </w:tbl>
    <w:p w14:paraId="42AAD6EB">
      <w:pPr>
        <w:pStyle w:val="19"/>
        <w:spacing w:line="400" w:lineRule="exact"/>
        <w:jc w:val="left"/>
        <w:rPr>
          <w:rFonts w:hint="eastAsia" w:ascii="仿宋_GB2312" w:hAnsi="Times New Roman" w:eastAsia="仿宋_GB2312"/>
          <w:color w:val="auto"/>
          <w:sz w:val="24"/>
          <w:szCs w:val="24"/>
        </w:rPr>
      </w:pPr>
    </w:p>
    <w:p w14:paraId="41073535">
      <w:pPr>
        <w:pStyle w:val="19"/>
        <w:spacing w:line="400" w:lineRule="exact"/>
        <w:rPr>
          <w:rFonts w:hint="eastAsia" w:ascii="仿宋_GB2312" w:hAnsi="Times New Roman" w:eastAsia="仿宋_GB2312"/>
          <w:color w:val="auto"/>
          <w:sz w:val="24"/>
          <w:szCs w:val="24"/>
        </w:rPr>
      </w:pPr>
    </w:p>
    <w:p w14:paraId="44B1D98B">
      <w:pPr>
        <w:pStyle w:val="19"/>
        <w:spacing w:line="400" w:lineRule="exact"/>
        <w:ind w:left="1080"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法定代表人或其委托代理人（签字或盖章）:</w:t>
      </w:r>
      <w:r>
        <w:rPr>
          <w:rFonts w:hint="eastAsia" w:ascii="仿宋_GB2312" w:hAnsi="Times New Roman" w:eastAsia="仿宋_GB2312"/>
          <w:color w:val="auto"/>
          <w:sz w:val="24"/>
          <w:szCs w:val="24"/>
          <w:u w:val="single"/>
        </w:rPr>
        <w:tab/>
      </w:r>
      <w:r>
        <w:rPr>
          <w:rFonts w:hint="eastAsia" w:ascii="仿宋_GB2312" w:hAnsi="Times New Roman" w:eastAsia="仿宋_GB2312"/>
          <w:color w:val="auto"/>
          <w:sz w:val="24"/>
          <w:szCs w:val="24"/>
          <w:u w:val="single"/>
        </w:rPr>
        <w:t xml:space="preserve">                    </w:t>
      </w:r>
    </w:p>
    <w:p w14:paraId="2C3BC913">
      <w:pPr>
        <w:pStyle w:val="19"/>
        <w:tabs>
          <w:tab w:val="left" w:pos="5370"/>
        </w:tabs>
        <w:spacing w:line="400" w:lineRule="exact"/>
        <w:ind w:left="1080"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 xml:space="preserve">供应商（加盖公章）： </w:t>
      </w:r>
      <w:r>
        <w:rPr>
          <w:rFonts w:hint="eastAsia" w:ascii="仿宋_GB2312" w:hAnsi="Times New Roman" w:eastAsia="仿宋_GB2312"/>
          <w:color w:val="auto"/>
          <w:sz w:val="24"/>
          <w:szCs w:val="24"/>
          <w:u w:val="single"/>
        </w:rPr>
        <w:t xml:space="preserve">                                        </w:t>
      </w:r>
    </w:p>
    <w:p w14:paraId="5B251111">
      <w:pPr>
        <w:pStyle w:val="32"/>
        <w:ind w:left="0" w:leftChars="0" w:firstLine="480" w:firstLineChars="200"/>
        <w:rPr>
          <w:rFonts w:hint="eastAsia" w:ascii="仿宋_GB2312" w:eastAsia="仿宋_GB2312"/>
          <w:color w:val="auto"/>
          <w:sz w:val="24"/>
        </w:rPr>
      </w:pPr>
      <w:r>
        <w:rPr>
          <w:rFonts w:hint="eastAsia" w:ascii="仿宋_GB2312" w:eastAsia="仿宋_GB2312"/>
          <w:color w:val="auto"/>
          <w:sz w:val="24"/>
        </w:rPr>
        <w:t>日  期：</w:t>
      </w:r>
      <w:r>
        <w:rPr>
          <w:rFonts w:hint="eastAsia" w:ascii="仿宋_GB2312" w:eastAsia="仿宋_GB2312"/>
          <w:color w:val="auto"/>
          <w:sz w:val="24"/>
          <w:u w:val="single"/>
        </w:rPr>
        <w:t xml:space="preserve">                                                     </w:t>
      </w:r>
    </w:p>
    <w:p w14:paraId="4DDC5BC8">
      <w:pPr>
        <w:pStyle w:val="19"/>
        <w:spacing w:line="400" w:lineRule="exact"/>
        <w:ind w:left="1080"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注：1.如果供应商认为需要，每种货物填写一份该表，此表根据自身需求可扩展。</w:t>
      </w:r>
    </w:p>
    <w:p w14:paraId="7D6B6AB3">
      <w:pPr>
        <w:pStyle w:val="19"/>
        <w:spacing w:line="400" w:lineRule="exact"/>
        <w:ind w:firstLine="960" w:firstLineChars="4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2.如果按单价计算的结果与总价不一致,以单价为准修正总价。</w:t>
      </w:r>
    </w:p>
    <w:p w14:paraId="74245A99">
      <w:pPr>
        <w:pStyle w:val="19"/>
        <w:spacing w:line="400" w:lineRule="exact"/>
        <w:ind w:firstLine="960" w:firstLineChars="4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3.如果不提供详细分项报价将视为没有实质性响应招标文件。</w:t>
      </w:r>
    </w:p>
    <w:p w14:paraId="2D07E8C7">
      <w:pPr>
        <w:pStyle w:val="19"/>
        <w:spacing w:line="400" w:lineRule="exact"/>
        <w:ind w:firstLine="960" w:firstLineChars="40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4.上述各项的详细分项报价，应另页描述。</w:t>
      </w:r>
    </w:p>
    <w:p w14:paraId="20CD1ADD">
      <w:pPr>
        <w:pStyle w:val="19"/>
        <w:spacing w:line="400" w:lineRule="exact"/>
        <w:ind w:firstLine="960" w:firstLineChars="400"/>
        <w:rPr>
          <w:rFonts w:hint="eastAsia" w:ascii="仿宋_GB2312" w:hAnsi="Times New Roman" w:eastAsia="仿宋_GB2312"/>
          <w:b/>
          <w:bCs/>
          <w:color w:val="auto"/>
          <w:kern w:val="0"/>
          <w:sz w:val="24"/>
          <w:szCs w:val="24"/>
        </w:rPr>
      </w:pPr>
      <w:r>
        <w:rPr>
          <w:rFonts w:hint="eastAsia" w:ascii="仿宋_GB2312" w:hAnsi="Times New Roman" w:eastAsia="仿宋_GB2312"/>
          <w:color w:val="auto"/>
          <w:sz w:val="24"/>
          <w:szCs w:val="24"/>
        </w:rPr>
        <w:t>5.如果开标一览表（报价表）内容与响应文件中明细表内容不一致的，以开标一览表（报价表）内容为准。</w:t>
      </w:r>
      <w:bookmarkStart w:id="656" w:name="_Toc16166"/>
      <w:bookmarkStart w:id="657" w:name="_Toc12483"/>
      <w:bookmarkStart w:id="658" w:name="_Toc30209"/>
      <w:bookmarkStart w:id="659" w:name="_Toc16798"/>
      <w:bookmarkStart w:id="660" w:name="_Toc13950"/>
      <w:bookmarkStart w:id="661" w:name="_Toc6480"/>
      <w:bookmarkStart w:id="662" w:name="_Toc27721"/>
      <w:bookmarkStart w:id="663" w:name="_Toc10486"/>
      <w:bookmarkStart w:id="664" w:name="_Toc6382"/>
      <w:bookmarkStart w:id="665" w:name="_Toc28199"/>
      <w:bookmarkStart w:id="666" w:name="_Toc13812"/>
    </w:p>
    <w:p w14:paraId="70AFFC2D">
      <w:pPr>
        <w:spacing w:line="360" w:lineRule="auto"/>
        <w:jc w:val="center"/>
        <w:outlineLvl w:val="1"/>
        <w:rPr>
          <w:rFonts w:hint="eastAsia" w:ascii="仿宋_GB2312" w:eastAsia="仿宋_GB2312"/>
          <w:b/>
          <w:bCs/>
          <w:color w:val="auto"/>
          <w:kern w:val="0"/>
          <w:sz w:val="28"/>
          <w:szCs w:val="28"/>
        </w:rPr>
      </w:pPr>
      <w:bookmarkStart w:id="667" w:name="_Toc15592"/>
    </w:p>
    <w:p w14:paraId="38739B48">
      <w:pPr>
        <w:spacing w:line="360" w:lineRule="auto"/>
        <w:jc w:val="center"/>
        <w:outlineLvl w:val="1"/>
        <w:rPr>
          <w:rFonts w:hint="eastAsia" w:eastAsia="方正仿宋简体"/>
          <w:b/>
          <w:bCs/>
          <w:color w:val="auto"/>
          <w:kern w:val="0"/>
          <w:sz w:val="28"/>
          <w:szCs w:val="28"/>
        </w:rPr>
      </w:pPr>
    </w:p>
    <w:p w14:paraId="6DC0FEC8">
      <w:pPr>
        <w:pStyle w:val="2"/>
        <w:ind w:firstLine="480"/>
        <w:rPr>
          <w:color w:val="auto"/>
        </w:rPr>
      </w:pPr>
    </w:p>
    <w:bookmarkEnd w:id="636"/>
    <w:bookmarkEnd w:id="637"/>
    <w:bookmarkEnd w:id="638"/>
    <w:bookmarkEnd w:id="639"/>
    <w:bookmarkEnd w:id="640"/>
    <w:bookmarkEnd w:id="641"/>
    <w:bookmarkEnd w:id="642"/>
    <w:bookmarkEnd w:id="656"/>
    <w:bookmarkEnd w:id="657"/>
    <w:bookmarkEnd w:id="658"/>
    <w:bookmarkEnd w:id="659"/>
    <w:bookmarkEnd w:id="660"/>
    <w:bookmarkEnd w:id="661"/>
    <w:bookmarkEnd w:id="662"/>
    <w:bookmarkEnd w:id="663"/>
    <w:bookmarkEnd w:id="664"/>
    <w:bookmarkEnd w:id="665"/>
    <w:bookmarkEnd w:id="666"/>
    <w:bookmarkEnd w:id="667"/>
    <w:p w14:paraId="739D7335">
      <w:pPr>
        <w:pStyle w:val="19"/>
        <w:spacing w:line="240" w:lineRule="atLeast"/>
        <w:jc w:val="center"/>
        <w:outlineLvl w:val="1"/>
        <w:rPr>
          <w:rFonts w:hint="eastAsia" w:ascii="仿宋_GB2312" w:hAnsi="Times New Roman" w:eastAsia="仿宋_GB2312"/>
          <w:b/>
          <w:bCs/>
          <w:color w:val="auto"/>
          <w:sz w:val="24"/>
          <w:szCs w:val="24"/>
        </w:rPr>
      </w:pPr>
      <w:bookmarkStart w:id="668" w:name="_Toc9239"/>
      <w:r>
        <w:rPr>
          <w:rFonts w:hint="eastAsia" w:ascii="仿宋_GB2312" w:hAnsi="Times New Roman" w:eastAsia="仿宋_GB2312"/>
          <w:b/>
          <w:bCs/>
          <w:color w:val="auto"/>
          <w:sz w:val="24"/>
          <w:szCs w:val="24"/>
        </w:rPr>
        <w:t>4、技术规格偏离表</w:t>
      </w:r>
      <w:bookmarkEnd w:id="668"/>
    </w:p>
    <w:p w14:paraId="270B370E">
      <w:pPr>
        <w:pStyle w:val="19"/>
        <w:spacing w:line="240" w:lineRule="atLeast"/>
        <w:ind w:left="1080" w:leftChars="257" w:hanging="540"/>
        <w:rPr>
          <w:rFonts w:hint="eastAsia" w:ascii="仿宋_GB2312" w:hAnsi="Times New Roman" w:eastAsia="仿宋_GB2312"/>
          <w:color w:val="auto"/>
          <w:sz w:val="24"/>
          <w:szCs w:val="24"/>
        </w:rPr>
      </w:pPr>
    </w:p>
    <w:p w14:paraId="03498175">
      <w:pPr>
        <w:pStyle w:val="19"/>
        <w:spacing w:line="400" w:lineRule="exact"/>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项目名称:                 项目编号:                 标段号：</w:t>
      </w:r>
    </w:p>
    <w:p w14:paraId="2570C6DE">
      <w:pPr>
        <w:pStyle w:val="19"/>
        <w:spacing w:line="400" w:lineRule="exact"/>
        <w:ind w:left="1080" w:leftChars="257" w:hanging="540"/>
        <w:rPr>
          <w:rFonts w:hint="eastAsia" w:ascii="仿宋_GB2312" w:hAnsi="Times New Roman" w:eastAsia="仿宋_GB2312"/>
          <w:color w:val="auto"/>
          <w:sz w:val="24"/>
          <w:szCs w:val="24"/>
        </w:rPr>
      </w:pPr>
    </w:p>
    <w:tbl>
      <w:tblPr>
        <w:tblStyle w:val="4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48DF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76BFF1BA">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1330" w:type="dxa"/>
            <w:vAlign w:val="center"/>
          </w:tcPr>
          <w:p w14:paraId="3345A7F4">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货物名称</w:t>
            </w:r>
          </w:p>
        </w:tc>
        <w:tc>
          <w:tcPr>
            <w:tcW w:w="2472" w:type="dxa"/>
            <w:vAlign w:val="center"/>
          </w:tcPr>
          <w:p w14:paraId="33114BF3">
            <w:pPr>
              <w:pStyle w:val="19"/>
              <w:spacing w:line="400" w:lineRule="exact"/>
              <w:ind w:left="269" w:leftChars="128"/>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谈判文件条款号</w:t>
            </w:r>
          </w:p>
        </w:tc>
        <w:tc>
          <w:tcPr>
            <w:tcW w:w="1331" w:type="dxa"/>
            <w:vAlign w:val="center"/>
          </w:tcPr>
          <w:p w14:paraId="77A94702">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采购规格</w:t>
            </w:r>
          </w:p>
        </w:tc>
        <w:tc>
          <w:tcPr>
            <w:tcW w:w="1331" w:type="dxa"/>
            <w:vAlign w:val="center"/>
          </w:tcPr>
          <w:p w14:paraId="66CA2879">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响应规格</w:t>
            </w:r>
          </w:p>
        </w:tc>
        <w:tc>
          <w:tcPr>
            <w:tcW w:w="950" w:type="dxa"/>
            <w:vAlign w:val="center"/>
          </w:tcPr>
          <w:p w14:paraId="36C9A6A9">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偏离</w:t>
            </w:r>
          </w:p>
        </w:tc>
        <w:tc>
          <w:tcPr>
            <w:tcW w:w="951" w:type="dxa"/>
            <w:vAlign w:val="center"/>
          </w:tcPr>
          <w:p w14:paraId="0732F6BD">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说明</w:t>
            </w:r>
          </w:p>
        </w:tc>
      </w:tr>
      <w:tr w14:paraId="7C13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AA9918D">
            <w:pPr>
              <w:pStyle w:val="19"/>
              <w:spacing w:line="400" w:lineRule="exact"/>
              <w:ind w:left="1080" w:leftChars="257" w:hanging="540"/>
              <w:rPr>
                <w:rFonts w:hint="eastAsia" w:ascii="仿宋_GB2312" w:hAnsi="Times New Roman" w:eastAsia="仿宋_GB2312"/>
                <w:color w:val="auto"/>
                <w:sz w:val="24"/>
                <w:szCs w:val="24"/>
              </w:rPr>
            </w:pPr>
          </w:p>
        </w:tc>
        <w:tc>
          <w:tcPr>
            <w:tcW w:w="1330" w:type="dxa"/>
          </w:tcPr>
          <w:p w14:paraId="09048055">
            <w:pPr>
              <w:pStyle w:val="19"/>
              <w:spacing w:line="400" w:lineRule="exact"/>
              <w:ind w:left="1080" w:leftChars="257" w:hanging="540"/>
              <w:rPr>
                <w:rFonts w:hint="eastAsia" w:ascii="仿宋_GB2312" w:hAnsi="Times New Roman" w:eastAsia="仿宋_GB2312"/>
                <w:color w:val="auto"/>
                <w:sz w:val="24"/>
                <w:szCs w:val="24"/>
              </w:rPr>
            </w:pPr>
          </w:p>
        </w:tc>
        <w:tc>
          <w:tcPr>
            <w:tcW w:w="2472" w:type="dxa"/>
          </w:tcPr>
          <w:p w14:paraId="558A2ABD">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7399BAFD">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51F20DC9">
            <w:pPr>
              <w:pStyle w:val="19"/>
              <w:spacing w:line="400" w:lineRule="exact"/>
              <w:ind w:left="1080" w:leftChars="257" w:hanging="540"/>
              <w:rPr>
                <w:rFonts w:hint="eastAsia" w:ascii="仿宋_GB2312" w:hAnsi="Times New Roman" w:eastAsia="仿宋_GB2312"/>
                <w:color w:val="auto"/>
                <w:sz w:val="24"/>
                <w:szCs w:val="24"/>
              </w:rPr>
            </w:pPr>
          </w:p>
        </w:tc>
        <w:tc>
          <w:tcPr>
            <w:tcW w:w="950" w:type="dxa"/>
          </w:tcPr>
          <w:p w14:paraId="465B1C45">
            <w:pPr>
              <w:pStyle w:val="19"/>
              <w:spacing w:line="400" w:lineRule="exact"/>
              <w:ind w:left="1080" w:leftChars="257" w:hanging="540"/>
              <w:rPr>
                <w:rFonts w:hint="eastAsia" w:ascii="仿宋_GB2312" w:hAnsi="Times New Roman" w:eastAsia="仿宋_GB2312"/>
                <w:color w:val="auto"/>
                <w:sz w:val="24"/>
                <w:szCs w:val="24"/>
              </w:rPr>
            </w:pPr>
          </w:p>
        </w:tc>
        <w:tc>
          <w:tcPr>
            <w:tcW w:w="951" w:type="dxa"/>
          </w:tcPr>
          <w:p w14:paraId="54B60001">
            <w:pPr>
              <w:pStyle w:val="19"/>
              <w:spacing w:line="400" w:lineRule="exact"/>
              <w:ind w:left="1080" w:leftChars="257" w:hanging="540"/>
              <w:rPr>
                <w:rFonts w:hint="eastAsia" w:ascii="仿宋_GB2312" w:hAnsi="Times New Roman" w:eastAsia="仿宋_GB2312"/>
                <w:color w:val="auto"/>
                <w:sz w:val="24"/>
                <w:szCs w:val="24"/>
              </w:rPr>
            </w:pPr>
          </w:p>
        </w:tc>
      </w:tr>
      <w:tr w14:paraId="4301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43F3C8B">
            <w:pPr>
              <w:pStyle w:val="19"/>
              <w:spacing w:line="400" w:lineRule="exact"/>
              <w:ind w:left="1080" w:leftChars="257" w:hanging="540"/>
              <w:rPr>
                <w:rFonts w:hint="eastAsia" w:ascii="仿宋_GB2312" w:hAnsi="Times New Roman" w:eastAsia="仿宋_GB2312"/>
                <w:color w:val="auto"/>
                <w:sz w:val="24"/>
                <w:szCs w:val="24"/>
              </w:rPr>
            </w:pPr>
          </w:p>
        </w:tc>
        <w:tc>
          <w:tcPr>
            <w:tcW w:w="1330" w:type="dxa"/>
          </w:tcPr>
          <w:p w14:paraId="14A54ED7">
            <w:pPr>
              <w:pStyle w:val="19"/>
              <w:spacing w:line="400" w:lineRule="exact"/>
              <w:ind w:left="1080" w:leftChars="257" w:hanging="540"/>
              <w:rPr>
                <w:rFonts w:hint="eastAsia" w:ascii="仿宋_GB2312" w:hAnsi="Times New Roman" w:eastAsia="仿宋_GB2312"/>
                <w:color w:val="auto"/>
                <w:sz w:val="24"/>
                <w:szCs w:val="24"/>
              </w:rPr>
            </w:pPr>
          </w:p>
        </w:tc>
        <w:tc>
          <w:tcPr>
            <w:tcW w:w="2472" w:type="dxa"/>
          </w:tcPr>
          <w:p w14:paraId="09437CCB">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623F91C8">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5DF4EE44">
            <w:pPr>
              <w:pStyle w:val="19"/>
              <w:spacing w:line="400" w:lineRule="exact"/>
              <w:ind w:left="1080" w:leftChars="257" w:hanging="540"/>
              <w:rPr>
                <w:rFonts w:hint="eastAsia" w:ascii="仿宋_GB2312" w:hAnsi="Times New Roman" w:eastAsia="仿宋_GB2312"/>
                <w:color w:val="auto"/>
                <w:sz w:val="24"/>
                <w:szCs w:val="24"/>
              </w:rPr>
            </w:pPr>
          </w:p>
        </w:tc>
        <w:tc>
          <w:tcPr>
            <w:tcW w:w="950" w:type="dxa"/>
          </w:tcPr>
          <w:p w14:paraId="4D321BE2">
            <w:pPr>
              <w:pStyle w:val="19"/>
              <w:spacing w:line="400" w:lineRule="exact"/>
              <w:ind w:left="1080" w:leftChars="257" w:hanging="540"/>
              <w:rPr>
                <w:rFonts w:hint="eastAsia" w:ascii="仿宋_GB2312" w:hAnsi="Times New Roman" w:eastAsia="仿宋_GB2312"/>
                <w:color w:val="auto"/>
                <w:sz w:val="24"/>
                <w:szCs w:val="24"/>
              </w:rPr>
            </w:pPr>
          </w:p>
        </w:tc>
        <w:tc>
          <w:tcPr>
            <w:tcW w:w="951" w:type="dxa"/>
          </w:tcPr>
          <w:p w14:paraId="062DC3A0">
            <w:pPr>
              <w:pStyle w:val="19"/>
              <w:spacing w:line="400" w:lineRule="exact"/>
              <w:ind w:left="1080" w:leftChars="257" w:hanging="540"/>
              <w:rPr>
                <w:rFonts w:hint="eastAsia" w:ascii="仿宋_GB2312" w:hAnsi="Times New Roman" w:eastAsia="仿宋_GB2312"/>
                <w:color w:val="auto"/>
                <w:sz w:val="24"/>
                <w:szCs w:val="24"/>
              </w:rPr>
            </w:pPr>
          </w:p>
        </w:tc>
      </w:tr>
      <w:tr w14:paraId="3712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27420F7">
            <w:pPr>
              <w:pStyle w:val="19"/>
              <w:spacing w:line="400" w:lineRule="exact"/>
              <w:ind w:left="1080" w:leftChars="257" w:hanging="540"/>
              <w:rPr>
                <w:rFonts w:hint="eastAsia" w:ascii="仿宋_GB2312" w:hAnsi="Times New Roman" w:eastAsia="仿宋_GB2312"/>
                <w:color w:val="auto"/>
                <w:sz w:val="24"/>
                <w:szCs w:val="24"/>
              </w:rPr>
            </w:pPr>
          </w:p>
        </w:tc>
        <w:tc>
          <w:tcPr>
            <w:tcW w:w="1330" w:type="dxa"/>
          </w:tcPr>
          <w:p w14:paraId="1E4CA8DE">
            <w:pPr>
              <w:pStyle w:val="19"/>
              <w:spacing w:line="400" w:lineRule="exact"/>
              <w:ind w:left="1080" w:leftChars="257" w:hanging="540"/>
              <w:rPr>
                <w:rFonts w:hint="eastAsia" w:ascii="仿宋_GB2312" w:hAnsi="Times New Roman" w:eastAsia="仿宋_GB2312"/>
                <w:color w:val="auto"/>
                <w:sz w:val="24"/>
                <w:szCs w:val="24"/>
              </w:rPr>
            </w:pPr>
          </w:p>
        </w:tc>
        <w:tc>
          <w:tcPr>
            <w:tcW w:w="2472" w:type="dxa"/>
          </w:tcPr>
          <w:p w14:paraId="5FAC2358">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1BC4DE6E">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651A10B6">
            <w:pPr>
              <w:pStyle w:val="19"/>
              <w:spacing w:line="400" w:lineRule="exact"/>
              <w:ind w:left="1080" w:leftChars="257" w:hanging="540"/>
              <w:rPr>
                <w:rFonts w:hint="eastAsia" w:ascii="仿宋_GB2312" w:hAnsi="Times New Roman" w:eastAsia="仿宋_GB2312"/>
                <w:color w:val="auto"/>
                <w:sz w:val="24"/>
                <w:szCs w:val="24"/>
              </w:rPr>
            </w:pPr>
          </w:p>
        </w:tc>
        <w:tc>
          <w:tcPr>
            <w:tcW w:w="950" w:type="dxa"/>
          </w:tcPr>
          <w:p w14:paraId="319DB2CE">
            <w:pPr>
              <w:pStyle w:val="19"/>
              <w:spacing w:line="400" w:lineRule="exact"/>
              <w:ind w:left="1080" w:leftChars="257" w:hanging="540"/>
              <w:rPr>
                <w:rFonts w:hint="eastAsia" w:ascii="仿宋_GB2312" w:hAnsi="Times New Roman" w:eastAsia="仿宋_GB2312"/>
                <w:color w:val="auto"/>
                <w:sz w:val="24"/>
                <w:szCs w:val="24"/>
              </w:rPr>
            </w:pPr>
          </w:p>
        </w:tc>
        <w:tc>
          <w:tcPr>
            <w:tcW w:w="951" w:type="dxa"/>
          </w:tcPr>
          <w:p w14:paraId="04A060E5">
            <w:pPr>
              <w:pStyle w:val="19"/>
              <w:spacing w:line="400" w:lineRule="exact"/>
              <w:ind w:left="1080" w:leftChars="257" w:hanging="540"/>
              <w:rPr>
                <w:rFonts w:hint="eastAsia" w:ascii="仿宋_GB2312" w:hAnsi="Times New Roman" w:eastAsia="仿宋_GB2312"/>
                <w:color w:val="auto"/>
                <w:sz w:val="24"/>
                <w:szCs w:val="24"/>
              </w:rPr>
            </w:pPr>
          </w:p>
        </w:tc>
      </w:tr>
      <w:tr w14:paraId="5177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5B9730D">
            <w:pPr>
              <w:pStyle w:val="19"/>
              <w:spacing w:line="400" w:lineRule="exact"/>
              <w:ind w:left="1080" w:leftChars="257" w:hanging="540"/>
              <w:rPr>
                <w:rFonts w:hint="eastAsia" w:ascii="仿宋_GB2312" w:hAnsi="Times New Roman" w:eastAsia="仿宋_GB2312"/>
                <w:color w:val="auto"/>
                <w:sz w:val="24"/>
                <w:szCs w:val="24"/>
              </w:rPr>
            </w:pPr>
          </w:p>
        </w:tc>
        <w:tc>
          <w:tcPr>
            <w:tcW w:w="1330" w:type="dxa"/>
          </w:tcPr>
          <w:p w14:paraId="58ABA211">
            <w:pPr>
              <w:pStyle w:val="19"/>
              <w:spacing w:line="400" w:lineRule="exact"/>
              <w:ind w:left="1080" w:leftChars="257" w:hanging="540"/>
              <w:rPr>
                <w:rFonts w:hint="eastAsia" w:ascii="仿宋_GB2312" w:hAnsi="Times New Roman" w:eastAsia="仿宋_GB2312"/>
                <w:color w:val="auto"/>
                <w:sz w:val="24"/>
                <w:szCs w:val="24"/>
              </w:rPr>
            </w:pPr>
          </w:p>
        </w:tc>
        <w:tc>
          <w:tcPr>
            <w:tcW w:w="2472" w:type="dxa"/>
          </w:tcPr>
          <w:p w14:paraId="42775D6C">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4DB41392">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52738D21">
            <w:pPr>
              <w:pStyle w:val="19"/>
              <w:spacing w:line="400" w:lineRule="exact"/>
              <w:ind w:left="1080" w:leftChars="257" w:hanging="540"/>
              <w:rPr>
                <w:rFonts w:hint="eastAsia" w:ascii="仿宋_GB2312" w:hAnsi="Times New Roman" w:eastAsia="仿宋_GB2312"/>
                <w:color w:val="auto"/>
                <w:sz w:val="24"/>
                <w:szCs w:val="24"/>
              </w:rPr>
            </w:pPr>
          </w:p>
        </w:tc>
        <w:tc>
          <w:tcPr>
            <w:tcW w:w="950" w:type="dxa"/>
          </w:tcPr>
          <w:p w14:paraId="35A5E725">
            <w:pPr>
              <w:pStyle w:val="19"/>
              <w:spacing w:line="400" w:lineRule="exact"/>
              <w:ind w:left="1080" w:leftChars="257" w:hanging="540"/>
              <w:rPr>
                <w:rFonts w:hint="eastAsia" w:ascii="仿宋_GB2312" w:hAnsi="Times New Roman" w:eastAsia="仿宋_GB2312"/>
                <w:color w:val="auto"/>
                <w:sz w:val="24"/>
                <w:szCs w:val="24"/>
              </w:rPr>
            </w:pPr>
          </w:p>
        </w:tc>
        <w:tc>
          <w:tcPr>
            <w:tcW w:w="951" w:type="dxa"/>
          </w:tcPr>
          <w:p w14:paraId="188F4142">
            <w:pPr>
              <w:pStyle w:val="19"/>
              <w:spacing w:line="400" w:lineRule="exact"/>
              <w:ind w:left="1080" w:leftChars="257" w:hanging="540"/>
              <w:rPr>
                <w:rFonts w:hint="eastAsia" w:ascii="仿宋_GB2312" w:hAnsi="Times New Roman" w:eastAsia="仿宋_GB2312"/>
                <w:color w:val="auto"/>
                <w:sz w:val="24"/>
                <w:szCs w:val="24"/>
              </w:rPr>
            </w:pPr>
          </w:p>
        </w:tc>
      </w:tr>
      <w:tr w14:paraId="561F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743F03D">
            <w:pPr>
              <w:pStyle w:val="19"/>
              <w:spacing w:line="400" w:lineRule="exact"/>
              <w:ind w:left="1080" w:leftChars="257" w:hanging="540"/>
              <w:rPr>
                <w:rFonts w:hint="eastAsia" w:ascii="仿宋_GB2312" w:hAnsi="Times New Roman" w:eastAsia="仿宋_GB2312"/>
                <w:color w:val="auto"/>
                <w:sz w:val="24"/>
                <w:szCs w:val="24"/>
              </w:rPr>
            </w:pPr>
          </w:p>
        </w:tc>
        <w:tc>
          <w:tcPr>
            <w:tcW w:w="1330" w:type="dxa"/>
          </w:tcPr>
          <w:p w14:paraId="275D1D3F">
            <w:pPr>
              <w:pStyle w:val="19"/>
              <w:spacing w:line="400" w:lineRule="exact"/>
              <w:ind w:left="1080" w:leftChars="257" w:hanging="540"/>
              <w:rPr>
                <w:rFonts w:hint="eastAsia" w:ascii="仿宋_GB2312" w:hAnsi="Times New Roman" w:eastAsia="仿宋_GB2312"/>
                <w:color w:val="auto"/>
                <w:sz w:val="24"/>
                <w:szCs w:val="24"/>
              </w:rPr>
            </w:pPr>
          </w:p>
        </w:tc>
        <w:tc>
          <w:tcPr>
            <w:tcW w:w="2472" w:type="dxa"/>
          </w:tcPr>
          <w:p w14:paraId="571754B1">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0962338F">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32E47081">
            <w:pPr>
              <w:pStyle w:val="19"/>
              <w:spacing w:line="400" w:lineRule="exact"/>
              <w:ind w:left="1080" w:leftChars="257" w:hanging="540"/>
              <w:rPr>
                <w:rFonts w:hint="eastAsia" w:ascii="仿宋_GB2312" w:hAnsi="Times New Roman" w:eastAsia="仿宋_GB2312"/>
                <w:color w:val="auto"/>
                <w:sz w:val="24"/>
                <w:szCs w:val="24"/>
              </w:rPr>
            </w:pPr>
          </w:p>
        </w:tc>
        <w:tc>
          <w:tcPr>
            <w:tcW w:w="950" w:type="dxa"/>
          </w:tcPr>
          <w:p w14:paraId="4A967A78">
            <w:pPr>
              <w:pStyle w:val="19"/>
              <w:spacing w:line="400" w:lineRule="exact"/>
              <w:ind w:left="1080" w:leftChars="257" w:hanging="540"/>
              <w:rPr>
                <w:rFonts w:hint="eastAsia" w:ascii="仿宋_GB2312" w:hAnsi="Times New Roman" w:eastAsia="仿宋_GB2312"/>
                <w:color w:val="auto"/>
                <w:sz w:val="24"/>
                <w:szCs w:val="24"/>
              </w:rPr>
            </w:pPr>
          </w:p>
        </w:tc>
        <w:tc>
          <w:tcPr>
            <w:tcW w:w="951" w:type="dxa"/>
          </w:tcPr>
          <w:p w14:paraId="45E99BAE">
            <w:pPr>
              <w:pStyle w:val="19"/>
              <w:spacing w:line="400" w:lineRule="exact"/>
              <w:ind w:left="1080" w:leftChars="257" w:hanging="540"/>
              <w:rPr>
                <w:rFonts w:hint="eastAsia" w:ascii="仿宋_GB2312" w:hAnsi="Times New Roman" w:eastAsia="仿宋_GB2312"/>
                <w:color w:val="auto"/>
                <w:sz w:val="24"/>
                <w:szCs w:val="24"/>
              </w:rPr>
            </w:pPr>
          </w:p>
        </w:tc>
      </w:tr>
      <w:tr w14:paraId="4E1F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0CCA394">
            <w:pPr>
              <w:pStyle w:val="19"/>
              <w:spacing w:line="400" w:lineRule="exact"/>
              <w:ind w:left="1080" w:leftChars="257" w:hanging="540"/>
              <w:rPr>
                <w:rFonts w:hint="eastAsia" w:ascii="仿宋_GB2312" w:hAnsi="Times New Roman" w:eastAsia="仿宋_GB2312"/>
                <w:color w:val="auto"/>
                <w:sz w:val="24"/>
                <w:szCs w:val="24"/>
              </w:rPr>
            </w:pPr>
          </w:p>
        </w:tc>
        <w:tc>
          <w:tcPr>
            <w:tcW w:w="1330" w:type="dxa"/>
          </w:tcPr>
          <w:p w14:paraId="6E40F16B">
            <w:pPr>
              <w:pStyle w:val="19"/>
              <w:spacing w:line="400" w:lineRule="exact"/>
              <w:ind w:left="1080" w:leftChars="257" w:hanging="540"/>
              <w:rPr>
                <w:rFonts w:hint="eastAsia" w:ascii="仿宋_GB2312" w:hAnsi="Times New Roman" w:eastAsia="仿宋_GB2312"/>
                <w:color w:val="auto"/>
                <w:sz w:val="24"/>
                <w:szCs w:val="24"/>
              </w:rPr>
            </w:pPr>
          </w:p>
        </w:tc>
        <w:tc>
          <w:tcPr>
            <w:tcW w:w="2472" w:type="dxa"/>
          </w:tcPr>
          <w:p w14:paraId="5EB640F2">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619EB089">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168960CE">
            <w:pPr>
              <w:pStyle w:val="19"/>
              <w:spacing w:line="400" w:lineRule="exact"/>
              <w:ind w:left="1080" w:leftChars="257" w:hanging="540"/>
              <w:rPr>
                <w:rFonts w:hint="eastAsia" w:ascii="仿宋_GB2312" w:hAnsi="Times New Roman" w:eastAsia="仿宋_GB2312"/>
                <w:color w:val="auto"/>
                <w:sz w:val="24"/>
                <w:szCs w:val="24"/>
              </w:rPr>
            </w:pPr>
          </w:p>
        </w:tc>
        <w:tc>
          <w:tcPr>
            <w:tcW w:w="950" w:type="dxa"/>
          </w:tcPr>
          <w:p w14:paraId="43E03B05">
            <w:pPr>
              <w:pStyle w:val="19"/>
              <w:spacing w:line="400" w:lineRule="exact"/>
              <w:ind w:left="1080" w:leftChars="257" w:hanging="540"/>
              <w:rPr>
                <w:rFonts w:hint="eastAsia" w:ascii="仿宋_GB2312" w:hAnsi="Times New Roman" w:eastAsia="仿宋_GB2312"/>
                <w:color w:val="auto"/>
                <w:sz w:val="24"/>
                <w:szCs w:val="24"/>
              </w:rPr>
            </w:pPr>
          </w:p>
        </w:tc>
        <w:tc>
          <w:tcPr>
            <w:tcW w:w="951" w:type="dxa"/>
          </w:tcPr>
          <w:p w14:paraId="6D3AAB57">
            <w:pPr>
              <w:pStyle w:val="19"/>
              <w:spacing w:line="400" w:lineRule="exact"/>
              <w:ind w:left="1080" w:leftChars="257" w:hanging="540"/>
              <w:rPr>
                <w:rFonts w:hint="eastAsia" w:ascii="仿宋_GB2312" w:hAnsi="Times New Roman" w:eastAsia="仿宋_GB2312"/>
                <w:color w:val="auto"/>
                <w:sz w:val="24"/>
                <w:szCs w:val="24"/>
              </w:rPr>
            </w:pPr>
          </w:p>
        </w:tc>
      </w:tr>
      <w:tr w14:paraId="329B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75077D50">
            <w:pPr>
              <w:pStyle w:val="19"/>
              <w:spacing w:line="400" w:lineRule="exact"/>
              <w:ind w:left="1080" w:leftChars="257" w:hanging="540"/>
              <w:rPr>
                <w:rFonts w:hint="eastAsia" w:ascii="仿宋_GB2312" w:hAnsi="Times New Roman" w:eastAsia="仿宋_GB2312"/>
                <w:color w:val="auto"/>
                <w:sz w:val="24"/>
                <w:szCs w:val="24"/>
              </w:rPr>
            </w:pPr>
          </w:p>
        </w:tc>
        <w:tc>
          <w:tcPr>
            <w:tcW w:w="1330" w:type="dxa"/>
          </w:tcPr>
          <w:p w14:paraId="7C968F4D">
            <w:pPr>
              <w:pStyle w:val="19"/>
              <w:spacing w:line="400" w:lineRule="exact"/>
              <w:ind w:left="1080" w:leftChars="257" w:hanging="540"/>
              <w:rPr>
                <w:rFonts w:hint="eastAsia" w:ascii="仿宋_GB2312" w:hAnsi="Times New Roman" w:eastAsia="仿宋_GB2312"/>
                <w:color w:val="auto"/>
                <w:sz w:val="24"/>
                <w:szCs w:val="24"/>
              </w:rPr>
            </w:pPr>
          </w:p>
        </w:tc>
        <w:tc>
          <w:tcPr>
            <w:tcW w:w="2472" w:type="dxa"/>
          </w:tcPr>
          <w:p w14:paraId="7856D992">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67CCEDCD">
            <w:pPr>
              <w:pStyle w:val="19"/>
              <w:spacing w:line="400" w:lineRule="exact"/>
              <w:ind w:left="1080" w:leftChars="257" w:hanging="540"/>
              <w:rPr>
                <w:rFonts w:hint="eastAsia" w:ascii="仿宋_GB2312" w:hAnsi="Times New Roman" w:eastAsia="仿宋_GB2312"/>
                <w:color w:val="auto"/>
                <w:sz w:val="24"/>
                <w:szCs w:val="24"/>
              </w:rPr>
            </w:pPr>
          </w:p>
        </w:tc>
        <w:tc>
          <w:tcPr>
            <w:tcW w:w="1331" w:type="dxa"/>
          </w:tcPr>
          <w:p w14:paraId="32FFA69B">
            <w:pPr>
              <w:pStyle w:val="19"/>
              <w:spacing w:line="400" w:lineRule="exact"/>
              <w:ind w:left="1080" w:leftChars="257" w:hanging="540"/>
              <w:rPr>
                <w:rFonts w:hint="eastAsia" w:ascii="仿宋_GB2312" w:hAnsi="Times New Roman" w:eastAsia="仿宋_GB2312"/>
                <w:color w:val="auto"/>
                <w:sz w:val="24"/>
                <w:szCs w:val="24"/>
              </w:rPr>
            </w:pPr>
          </w:p>
        </w:tc>
        <w:tc>
          <w:tcPr>
            <w:tcW w:w="950" w:type="dxa"/>
          </w:tcPr>
          <w:p w14:paraId="3A5EAC16">
            <w:pPr>
              <w:pStyle w:val="19"/>
              <w:spacing w:line="400" w:lineRule="exact"/>
              <w:ind w:left="1080" w:leftChars="257" w:hanging="540"/>
              <w:rPr>
                <w:rFonts w:hint="eastAsia" w:ascii="仿宋_GB2312" w:hAnsi="Times New Roman" w:eastAsia="仿宋_GB2312"/>
                <w:color w:val="auto"/>
                <w:sz w:val="24"/>
                <w:szCs w:val="24"/>
              </w:rPr>
            </w:pPr>
          </w:p>
        </w:tc>
        <w:tc>
          <w:tcPr>
            <w:tcW w:w="951" w:type="dxa"/>
          </w:tcPr>
          <w:p w14:paraId="5792D4BA">
            <w:pPr>
              <w:pStyle w:val="19"/>
              <w:spacing w:line="400" w:lineRule="exact"/>
              <w:ind w:left="1080" w:leftChars="257" w:hanging="540"/>
              <w:rPr>
                <w:rFonts w:hint="eastAsia" w:ascii="仿宋_GB2312" w:hAnsi="Times New Roman" w:eastAsia="仿宋_GB2312"/>
                <w:color w:val="auto"/>
                <w:sz w:val="24"/>
                <w:szCs w:val="24"/>
              </w:rPr>
            </w:pPr>
          </w:p>
        </w:tc>
      </w:tr>
    </w:tbl>
    <w:p w14:paraId="08DD1D5D">
      <w:pPr>
        <w:pStyle w:val="19"/>
        <w:spacing w:line="400" w:lineRule="exact"/>
        <w:rPr>
          <w:rFonts w:hint="eastAsia" w:ascii="仿宋_GB2312" w:hAnsi="Times New Roman" w:eastAsia="仿宋_GB2312"/>
          <w:color w:val="auto"/>
          <w:sz w:val="24"/>
          <w:szCs w:val="24"/>
        </w:rPr>
      </w:pPr>
    </w:p>
    <w:p w14:paraId="2BF3AC26">
      <w:pPr>
        <w:pStyle w:val="19"/>
        <w:spacing w:line="400" w:lineRule="exact"/>
        <w:ind w:left="1080"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 xml:space="preserve">法定代表人或其委托代理人（签字或盖章）: </w:t>
      </w:r>
      <w:r>
        <w:rPr>
          <w:rFonts w:hint="eastAsia" w:ascii="仿宋_GB2312" w:hAnsi="Times New Roman" w:eastAsia="仿宋_GB2312"/>
          <w:color w:val="auto"/>
          <w:sz w:val="24"/>
          <w:szCs w:val="24"/>
          <w:u w:val="single"/>
        </w:rPr>
        <w:t xml:space="preserve">                    </w:t>
      </w:r>
    </w:p>
    <w:p w14:paraId="536CCB6E">
      <w:pPr>
        <w:pStyle w:val="19"/>
        <w:tabs>
          <w:tab w:val="left" w:pos="5370"/>
        </w:tabs>
        <w:spacing w:line="400" w:lineRule="exact"/>
        <w:ind w:left="1080"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供应商(公章):</w:t>
      </w:r>
      <w:r>
        <w:rPr>
          <w:rFonts w:hint="eastAsia" w:ascii="仿宋_GB2312" w:hAnsi="Times New Roman" w:eastAsia="仿宋_GB2312"/>
          <w:b/>
          <w:bCs/>
          <w:color w:val="auto"/>
          <w:sz w:val="24"/>
          <w:szCs w:val="24"/>
          <w:u w:val="single"/>
        </w:rPr>
        <w:t xml:space="preserve">                                                </w:t>
      </w:r>
    </w:p>
    <w:p w14:paraId="5147277F">
      <w:pPr>
        <w:pStyle w:val="29"/>
        <w:rPr>
          <w:rFonts w:hint="eastAsia" w:ascii="仿宋_GB2312" w:eastAsia="仿宋_GB2312"/>
          <w:color w:val="auto"/>
          <w:sz w:val="24"/>
          <w:u w:val="single"/>
        </w:rPr>
      </w:pPr>
    </w:p>
    <w:p w14:paraId="60ADA879">
      <w:pPr>
        <w:pStyle w:val="29"/>
        <w:rPr>
          <w:rFonts w:hint="eastAsia" w:ascii="仿宋_GB2312" w:eastAsia="仿宋_GB2312"/>
          <w:color w:val="auto"/>
          <w:sz w:val="28"/>
          <w:szCs w:val="28"/>
        </w:rPr>
      </w:pPr>
    </w:p>
    <w:p w14:paraId="435B757A">
      <w:pPr>
        <w:pStyle w:val="29"/>
        <w:rPr>
          <w:rFonts w:eastAsia="方正仿宋简体"/>
          <w:color w:val="auto"/>
          <w:sz w:val="28"/>
          <w:szCs w:val="28"/>
        </w:rPr>
      </w:pPr>
    </w:p>
    <w:p w14:paraId="0D00D03C">
      <w:pPr>
        <w:pStyle w:val="29"/>
        <w:rPr>
          <w:rFonts w:eastAsia="方正仿宋简体"/>
          <w:color w:val="auto"/>
          <w:sz w:val="28"/>
          <w:szCs w:val="28"/>
        </w:rPr>
      </w:pPr>
    </w:p>
    <w:p w14:paraId="4C2D02D3">
      <w:pPr>
        <w:pStyle w:val="29"/>
        <w:rPr>
          <w:rFonts w:eastAsia="方正仿宋简体"/>
          <w:color w:val="auto"/>
          <w:sz w:val="28"/>
          <w:szCs w:val="28"/>
        </w:rPr>
      </w:pPr>
    </w:p>
    <w:p w14:paraId="2C1CB9B8">
      <w:pPr>
        <w:pStyle w:val="29"/>
        <w:rPr>
          <w:rFonts w:eastAsia="方正仿宋简体"/>
          <w:color w:val="auto"/>
          <w:sz w:val="28"/>
          <w:szCs w:val="28"/>
        </w:rPr>
      </w:pPr>
    </w:p>
    <w:p w14:paraId="630333F0">
      <w:pPr>
        <w:pStyle w:val="29"/>
        <w:rPr>
          <w:rFonts w:eastAsia="方正仿宋简体"/>
          <w:color w:val="auto"/>
          <w:sz w:val="28"/>
          <w:szCs w:val="28"/>
        </w:rPr>
      </w:pPr>
    </w:p>
    <w:p w14:paraId="09848306">
      <w:pPr>
        <w:pStyle w:val="29"/>
        <w:rPr>
          <w:rFonts w:eastAsia="方正仿宋简体"/>
          <w:color w:val="auto"/>
          <w:sz w:val="28"/>
          <w:szCs w:val="28"/>
        </w:rPr>
      </w:pPr>
    </w:p>
    <w:p w14:paraId="0415DD1D">
      <w:pPr>
        <w:pStyle w:val="29"/>
        <w:rPr>
          <w:rFonts w:eastAsia="方正仿宋简体"/>
          <w:color w:val="auto"/>
          <w:sz w:val="28"/>
          <w:szCs w:val="28"/>
        </w:rPr>
      </w:pPr>
    </w:p>
    <w:p w14:paraId="4BEAABE1">
      <w:pPr>
        <w:pStyle w:val="29"/>
        <w:rPr>
          <w:rFonts w:hint="eastAsia" w:eastAsia="方正仿宋简体"/>
          <w:color w:val="auto"/>
          <w:sz w:val="28"/>
          <w:szCs w:val="28"/>
        </w:rPr>
      </w:pPr>
    </w:p>
    <w:p w14:paraId="1C8F5B0D">
      <w:pPr>
        <w:pStyle w:val="5"/>
        <w:rPr>
          <w:color w:val="auto"/>
        </w:rPr>
      </w:pPr>
    </w:p>
    <w:bookmarkEnd w:id="643"/>
    <w:bookmarkEnd w:id="644"/>
    <w:bookmarkEnd w:id="645"/>
    <w:bookmarkEnd w:id="646"/>
    <w:bookmarkEnd w:id="647"/>
    <w:bookmarkEnd w:id="648"/>
    <w:bookmarkEnd w:id="649"/>
    <w:bookmarkEnd w:id="650"/>
    <w:bookmarkEnd w:id="651"/>
    <w:bookmarkEnd w:id="652"/>
    <w:bookmarkEnd w:id="653"/>
    <w:p w14:paraId="506F60C0">
      <w:pPr>
        <w:pStyle w:val="8"/>
        <w:spacing w:before="0" w:line="240" w:lineRule="atLeast"/>
        <w:rPr>
          <w:rFonts w:hint="eastAsia" w:ascii="仿宋_GB2312" w:hAnsi="Times New Roman" w:eastAsia="仿宋_GB2312"/>
          <w:bCs/>
          <w:color w:val="auto"/>
          <w:kern w:val="2"/>
          <w:sz w:val="24"/>
          <w:szCs w:val="24"/>
        </w:rPr>
      </w:pPr>
      <w:bookmarkStart w:id="669" w:name="_Toc23233"/>
      <w:bookmarkStart w:id="670" w:name="_Toc3667"/>
      <w:bookmarkStart w:id="671" w:name="_Toc216582817"/>
      <w:bookmarkStart w:id="672" w:name="_Toc1232"/>
      <w:bookmarkStart w:id="673" w:name="_Toc4880"/>
      <w:bookmarkStart w:id="674" w:name="_Toc32666"/>
      <w:bookmarkStart w:id="675" w:name="_Toc28414"/>
      <w:bookmarkStart w:id="676" w:name="_Toc13093"/>
      <w:bookmarkStart w:id="677" w:name="_Toc28959"/>
      <w:bookmarkStart w:id="678" w:name="_Toc338"/>
      <w:bookmarkStart w:id="679" w:name="_Toc32689"/>
      <w:bookmarkStart w:id="680" w:name="_Toc13229"/>
      <w:bookmarkStart w:id="681" w:name="_Toc9012"/>
      <w:bookmarkStart w:id="682" w:name="_Toc24864"/>
      <w:bookmarkStart w:id="683" w:name="_Toc23542"/>
      <w:bookmarkStart w:id="684" w:name="_Toc10773"/>
      <w:bookmarkStart w:id="685" w:name="_Toc3537"/>
      <w:bookmarkStart w:id="686" w:name="_Toc22563"/>
      <w:bookmarkStart w:id="687" w:name="_Toc1130"/>
      <w:bookmarkStart w:id="688" w:name="_Toc26490"/>
      <w:bookmarkStart w:id="689" w:name="_Toc515647820"/>
      <w:r>
        <w:rPr>
          <w:rFonts w:hint="eastAsia" w:ascii="仿宋_GB2312" w:hAnsi="Times New Roman" w:eastAsia="仿宋_GB2312"/>
          <w:bCs/>
          <w:color w:val="auto"/>
          <w:sz w:val="24"/>
          <w:szCs w:val="24"/>
        </w:rPr>
        <w:t>5、商务条款偏离表</w:t>
      </w:r>
      <w:bookmarkEnd w:id="669"/>
      <w:bookmarkEnd w:id="670"/>
    </w:p>
    <w:p w14:paraId="7CB7351C">
      <w:pPr>
        <w:pStyle w:val="19"/>
        <w:spacing w:line="240" w:lineRule="atLeast"/>
        <w:ind w:left="1080" w:leftChars="257" w:hanging="540"/>
        <w:rPr>
          <w:rFonts w:hint="eastAsia" w:ascii="仿宋_GB2312" w:hAnsi="Times New Roman" w:eastAsia="仿宋_GB2312"/>
          <w:color w:val="auto"/>
          <w:sz w:val="24"/>
          <w:szCs w:val="24"/>
        </w:rPr>
      </w:pPr>
    </w:p>
    <w:p w14:paraId="188E17DF">
      <w:pPr>
        <w:pStyle w:val="19"/>
        <w:spacing w:line="240" w:lineRule="atLeast"/>
        <w:ind w:left="1080" w:leftChars="257" w:hanging="540"/>
        <w:rPr>
          <w:rFonts w:hint="eastAsia" w:ascii="仿宋_GB2312" w:hAnsi="Times New Roman" w:eastAsia="仿宋_GB2312"/>
          <w:color w:val="auto"/>
          <w:sz w:val="24"/>
          <w:szCs w:val="24"/>
        </w:rPr>
      </w:pPr>
    </w:p>
    <w:p w14:paraId="70983E54">
      <w:pPr>
        <w:pStyle w:val="19"/>
        <w:spacing w:line="400" w:lineRule="exact"/>
        <w:ind w:left="1080"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项目名称:               项目编号:             标段号：</w:t>
      </w:r>
    </w:p>
    <w:tbl>
      <w:tblPr>
        <w:tblStyle w:val="4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14:paraId="34B9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615C813">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2040" w:type="dxa"/>
          </w:tcPr>
          <w:p w14:paraId="21FE6362">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谈判文件条款号</w:t>
            </w:r>
          </w:p>
        </w:tc>
        <w:tc>
          <w:tcPr>
            <w:tcW w:w="2520" w:type="dxa"/>
          </w:tcPr>
          <w:p w14:paraId="1EDD70B2">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谈判文件的商务条款</w:t>
            </w:r>
          </w:p>
        </w:tc>
        <w:tc>
          <w:tcPr>
            <w:tcW w:w="2520" w:type="dxa"/>
          </w:tcPr>
          <w:p w14:paraId="2AA04EFB">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响应文件的商务条款</w:t>
            </w:r>
          </w:p>
        </w:tc>
        <w:tc>
          <w:tcPr>
            <w:tcW w:w="1014" w:type="dxa"/>
          </w:tcPr>
          <w:p w14:paraId="4EE13A3B">
            <w:pPr>
              <w:pStyle w:val="19"/>
              <w:spacing w:line="400" w:lineRule="exact"/>
              <w:jc w:val="center"/>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说明</w:t>
            </w:r>
          </w:p>
        </w:tc>
      </w:tr>
      <w:tr w14:paraId="1E8D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71BD21">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5ADAF167">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7B6C9EDA">
            <w:pPr>
              <w:pStyle w:val="19"/>
              <w:spacing w:line="400" w:lineRule="exact"/>
              <w:ind w:left="1080" w:leftChars="257" w:hanging="540"/>
              <w:jc w:val="center"/>
              <w:rPr>
                <w:rFonts w:hint="eastAsia" w:ascii="仿宋_GB2312" w:hAnsi="Times New Roman" w:eastAsia="仿宋_GB2312"/>
                <w:color w:val="auto"/>
                <w:sz w:val="24"/>
                <w:szCs w:val="24"/>
              </w:rPr>
            </w:pPr>
          </w:p>
        </w:tc>
        <w:tc>
          <w:tcPr>
            <w:tcW w:w="2520" w:type="dxa"/>
          </w:tcPr>
          <w:p w14:paraId="62BC0E66">
            <w:pPr>
              <w:pStyle w:val="19"/>
              <w:spacing w:line="400" w:lineRule="exact"/>
              <w:ind w:left="1080" w:leftChars="257" w:hanging="540"/>
              <w:jc w:val="center"/>
              <w:rPr>
                <w:rFonts w:hint="eastAsia" w:ascii="仿宋_GB2312" w:hAnsi="Times New Roman" w:eastAsia="仿宋_GB2312"/>
                <w:color w:val="auto"/>
                <w:sz w:val="24"/>
                <w:szCs w:val="24"/>
              </w:rPr>
            </w:pPr>
          </w:p>
        </w:tc>
        <w:tc>
          <w:tcPr>
            <w:tcW w:w="1014" w:type="dxa"/>
          </w:tcPr>
          <w:p w14:paraId="35C7CE09">
            <w:pPr>
              <w:pStyle w:val="19"/>
              <w:spacing w:line="400" w:lineRule="exact"/>
              <w:ind w:left="1080" w:leftChars="257" w:hanging="540"/>
              <w:rPr>
                <w:rFonts w:hint="eastAsia" w:ascii="仿宋_GB2312" w:hAnsi="Times New Roman" w:eastAsia="仿宋_GB2312"/>
                <w:color w:val="auto"/>
                <w:sz w:val="24"/>
                <w:szCs w:val="24"/>
              </w:rPr>
            </w:pPr>
          </w:p>
        </w:tc>
      </w:tr>
      <w:tr w14:paraId="6614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3AFF50F">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1705CECD">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772AEA1A">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4DAE1610">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11C8186F">
            <w:pPr>
              <w:pStyle w:val="19"/>
              <w:spacing w:line="400" w:lineRule="exact"/>
              <w:ind w:left="1080" w:leftChars="257" w:hanging="540"/>
              <w:rPr>
                <w:rFonts w:hint="eastAsia" w:ascii="仿宋_GB2312" w:hAnsi="Times New Roman" w:eastAsia="仿宋_GB2312"/>
                <w:color w:val="auto"/>
                <w:sz w:val="24"/>
                <w:szCs w:val="24"/>
              </w:rPr>
            </w:pPr>
          </w:p>
        </w:tc>
      </w:tr>
      <w:tr w14:paraId="3249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35F409A">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60D6DC6F">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4A93843D">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11ECEC2D">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32BE3A43">
            <w:pPr>
              <w:pStyle w:val="19"/>
              <w:spacing w:line="400" w:lineRule="exact"/>
              <w:ind w:left="1080" w:leftChars="257" w:hanging="540"/>
              <w:rPr>
                <w:rFonts w:hint="eastAsia" w:ascii="仿宋_GB2312" w:hAnsi="Times New Roman" w:eastAsia="仿宋_GB2312"/>
                <w:color w:val="auto"/>
                <w:sz w:val="24"/>
                <w:szCs w:val="24"/>
              </w:rPr>
            </w:pPr>
          </w:p>
        </w:tc>
      </w:tr>
      <w:tr w14:paraId="6CE9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80A31C5">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4958D58B">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06B5FB34">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628B865E">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43FFC390">
            <w:pPr>
              <w:pStyle w:val="19"/>
              <w:spacing w:line="400" w:lineRule="exact"/>
              <w:ind w:left="1080" w:leftChars="257" w:hanging="540"/>
              <w:rPr>
                <w:rFonts w:hint="eastAsia" w:ascii="仿宋_GB2312" w:hAnsi="Times New Roman" w:eastAsia="仿宋_GB2312"/>
                <w:color w:val="auto"/>
                <w:sz w:val="24"/>
                <w:szCs w:val="24"/>
              </w:rPr>
            </w:pPr>
          </w:p>
        </w:tc>
      </w:tr>
      <w:tr w14:paraId="6017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10FB06E">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4B41E663">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22AE5862">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593C4B7C">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51582536">
            <w:pPr>
              <w:pStyle w:val="19"/>
              <w:spacing w:line="400" w:lineRule="exact"/>
              <w:ind w:left="1080" w:leftChars="257" w:hanging="540"/>
              <w:rPr>
                <w:rFonts w:hint="eastAsia" w:ascii="仿宋_GB2312" w:hAnsi="Times New Roman" w:eastAsia="仿宋_GB2312"/>
                <w:color w:val="auto"/>
                <w:sz w:val="24"/>
                <w:szCs w:val="24"/>
              </w:rPr>
            </w:pPr>
          </w:p>
        </w:tc>
      </w:tr>
      <w:tr w14:paraId="515D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1EEB4F3">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2A18F9EF">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360FCF6A">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4EB3FDF2">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4260527B">
            <w:pPr>
              <w:pStyle w:val="19"/>
              <w:spacing w:line="400" w:lineRule="exact"/>
              <w:ind w:left="1080" w:leftChars="257" w:hanging="540"/>
              <w:rPr>
                <w:rFonts w:hint="eastAsia" w:ascii="仿宋_GB2312" w:hAnsi="Times New Roman" w:eastAsia="仿宋_GB2312"/>
                <w:color w:val="auto"/>
                <w:sz w:val="24"/>
                <w:szCs w:val="24"/>
              </w:rPr>
            </w:pPr>
          </w:p>
        </w:tc>
      </w:tr>
      <w:tr w14:paraId="355C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36FCA52">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0E0885A2">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02391CF9">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65D9E25F">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67A33392">
            <w:pPr>
              <w:pStyle w:val="19"/>
              <w:spacing w:line="400" w:lineRule="exact"/>
              <w:ind w:left="1080" w:leftChars="257" w:hanging="540"/>
              <w:rPr>
                <w:rFonts w:hint="eastAsia" w:ascii="仿宋_GB2312" w:hAnsi="Times New Roman" w:eastAsia="仿宋_GB2312"/>
                <w:color w:val="auto"/>
                <w:sz w:val="24"/>
                <w:szCs w:val="24"/>
              </w:rPr>
            </w:pPr>
          </w:p>
        </w:tc>
      </w:tr>
      <w:tr w14:paraId="2653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2B3CDB4">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64100131">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624E9314">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7CA70184">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52DA5BED">
            <w:pPr>
              <w:pStyle w:val="19"/>
              <w:spacing w:line="400" w:lineRule="exact"/>
              <w:ind w:left="1080" w:leftChars="257" w:hanging="540"/>
              <w:rPr>
                <w:rFonts w:hint="eastAsia" w:ascii="仿宋_GB2312" w:hAnsi="Times New Roman" w:eastAsia="仿宋_GB2312"/>
                <w:color w:val="auto"/>
                <w:sz w:val="24"/>
                <w:szCs w:val="24"/>
              </w:rPr>
            </w:pPr>
          </w:p>
        </w:tc>
      </w:tr>
      <w:tr w14:paraId="008D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AEC3A3A">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5F3FA06D">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1129EE6F">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4ECDDBD7">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5CF66303">
            <w:pPr>
              <w:pStyle w:val="19"/>
              <w:spacing w:line="400" w:lineRule="exact"/>
              <w:ind w:left="1080" w:leftChars="257" w:hanging="540"/>
              <w:rPr>
                <w:rFonts w:hint="eastAsia" w:ascii="仿宋_GB2312" w:hAnsi="Times New Roman" w:eastAsia="仿宋_GB2312"/>
                <w:color w:val="auto"/>
                <w:sz w:val="24"/>
                <w:szCs w:val="24"/>
              </w:rPr>
            </w:pPr>
          </w:p>
        </w:tc>
      </w:tr>
      <w:tr w14:paraId="1700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E1895F0">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16079DCF">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032B76A0">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1B212999">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01BE0429">
            <w:pPr>
              <w:pStyle w:val="19"/>
              <w:spacing w:line="400" w:lineRule="exact"/>
              <w:ind w:left="1080" w:leftChars="257" w:hanging="540"/>
              <w:rPr>
                <w:rFonts w:hint="eastAsia" w:ascii="仿宋_GB2312" w:hAnsi="Times New Roman" w:eastAsia="仿宋_GB2312"/>
                <w:color w:val="auto"/>
                <w:sz w:val="24"/>
                <w:szCs w:val="24"/>
              </w:rPr>
            </w:pPr>
          </w:p>
        </w:tc>
      </w:tr>
      <w:tr w14:paraId="51DF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94627E3">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78B206D0">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1522D921">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1E9EEEFB">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4DE133D6">
            <w:pPr>
              <w:pStyle w:val="19"/>
              <w:spacing w:line="400" w:lineRule="exact"/>
              <w:ind w:left="1080" w:leftChars="257" w:hanging="540"/>
              <w:rPr>
                <w:rFonts w:hint="eastAsia" w:ascii="仿宋_GB2312" w:hAnsi="Times New Roman" w:eastAsia="仿宋_GB2312"/>
                <w:color w:val="auto"/>
                <w:sz w:val="24"/>
                <w:szCs w:val="24"/>
              </w:rPr>
            </w:pPr>
          </w:p>
        </w:tc>
      </w:tr>
      <w:tr w14:paraId="7B42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67B84DC">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7BD5F145">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00C74A27">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79FB6D75">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284D9C5A">
            <w:pPr>
              <w:pStyle w:val="19"/>
              <w:spacing w:line="400" w:lineRule="exact"/>
              <w:ind w:left="1080" w:leftChars="257" w:hanging="540"/>
              <w:rPr>
                <w:rFonts w:hint="eastAsia" w:ascii="仿宋_GB2312" w:hAnsi="Times New Roman" w:eastAsia="仿宋_GB2312"/>
                <w:color w:val="auto"/>
                <w:sz w:val="24"/>
                <w:szCs w:val="24"/>
              </w:rPr>
            </w:pPr>
          </w:p>
        </w:tc>
      </w:tr>
      <w:tr w14:paraId="0C78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C77C8B2">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7EF21E55">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4A94653A">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6B29B8F8">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4E9DBFBB">
            <w:pPr>
              <w:pStyle w:val="19"/>
              <w:spacing w:line="400" w:lineRule="exact"/>
              <w:ind w:left="1080" w:leftChars="257" w:hanging="540"/>
              <w:rPr>
                <w:rFonts w:hint="eastAsia" w:ascii="仿宋_GB2312" w:hAnsi="Times New Roman" w:eastAsia="仿宋_GB2312"/>
                <w:color w:val="auto"/>
                <w:sz w:val="24"/>
                <w:szCs w:val="24"/>
              </w:rPr>
            </w:pPr>
          </w:p>
        </w:tc>
      </w:tr>
      <w:tr w14:paraId="1C2F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BB2ED88">
            <w:pPr>
              <w:pStyle w:val="19"/>
              <w:spacing w:line="400" w:lineRule="exact"/>
              <w:ind w:left="1080" w:leftChars="257" w:hanging="540"/>
              <w:rPr>
                <w:rFonts w:hint="eastAsia" w:ascii="仿宋_GB2312" w:hAnsi="Times New Roman" w:eastAsia="仿宋_GB2312"/>
                <w:color w:val="auto"/>
                <w:sz w:val="24"/>
                <w:szCs w:val="24"/>
              </w:rPr>
            </w:pPr>
          </w:p>
        </w:tc>
        <w:tc>
          <w:tcPr>
            <w:tcW w:w="2040" w:type="dxa"/>
          </w:tcPr>
          <w:p w14:paraId="224D4453">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3FC2A516">
            <w:pPr>
              <w:pStyle w:val="19"/>
              <w:spacing w:line="400" w:lineRule="exact"/>
              <w:ind w:left="1080" w:leftChars="257" w:hanging="540"/>
              <w:rPr>
                <w:rFonts w:hint="eastAsia" w:ascii="仿宋_GB2312" w:hAnsi="Times New Roman" w:eastAsia="仿宋_GB2312"/>
                <w:color w:val="auto"/>
                <w:sz w:val="24"/>
                <w:szCs w:val="24"/>
              </w:rPr>
            </w:pPr>
          </w:p>
        </w:tc>
        <w:tc>
          <w:tcPr>
            <w:tcW w:w="2520" w:type="dxa"/>
          </w:tcPr>
          <w:p w14:paraId="509B96D4">
            <w:pPr>
              <w:pStyle w:val="19"/>
              <w:spacing w:line="400" w:lineRule="exact"/>
              <w:ind w:left="1080" w:leftChars="257" w:hanging="540"/>
              <w:rPr>
                <w:rFonts w:hint="eastAsia" w:ascii="仿宋_GB2312" w:hAnsi="Times New Roman" w:eastAsia="仿宋_GB2312"/>
                <w:color w:val="auto"/>
                <w:sz w:val="24"/>
                <w:szCs w:val="24"/>
              </w:rPr>
            </w:pPr>
          </w:p>
        </w:tc>
        <w:tc>
          <w:tcPr>
            <w:tcW w:w="1014" w:type="dxa"/>
          </w:tcPr>
          <w:p w14:paraId="71A62D7D">
            <w:pPr>
              <w:pStyle w:val="19"/>
              <w:spacing w:line="400" w:lineRule="exact"/>
              <w:ind w:left="1080" w:leftChars="257" w:hanging="540"/>
              <w:rPr>
                <w:rFonts w:hint="eastAsia" w:ascii="仿宋_GB2312" w:hAnsi="Times New Roman" w:eastAsia="仿宋_GB2312"/>
                <w:color w:val="auto"/>
                <w:sz w:val="24"/>
                <w:szCs w:val="24"/>
              </w:rPr>
            </w:pPr>
          </w:p>
        </w:tc>
      </w:tr>
    </w:tbl>
    <w:p w14:paraId="4A70721E">
      <w:pPr>
        <w:pStyle w:val="19"/>
        <w:spacing w:line="400" w:lineRule="exact"/>
        <w:ind w:left="1080" w:leftChars="257" w:hanging="540"/>
        <w:rPr>
          <w:rFonts w:hint="eastAsia" w:ascii="仿宋_GB2312" w:hAnsi="Times New Roman" w:eastAsia="仿宋_GB2312"/>
          <w:color w:val="auto"/>
          <w:sz w:val="24"/>
          <w:szCs w:val="24"/>
        </w:rPr>
      </w:pPr>
    </w:p>
    <w:p w14:paraId="678783F9">
      <w:pPr>
        <w:pStyle w:val="19"/>
        <w:spacing w:line="400" w:lineRule="exact"/>
        <w:ind w:left="1080" w:leftChars="257" w:hanging="540"/>
        <w:rPr>
          <w:rFonts w:hint="eastAsia" w:ascii="仿宋_GB2312" w:hAnsi="Times New Roman" w:eastAsia="仿宋_GB2312"/>
          <w:color w:val="auto"/>
          <w:sz w:val="24"/>
          <w:szCs w:val="24"/>
        </w:rPr>
      </w:pPr>
    </w:p>
    <w:p w14:paraId="324BE62A">
      <w:pPr>
        <w:pStyle w:val="19"/>
        <w:spacing w:line="400" w:lineRule="exact"/>
        <w:ind w:left="1080" w:leftChars="257" w:hanging="540"/>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法定代表人或其委托代理人（签字或盖章）:</w:t>
      </w:r>
      <w:r>
        <w:rPr>
          <w:rFonts w:hint="eastAsia" w:ascii="仿宋_GB2312" w:hAnsi="Times New Roman" w:eastAsia="仿宋_GB2312"/>
          <w:color w:val="auto"/>
          <w:sz w:val="24"/>
          <w:szCs w:val="24"/>
          <w:u w:val="single"/>
        </w:rPr>
        <w:tab/>
      </w:r>
      <w:r>
        <w:rPr>
          <w:rFonts w:hint="eastAsia" w:ascii="仿宋_GB2312" w:hAnsi="Times New Roman" w:eastAsia="仿宋_GB2312"/>
          <w:color w:val="auto"/>
          <w:sz w:val="24"/>
          <w:szCs w:val="24"/>
          <w:u w:val="single"/>
        </w:rPr>
        <w:t xml:space="preserve">               </w:t>
      </w:r>
    </w:p>
    <w:p w14:paraId="75891E22">
      <w:pPr>
        <w:pStyle w:val="19"/>
        <w:tabs>
          <w:tab w:val="left" w:pos="5370"/>
        </w:tabs>
        <w:spacing w:line="400" w:lineRule="exact"/>
        <w:ind w:left="1080" w:leftChars="257" w:hanging="540"/>
        <w:rPr>
          <w:rFonts w:hint="eastAsia" w:ascii="仿宋_GB2312" w:hAnsi="Times New Roman" w:eastAsia="仿宋_GB2312"/>
          <w:color w:val="auto"/>
          <w:sz w:val="24"/>
          <w:szCs w:val="24"/>
          <w:u w:val="single"/>
        </w:rPr>
      </w:pPr>
      <w:r>
        <w:rPr>
          <w:rFonts w:hint="eastAsia" w:ascii="仿宋_GB2312" w:hAnsi="Times New Roman" w:eastAsia="仿宋_GB2312"/>
          <w:color w:val="auto"/>
          <w:sz w:val="24"/>
          <w:szCs w:val="24"/>
        </w:rPr>
        <w:t xml:space="preserve">供应商(公章): </w:t>
      </w:r>
      <w:r>
        <w:rPr>
          <w:rFonts w:hint="eastAsia" w:ascii="仿宋_GB2312" w:hAnsi="Times New Roman" w:eastAsia="仿宋_GB2312"/>
          <w:color w:val="auto"/>
          <w:sz w:val="24"/>
          <w:szCs w:val="24"/>
          <w:u w:val="single"/>
        </w:rPr>
        <w:t xml:space="preserve">                                           </w:t>
      </w:r>
    </w:p>
    <w:p w14:paraId="04DFECD8">
      <w:pPr>
        <w:pStyle w:val="19"/>
        <w:tabs>
          <w:tab w:val="left" w:pos="5370"/>
        </w:tabs>
        <w:spacing w:line="400" w:lineRule="exact"/>
        <w:ind w:left="1080" w:leftChars="257" w:hanging="540"/>
        <w:rPr>
          <w:rFonts w:hint="eastAsia" w:ascii="仿宋_GB2312" w:hAnsi="Times New Roman" w:eastAsia="仿宋_GB2312"/>
          <w:color w:val="auto"/>
          <w:sz w:val="24"/>
          <w:szCs w:val="24"/>
          <w:u w:val="single"/>
        </w:rPr>
      </w:pPr>
    </w:p>
    <w:p w14:paraId="54E18714">
      <w:pPr>
        <w:pStyle w:val="19"/>
        <w:spacing w:line="360" w:lineRule="exact"/>
        <w:rPr>
          <w:rFonts w:ascii="Times New Roman" w:hAnsi="Times New Roman" w:eastAsia="方正仿宋简体"/>
          <w:color w:val="auto"/>
          <w:sz w:val="28"/>
          <w:szCs w:val="28"/>
          <w:u w:val="single"/>
        </w:rPr>
      </w:pPr>
    </w:p>
    <w:p w14:paraId="23E5C888">
      <w:pPr>
        <w:pStyle w:val="19"/>
        <w:spacing w:line="360" w:lineRule="exact"/>
        <w:ind w:left="1080" w:leftChars="257" w:hanging="540"/>
        <w:rPr>
          <w:rFonts w:ascii="Times New Roman" w:hAnsi="Times New Roman" w:eastAsia="方正仿宋简体"/>
          <w:color w:val="auto"/>
          <w:sz w:val="28"/>
          <w:szCs w:val="28"/>
          <w:u w:val="single"/>
        </w:rPr>
      </w:pPr>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14:paraId="0DBC23D0">
      <w:pPr>
        <w:pStyle w:val="19"/>
        <w:snapToGrid w:val="0"/>
        <w:spacing w:line="240" w:lineRule="atLeast"/>
        <w:textAlignment w:val="baseline"/>
        <w:rPr>
          <w:rFonts w:hint="eastAsia" w:ascii="Times New Roman" w:hAnsi="Times New Roman" w:eastAsia="方正仿宋简体"/>
          <w:color w:val="auto"/>
          <w:sz w:val="28"/>
          <w:szCs w:val="28"/>
        </w:rPr>
      </w:pPr>
    </w:p>
    <w:p w14:paraId="4EBF40F5">
      <w:pPr>
        <w:pStyle w:val="19"/>
        <w:snapToGrid w:val="0"/>
        <w:spacing w:line="240" w:lineRule="atLeast"/>
        <w:textAlignment w:val="baseline"/>
        <w:rPr>
          <w:rFonts w:ascii="Times New Roman" w:hAnsi="Times New Roman" w:eastAsia="方正仿宋简体"/>
          <w:color w:val="auto"/>
          <w:sz w:val="28"/>
          <w:szCs w:val="28"/>
        </w:rPr>
      </w:pPr>
    </w:p>
    <w:p w14:paraId="32DDB703">
      <w:pPr>
        <w:pStyle w:val="8"/>
        <w:spacing w:before="0" w:line="240" w:lineRule="atLeast"/>
        <w:rPr>
          <w:rFonts w:hint="eastAsia" w:ascii="仿宋_GB2312" w:hAnsi="Times New Roman" w:eastAsia="仿宋_GB2312"/>
          <w:bCs/>
          <w:color w:val="auto"/>
          <w:sz w:val="24"/>
          <w:szCs w:val="24"/>
        </w:rPr>
      </w:pPr>
      <w:bookmarkStart w:id="690" w:name="_Hlt520274407"/>
      <w:bookmarkEnd w:id="690"/>
      <w:bookmarkStart w:id="691" w:name="_Hlt520350918"/>
      <w:bookmarkEnd w:id="691"/>
      <w:bookmarkStart w:id="692" w:name="_Hlt520343392"/>
      <w:bookmarkEnd w:id="692"/>
      <w:bookmarkStart w:id="693" w:name="_Hlt520274911"/>
      <w:bookmarkEnd w:id="693"/>
      <w:bookmarkStart w:id="694" w:name="_Hlt520274065"/>
      <w:bookmarkEnd w:id="694"/>
      <w:bookmarkStart w:id="695" w:name="_Hlt520273711"/>
      <w:bookmarkEnd w:id="695"/>
      <w:bookmarkStart w:id="696" w:name="_Hlt520350957"/>
      <w:bookmarkEnd w:id="696"/>
      <w:bookmarkStart w:id="697" w:name="_Hlt520271212"/>
      <w:bookmarkEnd w:id="697"/>
      <w:bookmarkStart w:id="698" w:name="_Hlt520274393"/>
      <w:bookmarkEnd w:id="698"/>
      <w:bookmarkStart w:id="699" w:name="_Hlt520273973"/>
      <w:bookmarkEnd w:id="699"/>
      <w:bookmarkStart w:id="700" w:name="_Hlt520343000"/>
      <w:bookmarkEnd w:id="700"/>
      <w:bookmarkStart w:id="701" w:name="_Toc10868"/>
      <w:bookmarkStart w:id="702" w:name="_Toc13710"/>
      <w:bookmarkStart w:id="703" w:name="_Toc24430"/>
      <w:bookmarkStart w:id="704" w:name="_Toc2099"/>
      <w:bookmarkStart w:id="705" w:name="_Toc8073"/>
      <w:bookmarkStart w:id="706" w:name="_Toc29345"/>
      <w:bookmarkStart w:id="707" w:name="_Toc20471"/>
      <w:bookmarkStart w:id="708" w:name="_Toc25307"/>
      <w:bookmarkStart w:id="709" w:name="_Toc24705"/>
      <w:bookmarkStart w:id="710" w:name="_Toc13385"/>
      <w:r>
        <w:rPr>
          <w:rFonts w:hint="eastAsia" w:ascii="仿宋_GB2312" w:hAnsi="Times New Roman" w:eastAsia="仿宋_GB2312"/>
          <w:bCs/>
          <w:color w:val="auto"/>
          <w:sz w:val="24"/>
          <w:szCs w:val="24"/>
        </w:rPr>
        <w:t>6-1中小企业声明函（货物）</w:t>
      </w:r>
      <w:bookmarkEnd w:id="701"/>
      <w:bookmarkEnd w:id="702"/>
      <w:bookmarkEnd w:id="703"/>
    </w:p>
    <w:p w14:paraId="0A17D71F">
      <w:pPr>
        <w:widowControl/>
        <w:spacing w:line="480" w:lineRule="exact"/>
        <w:ind w:firstLine="480" w:firstLineChars="200"/>
        <w:rPr>
          <w:rFonts w:hint="eastAsia" w:ascii="仿宋_GB2312" w:eastAsia="仿宋_GB2312"/>
          <w:color w:val="auto"/>
          <w:sz w:val="24"/>
        </w:rPr>
      </w:pPr>
      <w:r>
        <w:rPr>
          <w:rFonts w:hint="eastAsia" w:ascii="仿宋_GB2312" w:eastAsia="仿宋_GB2312"/>
          <w:color w:val="auto"/>
          <w:sz w:val="24"/>
        </w:rPr>
        <w:t>本公司（联合体）郑重声明，根据《政府采购促进中小企业发展管理办法》（财库</w:t>
      </w:r>
      <w:r>
        <w:rPr>
          <w:rFonts w:hint="eastAsia" w:ascii="宋体" w:hAnsi="宋体" w:cs="宋体"/>
          <w:color w:val="auto"/>
          <w:sz w:val="24"/>
        </w:rPr>
        <w:t>﹝</w:t>
      </w:r>
      <w:r>
        <w:rPr>
          <w:rFonts w:hint="eastAsia" w:ascii="仿宋_GB2312" w:eastAsia="仿宋_GB2312"/>
          <w:color w:val="auto"/>
          <w:sz w:val="24"/>
        </w:rPr>
        <w:t>2020</w:t>
      </w:r>
      <w:r>
        <w:rPr>
          <w:rFonts w:hint="eastAsia" w:ascii="宋体" w:hAnsi="宋体" w:cs="宋体"/>
          <w:color w:val="auto"/>
          <w:sz w:val="24"/>
        </w:rPr>
        <w:t>﹞</w:t>
      </w:r>
      <w:r>
        <w:rPr>
          <w:rFonts w:hint="eastAsia" w:ascii="仿宋_GB2312" w:eastAsia="仿宋_GB2312"/>
          <w:color w:val="auto"/>
          <w:sz w:val="24"/>
        </w:rPr>
        <w:t>46 号）的规定，本公司（联合体）参加</w:t>
      </w:r>
      <w:r>
        <w:rPr>
          <w:rFonts w:hint="eastAsia" w:ascii="仿宋_GB2312" w:eastAsia="仿宋_GB2312"/>
          <w:color w:val="auto"/>
          <w:sz w:val="24"/>
          <w:u w:val="single"/>
        </w:rPr>
        <w:t>（单位名称）</w:t>
      </w:r>
      <w:r>
        <w:rPr>
          <w:rFonts w:hint="eastAsia" w:ascii="仿宋_GB2312" w:eastAsia="仿宋_GB2312"/>
          <w:color w:val="auto"/>
          <w:sz w:val="24"/>
        </w:rPr>
        <w:t>的</w:t>
      </w:r>
      <w:r>
        <w:rPr>
          <w:rFonts w:hint="eastAsia" w:ascii="仿宋_GB2312" w:eastAsia="仿宋_GB2312"/>
          <w:color w:val="auto"/>
          <w:sz w:val="24"/>
          <w:u w:val="single"/>
        </w:rPr>
        <w:t>（项目名称）</w:t>
      </w:r>
      <w:r>
        <w:rPr>
          <w:rFonts w:hint="eastAsia" w:ascii="仿宋_GB2312" w:eastAsia="仿宋_GB2312"/>
          <w:color w:val="auto"/>
          <w:sz w:val="24"/>
        </w:rPr>
        <w:t>采购活动，提供的货物全部由符合政策要求的中小企业制造。相关企业（含联合体中的中小企业、签订分包意向协议的中小企业） 的具体情况如下：</w:t>
      </w:r>
    </w:p>
    <w:p w14:paraId="7394A11E">
      <w:pPr>
        <w:widowControl/>
        <w:spacing w:line="480" w:lineRule="exact"/>
        <w:jc w:val="left"/>
        <w:rPr>
          <w:rFonts w:hint="eastAsia" w:ascii="仿宋_GB2312" w:eastAsia="仿宋_GB2312"/>
          <w:color w:val="auto"/>
          <w:sz w:val="24"/>
        </w:rPr>
      </w:pPr>
      <w:r>
        <w:rPr>
          <w:rFonts w:hint="eastAsia" w:ascii="仿宋_GB2312" w:eastAsia="仿宋_GB2312"/>
          <w:color w:val="auto"/>
          <w:sz w:val="24"/>
        </w:rPr>
        <w:t xml:space="preserve">    1、</w:t>
      </w:r>
      <w:r>
        <w:rPr>
          <w:rFonts w:hint="eastAsia" w:ascii="仿宋_GB2312" w:eastAsia="仿宋_GB2312"/>
          <w:color w:val="auto"/>
          <w:sz w:val="24"/>
          <w:u w:val="single"/>
        </w:rPr>
        <w:t>（标的名称）</w:t>
      </w:r>
      <w:r>
        <w:rPr>
          <w:rFonts w:hint="eastAsia" w:ascii="仿宋_GB2312" w:eastAsia="仿宋_GB2312"/>
          <w:color w:val="auto"/>
          <w:sz w:val="24"/>
        </w:rPr>
        <w:t>，属于</w:t>
      </w:r>
      <w:r>
        <w:rPr>
          <w:rFonts w:hint="eastAsia" w:ascii="仿宋_GB2312" w:eastAsia="仿宋_GB2312"/>
          <w:color w:val="auto"/>
          <w:sz w:val="24"/>
          <w:u w:val="single"/>
        </w:rPr>
        <w:t>（采购文件中明确的所属行业）</w:t>
      </w:r>
      <w:r>
        <w:rPr>
          <w:rFonts w:hint="eastAsia" w:ascii="仿宋_GB2312" w:eastAsia="仿宋_GB2312"/>
          <w:color w:val="auto"/>
          <w:sz w:val="24"/>
        </w:rPr>
        <w:t>行业；制造商为</w:t>
      </w:r>
      <w:r>
        <w:rPr>
          <w:rFonts w:hint="eastAsia" w:ascii="仿宋_GB2312" w:eastAsia="仿宋_GB2312"/>
          <w:color w:val="auto"/>
          <w:sz w:val="24"/>
          <w:u w:val="single"/>
        </w:rPr>
        <w:t>（企业名称）</w:t>
      </w:r>
      <w:r>
        <w:rPr>
          <w:rFonts w:hint="eastAsia" w:ascii="仿宋_GB2312" w:eastAsia="仿宋_GB2312"/>
          <w:color w:val="auto"/>
          <w:sz w:val="24"/>
        </w:rPr>
        <w:t>，从业人员</w:t>
      </w:r>
      <w:r>
        <w:rPr>
          <w:rFonts w:hint="eastAsia" w:ascii="仿宋_GB2312" w:eastAsia="仿宋_GB2312"/>
          <w:color w:val="auto"/>
          <w:sz w:val="24"/>
          <w:u w:val="single"/>
        </w:rPr>
        <w:t xml:space="preserve">   </w:t>
      </w:r>
      <w:r>
        <w:rPr>
          <w:rFonts w:hint="eastAsia" w:ascii="仿宋_GB2312" w:eastAsia="仿宋_GB2312"/>
          <w:color w:val="auto"/>
          <w:sz w:val="24"/>
        </w:rPr>
        <w:t>人，营业收入为</w:t>
      </w:r>
      <w:r>
        <w:rPr>
          <w:rFonts w:hint="eastAsia" w:ascii="仿宋_GB2312" w:eastAsia="仿宋_GB2312"/>
          <w:color w:val="auto"/>
          <w:sz w:val="24"/>
          <w:u w:val="single"/>
        </w:rPr>
        <w:t xml:space="preserve">  </w:t>
      </w:r>
      <w:r>
        <w:rPr>
          <w:rFonts w:hint="eastAsia" w:ascii="仿宋_GB2312" w:eastAsia="仿宋_GB2312"/>
          <w:color w:val="auto"/>
          <w:sz w:val="24"/>
          <w:u w:val="single"/>
        </w:rPr>
        <w:tab/>
      </w:r>
      <w:r>
        <w:rPr>
          <w:rFonts w:hint="eastAsia" w:ascii="仿宋_GB2312" w:eastAsia="仿宋_GB2312"/>
          <w:color w:val="auto"/>
          <w:sz w:val="24"/>
        </w:rPr>
        <w:t>万元，资产总额为</w:t>
      </w:r>
      <w:r>
        <w:rPr>
          <w:rFonts w:hint="eastAsia" w:ascii="仿宋_GB2312" w:eastAsia="仿宋_GB2312"/>
          <w:color w:val="auto"/>
          <w:sz w:val="24"/>
          <w:u w:val="single"/>
        </w:rPr>
        <w:t xml:space="preserve"> </w:t>
      </w:r>
      <w:r>
        <w:rPr>
          <w:rFonts w:hint="eastAsia" w:ascii="仿宋_GB2312" w:eastAsia="仿宋_GB2312"/>
          <w:color w:val="auto"/>
          <w:sz w:val="24"/>
          <w:u w:val="single"/>
        </w:rPr>
        <w:tab/>
      </w:r>
      <w:r>
        <w:rPr>
          <w:rFonts w:hint="eastAsia" w:ascii="仿宋_GB2312" w:eastAsia="仿宋_GB2312"/>
          <w:color w:val="auto"/>
          <w:sz w:val="24"/>
        </w:rPr>
        <w:t>万元</w:t>
      </w:r>
      <w:r>
        <w:rPr>
          <w:color w:val="auto"/>
        </w:rPr>
        <w:fldChar w:fldCharType="begin"/>
      </w:r>
      <w:r>
        <w:rPr>
          <w:color w:val="auto"/>
        </w:rPr>
        <w:instrText xml:space="preserve"> HYPERLINK \l "_bookmark0" </w:instrText>
      </w:r>
      <w:r>
        <w:rPr>
          <w:color w:val="auto"/>
        </w:rPr>
        <w:fldChar w:fldCharType="separate"/>
      </w:r>
      <w:r>
        <w:rPr>
          <w:rFonts w:hint="eastAsia" w:ascii="仿宋_GB2312" w:eastAsia="仿宋_GB2312"/>
          <w:color w:val="auto"/>
          <w:sz w:val="24"/>
        </w:rPr>
        <w:t>1</w:t>
      </w:r>
      <w:r>
        <w:rPr>
          <w:rFonts w:hint="eastAsia" w:ascii="仿宋_GB2312" w:eastAsia="仿宋_GB2312"/>
          <w:color w:val="auto"/>
          <w:sz w:val="24"/>
        </w:rPr>
        <w:fldChar w:fldCharType="end"/>
      </w:r>
      <w:r>
        <w:rPr>
          <w:rFonts w:hint="eastAsia" w:ascii="仿宋_GB2312" w:eastAsia="仿宋_GB2312"/>
          <w:color w:val="auto"/>
          <w:sz w:val="24"/>
        </w:rPr>
        <w:t>，属于</w:t>
      </w:r>
      <w:r>
        <w:rPr>
          <w:rFonts w:hint="eastAsia" w:ascii="仿宋_GB2312" w:eastAsia="仿宋_GB2312"/>
          <w:color w:val="auto"/>
          <w:sz w:val="24"/>
          <w:u w:val="single"/>
        </w:rPr>
        <w:t xml:space="preserve">       </w:t>
      </w:r>
      <w:r>
        <w:rPr>
          <w:rFonts w:hint="eastAsia" w:ascii="仿宋_GB2312" w:eastAsia="仿宋_GB2312"/>
          <w:color w:val="auto"/>
          <w:sz w:val="24"/>
        </w:rPr>
        <w:t>（中型企业、小型企业、微型企业）；</w:t>
      </w:r>
    </w:p>
    <w:p w14:paraId="308BC0B6">
      <w:pPr>
        <w:widowControl/>
        <w:spacing w:line="480" w:lineRule="exact"/>
        <w:ind w:firstLine="480" w:firstLineChars="200"/>
        <w:jc w:val="left"/>
        <w:rPr>
          <w:rFonts w:hint="eastAsia" w:ascii="仿宋_GB2312" w:eastAsia="仿宋_GB2312"/>
          <w:color w:val="auto"/>
          <w:sz w:val="24"/>
        </w:rPr>
      </w:pPr>
      <w:r>
        <w:rPr>
          <w:rFonts w:hint="eastAsia" w:ascii="仿宋_GB2312" w:eastAsia="仿宋_GB2312"/>
          <w:color w:val="auto"/>
          <w:sz w:val="24"/>
        </w:rPr>
        <w:t>2、</w:t>
      </w:r>
      <w:r>
        <w:rPr>
          <w:rFonts w:hint="eastAsia" w:ascii="仿宋_GB2312" w:eastAsia="仿宋_GB2312"/>
          <w:color w:val="auto"/>
          <w:sz w:val="24"/>
          <w:u w:val="single"/>
        </w:rPr>
        <w:t>（标的名称）</w:t>
      </w:r>
      <w:r>
        <w:rPr>
          <w:rFonts w:hint="eastAsia" w:ascii="仿宋_GB2312" w:eastAsia="仿宋_GB2312"/>
          <w:color w:val="auto"/>
          <w:sz w:val="24"/>
        </w:rPr>
        <w:t>，属于</w:t>
      </w:r>
      <w:r>
        <w:rPr>
          <w:rFonts w:hint="eastAsia" w:ascii="仿宋_GB2312" w:eastAsia="仿宋_GB2312"/>
          <w:color w:val="auto"/>
          <w:sz w:val="24"/>
          <w:u w:val="single"/>
        </w:rPr>
        <w:t>（采购文件中明确的所属行业）</w:t>
      </w:r>
      <w:r>
        <w:rPr>
          <w:rFonts w:hint="eastAsia" w:ascii="仿宋_GB2312" w:eastAsia="仿宋_GB2312"/>
          <w:color w:val="auto"/>
          <w:sz w:val="24"/>
        </w:rPr>
        <w:t>行业；制造商为</w:t>
      </w:r>
      <w:r>
        <w:rPr>
          <w:rFonts w:hint="eastAsia" w:ascii="仿宋_GB2312" w:eastAsia="仿宋_GB2312"/>
          <w:color w:val="auto"/>
          <w:sz w:val="24"/>
          <w:u w:val="single"/>
        </w:rPr>
        <w:t>（企业名称）</w:t>
      </w:r>
      <w:r>
        <w:rPr>
          <w:rFonts w:hint="eastAsia" w:ascii="仿宋_GB2312" w:eastAsia="仿宋_GB2312"/>
          <w:color w:val="auto"/>
          <w:sz w:val="24"/>
        </w:rPr>
        <w:t xml:space="preserve">，从业人员 </w:t>
      </w:r>
      <w:r>
        <w:rPr>
          <w:rFonts w:hint="eastAsia" w:ascii="仿宋_GB2312" w:eastAsia="仿宋_GB2312"/>
          <w:color w:val="auto"/>
          <w:sz w:val="24"/>
          <w:u w:val="single"/>
        </w:rPr>
        <w:tab/>
      </w:r>
      <w:r>
        <w:rPr>
          <w:rFonts w:hint="eastAsia" w:ascii="仿宋_GB2312" w:eastAsia="仿宋_GB2312"/>
          <w:color w:val="auto"/>
          <w:sz w:val="24"/>
          <w:u w:val="single"/>
        </w:rPr>
        <w:t xml:space="preserve"> </w:t>
      </w:r>
      <w:r>
        <w:rPr>
          <w:rFonts w:hint="eastAsia" w:ascii="仿宋_GB2312" w:eastAsia="仿宋_GB2312"/>
          <w:color w:val="auto"/>
          <w:sz w:val="24"/>
        </w:rPr>
        <w:t>人，营业收入为</w:t>
      </w:r>
      <w:r>
        <w:rPr>
          <w:rFonts w:hint="eastAsia" w:ascii="仿宋_GB2312" w:eastAsia="仿宋_GB2312"/>
          <w:color w:val="auto"/>
          <w:sz w:val="24"/>
          <w:u w:val="single"/>
        </w:rPr>
        <w:t xml:space="preserve">   </w:t>
      </w:r>
      <w:r>
        <w:rPr>
          <w:rFonts w:hint="eastAsia" w:ascii="仿宋_GB2312" w:eastAsia="仿宋_GB2312"/>
          <w:color w:val="auto"/>
          <w:sz w:val="24"/>
          <w:u w:val="single"/>
        </w:rPr>
        <w:tab/>
      </w:r>
      <w:r>
        <w:rPr>
          <w:rFonts w:hint="eastAsia" w:ascii="仿宋_GB2312" w:eastAsia="仿宋_GB2312"/>
          <w:color w:val="auto"/>
          <w:sz w:val="24"/>
        </w:rPr>
        <w:t>万元，资产总额为</w:t>
      </w:r>
      <w:r>
        <w:rPr>
          <w:rFonts w:hint="eastAsia" w:ascii="仿宋_GB2312" w:eastAsia="仿宋_GB2312"/>
          <w:color w:val="auto"/>
          <w:sz w:val="24"/>
          <w:u w:val="single"/>
        </w:rPr>
        <w:t xml:space="preserve"> </w:t>
      </w:r>
      <w:r>
        <w:rPr>
          <w:rFonts w:hint="eastAsia" w:ascii="仿宋_GB2312" w:eastAsia="仿宋_GB2312"/>
          <w:color w:val="auto"/>
          <w:sz w:val="24"/>
          <w:u w:val="single"/>
        </w:rPr>
        <w:tab/>
      </w:r>
      <w:r>
        <w:rPr>
          <w:rFonts w:hint="eastAsia" w:ascii="仿宋_GB2312" w:eastAsia="仿宋_GB2312"/>
          <w:color w:val="auto"/>
          <w:sz w:val="24"/>
        </w:rPr>
        <w:t>万元，属于</w:t>
      </w:r>
      <w:r>
        <w:rPr>
          <w:rFonts w:hint="eastAsia" w:ascii="仿宋_GB2312" w:eastAsia="仿宋_GB2312"/>
          <w:color w:val="auto"/>
          <w:sz w:val="24"/>
          <w:u w:val="single"/>
        </w:rPr>
        <w:t xml:space="preserve">       </w:t>
      </w:r>
      <w:r>
        <w:rPr>
          <w:rFonts w:hint="eastAsia" w:ascii="仿宋_GB2312" w:eastAsia="仿宋_GB2312"/>
          <w:color w:val="auto"/>
          <w:sz w:val="24"/>
        </w:rPr>
        <w:t>（中型企业、小型企业、微型企业）；</w:t>
      </w:r>
    </w:p>
    <w:p w14:paraId="5A0C3EF7">
      <w:pPr>
        <w:widowControl/>
        <w:spacing w:line="480" w:lineRule="exact"/>
        <w:rPr>
          <w:rFonts w:hint="eastAsia" w:ascii="仿宋_GB2312" w:eastAsia="仿宋_GB2312"/>
          <w:color w:val="auto"/>
          <w:sz w:val="24"/>
        </w:rPr>
      </w:pPr>
      <w:r>
        <w:rPr>
          <w:rFonts w:hint="eastAsia" w:ascii="仿宋_GB2312" w:eastAsia="仿宋_GB2312"/>
          <w:color w:val="auto"/>
          <w:sz w:val="24"/>
        </w:rPr>
        <w:t>……</w:t>
      </w:r>
    </w:p>
    <w:p w14:paraId="40C004DE">
      <w:pPr>
        <w:widowControl/>
        <w:spacing w:line="480" w:lineRule="exact"/>
        <w:ind w:firstLine="480" w:firstLineChars="200"/>
        <w:rPr>
          <w:rFonts w:hint="eastAsia" w:ascii="仿宋_GB2312" w:eastAsia="仿宋_GB2312"/>
          <w:color w:val="auto"/>
          <w:sz w:val="24"/>
        </w:rPr>
      </w:pPr>
      <w:r>
        <w:rPr>
          <w:rFonts w:hint="eastAsia" w:ascii="仿宋_GB2312" w:eastAsia="仿宋_GB2312"/>
          <w:color w:val="auto"/>
          <w:sz w:val="24"/>
        </w:rPr>
        <w:t>以上企业，不属于大企业的分支机构，不存在控股股东为大企业的情形，也不存在与大企业的负责人为同一人的情形。</w:t>
      </w:r>
    </w:p>
    <w:p w14:paraId="35F3B061">
      <w:pPr>
        <w:widowControl/>
        <w:spacing w:line="480" w:lineRule="exact"/>
        <w:rPr>
          <w:rFonts w:hint="eastAsia" w:ascii="仿宋_GB2312" w:eastAsia="仿宋_GB2312"/>
          <w:color w:val="auto"/>
          <w:sz w:val="24"/>
        </w:rPr>
      </w:pPr>
      <w:r>
        <w:rPr>
          <w:rFonts w:hint="eastAsia" w:ascii="仿宋_GB2312" w:eastAsia="仿宋_GB2312"/>
          <w:color w:val="auto"/>
          <w:sz w:val="24"/>
        </w:rPr>
        <w:t>本企业对上述声明内容的真实性负责。如有虚假，将依法承担相应责任。</w:t>
      </w:r>
    </w:p>
    <w:p w14:paraId="7CE586BD">
      <w:pPr>
        <w:widowControl/>
        <w:spacing w:line="480" w:lineRule="exact"/>
        <w:ind w:firstLine="2400" w:firstLineChars="1000"/>
        <w:rPr>
          <w:rFonts w:hint="eastAsia" w:ascii="仿宋_GB2312" w:eastAsia="仿宋_GB2312"/>
          <w:color w:val="auto"/>
          <w:sz w:val="24"/>
        </w:rPr>
      </w:pPr>
    </w:p>
    <w:p w14:paraId="7F9DE87A">
      <w:pPr>
        <w:widowControl/>
        <w:spacing w:line="480" w:lineRule="exact"/>
        <w:ind w:firstLine="4800" w:firstLineChars="2000"/>
        <w:rPr>
          <w:rFonts w:hint="eastAsia" w:ascii="仿宋_GB2312" w:eastAsia="仿宋_GB2312"/>
          <w:color w:val="auto"/>
          <w:sz w:val="24"/>
          <w:u w:val="single"/>
        </w:rPr>
      </w:pPr>
      <w:r>
        <w:rPr>
          <w:rFonts w:hint="eastAsia" w:ascii="仿宋_GB2312" w:eastAsia="仿宋_GB2312"/>
          <w:color w:val="auto"/>
          <w:sz w:val="24"/>
        </w:rPr>
        <w:t>企业名称（盖章）：</w:t>
      </w:r>
      <w:r>
        <w:rPr>
          <w:rFonts w:hint="eastAsia" w:ascii="仿宋_GB2312" w:eastAsia="仿宋_GB2312"/>
          <w:color w:val="auto"/>
          <w:sz w:val="24"/>
          <w:u w:val="single"/>
        </w:rPr>
        <w:t xml:space="preserve">                </w:t>
      </w:r>
    </w:p>
    <w:p w14:paraId="1C7A46B6">
      <w:pPr>
        <w:widowControl/>
        <w:spacing w:line="480" w:lineRule="exact"/>
        <w:ind w:firstLine="4800" w:firstLineChars="2000"/>
        <w:rPr>
          <w:rFonts w:hint="eastAsia" w:ascii="仿宋_GB2312" w:eastAsia="仿宋_GB2312"/>
          <w:color w:val="auto"/>
          <w:sz w:val="28"/>
          <w:szCs w:val="28"/>
          <w:u w:val="single"/>
        </w:rPr>
      </w:pPr>
      <w:r>
        <w:rPr>
          <w:rFonts w:hint="eastAsia" w:ascii="仿宋_GB2312" w:eastAsia="仿宋_GB2312"/>
          <w:color w:val="auto"/>
          <w:sz w:val="24"/>
        </w:rPr>
        <w:t>日    期：</w:t>
      </w:r>
      <w:r>
        <w:rPr>
          <w:rFonts w:hint="eastAsia" w:ascii="仿宋_GB2312" w:eastAsia="仿宋_GB2312"/>
          <w:color w:val="auto"/>
          <w:sz w:val="24"/>
          <w:u w:val="single"/>
        </w:rPr>
        <w:t xml:space="preserve">              </w:t>
      </w:r>
      <w:r>
        <w:rPr>
          <w:rFonts w:hint="eastAsia" w:ascii="仿宋_GB2312" w:eastAsia="仿宋_GB2312"/>
          <w:color w:val="auto"/>
          <w:sz w:val="28"/>
          <w:szCs w:val="28"/>
          <w:u w:val="single"/>
        </w:rPr>
        <w:t xml:space="preserve">           </w:t>
      </w:r>
    </w:p>
    <w:p w14:paraId="11FB8B6F">
      <w:pPr>
        <w:widowControl/>
        <w:spacing w:line="480" w:lineRule="exact"/>
        <w:rPr>
          <w:rFonts w:hint="eastAsia" w:ascii="仿宋_GB2312" w:eastAsia="仿宋_GB2312"/>
          <w:color w:val="auto"/>
          <w:sz w:val="28"/>
          <w:szCs w:val="28"/>
        </w:rPr>
      </w:pPr>
    </w:p>
    <w:p w14:paraId="5AC97480">
      <w:pPr>
        <w:spacing w:line="480" w:lineRule="exact"/>
        <w:ind w:left="480" w:hanging="480" w:hangingChars="200"/>
        <w:rPr>
          <w:rFonts w:hint="eastAsia" w:ascii="仿宋_GB2312" w:eastAsia="仿宋_GB2312"/>
          <w:color w:val="auto"/>
          <w:sz w:val="24"/>
        </w:rPr>
      </w:pPr>
      <w:r>
        <w:rPr>
          <w:rFonts w:hint="eastAsia" w:ascii="仿宋_GB2312" w:eastAsia="仿宋_GB2312"/>
          <w:color w:val="auto"/>
          <w:kern w:val="0"/>
          <w:sz w:val="24"/>
        </w:rPr>
        <w:t>注：1、须附从业人员、营业收入、资产总额填报上一年度数据，无上一年度数据的新成立企业可不填报。</w:t>
      </w:r>
    </w:p>
    <w:p w14:paraId="7178E342">
      <w:pPr>
        <w:spacing w:line="480" w:lineRule="exact"/>
        <w:ind w:firstLine="480" w:firstLineChars="200"/>
        <w:rPr>
          <w:rFonts w:hint="eastAsia" w:ascii="仿宋_GB2312" w:eastAsia="仿宋_GB2312"/>
          <w:color w:val="auto"/>
          <w:kern w:val="0"/>
          <w:sz w:val="28"/>
          <w:szCs w:val="28"/>
        </w:rPr>
      </w:pPr>
      <w:r>
        <w:rPr>
          <w:rFonts w:hint="eastAsia" w:ascii="仿宋_GB2312" w:eastAsia="仿宋_GB2312"/>
          <w:color w:val="auto"/>
          <w:kern w:val="0"/>
          <w:sz w:val="24"/>
        </w:rPr>
        <w:t xml:space="preserve">2、潜在投标企业属于中小微企业的，应在投标文件中提供“中小企业声明函”，如果未提供或提供的“中小企业声明函”虚假不属实，供应商将承担由此造成的一切不利后果。  </w:t>
      </w:r>
      <w:r>
        <w:rPr>
          <w:rFonts w:hint="eastAsia" w:ascii="仿宋_GB2312" w:eastAsia="仿宋_GB2312"/>
          <w:color w:val="auto"/>
          <w:kern w:val="0"/>
          <w:sz w:val="28"/>
          <w:szCs w:val="28"/>
        </w:rPr>
        <w:t xml:space="preserve">  </w:t>
      </w:r>
    </w:p>
    <w:p w14:paraId="7ABC08CF">
      <w:pPr>
        <w:spacing w:line="480" w:lineRule="exact"/>
        <w:ind w:firstLine="482" w:firstLineChars="200"/>
        <w:rPr>
          <w:rFonts w:hint="eastAsia" w:ascii="仿宋_GB2312" w:eastAsia="仿宋_GB2312"/>
          <w:b/>
          <w:bCs/>
          <w:color w:val="auto"/>
          <w:sz w:val="24"/>
        </w:rPr>
      </w:pPr>
      <w:r>
        <w:rPr>
          <w:rFonts w:hint="eastAsia" w:ascii="仿宋_GB2312" w:eastAsia="仿宋_GB2312"/>
          <w:b/>
          <w:bCs/>
          <w:color w:val="auto"/>
          <w:kern w:val="0"/>
          <w:sz w:val="24"/>
          <w:highlight w:val="yellow"/>
        </w:rPr>
        <w:t>3、本项目所属行业：工业。</w:t>
      </w:r>
    </w:p>
    <w:p w14:paraId="2EE671E0">
      <w:pPr>
        <w:pStyle w:val="10"/>
        <w:ind w:firstLine="0"/>
        <w:rPr>
          <w:rFonts w:ascii="Times New Roman" w:eastAsia="方正仿宋简体"/>
          <w:color w:val="auto"/>
          <w:sz w:val="28"/>
          <w:szCs w:val="28"/>
        </w:rPr>
      </w:pPr>
    </w:p>
    <w:p w14:paraId="52F82F15">
      <w:pPr>
        <w:rPr>
          <w:rFonts w:eastAsia="方正仿宋简体"/>
          <w:color w:val="auto"/>
          <w:sz w:val="28"/>
          <w:szCs w:val="28"/>
        </w:rPr>
      </w:pPr>
    </w:p>
    <w:p w14:paraId="6591AED9">
      <w:pPr>
        <w:widowControl/>
        <w:kinsoku w:val="0"/>
        <w:topLinePunct/>
        <w:autoSpaceDE w:val="0"/>
        <w:autoSpaceDN w:val="0"/>
        <w:adjustRightInd w:val="0"/>
        <w:snapToGrid w:val="0"/>
        <w:spacing w:before="103" w:line="225" w:lineRule="auto"/>
        <w:jc w:val="center"/>
        <w:textAlignment w:val="baseline"/>
        <w:outlineLvl w:val="1"/>
        <w:rPr>
          <w:rFonts w:eastAsia="方正仿宋简体"/>
          <w:b/>
          <w:bCs/>
          <w:snapToGrid w:val="0"/>
          <w:color w:val="auto"/>
          <w:kern w:val="0"/>
          <w:sz w:val="28"/>
          <w:szCs w:val="28"/>
        </w:rPr>
      </w:pPr>
      <w:bookmarkStart w:id="711" w:name="_Toc1717"/>
      <w:bookmarkStart w:id="712" w:name="_Toc19284"/>
      <w:bookmarkStart w:id="713" w:name="_Toc1860"/>
      <w:bookmarkStart w:id="714" w:name="_Toc15209"/>
      <w:bookmarkStart w:id="715" w:name="_Toc22272"/>
      <w:bookmarkStart w:id="716" w:name="_Toc26116"/>
      <w:bookmarkStart w:id="717" w:name="_Toc30321"/>
      <w:bookmarkStart w:id="718" w:name="_Toc23068"/>
      <w:bookmarkStart w:id="719" w:name="_Toc515647825"/>
      <w:bookmarkStart w:id="720" w:name="_Toc5825"/>
      <w:bookmarkStart w:id="721" w:name="_Toc13191"/>
      <w:bookmarkStart w:id="722" w:name="_Toc10900"/>
      <w:bookmarkStart w:id="723" w:name="OLE_LINK13"/>
      <w:bookmarkStart w:id="724" w:name="_Toc23103"/>
      <w:bookmarkStart w:id="725" w:name="_Toc10530"/>
      <w:bookmarkStart w:id="726" w:name="OLE_LINK14"/>
    </w:p>
    <w:p w14:paraId="6ECE2494">
      <w:pPr>
        <w:pStyle w:val="8"/>
        <w:spacing w:before="0" w:line="240" w:lineRule="atLeast"/>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6-2投标人企业（单位）类型声明函</w:t>
      </w:r>
      <w:bookmarkEnd w:id="711"/>
    </w:p>
    <w:p w14:paraId="23987DA0">
      <w:pPr>
        <w:widowControl/>
        <w:kinsoku w:val="0"/>
        <w:topLinePunct/>
        <w:autoSpaceDE w:val="0"/>
        <w:autoSpaceDN w:val="0"/>
        <w:adjustRightInd w:val="0"/>
        <w:snapToGrid w:val="0"/>
        <w:spacing w:before="103" w:line="360" w:lineRule="auto"/>
        <w:ind w:left="495"/>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position w:val="31"/>
          <w:sz w:val="24"/>
        </w:rPr>
        <w:t>本企业（单位）郑重声明下列事项（按照实际情况</w:t>
      </w:r>
      <w:r>
        <w:rPr>
          <w:rFonts w:hint="eastAsia" w:ascii="仿宋_GB2312" w:eastAsia="仿宋_GB2312"/>
          <w:snapToGrid w:val="0"/>
          <w:color w:val="auto"/>
          <w:spacing w:val="-1"/>
          <w:kern w:val="0"/>
          <w:position w:val="31"/>
          <w:sz w:val="24"/>
        </w:rPr>
        <w:t>勾选或填空</w:t>
      </w:r>
      <w:r>
        <w:rPr>
          <w:rFonts w:hint="eastAsia" w:ascii="仿宋_GB2312" w:eastAsia="仿宋_GB2312"/>
          <w:snapToGrid w:val="0"/>
          <w:color w:val="auto"/>
          <w:kern w:val="0"/>
          <w:position w:val="31"/>
          <w:sz w:val="24"/>
        </w:rPr>
        <w:t>）：</w:t>
      </w:r>
    </w:p>
    <w:p w14:paraId="74A2954C">
      <w:pPr>
        <w:widowControl/>
        <w:kinsoku w:val="0"/>
        <w:topLinePunct/>
        <w:autoSpaceDE w:val="0"/>
        <w:autoSpaceDN w:val="0"/>
        <w:adjustRightInd w:val="0"/>
        <w:snapToGrid w:val="0"/>
        <w:spacing w:before="1" w:line="360" w:lineRule="auto"/>
        <w:ind w:left="456"/>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1、□本企业（单位）为直接投标人提供本企业（单位）制造的货物。</w:t>
      </w:r>
    </w:p>
    <w:p w14:paraId="584325F3">
      <w:pPr>
        <w:widowControl/>
        <w:kinsoku w:val="0"/>
        <w:topLinePunct/>
        <w:autoSpaceDE w:val="0"/>
        <w:autoSpaceDN w:val="0"/>
        <w:adjustRightInd w:val="0"/>
        <w:snapToGrid w:val="0"/>
        <w:spacing w:before="302" w:line="360" w:lineRule="auto"/>
        <w:ind w:left="16" w:right="69" w:firstLine="456"/>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（1）根据《工业和信息化部、国家统计局、国</w:t>
      </w:r>
      <w:r>
        <w:rPr>
          <w:rFonts w:hint="eastAsia" w:ascii="仿宋_GB2312" w:eastAsia="仿宋_GB2312"/>
          <w:snapToGrid w:val="0"/>
          <w:color w:val="auto"/>
          <w:spacing w:val="-2"/>
          <w:kern w:val="0"/>
          <w:sz w:val="24"/>
        </w:rPr>
        <w:t>家发展和改革委员会、财政</w:t>
      </w:r>
      <w:r>
        <w:rPr>
          <w:rFonts w:hint="eastAsia" w:ascii="仿宋_GB2312" w:eastAsia="仿宋_GB2312"/>
          <w:snapToGrid w:val="0"/>
          <w:color w:val="auto"/>
          <w:spacing w:val="-3"/>
          <w:kern w:val="0"/>
          <w:sz w:val="24"/>
        </w:rPr>
        <w:t>部关于印发中小企业划型标准规定的通知》（工信部联企业[2011]300 号）规定</w:t>
      </w:r>
      <w:r>
        <w:rPr>
          <w:rFonts w:hint="eastAsia" w:ascii="仿宋_GB2312" w:eastAsia="仿宋_GB2312"/>
          <w:snapToGrid w:val="0"/>
          <w:color w:val="auto"/>
          <w:spacing w:val="-1"/>
          <w:kern w:val="0"/>
          <w:sz w:val="24"/>
        </w:rPr>
        <w:t>的划分标准</w:t>
      </w:r>
      <w:r>
        <w:rPr>
          <w:rFonts w:hint="eastAsia" w:ascii="仿宋_GB2312" w:eastAsia="仿宋_GB2312"/>
          <w:snapToGrid w:val="0"/>
          <w:color w:val="auto"/>
          <w:spacing w:val="-35"/>
          <w:kern w:val="0"/>
          <w:sz w:val="24"/>
        </w:rPr>
        <w:t xml:space="preserve"> </w:t>
      </w:r>
      <w:r>
        <w:rPr>
          <w:rFonts w:hint="eastAsia" w:ascii="仿宋_GB2312" w:eastAsia="仿宋_GB2312"/>
          <w:snapToGrid w:val="0"/>
          <w:color w:val="auto"/>
          <w:spacing w:val="-1"/>
          <w:kern w:val="0"/>
          <w:sz w:val="24"/>
        </w:rPr>
        <w:t>，本企业为</w:t>
      </w:r>
      <w:r>
        <w:rPr>
          <w:rFonts w:hint="eastAsia" w:ascii="仿宋_GB2312" w:eastAsia="仿宋_GB2312"/>
          <w:snapToGrid w:val="0"/>
          <w:color w:val="auto"/>
          <w:spacing w:val="-1"/>
          <w:kern w:val="0"/>
          <w:sz w:val="24"/>
          <w:u w:val="single"/>
        </w:rPr>
        <w:t xml:space="preserve">         </w:t>
      </w:r>
      <w:r>
        <w:rPr>
          <w:rFonts w:hint="eastAsia" w:ascii="仿宋_GB2312" w:eastAsia="仿宋_GB2312"/>
          <w:snapToGrid w:val="0"/>
          <w:color w:val="auto"/>
          <w:spacing w:val="-1"/>
          <w:kern w:val="0"/>
          <w:sz w:val="24"/>
        </w:rPr>
        <w:t>（请填写：中型、小型、微型）企</w:t>
      </w:r>
      <w:r>
        <w:rPr>
          <w:rFonts w:hint="eastAsia" w:ascii="仿宋_GB2312" w:eastAsia="仿宋_GB2312"/>
          <w:snapToGrid w:val="0"/>
          <w:color w:val="auto"/>
          <w:spacing w:val="-2"/>
          <w:kern w:val="0"/>
          <w:sz w:val="24"/>
        </w:rPr>
        <w:t>业。</w:t>
      </w:r>
    </w:p>
    <w:p w14:paraId="32EF469A">
      <w:pPr>
        <w:widowControl/>
        <w:kinsoku w:val="0"/>
        <w:topLinePunct/>
        <w:autoSpaceDE w:val="0"/>
        <w:autoSpaceDN w:val="0"/>
        <w:adjustRightInd w:val="0"/>
        <w:snapToGrid w:val="0"/>
        <w:spacing w:before="301" w:line="360" w:lineRule="auto"/>
        <w:ind w:left="15" w:right="31" w:firstLine="457"/>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（2）</w:t>
      </w:r>
      <w:r>
        <w:rPr>
          <w:rFonts w:hint="eastAsia" w:ascii="仿宋_GB2312" w:eastAsia="仿宋_GB2312"/>
          <w:snapToGrid w:val="0"/>
          <w:color w:val="auto"/>
          <w:spacing w:val="45"/>
          <w:w w:val="101"/>
          <w:kern w:val="0"/>
          <w:sz w:val="24"/>
        </w:rPr>
        <w:t xml:space="preserve"> </w:t>
      </w:r>
      <w:r>
        <w:rPr>
          <w:rFonts w:hint="eastAsia" w:ascii="仿宋_GB2312" w:eastAsia="仿宋_GB2312"/>
          <w:snapToGrid w:val="0"/>
          <w:color w:val="auto"/>
          <w:spacing w:val="-1"/>
          <w:kern w:val="0"/>
          <w:sz w:val="24"/>
        </w:rPr>
        <w:t>本企业</w:t>
      </w:r>
      <w:r>
        <w:rPr>
          <w:rFonts w:hint="eastAsia" w:ascii="仿宋_GB2312" w:eastAsia="仿宋_GB2312"/>
          <w:snapToGrid w:val="0"/>
          <w:color w:val="auto"/>
          <w:spacing w:val="-1"/>
          <w:kern w:val="0"/>
          <w:sz w:val="24"/>
          <w:u w:val="single"/>
        </w:rPr>
        <w:t xml:space="preserve">             </w:t>
      </w:r>
      <w:r>
        <w:rPr>
          <w:rFonts w:hint="eastAsia" w:ascii="仿宋_GB2312" w:eastAsia="仿宋_GB2312"/>
          <w:snapToGrid w:val="0"/>
          <w:color w:val="auto"/>
          <w:spacing w:val="-1"/>
          <w:kern w:val="0"/>
          <w:sz w:val="24"/>
        </w:rPr>
        <w:t>（请填写：是、不是）监狱企</w:t>
      </w:r>
      <w:r>
        <w:rPr>
          <w:rFonts w:hint="eastAsia" w:ascii="仿宋_GB2312" w:eastAsia="仿宋_GB2312"/>
          <w:snapToGrid w:val="0"/>
          <w:color w:val="auto"/>
          <w:spacing w:val="-2"/>
          <w:kern w:val="0"/>
          <w:sz w:val="24"/>
        </w:rPr>
        <w:t>业。后附省级以上监狱</w:t>
      </w:r>
      <w:r>
        <w:rPr>
          <w:rFonts w:hint="eastAsia" w:ascii="仿宋_GB2312" w:eastAsia="仿宋_GB2312"/>
          <w:snapToGrid w:val="0"/>
          <w:color w:val="auto"/>
          <w:kern w:val="0"/>
          <w:sz w:val="24"/>
        </w:rPr>
        <w:t xml:space="preserve"> </w:t>
      </w:r>
      <w:r>
        <w:rPr>
          <w:rFonts w:hint="eastAsia" w:ascii="仿宋_GB2312" w:eastAsia="仿宋_GB2312"/>
          <w:snapToGrid w:val="0"/>
          <w:color w:val="auto"/>
          <w:spacing w:val="-2"/>
          <w:kern w:val="0"/>
          <w:sz w:val="24"/>
        </w:rPr>
        <w:t>管理局、戒毒管理局（含新疆生产建设兵团）</w:t>
      </w:r>
      <w:r>
        <w:rPr>
          <w:rFonts w:hint="eastAsia" w:ascii="仿宋_GB2312" w:eastAsia="仿宋_GB2312"/>
          <w:snapToGrid w:val="0"/>
          <w:color w:val="auto"/>
          <w:spacing w:val="-49"/>
          <w:kern w:val="0"/>
          <w:sz w:val="24"/>
        </w:rPr>
        <w:t xml:space="preserve"> </w:t>
      </w:r>
      <w:r>
        <w:rPr>
          <w:rFonts w:hint="eastAsia" w:ascii="仿宋_GB2312" w:eastAsia="仿宋_GB2312"/>
          <w:snapToGrid w:val="0"/>
          <w:color w:val="auto"/>
          <w:spacing w:val="-2"/>
          <w:kern w:val="0"/>
          <w:sz w:val="24"/>
        </w:rPr>
        <w:t>出具的属于监狱</w:t>
      </w:r>
      <w:r>
        <w:rPr>
          <w:rFonts w:hint="eastAsia" w:ascii="仿宋_GB2312" w:eastAsia="仿宋_GB2312"/>
          <w:snapToGrid w:val="0"/>
          <w:color w:val="auto"/>
          <w:spacing w:val="-3"/>
          <w:kern w:val="0"/>
          <w:sz w:val="24"/>
        </w:rPr>
        <w:t>企业的证明文件。</w:t>
      </w:r>
    </w:p>
    <w:p w14:paraId="56B617F6">
      <w:pPr>
        <w:widowControl/>
        <w:kinsoku w:val="0"/>
        <w:topLinePunct/>
        <w:autoSpaceDE w:val="0"/>
        <w:autoSpaceDN w:val="0"/>
        <w:adjustRightInd w:val="0"/>
        <w:snapToGrid w:val="0"/>
        <w:spacing w:before="301" w:line="360" w:lineRule="auto"/>
        <w:ind w:left="36" w:right="215" w:firstLine="436"/>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3"/>
          <w:kern w:val="0"/>
          <w:sz w:val="24"/>
        </w:rPr>
        <w:t>（3）</w:t>
      </w:r>
      <w:r>
        <w:rPr>
          <w:rFonts w:hint="eastAsia" w:ascii="仿宋_GB2312" w:eastAsia="仿宋_GB2312"/>
          <w:snapToGrid w:val="0"/>
          <w:color w:val="auto"/>
          <w:spacing w:val="69"/>
          <w:w w:val="101"/>
          <w:kern w:val="0"/>
          <w:sz w:val="24"/>
        </w:rPr>
        <w:t xml:space="preserve"> </w:t>
      </w:r>
      <w:r>
        <w:rPr>
          <w:rFonts w:hint="eastAsia" w:ascii="仿宋_GB2312" w:eastAsia="仿宋_GB2312"/>
          <w:snapToGrid w:val="0"/>
          <w:color w:val="auto"/>
          <w:spacing w:val="-3"/>
          <w:kern w:val="0"/>
          <w:sz w:val="24"/>
        </w:rPr>
        <w:t>根据《关于促进残疾人就业政府采购政策的通知》（财库〔2017〕</w:t>
      </w:r>
      <w:r>
        <w:rPr>
          <w:rFonts w:hint="eastAsia" w:ascii="仿宋_GB2312" w:eastAsia="仿宋_GB2312"/>
          <w:snapToGrid w:val="0"/>
          <w:color w:val="auto"/>
          <w:kern w:val="0"/>
          <w:sz w:val="24"/>
        </w:rPr>
        <w:t xml:space="preserve"> 141 号）。本单位</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（请填写：是、不是）残疾人福利性单位。</w:t>
      </w:r>
    </w:p>
    <w:p w14:paraId="7F650360">
      <w:pPr>
        <w:widowControl/>
        <w:kinsoku w:val="0"/>
        <w:topLinePunct/>
        <w:autoSpaceDE w:val="0"/>
        <w:autoSpaceDN w:val="0"/>
        <w:adjustRightInd w:val="0"/>
        <w:snapToGrid w:val="0"/>
        <w:spacing w:before="299" w:line="360" w:lineRule="auto"/>
        <w:ind w:left="15" w:right="69" w:firstLine="430"/>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2、□本企业（单位）为代理商</w:t>
      </w:r>
      <w:r>
        <w:rPr>
          <w:rFonts w:hint="eastAsia" w:ascii="仿宋_GB2312" w:eastAsia="仿宋_GB2312"/>
          <w:snapToGrid w:val="0"/>
          <w:color w:val="auto"/>
          <w:spacing w:val="-35"/>
          <w:kern w:val="0"/>
          <w:sz w:val="24"/>
        </w:rPr>
        <w:t xml:space="preserve"> </w:t>
      </w:r>
      <w:r>
        <w:rPr>
          <w:rFonts w:hint="eastAsia" w:ascii="仿宋_GB2312" w:eastAsia="仿宋_GB2312"/>
          <w:snapToGrid w:val="0"/>
          <w:color w:val="auto"/>
          <w:spacing w:val="-1"/>
          <w:kern w:val="0"/>
          <w:sz w:val="24"/>
        </w:rPr>
        <w:t>，提供其他</w:t>
      </w:r>
      <w:r>
        <w:rPr>
          <w:rFonts w:hint="eastAsia" w:ascii="仿宋_GB2312" w:eastAsia="仿宋_GB2312"/>
          <w:snapToGrid w:val="0"/>
          <w:color w:val="auto"/>
          <w:spacing w:val="-1"/>
          <w:kern w:val="0"/>
          <w:sz w:val="24"/>
          <w:u w:val="single"/>
        </w:rPr>
        <w:t xml:space="preserve">    </w:t>
      </w:r>
      <w:r>
        <w:rPr>
          <w:rFonts w:hint="eastAsia" w:ascii="仿宋_GB2312" w:eastAsia="仿宋_GB2312"/>
          <w:snapToGrid w:val="0"/>
          <w:color w:val="auto"/>
          <w:spacing w:val="-2"/>
          <w:kern w:val="0"/>
          <w:sz w:val="24"/>
          <w:u w:val="single"/>
        </w:rPr>
        <w:t xml:space="preserve">     </w:t>
      </w:r>
      <w:r>
        <w:rPr>
          <w:rFonts w:hint="eastAsia" w:ascii="仿宋_GB2312" w:eastAsia="仿宋_GB2312"/>
          <w:snapToGrid w:val="0"/>
          <w:color w:val="auto"/>
          <w:spacing w:val="-2"/>
          <w:kern w:val="0"/>
          <w:sz w:val="24"/>
        </w:rPr>
        <w:t>（请填写：中型、小型、微</w:t>
      </w:r>
      <w:r>
        <w:rPr>
          <w:rFonts w:hint="eastAsia" w:ascii="仿宋_GB2312" w:eastAsia="仿宋_GB2312"/>
          <w:snapToGrid w:val="0"/>
          <w:color w:val="auto"/>
          <w:kern w:val="0"/>
          <w:sz w:val="24"/>
        </w:rPr>
        <w:t xml:space="preserve"> </w:t>
      </w:r>
      <w:r>
        <w:rPr>
          <w:rFonts w:hint="eastAsia" w:ascii="仿宋_GB2312" w:eastAsia="仿宋_GB2312"/>
          <w:snapToGrid w:val="0"/>
          <w:color w:val="auto"/>
          <w:spacing w:val="-3"/>
          <w:kern w:val="0"/>
          <w:sz w:val="24"/>
        </w:rPr>
        <w:t>型）企业、监狱企业或残疾人福利性单位制造的货物。本条所称货物不包括使用</w:t>
      </w:r>
      <w:r>
        <w:rPr>
          <w:rFonts w:hint="eastAsia" w:ascii="仿宋_GB2312" w:eastAsia="仿宋_GB2312"/>
          <w:snapToGrid w:val="0"/>
          <w:color w:val="auto"/>
          <w:spacing w:val="11"/>
          <w:kern w:val="0"/>
          <w:sz w:val="24"/>
        </w:rPr>
        <w:t xml:space="preserve"> </w:t>
      </w:r>
      <w:r>
        <w:rPr>
          <w:rFonts w:hint="eastAsia" w:ascii="仿宋_GB2312" w:eastAsia="仿宋_GB2312"/>
          <w:snapToGrid w:val="0"/>
          <w:color w:val="auto"/>
          <w:kern w:val="0"/>
          <w:sz w:val="24"/>
        </w:rPr>
        <w:t>大型企业注册商标的货物。（后附制造商企业（单位）类</w:t>
      </w:r>
      <w:r>
        <w:rPr>
          <w:rFonts w:hint="eastAsia" w:ascii="仿宋_GB2312" w:eastAsia="仿宋_GB2312"/>
          <w:snapToGrid w:val="0"/>
          <w:color w:val="auto"/>
          <w:spacing w:val="-1"/>
          <w:kern w:val="0"/>
          <w:sz w:val="24"/>
        </w:rPr>
        <w:t>型声明函）</w:t>
      </w:r>
    </w:p>
    <w:p w14:paraId="66C4E5D0">
      <w:pPr>
        <w:widowControl/>
        <w:kinsoku w:val="0"/>
        <w:topLinePunct/>
        <w:autoSpaceDE w:val="0"/>
        <w:autoSpaceDN w:val="0"/>
        <w:adjustRightInd w:val="0"/>
        <w:snapToGrid w:val="0"/>
        <w:spacing w:before="302" w:line="360" w:lineRule="auto"/>
        <w:ind w:left="12" w:right="69" w:firstLine="435"/>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4"/>
          <w:kern w:val="0"/>
          <w:sz w:val="24"/>
        </w:rPr>
        <w:t>3、□本企业（单位）为联合体一方，提供本企业（单位）制造的</w:t>
      </w:r>
      <w:r>
        <w:rPr>
          <w:rFonts w:hint="eastAsia" w:ascii="仿宋_GB2312" w:eastAsia="仿宋_GB2312"/>
          <w:snapToGrid w:val="0"/>
          <w:color w:val="auto"/>
          <w:spacing w:val="-5"/>
          <w:kern w:val="0"/>
          <w:sz w:val="24"/>
        </w:rPr>
        <w:t>货物</w:t>
      </w:r>
      <w:r>
        <w:rPr>
          <w:rFonts w:hint="eastAsia" w:ascii="仿宋_GB2312" w:eastAsia="仿宋_GB2312"/>
          <w:snapToGrid w:val="0"/>
          <w:color w:val="auto"/>
          <w:spacing w:val="-34"/>
          <w:kern w:val="0"/>
          <w:sz w:val="24"/>
        </w:rPr>
        <w:t xml:space="preserve"> </w:t>
      </w:r>
      <w:r>
        <w:rPr>
          <w:rFonts w:hint="eastAsia" w:ascii="仿宋_GB2312" w:eastAsia="仿宋_GB2312"/>
          <w:snapToGrid w:val="0"/>
          <w:color w:val="auto"/>
          <w:spacing w:val="-5"/>
          <w:kern w:val="0"/>
          <w:sz w:val="24"/>
        </w:rPr>
        <w:t>，由本</w:t>
      </w:r>
      <w:r>
        <w:rPr>
          <w:rFonts w:hint="eastAsia" w:ascii="仿宋_GB2312" w:eastAsia="仿宋_GB2312"/>
          <w:snapToGrid w:val="0"/>
          <w:color w:val="auto"/>
          <w:spacing w:val="-3"/>
          <w:kern w:val="0"/>
          <w:sz w:val="24"/>
        </w:rPr>
        <w:t>企业（单位）承担工程、提供服务。本企业（单位）提供协议合同金额占到共同</w:t>
      </w:r>
      <w:r>
        <w:rPr>
          <w:rFonts w:hint="eastAsia" w:ascii="仿宋_GB2312" w:eastAsia="仿宋_GB2312"/>
          <w:snapToGrid w:val="0"/>
          <w:color w:val="auto"/>
          <w:spacing w:val="-1"/>
          <w:kern w:val="0"/>
          <w:sz w:val="24"/>
        </w:rPr>
        <w:t>投标协议合同总金额的比例为</w:t>
      </w:r>
      <w:r>
        <w:rPr>
          <w:rFonts w:hint="eastAsia" w:ascii="仿宋_GB2312" w:eastAsia="仿宋_GB2312"/>
          <w:snapToGrid w:val="0"/>
          <w:color w:val="auto"/>
          <w:spacing w:val="6"/>
          <w:kern w:val="0"/>
          <w:sz w:val="24"/>
          <w:u w:val="single"/>
        </w:rPr>
        <w:t xml:space="preserve">           </w:t>
      </w:r>
      <w:r>
        <w:rPr>
          <w:rFonts w:hint="eastAsia" w:ascii="仿宋_GB2312" w:eastAsia="仿宋_GB2312"/>
          <w:snapToGrid w:val="0"/>
          <w:color w:val="auto"/>
          <w:spacing w:val="-1"/>
          <w:kern w:val="0"/>
          <w:sz w:val="24"/>
        </w:rPr>
        <w:t>。</w:t>
      </w:r>
    </w:p>
    <w:p w14:paraId="35A9F5C6">
      <w:pPr>
        <w:widowControl/>
        <w:kinsoku w:val="0"/>
        <w:topLinePunct/>
        <w:autoSpaceDE w:val="0"/>
        <w:autoSpaceDN w:val="0"/>
        <w:adjustRightInd w:val="0"/>
        <w:snapToGrid w:val="0"/>
        <w:spacing w:before="321" w:line="360" w:lineRule="auto"/>
        <w:jc w:val="righ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8"/>
          <w:kern w:val="0"/>
          <w:position w:val="31"/>
          <w:sz w:val="24"/>
        </w:rPr>
        <w:t>本企业（单位）对上述声明的真实性负责。如有虚假，将依法承担相应责任。</w:t>
      </w:r>
    </w:p>
    <w:p w14:paraId="5F41E49C">
      <w:pPr>
        <w:widowControl/>
        <w:kinsoku w:val="0"/>
        <w:topLinePunct/>
        <w:autoSpaceDE w:val="0"/>
        <w:autoSpaceDN w:val="0"/>
        <w:adjustRightInd w:val="0"/>
        <w:snapToGrid w:val="0"/>
        <w:spacing w:line="360" w:lineRule="auto"/>
        <w:ind w:left="3135"/>
        <w:jc w:val="left"/>
        <w:textAlignment w:val="baseline"/>
        <w:rPr>
          <w:rFonts w:hint="eastAsia" w:ascii="仿宋_GB2312" w:eastAsia="仿宋_GB2312"/>
          <w:snapToGrid w:val="0"/>
          <w:color w:val="auto"/>
          <w:kern w:val="0"/>
          <w:sz w:val="24"/>
          <w:u w:val="single"/>
        </w:rPr>
      </w:pPr>
      <w:r>
        <w:rPr>
          <w:rFonts w:hint="eastAsia" w:ascii="仿宋_GB2312" w:eastAsia="仿宋_GB2312"/>
          <w:snapToGrid w:val="0"/>
          <w:color w:val="auto"/>
          <w:spacing w:val="-1"/>
          <w:kern w:val="0"/>
          <w:sz w:val="24"/>
        </w:rPr>
        <w:t>投标人名称（</w:t>
      </w:r>
      <w:r>
        <w:rPr>
          <w:rFonts w:hint="eastAsia" w:ascii="仿宋_GB2312" w:eastAsia="仿宋_GB2312"/>
          <w:snapToGrid w:val="0"/>
          <w:color w:val="auto"/>
          <w:kern w:val="0"/>
          <w:sz w:val="24"/>
        </w:rPr>
        <w:t>盖章</w:t>
      </w:r>
      <w:r>
        <w:rPr>
          <w:rFonts w:hint="eastAsia" w:ascii="仿宋_GB2312" w:eastAsia="仿宋_GB2312"/>
          <w:snapToGrid w:val="0"/>
          <w:color w:val="auto"/>
          <w:spacing w:val="3"/>
          <w:kern w:val="0"/>
          <w:sz w:val="24"/>
        </w:rPr>
        <w:t>）：</w:t>
      </w:r>
      <w:r>
        <w:rPr>
          <w:rFonts w:hint="eastAsia" w:ascii="仿宋_GB2312" w:eastAsia="仿宋_GB2312"/>
          <w:snapToGrid w:val="0"/>
          <w:color w:val="auto"/>
          <w:spacing w:val="2"/>
          <w:kern w:val="0"/>
          <w:sz w:val="24"/>
          <w:u w:val="single"/>
        </w:rPr>
        <w:t xml:space="preserve">                   </w:t>
      </w:r>
    </w:p>
    <w:p w14:paraId="672CA4C5">
      <w:pPr>
        <w:widowControl/>
        <w:kinsoku w:val="0"/>
        <w:topLinePunct/>
        <w:autoSpaceDE w:val="0"/>
        <w:autoSpaceDN w:val="0"/>
        <w:adjustRightInd w:val="0"/>
        <w:snapToGrid w:val="0"/>
        <w:spacing w:before="103" w:line="360" w:lineRule="auto"/>
        <w:ind w:left="3168"/>
        <w:jc w:val="left"/>
        <w:textAlignment w:val="baseline"/>
        <w:rPr>
          <w:rFonts w:eastAsia="方正仿宋简体"/>
          <w:snapToGrid w:val="0"/>
          <w:color w:val="auto"/>
          <w:kern w:val="0"/>
          <w:sz w:val="28"/>
          <w:szCs w:val="28"/>
        </w:rPr>
      </w:pPr>
      <w:r>
        <w:rPr>
          <w:rFonts w:hint="eastAsia" w:ascii="仿宋_GB2312" w:eastAsia="仿宋_GB2312"/>
          <w:snapToGrid w:val="0"/>
          <w:color w:val="auto"/>
          <w:spacing w:val="-14"/>
          <w:kern w:val="0"/>
          <w:sz w:val="24"/>
        </w:rPr>
        <w:t>日</w:t>
      </w:r>
      <w:r>
        <w:rPr>
          <w:rFonts w:hint="eastAsia" w:ascii="仿宋_GB2312" w:eastAsia="仿宋_GB2312"/>
          <w:snapToGrid w:val="0"/>
          <w:color w:val="auto"/>
          <w:spacing w:val="10"/>
          <w:kern w:val="0"/>
          <w:sz w:val="24"/>
        </w:rPr>
        <w:t xml:space="preserve">   </w:t>
      </w:r>
      <w:r>
        <w:rPr>
          <w:rFonts w:hint="eastAsia" w:ascii="仿宋_GB2312" w:eastAsia="仿宋_GB2312"/>
          <w:snapToGrid w:val="0"/>
          <w:color w:val="auto"/>
          <w:spacing w:val="-14"/>
          <w:kern w:val="0"/>
          <w:sz w:val="24"/>
        </w:rPr>
        <w:t>期：</w:t>
      </w:r>
      <w:r>
        <w:rPr>
          <w:rFonts w:hint="eastAsia" w:ascii="仿宋_GB2312" w:eastAsia="仿宋_GB2312"/>
          <w:snapToGrid w:val="0"/>
          <w:color w:val="auto"/>
          <w:kern w:val="0"/>
          <w:sz w:val="24"/>
          <w:u w:val="single"/>
        </w:rPr>
        <w:t xml:space="preserve">                                   </w:t>
      </w:r>
      <w:r>
        <w:rPr>
          <w:rFonts w:eastAsia="方正仿宋简体"/>
          <w:snapToGrid w:val="0"/>
          <w:color w:val="auto"/>
          <w:kern w:val="0"/>
          <w:sz w:val="24"/>
          <w:u w:val="single"/>
        </w:rPr>
        <w:t xml:space="preserve"> </w:t>
      </w:r>
      <w:r>
        <w:rPr>
          <w:rFonts w:eastAsia="方正仿宋简体"/>
          <w:snapToGrid w:val="0"/>
          <w:color w:val="auto"/>
          <w:kern w:val="0"/>
          <w:sz w:val="28"/>
          <w:szCs w:val="28"/>
          <w:u w:val="single"/>
        </w:rPr>
        <w:t xml:space="preserve">   </w:t>
      </w:r>
    </w:p>
    <w:p w14:paraId="0737BD8B">
      <w:pPr>
        <w:topLinePunct/>
        <w:spacing w:line="180" w:lineRule="auto"/>
        <w:rPr>
          <w:rFonts w:eastAsia="方正仿宋简体"/>
          <w:color w:val="auto"/>
          <w:sz w:val="28"/>
          <w:szCs w:val="28"/>
        </w:rPr>
        <w:sectPr>
          <w:headerReference r:id="rId8" w:type="default"/>
          <w:footerReference r:id="rId9" w:type="default"/>
          <w:pgSz w:w="11906" w:h="16839"/>
          <w:pgMar w:top="1984" w:right="1531" w:bottom="1701" w:left="1531" w:header="852" w:footer="992" w:gutter="0"/>
          <w:cols w:space="720" w:num="1"/>
        </w:sectPr>
      </w:pPr>
    </w:p>
    <w:p w14:paraId="59D9675D">
      <w:pPr>
        <w:pStyle w:val="8"/>
        <w:spacing w:before="0" w:line="480" w:lineRule="exact"/>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 xml:space="preserve"> 6-3制造商企业（单位）类型声明函</w:t>
      </w:r>
    </w:p>
    <w:p w14:paraId="3002C119">
      <w:pPr>
        <w:widowControl/>
        <w:kinsoku w:val="0"/>
        <w:topLinePunct/>
        <w:autoSpaceDE w:val="0"/>
        <w:autoSpaceDN w:val="0"/>
        <w:adjustRightInd w:val="0"/>
        <w:snapToGrid w:val="0"/>
        <w:spacing w:before="103" w:line="480" w:lineRule="exact"/>
        <w:ind w:left="13" w:right="1" w:firstLine="422"/>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本企业（单位）作为</w:t>
      </w:r>
      <w:r>
        <w:rPr>
          <w:rFonts w:hint="eastAsia" w:ascii="仿宋_GB2312" w:eastAsia="仿宋_GB2312"/>
          <w:snapToGrid w:val="0"/>
          <w:color w:val="auto"/>
          <w:spacing w:val="-1"/>
          <w:kern w:val="0"/>
          <w:sz w:val="24"/>
          <w:u w:val="single"/>
        </w:rPr>
        <w:t xml:space="preserve">         </w:t>
      </w:r>
      <w:r>
        <w:rPr>
          <w:rFonts w:hint="eastAsia" w:ascii="仿宋_GB2312" w:eastAsia="仿宋_GB2312"/>
          <w:snapToGrid w:val="0"/>
          <w:color w:val="auto"/>
          <w:spacing w:val="-1"/>
          <w:kern w:val="0"/>
          <w:sz w:val="24"/>
        </w:rPr>
        <w:t>单位的</w:t>
      </w:r>
      <w:r>
        <w:rPr>
          <w:rFonts w:hint="eastAsia" w:ascii="仿宋_GB2312" w:eastAsia="仿宋_GB2312"/>
          <w:snapToGrid w:val="0"/>
          <w:color w:val="auto"/>
          <w:spacing w:val="-71"/>
          <w:kern w:val="0"/>
          <w:sz w:val="24"/>
        </w:rPr>
        <w:t xml:space="preserve"> </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spacing w:val="57"/>
          <w:kern w:val="0"/>
          <w:sz w:val="24"/>
        </w:rPr>
        <w:t xml:space="preserve"> </w:t>
      </w:r>
      <w:r>
        <w:rPr>
          <w:rFonts w:hint="eastAsia" w:ascii="仿宋_GB2312" w:eastAsia="仿宋_GB2312"/>
          <w:snapToGrid w:val="0"/>
          <w:color w:val="auto"/>
          <w:spacing w:val="-1"/>
          <w:kern w:val="0"/>
          <w:sz w:val="24"/>
        </w:rPr>
        <w:t>项目的设备制造商</w:t>
      </w:r>
      <w:r>
        <w:rPr>
          <w:rFonts w:hint="eastAsia" w:ascii="仿宋_GB2312" w:eastAsia="仿宋_GB2312"/>
          <w:snapToGrid w:val="0"/>
          <w:color w:val="auto"/>
          <w:spacing w:val="-35"/>
          <w:kern w:val="0"/>
          <w:sz w:val="24"/>
        </w:rPr>
        <w:t xml:space="preserve"> </w:t>
      </w:r>
      <w:r>
        <w:rPr>
          <w:rFonts w:hint="eastAsia" w:ascii="仿宋_GB2312" w:eastAsia="仿宋_GB2312"/>
          <w:snapToGrid w:val="0"/>
          <w:color w:val="auto"/>
          <w:spacing w:val="-1"/>
          <w:kern w:val="0"/>
          <w:sz w:val="24"/>
        </w:rPr>
        <w:t>，参加政</w:t>
      </w:r>
      <w:r>
        <w:rPr>
          <w:rFonts w:hint="eastAsia" w:ascii="仿宋_GB2312" w:eastAsia="仿宋_GB2312"/>
          <w:snapToGrid w:val="0"/>
          <w:color w:val="auto"/>
          <w:spacing w:val="-2"/>
          <w:kern w:val="0"/>
          <w:sz w:val="24"/>
        </w:rPr>
        <w:t>府采购</w:t>
      </w:r>
      <w:r>
        <w:rPr>
          <w:rFonts w:hint="eastAsia" w:ascii="仿宋_GB2312" w:eastAsia="仿宋_GB2312"/>
          <w:snapToGrid w:val="0"/>
          <w:color w:val="auto"/>
          <w:spacing w:val="-5"/>
          <w:kern w:val="0"/>
          <w:sz w:val="24"/>
        </w:rPr>
        <w:t>活动。根据《政府采购促进中小企业发展管理办法》（财库[2020]46 号</w:t>
      </w:r>
      <w:r>
        <w:rPr>
          <w:rFonts w:hint="eastAsia" w:ascii="仿宋_GB2312" w:eastAsia="仿宋_GB2312"/>
          <w:snapToGrid w:val="0"/>
          <w:color w:val="auto"/>
          <w:spacing w:val="-9"/>
          <w:kern w:val="0"/>
          <w:sz w:val="24"/>
        </w:rPr>
        <w:t>），</w:t>
      </w:r>
      <w:r>
        <w:rPr>
          <w:rFonts w:hint="eastAsia" w:ascii="仿宋_GB2312" w:eastAsia="仿宋_GB2312"/>
          <w:snapToGrid w:val="0"/>
          <w:color w:val="auto"/>
          <w:spacing w:val="-5"/>
          <w:kern w:val="0"/>
          <w:sz w:val="24"/>
        </w:rPr>
        <w:t>《工</w:t>
      </w:r>
      <w:r>
        <w:rPr>
          <w:rFonts w:hint="eastAsia" w:ascii="仿宋_GB2312" w:eastAsia="仿宋_GB2312"/>
          <w:snapToGrid w:val="0"/>
          <w:color w:val="auto"/>
          <w:spacing w:val="-3"/>
          <w:kern w:val="0"/>
          <w:sz w:val="24"/>
        </w:rPr>
        <w:t>业和信息化部、国家统计局、国家发展和改革委员会、财政部关于印发中小企业划型标准规定的通知》（工信部联企业[2011]300 号）、《财政部、司法部关于</w:t>
      </w:r>
      <w:r>
        <w:rPr>
          <w:rFonts w:hint="eastAsia" w:ascii="仿宋_GB2312" w:eastAsia="仿宋_GB2312"/>
          <w:snapToGrid w:val="0"/>
          <w:color w:val="auto"/>
          <w:spacing w:val="-1"/>
          <w:kern w:val="0"/>
          <w:sz w:val="24"/>
        </w:rPr>
        <w:t>政府采购支持监狱企业发展有关问题的通知》（财库〔2014〕</w:t>
      </w:r>
      <w:r>
        <w:rPr>
          <w:rFonts w:hint="eastAsia" w:ascii="仿宋_GB2312" w:eastAsia="仿宋_GB2312"/>
          <w:snapToGrid w:val="0"/>
          <w:color w:val="auto"/>
          <w:spacing w:val="-2"/>
          <w:kern w:val="0"/>
          <w:sz w:val="24"/>
        </w:rPr>
        <w:t>68 号）以及《关</w:t>
      </w:r>
      <w:r>
        <w:rPr>
          <w:rFonts w:hint="eastAsia" w:ascii="仿宋_GB2312" w:eastAsia="仿宋_GB2312"/>
          <w:snapToGrid w:val="0"/>
          <w:color w:val="auto"/>
          <w:spacing w:val="-3"/>
          <w:kern w:val="0"/>
          <w:sz w:val="24"/>
        </w:rPr>
        <w:t>于促进残疾人就业政府采购政策的通知》（财库〔2017〕141 号）的有</w:t>
      </w:r>
      <w:r>
        <w:rPr>
          <w:rFonts w:hint="eastAsia" w:ascii="仿宋_GB2312" w:eastAsia="仿宋_GB2312"/>
          <w:snapToGrid w:val="0"/>
          <w:color w:val="auto"/>
          <w:spacing w:val="-4"/>
          <w:kern w:val="0"/>
          <w:sz w:val="24"/>
        </w:rPr>
        <w:t>关规定，</w:t>
      </w:r>
      <w:r>
        <w:rPr>
          <w:rFonts w:hint="eastAsia" w:ascii="仿宋_GB2312" w:eastAsia="仿宋_GB2312"/>
          <w:snapToGrid w:val="0"/>
          <w:color w:val="auto"/>
          <w:kern w:val="0"/>
          <w:sz w:val="24"/>
        </w:rPr>
        <w:t xml:space="preserve"> </w:t>
      </w:r>
      <w:r>
        <w:rPr>
          <w:rFonts w:hint="eastAsia" w:ascii="仿宋_GB2312" w:eastAsia="仿宋_GB2312"/>
          <w:snapToGrid w:val="0"/>
          <w:color w:val="auto"/>
          <w:spacing w:val="-1"/>
          <w:kern w:val="0"/>
          <w:sz w:val="24"/>
        </w:rPr>
        <w:t>作出如下声明：</w:t>
      </w:r>
    </w:p>
    <w:p w14:paraId="0CED0EB4">
      <w:pPr>
        <w:widowControl/>
        <w:kinsoku w:val="0"/>
        <w:topLinePunct/>
        <w:autoSpaceDE w:val="0"/>
        <w:autoSpaceDN w:val="0"/>
        <w:adjustRightInd w:val="0"/>
        <w:snapToGrid w:val="0"/>
        <w:spacing w:before="320" w:line="480" w:lineRule="exact"/>
        <w:ind w:left="435"/>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kern w:val="0"/>
          <w:sz w:val="24"/>
        </w:rPr>
        <w:t>本企业为</w:t>
      </w:r>
      <w:r>
        <w:rPr>
          <w:rFonts w:hint="eastAsia" w:ascii="仿宋_GB2312" w:eastAsia="仿宋_GB2312"/>
          <w:snapToGrid w:val="0"/>
          <w:color w:val="auto"/>
          <w:kern w:val="0"/>
          <w:sz w:val="24"/>
          <w:u w:val="single"/>
        </w:rPr>
        <w:t xml:space="preserve">         </w:t>
      </w:r>
      <w:r>
        <w:rPr>
          <w:rFonts w:hint="eastAsia" w:ascii="仿宋_GB2312" w:eastAsia="仿宋_GB2312"/>
          <w:snapToGrid w:val="0"/>
          <w:color w:val="auto"/>
          <w:kern w:val="0"/>
          <w:sz w:val="24"/>
        </w:rPr>
        <w:t>（请填写：中型、小型、微型）企业。</w:t>
      </w:r>
    </w:p>
    <w:p w14:paraId="0863B8D7">
      <w:pPr>
        <w:widowControl/>
        <w:kinsoku w:val="0"/>
        <w:topLinePunct/>
        <w:autoSpaceDE w:val="0"/>
        <w:autoSpaceDN w:val="0"/>
        <w:adjustRightInd w:val="0"/>
        <w:snapToGrid w:val="0"/>
        <w:spacing w:before="301" w:line="480" w:lineRule="exact"/>
        <w:ind w:left="18" w:right="1" w:firstLine="417"/>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4"/>
          <w:kern w:val="0"/>
          <w:sz w:val="24"/>
        </w:rPr>
        <w:t>本企业</w:t>
      </w:r>
      <w:r>
        <w:rPr>
          <w:rFonts w:hint="eastAsia" w:ascii="仿宋_GB2312" w:eastAsia="仿宋_GB2312"/>
          <w:snapToGrid w:val="0"/>
          <w:color w:val="auto"/>
          <w:spacing w:val="-4"/>
          <w:kern w:val="0"/>
          <w:sz w:val="24"/>
          <w:u w:val="single"/>
        </w:rPr>
        <w:t xml:space="preserve">             </w:t>
      </w:r>
      <w:r>
        <w:rPr>
          <w:rFonts w:hint="eastAsia" w:ascii="仿宋_GB2312" w:eastAsia="仿宋_GB2312"/>
          <w:snapToGrid w:val="0"/>
          <w:color w:val="auto"/>
          <w:spacing w:val="-4"/>
          <w:kern w:val="0"/>
          <w:sz w:val="24"/>
        </w:rPr>
        <w:t>（请填写：是、不是）监狱企业。后附省级以上监狱管理局、</w:t>
      </w:r>
      <w:r>
        <w:rPr>
          <w:rFonts w:hint="eastAsia" w:ascii="仿宋_GB2312" w:eastAsia="仿宋_GB2312"/>
          <w:snapToGrid w:val="0"/>
          <w:color w:val="auto"/>
          <w:spacing w:val="2"/>
          <w:kern w:val="0"/>
          <w:sz w:val="24"/>
        </w:rPr>
        <w:t xml:space="preserve"> </w:t>
      </w:r>
      <w:r>
        <w:rPr>
          <w:rFonts w:hint="eastAsia" w:ascii="仿宋_GB2312" w:eastAsia="仿宋_GB2312"/>
          <w:snapToGrid w:val="0"/>
          <w:color w:val="auto"/>
          <w:spacing w:val="-1"/>
          <w:kern w:val="0"/>
          <w:sz w:val="24"/>
        </w:rPr>
        <w:t>戒毒管理局（含新疆生产建设兵团）</w:t>
      </w:r>
      <w:r>
        <w:rPr>
          <w:rFonts w:hint="eastAsia" w:ascii="仿宋_GB2312" w:eastAsia="仿宋_GB2312"/>
          <w:snapToGrid w:val="0"/>
          <w:color w:val="auto"/>
          <w:spacing w:val="-48"/>
          <w:kern w:val="0"/>
          <w:sz w:val="24"/>
        </w:rPr>
        <w:t xml:space="preserve"> </w:t>
      </w:r>
      <w:r>
        <w:rPr>
          <w:rFonts w:hint="eastAsia" w:ascii="仿宋_GB2312" w:eastAsia="仿宋_GB2312"/>
          <w:snapToGrid w:val="0"/>
          <w:color w:val="auto"/>
          <w:spacing w:val="-1"/>
          <w:kern w:val="0"/>
          <w:sz w:val="24"/>
        </w:rPr>
        <w:t>出具的属于监狱企业的证明文件。</w:t>
      </w:r>
    </w:p>
    <w:p w14:paraId="28ED01E3">
      <w:pPr>
        <w:widowControl/>
        <w:kinsoku w:val="0"/>
        <w:topLinePunct/>
        <w:autoSpaceDE w:val="0"/>
        <w:autoSpaceDN w:val="0"/>
        <w:adjustRightInd w:val="0"/>
        <w:snapToGrid w:val="0"/>
        <w:spacing w:before="300" w:line="480" w:lineRule="exact"/>
        <w:ind w:left="435"/>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本单位为</w:t>
      </w:r>
      <w:r>
        <w:rPr>
          <w:rFonts w:hint="eastAsia" w:ascii="仿宋_GB2312" w:eastAsia="仿宋_GB2312"/>
          <w:snapToGrid w:val="0"/>
          <w:color w:val="auto"/>
          <w:spacing w:val="1"/>
          <w:kern w:val="0"/>
          <w:sz w:val="24"/>
          <w:u w:val="single"/>
        </w:rPr>
        <w:t xml:space="preserve">             </w:t>
      </w:r>
      <w:r>
        <w:rPr>
          <w:rFonts w:hint="eastAsia" w:ascii="仿宋_GB2312" w:eastAsia="仿宋_GB2312"/>
          <w:snapToGrid w:val="0"/>
          <w:color w:val="auto"/>
          <w:spacing w:val="1"/>
          <w:kern w:val="0"/>
          <w:sz w:val="24"/>
        </w:rPr>
        <w:t>（请填写：是、不是）残疾人福</w:t>
      </w:r>
      <w:r>
        <w:rPr>
          <w:rFonts w:hint="eastAsia" w:ascii="仿宋_GB2312" w:eastAsia="仿宋_GB2312"/>
          <w:snapToGrid w:val="0"/>
          <w:color w:val="auto"/>
          <w:kern w:val="0"/>
          <w:sz w:val="24"/>
        </w:rPr>
        <w:t>利性单位。</w:t>
      </w:r>
    </w:p>
    <w:p w14:paraId="1C8BC69B">
      <w:pPr>
        <w:widowControl/>
        <w:kinsoku w:val="0"/>
        <w:topLinePunct/>
        <w:autoSpaceDE w:val="0"/>
        <w:autoSpaceDN w:val="0"/>
        <w:adjustRightInd w:val="0"/>
        <w:snapToGrid w:val="0"/>
        <w:spacing w:before="1" w:line="480" w:lineRule="exact"/>
        <w:ind w:left="435"/>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本企业（单位）提供本企业（单位）制造的货物。</w:t>
      </w:r>
    </w:p>
    <w:p w14:paraId="0544BA5B">
      <w:pPr>
        <w:widowControl/>
        <w:kinsoku w:val="0"/>
        <w:topLinePunct/>
        <w:autoSpaceDE w:val="0"/>
        <w:autoSpaceDN w:val="0"/>
        <w:adjustRightInd w:val="0"/>
        <w:snapToGrid w:val="0"/>
        <w:spacing w:before="301" w:line="480" w:lineRule="exact"/>
        <w:jc w:val="center"/>
        <w:textAlignment w:val="baseline"/>
        <w:rPr>
          <w:rFonts w:hint="eastAsia" w:ascii="仿宋_GB2312" w:eastAsia="仿宋_GB2312"/>
          <w:snapToGrid w:val="0"/>
          <w:color w:val="auto"/>
          <w:spacing w:val="-6"/>
          <w:kern w:val="0"/>
          <w:position w:val="34"/>
          <w:sz w:val="24"/>
        </w:rPr>
      </w:pPr>
      <w:r>
        <w:rPr>
          <w:rFonts w:hint="eastAsia" w:ascii="仿宋_GB2312" w:eastAsia="仿宋_GB2312"/>
          <w:snapToGrid w:val="0"/>
          <w:color w:val="auto"/>
          <w:spacing w:val="-6"/>
          <w:kern w:val="0"/>
          <w:position w:val="34"/>
          <w:sz w:val="24"/>
        </w:rPr>
        <w:t xml:space="preserve">   本企业（单位）对上述声明的真实性负责。如有虚假，将依法承担相应</w:t>
      </w:r>
    </w:p>
    <w:p w14:paraId="3DFA194F">
      <w:pPr>
        <w:widowControl/>
        <w:kinsoku w:val="0"/>
        <w:topLinePunct/>
        <w:autoSpaceDE w:val="0"/>
        <w:autoSpaceDN w:val="0"/>
        <w:adjustRightInd w:val="0"/>
        <w:snapToGrid w:val="0"/>
        <w:spacing w:before="301" w:line="480" w:lineRule="exact"/>
        <w:jc w:val="center"/>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6"/>
          <w:kern w:val="0"/>
          <w:position w:val="34"/>
          <w:sz w:val="24"/>
        </w:rPr>
        <w:t>责任。</w:t>
      </w:r>
    </w:p>
    <w:p w14:paraId="4CE6E890">
      <w:pPr>
        <w:widowControl/>
        <w:kinsoku w:val="0"/>
        <w:topLinePunct/>
        <w:autoSpaceDE w:val="0"/>
        <w:autoSpaceDN w:val="0"/>
        <w:adjustRightInd w:val="0"/>
        <w:snapToGrid w:val="0"/>
        <w:spacing w:line="480" w:lineRule="exact"/>
        <w:ind w:left="435"/>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本声明函经制造商和投标人共同盖章生效。</w:t>
      </w:r>
    </w:p>
    <w:p w14:paraId="6D7555DA">
      <w:pPr>
        <w:widowControl/>
        <w:kinsoku w:val="0"/>
        <w:topLinePunct/>
        <w:autoSpaceDE w:val="0"/>
        <w:autoSpaceDN w:val="0"/>
        <w:adjustRightInd w:val="0"/>
        <w:snapToGrid w:val="0"/>
        <w:spacing w:line="480" w:lineRule="exact"/>
        <w:jc w:val="left"/>
        <w:textAlignment w:val="baseline"/>
        <w:rPr>
          <w:rFonts w:hint="eastAsia" w:ascii="仿宋_GB2312" w:eastAsia="仿宋_GB2312"/>
          <w:snapToGrid w:val="0"/>
          <w:color w:val="auto"/>
          <w:kern w:val="0"/>
          <w:sz w:val="24"/>
        </w:rPr>
      </w:pPr>
    </w:p>
    <w:p w14:paraId="53A70A42">
      <w:pPr>
        <w:widowControl/>
        <w:kinsoku w:val="0"/>
        <w:topLinePunct/>
        <w:autoSpaceDE w:val="0"/>
        <w:autoSpaceDN w:val="0"/>
        <w:adjustRightInd w:val="0"/>
        <w:snapToGrid w:val="0"/>
        <w:spacing w:before="104" w:line="480" w:lineRule="exact"/>
        <w:ind w:left="3136"/>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制造商名称（</w:t>
      </w:r>
      <w:r>
        <w:rPr>
          <w:rFonts w:hint="eastAsia" w:ascii="仿宋_GB2312" w:eastAsia="仿宋_GB2312"/>
          <w:snapToGrid w:val="0"/>
          <w:color w:val="auto"/>
          <w:kern w:val="0"/>
          <w:sz w:val="24"/>
        </w:rPr>
        <w:t>盖章</w:t>
      </w:r>
      <w:r>
        <w:rPr>
          <w:rFonts w:hint="eastAsia" w:ascii="仿宋_GB2312" w:eastAsia="仿宋_GB2312"/>
          <w:snapToGrid w:val="0"/>
          <w:color w:val="auto"/>
          <w:spacing w:val="1"/>
          <w:kern w:val="0"/>
          <w:sz w:val="24"/>
        </w:rPr>
        <w:t>）：</w:t>
      </w:r>
      <w:r>
        <w:rPr>
          <w:rFonts w:hint="eastAsia" w:ascii="仿宋_GB2312" w:eastAsia="仿宋_GB2312"/>
          <w:snapToGrid w:val="0"/>
          <w:color w:val="auto"/>
          <w:kern w:val="0"/>
          <w:sz w:val="24"/>
          <w:u w:val="single"/>
        </w:rPr>
        <w:t xml:space="preserve">                      </w:t>
      </w:r>
    </w:p>
    <w:p w14:paraId="5252BE1F">
      <w:pPr>
        <w:widowControl/>
        <w:kinsoku w:val="0"/>
        <w:topLinePunct/>
        <w:autoSpaceDE w:val="0"/>
        <w:autoSpaceDN w:val="0"/>
        <w:adjustRightInd w:val="0"/>
        <w:snapToGrid w:val="0"/>
        <w:spacing w:before="300" w:line="480" w:lineRule="exact"/>
        <w:ind w:left="3135"/>
        <w:jc w:val="left"/>
        <w:textAlignment w:val="baseline"/>
        <w:rPr>
          <w:rFonts w:hint="eastAsia" w:ascii="仿宋_GB2312" w:eastAsia="仿宋_GB2312"/>
          <w:snapToGrid w:val="0"/>
          <w:color w:val="auto"/>
          <w:kern w:val="0"/>
          <w:sz w:val="24"/>
        </w:rPr>
      </w:pPr>
      <w:r>
        <w:rPr>
          <w:rFonts w:hint="eastAsia" w:ascii="仿宋_GB2312" w:eastAsia="仿宋_GB2312"/>
          <w:snapToGrid w:val="0"/>
          <w:color w:val="auto"/>
          <w:spacing w:val="-1"/>
          <w:kern w:val="0"/>
          <w:sz w:val="24"/>
        </w:rPr>
        <w:t>投标人名称（</w:t>
      </w:r>
      <w:r>
        <w:rPr>
          <w:rFonts w:hint="eastAsia" w:ascii="仿宋_GB2312" w:eastAsia="仿宋_GB2312"/>
          <w:snapToGrid w:val="0"/>
          <w:color w:val="auto"/>
          <w:kern w:val="0"/>
          <w:sz w:val="24"/>
        </w:rPr>
        <w:t>盖章</w:t>
      </w:r>
      <w:r>
        <w:rPr>
          <w:rFonts w:hint="eastAsia" w:ascii="仿宋_GB2312" w:eastAsia="仿宋_GB2312"/>
          <w:snapToGrid w:val="0"/>
          <w:color w:val="auto"/>
          <w:spacing w:val="1"/>
          <w:kern w:val="0"/>
          <w:sz w:val="24"/>
        </w:rPr>
        <w:t>）：</w:t>
      </w:r>
      <w:r>
        <w:rPr>
          <w:rFonts w:hint="eastAsia" w:ascii="仿宋_GB2312" w:eastAsia="仿宋_GB2312"/>
          <w:snapToGrid w:val="0"/>
          <w:color w:val="auto"/>
          <w:kern w:val="0"/>
          <w:sz w:val="24"/>
          <w:u w:val="single"/>
        </w:rPr>
        <w:t xml:space="preserve">                      </w:t>
      </w:r>
    </w:p>
    <w:p w14:paraId="43A9B087">
      <w:pPr>
        <w:topLinePunct/>
        <w:spacing w:line="480" w:lineRule="exact"/>
        <w:ind w:left="3168"/>
        <w:rPr>
          <w:rFonts w:hint="eastAsia" w:ascii="仿宋_GB2312" w:eastAsia="仿宋_GB2312"/>
          <w:color w:val="auto"/>
          <w:sz w:val="24"/>
        </w:rPr>
        <w:sectPr>
          <w:footerReference r:id="rId10" w:type="default"/>
          <w:pgSz w:w="11906" w:h="16839"/>
          <w:pgMar w:top="1984" w:right="1531" w:bottom="1701" w:left="1531" w:header="852" w:footer="992" w:gutter="0"/>
          <w:cols w:space="720" w:num="1"/>
        </w:sectPr>
      </w:pPr>
      <w:r>
        <w:rPr>
          <w:rFonts w:hint="eastAsia" w:ascii="仿宋_GB2312" w:eastAsia="仿宋_GB2312"/>
          <w:snapToGrid w:val="0"/>
          <w:color w:val="auto"/>
          <w:spacing w:val="-14"/>
          <w:kern w:val="0"/>
          <w:sz w:val="24"/>
        </w:rPr>
        <w:t>日</w:t>
      </w:r>
      <w:r>
        <w:rPr>
          <w:rFonts w:hint="eastAsia" w:ascii="仿宋_GB2312" w:eastAsia="仿宋_GB2312"/>
          <w:snapToGrid w:val="0"/>
          <w:color w:val="auto"/>
          <w:spacing w:val="10"/>
          <w:kern w:val="0"/>
          <w:sz w:val="24"/>
        </w:rPr>
        <w:t xml:space="preserve">   </w:t>
      </w:r>
      <w:r>
        <w:rPr>
          <w:rFonts w:hint="eastAsia" w:ascii="仿宋_GB2312" w:eastAsia="仿宋_GB2312"/>
          <w:snapToGrid w:val="0"/>
          <w:color w:val="auto"/>
          <w:spacing w:val="-14"/>
          <w:kern w:val="0"/>
          <w:sz w:val="24"/>
        </w:rPr>
        <w:t>期：</w:t>
      </w:r>
      <w:r>
        <w:rPr>
          <w:rFonts w:hint="eastAsia" w:ascii="仿宋_GB2312" w:eastAsia="仿宋_GB2312"/>
          <w:snapToGrid w:val="0"/>
          <w:color w:val="auto"/>
          <w:kern w:val="0"/>
          <w:sz w:val="24"/>
          <w:u w:val="single"/>
        </w:rPr>
        <w:t xml:space="preserve">                                </w:t>
      </w:r>
    </w:p>
    <w:p w14:paraId="632AA27C">
      <w:pPr>
        <w:pStyle w:val="8"/>
        <w:spacing w:before="0" w:line="240" w:lineRule="atLeast"/>
        <w:rPr>
          <w:rFonts w:hint="eastAsia" w:ascii="仿宋_GB2312" w:hAnsi="Times New Roman" w:eastAsia="仿宋_GB2312"/>
          <w:bCs/>
          <w:color w:val="auto"/>
          <w:sz w:val="28"/>
          <w:szCs w:val="28"/>
        </w:rPr>
      </w:pPr>
      <w:r>
        <w:rPr>
          <w:rFonts w:hint="eastAsia" w:ascii="仿宋_GB2312" w:hAnsi="Times New Roman" w:eastAsia="仿宋_GB2312"/>
          <w:bCs/>
          <w:color w:val="auto"/>
          <w:sz w:val="28"/>
          <w:szCs w:val="28"/>
        </w:rPr>
        <w:t>6-4残疾人福利性单位声明函</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426785B2">
      <w:pPr>
        <w:spacing w:line="240" w:lineRule="atLeast"/>
        <w:ind w:left="1079" w:leftChars="257" w:hanging="540"/>
        <w:jc w:val="center"/>
        <w:rPr>
          <w:rFonts w:hint="eastAsia" w:ascii="仿宋_GB2312" w:eastAsia="仿宋_GB2312"/>
          <w:color w:val="auto"/>
          <w:kern w:val="0"/>
          <w:sz w:val="28"/>
          <w:szCs w:val="28"/>
        </w:rPr>
      </w:pPr>
    </w:p>
    <w:p w14:paraId="1FEAE1A5">
      <w:pPr>
        <w:spacing w:line="380" w:lineRule="atLeast"/>
        <w:ind w:firstLine="567"/>
        <w:rPr>
          <w:rFonts w:hint="eastAsia" w:ascii="仿宋_GB2312" w:eastAsia="仿宋_GB2312"/>
          <w:color w:val="auto"/>
          <w:kern w:val="0"/>
          <w:sz w:val="24"/>
        </w:rPr>
      </w:pPr>
      <w:r>
        <w:rPr>
          <w:rFonts w:hint="eastAsia" w:ascii="仿宋_GB2312" w:eastAsia="仿宋_GB2312"/>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40B2D50">
      <w:pPr>
        <w:spacing w:line="380" w:lineRule="atLeast"/>
        <w:ind w:left="1079" w:leftChars="257" w:hanging="540"/>
        <w:rPr>
          <w:rFonts w:hint="eastAsia" w:ascii="仿宋_GB2312" w:eastAsia="仿宋_GB2312"/>
          <w:color w:val="auto"/>
          <w:kern w:val="0"/>
          <w:sz w:val="24"/>
        </w:rPr>
      </w:pPr>
      <w:r>
        <w:rPr>
          <w:rFonts w:hint="eastAsia" w:ascii="仿宋_GB2312" w:eastAsia="仿宋_GB2312"/>
          <w:color w:val="auto"/>
          <w:kern w:val="0"/>
          <w:sz w:val="24"/>
        </w:rPr>
        <w:t>本单位对上述声明的真实性负责。如有虚假，将依法承担相应责任。</w:t>
      </w:r>
    </w:p>
    <w:p w14:paraId="6C49C327">
      <w:pPr>
        <w:spacing w:line="380" w:lineRule="atLeast"/>
        <w:ind w:left="1079" w:leftChars="257" w:hanging="540"/>
        <w:jc w:val="center"/>
        <w:rPr>
          <w:rFonts w:hint="eastAsia" w:ascii="仿宋_GB2312" w:eastAsia="仿宋_GB2312"/>
          <w:color w:val="auto"/>
          <w:kern w:val="0"/>
          <w:sz w:val="24"/>
        </w:rPr>
      </w:pPr>
    </w:p>
    <w:p w14:paraId="1152DA75">
      <w:pPr>
        <w:spacing w:line="380" w:lineRule="atLeast"/>
        <w:ind w:left="1079" w:leftChars="257" w:hanging="540"/>
        <w:jc w:val="center"/>
        <w:rPr>
          <w:rFonts w:hint="eastAsia" w:ascii="仿宋_GB2312" w:eastAsia="仿宋_GB2312"/>
          <w:color w:val="auto"/>
          <w:kern w:val="0"/>
          <w:sz w:val="24"/>
        </w:rPr>
      </w:pPr>
    </w:p>
    <w:p w14:paraId="08B3CE30">
      <w:pPr>
        <w:spacing w:line="380" w:lineRule="atLeast"/>
        <w:ind w:left="1079" w:leftChars="257" w:hanging="540"/>
        <w:jc w:val="center"/>
        <w:rPr>
          <w:rFonts w:hint="eastAsia" w:ascii="仿宋_GB2312" w:eastAsia="仿宋_GB2312"/>
          <w:color w:val="auto"/>
          <w:kern w:val="0"/>
          <w:sz w:val="24"/>
        </w:rPr>
      </w:pPr>
      <w:r>
        <w:rPr>
          <w:rFonts w:hint="eastAsia" w:ascii="仿宋_GB2312" w:eastAsia="仿宋_GB2312"/>
          <w:color w:val="auto"/>
          <w:kern w:val="0"/>
          <w:sz w:val="24"/>
        </w:rPr>
        <w:t xml:space="preserve"> 残疾人福利性单位名称（公章）：</w:t>
      </w:r>
    </w:p>
    <w:p w14:paraId="7D1B907D">
      <w:pPr>
        <w:spacing w:line="380" w:lineRule="atLeast"/>
        <w:ind w:left="1079" w:leftChars="257" w:hanging="540"/>
        <w:jc w:val="center"/>
        <w:rPr>
          <w:rFonts w:hint="eastAsia" w:ascii="仿宋_GB2312" w:eastAsia="仿宋_GB2312"/>
          <w:b/>
          <w:color w:val="auto"/>
          <w:kern w:val="0"/>
          <w:sz w:val="24"/>
        </w:rPr>
      </w:pPr>
      <w:r>
        <w:rPr>
          <w:rFonts w:hint="eastAsia" w:ascii="仿宋_GB2312" w:eastAsia="仿宋_GB2312"/>
          <w:color w:val="auto"/>
          <w:kern w:val="0"/>
          <w:sz w:val="24"/>
        </w:rPr>
        <w:t xml:space="preserve">                    日     期：</w:t>
      </w:r>
    </w:p>
    <w:p w14:paraId="4982DDF2">
      <w:pPr>
        <w:spacing w:line="240" w:lineRule="atLeast"/>
        <w:ind w:left="1079" w:leftChars="257" w:hanging="540"/>
        <w:jc w:val="center"/>
        <w:rPr>
          <w:rFonts w:eastAsia="方正仿宋简体"/>
          <w:b/>
          <w:color w:val="auto"/>
          <w:kern w:val="0"/>
          <w:sz w:val="28"/>
          <w:szCs w:val="28"/>
        </w:rPr>
      </w:pPr>
    </w:p>
    <w:p w14:paraId="3623A8A4">
      <w:pPr>
        <w:widowControl/>
        <w:spacing w:before="100" w:beforeAutospacing="1" w:after="100" w:afterAutospacing="1" w:line="480" w:lineRule="exact"/>
        <w:ind w:firstLine="3640" w:firstLineChars="1300"/>
        <w:jc w:val="left"/>
        <w:rPr>
          <w:rFonts w:eastAsia="方正仿宋简体"/>
          <w:color w:val="auto"/>
          <w:sz w:val="28"/>
          <w:szCs w:val="28"/>
        </w:rPr>
      </w:pPr>
    </w:p>
    <w:p w14:paraId="5A91DF19">
      <w:pPr>
        <w:spacing w:line="480" w:lineRule="exact"/>
        <w:ind w:left="1079" w:leftChars="257" w:hanging="540"/>
        <w:jc w:val="center"/>
        <w:rPr>
          <w:rFonts w:eastAsia="方正仿宋简体"/>
          <w:color w:val="auto"/>
          <w:sz w:val="28"/>
          <w:szCs w:val="28"/>
        </w:rPr>
      </w:pPr>
    </w:p>
    <w:p w14:paraId="3E084307">
      <w:pPr>
        <w:pStyle w:val="10"/>
        <w:rPr>
          <w:rFonts w:ascii="Times New Roman" w:eastAsia="方正仿宋简体"/>
          <w:color w:val="auto"/>
          <w:sz w:val="28"/>
          <w:szCs w:val="28"/>
        </w:rPr>
      </w:pPr>
    </w:p>
    <w:p w14:paraId="405EC3B6">
      <w:pPr>
        <w:pStyle w:val="8"/>
        <w:spacing w:before="0" w:line="240" w:lineRule="atLeast"/>
        <w:rPr>
          <w:rFonts w:hint="eastAsia" w:ascii="仿宋_GB2312" w:hAnsi="Times New Roman" w:eastAsia="仿宋_GB2312"/>
          <w:bCs/>
          <w:color w:val="auto"/>
          <w:sz w:val="24"/>
          <w:szCs w:val="24"/>
        </w:rPr>
      </w:pPr>
      <w:bookmarkStart w:id="727" w:name="_Toc22561"/>
      <w:bookmarkStart w:id="728" w:name="_Toc23104"/>
      <w:bookmarkStart w:id="729" w:name="_Toc5568"/>
      <w:bookmarkStart w:id="730" w:name="_Toc6004"/>
      <w:bookmarkStart w:id="731" w:name="_Toc11868"/>
      <w:bookmarkStart w:id="732" w:name="_Toc22378"/>
      <w:bookmarkStart w:id="733" w:name="_Toc515647827"/>
      <w:bookmarkStart w:id="734" w:name="_Toc30946"/>
      <w:bookmarkStart w:id="735" w:name="_Toc26133"/>
      <w:bookmarkStart w:id="736" w:name="_Toc5527"/>
      <w:bookmarkStart w:id="737" w:name="_Toc2304"/>
      <w:bookmarkStart w:id="738" w:name="_Toc6009"/>
      <w:bookmarkStart w:id="739" w:name="_Toc30795"/>
      <w:bookmarkStart w:id="740" w:name="_Toc28099"/>
      <w:bookmarkStart w:id="741" w:name="_Toc452"/>
      <w:bookmarkStart w:id="742" w:name="_Toc16850"/>
      <w:bookmarkStart w:id="743" w:name="_Toc19223"/>
      <w:r>
        <w:rPr>
          <w:rFonts w:hint="eastAsia" w:ascii="仿宋_GB2312" w:hAnsi="Times New Roman" w:eastAsia="仿宋_GB2312"/>
          <w:bCs/>
          <w:color w:val="auto"/>
          <w:sz w:val="24"/>
          <w:szCs w:val="24"/>
        </w:rPr>
        <w:t>7、供应商关联单位的说明</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3DC53091">
      <w:pPr>
        <w:pStyle w:val="10"/>
        <w:spacing w:line="480" w:lineRule="exact"/>
        <w:jc w:val="center"/>
        <w:rPr>
          <w:rFonts w:hint="eastAsia" w:ascii="仿宋_GB2312" w:eastAsia="仿宋_GB2312"/>
          <w:color w:val="auto"/>
          <w:kern w:val="2"/>
          <w:szCs w:val="24"/>
        </w:rPr>
      </w:pPr>
    </w:p>
    <w:p w14:paraId="510C051F">
      <w:pPr>
        <w:pStyle w:val="10"/>
        <w:spacing w:line="480" w:lineRule="exact"/>
        <w:ind w:firstLine="480" w:firstLineChars="200"/>
        <w:rPr>
          <w:rFonts w:hint="eastAsia" w:ascii="仿宋_GB2312" w:eastAsia="仿宋_GB2312"/>
          <w:color w:val="auto"/>
          <w:kern w:val="2"/>
          <w:szCs w:val="24"/>
        </w:rPr>
      </w:pPr>
      <w:r>
        <w:rPr>
          <w:rFonts w:hint="eastAsia" w:ascii="仿宋_GB2312" w:eastAsia="仿宋_GB2312"/>
          <w:color w:val="auto"/>
          <w:kern w:val="2"/>
          <w:szCs w:val="24"/>
        </w:rPr>
        <w:t>说明：供应商应当如实披露与本单位存在下列关联关系的单位名称：</w:t>
      </w:r>
    </w:p>
    <w:p w14:paraId="230E2073">
      <w:pPr>
        <w:pStyle w:val="10"/>
        <w:spacing w:line="480" w:lineRule="exact"/>
        <w:ind w:firstLine="960" w:firstLineChars="400"/>
        <w:rPr>
          <w:rFonts w:hint="eastAsia" w:ascii="仿宋_GB2312" w:eastAsia="仿宋_GB2312"/>
          <w:color w:val="auto"/>
          <w:kern w:val="2"/>
          <w:szCs w:val="24"/>
        </w:rPr>
      </w:pPr>
      <w:r>
        <w:rPr>
          <w:rFonts w:hint="eastAsia" w:ascii="仿宋_GB2312" w:eastAsia="仿宋_GB2312"/>
          <w:color w:val="auto"/>
          <w:kern w:val="2"/>
          <w:szCs w:val="24"/>
        </w:rPr>
        <w:t>（1）与供应商单位负责人为同一人的其他单位；</w:t>
      </w:r>
    </w:p>
    <w:p w14:paraId="25DE7A32">
      <w:pPr>
        <w:pStyle w:val="10"/>
        <w:spacing w:line="480" w:lineRule="exact"/>
        <w:ind w:firstLine="480" w:firstLineChars="200"/>
        <w:rPr>
          <w:rFonts w:hint="eastAsia" w:ascii="仿宋_GB2312" w:eastAsia="仿宋_GB2312"/>
          <w:color w:val="auto"/>
          <w:kern w:val="2"/>
          <w:szCs w:val="24"/>
        </w:rPr>
      </w:pPr>
      <w:r>
        <w:rPr>
          <w:rFonts w:hint="eastAsia" w:ascii="仿宋_GB2312" w:eastAsia="仿宋_GB2312"/>
          <w:color w:val="auto"/>
          <w:kern w:val="2"/>
          <w:szCs w:val="24"/>
        </w:rPr>
        <w:t xml:space="preserve">    （2）与供应商存在直接控股、管理关系的其他单位。</w:t>
      </w:r>
    </w:p>
    <w:p w14:paraId="26334C2B">
      <w:pPr>
        <w:pStyle w:val="10"/>
        <w:spacing w:line="480" w:lineRule="exact"/>
        <w:rPr>
          <w:rFonts w:ascii="Times New Roman" w:eastAsia="方正仿宋简体"/>
          <w:color w:val="auto"/>
          <w:kern w:val="2"/>
          <w:sz w:val="28"/>
          <w:szCs w:val="28"/>
        </w:rPr>
      </w:pPr>
    </w:p>
    <w:p w14:paraId="2F9520FB">
      <w:pPr>
        <w:pStyle w:val="10"/>
        <w:spacing w:line="480" w:lineRule="exact"/>
        <w:rPr>
          <w:rFonts w:ascii="Times New Roman" w:eastAsia="方正仿宋简体"/>
          <w:color w:val="auto"/>
          <w:kern w:val="2"/>
          <w:sz w:val="28"/>
          <w:szCs w:val="28"/>
        </w:rPr>
      </w:pPr>
    </w:p>
    <w:bookmarkEnd w:id="704"/>
    <w:bookmarkEnd w:id="705"/>
    <w:bookmarkEnd w:id="706"/>
    <w:bookmarkEnd w:id="707"/>
    <w:bookmarkEnd w:id="708"/>
    <w:bookmarkEnd w:id="709"/>
    <w:bookmarkEnd w:id="710"/>
    <w:p w14:paraId="4F070663">
      <w:pPr>
        <w:rPr>
          <w:rFonts w:eastAsia="方正仿宋简体"/>
          <w:bCs/>
          <w:color w:val="auto"/>
          <w:sz w:val="28"/>
          <w:szCs w:val="28"/>
        </w:rPr>
      </w:pPr>
      <w:bookmarkStart w:id="744" w:name="_Toc7414"/>
      <w:bookmarkStart w:id="745" w:name="_Toc17333"/>
      <w:bookmarkStart w:id="746" w:name="_Toc10352"/>
      <w:bookmarkStart w:id="747" w:name="_Toc29367"/>
      <w:bookmarkStart w:id="748" w:name="_Toc515647828"/>
      <w:bookmarkStart w:id="749" w:name="_Toc16811"/>
      <w:bookmarkStart w:id="750" w:name="_Toc6932"/>
      <w:bookmarkStart w:id="751" w:name="_Toc21192"/>
      <w:bookmarkStart w:id="752" w:name="_Toc23897"/>
      <w:bookmarkStart w:id="753" w:name="_Toc31226"/>
      <w:bookmarkStart w:id="754" w:name="_Toc25126"/>
      <w:bookmarkStart w:id="755" w:name="_Toc15535"/>
      <w:bookmarkStart w:id="756" w:name="_Toc7966"/>
      <w:bookmarkStart w:id="757" w:name="_Toc17843"/>
      <w:bookmarkStart w:id="758" w:name="_Toc20015"/>
      <w:bookmarkStart w:id="759" w:name="_Toc12486"/>
      <w:bookmarkStart w:id="760" w:name="_Toc27478"/>
      <w:bookmarkStart w:id="761" w:name="_Toc515647829"/>
      <w:bookmarkStart w:id="762" w:name="_Toc219175634"/>
      <w:bookmarkStart w:id="763" w:name="_Toc28765"/>
      <w:bookmarkStart w:id="764" w:name="_Toc507399902"/>
      <w:bookmarkStart w:id="765" w:name="_Toc216582822"/>
      <w:bookmarkStart w:id="766" w:name="_Toc218935350"/>
      <w:bookmarkStart w:id="767" w:name="_Toc16370"/>
    </w:p>
    <w:p w14:paraId="5B2D58F8">
      <w:pPr>
        <w:pStyle w:val="29"/>
        <w:rPr>
          <w:color w:val="auto"/>
        </w:rPr>
      </w:pPr>
    </w:p>
    <w:p w14:paraId="2B51AADF">
      <w:pPr>
        <w:pStyle w:val="8"/>
        <w:spacing w:before="0" w:line="240" w:lineRule="atLeas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8</w:t>
      </w:r>
      <w:bookmarkEnd w:id="744"/>
      <w:bookmarkEnd w:id="745"/>
      <w:bookmarkEnd w:id="746"/>
      <w:bookmarkEnd w:id="747"/>
      <w:bookmarkEnd w:id="748"/>
      <w:bookmarkStart w:id="768" w:name="_Toc27058"/>
      <w:r>
        <w:rPr>
          <w:rFonts w:hint="eastAsia" w:ascii="仿宋_GB2312" w:hAnsi="Times New Roman" w:eastAsia="仿宋_GB2312"/>
          <w:bCs/>
          <w:color w:val="auto"/>
          <w:sz w:val="24"/>
          <w:szCs w:val="24"/>
        </w:rPr>
        <w:t>、供应商可提供有利于投标的其他证明材料</w:t>
      </w:r>
      <w:bookmarkEnd w:id="749"/>
      <w:bookmarkEnd w:id="750"/>
      <w:bookmarkEnd w:id="751"/>
      <w:bookmarkEnd w:id="752"/>
      <w:bookmarkEnd w:id="753"/>
      <w:bookmarkEnd w:id="754"/>
      <w:bookmarkEnd w:id="755"/>
      <w:bookmarkEnd w:id="756"/>
      <w:bookmarkEnd w:id="757"/>
      <w:bookmarkEnd w:id="758"/>
      <w:bookmarkEnd w:id="759"/>
      <w:bookmarkEnd w:id="760"/>
      <w:bookmarkEnd w:id="768"/>
    </w:p>
    <w:p w14:paraId="39C5530E">
      <w:pPr>
        <w:spacing w:line="480" w:lineRule="exact"/>
        <w:jc w:val="center"/>
        <w:rPr>
          <w:rFonts w:eastAsia="方正仿宋简体"/>
          <w:color w:val="auto"/>
          <w:sz w:val="28"/>
          <w:szCs w:val="28"/>
        </w:rPr>
      </w:pPr>
    </w:p>
    <w:p w14:paraId="1CC5C259">
      <w:pPr>
        <w:pStyle w:val="2"/>
        <w:ind w:firstLine="560"/>
        <w:jc w:val="center"/>
        <w:rPr>
          <w:rFonts w:eastAsia="方正仿宋简体"/>
          <w:color w:val="auto"/>
          <w:sz w:val="28"/>
          <w:szCs w:val="28"/>
        </w:rPr>
      </w:pPr>
    </w:p>
    <w:p w14:paraId="726B1F95">
      <w:pPr>
        <w:pStyle w:val="2"/>
        <w:ind w:firstLine="560"/>
        <w:jc w:val="center"/>
        <w:rPr>
          <w:rFonts w:eastAsia="方正仿宋简体"/>
          <w:color w:val="auto"/>
          <w:sz w:val="28"/>
          <w:szCs w:val="28"/>
        </w:rPr>
      </w:pPr>
    </w:p>
    <w:p w14:paraId="2B3DDF27">
      <w:pPr>
        <w:pStyle w:val="2"/>
        <w:ind w:firstLine="560"/>
        <w:jc w:val="center"/>
        <w:rPr>
          <w:rFonts w:eastAsia="方正仿宋简体"/>
          <w:color w:val="auto"/>
          <w:sz w:val="28"/>
          <w:szCs w:val="28"/>
        </w:rPr>
      </w:pPr>
    </w:p>
    <w:p w14:paraId="5A3F52C9">
      <w:pPr>
        <w:snapToGrid w:val="0"/>
        <w:spacing w:line="240" w:lineRule="atLeast"/>
        <w:jc w:val="center"/>
        <w:textAlignment w:val="baseline"/>
        <w:rPr>
          <w:rFonts w:eastAsia="方正仿宋简体"/>
          <w:b/>
          <w:color w:val="auto"/>
          <w:kern w:val="0"/>
          <w:sz w:val="28"/>
          <w:szCs w:val="28"/>
        </w:rPr>
      </w:pPr>
    </w:p>
    <w:p w14:paraId="66CB70BB">
      <w:pPr>
        <w:snapToGrid w:val="0"/>
        <w:spacing w:line="240" w:lineRule="atLeast"/>
        <w:jc w:val="center"/>
        <w:textAlignment w:val="baseline"/>
        <w:rPr>
          <w:rFonts w:eastAsia="方正仿宋简体"/>
          <w:b/>
          <w:color w:val="auto"/>
          <w:kern w:val="0"/>
          <w:sz w:val="28"/>
          <w:szCs w:val="28"/>
        </w:rPr>
      </w:pPr>
    </w:p>
    <w:p w14:paraId="702EFCCC">
      <w:pPr>
        <w:pStyle w:val="10"/>
        <w:rPr>
          <w:rFonts w:ascii="Times New Roman" w:eastAsia="方正仿宋简体"/>
          <w:b/>
          <w:color w:val="auto"/>
          <w:sz w:val="28"/>
          <w:szCs w:val="28"/>
        </w:rPr>
      </w:pPr>
    </w:p>
    <w:p w14:paraId="748E909D">
      <w:pPr>
        <w:snapToGrid w:val="0"/>
        <w:spacing w:line="240" w:lineRule="atLeast"/>
        <w:jc w:val="left"/>
        <w:textAlignment w:val="baseline"/>
        <w:rPr>
          <w:rFonts w:hint="eastAsia" w:ascii="仿宋_GB2312" w:eastAsia="仿宋_GB2312"/>
          <w:b/>
          <w:color w:val="auto"/>
          <w:kern w:val="0"/>
          <w:sz w:val="28"/>
          <w:szCs w:val="28"/>
        </w:rPr>
      </w:pPr>
    </w:p>
    <w:p w14:paraId="549EA80B">
      <w:pPr>
        <w:snapToGrid w:val="0"/>
        <w:spacing w:line="240" w:lineRule="atLeast"/>
        <w:jc w:val="center"/>
        <w:textAlignment w:val="baseline"/>
        <w:rPr>
          <w:rFonts w:hint="eastAsia" w:ascii="仿宋_GB2312" w:eastAsia="仿宋_GB2312"/>
          <w:b/>
          <w:color w:val="auto"/>
          <w:sz w:val="28"/>
          <w:szCs w:val="28"/>
        </w:rPr>
      </w:pPr>
      <w:r>
        <w:rPr>
          <w:rFonts w:hint="eastAsia" w:ascii="仿宋_GB2312" w:eastAsia="仿宋_GB2312"/>
          <w:b/>
          <w:color w:val="auto"/>
          <w:kern w:val="0"/>
          <w:sz w:val="28"/>
          <w:szCs w:val="28"/>
        </w:rPr>
        <w:t>9、响应文件格式范本</w:t>
      </w:r>
    </w:p>
    <w:tbl>
      <w:tblPr>
        <w:tblStyle w:val="40"/>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050B7B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1A50C19A">
            <w:pPr>
              <w:pStyle w:val="5"/>
              <w:snapToGrid w:val="0"/>
              <w:jc w:val="center"/>
              <w:textAlignment w:val="baseline"/>
              <w:rPr>
                <w:rFonts w:hint="eastAsia" w:ascii="仿宋_GB2312" w:hAnsi="Times New Roman" w:eastAsia="仿宋_GB2312"/>
                <w:b/>
                <w:bCs/>
                <w:color w:val="auto"/>
                <w:sz w:val="28"/>
                <w:szCs w:val="28"/>
              </w:rPr>
            </w:pPr>
            <w:r>
              <w:rPr>
                <w:rFonts w:hint="eastAsia" w:ascii="仿宋_GB2312" w:hAnsi="Times New Roman" w:eastAsia="仿宋_GB2312"/>
                <w:b/>
                <w:bCs/>
                <w:color w:val="auto"/>
                <w:sz w:val="28"/>
                <w:szCs w:val="28"/>
              </w:rPr>
              <w:t xml:space="preserve">                                                （正本/副本）</w:t>
            </w:r>
          </w:p>
          <w:p w14:paraId="61B376DB">
            <w:pPr>
              <w:pStyle w:val="5"/>
              <w:snapToGrid w:val="0"/>
              <w:ind w:firstLine="4200" w:firstLineChars="1500"/>
              <w:textAlignment w:val="baseline"/>
              <w:rPr>
                <w:rFonts w:hint="eastAsia" w:ascii="仿宋_GB2312" w:hAnsi="Times New Roman" w:eastAsia="仿宋_GB2312"/>
                <w:b/>
                <w:bCs/>
                <w:color w:val="auto"/>
                <w:sz w:val="28"/>
                <w:szCs w:val="28"/>
              </w:rPr>
            </w:pPr>
          </w:p>
          <w:p w14:paraId="3CA8AC1C">
            <w:pPr>
              <w:pStyle w:val="5"/>
              <w:snapToGrid w:val="0"/>
              <w:ind w:firstLine="4200" w:firstLineChars="1500"/>
              <w:textAlignment w:val="baseline"/>
              <w:rPr>
                <w:rFonts w:hint="eastAsia" w:ascii="仿宋_GB2312" w:hAnsi="Times New Roman" w:eastAsia="仿宋_GB2312"/>
                <w:b/>
                <w:bCs/>
                <w:color w:val="auto"/>
                <w:sz w:val="28"/>
                <w:szCs w:val="28"/>
              </w:rPr>
            </w:pPr>
          </w:p>
          <w:p w14:paraId="0AB4B0B4">
            <w:pPr>
              <w:pStyle w:val="5"/>
              <w:snapToGrid w:val="0"/>
              <w:textAlignment w:val="baseline"/>
              <w:rPr>
                <w:rFonts w:hint="eastAsia" w:ascii="仿宋_GB2312" w:hAnsi="Times New Roman" w:eastAsia="仿宋_GB2312"/>
                <w:b/>
                <w:bCs/>
                <w:color w:val="auto"/>
                <w:sz w:val="28"/>
                <w:szCs w:val="28"/>
              </w:rPr>
            </w:pPr>
          </w:p>
          <w:p w14:paraId="27AF5A46">
            <w:pPr>
              <w:pStyle w:val="5"/>
              <w:snapToGrid w:val="0"/>
              <w:ind w:firstLine="2520" w:firstLineChars="900"/>
              <w:textAlignment w:val="baseline"/>
              <w:rPr>
                <w:rFonts w:hint="eastAsia" w:ascii="仿宋_GB2312" w:hAnsi="Times New Roman" w:eastAsia="仿宋_GB2312"/>
                <w:b/>
                <w:bCs/>
                <w:color w:val="auto"/>
                <w:sz w:val="28"/>
                <w:szCs w:val="28"/>
              </w:rPr>
            </w:pPr>
            <w:r>
              <w:rPr>
                <w:rFonts w:hint="eastAsia" w:ascii="仿宋_GB2312" w:hAnsi="Times New Roman" w:eastAsia="仿宋_GB2312"/>
                <w:b/>
                <w:bCs/>
                <w:color w:val="auto"/>
                <w:sz w:val="28"/>
                <w:szCs w:val="28"/>
              </w:rPr>
              <w:t>*****************   项目</w:t>
            </w:r>
          </w:p>
          <w:p w14:paraId="0B238F34">
            <w:pPr>
              <w:pStyle w:val="5"/>
              <w:snapToGrid w:val="0"/>
              <w:jc w:val="center"/>
              <w:textAlignment w:val="baseline"/>
              <w:rPr>
                <w:rFonts w:hint="eastAsia" w:ascii="仿宋_GB2312" w:hAnsi="Times New Roman" w:eastAsia="仿宋_GB2312"/>
                <w:b/>
                <w:bCs/>
                <w:color w:val="auto"/>
                <w:sz w:val="28"/>
                <w:szCs w:val="28"/>
              </w:rPr>
            </w:pPr>
          </w:p>
          <w:p w14:paraId="193F6C5A">
            <w:pPr>
              <w:pStyle w:val="5"/>
              <w:snapToGrid w:val="0"/>
              <w:jc w:val="center"/>
              <w:textAlignment w:val="baseline"/>
              <w:rPr>
                <w:rFonts w:hint="eastAsia" w:ascii="仿宋_GB2312" w:hAnsi="Times New Roman" w:eastAsia="仿宋_GB2312"/>
                <w:b/>
                <w:bCs/>
                <w:color w:val="auto"/>
                <w:sz w:val="28"/>
                <w:szCs w:val="28"/>
              </w:rPr>
            </w:pPr>
          </w:p>
          <w:p w14:paraId="68759A16">
            <w:pPr>
              <w:pStyle w:val="5"/>
              <w:snapToGrid w:val="0"/>
              <w:jc w:val="center"/>
              <w:textAlignment w:val="baseline"/>
              <w:rPr>
                <w:rFonts w:hint="eastAsia" w:ascii="仿宋_GB2312" w:hAnsi="Times New Roman" w:eastAsia="仿宋_GB2312"/>
                <w:b/>
                <w:bCs/>
                <w:color w:val="auto"/>
                <w:sz w:val="28"/>
                <w:szCs w:val="28"/>
              </w:rPr>
            </w:pPr>
            <w:r>
              <w:rPr>
                <w:rFonts w:hint="eastAsia" w:ascii="仿宋_GB2312" w:hAnsi="Times New Roman" w:eastAsia="仿宋_GB2312"/>
                <w:b/>
                <w:bCs/>
                <w:color w:val="auto"/>
                <w:sz w:val="28"/>
                <w:szCs w:val="28"/>
              </w:rPr>
              <w:t>响 应 文 件</w:t>
            </w:r>
          </w:p>
          <w:p w14:paraId="0505622E">
            <w:pPr>
              <w:snapToGrid w:val="0"/>
              <w:jc w:val="center"/>
              <w:textAlignment w:val="baseline"/>
              <w:rPr>
                <w:rFonts w:hint="eastAsia" w:ascii="仿宋_GB2312" w:eastAsia="仿宋_GB2312"/>
                <w:b/>
                <w:color w:val="auto"/>
                <w:sz w:val="28"/>
                <w:szCs w:val="28"/>
              </w:rPr>
            </w:pPr>
          </w:p>
          <w:p w14:paraId="49EB5CB8">
            <w:pPr>
              <w:pStyle w:val="10"/>
              <w:snapToGrid w:val="0"/>
              <w:ind w:firstLine="0"/>
              <w:textAlignment w:val="baseline"/>
              <w:rPr>
                <w:rFonts w:hint="eastAsia" w:ascii="仿宋_GB2312" w:eastAsia="仿宋_GB2312"/>
                <w:b/>
                <w:color w:val="auto"/>
                <w:sz w:val="28"/>
                <w:szCs w:val="28"/>
              </w:rPr>
            </w:pPr>
          </w:p>
          <w:p w14:paraId="2CB654EC">
            <w:pPr>
              <w:snapToGrid w:val="0"/>
              <w:spacing w:line="360" w:lineRule="auto"/>
              <w:ind w:left="176" w:leftChars="84" w:firstLine="1120" w:firstLineChars="400"/>
              <w:textAlignment w:val="baseline"/>
              <w:rPr>
                <w:rFonts w:hint="eastAsia" w:ascii="仿宋_GB2312" w:eastAsia="仿宋_GB2312"/>
                <w:color w:val="auto"/>
                <w:sz w:val="28"/>
                <w:szCs w:val="28"/>
              </w:rPr>
            </w:pPr>
            <w:r>
              <w:rPr>
                <w:rFonts w:hint="eastAsia" w:ascii="仿宋_GB2312" w:eastAsia="仿宋_GB2312"/>
                <w:color w:val="auto"/>
                <w:sz w:val="28"/>
                <w:szCs w:val="28"/>
              </w:rPr>
              <w:t>谈判单位：</w:t>
            </w:r>
            <w:r>
              <w:rPr>
                <w:rFonts w:hint="eastAsia" w:ascii="仿宋_GB2312" w:eastAsia="仿宋_GB2312"/>
                <w:color w:val="auto"/>
                <w:sz w:val="28"/>
                <w:szCs w:val="28"/>
                <w:u w:val="single" w:color="000000"/>
              </w:rPr>
              <w:t xml:space="preserve">                                       </w:t>
            </w:r>
            <w:r>
              <w:rPr>
                <w:rFonts w:hint="eastAsia" w:ascii="仿宋_GB2312" w:eastAsia="仿宋_GB2312"/>
                <w:color w:val="auto"/>
                <w:sz w:val="28"/>
                <w:szCs w:val="28"/>
              </w:rPr>
              <w:t>（公章）</w:t>
            </w:r>
          </w:p>
          <w:p w14:paraId="2680568F">
            <w:pPr>
              <w:snapToGrid w:val="0"/>
              <w:spacing w:line="360" w:lineRule="auto"/>
              <w:ind w:left="176" w:leftChars="84" w:firstLine="1120" w:firstLineChars="400"/>
              <w:textAlignment w:val="baseline"/>
              <w:rPr>
                <w:rFonts w:hint="eastAsia" w:ascii="仿宋_GB2312" w:eastAsia="仿宋_GB2312"/>
                <w:color w:val="auto"/>
                <w:sz w:val="28"/>
                <w:szCs w:val="28"/>
                <w:u w:val="single" w:color="000000"/>
              </w:rPr>
            </w:pPr>
            <w:r>
              <w:rPr>
                <w:rFonts w:hint="eastAsia" w:ascii="仿宋_GB2312" w:eastAsia="仿宋_GB2312"/>
                <w:color w:val="auto"/>
                <w:sz w:val="28"/>
                <w:szCs w:val="28"/>
              </w:rPr>
              <w:t>项目名称：</w:t>
            </w:r>
            <w:r>
              <w:rPr>
                <w:rFonts w:hint="eastAsia" w:ascii="仿宋_GB2312" w:eastAsia="仿宋_GB2312"/>
                <w:color w:val="auto"/>
                <w:sz w:val="28"/>
                <w:szCs w:val="28"/>
                <w:u w:val="single" w:color="000000"/>
              </w:rPr>
              <w:t xml:space="preserve">                                          </w:t>
            </w:r>
          </w:p>
          <w:p w14:paraId="3C0CD1B1">
            <w:pPr>
              <w:snapToGrid w:val="0"/>
              <w:spacing w:line="360" w:lineRule="auto"/>
              <w:ind w:left="176" w:leftChars="84" w:firstLine="1120" w:firstLineChars="400"/>
              <w:textAlignment w:val="baseline"/>
              <w:rPr>
                <w:rFonts w:hint="eastAsia" w:ascii="仿宋_GB2312" w:eastAsia="仿宋_GB2312"/>
                <w:color w:val="auto"/>
                <w:sz w:val="28"/>
                <w:szCs w:val="28"/>
                <w:u w:val="single" w:color="000000"/>
              </w:rPr>
            </w:pPr>
            <w:r>
              <w:rPr>
                <w:rFonts w:hint="eastAsia" w:ascii="仿宋_GB2312" w:eastAsia="仿宋_GB2312"/>
                <w:color w:val="auto"/>
                <w:sz w:val="28"/>
                <w:szCs w:val="28"/>
              </w:rPr>
              <w:t>项目编号：</w:t>
            </w:r>
            <w:r>
              <w:rPr>
                <w:rFonts w:hint="eastAsia" w:ascii="仿宋_GB2312" w:eastAsia="仿宋_GB2312"/>
                <w:color w:val="auto"/>
                <w:sz w:val="28"/>
                <w:szCs w:val="28"/>
                <w:u w:val="single" w:color="000000"/>
              </w:rPr>
              <w:t xml:space="preserve">                                        </w:t>
            </w:r>
          </w:p>
          <w:p w14:paraId="4C1F9456">
            <w:pPr>
              <w:snapToGrid w:val="0"/>
              <w:spacing w:line="360" w:lineRule="auto"/>
              <w:ind w:left="176" w:leftChars="84" w:firstLine="1120" w:firstLineChars="400"/>
              <w:textAlignment w:val="baseline"/>
              <w:rPr>
                <w:rFonts w:hint="eastAsia" w:ascii="仿宋_GB2312" w:eastAsia="仿宋_GB2312"/>
                <w:color w:val="auto"/>
                <w:sz w:val="28"/>
                <w:szCs w:val="28"/>
              </w:rPr>
            </w:pPr>
            <w:r>
              <w:rPr>
                <w:rFonts w:hint="eastAsia" w:ascii="仿宋_GB2312" w:eastAsia="仿宋_GB2312"/>
                <w:color w:val="auto"/>
                <w:sz w:val="28"/>
                <w:szCs w:val="28"/>
              </w:rPr>
              <w:t>标 段 号：</w:t>
            </w:r>
            <w:r>
              <w:rPr>
                <w:rFonts w:hint="eastAsia" w:ascii="仿宋_GB2312" w:eastAsia="仿宋_GB2312"/>
                <w:color w:val="auto"/>
                <w:sz w:val="28"/>
                <w:szCs w:val="28"/>
                <w:u w:val="single" w:color="000000"/>
              </w:rPr>
              <w:t xml:space="preserve">                                        </w:t>
            </w:r>
          </w:p>
          <w:p w14:paraId="5505143E">
            <w:pPr>
              <w:snapToGrid w:val="0"/>
              <w:spacing w:line="360" w:lineRule="auto"/>
              <w:ind w:left="176" w:leftChars="84" w:firstLine="1120" w:firstLineChars="400"/>
              <w:textAlignment w:val="baseline"/>
              <w:rPr>
                <w:rFonts w:hint="eastAsia" w:ascii="仿宋_GB2312" w:eastAsia="仿宋_GB2312"/>
                <w:color w:val="auto"/>
                <w:sz w:val="28"/>
                <w:szCs w:val="28"/>
                <w:u w:val="single" w:color="000000"/>
              </w:rPr>
            </w:pPr>
            <w:r>
              <w:rPr>
                <w:rFonts w:hint="eastAsia" w:ascii="仿宋_GB2312" w:eastAsia="仿宋_GB2312"/>
                <w:color w:val="auto"/>
                <w:sz w:val="28"/>
                <w:szCs w:val="28"/>
              </w:rPr>
              <w:t>联 系 人：</w:t>
            </w:r>
            <w:r>
              <w:rPr>
                <w:rFonts w:hint="eastAsia" w:ascii="仿宋_GB2312" w:eastAsia="仿宋_GB2312"/>
                <w:color w:val="auto"/>
                <w:sz w:val="28"/>
                <w:szCs w:val="28"/>
                <w:u w:val="single" w:color="000000"/>
              </w:rPr>
              <w:t xml:space="preserve">                                        </w:t>
            </w:r>
          </w:p>
          <w:p w14:paraId="6F32C3CA">
            <w:pPr>
              <w:snapToGrid w:val="0"/>
              <w:spacing w:line="360" w:lineRule="auto"/>
              <w:ind w:left="176" w:leftChars="84" w:firstLine="1120" w:firstLineChars="400"/>
              <w:textAlignment w:val="baseline"/>
              <w:rPr>
                <w:rFonts w:hint="eastAsia" w:ascii="仿宋_GB2312" w:eastAsia="仿宋_GB2312"/>
                <w:color w:val="auto"/>
                <w:sz w:val="28"/>
                <w:szCs w:val="28"/>
              </w:rPr>
            </w:pPr>
            <w:r>
              <w:rPr>
                <w:rFonts w:hint="eastAsia" w:ascii="仿宋_GB2312" w:eastAsia="仿宋_GB2312"/>
                <w:color w:val="auto"/>
                <w:sz w:val="28"/>
                <w:szCs w:val="28"/>
              </w:rPr>
              <w:t>电    话：</w:t>
            </w:r>
            <w:r>
              <w:rPr>
                <w:rFonts w:hint="eastAsia" w:ascii="仿宋_GB2312" w:eastAsia="仿宋_GB2312"/>
                <w:color w:val="auto"/>
                <w:sz w:val="28"/>
                <w:szCs w:val="28"/>
                <w:u w:val="single" w:color="000000"/>
              </w:rPr>
              <w:t xml:space="preserve">                                        </w:t>
            </w:r>
          </w:p>
          <w:p w14:paraId="4C1B0A5A">
            <w:pPr>
              <w:snapToGrid w:val="0"/>
              <w:spacing w:line="360" w:lineRule="auto"/>
              <w:ind w:left="176" w:leftChars="84" w:firstLine="1120" w:firstLineChars="400"/>
              <w:textAlignment w:val="baseline"/>
              <w:rPr>
                <w:rFonts w:hint="eastAsia" w:ascii="仿宋_GB2312" w:eastAsia="仿宋_GB2312"/>
                <w:color w:val="auto"/>
                <w:sz w:val="28"/>
                <w:szCs w:val="28"/>
                <w:u w:val="single" w:color="000000"/>
              </w:rPr>
            </w:pPr>
            <w:r>
              <w:rPr>
                <w:rFonts w:hint="eastAsia" w:ascii="仿宋_GB2312" w:eastAsia="仿宋_GB2312"/>
                <w:color w:val="auto"/>
                <w:sz w:val="28"/>
                <w:szCs w:val="28"/>
              </w:rPr>
              <w:t xml:space="preserve">地    址  ：  </w:t>
            </w:r>
            <w:r>
              <w:rPr>
                <w:rFonts w:hint="eastAsia" w:ascii="仿宋_GB2312" w:eastAsia="仿宋_GB2312"/>
                <w:color w:val="auto"/>
                <w:sz w:val="28"/>
                <w:szCs w:val="28"/>
                <w:u w:val="single" w:color="000000"/>
              </w:rPr>
              <w:t xml:space="preserve">                                    </w:t>
            </w:r>
          </w:p>
          <w:p w14:paraId="4EA8DE78">
            <w:pPr>
              <w:snapToGrid w:val="0"/>
              <w:spacing w:line="360" w:lineRule="auto"/>
              <w:ind w:left="176" w:leftChars="84" w:firstLine="1120" w:firstLineChars="400"/>
              <w:textAlignment w:val="baseline"/>
              <w:rPr>
                <w:rFonts w:hint="eastAsia" w:ascii="仿宋_GB2312" w:eastAsia="仿宋_GB2312"/>
                <w:color w:val="auto"/>
                <w:sz w:val="28"/>
                <w:szCs w:val="28"/>
              </w:rPr>
            </w:pPr>
          </w:p>
          <w:p w14:paraId="6E4E36FF">
            <w:pPr>
              <w:snapToGrid w:val="0"/>
              <w:jc w:val="center"/>
              <w:textAlignment w:val="baseline"/>
              <w:rPr>
                <w:rFonts w:hint="eastAsia" w:ascii="仿宋_GB2312" w:eastAsia="仿宋_GB2312"/>
                <w:b/>
                <w:bCs/>
                <w:color w:val="auto"/>
                <w:sz w:val="28"/>
                <w:szCs w:val="28"/>
              </w:rPr>
            </w:pPr>
          </w:p>
          <w:p w14:paraId="22756F77">
            <w:pPr>
              <w:snapToGrid w:val="0"/>
              <w:ind w:firstLine="3080" w:firstLineChars="1100"/>
              <w:textAlignment w:val="baseline"/>
              <w:rPr>
                <w:rFonts w:hint="eastAsia" w:ascii="仿宋_GB2312" w:eastAsia="仿宋_GB2312"/>
                <w:b/>
                <w:bCs/>
                <w:color w:val="auto"/>
                <w:sz w:val="28"/>
                <w:szCs w:val="28"/>
              </w:rPr>
            </w:pPr>
            <w:r>
              <w:rPr>
                <w:rFonts w:hint="eastAsia" w:ascii="仿宋_GB2312" w:eastAsia="仿宋_GB2312"/>
                <w:b/>
                <w:bCs/>
                <w:color w:val="auto"/>
                <w:sz w:val="28"/>
                <w:szCs w:val="28"/>
              </w:rPr>
              <w:t>注：    在202*年*月*日*午***之前不得启封</w:t>
            </w:r>
          </w:p>
          <w:p w14:paraId="3F59892B">
            <w:pPr>
              <w:snapToGrid w:val="0"/>
              <w:jc w:val="center"/>
              <w:textAlignment w:val="baseline"/>
              <w:rPr>
                <w:rFonts w:hint="eastAsia" w:ascii="仿宋_GB2312" w:eastAsia="仿宋_GB2312"/>
                <w:b/>
                <w:bCs/>
                <w:color w:val="auto"/>
                <w:sz w:val="28"/>
                <w:szCs w:val="28"/>
              </w:rPr>
            </w:pPr>
          </w:p>
        </w:tc>
      </w:tr>
    </w:tbl>
    <w:p w14:paraId="49DB58BD">
      <w:pPr>
        <w:snapToGrid w:val="0"/>
        <w:spacing w:line="240" w:lineRule="atLeast"/>
        <w:textAlignment w:val="baseline"/>
        <w:rPr>
          <w:rFonts w:eastAsia="方正仿宋简体"/>
          <w:b/>
          <w:color w:val="auto"/>
          <w:sz w:val="28"/>
          <w:szCs w:val="28"/>
        </w:rPr>
      </w:pPr>
      <w:r>
        <w:rPr>
          <w:rFonts w:eastAsia="方正仿宋简体"/>
          <w:color w:val="auto"/>
          <w:sz w:val="28"/>
          <w:szCs w:val="28"/>
        </w:rPr>
        <w:br w:type="page"/>
      </w:r>
    </w:p>
    <w:p w14:paraId="12FE5E78">
      <w:pPr>
        <w:rPr>
          <w:rFonts w:eastAsia="方正仿宋简体"/>
          <w:color w:val="auto"/>
          <w:sz w:val="28"/>
          <w:szCs w:val="28"/>
        </w:rPr>
      </w:pPr>
    </w:p>
    <w:p w14:paraId="2E97149B">
      <w:pPr>
        <w:jc w:val="center"/>
        <w:rPr>
          <w:rFonts w:hint="eastAsia" w:ascii="仿宋_GB2312" w:hAnsi="方正小标宋简体" w:eastAsia="仿宋_GB2312" w:cs="方正小标宋简体"/>
          <w:bCs/>
          <w:color w:val="auto"/>
          <w:sz w:val="48"/>
          <w:szCs w:val="48"/>
        </w:rPr>
      </w:pPr>
      <w:r>
        <w:rPr>
          <w:rFonts w:hint="eastAsia" w:ascii="仿宋_GB2312" w:hAnsi="方正小标宋简体" w:eastAsia="仿宋_GB2312" w:cs="方正小标宋简体"/>
          <w:bCs/>
          <w:color w:val="auto"/>
          <w:sz w:val="48"/>
          <w:szCs w:val="48"/>
        </w:rPr>
        <w:t>喀什地区公安局采购一批打印机硒鼓、耗材项目竞争性谈判文件</w:t>
      </w:r>
    </w:p>
    <w:p w14:paraId="544D8DE1">
      <w:pPr>
        <w:pStyle w:val="10"/>
        <w:ind w:firstLine="0"/>
        <w:rPr>
          <w:rFonts w:hint="eastAsia" w:ascii="仿宋_GB2312" w:eastAsia="仿宋_GB2312"/>
          <w:bCs/>
          <w:color w:val="auto"/>
          <w:sz w:val="28"/>
          <w:szCs w:val="28"/>
        </w:rPr>
      </w:pPr>
    </w:p>
    <w:p w14:paraId="643C89B4">
      <w:pPr>
        <w:rPr>
          <w:rFonts w:hint="eastAsia" w:ascii="仿宋_GB2312" w:eastAsia="仿宋_GB2312"/>
          <w:bCs/>
          <w:color w:val="auto"/>
          <w:sz w:val="28"/>
          <w:szCs w:val="28"/>
        </w:rPr>
      </w:pPr>
    </w:p>
    <w:p w14:paraId="179B708C">
      <w:pPr>
        <w:pStyle w:val="29"/>
        <w:rPr>
          <w:rFonts w:hint="eastAsia" w:ascii="仿宋_GB2312" w:eastAsia="仿宋_GB2312"/>
          <w:bCs/>
          <w:color w:val="auto"/>
          <w:sz w:val="28"/>
          <w:szCs w:val="28"/>
        </w:rPr>
      </w:pPr>
    </w:p>
    <w:p w14:paraId="5BE56E24">
      <w:pPr>
        <w:pStyle w:val="5"/>
        <w:rPr>
          <w:rFonts w:hint="eastAsia" w:ascii="仿宋_GB2312" w:hAnsi="Times New Roman" w:eastAsia="仿宋_GB2312"/>
          <w:bCs/>
          <w:color w:val="auto"/>
          <w:sz w:val="28"/>
          <w:szCs w:val="28"/>
        </w:rPr>
      </w:pPr>
    </w:p>
    <w:p w14:paraId="616619CB">
      <w:pPr>
        <w:rPr>
          <w:rFonts w:hint="eastAsia" w:ascii="仿宋_GB2312" w:eastAsia="仿宋_GB2312"/>
          <w:color w:val="auto"/>
        </w:rPr>
      </w:pPr>
    </w:p>
    <w:p w14:paraId="27C2AE7B">
      <w:pPr>
        <w:spacing w:line="240" w:lineRule="atLeast"/>
        <w:ind w:left="1079" w:leftChars="257" w:hanging="540"/>
        <w:jc w:val="center"/>
        <w:rPr>
          <w:rFonts w:hint="eastAsia" w:ascii="仿宋_GB2312" w:hAnsi="方正小标宋简体" w:eastAsia="仿宋_GB2312" w:cs="方正小标宋简体"/>
          <w:bCs/>
          <w:color w:val="auto"/>
          <w:sz w:val="44"/>
          <w:szCs w:val="44"/>
        </w:rPr>
      </w:pPr>
      <w:r>
        <w:rPr>
          <w:rFonts w:hint="eastAsia" w:ascii="仿宋_GB2312" w:hAnsi="方正小标宋简体" w:eastAsia="仿宋_GB2312" w:cs="方正小标宋简体"/>
          <w:bCs/>
          <w:color w:val="auto"/>
          <w:sz w:val="44"/>
          <w:szCs w:val="44"/>
        </w:rPr>
        <w:t>项目编号：</w:t>
      </w:r>
      <w:r>
        <w:rPr>
          <w:rFonts w:hint="eastAsia" w:ascii="仿宋_GB2312" w:hAnsi="方正小标宋简体" w:eastAsia="仿宋_GB2312" w:cs="方正小标宋简体"/>
          <w:bCs/>
          <w:color w:val="auto"/>
          <w:sz w:val="44"/>
          <w:szCs w:val="44"/>
        </w:rPr>
        <w:t>KSDQ-YY2025(TP)-01号</w:t>
      </w:r>
    </w:p>
    <w:p w14:paraId="68D06084">
      <w:pPr>
        <w:spacing w:line="240" w:lineRule="atLeast"/>
        <w:ind w:left="1079" w:leftChars="257" w:hanging="540"/>
        <w:jc w:val="center"/>
        <w:rPr>
          <w:rFonts w:hint="eastAsia" w:ascii="仿宋_GB2312" w:hAnsi="方正小标宋简体" w:eastAsia="仿宋_GB2312" w:cs="方正小标宋简体"/>
          <w:bCs/>
          <w:color w:val="auto"/>
          <w:sz w:val="44"/>
          <w:szCs w:val="44"/>
        </w:rPr>
      </w:pPr>
    </w:p>
    <w:p w14:paraId="32E7D2C0">
      <w:pPr>
        <w:pStyle w:val="29"/>
        <w:rPr>
          <w:rFonts w:hint="eastAsia" w:ascii="仿宋_GB2312" w:hAnsi="方正小标宋简体" w:eastAsia="仿宋_GB2312" w:cs="方正小标宋简体"/>
          <w:bCs/>
          <w:color w:val="auto"/>
          <w:sz w:val="44"/>
          <w:szCs w:val="44"/>
        </w:rPr>
      </w:pPr>
    </w:p>
    <w:p w14:paraId="2B32F566">
      <w:pPr>
        <w:pStyle w:val="5"/>
        <w:rPr>
          <w:rFonts w:hint="eastAsia" w:ascii="仿宋_GB2312" w:hAnsi="方正小标宋简体" w:eastAsia="仿宋_GB2312" w:cs="方正小标宋简体"/>
          <w:bCs/>
          <w:color w:val="auto"/>
          <w:sz w:val="44"/>
          <w:szCs w:val="44"/>
        </w:rPr>
      </w:pPr>
    </w:p>
    <w:p w14:paraId="78C26A06">
      <w:pPr>
        <w:rPr>
          <w:rFonts w:hint="eastAsia" w:ascii="仿宋_GB2312" w:eastAsia="仿宋_GB2312"/>
          <w:color w:val="auto"/>
        </w:rPr>
      </w:pPr>
    </w:p>
    <w:p w14:paraId="07CD9694">
      <w:pPr>
        <w:jc w:val="center"/>
        <w:rPr>
          <w:rFonts w:ascii="方正小标宋简体" w:hAnsi="方正小标宋简体" w:eastAsia="方正小标宋简体" w:cs="方正小标宋简体"/>
          <w:bCs/>
          <w:color w:val="auto"/>
          <w:sz w:val="44"/>
          <w:szCs w:val="44"/>
        </w:rPr>
        <w:sectPr>
          <w:footerReference r:id="rId11" w:type="default"/>
          <w:pgSz w:w="11906" w:h="16838"/>
          <w:pgMar w:top="1984" w:right="1531" w:bottom="1701" w:left="1531" w:header="851" w:footer="992" w:gutter="0"/>
          <w:cols w:space="720" w:num="1"/>
          <w:docGrid w:type="linesAndChars" w:linePitch="312" w:charSpace="0"/>
        </w:sectPr>
      </w:pPr>
      <w:r>
        <w:rPr>
          <w:rFonts w:hint="eastAsia" w:ascii="仿宋_GB2312" w:hAnsi="方正小标宋简体" w:eastAsia="仿宋_GB2312" w:cs="方正小标宋简体"/>
          <w:bCs/>
          <w:color w:val="auto"/>
          <w:sz w:val="44"/>
          <w:szCs w:val="44"/>
        </w:rPr>
        <w:t>第二册</w:t>
      </w:r>
    </w:p>
    <w:p w14:paraId="60DAAE45">
      <w:pPr>
        <w:pStyle w:val="7"/>
        <w:tabs>
          <w:tab w:val="left" w:pos="0"/>
        </w:tabs>
        <w:snapToGrid w:val="0"/>
        <w:spacing w:before="0" w:after="240" w:afterLines="100" w:line="240" w:lineRule="auto"/>
        <w:textAlignment w:val="baseline"/>
        <w:rPr>
          <w:rFonts w:hint="eastAsia" w:ascii="仿宋_GB2312" w:eastAsia="仿宋_GB2312"/>
          <w:color w:val="auto"/>
          <w:szCs w:val="32"/>
        </w:rPr>
      </w:pPr>
      <w:bookmarkStart w:id="769" w:name="_Toc19333"/>
      <w:r>
        <w:rPr>
          <w:rFonts w:hint="eastAsia" w:ascii="仿宋_GB2312" w:eastAsia="仿宋_GB2312"/>
          <w:color w:val="auto"/>
          <w:szCs w:val="32"/>
        </w:rPr>
        <w:t>第3章 谈判邀请</w:t>
      </w:r>
      <w:bookmarkEnd w:id="761"/>
      <w:bookmarkEnd w:id="762"/>
      <w:bookmarkEnd w:id="763"/>
      <w:bookmarkEnd w:id="764"/>
      <w:bookmarkEnd w:id="765"/>
      <w:bookmarkEnd w:id="766"/>
      <w:bookmarkEnd w:id="767"/>
      <w:bookmarkEnd w:id="769"/>
    </w:p>
    <w:p w14:paraId="46996FAB">
      <w:pPr>
        <w:keepNext/>
        <w:keepLines/>
        <w:tabs>
          <w:tab w:val="left" w:pos="0"/>
        </w:tabs>
        <w:autoSpaceDE w:val="0"/>
        <w:autoSpaceDN w:val="0"/>
        <w:adjustRightInd w:val="0"/>
        <w:spacing w:line="560" w:lineRule="exact"/>
        <w:jc w:val="center"/>
        <w:rPr>
          <w:rFonts w:hint="eastAsia" w:ascii="仿宋_GB2312" w:eastAsia="仿宋_GB2312"/>
          <w:b/>
          <w:bCs/>
          <w:color w:val="auto"/>
          <w:kern w:val="44"/>
          <w:sz w:val="24"/>
        </w:rPr>
      </w:pPr>
      <w:bookmarkStart w:id="770" w:name="_Toc35393797"/>
      <w:bookmarkStart w:id="771" w:name="_Toc28359011"/>
      <w:bookmarkStart w:id="772" w:name="_Toc216582823"/>
      <w:bookmarkStart w:id="773" w:name="_Toc512937850"/>
      <w:bookmarkStart w:id="774" w:name="_Toc10488"/>
      <w:bookmarkStart w:id="775" w:name="_Toc507399903"/>
      <w:bookmarkStart w:id="776" w:name="_Toc31583"/>
      <w:bookmarkStart w:id="777" w:name="_Toc515647830"/>
      <w:r>
        <w:rPr>
          <w:rFonts w:hint="eastAsia" w:ascii="仿宋_GB2312" w:eastAsia="仿宋_GB2312"/>
          <w:b/>
          <w:bCs/>
          <w:color w:val="auto"/>
          <w:kern w:val="44"/>
          <w:sz w:val="24"/>
        </w:rPr>
        <w:t>喀什地区公安局采购一批打印机硒鼓、耗材项目竞争性谈判公告</w:t>
      </w:r>
      <w:bookmarkEnd w:id="770"/>
      <w:bookmarkEnd w:id="771"/>
    </w:p>
    <w:p w14:paraId="2CA38B5B">
      <w:pPr>
        <w:spacing w:line="400" w:lineRule="exact"/>
        <w:rPr>
          <w:rFonts w:eastAsia="方正仿宋简体"/>
          <w:color w:val="auto"/>
          <w:sz w:val="28"/>
          <w:szCs w:val="28"/>
        </w:rPr>
      </w:pPr>
    </w:p>
    <w:p w14:paraId="45ACBB0C">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项目概况</w:t>
      </w:r>
    </w:p>
    <w:p w14:paraId="51874B80">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u w:val="single"/>
        </w:rPr>
        <w:t>喀什地区公安局采购一批打印机硒鼓、耗材项目</w:t>
      </w:r>
      <w:r>
        <w:rPr>
          <w:rFonts w:hint="eastAsia" w:ascii="仿宋_GB2312" w:eastAsia="仿宋_GB2312"/>
          <w:color w:val="auto"/>
          <w:sz w:val="24"/>
        </w:rPr>
        <w:t>的潜在供应商应在</w:t>
      </w:r>
      <w:r>
        <w:rPr>
          <w:rFonts w:hint="eastAsia" w:ascii="仿宋_GB2312" w:eastAsia="仿宋_GB2312"/>
          <w:color w:val="auto"/>
          <w:sz w:val="24"/>
          <w:u w:val="single"/>
        </w:rPr>
        <w:t>政采云平台（https://www.zcygov.cn/） </w:t>
      </w:r>
      <w:r>
        <w:rPr>
          <w:rFonts w:hint="eastAsia" w:ascii="仿宋_GB2312" w:eastAsia="仿宋_GB2312"/>
          <w:color w:val="auto"/>
          <w:sz w:val="24"/>
        </w:rPr>
        <w:t>获取采购文件，并于</w:t>
      </w:r>
      <w:r>
        <w:rPr>
          <w:rFonts w:hint="eastAsia" w:ascii="仿宋_GB2312" w:eastAsia="仿宋_GB2312"/>
          <w:color w:val="auto"/>
          <w:sz w:val="24"/>
          <w:u w:val="single"/>
        </w:rPr>
        <w:t>2025年7月</w:t>
      </w:r>
      <w:r>
        <w:rPr>
          <w:rFonts w:hint="eastAsia" w:ascii="仿宋_GB2312" w:eastAsia="仿宋_GB2312"/>
          <w:color w:val="auto"/>
          <w:sz w:val="24"/>
          <w:u w:val="single"/>
          <w:lang w:val="en-US" w:eastAsia="zh-CN"/>
        </w:rPr>
        <w:t>23</w:t>
      </w:r>
      <w:r>
        <w:rPr>
          <w:rFonts w:hint="eastAsia" w:ascii="仿宋_GB2312" w:eastAsia="仿宋_GB2312"/>
          <w:color w:val="auto"/>
          <w:sz w:val="24"/>
          <w:u w:val="single"/>
        </w:rPr>
        <w:t>日11点00分</w:t>
      </w:r>
      <w:r>
        <w:rPr>
          <w:rFonts w:hint="eastAsia" w:ascii="仿宋_GB2312" w:eastAsia="仿宋_GB2312"/>
          <w:bCs/>
          <w:color w:val="auto"/>
          <w:sz w:val="24"/>
        </w:rPr>
        <w:t>（北京时间）前提交响应文件</w:t>
      </w:r>
      <w:r>
        <w:rPr>
          <w:rFonts w:hint="eastAsia" w:ascii="仿宋_GB2312" w:eastAsia="仿宋_GB2312"/>
          <w:color w:val="auto"/>
          <w:sz w:val="24"/>
        </w:rPr>
        <w:t>。</w:t>
      </w:r>
    </w:p>
    <w:p w14:paraId="22C60260">
      <w:pPr>
        <w:keepNext/>
        <w:keepLines/>
        <w:spacing w:line="360" w:lineRule="exact"/>
        <w:ind w:firstLine="480" w:firstLineChars="200"/>
        <w:jc w:val="left"/>
        <w:rPr>
          <w:rFonts w:hint="eastAsia" w:ascii="仿宋_GB2312" w:hAnsi="方正黑体简体" w:eastAsia="仿宋_GB2312" w:cs="方正黑体简体"/>
          <w:bCs/>
          <w:color w:val="auto"/>
          <w:sz w:val="24"/>
        </w:rPr>
      </w:pPr>
      <w:bookmarkStart w:id="778" w:name="_Toc28359089"/>
      <w:bookmarkStart w:id="779" w:name="_Toc35393629"/>
      <w:bookmarkStart w:id="780" w:name="_Toc35393798"/>
      <w:bookmarkStart w:id="781" w:name="_Toc28359012"/>
      <w:r>
        <w:rPr>
          <w:rFonts w:hint="eastAsia" w:ascii="仿宋_GB2312" w:hAnsi="方正黑体简体" w:eastAsia="仿宋_GB2312" w:cs="方正黑体简体"/>
          <w:bCs/>
          <w:color w:val="auto"/>
          <w:sz w:val="24"/>
        </w:rPr>
        <w:t>一、项目基本情况</w:t>
      </w:r>
      <w:bookmarkEnd w:id="778"/>
      <w:bookmarkEnd w:id="779"/>
      <w:bookmarkEnd w:id="780"/>
      <w:bookmarkEnd w:id="781"/>
    </w:p>
    <w:p w14:paraId="1055F610">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1、项目编号：KSDQ-YY2025(TP)-01号</w:t>
      </w:r>
    </w:p>
    <w:p w14:paraId="10220034">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2、项目名称：喀什地区公安局采购一批打印机硒鼓、耗材项目</w:t>
      </w:r>
    </w:p>
    <w:p w14:paraId="6FBCFBB9">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3、采购方式：竞争性谈判</w:t>
      </w:r>
    </w:p>
    <w:p w14:paraId="418CEECF">
      <w:pPr>
        <w:pStyle w:val="29"/>
        <w:ind w:firstLine="480" w:firstLineChars="200"/>
        <w:rPr>
          <w:rFonts w:hint="eastAsia" w:ascii="仿宋_GB2312" w:eastAsia="仿宋_GB2312"/>
          <w:color w:val="auto"/>
          <w:sz w:val="24"/>
        </w:rPr>
      </w:pPr>
      <w:r>
        <w:rPr>
          <w:rFonts w:hint="eastAsia" w:ascii="仿宋_GB2312" w:eastAsia="仿宋_GB2312"/>
          <w:color w:val="auto"/>
          <w:sz w:val="24"/>
        </w:rPr>
        <w:t>4、预算总金额：</w:t>
      </w:r>
      <w:r>
        <w:rPr>
          <w:rFonts w:hint="eastAsia" w:ascii="仿宋_GB2312" w:eastAsia="仿宋_GB2312"/>
          <w:color w:val="auto"/>
          <w:sz w:val="24"/>
          <w:lang w:val="en-US" w:eastAsia="zh-CN"/>
        </w:rPr>
        <w:t>29</w:t>
      </w:r>
      <w:r>
        <w:rPr>
          <w:rFonts w:hint="eastAsia" w:ascii="仿宋_GB2312" w:eastAsia="仿宋_GB2312"/>
          <w:color w:val="auto"/>
          <w:sz w:val="24"/>
        </w:rPr>
        <w:t>万元</w:t>
      </w:r>
    </w:p>
    <w:p w14:paraId="1A030097">
      <w:pPr>
        <w:pStyle w:val="29"/>
        <w:ind w:firstLine="480" w:firstLineChars="200"/>
        <w:rPr>
          <w:rFonts w:hint="eastAsia" w:ascii="仿宋_GB2312" w:eastAsia="仿宋_GB2312"/>
          <w:color w:val="auto"/>
          <w:sz w:val="24"/>
        </w:rPr>
      </w:pPr>
      <w:r>
        <w:rPr>
          <w:rFonts w:hint="eastAsia" w:ascii="仿宋_GB2312" w:eastAsia="仿宋_GB2312"/>
          <w:color w:val="auto"/>
          <w:sz w:val="24"/>
        </w:rPr>
        <w:t xml:space="preserve">5、最高总限价: </w:t>
      </w:r>
      <w:r>
        <w:rPr>
          <w:rFonts w:hint="eastAsia" w:ascii="仿宋_GB2312" w:eastAsia="仿宋_GB2312"/>
          <w:color w:val="auto"/>
          <w:sz w:val="24"/>
          <w:lang w:val="en-US" w:eastAsia="zh-CN"/>
        </w:rPr>
        <w:t>29</w:t>
      </w:r>
      <w:r>
        <w:rPr>
          <w:rFonts w:hint="eastAsia" w:ascii="仿宋_GB2312" w:eastAsia="仿宋_GB2312"/>
          <w:color w:val="auto"/>
          <w:sz w:val="24"/>
        </w:rPr>
        <w:t>万元</w:t>
      </w:r>
    </w:p>
    <w:p w14:paraId="68AB10AB">
      <w:pPr>
        <w:pStyle w:val="29"/>
        <w:ind w:left="1039" w:leftChars="266" w:hanging="480" w:hangingChars="200"/>
        <w:rPr>
          <w:rFonts w:hint="eastAsia" w:ascii="仿宋_GB2312" w:eastAsia="仿宋_GB2312"/>
          <w:color w:val="auto"/>
          <w:sz w:val="24"/>
        </w:rPr>
      </w:pPr>
      <w:r>
        <w:rPr>
          <w:rFonts w:hint="eastAsia" w:ascii="仿宋_GB2312" w:eastAsia="仿宋_GB2312"/>
          <w:color w:val="auto"/>
          <w:sz w:val="24"/>
        </w:rPr>
        <w:t>6、采购内容：</w:t>
      </w:r>
      <w:bookmarkStart w:id="782" w:name="_Toc35393630"/>
      <w:bookmarkStart w:id="783" w:name="_Toc28359090"/>
      <w:bookmarkStart w:id="784" w:name="_Toc35393799"/>
      <w:bookmarkStart w:id="785" w:name="_Toc28359013"/>
      <w:r>
        <w:rPr>
          <w:rFonts w:hint="eastAsia" w:ascii="仿宋_GB2312" w:eastAsia="仿宋_GB2312"/>
          <w:color w:val="auto"/>
          <w:sz w:val="24"/>
        </w:rPr>
        <w:t>采购一批打印机硒鼓、耗材</w:t>
      </w:r>
    </w:p>
    <w:p w14:paraId="4EDD0006">
      <w:pPr>
        <w:keepNext/>
        <w:keepLines/>
        <w:spacing w:line="360" w:lineRule="exact"/>
        <w:ind w:firstLine="480" w:firstLineChars="200"/>
        <w:jc w:val="left"/>
        <w:rPr>
          <w:rFonts w:hint="eastAsia" w:ascii="仿宋_GB2312" w:hAnsi="方正黑体简体" w:eastAsia="仿宋_GB2312" w:cs="方正黑体简体"/>
          <w:bCs/>
          <w:color w:val="auto"/>
          <w:sz w:val="24"/>
        </w:rPr>
      </w:pPr>
      <w:r>
        <w:rPr>
          <w:rFonts w:hint="eastAsia" w:ascii="仿宋_GB2312" w:hAnsi="方正黑体简体" w:eastAsia="仿宋_GB2312" w:cs="方正黑体简体"/>
          <w:bCs/>
          <w:color w:val="auto"/>
          <w:sz w:val="24"/>
        </w:rPr>
        <w:t>二、供应商资格要求</w:t>
      </w:r>
      <w:bookmarkEnd w:id="782"/>
      <w:bookmarkEnd w:id="783"/>
      <w:bookmarkEnd w:id="784"/>
      <w:bookmarkEnd w:id="785"/>
      <w:bookmarkStart w:id="786" w:name="_Toc35393801"/>
      <w:bookmarkStart w:id="787" w:name="_Toc28359092"/>
      <w:bookmarkStart w:id="788" w:name="_Toc35393632"/>
      <w:bookmarkStart w:id="789" w:name="_Toc28359015"/>
    </w:p>
    <w:p w14:paraId="172A1F3F">
      <w:pPr>
        <w:pStyle w:val="36"/>
        <w:widowControl/>
        <w:spacing w:line="360" w:lineRule="exact"/>
        <w:ind w:firstLine="480" w:firstLineChars="200"/>
        <w:rPr>
          <w:rFonts w:hint="eastAsia" w:ascii="仿宋_GB2312" w:eastAsia="仿宋_GB2312"/>
          <w:color w:val="auto"/>
        </w:rPr>
      </w:pPr>
      <w:r>
        <w:rPr>
          <w:rFonts w:hint="eastAsia" w:ascii="仿宋_GB2312" w:eastAsia="仿宋_GB2312"/>
          <w:color w:val="auto"/>
        </w:rPr>
        <w:t>满足《中华人民共和国政府采购法》第二十二条规定；</w:t>
      </w:r>
    </w:p>
    <w:p w14:paraId="4604C423">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（1）企业三证合一的法人营业执照或含二维码的营业执照；</w:t>
      </w:r>
    </w:p>
    <w:p w14:paraId="4116B726">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 xml:space="preserve">（2）法定代表人授权书及被授权人身份证，法人资格证明，法人本人参与投标提供法人身份证；  </w:t>
      </w:r>
    </w:p>
    <w:p w14:paraId="03CE3A92">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3）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p w14:paraId="1F9F0CB9">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（4）2024年的财务审计报告与健全的财务会计制度（新成立的公司近三个月内的银行资信证明与健全的财务会计制度）；</w:t>
      </w:r>
    </w:p>
    <w:p w14:paraId="3C85E81C">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（5）缴纳税收近半年任意1个月的完税证明（零申报请出具税务部门加盖公章的证明材料或无欠款税收证明）；</w:t>
      </w:r>
    </w:p>
    <w:p w14:paraId="669AA62B">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（6）根据《财政部关于在政府采购活动中查询及使用信用记录有关问题的通知》（财库</w:t>
      </w:r>
      <w:r>
        <w:rPr>
          <w:rFonts w:hint="eastAsia" w:ascii="宋体" w:hAnsi="宋体" w:cs="宋体"/>
          <w:b/>
          <w:bCs/>
          <w:color w:val="auto"/>
          <w:sz w:val="24"/>
        </w:rPr>
        <w:t>﹝</w:t>
      </w:r>
      <w:r>
        <w:rPr>
          <w:rFonts w:hint="eastAsia" w:ascii="仿宋_GB2312" w:eastAsia="仿宋_GB2312"/>
          <w:b/>
          <w:bCs/>
          <w:color w:val="auto"/>
          <w:sz w:val="24"/>
        </w:rPr>
        <w:t>2016</w:t>
      </w:r>
      <w:r>
        <w:rPr>
          <w:rFonts w:hint="eastAsia" w:ascii="宋体" w:hAnsi="宋体" w:cs="宋体"/>
          <w:b/>
          <w:bCs/>
          <w:color w:val="auto"/>
          <w:sz w:val="24"/>
        </w:rPr>
        <w:t>﹞</w:t>
      </w:r>
      <w:r>
        <w:rPr>
          <w:rFonts w:hint="eastAsia" w:ascii="仿宋_GB2312" w:eastAsia="仿宋_GB2312"/>
          <w:b/>
          <w:bCs/>
          <w:color w:val="auto"/>
          <w:sz w:val="24"/>
        </w:rPr>
        <w:t>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43AAC611">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（7）在参加政府采购活动中前三年内无重大违法记录的承诺书；</w:t>
      </w:r>
    </w:p>
    <w:p w14:paraId="69856FB3">
      <w:pPr>
        <w:snapToGrid w:val="0"/>
        <w:spacing w:line="380" w:lineRule="exact"/>
        <w:ind w:left="1037" w:leftChars="494"/>
        <w:textAlignment w:val="baseline"/>
        <w:rPr>
          <w:rFonts w:hint="eastAsia" w:ascii="仿宋_GB2312" w:eastAsia="仿宋_GB2312"/>
          <w:b/>
          <w:bCs/>
          <w:color w:val="auto"/>
          <w:sz w:val="24"/>
        </w:rPr>
      </w:pPr>
      <w:r>
        <w:rPr>
          <w:rFonts w:hint="eastAsia" w:ascii="仿宋_GB2312" w:eastAsia="仿宋_GB2312"/>
          <w:b/>
          <w:bCs/>
          <w:color w:val="auto"/>
          <w:sz w:val="24"/>
        </w:rPr>
        <w:t>（8）提供针对本次项目《反商业贿赂承诺书》书面声明；</w:t>
      </w:r>
    </w:p>
    <w:p w14:paraId="38604CBC">
      <w:pPr>
        <w:snapToGrid w:val="0"/>
        <w:spacing w:line="380" w:lineRule="exact"/>
        <w:ind w:left="1037" w:leftChars="494"/>
        <w:textAlignment w:val="baseline"/>
        <w:rPr>
          <w:color w:val="auto"/>
        </w:rPr>
      </w:pPr>
      <w:r>
        <w:rPr>
          <w:rFonts w:hint="eastAsia"/>
          <w:color w:val="auto"/>
        </w:rPr>
        <w:t xml:space="preserve"> </w:t>
      </w:r>
      <w:r>
        <w:rPr>
          <w:rFonts w:hint="eastAsia" w:ascii="仿宋_GB2312" w:eastAsia="仿宋_GB2312"/>
          <w:b/>
          <w:bCs/>
          <w:color w:val="auto"/>
          <w:sz w:val="24"/>
        </w:rPr>
        <w:t>（9）中小企业声明函；</w:t>
      </w:r>
    </w:p>
    <w:p w14:paraId="0110F41C">
      <w:pPr>
        <w:keepNext/>
        <w:keepLines/>
        <w:spacing w:line="360" w:lineRule="exact"/>
        <w:ind w:firstLine="720" w:firstLineChars="300"/>
        <w:jc w:val="left"/>
        <w:rPr>
          <w:rFonts w:hint="eastAsia" w:ascii="仿宋_GB2312" w:hAnsi="方正黑体简体" w:eastAsia="仿宋_GB2312" w:cs="方正黑体简体"/>
          <w:bCs/>
          <w:color w:val="auto"/>
          <w:kern w:val="0"/>
          <w:sz w:val="24"/>
        </w:rPr>
      </w:pPr>
      <w:r>
        <w:rPr>
          <w:rFonts w:hint="eastAsia" w:ascii="仿宋_GB2312" w:hAnsi="方正黑体简体" w:eastAsia="仿宋_GB2312" w:cs="方正黑体简体"/>
          <w:bCs/>
          <w:color w:val="auto"/>
          <w:sz w:val="24"/>
        </w:rPr>
        <w:t>三、获取谈判文件</w:t>
      </w:r>
    </w:p>
    <w:p w14:paraId="52D03927">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时间：2025年7月</w:t>
      </w:r>
      <w:r>
        <w:rPr>
          <w:rFonts w:hint="eastAsia" w:ascii="仿宋_GB2312" w:eastAsia="仿宋_GB2312"/>
          <w:color w:val="auto"/>
          <w:sz w:val="24"/>
          <w:lang w:val="en-US" w:eastAsia="zh-CN"/>
        </w:rPr>
        <w:t>18</w:t>
      </w:r>
      <w:r>
        <w:rPr>
          <w:rFonts w:hint="eastAsia" w:ascii="仿宋_GB2312" w:eastAsia="仿宋_GB2312"/>
          <w:color w:val="auto"/>
          <w:sz w:val="24"/>
        </w:rPr>
        <w:t>日至2025年7月</w:t>
      </w:r>
      <w:r>
        <w:rPr>
          <w:rFonts w:hint="eastAsia" w:ascii="仿宋_GB2312" w:eastAsia="仿宋_GB2312"/>
          <w:color w:val="auto"/>
          <w:sz w:val="24"/>
          <w:lang w:val="en-US" w:eastAsia="zh-CN"/>
        </w:rPr>
        <w:t>22</w:t>
      </w:r>
      <w:r>
        <w:rPr>
          <w:rFonts w:hint="eastAsia" w:ascii="仿宋_GB2312" w:eastAsia="仿宋_GB2312"/>
          <w:color w:val="auto"/>
          <w:sz w:val="24"/>
        </w:rPr>
        <w:t>日（每日上午00：00至12:00，下午12:00至23:59 北京时间，节假日除外）</w:t>
      </w:r>
    </w:p>
    <w:p w14:paraId="41FC2EEF">
      <w:pPr>
        <w:keepNext/>
        <w:keepLines/>
        <w:spacing w:line="360" w:lineRule="exact"/>
        <w:ind w:firstLine="480" w:firstLineChars="200"/>
        <w:jc w:val="left"/>
        <w:rPr>
          <w:rFonts w:hint="eastAsia" w:ascii="仿宋_GB2312" w:eastAsia="仿宋_GB2312"/>
          <w:color w:val="auto"/>
          <w:sz w:val="24"/>
        </w:rPr>
      </w:pPr>
      <w:r>
        <w:rPr>
          <w:rFonts w:hint="eastAsia" w:ascii="仿宋_GB2312" w:eastAsia="仿宋_GB2312"/>
          <w:color w:val="auto"/>
          <w:sz w:val="24"/>
        </w:rPr>
        <w:t>获取方式：供应商登录政采云平台https://www.zcygov.cn/在线申请获取采购文件（登录政府采购云平台 → 项目采购 → 获取采购文件 → 申请，审核通过后可下载招标文件，如有操作性问题，可与政采云在线客服进行咨询，咨询电话：400-881-7190）；供应商获取招标文件前应注册成为政府采购云平台正式供应商。</w:t>
      </w:r>
    </w:p>
    <w:p w14:paraId="393E3E38">
      <w:pPr>
        <w:keepNext/>
        <w:keepLines/>
        <w:spacing w:line="360" w:lineRule="exact"/>
        <w:ind w:firstLine="480" w:firstLineChars="200"/>
        <w:jc w:val="left"/>
        <w:rPr>
          <w:rFonts w:hint="eastAsia" w:ascii="仿宋_GB2312" w:eastAsia="仿宋_GB2312"/>
          <w:color w:val="auto"/>
          <w:sz w:val="24"/>
        </w:rPr>
      </w:pPr>
      <w:r>
        <w:rPr>
          <w:rFonts w:hint="eastAsia" w:ascii="仿宋_GB2312" w:eastAsia="仿宋_GB2312"/>
          <w:color w:val="auto"/>
          <w:sz w:val="24"/>
        </w:rPr>
        <w:t>获取地点：政采云平台（https://www.zcygov.cn/） </w:t>
      </w:r>
    </w:p>
    <w:p w14:paraId="3486BB15">
      <w:pPr>
        <w:keepNext/>
        <w:keepLines/>
        <w:spacing w:line="360" w:lineRule="exact"/>
        <w:ind w:firstLine="720" w:firstLineChars="300"/>
        <w:jc w:val="left"/>
        <w:rPr>
          <w:rFonts w:hint="eastAsia" w:ascii="仿宋_GB2312" w:hAnsi="方正黑体简体" w:eastAsia="仿宋_GB2312" w:cs="方正黑体简体"/>
          <w:bCs/>
          <w:color w:val="auto"/>
          <w:sz w:val="24"/>
        </w:rPr>
      </w:pPr>
      <w:r>
        <w:rPr>
          <w:rFonts w:hint="eastAsia" w:ascii="仿宋_GB2312" w:hAnsi="方正黑体简体" w:eastAsia="仿宋_GB2312" w:cs="方正黑体简体"/>
          <w:bCs/>
          <w:color w:val="auto"/>
          <w:sz w:val="24"/>
        </w:rPr>
        <w:t>四、</w:t>
      </w:r>
      <w:bookmarkEnd w:id="786"/>
      <w:bookmarkEnd w:id="787"/>
      <w:bookmarkEnd w:id="788"/>
      <w:bookmarkEnd w:id="789"/>
      <w:r>
        <w:rPr>
          <w:rFonts w:hint="eastAsia" w:ascii="仿宋_GB2312" w:hAnsi="方正黑体简体" w:eastAsia="仿宋_GB2312" w:cs="方正黑体简体"/>
          <w:bCs/>
          <w:color w:val="auto"/>
          <w:sz w:val="24"/>
        </w:rPr>
        <w:t>提交投标文件截止时间、开标时间和地点</w:t>
      </w:r>
    </w:p>
    <w:p w14:paraId="1BB34DBF">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提交响应文件截止时间：2025年7月</w:t>
      </w:r>
      <w:r>
        <w:rPr>
          <w:rFonts w:hint="eastAsia" w:ascii="仿宋_GB2312" w:eastAsia="仿宋_GB2312"/>
          <w:color w:val="auto"/>
          <w:sz w:val="24"/>
          <w:lang w:val="en-US" w:eastAsia="zh-CN"/>
        </w:rPr>
        <w:t>23</w:t>
      </w:r>
      <w:r>
        <w:rPr>
          <w:rFonts w:hint="eastAsia" w:ascii="仿宋_GB2312" w:eastAsia="仿宋_GB2312"/>
          <w:color w:val="auto"/>
          <w:sz w:val="24"/>
        </w:rPr>
        <w:t>日上午11:00（北京时间）</w:t>
      </w:r>
    </w:p>
    <w:p w14:paraId="111C8D09">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投标地点：请登录政采云投标客户端投标</w:t>
      </w:r>
    </w:p>
    <w:p w14:paraId="23D2248B">
      <w:pPr>
        <w:spacing w:line="360" w:lineRule="exact"/>
        <w:ind w:firstLine="480" w:firstLineChars="200"/>
        <w:rPr>
          <w:rFonts w:hint="eastAsia" w:ascii="仿宋_GB2312" w:eastAsia="仿宋_GB2312"/>
          <w:color w:val="auto"/>
          <w:sz w:val="24"/>
        </w:rPr>
      </w:pPr>
      <w:r>
        <w:rPr>
          <w:rFonts w:hint="eastAsia" w:ascii="仿宋_GB2312" w:eastAsia="仿宋_GB2312"/>
          <w:color w:val="auto"/>
          <w:sz w:val="24"/>
        </w:rPr>
        <w:t>开标时间：2025年7月</w:t>
      </w:r>
      <w:r>
        <w:rPr>
          <w:rFonts w:hint="eastAsia" w:ascii="仿宋_GB2312" w:eastAsia="仿宋_GB2312"/>
          <w:color w:val="auto"/>
          <w:sz w:val="24"/>
          <w:lang w:val="en-US" w:eastAsia="zh-CN"/>
        </w:rPr>
        <w:t>23</w:t>
      </w:r>
      <w:r>
        <w:rPr>
          <w:rFonts w:hint="eastAsia" w:ascii="仿宋_GB2312" w:eastAsia="仿宋_GB2312"/>
          <w:color w:val="auto"/>
          <w:sz w:val="24"/>
        </w:rPr>
        <w:t>日上午11:00（北京时间）</w:t>
      </w:r>
    </w:p>
    <w:p w14:paraId="44A04578">
      <w:pPr>
        <w:keepNext/>
        <w:keepLines/>
        <w:spacing w:line="360" w:lineRule="exact"/>
        <w:ind w:firstLine="480" w:firstLineChars="200"/>
        <w:rPr>
          <w:rFonts w:ascii="仿宋" w:hAnsi="仿宋" w:eastAsia="仿宋"/>
          <w:color w:val="auto"/>
          <w:sz w:val="24"/>
        </w:rPr>
      </w:pPr>
      <w:r>
        <w:rPr>
          <w:rFonts w:ascii="仿宋" w:hAnsi="仿宋" w:eastAsia="仿宋"/>
          <w:color w:val="auto"/>
          <w:sz w:val="24"/>
        </w:rPr>
        <w:t>开标地点：</w:t>
      </w:r>
      <w:bookmarkStart w:id="790" w:name="_Toc35393802"/>
      <w:bookmarkStart w:id="791" w:name="_Toc35393633"/>
      <w:bookmarkStart w:id="792" w:name="_Toc28359093"/>
      <w:bookmarkStart w:id="793" w:name="_Toc28359016"/>
      <w:r>
        <w:rPr>
          <w:rFonts w:ascii="仿宋" w:hAnsi="仿宋" w:eastAsia="仿宋"/>
          <w:color w:val="auto"/>
          <w:sz w:val="24"/>
        </w:rPr>
        <w:t>政采云平台--不见面开标大厅</w:t>
      </w:r>
    </w:p>
    <w:p w14:paraId="0488A3EA">
      <w:pPr>
        <w:keepNext/>
        <w:keepLines/>
        <w:spacing w:line="360" w:lineRule="exact"/>
        <w:ind w:firstLine="720" w:firstLineChars="300"/>
        <w:jc w:val="left"/>
        <w:rPr>
          <w:rFonts w:ascii="仿宋" w:hAnsi="仿宋" w:eastAsia="仿宋" w:cs="方正黑体简体"/>
          <w:bCs/>
          <w:color w:val="auto"/>
          <w:sz w:val="24"/>
        </w:rPr>
      </w:pPr>
      <w:r>
        <w:rPr>
          <w:rFonts w:ascii="仿宋" w:hAnsi="仿宋" w:eastAsia="仿宋" w:cs="方正黑体简体"/>
          <w:bCs/>
          <w:color w:val="auto"/>
          <w:sz w:val="24"/>
        </w:rPr>
        <w:t>五、</w:t>
      </w:r>
      <w:bookmarkEnd w:id="790"/>
      <w:bookmarkEnd w:id="791"/>
      <w:bookmarkEnd w:id="792"/>
      <w:bookmarkEnd w:id="793"/>
      <w:bookmarkStart w:id="794" w:name="_Toc28359094"/>
      <w:bookmarkStart w:id="795" w:name="_Toc35393634"/>
      <w:bookmarkStart w:id="796" w:name="_Toc35393803"/>
      <w:bookmarkStart w:id="797" w:name="_Toc28359017"/>
      <w:r>
        <w:rPr>
          <w:rFonts w:ascii="仿宋" w:hAnsi="仿宋" w:eastAsia="仿宋" w:cs="方正黑体简体"/>
          <w:bCs/>
          <w:color w:val="auto"/>
          <w:sz w:val="24"/>
        </w:rPr>
        <w:t>公告期限</w:t>
      </w:r>
      <w:bookmarkEnd w:id="794"/>
      <w:bookmarkEnd w:id="795"/>
      <w:bookmarkEnd w:id="796"/>
      <w:bookmarkEnd w:id="797"/>
    </w:p>
    <w:p w14:paraId="0903FC5D">
      <w:pPr>
        <w:spacing w:line="360" w:lineRule="exact"/>
        <w:ind w:firstLine="480" w:firstLineChars="200"/>
        <w:rPr>
          <w:rFonts w:ascii="仿宋" w:hAnsi="仿宋" w:eastAsia="仿宋"/>
          <w:color w:val="auto"/>
          <w:kern w:val="0"/>
          <w:sz w:val="24"/>
        </w:rPr>
      </w:pPr>
      <w:r>
        <w:rPr>
          <w:rFonts w:ascii="仿宋" w:hAnsi="仿宋" w:eastAsia="仿宋"/>
          <w:color w:val="auto"/>
          <w:kern w:val="0"/>
          <w:sz w:val="24"/>
        </w:rPr>
        <w:t>自本公告发布之日起3个工作日。</w:t>
      </w:r>
    </w:p>
    <w:p w14:paraId="6DA04DC7">
      <w:pPr>
        <w:keepNext/>
        <w:keepLines/>
        <w:spacing w:line="360" w:lineRule="exact"/>
        <w:ind w:firstLine="720" w:firstLineChars="300"/>
        <w:jc w:val="left"/>
        <w:rPr>
          <w:rFonts w:ascii="仿宋" w:hAnsi="仿宋" w:eastAsia="仿宋" w:cs="方正黑体简体"/>
          <w:bCs/>
          <w:color w:val="auto"/>
          <w:sz w:val="24"/>
        </w:rPr>
      </w:pPr>
      <w:r>
        <w:rPr>
          <w:rFonts w:ascii="仿宋" w:hAnsi="仿宋" w:eastAsia="仿宋" w:cs="方正黑体简体"/>
          <w:bCs/>
          <w:color w:val="auto"/>
          <w:sz w:val="24"/>
        </w:rPr>
        <w:t>六、其他补充事宜</w:t>
      </w:r>
    </w:p>
    <w:p w14:paraId="1B6F049C">
      <w:pPr>
        <w:spacing w:line="360" w:lineRule="exact"/>
        <w:ind w:left="105" w:firstLine="480" w:firstLineChars="200"/>
        <w:rPr>
          <w:rFonts w:ascii="仿宋" w:hAnsi="仿宋" w:eastAsia="仿宋"/>
          <w:color w:val="auto"/>
          <w:sz w:val="24"/>
        </w:rPr>
      </w:pPr>
      <w:bookmarkStart w:id="798" w:name="_Toc35393635"/>
      <w:bookmarkStart w:id="799" w:name="_Toc35393804"/>
      <w:r>
        <w:rPr>
          <w:rFonts w:ascii="仿宋" w:hAnsi="仿宋" w:eastAsia="仿宋"/>
          <w:color w:val="auto"/>
          <w:sz w:val="24"/>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38327C97">
      <w:pPr>
        <w:spacing w:line="360" w:lineRule="exact"/>
        <w:ind w:left="105" w:firstLine="480" w:firstLineChars="200"/>
        <w:rPr>
          <w:rFonts w:ascii="仿宋" w:hAnsi="仿宋" w:eastAsia="仿宋"/>
          <w:color w:val="auto"/>
          <w:sz w:val="24"/>
        </w:rPr>
      </w:pPr>
      <w:r>
        <w:rPr>
          <w:rFonts w:ascii="仿宋" w:hAnsi="仿宋" w:eastAsia="仿宋"/>
          <w:color w:val="auto"/>
          <w:sz w:val="24"/>
        </w:rPr>
        <w:t>2、本项目实行网上投标，采用电子响应文件(供应商须使用 CA 加密设备通过政采云电子投标客户端制作响应文件)。若供应商参与投标，自行承担投标一切费用。</w:t>
      </w:r>
    </w:p>
    <w:p w14:paraId="09EDE166">
      <w:pPr>
        <w:spacing w:line="360" w:lineRule="exact"/>
        <w:ind w:left="105" w:firstLine="480" w:firstLineChars="200"/>
        <w:rPr>
          <w:rFonts w:ascii="仿宋" w:hAnsi="仿宋" w:eastAsia="仿宋"/>
          <w:color w:val="auto"/>
          <w:sz w:val="24"/>
        </w:rPr>
      </w:pPr>
      <w:r>
        <w:rPr>
          <w:rFonts w:ascii="仿宋" w:hAnsi="仿宋" w:eastAsia="仿宋"/>
          <w:color w:val="auto"/>
          <w:sz w:val="24"/>
        </w:rPr>
        <w:t>3、各供应商应在开标前应确保成为新疆政府采购网正式注册入库供应商，并完成 CA 数字证书申领。因未注册入库、未办理 CA 数字证书等原因造成无法投标或投标失败等后果由供应商自行承担。</w:t>
      </w:r>
    </w:p>
    <w:p w14:paraId="6A76B4BF">
      <w:pPr>
        <w:spacing w:line="360" w:lineRule="exact"/>
        <w:ind w:left="105" w:firstLine="480" w:firstLineChars="200"/>
        <w:rPr>
          <w:rFonts w:ascii="仿宋" w:hAnsi="仿宋" w:eastAsia="仿宋"/>
          <w:color w:val="auto"/>
          <w:sz w:val="24"/>
        </w:rPr>
      </w:pPr>
      <w:r>
        <w:rPr>
          <w:rFonts w:ascii="仿宋" w:hAnsi="仿宋" w:eastAsia="仿宋"/>
          <w:color w:val="auto"/>
          <w:sz w:val="24"/>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color w:val="auto"/>
        </w:rPr>
        <w:fldChar w:fldCharType="begin"/>
      </w:r>
      <w:r>
        <w:rPr>
          <w:color w:val="auto"/>
        </w:rPr>
        <w:instrText xml:space="preserve"> HYPERLINK "http://www.ccgp-xinjiang.gov.cn/" \h </w:instrText>
      </w:r>
      <w:r>
        <w:rPr>
          <w:color w:val="auto"/>
        </w:rPr>
        <w:fldChar w:fldCharType="separate"/>
      </w:r>
      <w:r>
        <w:rPr>
          <w:rFonts w:ascii="仿宋" w:hAnsi="仿宋" w:eastAsia="仿宋"/>
          <w:color w:val="auto"/>
          <w:sz w:val="24"/>
        </w:rPr>
        <w:t>（http://www.ccgp-xinjiang.gov.cn/</w:t>
      </w:r>
      <w:r>
        <w:rPr>
          <w:rFonts w:ascii="仿宋" w:hAnsi="仿宋" w:eastAsia="仿宋"/>
          <w:color w:val="auto"/>
          <w:sz w:val="24"/>
        </w:rPr>
        <w:fldChar w:fldCharType="end"/>
      </w:r>
      <w:r>
        <w:rPr>
          <w:rFonts w:ascii="仿宋" w:hAnsi="仿宋" w:eastAsia="仿宋"/>
          <w:color w:val="auto"/>
          <w:sz w:val="24"/>
        </w:rPr>
        <w:t>）下载专区查看，如有问题可拨打政采云客户服务热线400-881-7190或95763进行咨询。</w:t>
      </w:r>
    </w:p>
    <w:p w14:paraId="6895D67E">
      <w:pPr>
        <w:pStyle w:val="98"/>
        <w:spacing w:line="360" w:lineRule="exact"/>
        <w:ind w:firstLine="480" w:firstLineChars="200"/>
        <w:rPr>
          <w:rFonts w:ascii="仿宋" w:hAnsi="仿宋" w:eastAsia="仿宋"/>
          <w:color w:val="auto"/>
          <w:sz w:val="24"/>
        </w:rPr>
      </w:pPr>
      <w:r>
        <w:rPr>
          <w:rFonts w:ascii="仿宋" w:hAnsi="仿宋" w:eastAsia="仿宋"/>
          <w:color w:val="auto"/>
          <w:sz w:val="24"/>
        </w:rPr>
        <w:t>5、供应商在开标时须使用制作加密电子响应文件所使用的 CA 锁及电脑，电脑须提前配置好浏览器（建议使用谷歌浏览器），以便开标时解锁。</w:t>
      </w:r>
    </w:p>
    <w:p w14:paraId="55683379">
      <w:pPr>
        <w:pStyle w:val="98"/>
        <w:spacing w:line="360" w:lineRule="exact"/>
        <w:ind w:firstLine="480" w:firstLineChars="200"/>
        <w:rPr>
          <w:rFonts w:ascii="仿宋" w:hAnsi="仿宋" w:eastAsia="仿宋"/>
          <w:color w:val="auto"/>
          <w:sz w:val="24"/>
        </w:rPr>
      </w:pPr>
      <w:r>
        <w:rPr>
          <w:rFonts w:ascii="仿宋" w:hAnsi="仿宋" w:eastAsia="仿宋"/>
          <w:color w:val="auto"/>
          <w:sz w:val="24"/>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4DF78F36">
      <w:pPr>
        <w:pStyle w:val="98"/>
        <w:spacing w:line="360" w:lineRule="exact"/>
        <w:ind w:firstLine="480" w:firstLineChars="200"/>
        <w:rPr>
          <w:rFonts w:ascii="仿宋" w:hAnsi="仿宋" w:eastAsia="仿宋"/>
          <w:color w:val="auto"/>
          <w:sz w:val="24"/>
        </w:rPr>
      </w:pPr>
      <w:r>
        <w:rPr>
          <w:rFonts w:ascii="仿宋" w:hAnsi="仿宋" w:eastAsia="仿宋"/>
          <w:color w:val="auto"/>
          <w:sz w:val="24"/>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56505B2">
      <w:pPr>
        <w:tabs>
          <w:tab w:val="left" w:pos="567"/>
        </w:tabs>
        <w:spacing w:line="360" w:lineRule="exact"/>
        <w:ind w:firstLine="480" w:firstLineChars="200"/>
        <w:rPr>
          <w:rFonts w:ascii="仿宋" w:hAnsi="仿宋" w:eastAsia="仿宋"/>
          <w:color w:val="auto"/>
          <w:sz w:val="24"/>
        </w:rPr>
      </w:pPr>
      <w:r>
        <w:rPr>
          <w:rFonts w:ascii="仿宋" w:hAnsi="仿宋" w:eastAsia="仿宋"/>
          <w:color w:val="auto"/>
          <w:sz w:val="24"/>
        </w:rPr>
        <w:t>8、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365D7512">
      <w:pPr>
        <w:pStyle w:val="98"/>
        <w:spacing w:line="360" w:lineRule="exact"/>
        <w:ind w:firstLine="0" w:firstLineChars="0"/>
        <w:rPr>
          <w:rFonts w:hint="eastAsia" w:ascii="仿宋_GB2312" w:hAnsi="仿宋"/>
          <w:bCs/>
          <w:color w:val="auto"/>
          <w:sz w:val="24"/>
        </w:rPr>
      </w:pPr>
      <w:r>
        <w:rPr>
          <w:rFonts w:hint="eastAsia" w:ascii="仿宋_GB2312" w:hAnsi="仿宋"/>
          <w:bCs/>
          <w:color w:val="auto"/>
          <w:sz w:val="24"/>
        </w:rPr>
        <w:t>特别提示：</w:t>
      </w:r>
    </w:p>
    <w:p w14:paraId="49298BD0">
      <w:pPr>
        <w:pStyle w:val="2"/>
        <w:ind w:firstLine="480"/>
        <w:rPr>
          <w:rFonts w:hint="eastAsia" w:ascii="仿宋_GB2312" w:hAnsi="仿宋" w:eastAsia="仿宋_GB2312"/>
          <w:bCs/>
          <w:color w:val="auto"/>
          <w:kern w:val="0"/>
        </w:rPr>
      </w:pPr>
      <w:r>
        <w:rPr>
          <w:rFonts w:hint="eastAsia" w:ascii="仿宋_GB2312" w:hAnsi="仿宋" w:eastAsia="仿宋_GB2312"/>
          <w:bCs/>
          <w:color w:val="auto"/>
          <w:kern w:val="0"/>
        </w:rPr>
        <w:t>1、采购限额标准以上，200万元以下的货物和服务采购项目、400万元以下的工程采购项目，适宜由中小企业提供的，采购人应当专门面向中小企业采购。</w:t>
      </w:r>
    </w:p>
    <w:p w14:paraId="626DB746">
      <w:pPr>
        <w:pStyle w:val="2"/>
        <w:ind w:firstLine="480"/>
        <w:rPr>
          <w:rFonts w:hint="eastAsia" w:ascii="仿宋_GB2312" w:hAnsi="仿宋" w:eastAsia="仿宋_GB2312"/>
          <w:bCs/>
          <w:color w:val="auto"/>
          <w:kern w:val="0"/>
        </w:rPr>
      </w:pPr>
      <w:r>
        <w:rPr>
          <w:rFonts w:hint="eastAsia" w:ascii="仿宋_GB2312" w:hAnsi="仿宋" w:eastAsia="仿宋_GB2312"/>
          <w:bCs/>
          <w:color w:val="auto"/>
          <w:kern w:val="0"/>
        </w:rPr>
        <w:t>2、超过200万元的货物和服务采购项目、超过400万元的工程采购项目中适宜由中小企业提供的，预留该部分采购项目预算总额的30%以上专门面向中小企业采购，其中预留给小微企业的比例不低于60%。</w:t>
      </w:r>
    </w:p>
    <w:p w14:paraId="4E1B3877">
      <w:pPr>
        <w:pStyle w:val="2"/>
        <w:ind w:firstLine="480"/>
        <w:rPr>
          <w:rFonts w:hint="eastAsia" w:ascii="仿宋_GB2312" w:hAnsi="仿宋" w:eastAsia="仿宋_GB2312"/>
          <w:bCs/>
          <w:color w:val="auto"/>
          <w:kern w:val="0"/>
        </w:rPr>
      </w:pPr>
      <w:r>
        <w:rPr>
          <w:rFonts w:hint="eastAsia" w:ascii="仿宋_GB2312" w:hAnsi="仿宋" w:eastAsia="仿宋_GB2312"/>
          <w:bCs/>
          <w:color w:val="auto"/>
          <w:kern w:val="0"/>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EAC6D0">
      <w:pPr>
        <w:pStyle w:val="2"/>
        <w:ind w:firstLine="480"/>
        <w:rPr>
          <w:rFonts w:hint="eastAsia" w:ascii="仿宋_GB2312" w:hAnsi="仿宋" w:eastAsia="仿宋_GB2312"/>
          <w:bCs/>
          <w:color w:val="auto"/>
          <w:kern w:val="0"/>
        </w:rPr>
      </w:pPr>
      <w:r>
        <w:rPr>
          <w:rFonts w:hint="eastAsia" w:ascii="仿宋_GB2312" w:hAnsi="仿宋" w:eastAsia="仿宋_GB2312"/>
          <w:bCs/>
          <w:color w:val="auto"/>
          <w:kern w:val="0"/>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BCCE8F7">
      <w:pPr>
        <w:pStyle w:val="2"/>
        <w:ind w:firstLine="0" w:firstLineChars="0"/>
        <w:rPr>
          <w:rFonts w:hint="eastAsia" w:ascii="仿宋_GB2312" w:eastAsia="仿宋_GB2312"/>
          <w:b/>
          <w:color w:val="auto"/>
        </w:rPr>
      </w:pPr>
      <w:r>
        <w:rPr>
          <w:rFonts w:hint="eastAsia" w:ascii="仿宋_GB2312" w:eastAsia="仿宋_GB2312"/>
          <w:b/>
          <w:color w:val="auto"/>
        </w:rPr>
        <w:t>七、</w:t>
      </w:r>
      <w:bookmarkEnd w:id="798"/>
      <w:bookmarkEnd w:id="799"/>
      <w:bookmarkStart w:id="800" w:name="_Toc28359018"/>
      <w:bookmarkStart w:id="801" w:name="_Toc35393636"/>
      <w:bookmarkStart w:id="802" w:name="_Toc35393805"/>
      <w:bookmarkStart w:id="803" w:name="_Toc28359095"/>
      <w:r>
        <w:rPr>
          <w:rFonts w:hint="eastAsia" w:ascii="仿宋_GB2312" w:eastAsia="仿宋_GB2312"/>
          <w:b/>
          <w:color w:val="auto"/>
        </w:rPr>
        <w:t>凡对本次采购提出询问，请按以下方式联系。</w:t>
      </w:r>
      <w:bookmarkEnd w:id="800"/>
      <w:bookmarkEnd w:id="801"/>
      <w:bookmarkEnd w:id="802"/>
      <w:bookmarkEnd w:id="803"/>
      <w:bookmarkStart w:id="804" w:name="_Toc4002"/>
      <w:bookmarkStart w:id="805" w:name="_Toc35393806"/>
      <w:bookmarkStart w:id="806" w:name="_Toc28359096"/>
      <w:bookmarkStart w:id="807" w:name="_Toc28359019"/>
      <w:bookmarkStart w:id="808" w:name="_Toc35393637"/>
    </w:p>
    <w:bookmarkEnd w:id="804"/>
    <w:bookmarkEnd w:id="805"/>
    <w:bookmarkEnd w:id="806"/>
    <w:bookmarkEnd w:id="807"/>
    <w:bookmarkEnd w:id="808"/>
    <w:p w14:paraId="5AE5CB88">
      <w:pPr>
        <w:pStyle w:val="29"/>
        <w:spacing w:line="3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1.采购人信息</w:t>
      </w:r>
      <w:bookmarkStart w:id="809" w:name="_Toc29470"/>
      <w:bookmarkStart w:id="810" w:name="_Toc35393638"/>
      <w:bookmarkStart w:id="811" w:name="_Toc35393807"/>
      <w:bookmarkStart w:id="812" w:name="_Toc28359020"/>
      <w:bookmarkStart w:id="813" w:name="_Toc28359097"/>
    </w:p>
    <w:p w14:paraId="7A1DF51A">
      <w:pPr>
        <w:pStyle w:val="29"/>
        <w:spacing w:line="3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单位名称：</w:t>
      </w:r>
      <w:bookmarkEnd w:id="809"/>
      <w:bookmarkStart w:id="814" w:name="_Toc7391"/>
      <w:r>
        <w:rPr>
          <w:rFonts w:hint="eastAsia" w:ascii="仿宋_GB2312" w:eastAsia="仿宋_GB2312"/>
          <w:bCs/>
          <w:color w:val="auto"/>
          <w:sz w:val="24"/>
        </w:rPr>
        <w:t>喀什地区公安局</w:t>
      </w:r>
    </w:p>
    <w:p w14:paraId="52019E42">
      <w:pPr>
        <w:topLinePunct/>
        <w:adjustRightInd w:val="0"/>
        <w:snapToGrid w:val="0"/>
        <w:spacing w:line="460" w:lineRule="exact"/>
        <w:ind w:firstLine="480" w:firstLineChars="200"/>
        <w:jc w:val="left"/>
        <w:outlineLvl w:val="1"/>
        <w:rPr>
          <w:rFonts w:hint="eastAsia" w:ascii="仿宋_GB2312" w:eastAsia="仿宋_GB2312"/>
          <w:bCs/>
          <w:color w:val="auto"/>
          <w:sz w:val="24"/>
        </w:rPr>
      </w:pPr>
      <w:r>
        <w:rPr>
          <w:rFonts w:hint="eastAsia" w:ascii="仿宋_GB2312" w:eastAsia="仿宋_GB2312"/>
          <w:bCs/>
          <w:color w:val="auto"/>
          <w:sz w:val="24"/>
        </w:rPr>
        <w:t>联 系 人：</w:t>
      </w:r>
      <w:bookmarkEnd w:id="814"/>
      <w:bookmarkStart w:id="815" w:name="_Toc242"/>
      <w:r>
        <w:rPr>
          <w:rFonts w:hint="eastAsia" w:ascii="仿宋_GB2312" w:eastAsia="仿宋_GB2312"/>
          <w:bCs/>
          <w:color w:val="auto"/>
          <w:sz w:val="24"/>
        </w:rPr>
        <w:t>郑誉</w:t>
      </w:r>
    </w:p>
    <w:p w14:paraId="0A2B250C">
      <w:pPr>
        <w:spacing w:line="600" w:lineRule="exact"/>
        <w:ind w:firstLine="480" w:firstLineChars="200"/>
        <w:rPr>
          <w:rFonts w:hint="eastAsia" w:ascii="仿宋_GB2312" w:eastAsia="仿宋_GB2312"/>
          <w:bCs/>
          <w:color w:val="auto"/>
          <w:sz w:val="24"/>
        </w:rPr>
      </w:pPr>
      <w:r>
        <w:rPr>
          <w:rFonts w:hint="eastAsia" w:ascii="仿宋_GB2312" w:eastAsia="仿宋_GB2312"/>
          <w:bCs/>
          <w:color w:val="auto"/>
          <w:sz w:val="24"/>
        </w:rPr>
        <w:t>联系方式：</w:t>
      </w:r>
      <w:bookmarkEnd w:id="815"/>
      <w:bookmarkStart w:id="816" w:name="_Toc24525"/>
      <w:bookmarkStart w:id="817" w:name="_Toc1170"/>
      <w:r>
        <w:rPr>
          <w:rFonts w:hint="eastAsia" w:ascii="仿宋_GB2312" w:eastAsia="仿宋_GB2312"/>
          <w:bCs/>
          <w:color w:val="auto"/>
          <w:sz w:val="24"/>
        </w:rPr>
        <w:t>18609982458</w:t>
      </w:r>
    </w:p>
    <w:p w14:paraId="052143A0">
      <w:pPr>
        <w:spacing w:line="360" w:lineRule="exact"/>
        <w:ind w:firstLine="480" w:firstLineChars="200"/>
        <w:jc w:val="left"/>
        <w:rPr>
          <w:rFonts w:hint="eastAsia" w:ascii="仿宋_GB2312" w:eastAsia="仿宋_GB2312"/>
          <w:bCs/>
          <w:color w:val="auto"/>
          <w:sz w:val="24"/>
        </w:rPr>
      </w:pPr>
      <w:r>
        <w:rPr>
          <w:rFonts w:hint="eastAsia" w:ascii="仿宋_GB2312" w:eastAsia="仿宋_GB2312"/>
          <w:bCs/>
          <w:color w:val="auto"/>
          <w:sz w:val="24"/>
        </w:rPr>
        <w:t>2.采购代理机构信息</w:t>
      </w:r>
      <w:bookmarkEnd w:id="810"/>
      <w:bookmarkEnd w:id="811"/>
      <w:bookmarkEnd w:id="812"/>
      <w:bookmarkEnd w:id="813"/>
      <w:bookmarkEnd w:id="816"/>
      <w:bookmarkEnd w:id="817"/>
    </w:p>
    <w:p w14:paraId="75A2AB4E">
      <w:pPr>
        <w:widowControl/>
        <w:ind w:firstLine="480" w:firstLineChars="200"/>
        <w:jc w:val="left"/>
        <w:rPr>
          <w:rFonts w:hint="eastAsia" w:ascii="仿宋_GB2312" w:eastAsia="仿宋_GB2312"/>
          <w:bCs/>
          <w:color w:val="auto"/>
          <w:sz w:val="24"/>
        </w:rPr>
      </w:pPr>
      <w:r>
        <w:rPr>
          <w:rFonts w:hint="eastAsia" w:ascii="仿宋_GB2312" w:eastAsia="仿宋_GB2312"/>
          <w:bCs/>
          <w:color w:val="auto"/>
          <w:sz w:val="24"/>
        </w:rPr>
        <w:t>单位名称：喀什域源建设工程项目管理有限公司</w:t>
      </w:r>
    </w:p>
    <w:p w14:paraId="20CE882C">
      <w:pPr>
        <w:widowControl/>
        <w:ind w:firstLine="480" w:firstLineChars="200"/>
        <w:jc w:val="left"/>
        <w:rPr>
          <w:rFonts w:hint="eastAsia" w:ascii="仿宋_GB2312" w:eastAsia="仿宋_GB2312"/>
          <w:bCs/>
          <w:color w:val="auto"/>
          <w:sz w:val="24"/>
        </w:rPr>
      </w:pPr>
      <w:r>
        <w:rPr>
          <w:rFonts w:hint="eastAsia" w:ascii="仿宋_GB2312" w:eastAsia="仿宋_GB2312"/>
          <w:bCs/>
          <w:color w:val="auto"/>
          <w:sz w:val="24"/>
        </w:rPr>
        <w:t>联 系 人：李军</w:t>
      </w:r>
    </w:p>
    <w:p w14:paraId="430B2679">
      <w:pPr>
        <w:spacing w:before="19" w:line="222" w:lineRule="auto"/>
        <w:ind w:firstLine="480" w:firstLineChars="200"/>
        <w:rPr>
          <w:rFonts w:hint="eastAsia" w:ascii="仿宋_GB2312" w:eastAsia="仿宋_GB2312"/>
          <w:bCs/>
          <w:color w:val="auto"/>
          <w:sz w:val="24"/>
        </w:rPr>
      </w:pPr>
      <w:r>
        <w:rPr>
          <w:rFonts w:hint="eastAsia" w:ascii="仿宋_GB2312" w:eastAsia="仿宋_GB2312"/>
          <w:bCs/>
          <w:color w:val="auto"/>
          <w:sz w:val="24"/>
        </w:rPr>
        <w:t>联系方式：18299036697</w:t>
      </w:r>
    </w:p>
    <w:p w14:paraId="7AF39EBF">
      <w:pPr>
        <w:pStyle w:val="29"/>
        <w:spacing w:line="360" w:lineRule="exact"/>
        <w:ind w:firstLine="560" w:firstLineChars="200"/>
        <w:rPr>
          <w:rFonts w:hint="eastAsia" w:eastAsia="方正仿宋简体"/>
          <w:bCs/>
          <w:color w:val="auto"/>
          <w:sz w:val="28"/>
          <w:szCs w:val="28"/>
        </w:rPr>
      </w:pPr>
    </w:p>
    <w:p w14:paraId="7C5F92DF">
      <w:pPr>
        <w:pStyle w:val="5"/>
        <w:rPr>
          <w:rFonts w:hint="eastAsia"/>
          <w:color w:val="auto"/>
        </w:rPr>
      </w:pPr>
    </w:p>
    <w:p w14:paraId="03B96CB4">
      <w:pPr>
        <w:pStyle w:val="6"/>
        <w:ind w:firstLine="560"/>
        <w:rPr>
          <w:rFonts w:hint="eastAsia"/>
          <w:color w:val="auto"/>
        </w:rPr>
      </w:pPr>
    </w:p>
    <w:p w14:paraId="227FE133">
      <w:pPr>
        <w:rPr>
          <w:rFonts w:hint="eastAsia"/>
          <w:color w:val="auto"/>
        </w:rPr>
      </w:pPr>
    </w:p>
    <w:p w14:paraId="2CFBCDBA">
      <w:pPr>
        <w:pStyle w:val="2"/>
        <w:ind w:firstLine="480"/>
        <w:rPr>
          <w:rFonts w:hint="eastAsia"/>
          <w:color w:val="auto"/>
        </w:rPr>
      </w:pPr>
    </w:p>
    <w:p w14:paraId="6D9AFC36">
      <w:pPr>
        <w:pStyle w:val="4"/>
        <w:ind w:firstLine="240"/>
        <w:rPr>
          <w:rFonts w:hint="eastAsia"/>
          <w:color w:val="auto"/>
        </w:rPr>
      </w:pPr>
    </w:p>
    <w:p w14:paraId="5FF5D174">
      <w:pPr>
        <w:rPr>
          <w:rFonts w:hint="eastAsia"/>
          <w:color w:val="auto"/>
        </w:rPr>
      </w:pPr>
    </w:p>
    <w:p w14:paraId="2F72FDF9">
      <w:pPr>
        <w:pStyle w:val="2"/>
        <w:ind w:firstLine="480"/>
        <w:rPr>
          <w:rFonts w:hint="eastAsia"/>
          <w:color w:val="auto"/>
        </w:rPr>
      </w:pPr>
    </w:p>
    <w:p w14:paraId="2FB0A18F">
      <w:pPr>
        <w:pStyle w:val="4"/>
        <w:ind w:firstLine="240"/>
        <w:rPr>
          <w:rFonts w:hint="eastAsia"/>
          <w:color w:val="auto"/>
        </w:rPr>
      </w:pPr>
    </w:p>
    <w:p w14:paraId="6438615F">
      <w:pPr>
        <w:rPr>
          <w:rFonts w:hint="eastAsia"/>
          <w:color w:val="auto"/>
        </w:rPr>
      </w:pPr>
    </w:p>
    <w:p w14:paraId="46CA75E1">
      <w:pPr>
        <w:pStyle w:val="2"/>
        <w:ind w:firstLine="480"/>
        <w:rPr>
          <w:rFonts w:hint="eastAsia"/>
          <w:color w:val="auto"/>
        </w:rPr>
      </w:pPr>
    </w:p>
    <w:p w14:paraId="186AD738">
      <w:pPr>
        <w:pStyle w:val="4"/>
        <w:ind w:firstLine="240"/>
        <w:rPr>
          <w:rFonts w:hint="eastAsia"/>
          <w:color w:val="auto"/>
        </w:rPr>
      </w:pPr>
    </w:p>
    <w:p w14:paraId="05E76C38">
      <w:pPr>
        <w:rPr>
          <w:rFonts w:hint="eastAsia"/>
          <w:color w:val="auto"/>
        </w:rPr>
      </w:pPr>
    </w:p>
    <w:p w14:paraId="17812958">
      <w:pPr>
        <w:pStyle w:val="2"/>
        <w:ind w:firstLine="480"/>
        <w:rPr>
          <w:rFonts w:hint="eastAsia"/>
          <w:color w:val="auto"/>
        </w:rPr>
      </w:pPr>
    </w:p>
    <w:p w14:paraId="3A69A2C2">
      <w:pPr>
        <w:pStyle w:val="4"/>
        <w:ind w:firstLine="240"/>
        <w:rPr>
          <w:rFonts w:hint="eastAsia"/>
          <w:color w:val="auto"/>
        </w:rPr>
      </w:pPr>
    </w:p>
    <w:p w14:paraId="1F2B7BDB">
      <w:pPr>
        <w:rPr>
          <w:rFonts w:hint="eastAsia"/>
          <w:color w:val="auto"/>
        </w:rPr>
      </w:pPr>
    </w:p>
    <w:p w14:paraId="45CE45EB">
      <w:pPr>
        <w:pStyle w:val="2"/>
        <w:ind w:firstLine="480"/>
        <w:rPr>
          <w:rFonts w:hint="eastAsia"/>
          <w:color w:val="auto"/>
        </w:rPr>
      </w:pPr>
    </w:p>
    <w:p w14:paraId="7B30A86B">
      <w:pPr>
        <w:pStyle w:val="4"/>
        <w:ind w:firstLine="240"/>
        <w:rPr>
          <w:color w:val="auto"/>
        </w:rPr>
      </w:pPr>
    </w:p>
    <w:p w14:paraId="4926CF66">
      <w:pPr>
        <w:pStyle w:val="7"/>
        <w:tabs>
          <w:tab w:val="left" w:pos="0"/>
        </w:tabs>
        <w:snapToGrid w:val="0"/>
        <w:spacing w:before="0" w:after="0" w:line="240" w:lineRule="auto"/>
        <w:textAlignment w:val="baseline"/>
        <w:rPr>
          <w:rFonts w:hint="eastAsia" w:ascii="仿宋_GB2312" w:eastAsia="仿宋_GB2312"/>
          <w:color w:val="auto"/>
          <w:sz w:val="28"/>
          <w:szCs w:val="28"/>
        </w:rPr>
      </w:pPr>
      <w:bookmarkStart w:id="818" w:name="_Toc16060"/>
      <w:r>
        <w:rPr>
          <w:rFonts w:hint="eastAsia" w:ascii="仿宋_GB2312" w:eastAsia="仿宋_GB2312"/>
          <w:color w:val="auto"/>
          <w:sz w:val="28"/>
          <w:szCs w:val="28"/>
        </w:rPr>
        <w:t>第4章  供应商须知资料表</w:t>
      </w:r>
      <w:bookmarkEnd w:id="772"/>
      <w:bookmarkEnd w:id="773"/>
      <w:bookmarkEnd w:id="774"/>
      <w:bookmarkEnd w:id="775"/>
      <w:bookmarkEnd w:id="776"/>
      <w:bookmarkEnd w:id="777"/>
      <w:bookmarkEnd w:id="818"/>
    </w:p>
    <w:p w14:paraId="4CA63F63">
      <w:pPr>
        <w:snapToGrid w:val="0"/>
        <w:spacing w:line="240" w:lineRule="atLeast"/>
        <w:ind w:firstLine="420" w:firstLineChars="150"/>
        <w:textAlignment w:val="baseline"/>
        <w:rPr>
          <w:rFonts w:hint="eastAsia" w:ascii="仿宋_GB2312" w:eastAsia="仿宋_GB2312"/>
          <w:color w:val="auto"/>
          <w:sz w:val="24"/>
        </w:rPr>
      </w:pPr>
      <w:r>
        <w:rPr>
          <w:rFonts w:hint="eastAsia" w:ascii="仿宋_GB2312" w:eastAsia="仿宋_GB2312"/>
          <w:color w:val="auto"/>
          <w:sz w:val="28"/>
          <w:szCs w:val="28"/>
        </w:rPr>
        <w:t xml:space="preserve"> </w:t>
      </w:r>
      <w:r>
        <w:rPr>
          <w:rFonts w:hint="eastAsia" w:ascii="仿宋_GB2312" w:eastAsia="仿宋_GB2312"/>
          <w:color w:val="auto"/>
          <w:sz w:val="24"/>
        </w:rPr>
        <w:t>本表是本采购项目的具体资料，是对供应商须知的具体补充和修改，如有矛盾，应以本资料表为准。</w:t>
      </w:r>
    </w:p>
    <w:tbl>
      <w:tblPr>
        <w:tblStyle w:val="40"/>
        <w:tblW w:w="10481" w:type="dxa"/>
        <w:tblInd w:w="-4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6"/>
        <w:gridCol w:w="9695"/>
      </w:tblGrid>
      <w:tr w14:paraId="20034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786" w:type="dxa"/>
            <w:vAlign w:val="center"/>
          </w:tcPr>
          <w:p w14:paraId="4AF27299">
            <w:pPr>
              <w:snapToGrid w:val="0"/>
              <w:jc w:val="center"/>
              <w:textAlignment w:val="baseline"/>
              <w:rPr>
                <w:rFonts w:hint="eastAsia" w:ascii="仿宋_GB2312" w:eastAsia="仿宋_GB2312"/>
                <w:color w:val="auto"/>
                <w:sz w:val="24"/>
              </w:rPr>
            </w:pPr>
            <w:r>
              <w:rPr>
                <w:rFonts w:hint="eastAsia" w:ascii="仿宋_GB2312" w:eastAsia="仿宋_GB2312"/>
                <w:b/>
                <w:bCs/>
                <w:color w:val="auto"/>
                <w:sz w:val="24"/>
              </w:rPr>
              <w:t>条款号</w:t>
            </w:r>
          </w:p>
        </w:tc>
        <w:tc>
          <w:tcPr>
            <w:tcW w:w="9695" w:type="dxa"/>
            <w:vAlign w:val="center"/>
          </w:tcPr>
          <w:p w14:paraId="6F2BBCA6">
            <w:pPr>
              <w:snapToGrid w:val="0"/>
              <w:jc w:val="center"/>
              <w:textAlignment w:val="baseline"/>
              <w:rPr>
                <w:rFonts w:hint="eastAsia" w:ascii="仿宋_GB2312" w:eastAsia="仿宋_GB2312"/>
                <w:b/>
                <w:color w:val="auto"/>
                <w:sz w:val="24"/>
              </w:rPr>
            </w:pPr>
            <w:r>
              <w:rPr>
                <w:rFonts w:hint="eastAsia" w:ascii="仿宋_GB2312" w:eastAsia="仿宋_GB2312"/>
                <w:b/>
                <w:color w:val="auto"/>
                <w:sz w:val="24"/>
              </w:rPr>
              <w:t>内      容</w:t>
            </w:r>
          </w:p>
        </w:tc>
      </w:tr>
      <w:tr w14:paraId="0894D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6" w:hRule="atLeast"/>
        </w:trPr>
        <w:tc>
          <w:tcPr>
            <w:tcW w:w="786" w:type="dxa"/>
            <w:vAlign w:val="center"/>
          </w:tcPr>
          <w:p w14:paraId="6DA619F1">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1.1</w:t>
            </w:r>
          </w:p>
        </w:tc>
        <w:tc>
          <w:tcPr>
            <w:tcW w:w="9695" w:type="dxa"/>
            <w:vAlign w:val="center"/>
          </w:tcPr>
          <w:p w14:paraId="525E8BD0">
            <w:pPr>
              <w:spacing w:line="360" w:lineRule="exact"/>
              <w:jc w:val="left"/>
              <w:rPr>
                <w:rFonts w:hint="eastAsia" w:ascii="仿宋_GB2312" w:eastAsia="仿宋_GB2312"/>
                <w:bCs/>
                <w:color w:val="auto"/>
                <w:sz w:val="24"/>
              </w:rPr>
            </w:pPr>
            <w:r>
              <w:rPr>
                <w:rFonts w:hint="eastAsia" w:ascii="仿宋_GB2312" w:eastAsia="仿宋_GB2312"/>
                <w:bCs/>
                <w:color w:val="auto"/>
                <w:sz w:val="24"/>
              </w:rPr>
              <w:t>单位名称：喀什地区公安局</w:t>
            </w:r>
          </w:p>
          <w:p w14:paraId="08C66ABD">
            <w:pPr>
              <w:spacing w:line="360" w:lineRule="exact"/>
              <w:jc w:val="left"/>
              <w:rPr>
                <w:rFonts w:hint="eastAsia" w:ascii="仿宋_GB2312" w:eastAsia="仿宋_GB2312"/>
                <w:bCs/>
                <w:color w:val="auto"/>
                <w:sz w:val="24"/>
              </w:rPr>
            </w:pPr>
            <w:r>
              <w:rPr>
                <w:rFonts w:hint="eastAsia" w:ascii="仿宋_GB2312" w:eastAsia="仿宋_GB2312"/>
                <w:bCs/>
                <w:color w:val="auto"/>
                <w:sz w:val="24"/>
              </w:rPr>
              <w:t>联 系 人：郑誉</w:t>
            </w:r>
          </w:p>
          <w:p w14:paraId="029BF183">
            <w:pPr>
              <w:spacing w:line="360" w:lineRule="exact"/>
              <w:jc w:val="left"/>
              <w:rPr>
                <w:rFonts w:hint="eastAsia" w:ascii="仿宋_GB2312" w:eastAsia="仿宋_GB2312"/>
                <w:color w:val="auto"/>
                <w:sz w:val="24"/>
              </w:rPr>
            </w:pPr>
            <w:r>
              <w:rPr>
                <w:rFonts w:hint="eastAsia" w:ascii="仿宋_GB2312" w:eastAsia="仿宋_GB2312"/>
                <w:bCs/>
                <w:color w:val="auto"/>
                <w:sz w:val="24"/>
              </w:rPr>
              <w:t>联系方式：18609982458</w:t>
            </w:r>
          </w:p>
        </w:tc>
      </w:tr>
      <w:tr w14:paraId="7EB59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2B1DEEDD">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1.2</w:t>
            </w:r>
          </w:p>
        </w:tc>
        <w:tc>
          <w:tcPr>
            <w:tcW w:w="9695" w:type="dxa"/>
            <w:vAlign w:val="center"/>
          </w:tcPr>
          <w:p w14:paraId="4022C917">
            <w:pPr>
              <w:spacing w:line="360" w:lineRule="exact"/>
              <w:jc w:val="left"/>
              <w:rPr>
                <w:rFonts w:hint="eastAsia" w:ascii="仿宋_GB2312" w:eastAsia="仿宋_GB2312"/>
                <w:bCs/>
                <w:color w:val="auto"/>
                <w:sz w:val="24"/>
              </w:rPr>
            </w:pPr>
            <w:r>
              <w:rPr>
                <w:rFonts w:hint="eastAsia" w:ascii="仿宋_GB2312" w:eastAsia="仿宋_GB2312"/>
                <w:bCs/>
                <w:color w:val="auto"/>
                <w:sz w:val="24"/>
              </w:rPr>
              <w:t>采购代理机构信息</w:t>
            </w:r>
          </w:p>
          <w:p w14:paraId="28DA8693">
            <w:pPr>
              <w:widowControl/>
              <w:jc w:val="left"/>
              <w:rPr>
                <w:rFonts w:hint="eastAsia" w:ascii="仿宋_GB2312" w:eastAsia="仿宋_GB2312"/>
                <w:bCs/>
                <w:color w:val="auto"/>
                <w:sz w:val="24"/>
              </w:rPr>
            </w:pPr>
            <w:r>
              <w:rPr>
                <w:rFonts w:hint="eastAsia" w:ascii="仿宋_GB2312" w:eastAsia="仿宋_GB2312"/>
                <w:bCs/>
                <w:color w:val="auto"/>
                <w:sz w:val="24"/>
              </w:rPr>
              <w:t>单位名称：喀什域源建设工程项目管理有限公司</w:t>
            </w:r>
          </w:p>
          <w:p w14:paraId="4632AC36">
            <w:pPr>
              <w:widowControl/>
              <w:jc w:val="left"/>
              <w:rPr>
                <w:rFonts w:hint="eastAsia" w:ascii="仿宋_GB2312" w:eastAsia="仿宋_GB2312"/>
                <w:bCs/>
                <w:color w:val="auto"/>
                <w:sz w:val="24"/>
              </w:rPr>
            </w:pPr>
            <w:r>
              <w:rPr>
                <w:rFonts w:hint="eastAsia" w:ascii="仿宋_GB2312" w:eastAsia="仿宋_GB2312"/>
                <w:bCs/>
                <w:color w:val="auto"/>
                <w:sz w:val="24"/>
              </w:rPr>
              <w:t>联 系 人：李军</w:t>
            </w:r>
          </w:p>
          <w:p w14:paraId="27CA17E0">
            <w:pPr>
              <w:spacing w:before="19" w:line="222" w:lineRule="auto"/>
              <w:rPr>
                <w:rFonts w:hint="eastAsia" w:ascii="仿宋_GB2312" w:eastAsia="仿宋_GB2312"/>
                <w:color w:val="auto"/>
                <w:sz w:val="24"/>
              </w:rPr>
            </w:pPr>
            <w:r>
              <w:rPr>
                <w:rFonts w:hint="eastAsia" w:ascii="仿宋_GB2312" w:eastAsia="仿宋_GB2312"/>
                <w:bCs/>
                <w:color w:val="auto"/>
                <w:sz w:val="24"/>
              </w:rPr>
              <w:t>联系方式：18299036697</w:t>
            </w:r>
          </w:p>
        </w:tc>
      </w:tr>
      <w:tr w14:paraId="3B2D8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786" w:type="dxa"/>
            <w:vAlign w:val="center"/>
          </w:tcPr>
          <w:p w14:paraId="32192940">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1.3.4</w:t>
            </w:r>
          </w:p>
        </w:tc>
        <w:tc>
          <w:tcPr>
            <w:tcW w:w="9695" w:type="dxa"/>
            <w:vAlign w:val="center"/>
          </w:tcPr>
          <w:p w14:paraId="37A9EC75">
            <w:pPr>
              <w:snapToGrid w:val="0"/>
              <w:textAlignment w:val="baseline"/>
              <w:rPr>
                <w:rFonts w:hint="eastAsia" w:ascii="仿宋_GB2312" w:eastAsia="仿宋_GB2312"/>
                <w:b/>
                <w:bCs/>
                <w:color w:val="auto"/>
                <w:sz w:val="24"/>
              </w:rPr>
            </w:pPr>
            <w:r>
              <w:rPr>
                <w:rFonts w:hint="eastAsia" w:ascii="仿宋_GB2312" w:eastAsia="仿宋_GB2312"/>
                <w:b/>
                <w:bCs/>
                <w:color w:val="auto"/>
                <w:sz w:val="24"/>
              </w:rPr>
              <w:t>合格供应商的资格要求：</w:t>
            </w:r>
          </w:p>
          <w:p w14:paraId="320D7B80">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符合《中华人民共和国政府采购法》第二十二条的规定：</w:t>
            </w:r>
          </w:p>
          <w:p w14:paraId="55E6F903">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（1）企业三证合一的法人营业执照或含二维码的营业执照；</w:t>
            </w:r>
          </w:p>
          <w:p w14:paraId="224F369F">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 xml:space="preserve">（2）法定代表人授权书及被授权人身份证，法人资格证明，法人本人参与投标提供法人身份证；  </w:t>
            </w:r>
          </w:p>
          <w:p w14:paraId="44D6387C">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3）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p w14:paraId="3817DEBB">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（4）2024年的财务审计报告与健全的财务会计制度（新成立的公司近三个月内的银行资信证明与健全的财务会计制度）；</w:t>
            </w:r>
          </w:p>
          <w:p w14:paraId="0447993E">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（5）缴纳税收近半年任意1个月的完税证明（零申报请出具税务部门加盖公章的证明材料或无欠款税收证明）；</w:t>
            </w:r>
          </w:p>
          <w:p w14:paraId="0791491C">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（6）根据《财政部关于在政府采购活动中查询及使用信用记录有关问题的通知》（财库</w:t>
            </w:r>
            <w:r>
              <w:rPr>
                <w:rFonts w:hint="eastAsia" w:ascii="宋体" w:hAnsi="宋体" w:cs="宋体"/>
                <w:b/>
                <w:bCs/>
                <w:color w:val="auto"/>
                <w:sz w:val="24"/>
              </w:rPr>
              <w:t>﹝</w:t>
            </w:r>
            <w:r>
              <w:rPr>
                <w:rFonts w:hint="eastAsia" w:ascii="仿宋_GB2312" w:eastAsia="仿宋_GB2312"/>
                <w:b/>
                <w:bCs/>
                <w:color w:val="auto"/>
                <w:sz w:val="24"/>
              </w:rPr>
              <w:t>2016</w:t>
            </w:r>
            <w:r>
              <w:rPr>
                <w:rFonts w:hint="eastAsia" w:ascii="宋体" w:hAnsi="宋体" w:cs="宋体"/>
                <w:b/>
                <w:bCs/>
                <w:color w:val="auto"/>
                <w:sz w:val="24"/>
              </w:rPr>
              <w:t>﹞</w:t>
            </w:r>
            <w:r>
              <w:rPr>
                <w:rFonts w:hint="eastAsia" w:ascii="仿宋_GB2312" w:eastAsia="仿宋_GB2312"/>
                <w:b/>
                <w:bCs/>
                <w:color w:val="auto"/>
                <w:sz w:val="24"/>
              </w:rPr>
              <w:t>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17F99878">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（7）在参加政府采购活动中前三年内无重大违法记录的承诺书；</w:t>
            </w:r>
          </w:p>
          <w:p w14:paraId="47473666">
            <w:pPr>
              <w:snapToGrid w:val="0"/>
              <w:spacing w:line="380" w:lineRule="exact"/>
              <w:textAlignment w:val="baseline"/>
              <w:rPr>
                <w:rFonts w:hint="eastAsia" w:ascii="仿宋_GB2312" w:eastAsia="仿宋_GB2312"/>
                <w:b/>
                <w:bCs/>
                <w:color w:val="auto"/>
                <w:sz w:val="24"/>
              </w:rPr>
            </w:pPr>
            <w:r>
              <w:rPr>
                <w:rFonts w:hint="eastAsia" w:ascii="仿宋_GB2312" w:eastAsia="仿宋_GB2312"/>
                <w:b/>
                <w:bCs/>
                <w:color w:val="auto"/>
                <w:sz w:val="24"/>
              </w:rPr>
              <w:t>（8）提供针对本次项目《反商业贿赂承诺书》书面声明；</w:t>
            </w:r>
          </w:p>
          <w:p w14:paraId="0298B94F">
            <w:pPr>
              <w:pStyle w:val="36"/>
              <w:widowControl/>
              <w:spacing w:before="0" w:after="0" w:line="620" w:lineRule="exact"/>
              <w:ind w:firstLine="116" w:firstLineChars="48"/>
              <w:rPr>
                <w:rFonts w:hint="eastAsia" w:ascii="仿宋_GB2312" w:eastAsia="仿宋_GB2312"/>
                <w:color w:val="auto"/>
              </w:rPr>
            </w:pPr>
            <w:r>
              <w:rPr>
                <w:rFonts w:hint="eastAsia" w:ascii="仿宋_GB2312" w:eastAsia="仿宋_GB2312"/>
                <w:b/>
                <w:bCs/>
                <w:color w:val="auto"/>
                <w:kern w:val="2"/>
              </w:rPr>
              <w:t>(9)</w:t>
            </w:r>
            <w:r>
              <w:rPr>
                <w:rFonts w:hint="eastAsia" w:ascii="微软雅黑" w:hAnsi="微软雅黑" w:eastAsia="微软雅黑" w:cs="微软雅黑"/>
                <w:b/>
                <w:bCs/>
                <w:color w:val="auto"/>
              </w:rPr>
              <w:t xml:space="preserve"> </w:t>
            </w:r>
            <w:r>
              <w:rPr>
                <w:rFonts w:hint="eastAsia" w:ascii="仿宋_GB2312" w:eastAsia="仿宋_GB2312"/>
                <w:b/>
                <w:bCs/>
                <w:color w:val="auto"/>
                <w:kern w:val="2"/>
              </w:rPr>
              <w:t>中小企业声明函。</w:t>
            </w:r>
          </w:p>
        </w:tc>
      </w:tr>
      <w:tr w14:paraId="73545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786" w:type="dxa"/>
            <w:vAlign w:val="center"/>
          </w:tcPr>
          <w:p w14:paraId="6DFBFBD6">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1.3.5</w:t>
            </w:r>
          </w:p>
        </w:tc>
        <w:tc>
          <w:tcPr>
            <w:tcW w:w="9695" w:type="dxa"/>
            <w:vAlign w:val="center"/>
          </w:tcPr>
          <w:p w14:paraId="6B2026B5">
            <w:pPr>
              <w:snapToGrid w:val="0"/>
              <w:textAlignment w:val="baseline"/>
              <w:rPr>
                <w:rFonts w:hint="eastAsia" w:ascii="仿宋_GB2312" w:eastAsia="仿宋_GB2312"/>
                <w:color w:val="auto"/>
                <w:sz w:val="24"/>
              </w:rPr>
            </w:pPr>
            <w:r>
              <w:rPr>
                <w:rFonts w:hint="eastAsia" w:ascii="仿宋_GB2312" w:eastAsia="仿宋_GB2312"/>
                <w:color w:val="auto"/>
                <w:sz w:val="24"/>
              </w:rPr>
              <w:t>是否允许采购进口产品：</w:t>
            </w:r>
            <w:r>
              <w:rPr>
                <w:rFonts w:hint="eastAsia" w:ascii="仿宋_GB2312" w:eastAsia="仿宋_GB2312"/>
                <w:color w:val="auto"/>
                <w:sz w:val="24"/>
                <w:u w:val="single" w:color="000000"/>
              </w:rPr>
              <w:t xml:space="preserve">  否  </w:t>
            </w:r>
            <w:r>
              <w:rPr>
                <w:rFonts w:hint="eastAsia" w:ascii="仿宋_GB2312" w:eastAsia="仿宋_GB2312"/>
                <w:i/>
                <w:iCs/>
                <w:color w:val="auto"/>
                <w:sz w:val="24"/>
              </w:rPr>
              <w:t>（是、否）</w:t>
            </w:r>
          </w:p>
        </w:tc>
      </w:tr>
      <w:tr w14:paraId="6597D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164AF0B9">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1.3.6</w:t>
            </w:r>
          </w:p>
        </w:tc>
        <w:tc>
          <w:tcPr>
            <w:tcW w:w="9695" w:type="dxa"/>
            <w:vAlign w:val="center"/>
          </w:tcPr>
          <w:p w14:paraId="3A687FF1">
            <w:pPr>
              <w:snapToGrid w:val="0"/>
              <w:textAlignment w:val="baseline"/>
              <w:rPr>
                <w:rFonts w:hint="eastAsia" w:ascii="仿宋_GB2312" w:eastAsia="仿宋_GB2312"/>
                <w:color w:val="auto"/>
                <w:sz w:val="24"/>
              </w:rPr>
            </w:pPr>
            <w:r>
              <w:rPr>
                <w:rFonts w:hint="eastAsia" w:ascii="仿宋_GB2312" w:eastAsia="仿宋_GB2312"/>
                <w:color w:val="auto"/>
                <w:sz w:val="24"/>
              </w:rPr>
              <w:t>是否专门面向中小企业采购：</w:t>
            </w:r>
            <w:r>
              <w:rPr>
                <w:rFonts w:hint="eastAsia" w:ascii="仿宋_GB2312" w:eastAsia="仿宋_GB2312"/>
                <w:color w:val="auto"/>
                <w:sz w:val="24"/>
                <w:u w:val="single"/>
              </w:rPr>
              <w:t xml:space="preserve">是 </w:t>
            </w:r>
            <w:r>
              <w:rPr>
                <w:rFonts w:hint="eastAsia" w:ascii="仿宋_GB2312" w:eastAsia="仿宋_GB2312"/>
                <w:color w:val="auto"/>
                <w:sz w:val="24"/>
              </w:rPr>
              <w:t>（是、否）</w:t>
            </w:r>
          </w:p>
        </w:tc>
      </w:tr>
      <w:tr w14:paraId="33A3D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786" w:type="dxa"/>
            <w:vAlign w:val="center"/>
          </w:tcPr>
          <w:p w14:paraId="40F696E7">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1.4</w:t>
            </w:r>
          </w:p>
        </w:tc>
        <w:tc>
          <w:tcPr>
            <w:tcW w:w="9695" w:type="dxa"/>
            <w:vAlign w:val="center"/>
          </w:tcPr>
          <w:p w14:paraId="4E4E91EC">
            <w:pPr>
              <w:snapToGrid w:val="0"/>
              <w:textAlignment w:val="baseline"/>
              <w:rPr>
                <w:rFonts w:hint="eastAsia" w:ascii="仿宋_GB2312" w:eastAsia="仿宋_GB2312"/>
                <w:color w:val="auto"/>
                <w:sz w:val="24"/>
              </w:rPr>
            </w:pPr>
            <w:r>
              <w:rPr>
                <w:rFonts w:hint="eastAsia" w:ascii="仿宋_GB2312" w:eastAsia="仿宋_GB2312"/>
                <w:color w:val="auto"/>
                <w:sz w:val="24"/>
              </w:rPr>
              <w:t>是否允许联合体谈判：</w:t>
            </w:r>
            <w:r>
              <w:rPr>
                <w:rFonts w:hint="eastAsia" w:ascii="仿宋_GB2312" w:eastAsia="仿宋_GB2312"/>
                <w:color w:val="auto"/>
                <w:sz w:val="24"/>
                <w:u w:val="single" w:color="000000"/>
              </w:rPr>
              <w:t xml:space="preserve">   否   </w:t>
            </w:r>
            <w:r>
              <w:rPr>
                <w:rFonts w:hint="eastAsia" w:ascii="仿宋_GB2312" w:eastAsia="仿宋_GB2312"/>
                <w:i/>
                <w:iCs/>
                <w:color w:val="auto"/>
                <w:sz w:val="24"/>
              </w:rPr>
              <w:t>（是、否）</w:t>
            </w:r>
          </w:p>
        </w:tc>
      </w:tr>
      <w:tr w14:paraId="295C7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786" w:type="dxa"/>
            <w:vAlign w:val="center"/>
          </w:tcPr>
          <w:p w14:paraId="6EC76CF8">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1.4.8</w:t>
            </w:r>
          </w:p>
        </w:tc>
        <w:tc>
          <w:tcPr>
            <w:tcW w:w="9695" w:type="dxa"/>
            <w:vAlign w:val="center"/>
          </w:tcPr>
          <w:p w14:paraId="67CABA68">
            <w:pPr>
              <w:snapToGrid w:val="0"/>
              <w:textAlignment w:val="baseline"/>
              <w:rPr>
                <w:rFonts w:hint="eastAsia" w:ascii="仿宋_GB2312" w:eastAsia="仿宋_GB2312"/>
                <w:color w:val="auto"/>
                <w:sz w:val="24"/>
              </w:rPr>
            </w:pPr>
            <w:r>
              <w:rPr>
                <w:rFonts w:hint="eastAsia" w:ascii="仿宋_GB2312" w:eastAsia="仿宋_GB2312"/>
                <w:color w:val="auto"/>
                <w:sz w:val="24"/>
              </w:rPr>
              <w:t>联合体的其他资格要求：无</w:t>
            </w:r>
          </w:p>
        </w:tc>
      </w:tr>
      <w:tr w14:paraId="622F4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2AC9F73A">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2.2</w:t>
            </w:r>
          </w:p>
        </w:tc>
        <w:tc>
          <w:tcPr>
            <w:tcW w:w="9695" w:type="dxa"/>
            <w:vAlign w:val="center"/>
          </w:tcPr>
          <w:p w14:paraId="663361E1">
            <w:pPr>
              <w:snapToGrid w:val="0"/>
              <w:textAlignment w:val="baseline"/>
              <w:rPr>
                <w:rFonts w:hint="eastAsia" w:ascii="仿宋_GB2312" w:eastAsia="仿宋_GB2312"/>
                <w:color w:val="auto"/>
                <w:sz w:val="24"/>
              </w:rPr>
            </w:pPr>
            <w:r>
              <w:rPr>
                <w:rFonts w:hint="eastAsia" w:ascii="仿宋_GB2312" w:eastAsia="仿宋_GB2312"/>
                <w:color w:val="auto"/>
                <w:sz w:val="24"/>
                <w:highlight w:val="yellow"/>
              </w:rPr>
              <w:t>项目总</w:t>
            </w:r>
            <w:r>
              <w:rPr>
                <w:rFonts w:hint="eastAsia" w:ascii="仿宋_GB2312" w:eastAsia="仿宋_GB2312"/>
                <w:color w:val="auto"/>
                <w:sz w:val="24"/>
                <w:highlight w:val="yellow"/>
                <w:lang w:val="zh-CN"/>
              </w:rPr>
              <w:t>预算金额:</w:t>
            </w:r>
            <w:r>
              <w:rPr>
                <w:rFonts w:hint="eastAsia" w:ascii="仿宋_GB2312" w:eastAsia="仿宋_GB2312"/>
                <w:color w:val="auto"/>
                <w:sz w:val="24"/>
                <w:highlight w:val="yellow"/>
                <w:lang w:val="en-US" w:eastAsia="zh-CN"/>
              </w:rPr>
              <w:t>29</w:t>
            </w:r>
            <w:r>
              <w:rPr>
                <w:rFonts w:hint="eastAsia" w:ascii="仿宋_GB2312" w:eastAsia="仿宋_GB2312"/>
                <w:color w:val="auto"/>
                <w:sz w:val="24"/>
                <w:highlight w:val="yellow"/>
              </w:rPr>
              <w:t>万元</w:t>
            </w:r>
          </w:p>
        </w:tc>
      </w:tr>
      <w:tr w14:paraId="16ADC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60437316">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8.1</w:t>
            </w:r>
          </w:p>
        </w:tc>
        <w:tc>
          <w:tcPr>
            <w:tcW w:w="9695" w:type="dxa"/>
            <w:vAlign w:val="center"/>
          </w:tcPr>
          <w:p w14:paraId="63E4F72F">
            <w:pPr>
              <w:snapToGrid w:val="0"/>
              <w:textAlignment w:val="baseline"/>
              <w:rPr>
                <w:rFonts w:hint="eastAsia" w:ascii="仿宋_GB2312" w:eastAsia="仿宋_GB2312"/>
                <w:color w:val="auto"/>
                <w:sz w:val="24"/>
              </w:rPr>
            </w:pPr>
            <w:r>
              <w:rPr>
                <w:rFonts w:hint="eastAsia" w:ascii="仿宋_GB2312" w:eastAsia="仿宋_GB2312"/>
                <w:color w:val="auto"/>
                <w:sz w:val="24"/>
              </w:rPr>
              <w:t>本项目共1个标段，不分包。</w:t>
            </w:r>
          </w:p>
        </w:tc>
      </w:tr>
      <w:tr w14:paraId="6C458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trPr>
        <w:tc>
          <w:tcPr>
            <w:tcW w:w="786" w:type="dxa"/>
            <w:vAlign w:val="center"/>
          </w:tcPr>
          <w:p w14:paraId="76AFF06D">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12.1</w:t>
            </w:r>
          </w:p>
        </w:tc>
        <w:tc>
          <w:tcPr>
            <w:tcW w:w="9695" w:type="dxa"/>
            <w:vAlign w:val="center"/>
          </w:tcPr>
          <w:p w14:paraId="11FB40C7">
            <w:pPr>
              <w:snapToGrid w:val="0"/>
              <w:textAlignment w:val="baseline"/>
              <w:rPr>
                <w:rFonts w:hint="eastAsia" w:ascii="仿宋_GB2312" w:eastAsia="仿宋_GB2312"/>
                <w:color w:val="auto"/>
                <w:sz w:val="24"/>
              </w:rPr>
            </w:pPr>
            <w:r>
              <w:rPr>
                <w:rFonts w:hint="eastAsia" w:ascii="仿宋_GB2312" w:eastAsia="仿宋_GB2312"/>
                <w:color w:val="auto"/>
                <w:sz w:val="24"/>
              </w:rPr>
              <w:t>投标保证金缴纳形式：</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保函</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电汇</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支票</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对公转账</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网银</w:t>
            </w:r>
            <w:r>
              <w:rPr>
                <w:rFonts w:hint="eastAsia" w:ascii="仿宋_GB2312" w:eastAsia="仿宋_GB2312"/>
                <w:color w:val="auto"/>
                <w:sz w:val="24"/>
              </w:rPr>
              <w:t xml:space="preserve"> </w:t>
            </w:r>
          </w:p>
          <w:p w14:paraId="5BF596A1">
            <w:pPr>
              <w:snapToGrid w:val="0"/>
              <w:textAlignment w:val="baseline"/>
              <w:rPr>
                <w:rFonts w:hint="eastAsia" w:ascii="仿宋_GB2312" w:eastAsia="仿宋_GB2312"/>
                <w:color w:val="auto"/>
                <w:sz w:val="24"/>
              </w:rPr>
            </w:pPr>
            <w:r>
              <w:rPr>
                <w:rFonts w:hint="eastAsia" w:ascii="仿宋_GB2312" w:eastAsia="仿宋_GB2312"/>
                <w:color w:val="auto"/>
                <w:sz w:val="24"/>
              </w:rPr>
              <w:t>投标保证金缴纳金额：</w:t>
            </w:r>
            <w:r>
              <w:rPr>
                <w:rFonts w:hint="eastAsia" w:ascii="仿宋_GB2312" w:eastAsia="仿宋_GB2312"/>
                <w:color w:val="auto"/>
                <w:sz w:val="24"/>
              </w:rPr>
              <w:t>小写：5000元(大写：伍仟元整）</w:t>
            </w:r>
            <w:r>
              <w:rPr>
                <w:rFonts w:hint="eastAsia" w:ascii="仿宋_GB2312" w:eastAsia="仿宋_GB2312"/>
                <w:color w:val="auto"/>
                <w:sz w:val="24"/>
              </w:rPr>
              <w:t>，投标保证金按照政府采购法规定不得超过采购项目预算金额的2%。</w:t>
            </w:r>
          </w:p>
          <w:p w14:paraId="58C3E44F">
            <w:pPr>
              <w:snapToGrid w:val="0"/>
              <w:textAlignment w:val="baseline"/>
              <w:rPr>
                <w:rFonts w:hint="eastAsia" w:ascii="仿宋_GB2312" w:eastAsia="仿宋_GB2312"/>
                <w:color w:val="auto"/>
                <w:sz w:val="24"/>
                <w:lang w:val="zh-CN"/>
              </w:rPr>
            </w:pPr>
            <w:r>
              <w:rPr>
                <w:rFonts w:hint="eastAsia" w:ascii="仿宋_GB2312" w:eastAsia="仿宋_GB2312"/>
                <w:color w:val="auto"/>
                <w:sz w:val="24"/>
                <w:lang w:val="zh-CN"/>
              </w:rPr>
              <w:t>保证金收款账户名：</w:t>
            </w:r>
            <w:r>
              <w:rPr>
                <w:rFonts w:hint="eastAsia" w:ascii="仿宋_GB2312" w:eastAsia="仿宋_GB2312"/>
                <w:color w:val="auto"/>
                <w:sz w:val="24"/>
              </w:rPr>
              <w:t>喀什域源建设工程项目管理有限公司</w:t>
            </w:r>
          </w:p>
          <w:p w14:paraId="685EC3FB">
            <w:pPr>
              <w:snapToGrid w:val="0"/>
              <w:textAlignment w:val="baseline"/>
              <w:rPr>
                <w:rFonts w:hint="eastAsia" w:ascii="仿宋_GB2312" w:eastAsia="仿宋_GB2312"/>
                <w:color w:val="auto"/>
                <w:sz w:val="24"/>
                <w:lang w:val="zh-CN"/>
              </w:rPr>
            </w:pPr>
            <w:r>
              <w:rPr>
                <w:rFonts w:hint="eastAsia" w:ascii="仿宋_GB2312" w:eastAsia="仿宋_GB2312"/>
                <w:color w:val="auto"/>
                <w:sz w:val="24"/>
                <w:lang w:val="zh-CN"/>
              </w:rPr>
              <w:t>账  </w:t>
            </w:r>
            <w:r>
              <w:rPr>
                <w:rFonts w:hint="eastAsia" w:ascii="仿宋_GB2312" w:eastAsia="仿宋_GB2312"/>
                <w:color w:val="auto"/>
                <w:sz w:val="24"/>
              </w:rPr>
              <w:t xml:space="preserve"> </w:t>
            </w:r>
            <w:r>
              <w:rPr>
                <w:rFonts w:hint="eastAsia" w:ascii="仿宋_GB2312" w:eastAsia="仿宋_GB2312"/>
                <w:color w:val="auto"/>
                <w:sz w:val="24"/>
                <w:lang w:val="zh-CN"/>
              </w:rPr>
              <w:t xml:space="preserve"> 号：</w:t>
            </w:r>
            <w:r>
              <w:rPr>
                <w:rFonts w:hint="eastAsia" w:ascii="仿宋_GB2312" w:eastAsia="仿宋_GB2312"/>
                <w:color w:val="auto"/>
                <w:sz w:val="24"/>
              </w:rPr>
              <w:t>30476601040005977</w:t>
            </w:r>
          </w:p>
          <w:p w14:paraId="132AC3E6">
            <w:pPr>
              <w:snapToGrid w:val="0"/>
              <w:textAlignment w:val="baseline"/>
              <w:rPr>
                <w:rFonts w:hint="eastAsia" w:ascii="仿宋_GB2312" w:eastAsia="仿宋_GB2312"/>
                <w:color w:val="auto"/>
                <w:sz w:val="24"/>
                <w:lang w:val="zh-CN"/>
              </w:rPr>
            </w:pPr>
            <w:r>
              <w:rPr>
                <w:rFonts w:hint="eastAsia" w:ascii="仿宋_GB2312" w:eastAsia="仿宋_GB2312"/>
                <w:color w:val="auto"/>
                <w:sz w:val="24"/>
                <w:lang w:val="zh-CN"/>
              </w:rPr>
              <w:t>开</w:t>
            </w:r>
            <w:r>
              <w:rPr>
                <w:rFonts w:hint="eastAsia" w:ascii="仿宋_GB2312" w:eastAsia="仿宋_GB2312"/>
                <w:color w:val="auto"/>
                <w:sz w:val="24"/>
              </w:rPr>
              <w:t xml:space="preserve"> </w:t>
            </w:r>
            <w:r>
              <w:rPr>
                <w:rFonts w:hint="eastAsia" w:ascii="仿宋_GB2312" w:eastAsia="仿宋_GB2312"/>
                <w:color w:val="auto"/>
                <w:sz w:val="24"/>
                <w:lang w:val="zh-CN"/>
              </w:rPr>
              <w:t>户</w:t>
            </w:r>
            <w:r>
              <w:rPr>
                <w:rFonts w:hint="eastAsia" w:ascii="仿宋_GB2312" w:eastAsia="仿宋_GB2312"/>
                <w:color w:val="auto"/>
                <w:sz w:val="24"/>
              </w:rPr>
              <w:t xml:space="preserve"> </w:t>
            </w:r>
            <w:r>
              <w:rPr>
                <w:rFonts w:hint="eastAsia" w:ascii="仿宋_GB2312" w:eastAsia="仿宋_GB2312"/>
                <w:color w:val="auto"/>
                <w:sz w:val="24"/>
                <w:lang w:val="zh-CN"/>
              </w:rPr>
              <w:t>行：</w:t>
            </w:r>
            <w:r>
              <w:rPr>
                <w:rFonts w:hint="eastAsia" w:ascii="仿宋_GB2312" w:eastAsia="仿宋_GB2312"/>
                <w:color w:val="auto"/>
                <w:sz w:val="24"/>
              </w:rPr>
              <w:t>中国农业银行股份有限公司喀什东湖小区支行</w:t>
            </w:r>
          </w:p>
          <w:p w14:paraId="4D49AD04">
            <w:pPr>
              <w:snapToGrid w:val="0"/>
              <w:textAlignment w:val="baseline"/>
              <w:rPr>
                <w:rFonts w:hint="eastAsia" w:ascii="仿宋_GB2312" w:eastAsia="仿宋_GB2312"/>
                <w:color w:val="auto"/>
                <w:sz w:val="24"/>
              </w:rPr>
            </w:pPr>
            <w:r>
              <w:rPr>
                <w:rFonts w:hint="eastAsia" w:ascii="仿宋_GB2312" w:eastAsia="仿宋_GB2312"/>
                <w:color w:val="auto"/>
                <w:sz w:val="24"/>
                <w:lang w:val="zh-CN"/>
              </w:rPr>
              <w:t xml:space="preserve">行  </w:t>
            </w:r>
            <w:r>
              <w:rPr>
                <w:rFonts w:hint="eastAsia" w:ascii="仿宋_GB2312" w:eastAsia="仿宋_GB2312"/>
                <w:color w:val="auto"/>
                <w:sz w:val="24"/>
              </w:rPr>
              <w:t xml:space="preserve">  </w:t>
            </w:r>
            <w:r>
              <w:rPr>
                <w:rFonts w:hint="eastAsia" w:ascii="仿宋_GB2312" w:eastAsia="仿宋_GB2312"/>
                <w:color w:val="auto"/>
                <w:sz w:val="24"/>
                <w:lang w:val="zh-CN"/>
              </w:rPr>
              <w:t>号：</w:t>
            </w:r>
            <w:r>
              <w:rPr>
                <w:rFonts w:hint="eastAsia" w:ascii="仿宋_GB2312" w:eastAsia="仿宋_GB2312"/>
                <w:color w:val="auto"/>
                <w:sz w:val="24"/>
              </w:rPr>
              <w:t>103894047666</w:t>
            </w:r>
          </w:p>
          <w:p w14:paraId="5F686CAE">
            <w:pPr>
              <w:snapToGrid w:val="0"/>
              <w:textAlignment w:val="baseline"/>
              <w:rPr>
                <w:rFonts w:hint="eastAsia" w:ascii="仿宋_GB2312" w:eastAsia="仿宋_GB2312"/>
                <w:color w:val="auto"/>
                <w:sz w:val="24"/>
              </w:rPr>
            </w:pPr>
            <w:r>
              <w:rPr>
                <w:rFonts w:hint="eastAsia" w:ascii="仿宋_GB2312" w:eastAsia="仿宋_GB2312"/>
                <w:color w:val="auto"/>
                <w:sz w:val="24"/>
              </w:rPr>
              <w:t>注：根据新财购〔2023〕25号《关于在政府采购活动中进一步推动开展信用担保工作的通知》相关要求，结合采购单位实际情况，该项目鼓励所有投标商使用电子保函的方式缴纳投标保证金。</w:t>
            </w:r>
          </w:p>
          <w:p w14:paraId="224EB48C">
            <w:pPr>
              <w:pStyle w:val="102"/>
              <w:topLinePunct/>
              <w:spacing w:line="240" w:lineRule="atLeast"/>
              <w:ind w:firstLine="2"/>
              <w:rPr>
                <w:rFonts w:hint="eastAsia" w:ascii="仿宋_GB2312" w:hAnsi="Times New Roman" w:eastAsia="仿宋_GB2312" w:cs="Times New Roman"/>
                <w:color w:val="auto"/>
              </w:rPr>
            </w:pPr>
            <w:r>
              <w:rPr>
                <w:rFonts w:hint="eastAsia" w:ascii="仿宋_GB2312" w:hAnsi="Times New Roman" w:eastAsia="仿宋_GB2312" w:cs="Times New Roman"/>
                <w:color w:val="auto"/>
              </w:rPr>
              <w:t>1.打款时必须注明投标保证金项目名称或项目编号、分包（如有）（否则视为无效打款）</w:t>
            </w:r>
          </w:p>
          <w:p w14:paraId="5134F6C1">
            <w:pPr>
              <w:pStyle w:val="102"/>
              <w:topLinePunct/>
              <w:spacing w:line="240" w:lineRule="atLeast"/>
              <w:ind w:firstLine="2"/>
              <w:rPr>
                <w:rFonts w:hint="eastAsia" w:ascii="仿宋_GB2312" w:hAnsi="Times New Roman" w:eastAsia="仿宋_GB2312" w:cs="Times New Roman"/>
                <w:color w:val="auto"/>
              </w:rPr>
            </w:pPr>
            <w:r>
              <w:rPr>
                <w:rFonts w:hint="eastAsia" w:ascii="仿宋_GB2312" w:hAnsi="Times New Roman" w:eastAsia="仿宋_GB2312" w:cs="Times New Roman"/>
                <w:color w:val="auto"/>
              </w:rPr>
              <w:t>2.到账截止时间：投标截止时间前（以到账时间为准，节假日除外）。打款后请联系采购人查询是否到账，本项目不需要换取收据，银行汇款凭证用于投标保证金证明。如因投标人自身原因打款不成功的，以无效标处理。</w:t>
            </w:r>
          </w:p>
          <w:p w14:paraId="5046BFB5">
            <w:pPr>
              <w:snapToGrid w:val="0"/>
              <w:textAlignment w:val="baseline"/>
              <w:rPr>
                <w:rFonts w:hint="eastAsia" w:ascii="仿宋_GB2312" w:eastAsia="仿宋_GB2312"/>
                <w:color w:val="auto"/>
                <w:sz w:val="24"/>
              </w:rPr>
            </w:pPr>
            <w:r>
              <w:rPr>
                <w:rFonts w:hint="eastAsia" w:ascii="仿宋_GB2312" w:eastAsia="仿宋_GB2312"/>
                <w:color w:val="auto"/>
                <w:sz w:val="24"/>
              </w:rPr>
              <w:t>3、投标保证金的退还：</w:t>
            </w:r>
            <w:r>
              <w:rPr>
                <w:color w:val="auto"/>
              </w:rPr>
              <w:fldChar w:fldCharType="begin"/>
            </w:r>
            <w:r>
              <w:rPr>
                <w:color w:val="auto"/>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color w:val="auto"/>
              </w:rPr>
              <w:fldChar w:fldCharType="separate"/>
            </w:r>
            <w:r>
              <w:rPr>
                <w:rFonts w:hint="eastAsia" w:ascii="仿宋_GB2312" w:eastAsia="仿宋_GB2312"/>
                <w:color w:val="auto"/>
                <w:sz w:val="24"/>
              </w:rPr>
              <w:t>根据财政部令第74号《政府采购非招标采购方式管理办法》第二十条规定：采购人或者采购代理机构应当在采购活动结束后及时退还供应商的保证金，但因供应商自身原因导致无法及时退还的除外。采购人应当自中标通知书发出之日起5个工作日内退还未中标人的投标保证金，自采购合同签订之日起5个工作日内退还中标人的投标保证金（具体以投标人与采购人约定为准）。</w:t>
            </w:r>
            <w:r>
              <w:rPr>
                <w:rFonts w:hint="eastAsia" w:ascii="仿宋_GB2312" w:eastAsia="仿宋_GB2312"/>
                <w:color w:val="auto"/>
                <w:sz w:val="24"/>
              </w:rPr>
              <w:fldChar w:fldCharType="end"/>
            </w:r>
          </w:p>
        </w:tc>
      </w:tr>
      <w:tr w14:paraId="33D28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086B84FB">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13.1</w:t>
            </w:r>
          </w:p>
        </w:tc>
        <w:tc>
          <w:tcPr>
            <w:tcW w:w="9695" w:type="dxa"/>
            <w:vAlign w:val="center"/>
          </w:tcPr>
          <w:p w14:paraId="4E753C3C">
            <w:pPr>
              <w:snapToGrid w:val="0"/>
              <w:textAlignment w:val="baseline"/>
              <w:rPr>
                <w:rFonts w:hint="eastAsia" w:ascii="仿宋_GB2312" w:eastAsia="仿宋_GB2312"/>
                <w:color w:val="auto"/>
                <w:sz w:val="24"/>
                <w:u w:val="single" w:color="000000"/>
              </w:rPr>
            </w:pPr>
            <w:r>
              <w:rPr>
                <w:rFonts w:hint="eastAsia" w:ascii="仿宋_GB2312" w:eastAsia="仿宋_GB2312"/>
                <w:color w:val="auto"/>
                <w:sz w:val="24"/>
              </w:rPr>
              <w:t>谈判有效期：提交响应文件截止之日起</w:t>
            </w:r>
            <w:r>
              <w:rPr>
                <w:rFonts w:hint="eastAsia" w:ascii="仿宋_GB2312" w:eastAsia="仿宋_GB2312"/>
                <w:color w:val="auto"/>
                <w:sz w:val="24"/>
                <w:u w:val="single"/>
              </w:rPr>
              <w:t>90</w:t>
            </w:r>
            <w:r>
              <w:rPr>
                <w:rFonts w:hint="eastAsia" w:ascii="仿宋_GB2312" w:eastAsia="仿宋_GB2312"/>
                <w:color w:val="auto"/>
                <w:sz w:val="24"/>
              </w:rPr>
              <w:t>自然日（日历日）</w:t>
            </w:r>
          </w:p>
        </w:tc>
      </w:tr>
      <w:tr w14:paraId="29ECD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786" w:type="dxa"/>
            <w:vAlign w:val="center"/>
          </w:tcPr>
          <w:p w14:paraId="5618B82B">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14.1</w:t>
            </w:r>
          </w:p>
        </w:tc>
        <w:tc>
          <w:tcPr>
            <w:tcW w:w="9695" w:type="dxa"/>
            <w:vAlign w:val="center"/>
          </w:tcPr>
          <w:p w14:paraId="786C707A">
            <w:pPr>
              <w:spacing w:line="360" w:lineRule="exact"/>
              <w:rPr>
                <w:rFonts w:hint="eastAsia" w:ascii="仿宋_GB2312" w:eastAsia="仿宋_GB2312"/>
                <w:color w:val="auto"/>
                <w:sz w:val="24"/>
              </w:rPr>
            </w:pPr>
            <w:r>
              <w:rPr>
                <w:rFonts w:hint="eastAsia" w:ascii="仿宋_GB2312" w:eastAsia="仿宋_GB2312"/>
                <w:color w:val="auto"/>
                <w:sz w:val="24"/>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60E5ADBB">
            <w:pPr>
              <w:spacing w:line="360" w:lineRule="exact"/>
              <w:rPr>
                <w:rFonts w:hint="eastAsia" w:ascii="仿宋_GB2312" w:eastAsia="仿宋_GB2312"/>
                <w:color w:val="auto"/>
                <w:sz w:val="24"/>
              </w:rPr>
            </w:pPr>
            <w:r>
              <w:rPr>
                <w:rFonts w:hint="eastAsia" w:ascii="仿宋_GB2312" w:eastAsia="仿宋_GB2312"/>
                <w:color w:val="auto"/>
                <w:sz w:val="24"/>
              </w:rPr>
              <w:t>2、本项目实行网上投标，采用电子响应文件(供应商须使用 CA 加密设备通过政采云电子投标客户端制作响应文件)。若供应商参与投标，自行承担投标一切费用。</w:t>
            </w:r>
          </w:p>
          <w:p w14:paraId="34CC240E">
            <w:pPr>
              <w:spacing w:line="360" w:lineRule="exact"/>
              <w:rPr>
                <w:rFonts w:hint="eastAsia" w:ascii="仿宋_GB2312" w:eastAsia="仿宋_GB2312"/>
                <w:color w:val="auto"/>
                <w:sz w:val="24"/>
              </w:rPr>
            </w:pPr>
            <w:r>
              <w:rPr>
                <w:rFonts w:hint="eastAsia" w:ascii="仿宋_GB2312" w:eastAsia="仿宋_GB2312"/>
                <w:color w:val="auto"/>
                <w:sz w:val="24"/>
              </w:rPr>
              <w:t>3、各供应商应在开标前应确保成为新疆政府采购网正式注册入库供应商，并完成 CA 数字证书申领。因未注册入库、未办理 CA 数字证书等原因造成无法投标或投标失败等后果由供应商自行承担。</w:t>
            </w:r>
          </w:p>
          <w:p w14:paraId="1FCF1A36">
            <w:pPr>
              <w:spacing w:line="360" w:lineRule="exact"/>
              <w:rPr>
                <w:rFonts w:hint="eastAsia" w:ascii="仿宋_GB2312" w:eastAsia="仿宋_GB2312"/>
                <w:color w:val="auto"/>
                <w:sz w:val="24"/>
              </w:rPr>
            </w:pPr>
            <w:r>
              <w:rPr>
                <w:rFonts w:hint="eastAsia" w:ascii="仿宋_GB2312" w:eastAsia="仿宋_GB2312"/>
                <w:color w:val="auto"/>
                <w:sz w:val="24"/>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color w:val="auto"/>
              </w:rPr>
              <w:fldChar w:fldCharType="begin"/>
            </w:r>
            <w:r>
              <w:rPr>
                <w:color w:val="auto"/>
              </w:rPr>
              <w:instrText xml:space="preserve"> HYPERLINK "http://www.ccgp-xinjiang.gov.cn/" \h </w:instrText>
            </w:r>
            <w:r>
              <w:rPr>
                <w:color w:val="auto"/>
              </w:rPr>
              <w:fldChar w:fldCharType="separate"/>
            </w:r>
            <w:r>
              <w:rPr>
                <w:rFonts w:hint="eastAsia" w:ascii="仿宋_GB2312" w:eastAsia="仿宋_GB2312"/>
                <w:color w:val="auto"/>
                <w:sz w:val="24"/>
              </w:rPr>
              <w:t>（http://www.ccgp-xinjiang.gov.cn/</w:t>
            </w:r>
            <w:r>
              <w:rPr>
                <w:rFonts w:hint="eastAsia" w:ascii="仿宋_GB2312" w:eastAsia="仿宋_GB2312"/>
                <w:color w:val="auto"/>
                <w:sz w:val="24"/>
              </w:rPr>
              <w:fldChar w:fldCharType="end"/>
            </w:r>
            <w:r>
              <w:rPr>
                <w:rFonts w:hint="eastAsia" w:ascii="仿宋_GB2312" w:eastAsia="仿宋_GB2312"/>
                <w:color w:val="auto"/>
                <w:sz w:val="24"/>
              </w:rPr>
              <w:t>）下载专区查看，如有问题可拨打政采云客户服务热线400-881-7190或95763进行咨询。</w:t>
            </w:r>
          </w:p>
          <w:p w14:paraId="4DF005BB">
            <w:pPr>
              <w:pStyle w:val="14"/>
              <w:rPr>
                <w:rFonts w:hint="eastAsia" w:ascii="仿宋_GB2312" w:hAnsi="Times New Roman" w:eastAsia="仿宋_GB2312"/>
                <w:color w:val="auto"/>
              </w:rPr>
            </w:pPr>
            <w:r>
              <w:rPr>
                <w:rFonts w:hint="eastAsia" w:ascii="仿宋_GB2312" w:hAnsi="Times New Roman" w:eastAsia="仿宋_GB2312"/>
                <w:color w:val="auto"/>
              </w:rPr>
              <w:t>5、供应商在开标时须使用制作加密电子响应文件所使用的 CA 锁及电脑，电脑须提前配置好浏览器（建议使用谷歌浏览器），以便开标时解锁。</w:t>
            </w:r>
          </w:p>
          <w:p w14:paraId="2F614420">
            <w:pPr>
              <w:rPr>
                <w:rFonts w:hint="eastAsia" w:ascii="仿宋_GB2312" w:eastAsia="仿宋_GB2312"/>
                <w:color w:val="auto"/>
                <w:sz w:val="24"/>
              </w:rPr>
            </w:pPr>
            <w:r>
              <w:rPr>
                <w:rFonts w:hint="eastAsia" w:ascii="仿宋_GB2312" w:eastAsia="仿宋_GB2312"/>
                <w:color w:val="auto"/>
                <w:sz w:val="24"/>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5DAA3BD7">
            <w:pPr>
              <w:pStyle w:val="10"/>
              <w:spacing w:line="360" w:lineRule="exact"/>
              <w:ind w:firstLine="0"/>
              <w:jc w:val="both"/>
              <w:rPr>
                <w:rFonts w:hint="eastAsia" w:ascii="仿宋_GB2312" w:eastAsia="仿宋_GB2312"/>
                <w:color w:val="auto"/>
                <w:szCs w:val="24"/>
              </w:rPr>
            </w:pPr>
            <w:r>
              <w:rPr>
                <w:rFonts w:hint="eastAsia" w:ascii="仿宋_GB2312" w:eastAsia="仿宋_GB2312"/>
                <w:color w:val="auto"/>
                <w:szCs w:val="24"/>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A41083B">
            <w:pPr>
              <w:pStyle w:val="10"/>
              <w:spacing w:line="360" w:lineRule="exact"/>
              <w:ind w:firstLine="0"/>
              <w:jc w:val="both"/>
              <w:rPr>
                <w:rFonts w:hint="eastAsia" w:ascii="仿宋_GB2312" w:eastAsia="仿宋_GB2312"/>
                <w:color w:val="auto"/>
                <w:szCs w:val="24"/>
              </w:rPr>
            </w:pPr>
            <w:r>
              <w:rPr>
                <w:rFonts w:hint="eastAsia" w:ascii="仿宋_GB2312" w:eastAsia="仿宋_GB2312"/>
                <w:color w:val="auto"/>
                <w:kern w:val="2"/>
                <w:szCs w:val="24"/>
              </w:rPr>
              <w:t>8、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4B919836">
            <w:pPr>
              <w:pStyle w:val="10"/>
              <w:spacing w:line="360" w:lineRule="exact"/>
              <w:ind w:firstLine="0"/>
              <w:jc w:val="both"/>
              <w:rPr>
                <w:rFonts w:hint="eastAsia" w:ascii="仿宋_GB2312" w:eastAsia="仿宋_GB2312"/>
                <w:color w:val="auto"/>
                <w:szCs w:val="24"/>
              </w:rPr>
            </w:pPr>
            <w:r>
              <w:rPr>
                <w:rFonts w:hint="eastAsia" w:ascii="仿宋_GB2312" w:eastAsia="仿宋_GB2312"/>
                <w:color w:val="auto"/>
                <w:kern w:val="2"/>
                <w:szCs w:val="24"/>
              </w:rPr>
              <w:t>9、解密时长为30分钟。</w:t>
            </w:r>
          </w:p>
        </w:tc>
      </w:tr>
      <w:tr w14:paraId="08516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6" w:type="dxa"/>
            <w:vAlign w:val="center"/>
          </w:tcPr>
          <w:p w14:paraId="2B9F893B">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16.1</w:t>
            </w:r>
          </w:p>
        </w:tc>
        <w:tc>
          <w:tcPr>
            <w:tcW w:w="9695" w:type="dxa"/>
            <w:vAlign w:val="center"/>
          </w:tcPr>
          <w:p w14:paraId="75BA3C16">
            <w:pPr>
              <w:snapToGrid w:val="0"/>
              <w:textAlignment w:val="baseline"/>
              <w:rPr>
                <w:rFonts w:hint="eastAsia" w:ascii="仿宋_GB2312" w:eastAsia="仿宋_GB2312"/>
                <w:color w:val="auto"/>
                <w:sz w:val="24"/>
              </w:rPr>
            </w:pPr>
            <w:r>
              <w:rPr>
                <w:rFonts w:hint="eastAsia" w:ascii="仿宋_GB2312" w:eastAsia="仿宋_GB2312"/>
                <w:color w:val="auto"/>
                <w:sz w:val="24"/>
              </w:rPr>
              <w:t>响应文件递交截止时间：2025年7月</w:t>
            </w:r>
            <w:r>
              <w:rPr>
                <w:rFonts w:hint="eastAsia" w:ascii="仿宋_GB2312" w:eastAsia="仿宋_GB2312"/>
                <w:color w:val="auto"/>
                <w:sz w:val="24"/>
                <w:lang w:val="en-US" w:eastAsia="zh-CN"/>
              </w:rPr>
              <w:t>23</w:t>
            </w:r>
            <w:r>
              <w:rPr>
                <w:rFonts w:hint="eastAsia" w:ascii="仿宋_GB2312" w:eastAsia="仿宋_GB2312"/>
                <w:color w:val="auto"/>
                <w:sz w:val="24"/>
              </w:rPr>
              <w:t>日上午11点00分（北京时间）</w:t>
            </w:r>
          </w:p>
        </w:tc>
      </w:tr>
      <w:tr w14:paraId="0F8D9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25B6C1BC">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18.1</w:t>
            </w:r>
          </w:p>
        </w:tc>
        <w:tc>
          <w:tcPr>
            <w:tcW w:w="9695" w:type="dxa"/>
            <w:vAlign w:val="center"/>
          </w:tcPr>
          <w:p w14:paraId="444A988F">
            <w:pPr>
              <w:snapToGrid w:val="0"/>
              <w:textAlignment w:val="baseline"/>
              <w:rPr>
                <w:rFonts w:hint="eastAsia" w:ascii="仿宋_GB2312" w:eastAsia="仿宋_GB2312"/>
                <w:color w:val="auto"/>
                <w:kern w:val="0"/>
                <w:sz w:val="24"/>
              </w:rPr>
            </w:pPr>
            <w:r>
              <w:rPr>
                <w:rFonts w:hint="eastAsia" w:ascii="仿宋_GB2312" w:eastAsia="仿宋_GB2312"/>
                <w:color w:val="auto"/>
                <w:sz w:val="24"/>
              </w:rPr>
              <w:t>开标时间</w:t>
            </w:r>
            <w:r>
              <w:rPr>
                <w:rFonts w:hint="eastAsia" w:ascii="仿宋_GB2312" w:eastAsia="仿宋_GB2312"/>
                <w:color w:val="auto"/>
                <w:kern w:val="0"/>
                <w:sz w:val="24"/>
              </w:rPr>
              <w:t>：</w:t>
            </w:r>
            <w:r>
              <w:rPr>
                <w:rFonts w:hint="eastAsia" w:ascii="仿宋_GB2312" w:eastAsia="仿宋_GB2312"/>
                <w:color w:val="auto"/>
                <w:sz w:val="24"/>
              </w:rPr>
              <w:t>2025年7月</w:t>
            </w:r>
            <w:r>
              <w:rPr>
                <w:rFonts w:hint="eastAsia" w:ascii="仿宋_GB2312" w:eastAsia="仿宋_GB2312"/>
                <w:color w:val="auto"/>
                <w:sz w:val="24"/>
                <w:lang w:val="en-US" w:eastAsia="zh-CN"/>
              </w:rPr>
              <w:t>23</w:t>
            </w:r>
            <w:r>
              <w:rPr>
                <w:rFonts w:hint="eastAsia" w:ascii="仿宋_GB2312" w:eastAsia="仿宋_GB2312"/>
                <w:color w:val="auto"/>
                <w:sz w:val="24"/>
              </w:rPr>
              <w:t>日上午11点00分（北京时间）</w:t>
            </w:r>
          </w:p>
          <w:p w14:paraId="7BEEA0CD">
            <w:pPr>
              <w:snapToGrid w:val="0"/>
              <w:textAlignment w:val="baseline"/>
              <w:rPr>
                <w:rFonts w:hint="eastAsia" w:ascii="仿宋_GB2312" w:eastAsia="仿宋_GB2312"/>
                <w:color w:val="auto"/>
                <w:sz w:val="24"/>
              </w:rPr>
            </w:pPr>
            <w:r>
              <w:rPr>
                <w:rFonts w:hint="eastAsia" w:ascii="仿宋_GB2312" w:eastAsia="仿宋_GB2312"/>
                <w:color w:val="auto"/>
                <w:sz w:val="24"/>
              </w:rPr>
              <w:t>开标地点</w:t>
            </w:r>
            <w:r>
              <w:rPr>
                <w:rFonts w:hint="eastAsia" w:ascii="仿宋_GB2312" w:eastAsia="仿宋_GB2312"/>
                <w:color w:val="auto"/>
                <w:kern w:val="0"/>
                <w:sz w:val="24"/>
              </w:rPr>
              <w:t>：</w:t>
            </w:r>
            <w:r>
              <w:rPr>
                <w:rFonts w:hint="eastAsia" w:ascii="仿宋_GB2312" w:eastAsia="仿宋_GB2312"/>
                <w:color w:val="auto"/>
                <w:sz w:val="24"/>
              </w:rPr>
              <w:t>政采云平台--不见面开标大厅</w:t>
            </w:r>
          </w:p>
        </w:tc>
      </w:tr>
      <w:tr w14:paraId="471EF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6" w:type="dxa"/>
            <w:vAlign w:val="center"/>
          </w:tcPr>
          <w:p w14:paraId="098BD52A">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23</w:t>
            </w:r>
          </w:p>
        </w:tc>
        <w:tc>
          <w:tcPr>
            <w:tcW w:w="9695" w:type="dxa"/>
            <w:vAlign w:val="center"/>
          </w:tcPr>
          <w:p w14:paraId="72009F8B">
            <w:pPr>
              <w:snapToGrid w:val="0"/>
              <w:textAlignment w:val="baseline"/>
              <w:rPr>
                <w:rFonts w:hint="eastAsia" w:ascii="仿宋_GB2312" w:eastAsia="仿宋_GB2312"/>
                <w:i/>
                <w:color w:val="auto"/>
                <w:sz w:val="24"/>
              </w:rPr>
            </w:pPr>
            <w:r>
              <w:rPr>
                <w:rFonts w:hint="eastAsia" w:ascii="仿宋_GB2312" w:eastAsia="仿宋_GB2312"/>
                <w:color w:val="auto"/>
                <w:sz w:val="24"/>
              </w:rPr>
              <w:t>招标方式：</w:t>
            </w:r>
            <w:r>
              <w:rPr>
                <w:rFonts w:hint="eastAsia" w:ascii="仿宋_GB2312" w:eastAsia="仿宋_GB2312"/>
                <w:color w:val="auto"/>
                <w:sz w:val="24"/>
                <w:u w:val="single"/>
              </w:rPr>
              <w:t xml:space="preserve">竞争性谈判。 </w:t>
            </w:r>
            <w:r>
              <w:rPr>
                <w:rFonts w:hint="eastAsia" w:ascii="仿宋_GB2312" w:eastAsia="仿宋_GB2312"/>
                <w:color w:val="auto"/>
                <w:sz w:val="24"/>
              </w:rPr>
              <w:t>评审方法：</w:t>
            </w:r>
            <w:r>
              <w:rPr>
                <w:rFonts w:hint="eastAsia" w:ascii="仿宋_GB2312" w:eastAsia="仿宋_GB2312"/>
                <w:color w:val="auto"/>
                <w:sz w:val="24"/>
                <w:u w:val="single"/>
              </w:rPr>
              <w:t>最低价评标法。</w:t>
            </w:r>
            <w:r>
              <w:rPr>
                <w:rFonts w:hint="eastAsia" w:ascii="仿宋_GB2312" w:eastAsia="仿宋_GB2312"/>
                <w:color w:val="auto"/>
                <w:sz w:val="24"/>
              </w:rPr>
              <w:t>　　</w:t>
            </w:r>
          </w:p>
        </w:tc>
      </w:tr>
      <w:tr w14:paraId="01B89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6" w:type="dxa"/>
            <w:vAlign w:val="center"/>
          </w:tcPr>
          <w:p w14:paraId="42289649">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27</w:t>
            </w:r>
          </w:p>
        </w:tc>
        <w:tc>
          <w:tcPr>
            <w:tcW w:w="9695" w:type="dxa"/>
            <w:vAlign w:val="center"/>
          </w:tcPr>
          <w:p w14:paraId="14DF28C2">
            <w:pPr>
              <w:snapToGrid w:val="0"/>
              <w:textAlignment w:val="baseline"/>
              <w:rPr>
                <w:rFonts w:hint="eastAsia" w:ascii="仿宋_GB2312" w:eastAsia="仿宋_GB2312"/>
                <w:color w:val="auto"/>
                <w:sz w:val="24"/>
              </w:rPr>
            </w:pPr>
            <w:r>
              <w:rPr>
                <w:rFonts w:hint="eastAsia" w:ascii="仿宋_GB2312" w:eastAsia="仿宋_GB2312"/>
                <w:color w:val="auto"/>
                <w:sz w:val="24"/>
              </w:rPr>
              <w:t>推荐成交候选供应商的数量：</w:t>
            </w:r>
            <w:r>
              <w:rPr>
                <w:rFonts w:hint="eastAsia" w:ascii="仿宋_GB2312" w:eastAsia="仿宋_GB2312"/>
                <w:color w:val="auto"/>
                <w:sz w:val="24"/>
                <w:u w:val="single" w:color="000000"/>
              </w:rPr>
              <w:t>　   3　　</w:t>
            </w:r>
          </w:p>
        </w:tc>
      </w:tr>
      <w:tr w14:paraId="7698E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238C0759">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27</w:t>
            </w:r>
          </w:p>
        </w:tc>
        <w:tc>
          <w:tcPr>
            <w:tcW w:w="9695" w:type="dxa"/>
            <w:vAlign w:val="center"/>
          </w:tcPr>
          <w:p w14:paraId="3FA18332">
            <w:pPr>
              <w:snapToGrid w:val="0"/>
              <w:textAlignment w:val="baseline"/>
              <w:rPr>
                <w:rFonts w:hint="eastAsia" w:ascii="仿宋_GB2312" w:eastAsia="仿宋_GB2312"/>
                <w:color w:val="auto"/>
                <w:sz w:val="24"/>
              </w:rPr>
            </w:pPr>
            <w:r>
              <w:rPr>
                <w:rFonts w:hint="eastAsia" w:ascii="仿宋_GB2312" w:eastAsia="仿宋_GB2312"/>
                <w:color w:val="auto"/>
                <w:sz w:val="24"/>
              </w:rPr>
              <w:t>采购人是否委托谈判小组直接确定成交供应商：</w:t>
            </w:r>
            <w:r>
              <w:rPr>
                <w:rFonts w:hint="eastAsia" w:ascii="仿宋_GB2312" w:eastAsia="仿宋_GB2312"/>
                <w:color w:val="auto"/>
                <w:sz w:val="24"/>
                <w:u w:val="single" w:color="000000"/>
              </w:rPr>
              <w:t xml:space="preserve">  否  </w:t>
            </w:r>
            <w:r>
              <w:rPr>
                <w:rFonts w:hint="eastAsia" w:ascii="仿宋_GB2312" w:eastAsia="仿宋_GB2312"/>
                <w:i/>
                <w:iCs/>
                <w:color w:val="auto"/>
                <w:sz w:val="24"/>
              </w:rPr>
              <w:t xml:space="preserve">（是、否） </w:t>
            </w:r>
          </w:p>
        </w:tc>
      </w:tr>
      <w:tr w14:paraId="592E4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6" w:type="dxa"/>
            <w:vAlign w:val="center"/>
          </w:tcPr>
          <w:p w14:paraId="12835D33">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31.1</w:t>
            </w:r>
          </w:p>
        </w:tc>
        <w:tc>
          <w:tcPr>
            <w:tcW w:w="9695" w:type="dxa"/>
            <w:vAlign w:val="center"/>
          </w:tcPr>
          <w:p w14:paraId="2D7637E8">
            <w:pPr>
              <w:snapToGrid w:val="0"/>
              <w:textAlignment w:val="baseline"/>
              <w:rPr>
                <w:rFonts w:hint="eastAsia" w:ascii="仿宋_GB2312" w:eastAsia="仿宋_GB2312"/>
                <w:color w:val="auto"/>
                <w:sz w:val="24"/>
                <w:u w:val="single" w:color="000000"/>
              </w:rPr>
            </w:pPr>
            <w:r>
              <w:rPr>
                <w:rFonts w:hint="eastAsia" w:ascii="仿宋_GB2312" w:eastAsia="仿宋_GB2312"/>
                <w:color w:val="auto"/>
                <w:sz w:val="24"/>
              </w:rPr>
              <w:t>履约保证金金额：合同总价的</w:t>
            </w:r>
            <w:r>
              <w:rPr>
                <w:rFonts w:hint="eastAsia" w:ascii="仿宋_GB2312" w:eastAsia="仿宋_GB2312"/>
                <w:color w:val="auto"/>
                <w:sz w:val="24"/>
                <w:u w:val="single" w:color="000000"/>
              </w:rPr>
              <w:t>　5%（打入甲方账号，具体以签订合同为准）</w:t>
            </w:r>
          </w:p>
          <w:p w14:paraId="48FF723D">
            <w:pPr>
              <w:snapToGrid w:val="0"/>
              <w:textAlignment w:val="baseline"/>
              <w:rPr>
                <w:rFonts w:hint="eastAsia" w:ascii="仿宋_GB2312" w:eastAsia="仿宋_GB2312"/>
                <w:color w:val="auto"/>
                <w:sz w:val="24"/>
              </w:rPr>
            </w:pPr>
            <w:r>
              <w:rPr>
                <w:rFonts w:hint="eastAsia" w:ascii="仿宋_GB2312" w:eastAsia="仿宋_GB2312"/>
                <w:color w:val="auto"/>
                <w:sz w:val="24"/>
              </w:rPr>
              <w:t>履约保证金形式：</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保函</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电汇</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支票</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对公转账</w:t>
            </w:r>
            <w:r>
              <w:rPr>
                <w:rFonts w:hint="eastAsia" w:ascii="仿宋_GB2312" w:eastAsia="仿宋_GB2312"/>
                <w:color w:val="auto"/>
                <w:sz w:val="24"/>
              </w:rPr>
              <w:t xml:space="preserve">  </w:t>
            </w:r>
            <w:r>
              <w:rPr>
                <w:rFonts w:hint="eastAsia" w:ascii="MS Mincho" w:hAnsi="MS Mincho" w:eastAsia="MS Mincho" w:cs="MS Mincho"/>
                <w:color w:val="auto"/>
                <w:sz w:val="24"/>
              </w:rPr>
              <w:t>☑</w:t>
            </w:r>
            <w:r>
              <w:rPr>
                <w:rFonts w:hint="eastAsia" w:ascii="仿宋_GB2312" w:hAnsi="仿宋_GB2312" w:eastAsia="仿宋_GB2312" w:cs="仿宋_GB2312"/>
                <w:color w:val="auto"/>
                <w:sz w:val="24"/>
              </w:rPr>
              <w:t>网银</w:t>
            </w:r>
            <w:r>
              <w:rPr>
                <w:rFonts w:hint="eastAsia" w:ascii="仿宋_GB2312" w:eastAsia="仿宋_GB2312"/>
                <w:color w:val="auto"/>
                <w:sz w:val="24"/>
              </w:rPr>
              <w:t xml:space="preserve">  </w:t>
            </w:r>
          </w:p>
          <w:p w14:paraId="5D4CF515">
            <w:pPr>
              <w:snapToGrid w:val="0"/>
              <w:textAlignment w:val="baseline"/>
              <w:rPr>
                <w:rFonts w:hint="eastAsia" w:ascii="仿宋_GB2312" w:eastAsia="仿宋_GB2312"/>
                <w:color w:val="auto"/>
                <w:sz w:val="24"/>
                <w:u w:val="single"/>
              </w:rPr>
            </w:pPr>
            <w:r>
              <w:rPr>
                <w:rFonts w:hint="eastAsia" w:ascii="仿宋_GB2312" w:eastAsia="仿宋_GB2312"/>
                <w:color w:val="auto"/>
                <w:sz w:val="24"/>
              </w:rPr>
              <w:t>提交履约保证金的时间：</w:t>
            </w:r>
            <w:r>
              <w:rPr>
                <w:rFonts w:hint="eastAsia" w:ascii="仿宋_GB2312" w:eastAsia="仿宋_GB2312"/>
                <w:color w:val="auto"/>
                <w:sz w:val="24"/>
                <w:u w:val="single"/>
              </w:rPr>
              <w:t>签订合同后及时打入甲方指定账户（具体以签订合同为准）</w:t>
            </w:r>
          </w:p>
          <w:p w14:paraId="4101659B">
            <w:pPr>
              <w:snapToGrid w:val="0"/>
              <w:textAlignment w:val="baseline"/>
              <w:rPr>
                <w:rFonts w:hint="eastAsia" w:ascii="仿宋_GB2312" w:eastAsia="仿宋_GB2312"/>
                <w:color w:val="auto"/>
                <w:sz w:val="24"/>
              </w:rPr>
            </w:pPr>
            <w:r>
              <w:rPr>
                <w:rFonts w:hint="eastAsia" w:ascii="仿宋_GB2312" w:eastAsia="仿宋_GB2312"/>
                <w:color w:val="auto"/>
                <w:sz w:val="24"/>
              </w:rPr>
              <w:t>提交履约保证金:中标单位需依法向采购单位缴纳5%的履约保证金。</w:t>
            </w:r>
          </w:p>
          <w:p w14:paraId="6E78FC11">
            <w:pPr>
              <w:snapToGrid w:val="0"/>
              <w:textAlignment w:val="baseline"/>
              <w:rPr>
                <w:rFonts w:hint="eastAsia" w:ascii="仿宋_GB2312" w:eastAsia="仿宋_GB2312"/>
                <w:color w:val="auto"/>
                <w:sz w:val="24"/>
                <w:u w:val="single" w:color="000000"/>
              </w:rPr>
            </w:pPr>
            <w:r>
              <w:rPr>
                <w:rFonts w:hint="eastAsia" w:ascii="仿宋_GB2312" w:eastAsia="仿宋_GB2312"/>
                <w:color w:val="auto"/>
                <w:sz w:val="24"/>
              </w:rPr>
              <w:t>注：双方可以通过协商另行约定其他退还时间和方式及用途。</w:t>
            </w:r>
          </w:p>
        </w:tc>
      </w:tr>
      <w:tr w14:paraId="6D467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43A85308">
            <w:pPr>
              <w:snapToGrid w:val="0"/>
              <w:jc w:val="center"/>
              <w:textAlignment w:val="baseline"/>
              <w:rPr>
                <w:rFonts w:ascii="仿宋_GB2312" w:eastAsia="仿宋_GB2312"/>
                <w:color w:val="auto"/>
                <w:sz w:val="24"/>
              </w:rPr>
            </w:pPr>
            <w:r>
              <w:rPr>
                <w:rFonts w:ascii="仿宋_GB2312" w:eastAsia="仿宋_GB2312"/>
                <w:color w:val="auto"/>
                <w:sz w:val="24"/>
              </w:rPr>
              <w:t>32</w:t>
            </w:r>
          </w:p>
        </w:tc>
        <w:tc>
          <w:tcPr>
            <w:tcW w:w="9695" w:type="dxa"/>
            <w:vAlign w:val="center"/>
          </w:tcPr>
          <w:p w14:paraId="4D9897C7">
            <w:pPr>
              <w:snapToGrid w:val="0"/>
              <w:textAlignment w:val="baseline"/>
              <w:rPr>
                <w:rFonts w:ascii="仿宋_GB2312" w:eastAsia="仿宋_GB2312"/>
                <w:color w:val="auto"/>
                <w:sz w:val="24"/>
              </w:rPr>
            </w:pPr>
            <w:r>
              <w:rPr>
                <w:rFonts w:ascii="仿宋_GB2312" w:eastAsia="仿宋_GB2312"/>
                <w:color w:val="auto"/>
                <w:sz w:val="24"/>
              </w:rPr>
              <w:t>成交服务费：根据（发改价格[2015]299号文件），</w:t>
            </w:r>
            <w:r>
              <w:rPr>
                <w:rFonts w:hint="eastAsia" w:ascii="仿宋_GB2312" w:eastAsia="仿宋_GB2312"/>
                <w:color w:val="auto"/>
                <w:sz w:val="24"/>
              </w:rPr>
              <w:t>本项目代理服务费按中标金额的1.5%收取</w:t>
            </w:r>
            <w:r>
              <w:rPr>
                <w:rFonts w:ascii="仿宋_GB2312" w:eastAsia="仿宋_GB2312"/>
                <w:color w:val="auto"/>
                <w:sz w:val="24"/>
              </w:rPr>
              <w:t xml:space="preserve">。 </w:t>
            </w:r>
          </w:p>
          <w:p w14:paraId="1C6717A9">
            <w:pPr>
              <w:snapToGrid w:val="0"/>
              <w:textAlignment w:val="baseline"/>
              <w:rPr>
                <w:rFonts w:ascii="仿宋_GB2312" w:eastAsia="仿宋_GB2312"/>
                <w:color w:val="auto"/>
                <w:sz w:val="24"/>
              </w:rPr>
            </w:pPr>
            <w:r>
              <w:rPr>
                <w:rFonts w:ascii="仿宋_GB2312" w:eastAsia="仿宋_GB2312"/>
                <w:color w:val="auto"/>
                <w:sz w:val="24"/>
              </w:rPr>
              <w:t xml:space="preserve">支付形式： 对公转账  </w:t>
            </w:r>
          </w:p>
          <w:p w14:paraId="58BE1D92">
            <w:pPr>
              <w:snapToGrid w:val="0"/>
              <w:textAlignment w:val="baseline"/>
              <w:rPr>
                <w:rFonts w:ascii="仿宋_GB2312" w:eastAsia="仿宋_GB2312"/>
                <w:color w:val="auto"/>
                <w:sz w:val="24"/>
              </w:rPr>
            </w:pPr>
            <w:r>
              <w:rPr>
                <w:rFonts w:ascii="仿宋_GB2312" w:eastAsia="仿宋_GB2312"/>
                <w:color w:val="auto"/>
                <w:sz w:val="24"/>
              </w:rPr>
              <w:t>支付时间： 领取成交通知书时</w:t>
            </w:r>
          </w:p>
        </w:tc>
      </w:tr>
      <w:tr w14:paraId="4AE97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1DF16FF4">
            <w:pPr>
              <w:snapToGrid w:val="0"/>
              <w:jc w:val="center"/>
              <w:textAlignment w:val="baseline"/>
              <w:rPr>
                <w:rFonts w:hint="eastAsia" w:ascii="仿宋_GB2312" w:eastAsia="仿宋_GB2312"/>
                <w:color w:val="auto"/>
                <w:sz w:val="24"/>
              </w:rPr>
            </w:pPr>
            <w:r>
              <w:rPr>
                <w:rFonts w:hint="eastAsia" w:ascii="仿宋_GB2312" w:eastAsia="仿宋_GB2312"/>
                <w:color w:val="auto"/>
                <w:sz w:val="24"/>
              </w:rPr>
              <w:t>33.1</w:t>
            </w:r>
          </w:p>
        </w:tc>
        <w:tc>
          <w:tcPr>
            <w:tcW w:w="9695" w:type="dxa"/>
            <w:vAlign w:val="center"/>
          </w:tcPr>
          <w:p w14:paraId="2791A404">
            <w:pPr>
              <w:snapToGrid w:val="0"/>
              <w:textAlignment w:val="baseline"/>
              <w:rPr>
                <w:rFonts w:hint="eastAsia" w:ascii="仿宋_GB2312" w:eastAsia="仿宋_GB2312"/>
                <w:color w:val="auto"/>
                <w:sz w:val="24"/>
              </w:rPr>
            </w:pPr>
            <w:r>
              <w:rPr>
                <w:rFonts w:hint="eastAsia" w:ascii="仿宋_GB2312" w:eastAsia="仿宋_GB2312"/>
                <w:color w:val="auto"/>
                <w:sz w:val="24"/>
              </w:rPr>
              <w:t>本项目是否属于信用担保试点范围：</w:t>
            </w:r>
            <w:r>
              <w:rPr>
                <w:rFonts w:hint="eastAsia" w:ascii="仿宋_GB2312" w:eastAsia="仿宋_GB2312"/>
                <w:color w:val="auto"/>
                <w:sz w:val="24"/>
                <w:u w:val="single" w:color="000000"/>
              </w:rPr>
              <w:t xml:space="preserve">  否 </w:t>
            </w:r>
            <w:r>
              <w:rPr>
                <w:rFonts w:hint="eastAsia" w:ascii="仿宋_GB2312" w:eastAsia="仿宋_GB2312"/>
                <w:color w:val="auto"/>
                <w:sz w:val="24"/>
              </w:rPr>
              <w:t xml:space="preserve"> </w:t>
            </w:r>
          </w:p>
        </w:tc>
      </w:tr>
      <w:tr w14:paraId="76A23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481" w:type="dxa"/>
            <w:gridSpan w:val="2"/>
            <w:vAlign w:val="center"/>
          </w:tcPr>
          <w:p w14:paraId="5C8A162F">
            <w:pPr>
              <w:spacing w:line="360" w:lineRule="exact"/>
              <w:jc w:val="center"/>
              <w:rPr>
                <w:rFonts w:hint="eastAsia" w:ascii="仿宋_GB2312" w:eastAsia="仿宋_GB2312"/>
                <w:color w:val="auto"/>
                <w:sz w:val="24"/>
              </w:rPr>
            </w:pPr>
            <w:r>
              <w:rPr>
                <w:rFonts w:hint="eastAsia" w:ascii="仿宋_GB2312" w:eastAsia="仿宋_GB2312"/>
                <w:b/>
                <w:bCs/>
                <w:color w:val="auto"/>
                <w:spacing w:val="-4"/>
                <w:sz w:val="24"/>
              </w:rPr>
              <w:t>适用于本投标人须知的额外增加的变动：</w:t>
            </w:r>
          </w:p>
        </w:tc>
      </w:tr>
      <w:tr w14:paraId="03ED1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46E14583">
            <w:pPr>
              <w:spacing w:line="240" w:lineRule="atLeast"/>
              <w:jc w:val="center"/>
              <w:rPr>
                <w:rFonts w:hint="eastAsia" w:ascii="仿宋_GB2312" w:eastAsia="仿宋_GB2312"/>
                <w:color w:val="auto"/>
                <w:sz w:val="24"/>
              </w:rPr>
            </w:pPr>
            <w:r>
              <w:rPr>
                <w:rFonts w:hint="eastAsia" w:ascii="仿宋_GB2312" w:eastAsia="仿宋_GB2312"/>
                <w:color w:val="auto"/>
                <w:sz w:val="24"/>
                <w:lang w:eastAsia="en-US"/>
              </w:rPr>
              <w:t>1</w:t>
            </w:r>
          </w:p>
        </w:tc>
        <w:tc>
          <w:tcPr>
            <w:tcW w:w="9695" w:type="dxa"/>
            <w:vAlign w:val="center"/>
          </w:tcPr>
          <w:p w14:paraId="7AB0CE9B">
            <w:pPr>
              <w:spacing w:line="240" w:lineRule="atLeast"/>
              <w:jc w:val="left"/>
              <w:rPr>
                <w:rFonts w:hint="eastAsia" w:ascii="仿宋_GB2312" w:eastAsia="仿宋_GB2312"/>
                <w:color w:val="auto"/>
                <w:sz w:val="24"/>
              </w:rPr>
            </w:pPr>
            <w:r>
              <w:rPr>
                <w:rFonts w:hint="eastAsia" w:ascii="仿宋_GB2312" w:eastAsia="仿宋_GB2312"/>
                <w:color w:val="auto"/>
                <w:sz w:val="24"/>
              </w:rPr>
              <w:t>①严禁恶意竞标，必须保证所投产品达到甲方要求。</w:t>
            </w:r>
          </w:p>
          <w:p w14:paraId="19C6666C">
            <w:pPr>
              <w:spacing w:line="240" w:lineRule="atLeast"/>
              <w:jc w:val="left"/>
              <w:rPr>
                <w:rFonts w:hint="eastAsia" w:ascii="仿宋_GB2312" w:eastAsia="仿宋_GB2312"/>
                <w:color w:val="auto"/>
                <w:sz w:val="24"/>
              </w:rPr>
            </w:pPr>
            <w:r>
              <w:rPr>
                <w:rFonts w:hint="eastAsia" w:ascii="仿宋_GB2312" w:eastAsia="仿宋_GB2312"/>
                <w:color w:val="auto"/>
                <w:sz w:val="24"/>
              </w:rPr>
              <w:t>②中标后，中标人向采购人提供的产品与投标文件中技术参数不一致的，采购人有权拒收，期间所产生的任何费用由中标人承担。</w:t>
            </w:r>
          </w:p>
        </w:tc>
      </w:tr>
      <w:tr w14:paraId="13A3A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1EF100E3">
            <w:pPr>
              <w:spacing w:line="240" w:lineRule="atLeast"/>
              <w:jc w:val="center"/>
              <w:rPr>
                <w:rFonts w:hint="eastAsia" w:ascii="仿宋_GB2312" w:eastAsia="仿宋_GB2312"/>
                <w:color w:val="auto"/>
                <w:sz w:val="24"/>
              </w:rPr>
            </w:pPr>
            <w:r>
              <w:rPr>
                <w:rFonts w:hint="eastAsia" w:ascii="仿宋_GB2312" w:eastAsia="仿宋_GB2312"/>
                <w:color w:val="auto"/>
                <w:sz w:val="24"/>
                <w:lang w:eastAsia="en-US"/>
              </w:rPr>
              <w:t>2</w:t>
            </w:r>
          </w:p>
        </w:tc>
        <w:tc>
          <w:tcPr>
            <w:tcW w:w="9695" w:type="dxa"/>
          </w:tcPr>
          <w:p w14:paraId="5B4E5BD3">
            <w:pPr>
              <w:spacing w:line="240" w:lineRule="atLeast"/>
              <w:jc w:val="left"/>
              <w:rPr>
                <w:rFonts w:hint="eastAsia" w:ascii="仿宋_GB2312" w:eastAsia="仿宋_GB2312"/>
                <w:color w:val="auto"/>
                <w:sz w:val="24"/>
              </w:rPr>
            </w:pPr>
            <w:r>
              <w:rPr>
                <w:rFonts w:hint="eastAsia" w:ascii="仿宋_GB2312" w:eastAsia="仿宋_GB2312"/>
                <w:color w:val="auto"/>
                <w:sz w:val="24"/>
              </w:rPr>
              <w:t>低于成本价不正当竞争预防措施： 谈判小组认为供应商报价明显低于其他通过符合性审查供应商的报价，有可能影响产品质量或者不能诚信履约的，应当要求其在谈判过程中合理的时间内提供书面说明或承诺书。</w:t>
            </w:r>
          </w:p>
        </w:tc>
      </w:tr>
      <w:tr w14:paraId="6A932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7408FD6F">
            <w:pPr>
              <w:spacing w:line="240" w:lineRule="atLeast"/>
              <w:jc w:val="center"/>
              <w:rPr>
                <w:rFonts w:hint="eastAsia" w:ascii="仿宋_GB2312" w:eastAsia="仿宋_GB2312"/>
                <w:color w:val="auto"/>
                <w:sz w:val="24"/>
              </w:rPr>
            </w:pPr>
            <w:r>
              <w:rPr>
                <w:rFonts w:hint="eastAsia" w:ascii="仿宋_GB2312" w:eastAsia="仿宋_GB2312"/>
                <w:color w:val="auto"/>
                <w:sz w:val="24"/>
              </w:rPr>
              <w:t>4</w:t>
            </w:r>
          </w:p>
        </w:tc>
        <w:tc>
          <w:tcPr>
            <w:tcW w:w="9695" w:type="dxa"/>
            <w:vAlign w:val="center"/>
          </w:tcPr>
          <w:p w14:paraId="18B8B1CC">
            <w:pPr>
              <w:spacing w:line="240" w:lineRule="atLeast"/>
              <w:rPr>
                <w:rFonts w:hint="eastAsia" w:ascii="仿宋_GB2312" w:eastAsia="仿宋_GB2312"/>
                <w:color w:val="auto"/>
                <w:sz w:val="24"/>
              </w:rPr>
            </w:pPr>
            <w:r>
              <w:rPr>
                <w:rFonts w:hint="eastAsia" w:ascii="仿宋_GB2312" w:eastAsia="仿宋_GB2312"/>
                <w:color w:val="auto"/>
                <w:sz w:val="24"/>
              </w:rPr>
              <w:t>本项目中小型企业所属行业：</w:t>
            </w:r>
            <w:r>
              <w:rPr>
                <w:rFonts w:hint="eastAsia" w:ascii="仿宋_GB2312" w:eastAsia="仿宋_GB2312"/>
                <w:b/>
                <w:bCs/>
                <w:color w:val="auto"/>
                <w:sz w:val="24"/>
              </w:rPr>
              <w:t>工业</w:t>
            </w:r>
          </w:p>
          <w:p w14:paraId="138F97FB">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中小企业划型标准规定</w:t>
            </w:r>
          </w:p>
          <w:p w14:paraId="04B31E56">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一、根据《中华人民共和国中小企业促进法》和《国务院关于进一步促进中小企业发展的若干意见》(（国发〔2009〕[2009]36号)，制定本规定。</w:t>
            </w:r>
          </w:p>
          <w:p w14:paraId="20DF6B4B">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二、中小企业划分为中型、小型、微型三种类型，具体标准根据企业从业人员、营业收入、资产总额等指标，结合行业特点制定。</w:t>
            </w:r>
          </w:p>
          <w:p w14:paraId="6630C6C4">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8CBF7C">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四、各行业划型标准为：</w:t>
            </w:r>
          </w:p>
          <w:p w14:paraId="0AFF4C6D">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（一）农、林、牧、渔业。营业收入20000万元以下的为中小微型企业。其中，营业收入500万元及以上的为中型企业，营业收入50万元及以上的为小型企业，营业收入50万元以下的为微型企业。</w:t>
            </w:r>
          </w:p>
          <w:p w14:paraId="7AA53F0E">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AD32A4">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4DCFC9">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EE2136">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673A18">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DDAE0E">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C84E26">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3C2D63">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57C13E">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127D45">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21A165">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52F10E0">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BC1DC2">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655F03">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E4B5C7">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（十六）其他未列明行业。从业人员300人以下的为中小微型企业。其中，从业人员100人及以上的为中型企业；从业人员10人及以上的为小型企业；从业人员10人以下的为微型企业。</w:t>
            </w:r>
          </w:p>
          <w:p w14:paraId="1878038C">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五、企业类型的划分以统计部门的统计数据为依据。</w:t>
            </w:r>
          </w:p>
          <w:p w14:paraId="548BAF43">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六、本规定适用于在中华人民共和国境内依法设立的各类所有制和各种组织形式的企业。个体工商户和本规定以外的行业，参照本规定进行划型。</w:t>
            </w:r>
          </w:p>
          <w:p w14:paraId="45B52E81">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77F7E9F7">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八、本规定由工业和信息化部、国家统计局会同有关部门根据《国民经济行业分类》修订情况和企业发展变化情况适时修订。</w:t>
            </w:r>
          </w:p>
          <w:p w14:paraId="2ACBE889">
            <w:pPr>
              <w:pStyle w:val="48"/>
              <w:ind w:firstLine="0" w:firstLineChars="0"/>
              <w:rPr>
                <w:rFonts w:hint="eastAsia"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九、本规定由工业和信息化部、国家统计局会同有关部门负责解释。</w:t>
            </w:r>
          </w:p>
          <w:p w14:paraId="714BFBBB">
            <w:pPr>
              <w:pStyle w:val="48"/>
              <w:ind w:firstLine="0" w:firstLineChars="0"/>
              <w:rPr>
                <w:rFonts w:ascii="Times New Roman" w:hAnsi="Times New Roman" w:eastAsia="方正仿宋简体" w:cs="Times New Roman"/>
                <w:color w:val="auto"/>
                <w:sz w:val="28"/>
                <w:szCs w:val="28"/>
              </w:rPr>
            </w:pPr>
            <w:r>
              <w:rPr>
                <w:rFonts w:hint="eastAsia" w:ascii="仿宋_GB2312" w:hAnsi="Times New Roman" w:eastAsia="仿宋_GB2312" w:cs="Times New Roman"/>
                <w:color w:val="auto"/>
                <w:sz w:val="24"/>
                <w:szCs w:val="24"/>
              </w:rPr>
              <w:t>十、本规定自发布之日起执行，原国家经贸委、原国家计委、财政部和国家统计局2003年颁布的《中小企业标准暂行规定》同时废止。</w:t>
            </w:r>
          </w:p>
        </w:tc>
      </w:tr>
    </w:tbl>
    <w:p w14:paraId="1A93308B">
      <w:pPr>
        <w:pStyle w:val="2"/>
        <w:ind w:firstLine="0" w:firstLineChars="0"/>
        <w:rPr>
          <w:rFonts w:eastAsia="方正仿宋简体"/>
          <w:b/>
          <w:bCs/>
          <w:color w:val="auto"/>
          <w:sz w:val="28"/>
          <w:szCs w:val="28"/>
        </w:rPr>
        <w:sectPr>
          <w:footerReference r:id="rId12" w:type="default"/>
          <w:pgSz w:w="11905" w:h="16838"/>
          <w:pgMar w:top="1984" w:right="1531" w:bottom="1701" w:left="1531" w:header="851" w:footer="992" w:gutter="0"/>
          <w:cols w:space="0" w:num="1"/>
          <w:docGrid w:linePitch="312" w:charSpace="0"/>
        </w:sectPr>
      </w:pPr>
    </w:p>
    <w:p w14:paraId="1194D465">
      <w:pPr>
        <w:pStyle w:val="2"/>
        <w:ind w:firstLine="0" w:firstLineChars="0"/>
        <w:jc w:val="center"/>
        <w:rPr>
          <w:rFonts w:hint="eastAsia" w:ascii="仿宋_GB2312" w:eastAsia="仿宋_GB2312"/>
          <w:b/>
          <w:bCs/>
          <w:color w:val="auto"/>
        </w:rPr>
      </w:pPr>
      <w:bookmarkStart w:id="819" w:name="_Toc219175639"/>
      <w:bookmarkStart w:id="820" w:name="_Toc218935355"/>
      <w:bookmarkStart w:id="821" w:name="_Toc216582826"/>
      <w:r>
        <w:rPr>
          <w:rFonts w:hint="eastAsia" w:ascii="仿宋_GB2312" w:eastAsia="仿宋_GB2312"/>
          <w:b/>
          <w:bCs/>
          <w:color w:val="auto"/>
          <w:sz w:val="28"/>
          <w:szCs w:val="28"/>
        </w:rPr>
        <w:t>资格审查表</w:t>
      </w:r>
    </w:p>
    <w:tbl>
      <w:tblPr>
        <w:tblStyle w:val="40"/>
        <w:tblpPr w:leftFromText="180" w:rightFromText="180" w:vertAnchor="text" w:horzAnchor="page" w:tblpX="1071" w:tblpY="334"/>
        <w:tblOverlap w:val="never"/>
        <w:tblW w:w="14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777"/>
        <w:gridCol w:w="1127"/>
        <w:gridCol w:w="2102"/>
        <w:gridCol w:w="1036"/>
        <w:gridCol w:w="1234"/>
        <w:gridCol w:w="4784"/>
        <w:gridCol w:w="716"/>
        <w:gridCol w:w="854"/>
        <w:gridCol w:w="846"/>
        <w:gridCol w:w="762"/>
      </w:tblGrid>
      <w:tr w14:paraId="6E2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 w:type="dxa"/>
            <w:vMerge w:val="restart"/>
            <w:noWrap/>
            <w:vAlign w:val="center"/>
          </w:tcPr>
          <w:p w14:paraId="47F69CAE">
            <w:pPr>
              <w:widowControl/>
              <w:spacing w:line="320" w:lineRule="exact"/>
              <w:rPr>
                <w:rFonts w:hint="eastAsia" w:ascii="仿宋_GB2312" w:eastAsia="仿宋_GB2312"/>
                <w:color w:val="auto"/>
                <w:kern w:val="0"/>
                <w:sz w:val="24"/>
              </w:rPr>
            </w:pPr>
            <w:r>
              <w:rPr>
                <w:rFonts w:hint="eastAsia" w:ascii="仿宋_GB2312" w:eastAsia="仿宋_GB2312"/>
                <w:color w:val="auto"/>
                <w:kern w:val="0"/>
                <w:sz w:val="24"/>
              </w:rPr>
              <w:t>供应商名称</w:t>
            </w:r>
          </w:p>
        </w:tc>
        <w:tc>
          <w:tcPr>
            <w:tcW w:w="12630" w:type="dxa"/>
            <w:gridSpan w:val="8"/>
            <w:noWrap/>
            <w:vAlign w:val="center"/>
          </w:tcPr>
          <w:p w14:paraId="70538CD7">
            <w:pPr>
              <w:widowControl/>
              <w:spacing w:line="320" w:lineRule="exact"/>
              <w:jc w:val="center"/>
              <w:rPr>
                <w:rFonts w:hint="eastAsia" w:ascii="仿宋_GB2312" w:eastAsia="仿宋_GB2312"/>
                <w:color w:val="auto"/>
                <w:kern w:val="0"/>
                <w:sz w:val="24"/>
              </w:rPr>
            </w:pPr>
            <w:r>
              <w:rPr>
                <w:rFonts w:hint="eastAsia" w:ascii="仿宋_GB2312" w:eastAsia="仿宋_GB2312"/>
                <w:color w:val="auto"/>
                <w:kern w:val="0"/>
                <w:sz w:val="24"/>
              </w:rPr>
              <w:t>审查项目</w:t>
            </w:r>
          </w:p>
        </w:tc>
        <w:tc>
          <w:tcPr>
            <w:tcW w:w="846" w:type="dxa"/>
            <w:noWrap/>
            <w:vAlign w:val="center"/>
          </w:tcPr>
          <w:p w14:paraId="3646072B">
            <w:pPr>
              <w:widowControl/>
              <w:spacing w:line="320" w:lineRule="exact"/>
              <w:rPr>
                <w:rFonts w:hint="eastAsia" w:ascii="仿宋_GB2312" w:eastAsia="仿宋_GB2312"/>
                <w:color w:val="auto"/>
                <w:kern w:val="0"/>
                <w:sz w:val="24"/>
              </w:rPr>
            </w:pPr>
          </w:p>
        </w:tc>
        <w:tc>
          <w:tcPr>
            <w:tcW w:w="762" w:type="dxa"/>
            <w:noWrap/>
            <w:vAlign w:val="center"/>
          </w:tcPr>
          <w:p w14:paraId="2DEB32D3">
            <w:pPr>
              <w:widowControl/>
              <w:spacing w:line="320" w:lineRule="exact"/>
              <w:rPr>
                <w:rFonts w:hint="eastAsia" w:ascii="仿宋_GB2312" w:eastAsia="仿宋_GB2312"/>
                <w:color w:val="auto"/>
                <w:kern w:val="0"/>
                <w:sz w:val="24"/>
              </w:rPr>
            </w:pPr>
            <w:r>
              <w:rPr>
                <w:rFonts w:hint="eastAsia" w:ascii="仿宋_GB2312" w:eastAsia="仿宋_GB2312"/>
                <w:color w:val="auto"/>
                <w:kern w:val="0"/>
                <w:sz w:val="24"/>
              </w:rPr>
              <w:t>结论</w:t>
            </w:r>
          </w:p>
        </w:tc>
      </w:tr>
      <w:tr w14:paraId="32E2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 w:type="dxa"/>
            <w:vMerge w:val="continue"/>
            <w:noWrap/>
            <w:vAlign w:val="center"/>
          </w:tcPr>
          <w:p w14:paraId="31CB590D">
            <w:pPr>
              <w:widowControl/>
              <w:spacing w:line="320" w:lineRule="exact"/>
              <w:rPr>
                <w:rFonts w:hint="eastAsia" w:ascii="仿宋_GB2312" w:eastAsia="仿宋_GB2312"/>
                <w:color w:val="auto"/>
                <w:kern w:val="0"/>
                <w:sz w:val="24"/>
              </w:rPr>
            </w:pPr>
          </w:p>
        </w:tc>
        <w:tc>
          <w:tcPr>
            <w:tcW w:w="777" w:type="dxa"/>
            <w:shd w:val="clear" w:color="auto" w:fill="auto"/>
            <w:noWrap/>
            <w:vAlign w:val="center"/>
          </w:tcPr>
          <w:p w14:paraId="50FD0467">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（1）企业三证合一的法人营业执照或含二维码的营业执照；</w:t>
            </w:r>
          </w:p>
        </w:tc>
        <w:tc>
          <w:tcPr>
            <w:tcW w:w="1127" w:type="dxa"/>
            <w:shd w:val="clear" w:color="auto" w:fill="auto"/>
            <w:noWrap/>
            <w:vAlign w:val="center"/>
          </w:tcPr>
          <w:p w14:paraId="1DD42AE5">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（2）法定代表人授权书及被授权人身份证，法人本人参与投标提供法人身份证及法人资格证明；</w:t>
            </w:r>
          </w:p>
          <w:p w14:paraId="3F0FAB36">
            <w:pPr>
              <w:snapToGrid w:val="0"/>
              <w:spacing w:line="380" w:lineRule="exact"/>
              <w:textAlignment w:val="baseline"/>
              <w:rPr>
                <w:rFonts w:hint="eastAsia" w:ascii="仿宋_GB2312" w:eastAsia="仿宋_GB2312"/>
                <w:color w:val="auto"/>
                <w:sz w:val="24"/>
              </w:rPr>
            </w:pPr>
          </w:p>
        </w:tc>
        <w:tc>
          <w:tcPr>
            <w:tcW w:w="2102" w:type="dxa"/>
            <w:shd w:val="clear" w:color="auto" w:fill="auto"/>
            <w:noWrap/>
            <w:vAlign w:val="center"/>
          </w:tcPr>
          <w:p w14:paraId="3CF28637">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3）法定代表人或被委托人：由社保部门或税务局出具的投标单位缴纳的社保证明和个人缴纳的社保明细表（近半年任意一个月的社保缴费凭证及个人缴费明细）；被委托人必须是投标单位正式员工，（新成立公司提供自成立之日起至今的相关证明文件）；</w:t>
            </w:r>
          </w:p>
          <w:p w14:paraId="1928742C">
            <w:pPr>
              <w:snapToGrid w:val="0"/>
              <w:spacing w:line="380" w:lineRule="exact"/>
              <w:textAlignment w:val="baseline"/>
              <w:rPr>
                <w:rFonts w:hint="eastAsia" w:ascii="仿宋_GB2312" w:eastAsia="仿宋_GB2312"/>
                <w:color w:val="auto"/>
                <w:sz w:val="24"/>
              </w:rPr>
            </w:pPr>
          </w:p>
        </w:tc>
        <w:tc>
          <w:tcPr>
            <w:tcW w:w="1036" w:type="dxa"/>
            <w:shd w:val="clear" w:color="auto" w:fill="auto"/>
            <w:noWrap/>
            <w:vAlign w:val="center"/>
          </w:tcPr>
          <w:p w14:paraId="25446892">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（4）2024年的财务审计报告与健全的财务会计制度（新成立的公司近三个月内的银行资信证明与健全的财务会计制度）；</w:t>
            </w:r>
          </w:p>
        </w:tc>
        <w:tc>
          <w:tcPr>
            <w:tcW w:w="1234" w:type="dxa"/>
            <w:shd w:val="clear" w:color="auto" w:fill="auto"/>
            <w:noWrap/>
            <w:vAlign w:val="center"/>
          </w:tcPr>
          <w:p w14:paraId="0EF79740">
            <w:pPr>
              <w:pStyle w:val="36"/>
              <w:widowControl/>
              <w:spacing w:before="0" w:after="0" w:line="360" w:lineRule="exact"/>
              <w:rPr>
                <w:rFonts w:hint="eastAsia" w:ascii="仿宋_GB2312" w:eastAsia="仿宋_GB2312"/>
                <w:color w:val="auto"/>
                <w:kern w:val="2"/>
              </w:rPr>
            </w:pPr>
            <w:r>
              <w:rPr>
                <w:rFonts w:hint="eastAsia" w:ascii="仿宋_GB2312" w:eastAsia="仿宋_GB2312"/>
                <w:color w:val="auto"/>
                <w:kern w:val="2"/>
              </w:rPr>
              <w:t>（5）缴纳税收近半年任意1个月的完税证明（零申报请出具税务部门加盖公章的证明材料或无欠款税收证明）；</w:t>
            </w:r>
          </w:p>
          <w:p w14:paraId="4C5832A8">
            <w:pPr>
              <w:snapToGrid w:val="0"/>
              <w:spacing w:line="380" w:lineRule="exact"/>
              <w:textAlignment w:val="baseline"/>
              <w:rPr>
                <w:rFonts w:hint="eastAsia" w:ascii="仿宋_GB2312" w:eastAsia="仿宋_GB2312"/>
                <w:color w:val="auto"/>
                <w:sz w:val="24"/>
              </w:rPr>
            </w:pPr>
          </w:p>
        </w:tc>
        <w:tc>
          <w:tcPr>
            <w:tcW w:w="4784" w:type="dxa"/>
            <w:shd w:val="clear" w:color="auto" w:fill="auto"/>
            <w:noWrap/>
            <w:vAlign w:val="center"/>
          </w:tcPr>
          <w:p w14:paraId="5F198F0E">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（6）根据《财政部关于在政府采购活动中查询及使用信用记录有关问题的通知》（财库</w:t>
            </w:r>
            <w:r>
              <w:rPr>
                <w:rFonts w:hint="eastAsia" w:ascii="宋体" w:hAnsi="宋体" w:cs="宋体"/>
                <w:color w:val="auto"/>
                <w:sz w:val="24"/>
              </w:rPr>
              <w:t>﹝</w:t>
            </w:r>
            <w:r>
              <w:rPr>
                <w:rFonts w:hint="eastAsia" w:ascii="仿宋_GB2312" w:eastAsia="仿宋_GB2312"/>
                <w:color w:val="auto"/>
                <w:sz w:val="24"/>
              </w:rPr>
              <w:t>2016</w:t>
            </w:r>
            <w:r>
              <w:rPr>
                <w:rFonts w:hint="eastAsia" w:ascii="宋体" w:hAnsi="宋体" w:cs="宋体"/>
                <w:color w:val="auto"/>
                <w:sz w:val="24"/>
              </w:rPr>
              <w:t>﹞</w:t>
            </w:r>
            <w:r>
              <w:rPr>
                <w:rFonts w:hint="eastAsia" w:ascii="仿宋_GB2312" w:eastAsia="仿宋_GB2312"/>
                <w:color w:val="auto"/>
                <w:sz w:val="24"/>
              </w:rPr>
              <w:t>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tc>
        <w:tc>
          <w:tcPr>
            <w:tcW w:w="716" w:type="dxa"/>
            <w:shd w:val="clear" w:color="auto" w:fill="auto"/>
            <w:noWrap/>
            <w:vAlign w:val="center"/>
          </w:tcPr>
          <w:p w14:paraId="7D0F94E1">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（7）在参加政府采购活动中前三年内无重大违法记录的承诺书；</w:t>
            </w:r>
          </w:p>
        </w:tc>
        <w:tc>
          <w:tcPr>
            <w:tcW w:w="853" w:type="dxa"/>
            <w:shd w:val="clear" w:color="auto" w:fill="auto"/>
            <w:noWrap/>
            <w:vAlign w:val="center"/>
          </w:tcPr>
          <w:p w14:paraId="384ABDD7">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（8）针对本次采购项目《反商业贿赂承诺书》的书面声明；</w:t>
            </w:r>
          </w:p>
        </w:tc>
        <w:tc>
          <w:tcPr>
            <w:tcW w:w="846" w:type="dxa"/>
            <w:shd w:val="clear" w:color="auto" w:fill="auto"/>
            <w:noWrap/>
            <w:vAlign w:val="center"/>
          </w:tcPr>
          <w:p w14:paraId="75A6C480">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（9）中小企业声明函；</w:t>
            </w:r>
          </w:p>
        </w:tc>
        <w:tc>
          <w:tcPr>
            <w:tcW w:w="762" w:type="dxa"/>
            <w:shd w:val="clear" w:color="auto" w:fill="auto"/>
            <w:noWrap/>
            <w:vAlign w:val="center"/>
          </w:tcPr>
          <w:p w14:paraId="0AC9A208">
            <w:pPr>
              <w:widowControl/>
              <w:spacing w:line="320" w:lineRule="exact"/>
              <w:rPr>
                <w:rFonts w:hint="eastAsia" w:ascii="仿宋_GB2312" w:eastAsia="仿宋_GB2312"/>
                <w:color w:val="auto"/>
                <w:sz w:val="24"/>
              </w:rPr>
            </w:pPr>
            <w:r>
              <w:rPr>
                <w:rFonts w:hint="eastAsia" w:ascii="仿宋_GB2312" w:eastAsia="仿宋_GB2312"/>
                <w:color w:val="auto"/>
                <w:sz w:val="24"/>
              </w:rPr>
              <w:t>是否合格</w:t>
            </w:r>
          </w:p>
        </w:tc>
      </w:tr>
    </w:tbl>
    <w:p w14:paraId="0C54604E">
      <w:pPr>
        <w:rPr>
          <w:rFonts w:eastAsia="方正仿宋简体"/>
          <w:color w:val="auto"/>
          <w:sz w:val="28"/>
          <w:szCs w:val="28"/>
        </w:rPr>
        <w:sectPr>
          <w:headerReference r:id="rId15" w:type="first"/>
          <w:footerReference r:id="rId18" w:type="first"/>
          <w:headerReference r:id="rId13" w:type="default"/>
          <w:footerReference r:id="rId16" w:type="default"/>
          <w:headerReference r:id="rId14" w:type="even"/>
          <w:footerReference r:id="rId17" w:type="even"/>
          <w:pgSz w:w="16838" w:h="11905" w:orient="landscape"/>
          <w:pgMar w:top="1984" w:right="1531" w:bottom="1701" w:left="1531" w:header="851" w:footer="992" w:gutter="0"/>
          <w:cols w:space="0" w:num="1"/>
          <w:docGrid w:linePitch="462" w:charSpace="0"/>
        </w:sectPr>
      </w:pPr>
    </w:p>
    <w:p w14:paraId="08897BF7">
      <w:pPr>
        <w:pStyle w:val="7"/>
        <w:tabs>
          <w:tab w:val="left" w:pos="0"/>
        </w:tabs>
        <w:snapToGrid w:val="0"/>
        <w:spacing w:before="0" w:after="0" w:line="240" w:lineRule="auto"/>
        <w:ind w:firstLine="1124" w:firstLineChars="400"/>
        <w:textAlignment w:val="baseline"/>
        <w:rPr>
          <w:rFonts w:hint="eastAsia" w:ascii="仿宋_GB2312" w:eastAsia="仿宋_GB2312"/>
          <w:color w:val="auto"/>
          <w:sz w:val="28"/>
          <w:szCs w:val="28"/>
        </w:rPr>
      </w:pPr>
      <w:bookmarkStart w:id="822" w:name="_Toc5606"/>
      <w:r>
        <w:rPr>
          <w:rFonts w:hint="eastAsia" w:ascii="仿宋_GB2312" w:eastAsia="仿宋_GB2312"/>
          <w:color w:val="auto"/>
          <w:sz w:val="28"/>
          <w:szCs w:val="28"/>
        </w:rPr>
        <w:t>第5章 货物需求一览表及技术规格商务要求</w:t>
      </w:r>
      <w:bookmarkEnd w:id="822"/>
    </w:p>
    <w:tbl>
      <w:tblPr>
        <w:tblStyle w:val="40"/>
        <w:tblpPr w:leftFromText="180" w:rightFromText="180" w:vertAnchor="text" w:horzAnchor="page" w:tblpX="1289" w:tblpY="434"/>
        <w:tblOverlap w:val="never"/>
        <w:tblW w:w="9960" w:type="dxa"/>
        <w:tblInd w:w="0" w:type="dxa"/>
        <w:tblLayout w:type="autofit"/>
        <w:tblCellMar>
          <w:top w:w="0" w:type="dxa"/>
          <w:left w:w="108" w:type="dxa"/>
          <w:bottom w:w="0" w:type="dxa"/>
          <w:right w:w="108" w:type="dxa"/>
        </w:tblCellMar>
      </w:tblPr>
      <w:tblGrid>
        <w:gridCol w:w="630"/>
        <w:gridCol w:w="959"/>
        <w:gridCol w:w="5695"/>
        <w:gridCol w:w="820"/>
        <w:gridCol w:w="987"/>
        <w:gridCol w:w="869"/>
      </w:tblGrid>
      <w:tr w14:paraId="0F308A78">
        <w:tblPrEx>
          <w:tblCellMar>
            <w:top w:w="0" w:type="dxa"/>
            <w:left w:w="108" w:type="dxa"/>
            <w:bottom w:w="0" w:type="dxa"/>
            <w:right w:w="108" w:type="dxa"/>
          </w:tblCellMar>
        </w:tblPrEx>
        <w:trPr>
          <w:trHeight w:val="1660" w:hRule="atLeast"/>
        </w:trPr>
        <w:tc>
          <w:tcPr>
            <w:tcW w:w="9969" w:type="dxa"/>
            <w:gridSpan w:val="6"/>
            <w:tcBorders>
              <w:top w:val="nil"/>
              <w:left w:val="nil"/>
              <w:bottom w:val="nil"/>
              <w:right w:val="nil"/>
            </w:tcBorders>
            <w:shd w:val="clear" w:color="auto" w:fill="auto"/>
            <w:vAlign w:val="center"/>
          </w:tcPr>
          <w:p w14:paraId="1DFE8FD6">
            <w:pPr>
              <w:widowControl/>
              <w:jc w:val="left"/>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项目名称：喀什地区公安局采购一批打印机硒鼓、耗材项目</w:t>
            </w:r>
            <w:r>
              <w:rPr>
                <w:rFonts w:hint="eastAsia" w:ascii="仿宋_GB2312" w:hAnsi="宋体" w:eastAsia="仿宋_GB2312" w:cs="宋体"/>
                <w:color w:val="auto"/>
                <w:kern w:val="0"/>
                <w:sz w:val="24"/>
                <w:lang w:bidi="ar"/>
              </w:rPr>
              <w:br w:type="textWrapping"/>
            </w:r>
            <w:r>
              <w:rPr>
                <w:rFonts w:hint="eastAsia" w:ascii="仿宋_GB2312" w:hAnsi="宋体" w:eastAsia="仿宋_GB2312" w:cs="宋体"/>
                <w:color w:val="auto"/>
                <w:kern w:val="0"/>
                <w:sz w:val="24"/>
                <w:lang w:bidi="ar"/>
              </w:rPr>
              <w:t>项目编号：KSDQ-YY2025(TP)-01号</w:t>
            </w:r>
          </w:p>
        </w:tc>
      </w:tr>
      <w:tr w14:paraId="0DA8FD36">
        <w:tblPrEx>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431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453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名称</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E86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技术参数及要求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62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B66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9A4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备注</w:t>
            </w:r>
          </w:p>
        </w:tc>
      </w:tr>
      <w:tr w14:paraId="6B2F0142">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A51D">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CE6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38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适用于光电通OEP400、光电通OEP400D、光电通OEP400DN打印机粉盒,A4纸单面%8文字覆盖率约8000页大容量粉盒。不接受兼容品牌。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02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4DB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120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9520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表中描述的硒鼓为对应打印机或复印机型号的硒鼓组件非单鼓芯，打印机粉盒为粉盒组件。</w:t>
            </w:r>
          </w:p>
        </w:tc>
      </w:tr>
      <w:tr w14:paraId="5E60DA42">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4C0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FAD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C0E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适用于光电通OEP400、光电通OEP400D、光电通OEP400DN打印机硒鼓,A4纸单面%5文字覆盖率约20000页。不接受兼容品牌。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9AB6">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FEC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60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654A9">
            <w:pPr>
              <w:jc w:val="center"/>
              <w:rPr>
                <w:rFonts w:ascii="宋体" w:hAnsi="宋体" w:cs="宋体"/>
                <w:color w:val="auto"/>
                <w:sz w:val="22"/>
                <w:szCs w:val="22"/>
              </w:rPr>
            </w:pPr>
          </w:p>
        </w:tc>
      </w:tr>
      <w:tr w14:paraId="04500384">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B43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30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F6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适用于联想CS1831打印机硒鼓、A4纸单面%5文字覆盖率约15000页硒鼓，不接受兼容品牌。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35D">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0BF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D2AD">
            <w:pPr>
              <w:jc w:val="center"/>
              <w:rPr>
                <w:rFonts w:ascii="宋体" w:hAnsi="宋体" w:cs="宋体"/>
                <w:color w:val="auto"/>
                <w:sz w:val="22"/>
                <w:szCs w:val="22"/>
              </w:rPr>
            </w:pPr>
          </w:p>
        </w:tc>
      </w:tr>
      <w:tr w14:paraId="26823A41">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83D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A2A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77F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适用于联想CS1831打印机粉盒、A4纸单面%8文字覆盖率约6000页粉盒，不接受兼容品牌。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41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D9D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0C91">
            <w:pPr>
              <w:jc w:val="center"/>
              <w:rPr>
                <w:rFonts w:ascii="宋体" w:hAnsi="宋体" w:cs="宋体"/>
                <w:color w:val="auto"/>
                <w:sz w:val="22"/>
                <w:szCs w:val="22"/>
              </w:rPr>
            </w:pPr>
          </w:p>
        </w:tc>
      </w:tr>
      <w:tr w14:paraId="0CBD2FFA">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6846">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4C2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0EE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适用于联想M2405、联想M2605、联想M7605、联想M7655打机粉盒，A4纸单面%8文字覆盖率约5200页粉盒，不接受兼容品牌。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42C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9C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60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67590">
            <w:pPr>
              <w:jc w:val="center"/>
              <w:rPr>
                <w:rFonts w:ascii="宋体" w:hAnsi="宋体" w:cs="宋体"/>
                <w:color w:val="auto"/>
                <w:sz w:val="22"/>
                <w:szCs w:val="22"/>
              </w:rPr>
            </w:pPr>
          </w:p>
        </w:tc>
      </w:tr>
      <w:tr w14:paraId="32F48C8F">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7E5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E9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16A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适用于适用于联想M2405、联想M2605、联想M7605、联想M7655打机硒鼓，A4纸单面%5文字覆盖率约10000页硒鼓，不接受兼容品牌。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0B3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753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67</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2916">
            <w:pPr>
              <w:jc w:val="center"/>
              <w:rPr>
                <w:rFonts w:ascii="宋体" w:hAnsi="宋体" w:cs="宋体"/>
                <w:color w:val="auto"/>
                <w:sz w:val="22"/>
                <w:szCs w:val="22"/>
              </w:rPr>
            </w:pPr>
          </w:p>
        </w:tc>
      </w:tr>
      <w:tr w14:paraId="222F6A70">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FFD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D3C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9EF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适用于联想LJ2200、联想LJM2400、联想LJ2600打印机碳粉,A4纸单面%8文字覆盖率约5200页粉盒，不接受兼容品牌。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4E6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C09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116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7C4EA">
            <w:pPr>
              <w:jc w:val="center"/>
              <w:rPr>
                <w:rFonts w:ascii="宋体" w:hAnsi="宋体" w:cs="宋体"/>
                <w:color w:val="auto"/>
                <w:sz w:val="22"/>
                <w:szCs w:val="22"/>
              </w:rPr>
            </w:pPr>
          </w:p>
        </w:tc>
      </w:tr>
      <w:tr w14:paraId="079B9123">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F6E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359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10B6">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适用于联想LJ2200、联想LJM2400、联想LJ2600打机硒鼓，A4纸单面%5文字覆盖率约10000页硒鼓，不接受兼容品牌。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60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0B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80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AE07">
            <w:pPr>
              <w:jc w:val="center"/>
              <w:rPr>
                <w:rFonts w:ascii="宋体" w:hAnsi="宋体" w:cs="宋体"/>
                <w:color w:val="auto"/>
                <w:sz w:val="22"/>
                <w:szCs w:val="22"/>
              </w:rPr>
            </w:pPr>
          </w:p>
        </w:tc>
      </w:tr>
      <w:tr w14:paraId="3A5CE731">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B99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01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打印机碳粉</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1AD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适用于联想适用于联想LJ2200、联想LJM2400、联想LJ2600打印机碳粉,国内知名厂商生产，单瓶容量100克。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BC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51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198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BDAD">
            <w:pPr>
              <w:jc w:val="center"/>
              <w:rPr>
                <w:rFonts w:ascii="宋体" w:hAnsi="宋体" w:cs="宋体"/>
                <w:color w:val="auto"/>
                <w:sz w:val="22"/>
                <w:szCs w:val="22"/>
              </w:rPr>
            </w:pPr>
          </w:p>
        </w:tc>
      </w:tr>
      <w:tr w14:paraId="4F413520">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A6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0BC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F38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适用于HP M1136、M126A、M1005、P1108、P1106、1020打印硒鼓，A4纸单面%5文字覆盖率约11000页硒鼓，不接受兼容品牌。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863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A0C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60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23F5">
            <w:pPr>
              <w:jc w:val="center"/>
              <w:rPr>
                <w:rFonts w:ascii="宋体" w:hAnsi="宋体" w:cs="宋体"/>
                <w:color w:val="auto"/>
                <w:sz w:val="22"/>
                <w:szCs w:val="22"/>
              </w:rPr>
            </w:pPr>
          </w:p>
        </w:tc>
      </w:tr>
      <w:tr w14:paraId="41339322">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6B3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A1D">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50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适用于HP M1136、M126A、M1005、P1108、P1106、1020打印粉盒，A4纸单面%8文字覆盖率约5000页粉盒，不接受兼容品牌。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009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096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7E2F">
            <w:pPr>
              <w:jc w:val="center"/>
              <w:rPr>
                <w:rFonts w:ascii="宋体" w:hAnsi="宋体" w:cs="宋体"/>
                <w:color w:val="auto"/>
                <w:sz w:val="22"/>
                <w:szCs w:val="22"/>
              </w:rPr>
            </w:pPr>
          </w:p>
        </w:tc>
      </w:tr>
      <w:tr w14:paraId="52FC23B5">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14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7A8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打印机碳粉</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4ED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适用于HP M1136、M126A、M1005、P1108、P1106、1020打印碳粉，国内知名厂商生产，单瓶容量100克。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00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3B8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176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0D0A">
            <w:pPr>
              <w:jc w:val="center"/>
              <w:rPr>
                <w:rFonts w:ascii="宋体" w:hAnsi="宋体" w:cs="宋体"/>
                <w:color w:val="auto"/>
                <w:sz w:val="22"/>
                <w:szCs w:val="22"/>
              </w:rPr>
            </w:pPr>
          </w:p>
        </w:tc>
      </w:tr>
      <w:tr w14:paraId="64B045CC">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5BB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E53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5CA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适用于佳能LBP3018、LBP6018l打印机印硒鼓，A4纸单面%5文字覆盖率约11000页硒鼓，不接受兼容品牌。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B74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BBB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42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2F1D">
            <w:pPr>
              <w:jc w:val="center"/>
              <w:rPr>
                <w:rFonts w:ascii="宋体" w:hAnsi="宋体" w:cs="宋体"/>
                <w:color w:val="auto"/>
                <w:sz w:val="22"/>
                <w:szCs w:val="22"/>
              </w:rPr>
            </w:pPr>
          </w:p>
        </w:tc>
      </w:tr>
      <w:tr w14:paraId="168328EC">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14C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EED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914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适用于佳能LBP3018、LBP6018l打印机印粉盒，A4纸单面%8文字覆盖率约5000页粉盒，不接受兼容品牌。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140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270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76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FD89">
            <w:pPr>
              <w:jc w:val="center"/>
              <w:rPr>
                <w:rFonts w:ascii="宋体" w:hAnsi="宋体" w:cs="宋体"/>
                <w:color w:val="auto"/>
                <w:sz w:val="22"/>
                <w:szCs w:val="22"/>
              </w:rPr>
            </w:pPr>
          </w:p>
        </w:tc>
      </w:tr>
      <w:tr w14:paraId="097E41ED">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95B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6A0D">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打印机碳粉</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6E3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适用于佳能LBP3018、LBP6018l打印机印碳粉，A4纸单面%5文字覆盖率约5000页硒鼓，国内知名厂商生产，单瓶容量100克。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112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25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100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B0675">
            <w:pPr>
              <w:jc w:val="center"/>
              <w:rPr>
                <w:rFonts w:ascii="宋体" w:hAnsi="宋体" w:cs="宋体"/>
                <w:color w:val="auto"/>
                <w:sz w:val="22"/>
                <w:szCs w:val="22"/>
              </w:rPr>
            </w:pPr>
          </w:p>
        </w:tc>
      </w:tr>
      <w:tr w14:paraId="3D125D7D">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941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95E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FAF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适用于奔图P5000dn、P4000dn打印机硒鼓，A4纸单面%5文字覆盖率约11000页硒鼓，不接受兼容品牌。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F2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7D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30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8A94">
            <w:pPr>
              <w:jc w:val="center"/>
              <w:rPr>
                <w:rFonts w:ascii="宋体" w:hAnsi="宋体" w:cs="宋体"/>
                <w:color w:val="auto"/>
                <w:sz w:val="22"/>
                <w:szCs w:val="22"/>
              </w:rPr>
            </w:pPr>
          </w:p>
        </w:tc>
      </w:tr>
      <w:tr w14:paraId="5DB840A4">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F9C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0B2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1D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适用于奔图P5000dn、P4000dn打印机粉盒，A4纸单面%5文字覆盖率约6000页粉盒，不接受兼容品牌。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6B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62D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80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3C4E">
            <w:pPr>
              <w:jc w:val="center"/>
              <w:rPr>
                <w:rFonts w:ascii="宋体" w:hAnsi="宋体" w:cs="宋体"/>
                <w:color w:val="auto"/>
                <w:sz w:val="22"/>
                <w:szCs w:val="22"/>
              </w:rPr>
            </w:pPr>
          </w:p>
        </w:tc>
      </w:tr>
      <w:tr w14:paraId="158DC769">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ACD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363">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打印机碳粉</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129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适用于奔图P5000dn、P4000dn打印机碳粉，A4纸单面%5文字覆盖率约5000页硒鼓，国内知名厂商生产，单瓶容量100克。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1FD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9F2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1AE49">
            <w:pPr>
              <w:jc w:val="center"/>
              <w:rPr>
                <w:rFonts w:ascii="宋体" w:hAnsi="宋体" w:cs="宋体"/>
                <w:color w:val="auto"/>
                <w:sz w:val="22"/>
                <w:szCs w:val="22"/>
              </w:rPr>
            </w:pPr>
          </w:p>
        </w:tc>
      </w:tr>
      <w:tr w14:paraId="3933FEA7">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2DB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21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D45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适用于兄弟HL2260、2260D打印机硒鼓，A4纸单面%5文字覆盖率约9000页硒鼓，不接受兼容品牌。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870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939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A935">
            <w:pPr>
              <w:jc w:val="center"/>
              <w:rPr>
                <w:rFonts w:ascii="宋体" w:hAnsi="宋体" w:cs="宋体"/>
                <w:color w:val="auto"/>
                <w:sz w:val="22"/>
                <w:szCs w:val="22"/>
              </w:rPr>
            </w:pPr>
          </w:p>
        </w:tc>
      </w:tr>
      <w:tr w14:paraId="6FCF9E10">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86D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01E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D15D">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适用于兄弟HL2260、2260D打印机粉盒、A4纸单面%8文字覆盖率约5200页粉盒，不接受兼容品牌。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64B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00F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65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758FD">
            <w:pPr>
              <w:jc w:val="center"/>
              <w:rPr>
                <w:rFonts w:ascii="宋体" w:hAnsi="宋体" w:cs="宋体"/>
                <w:color w:val="auto"/>
                <w:sz w:val="22"/>
                <w:szCs w:val="22"/>
              </w:rPr>
            </w:pPr>
          </w:p>
        </w:tc>
      </w:tr>
      <w:tr w14:paraId="126289CD">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C52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640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打印机碳粉</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D03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适用于兄弟HL2260、2260D打印机碳粉，国内知名厂商生产，单瓶容量100克。</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88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EE5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146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429B">
            <w:pPr>
              <w:jc w:val="center"/>
              <w:rPr>
                <w:rFonts w:ascii="宋体" w:hAnsi="宋体" w:cs="宋体"/>
                <w:color w:val="auto"/>
                <w:sz w:val="22"/>
                <w:szCs w:val="22"/>
              </w:rPr>
            </w:pPr>
          </w:p>
        </w:tc>
      </w:tr>
      <w:tr w14:paraId="7CB9D872">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6B2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431B">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E6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适用于惠普LaserJet Pro 200打印机硒鼓A4纸单面%5文字覆盖率约9000页硒鼓，不接受兼容品牌。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D66">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3A6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CA195">
            <w:pPr>
              <w:jc w:val="center"/>
              <w:rPr>
                <w:rFonts w:ascii="宋体" w:hAnsi="宋体" w:cs="宋体"/>
                <w:color w:val="auto"/>
                <w:sz w:val="22"/>
                <w:szCs w:val="22"/>
              </w:rPr>
            </w:pPr>
          </w:p>
        </w:tc>
      </w:tr>
      <w:tr w14:paraId="2822A527">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B1A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E15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59D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适用于惠普LaserJet Pro 200打印机粉盒A4纸单面%5文字覆盖率约5000页粉盒，不接受兼容品牌。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3E4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63E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B0E53">
            <w:pPr>
              <w:jc w:val="center"/>
              <w:rPr>
                <w:rFonts w:ascii="宋体" w:hAnsi="宋体" w:cs="宋体"/>
                <w:color w:val="auto"/>
                <w:sz w:val="22"/>
                <w:szCs w:val="22"/>
              </w:rPr>
            </w:pPr>
          </w:p>
        </w:tc>
      </w:tr>
      <w:tr w14:paraId="19ACCBBD">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FD7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150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打印机碳粉</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F79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适用于惠普LaserJet Pro 200打印机碳粉A4纸单面%5文字覆盖率约5000页碳粉，不接受兼容品牌。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31C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929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160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6B40">
            <w:pPr>
              <w:jc w:val="center"/>
              <w:rPr>
                <w:rFonts w:ascii="宋体" w:hAnsi="宋体" w:cs="宋体"/>
                <w:color w:val="auto"/>
                <w:sz w:val="22"/>
                <w:szCs w:val="22"/>
              </w:rPr>
            </w:pPr>
          </w:p>
        </w:tc>
      </w:tr>
      <w:tr w14:paraId="6D776AB1">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22A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481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复印机硒鼓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496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适用于京瓷4125复印机套鼓，A4纸单面%5文字覆盖率约100000页硒鼓，不接受兼容品牌。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43F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1A2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E4417">
            <w:pPr>
              <w:jc w:val="center"/>
              <w:rPr>
                <w:rFonts w:ascii="宋体" w:hAnsi="宋体" w:cs="宋体"/>
                <w:color w:val="auto"/>
                <w:sz w:val="22"/>
                <w:szCs w:val="22"/>
              </w:rPr>
            </w:pPr>
          </w:p>
        </w:tc>
      </w:tr>
      <w:tr w14:paraId="3DD868E8">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44F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553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复印机粉盒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DC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适用于京瓷4125复印机粉盒，A4纸单面%5文字覆盖率约15000页粉盒，不接受兼容品牌。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281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644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DB3D">
            <w:pPr>
              <w:jc w:val="center"/>
              <w:rPr>
                <w:rFonts w:ascii="宋体" w:hAnsi="宋体" w:cs="宋体"/>
                <w:color w:val="auto"/>
                <w:sz w:val="22"/>
                <w:szCs w:val="22"/>
              </w:rPr>
            </w:pPr>
          </w:p>
        </w:tc>
      </w:tr>
      <w:tr w14:paraId="2D250001">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D53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D96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复印机硒鼓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A0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适用于柯美C226、266、227复印机套鼓，A4纸单面%5文字覆盖率约80000页硒鼓，不接受兼容品牌。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E33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5497">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CBE0">
            <w:pPr>
              <w:jc w:val="center"/>
              <w:rPr>
                <w:rFonts w:ascii="宋体" w:hAnsi="宋体" w:cs="宋体"/>
                <w:color w:val="auto"/>
                <w:sz w:val="22"/>
                <w:szCs w:val="22"/>
              </w:rPr>
            </w:pPr>
          </w:p>
        </w:tc>
      </w:tr>
      <w:tr w14:paraId="70FB133A">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CE3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B4D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复印机粉盒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D59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适用于柯美C226、266、227复印机粉盒，A4纸单面%5文字覆盖率约10000页粉盒，不接受兼容品牌。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325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2AB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D057">
            <w:pPr>
              <w:jc w:val="center"/>
              <w:rPr>
                <w:rFonts w:ascii="宋体" w:hAnsi="宋体" w:cs="宋体"/>
                <w:color w:val="auto"/>
                <w:sz w:val="22"/>
                <w:szCs w:val="22"/>
              </w:rPr>
            </w:pPr>
          </w:p>
        </w:tc>
      </w:tr>
      <w:tr w14:paraId="72C01500">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B9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D8A1">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复印机硒鼓</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337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适用于富士施乐SC2022/SC2020复印机硒鼓，A4纸单面%5文字覆盖率约,90000页硒鼓，不接受兼容品牌。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E64A">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套</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0F0">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FD5F9">
            <w:pPr>
              <w:jc w:val="center"/>
              <w:rPr>
                <w:rFonts w:ascii="宋体" w:hAnsi="宋体" w:cs="宋体"/>
                <w:color w:val="auto"/>
                <w:sz w:val="22"/>
                <w:szCs w:val="22"/>
              </w:rPr>
            </w:pPr>
          </w:p>
        </w:tc>
      </w:tr>
      <w:tr w14:paraId="129692B0">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422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752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复印机粉盒</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EB9">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适用于富士施乐SC2022/SC2020复印机硒鼓复印机粉盒，A4纸单面%5文字覆盖率约10000页粉盒，不接受兼容品牌。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9508">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EBD5">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20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A5B0">
            <w:pPr>
              <w:jc w:val="center"/>
              <w:rPr>
                <w:rFonts w:ascii="宋体" w:hAnsi="宋体" w:cs="宋体"/>
                <w:color w:val="auto"/>
                <w:sz w:val="22"/>
                <w:szCs w:val="22"/>
              </w:rPr>
            </w:pPr>
          </w:p>
        </w:tc>
      </w:tr>
      <w:tr w14:paraId="2FD2AD8B">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B43C">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E4F4">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打印机墨水</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135F">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适用于爱普生L6276/L6278/L6279/L6298/T03X1打印机墨水，黑色：7500页（容量：127mL），彩色：6000页（容量：65mL），不接受兼容品牌。</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122">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0A0E">
            <w:pPr>
              <w:widowControl/>
              <w:jc w:val="center"/>
              <w:textAlignment w:val="center"/>
              <w:rPr>
                <w:rFonts w:hint="eastAsia" w:ascii="仿宋_GB2312" w:hAnsi="宋体" w:eastAsia="仿宋_GB2312" w:cs="宋体"/>
                <w:color w:val="auto"/>
                <w:sz w:val="24"/>
              </w:rPr>
            </w:pPr>
            <w:r>
              <w:rPr>
                <w:rFonts w:hint="eastAsia" w:ascii="仿宋_GB2312" w:hAnsi="宋体" w:eastAsia="仿宋_GB2312" w:cs="宋体"/>
                <w:color w:val="auto"/>
                <w:kern w:val="0"/>
                <w:sz w:val="24"/>
                <w:lang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EB2A">
            <w:pPr>
              <w:jc w:val="center"/>
              <w:rPr>
                <w:rFonts w:ascii="宋体" w:hAnsi="宋体" w:cs="宋体"/>
                <w:color w:val="auto"/>
                <w:sz w:val="22"/>
                <w:szCs w:val="22"/>
              </w:rPr>
            </w:pPr>
          </w:p>
        </w:tc>
      </w:tr>
    </w:tbl>
    <w:p w14:paraId="7599D4A9">
      <w:pPr>
        <w:spacing w:line="500" w:lineRule="exact"/>
        <w:ind w:firstLine="361" w:firstLineChars="150"/>
        <w:rPr>
          <w:rFonts w:ascii="仿宋" w:hAnsi="仿宋" w:eastAsia="仿宋" w:cs="宋体"/>
          <w:b/>
          <w:color w:val="auto"/>
          <w:sz w:val="24"/>
        </w:rPr>
      </w:pPr>
      <w:r>
        <w:rPr>
          <w:rFonts w:hint="eastAsia" w:ascii="仿宋" w:hAnsi="仿宋" w:eastAsia="仿宋" w:cs="宋体"/>
          <w:b/>
          <w:color w:val="auto"/>
          <w:sz w:val="24"/>
        </w:rPr>
        <w:t>一、产品技术规格参数要求</w:t>
      </w:r>
    </w:p>
    <w:p w14:paraId="41706974">
      <w:pPr>
        <w:spacing w:line="500" w:lineRule="exact"/>
        <w:ind w:firstLine="360" w:firstLineChars="15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1</w:t>
      </w:r>
      <w:r>
        <w:rPr>
          <w:rFonts w:hint="eastAsia" w:ascii="仿宋" w:hAnsi="仿宋" w:eastAsia="仿宋" w:cs="宋体"/>
          <w:color w:val="auto"/>
          <w:sz w:val="24"/>
        </w:rPr>
        <w:t>）本项目技术参数均为公共参数，无指向性，技术参数中若指向国内品牌均为参考指标，凡技术参数指标执行的国家相关标准、行业标准、地方标准或者其他标准、规范。</w:t>
      </w:r>
    </w:p>
    <w:p w14:paraId="780AA488">
      <w:pPr>
        <w:spacing w:line="500" w:lineRule="exact"/>
        <w:ind w:firstLine="360" w:firstLineChars="15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2</w:t>
      </w:r>
      <w:r>
        <w:rPr>
          <w:rFonts w:hint="eastAsia" w:ascii="仿宋" w:hAnsi="仿宋" w:eastAsia="仿宋" w:cs="宋体"/>
          <w:color w:val="auto"/>
          <w:sz w:val="24"/>
        </w:rPr>
        <w:t>）满足技术性能指标的供应商可根据相应货物选择品牌型号。</w:t>
      </w:r>
    </w:p>
    <w:p w14:paraId="4E38FF48">
      <w:pPr>
        <w:spacing w:line="500" w:lineRule="exact"/>
        <w:ind w:firstLine="361" w:firstLineChars="150"/>
        <w:rPr>
          <w:rFonts w:ascii="仿宋" w:hAnsi="仿宋" w:eastAsia="仿宋" w:cs="宋体"/>
          <w:b/>
          <w:color w:val="auto"/>
          <w:sz w:val="24"/>
        </w:rPr>
      </w:pPr>
      <w:r>
        <w:rPr>
          <w:rFonts w:hint="eastAsia" w:ascii="仿宋" w:hAnsi="仿宋" w:eastAsia="仿宋" w:cs="宋体"/>
          <w:b/>
          <w:color w:val="auto"/>
          <w:sz w:val="24"/>
        </w:rPr>
        <w:t>二、付款方式及交货地点</w:t>
      </w:r>
    </w:p>
    <w:p w14:paraId="5C2265B9">
      <w:pPr>
        <w:spacing w:line="500" w:lineRule="exact"/>
        <w:ind w:firstLine="360" w:firstLineChars="15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1</w:t>
      </w:r>
      <w:r>
        <w:rPr>
          <w:rFonts w:hint="eastAsia" w:ascii="仿宋" w:hAnsi="仿宋" w:eastAsia="仿宋" w:cs="宋体"/>
          <w:color w:val="auto"/>
          <w:sz w:val="24"/>
        </w:rPr>
        <w:t>）付款方式：供货完成验收至合格后按照合同约定付款（具体以合同签订为准）</w:t>
      </w:r>
      <w:r>
        <w:rPr>
          <w:rFonts w:ascii="仿宋" w:hAnsi="仿宋" w:eastAsia="仿宋" w:cs="宋体"/>
          <w:color w:val="auto"/>
          <w:sz w:val="24"/>
        </w:rPr>
        <w:t xml:space="preserve"> </w:t>
      </w:r>
      <w:r>
        <w:rPr>
          <w:rFonts w:hint="eastAsia" w:ascii="仿宋" w:hAnsi="仿宋" w:eastAsia="仿宋" w:cs="宋体"/>
          <w:color w:val="auto"/>
          <w:sz w:val="24"/>
        </w:rPr>
        <w:t>。</w:t>
      </w:r>
    </w:p>
    <w:p w14:paraId="3BA32BCC">
      <w:pPr>
        <w:spacing w:line="500" w:lineRule="exact"/>
        <w:ind w:firstLine="360" w:firstLineChars="15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2</w:t>
      </w:r>
      <w:r>
        <w:rPr>
          <w:rFonts w:hint="eastAsia" w:ascii="仿宋" w:hAnsi="仿宋" w:eastAsia="仿宋" w:cs="宋体"/>
          <w:color w:val="auto"/>
          <w:sz w:val="24"/>
        </w:rPr>
        <w:t>）交货地点：具体以合同签订为准。</w:t>
      </w:r>
    </w:p>
    <w:p w14:paraId="6659D41A">
      <w:pPr>
        <w:spacing w:line="500" w:lineRule="exact"/>
        <w:ind w:firstLine="360" w:firstLineChars="15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）供应商所提供货物报价均为到场价，包含运输、装卸、安装、调试、开票、税费等所有费用。</w:t>
      </w:r>
    </w:p>
    <w:p w14:paraId="29642FE1">
      <w:pPr>
        <w:spacing w:line="500" w:lineRule="exact"/>
        <w:ind w:firstLine="361" w:firstLineChars="150"/>
        <w:rPr>
          <w:rFonts w:ascii="仿宋" w:hAnsi="仿宋" w:eastAsia="仿宋" w:cs="宋体"/>
          <w:b/>
          <w:color w:val="auto"/>
          <w:sz w:val="24"/>
        </w:rPr>
      </w:pPr>
      <w:r>
        <w:rPr>
          <w:rFonts w:hint="eastAsia" w:ascii="仿宋" w:hAnsi="仿宋" w:eastAsia="仿宋" w:cs="宋体"/>
          <w:b/>
          <w:color w:val="auto"/>
          <w:sz w:val="24"/>
        </w:rPr>
        <w:t>三、交货期</w:t>
      </w:r>
    </w:p>
    <w:p w14:paraId="1D08AE92">
      <w:pPr>
        <w:spacing w:line="500" w:lineRule="exact"/>
        <w:ind w:firstLine="480" w:firstLineChars="200"/>
        <w:rPr>
          <w:rFonts w:ascii="仿宋" w:hAnsi="仿宋" w:eastAsia="仿宋" w:cs="宋体"/>
          <w:color w:val="auto"/>
          <w:sz w:val="24"/>
        </w:rPr>
      </w:pPr>
      <w:r>
        <w:rPr>
          <w:rFonts w:hint="eastAsia" w:ascii="仿宋" w:hAnsi="仿宋" w:eastAsia="仿宋" w:cs="宋体"/>
          <w:color w:val="auto"/>
          <w:sz w:val="24"/>
        </w:rPr>
        <w:t>供应商需根据采购人使用计划和要求按时、按质、按量交货（所需货物在甲方指定时间指定地点），保证并承诺所供货物是全新的、未使用过的，符合合同条款、技术规范和标准；如所供货物存在微小缺陷，供应商应当对存在微小缺陷货物进行免费更换，由此发生的所有费用应由供应商承担。供货服务期1年。</w:t>
      </w:r>
    </w:p>
    <w:p w14:paraId="7687EE91">
      <w:pPr>
        <w:spacing w:line="500" w:lineRule="exact"/>
        <w:ind w:firstLine="361" w:firstLineChars="150"/>
        <w:rPr>
          <w:rFonts w:eastAsia="方正仿宋简体"/>
          <w:color w:val="auto"/>
          <w:sz w:val="24"/>
        </w:rPr>
      </w:pPr>
      <w:r>
        <w:rPr>
          <w:rFonts w:hint="eastAsia" w:ascii="仿宋" w:hAnsi="仿宋" w:eastAsia="仿宋" w:cs="宋体"/>
          <w:b/>
          <w:color w:val="auto"/>
          <w:sz w:val="24"/>
        </w:rPr>
        <w:t>四、其他未尽事宜由供需双方在采购合同中详细约定。</w:t>
      </w:r>
    </w:p>
    <w:p w14:paraId="3BFFFD3C">
      <w:pPr>
        <w:pStyle w:val="7"/>
        <w:tabs>
          <w:tab w:val="left" w:pos="0"/>
        </w:tabs>
        <w:snapToGrid w:val="0"/>
        <w:spacing w:before="0" w:after="0" w:line="240" w:lineRule="auto"/>
        <w:textAlignment w:val="baseline"/>
        <w:rPr>
          <w:rFonts w:ascii="Times New Roman" w:eastAsia="方正仿宋简体"/>
          <w:color w:val="auto"/>
          <w:sz w:val="28"/>
          <w:szCs w:val="28"/>
        </w:rPr>
      </w:pPr>
    </w:p>
    <w:p w14:paraId="58EF7D37">
      <w:pPr>
        <w:rPr>
          <w:rFonts w:eastAsia="方正仿宋简体"/>
          <w:color w:val="auto"/>
          <w:sz w:val="28"/>
          <w:szCs w:val="28"/>
        </w:rPr>
      </w:pPr>
    </w:p>
    <w:p w14:paraId="06321F1D">
      <w:pPr>
        <w:pStyle w:val="2"/>
        <w:ind w:firstLine="480"/>
        <w:rPr>
          <w:color w:val="auto"/>
        </w:rPr>
      </w:pPr>
    </w:p>
    <w:p w14:paraId="6D43ADEC">
      <w:pPr>
        <w:pStyle w:val="7"/>
        <w:tabs>
          <w:tab w:val="left" w:pos="0"/>
        </w:tabs>
        <w:snapToGrid w:val="0"/>
        <w:spacing w:before="0" w:after="0" w:line="240" w:lineRule="auto"/>
        <w:textAlignment w:val="baseline"/>
        <w:rPr>
          <w:rFonts w:hint="eastAsia" w:ascii="仿宋_GB2312" w:eastAsia="仿宋_GB2312"/>
          <w:color w:val="auto"/>
          <w:sz w:val="24"/>
          <w:szCs w:val="24"/>
        </w:rPr>
      </w:pPr>
      <w:r>
        <w:rPr>
          <w:rFonts w:hint="eastAsia" w:ascii="仿宋_GB2312" w:eastAsia="仿宋_GB2312"/>
          <w:color w:val="auto"/>
          <w:sz w:val="24"/>
          <w:szCs w:val="24"/>
        </w:rPr>
        <w:t xml:space="preserve">第6章 </w:t>
      </w:r>
      <w:bookmarkStart w:id="823" w:name="_Toc7971"/>
      <w:bookmarkStart w:id="824" w:name="_Toc515647832"/>
      <w:bookmarkStart w:id="825" w:name="_Toc32647"/>
      <w:bookmarkStart w:id="826" w:name="_Toc507399907"/>
      <w:r>
        <w:rPr>
          <w:rFonts w:hint="eastAsia" w:ascii="仿宋_GB2312" w:eastAsia="仿宋_GB2312"/>
          <w:color w:val="auto"/>
          <w:sz w:val="24"/>
          <w:szCs w:val="24"/>
        </w:rPr>
        <w:t>评审方法和标准</w:t>
      </w:r>
      <w:bookmarkEnd w:id="819"/>
      <w:bookmarkEnd w:id="820"/>
      <w:bookmarkEnd w:id="821"/>
      <w:bookmarkEnd w:id="823"/>
      <w:bookmarkEnd w:id="824"/>
      <w:bookmarkEnd w:id="825"/>
      <w:bookmarkEnd w:id="826"/>
    </w:p>
    <w:p w14:paraId="03220294">
      <w:pPr>
        <w:pStyle w:val="5"/>
        <w:snapToGrid w:val="0"/>
        <w:spacing w:before="0" w:line="400" w:lineRule="exact"/>
        <w:ind w:firstLine="540" w:firstLineChars="225"/>
        <w:textAlignment w:val="baseline"/>
        <w:rPr>
          <w:rFonts w:hint="eastAsia" w:ascii="仿宋_GB2312" w:hAnsi="Times New Roman" w:eastAsia="仿宋_GB2312"/>
          <w:color w:val="auto"/>
        </w:rPr>
      </w:pPr>
      <w:bookmarkStart w:id="827" w:name="_Toc3722"/>
      <w:bookmarkStart w:id="828" w:name="_Toc9048"/>
      <w:bookmarkStart w:id="829" w:name="_Toc19292"/>
      <w:bookmarkStart w:id="830" w:name="_Toc5480"/>
      <w:bookmarkStart w:id="831" w:name="_Toc11629"/>
      <w:bookmarkStart w:id="832" w:name="_Toc25450"/>
      <w:bookmarkStart w:id="833" w:name="_Toc15607"/>
      <w:bookmarkStart w:id="834" w:name="_Toc5997"/>
      <w:bookmarkStart w:id="835" w:name="_Toc18284"/>
      <w:bookmarkStart w:id="836" w:name="_Toc4729"/>
      <w:r>
        <w:rPr>
          <w:rFonts w:hint="eastAsia" w:ascii="仿宋_GB2312" w:hAnsi="Times New Roman" w:eastAsia="仿宋_GB2312"/>
          <w:color w:val="auto"/>
        </w:rPr>
        <w:t>本项目将按照谈判文件第一章供应商须知中“五 谈判开启及评审”、“六 确定成交”及本章的规定评标。</w:t>
      </w:r>
    </w:p>
    <w:p w14:paraId="24875CE0">
      <w:pPr>
        <w:pStyle w:val="104"/>
        <w:widowControl/>
        <w:tabs>
          <w:tab w:val="left" w:pos="420"/>
        </w:tabs>
        <w:kinsoku w:val="0"/>
        <w:topLinePunct/>
        <w:autoSpaceDE w:val="0"/>
        <w:autoSpaceDN w:val="0"/>
        <w:snapToGrid w:val="0"/>
        <w:spacing w:line="400" w:lineRule="exact"/>
        <w:ind w:left="0" w:firstLine="0"/>
        <w:textAlignment w:val="baseline"/>
        <w:outlineLvl w:val="1"/>
        <w:rPr>
          <w:rFonts w:hint="eastAsia" w:ascii="仿宋_GB2312" w:eastAsia="仿宋_GB2312"/>
          <w:color w:val="auto"/>
        </w:rPr>
      </w:pPr>
      <w:bookmarkStart w:id="837" w:name="_Toc6597"/>
      <w:bookmarkStart w:id="838" w:name="_Toc1214"/>
      <w:bookmarkStart w:id="839" w:name="_Toc17414"/>
      <w:r>
        <w:rPr>
          <w:rFonts w:hint="eastAsia" w:ascii="仿宋_GB2312" w:eastAsia="仿宋_GB2312"/>
          <w:color w:val="auto"/>
        </w:rPr>
        <w:t>1.   总则</w:t>
      </w:r>
      <w:bookmarkEnd w:id="837"/>
      <w:bookmarkEnd w:id="838"/>
      <w:bookmarkEnd w:id="839"/>
    </w:p>
    <w:p w14:paraId="64994542">
      <w:pPr>
        <w:pStyle w:val="88"/>
        <w:widowControl/>
        <w:kinsoku w:val="0"/>
        <w:topLinePunct/>
        <w:autoSpaceDE w:val="0"/>
        <w:autoSpaceDN w:val="0"/>
        <w:snapToGrid w:val="0"/>
        <w:spacing w:line="400" w:lineRule="exact"/>
        <w:ind w:left="720" w:hanging="720" w:hangingChars="3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1.1  根据《中华人民共和国政府采购法》和《政府采购非招标采购方式管理办法》（财政部令第74号）等法律规章，结合采购项目特点制定本评标办法。</w:t>
      </w:r>
    </w:p>
    <w:p w14:paraId="0AA27287">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1.2  评标工作由采购代理机构负责组织，具体评标事务由采购代理机构依法组建的竞争性谈判小组负责。采用竞争性谈判采购的政府采购项目，评审专家应当从政府采购评审专家库内相关专业的专家名单中随机抽取。</w:t>
      </w:r>
    </w:p>
    <w:p w14:paraId="3BEECE74">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1.3 评标工作应遵循公平、公正、科学及择优的原则，并以相同的评标程序和标准对待所有的投标人。</w:t>
      </w:r>
    </w:p>
    <w:p w14:paraId="5506B493">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1.4 竞争性谈判小组按照谈判文件规定的评标方法和标准进行评标，并在采购活动过程中应当履行下列职责：</w:t>
      </w:r>
    </w:p>
    <w:p w14:paraId="6799E976">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（一）确认或者制定谈判文件；</w:t>
      </w:r>
    </w:p>
    <w:p w14:paraId="09A8A796">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（二）从符合相应资格条件的供应商名单中确定不少于3家的供应商参加谈判；</w:t>
      </w:r>
    </w:p>
    <w:p w14:paraId="4CCD064B">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（三）审查供应商的响应文件并作出评价；</w:t>
      </w:r>
    </w:p>
    <w:p w14:paraId="2B6EAF67">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（四）要求供应商解释或者澄清其响应文件；</w:t>
      </w:r>
    </w:p>
    <w:p w14:paraId="2B4C4D02">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（五）编写评审报告；</w:t>
      </w:r>
    </w:p>
    <w:p w14:paraId="30218B9A">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xml:space="preserve">    （六）告知采购人、采购代理机构在评审过程中发现的供应商的违法违规行为；</w:t>
      </w:r>
    </w:p>
    <w:p w14:paraId="25ADA1AF">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1.5  竞争性谈判小组成员应当履行下列义务：</w:t>
      </w:r>
    </w:p>
    <w:p w14:paraId="481A4909">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（一）遵纪守法，客观、公正、廉洁地履行职责；</w:t>
      </w:r>
    </w:p>
    <w:p w14:paraId="649F4516">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（二）根据谈判文件的规定独立进行评审，对个人的评审意见承担法律责任；</w:t>
      </w:r>
    </w:p>
    <w:p w14:paraId="01AA9516">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（三）参与评审报告的起草；</w:t>
      </w:r>
    </w:p>
    <w:p w14:paraId="3D18BDB0">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（四）配合采购人、采购代理机构答复供应商提出的质疑；</w:t>
      </w:r>
    </w:p>
    <w:p w14:paraId="3F11C4DC">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（五）配合财政部门的投诉处理和监督检查工作。</w:t>
      </w:r>
    </w:p>
    <w:p w14:paraId="318AB4DF">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1.6  向招标采购单位或者有关部门报告非法干预评标工作的行为。</w:t>
      </w:r>
    </w:p>
    <w:p w14:paraId="233B9A3F">
      <w:pPr>
        <w:pStyle w:val="104"/>
        <w:widowControl/>
        <w:tabs>
          <w:tab w:val="left" w:pos="420"/>
        </w:tabs>
        <w:kinsoku w:val="0"/>
        <w:topLinePunct/>
        <w:autoSpaceDE w:val="0"/>
        <w:autoSpaceDN w:val="0"/>
        <w:snapToGrid w:val="0"/>
        <w:spacing w:line="400" w:lineRule="exact"/>
        <w:ind w:left="0" w:firstLine="0"/>
        <w:textAlignment w:val="baseline"/>
        <w:outlineLvl w:val="1"/>
        <w:rPr>
          <w:rFonts w:hint="eastAsia" w:ascii="仿宋_GB2312" w:eastAsia="仿宋_GB2312"/>
          <w:color w:val="auto"/>
        </w:rPr>
      </w:pPr>
      <w:bookmarkStart w:id="840" w:name="_Toc20796"/>
      <w:bookmarkStart w:id="841" w:name="_Toc16069"/>
      <w:r>
        <w:rPr>
          <w:rFonts w:hint="eastAsia" w:ascii="仿宋_GB2312" w:eastAsia="仿宋_GB2312"/>
          <w:color w:val="auto"/>
        </w:rPr>
        <w:t xml:space="preserve">2.  </w:t>
      </w:r>
      <w:bookmarkStart w:id="842" w:name="_Toc16934"/>
      <w:r>
        <w:rPr>
          <w:rFonts w:hint="eastAsia" w:ascii="仿宋_GB2312" w:eastAsia="仿宋_GB2312"/>
          <w:color w:val="auto"/>
        </w:rPr>
        <w:t xml:space="preserve"> 开标程序</w:t>
      </w:r>
      <w:bookmarkEnd w:id="840"/>
      <w:bookmarkEnd w:id="841"/>
      <w:bookmarkEnd w:id="842"/>
    </w:p>
    <w:p w14:paraId="42A87483">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2.1  采购人和采购代理机构将按</w:t>
      </w:r>
      <w:r>
        <w:rPr>
          <w:rFonts w:hint="eastAsia" w:ascii="仿宋_GB2312" w:hAnsi="Times New Roman" w:eastAsia="仿宋_GB2312"/>
          <w:b/>
          <w:bCs/>
          <w:color w:val="auto"/>
          <w:sz w:val="24"/>
          <w:szCs w:val="24"/>
          <w:u w:val="single"/>
        </w:rPr>
        <w:t>投标人须知资料表</w:t>
      </w:r>
      <w:r>
        <w:rPr>
          <w:rFonts w:hint="eastAsia" w:ascii="仿宋_GB2312" w:hAnsi="Times New Roman" w:eastAsia="仿宋_GB2312"/>
          <w:color w:val="auto"/>
          <w:sz w:val="24"/>
          <w:szCs w:val="24"/>
        </w:rPr>
        <w:t>中规定的开标时间和地点组织竞争性谈判。</w:t>
      </w:r>
    </w:p>
    <w:p w14:paraId="4FBCB90C">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2.2  有效投标供应商不足3家的，不得开标。</w:t>
      </w:r>
    </w:p>
    <w:p w14:paraId="3B66AC01">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2.3  采购代理机构点击开始解密后，投标供应商解密投标文件，解密时长为30分钟，供应商应使用与加密时使用的同一把CA锁进行解密操作。</w:t>
      </w:r>
    </w:p>
    <w:p w14:paraId="5E881E63">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2.4  竞争性谈判小组推荐选定组长，由组长负责本项目评审工作的统筹协调。</w:t>
      </w:r>
    </w:p>
    <w:p w14:paraId="772941E7">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2.5  由采购代理机构工作人员开启报价文件并由供应商代表在线CA签字确认，报价确认时段限制为10分钟，由谈判小组进行报价评审及政策价格认定。</w:t>
      </w:r>
    </w:p>
    <w:p w14:paraId="598BDA4F">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2.6  采购代理机构将对开标过程进行全称录音录像，并存档备查。</w:t>
      </w:r>
    </w:p>
    <w:p w14:paraId="0EAF8B1F">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2.7  供应商代表对开标过程和开标记录有疑义，以及认为采购人、采购代理机构相关工作人员有需要回避的情形的，应当场提出询问或者回避申请。</w:t>
      </w:r>
    </w:p>
    <w:p w14:paraId="7FE1A6DF">
      <w:pPr>
        <w:pStyle w:val="104"/>
        <w:widowControl/>
        <w:tabs>
          <w:tab w:val="left" w:pos="420"/>
        </w:tabs>
        <w:kinsoku w:val="0"/>
        <w:topLinePunct/>
        <w:autoSpaceDE w:val="0"/>
        <w:autoSpaceDN w:val="0"/>
        <w:snapToGrid w:val="0"/>
        <w:spacing w:line="400" w:lineRule="exact"/>
        <w:ind w:left="0" w:firstLine="0"/>
        <w:textAlignment w:val="baseline"/>
        <w:outlineLvl w:val="1"/>
        <w:rPr>
          <w:rFonts w:hint="eastAsia" w:ascii="仿宋_GB2312" w:eastAsia="仿宋_GB2312"/>
          <w:color w:val="auto"/>
        </w:rPr>
      </w:pPr>
      <w:bookmarkStart w:id="843" w:name="_Toc14856"/>
      <w:bookmarkStart w:id="844" w:name="_Toc11172"/>
      <w:r>
        <w:rPr>
          <w:rFonts w:hint="eastAsia" w:ascii="仿宋_GB2312" w:eastAsia="仿宋_GB2312"/>
          <w:color w:val="auto"/>
        </w:rPr>
        <w:t xml:space="preserve">3.  </w:t>
      </w:r>
      <w:bookmarkStart w:id="845" w:name="_Toc111"/>
      <w:r>
        <w:rPr>
          <w:rFonts w:hint="eastAsia" w:ascii="仿宋_GB2312" w:eastAsia="仿宋_GB2312"/>
          <w:color w:val="auto"/>
        </w:rPr>
        <w:t xml:space="preserve"> 评标程序</w:t>
      </w:r>
      <w:bookmarkEnd w:id="843"/>
      <w:bookmarkEnd w:id="844"/>
      <w:bookmarkEnd w:id="845"/>
    </w:p>
    <w:p w14:paraId="6C81ADB1">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3.1 采用竞争性谈判采购的政府采购项目，评审专家应当从政府采购评审专家库内相关专业的专家名单中随机抽取。</w:t>
      </w:r>
    </w:p>
    <w:p w14:paraId="263573DA">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3.2  评标过程中，采购人和采购代理机构将对评审专家在政府采购活动中职责履行情况予以记录，并及时将有关违法违规行为向财政部门报告。</w:t>
      </w:r>
    </w:p>
    <w:p w14:paraId="58A0C06F">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3.3  采购人和采购代理机构，谈判小组成员要严格遵守政府采购相关法律制度，依法履行各自职责，公正、客观、审慎地组织和参与评审工作。</w:t>
      </w:r>
    </w:p>
    <w:p w14:paraId="66C3F89C">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3.4  谈判小组成员要依法独立评审，并对评审意见承担个人责任。</w:t>
      </w:r>
    </w:p>
    <w:p w14:paraId="25D71324">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3.5  采购人、采购代理机构要确保评审活动在严格保密的情况下进行。谈判小组会成员、采购人和采购代理机构工作人员、相关监督人员等与评审有关的人员，对评审情况以及在评审过程中获悉的国家秘密、商业秘密负有保密责任。</w:t>
      </w:r>
    </w:p>
    <w:p w14:paraId="316F180F">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3.6  采购人、采购代理机构和评审委员会在评审工作中，要依法相互监督和制约，并自觉接受本级财政部门的监督。</w:t>
      </w:r>
    </w:p>
    <w:p w14:paraId="33AE9981">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3.7  评谈判小组要根据政府采购法律法规和采购文件所载明的评审方法、标准依法依规进行评审。</w:t>
      </w:r>
    </w:p>
    <w:p w14:paraId="71B63566">
      <w:pPr>
        <w:pStyle w:val="88"/>
        <w:widowControl/>
        <w:kinsoku w:val="0"/>
        <w:topLinePunct/>
        <w:autoSpaceDE w:val="0"/>
        <w:autoSpaceDN w:val="0"/>
        <w:snapToGrid w:val="0"/>
        <w:spacing w:line="400" w:lineRule="exact"/>
        <w:ind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3.8  评审专家在政府采购活动中应当遵守以下工作纪律：</w:t>
      </w:r>
    </w:p>
    <w:p w14:paraId="6A5DF788">
      <w:pPr>
        <w:pStyle w:val="88"/>
        <w:widowControl/>
        <w:kinsoku w:val="0"/>
        <w:topLinePunct/>
        <w:autoSpaceDE w:val="0"/>
        <w:autoSpaceDN w:val="0"/>
        <w:snapToGrid w:val="0"/>
        <w:spacing w:line="400" w:lineRule="exact"/>
        <w:ind w:left="479" w:leftChars="228"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（一）应邀按时参加评审和咨询活动。遇特殊情况不能出席或途中遇阻不能按时参加评审或咨询的，应及时告知采购人或者采购代理机构，不得私自转托他人；</w:t>
      </w:r>
    </w:p>
    <w:p w14:paraId="51FA4854">
      <w:pPr>
        <w:pStyle w:val="88"/>
        <w:widowControl/>
        <w:kinsoku w:val="0"/>
        <w:topLinePunct/>
        <w:autoSpaceDE w:val="0"/>
        <w:autoSpaceDN w:val="0"/>
        <w:snapToGrid w:val="0"/>
        <w:spacing w:line="400" w:lineRule="exact"/>
        <w:ind w:left="479" w:leftChars="228"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二）不得参加与自己有利害关系的政府采购项目的评审活动。对与自己有利害关系的评审项目，如受到邀请，应主动提出回避。行政监管部门、采购人或采购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18743900">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 xml:space="preserve">   （三）评审或咨询过程中关闭通讯设备，不得与外界联系。因发生不可预见情况，确实需要与外界联系的，应当有在场工作人员陪同；</w:t>
      </w:r>
    </w:p>
    <w:p w14:paraId="553961C7">
      <w:pPr>
        <w:pStyle w:val="88"/>
        <w:widowControl/>
        <w:kinsoku w:val="0"/>
        <w:topLinePunct/>
        <w:autoSpaceDE w:val="0"/>
        <w:autoSpaceDN w:val="0"/>
        <w:snapToGrid w:val="0"/>
        <w:spacing w:line="400" w:lineRule="exact"/>
        <w:ind w:left="479" w:leftChars="228"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四）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谈判文件没有规定的方法和标准作为评审的依据；不得违反规定的评审格式评分和撰写评审意见；不得拒绝对自己的评审意见签字确认；</w:t>
      </w:r>
    </w:p>
    <w:p w14:paraId="1F28B13A">
      <w:pPr>
        <w:pStyle w:val="88"/>
        <w:widowControl/>
        <w:kinsoku w:val="0"/>
        <w:topLinePunct/>
        <w:autoSpaceDE w:val="0"/>
        <w:autoSpaceDN w:val="0"/>
        <w:snapToGrid w:val="0"/>
        <w:spacing w:line="400" w:lineRule="exact"/>
        <w:ind w:left="479" w:leftChars="228" w:firstLine="0" w:firstLineChars="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（五）在咨询工作中，严格执行国家产业政策和产品标准，认真听取咨询方的合理要求， 提出科学合理的、无倾向性和歧视性的咨询方案，并对所提出的意见和建议承担个人责任；</w:t>
      </w:r>
    </w:p>
    <w:p w14:paraId="4D2C0DC0">
      <w:pPr>
        <w:pStyle w:val="88"/>
        <w:widowControl/>
        <w:kinsoku w:val="0"/>
        <w:topLinePunct/>
        <w:autoSpaceDE w:val="0"/>
        <w:autoSpaceDN w:val="0"/>
        <w:snapToGrid w:val="0"/>
        <w:spacing w:line="400" w:lineRule="exact"/>
        <w:ind w:firstLine="48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（六）法律、法规和规章规定的其他评审工作纪律。</w:t>
      </w:r>
    </w:p>
    <w:p w14:paraId="707AB4E7">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3.9  竞争性谈判共有两次报价，谈判结束后，供应商可根据谈判情况，在规定的时间内进行第二次报价，该报价为谈判的最终报价（供应商认为没有进行第二次报价的必要时，也可以维持原报价）。谈判小组所有成员集中与单一供应商分别进行谈判，并给予所有参加谈判的供应商平等的谈判机会，谈判小组要求所有实质性响应的供应商在规定时间内提交最后报价，最后报价是供应商响应文件的有效组成部分，经谈判确定最终采购需求和提交最后报价的供应商全部满足谈判文件实质性要求且报价最低的供应商为成交候选供应商。</w:t>
      </w:r>
    </w:p>
    <w:p w14:paraId="0154191F">
      <w:pPr>
        <w:pStyle w:val="88"/>
        <w:widowControl/>
        <w:kinsoku w:val="0"/>
        <w:topLinePunct/>
        <w:autoSpaceDE w:val="0"/>
        <w:autoSpaceDN w:val="0"/>
        <w:snapToGrid w:val="0"/>
        <w:spacing w:line="400" w:lineRule="exact"/>
        <w:ind w:left="480" w:hanging="480" w:hangingChars="20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3.10在谈判过程中，谈判小组认为投标人的报价明显低于其他通过符合性审查投标人的报价，有可能影响产品质量或者不能诚信履约的，谈判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投标文件作为无效处理。</w:t>
      </w:r>
    </w:p>
    <w:p w14:paraId="19F6E2ED">
      <w:pPr>
        <w:pStyle w:val="104"/>
        <w:widowControl/>
        <w:tabs>
          <w:tab w:val="left" w:pos="420"/>
        </w:tabs>
        <w:kinsoku w:val="0"/>
        <w:topLinePunct/>
        <w:autoSpaceDE w:val="0"/>
        <w:autoSpaceDN w:val="0"/>
        <w:snapToGrid w:val="0"/>
        <w:spacing w:line="400" w:lineRule="exact"/>
        <w:ind w:left="0" w:firstLine="0"/>
        <w:textAlignment w:val="baseline"/>
        <w:outlineLvl w:val="1"/>
        <w:rPr>
          <w:rFonts w:hint="eastAsia" w:ascii="仿宋_GB2312" w:eastAsia="仿宋_GB2312"/>
          <w:color w:val="auto"/>
        </w:rPr>
      </w:pPr>
      <w:bookmarkStart w:id="846" w:name="_Toc32042"/>
      <w:bookmarkStart w:id="847" w:name="_Toc21624"/>
      <w:r>
        <w:rPr>
          <w:rFonts w:hint="eastAsia" w:ascii="仿宋_GB2312" w:eastAsia="仿宋_GB2312"/>
          <w:color w:val="auto"/>
        </w:rPr>
        <w:t xml:space="preserve">4.  </w:t>
      </w:r>
      <w:bookmarkStart w:id="848" w:name="_Toc15303"/>
      <w:r>
        <w:rPr>
          <w:rFonts w:hint="eastAsia" w:ascii="仿宋_GB2312" w:eastAsia="仿宋_GB2312"/>
          <w:color w:val="auto"/>
        </w:rPr>
        <w:t>定标程序</w:t>
      </w:r>
      <w:bookmarkEnd w:id="846"/>
      <w:bookmarkEnd w:id="847"/>
      <w:bookmarkEnd w:id="848"/>
    </w:p>
    <w:p w14:paraId="4E1D3903">
      <w:pPr>
        <w:pStyle w:val="88"/>
        <w:widowControl/>
        <w:tabs>
          <w:tab w:val="left" w:pos="1654"/>
        </w:tabs>
        <w:kinsoku w:val="0"/>
        <w:topLinePunct/>
        <w:autoSpaceDE w:val="0"/>
        <w:autoSpaceDN w:val="0"/>
        <w:snapToGrid w:val="0"/>
        <w:spacing w:line="400" w:lineRule="exact"/>
        <w:ind w:firstLine="480"/>
        <w:textAlignment w:val="baseline"/>
        <w:rPr>
          <w:rFonts w:hint="eastAsia" w:ascii="仿宋_GB2312" w:hAnsi="Times New Roman" w:eastAsia="仿宋_GB2312"/>
          <w:color w:val="auto"/>
          <w:sz w:val="24"/>
          <w:szCs w:val="24"/>
        </w:rPr>
      </w:pPr>
      <w:r>
        <w:rPr>
          <w:rFonts w:hint="eastAsia" w:ascii="仿宋_GB2312" w:hAnsi="Times New Roman" w:eastAsia="仿宋_GB2312"/>
          <w:color w:val="auto"/>
          <w:sz w:val="24"/>
          <w:szCs w:val="24"/>
        </w:rPr>
        <w:t>（一）采购代理机构应当在评标结束后2个工作日内将评标报告送采购人。</w:t>
      </w:r>
    </w:p>
    <w:p w14:paraId="19ADF0DF">
      <w:pPr>
        <w:widowControl/>
        <w:kinsoku w:val="0"/>
        <w:topLinePunct/>
        <w:autoSpaceDE w:val="0"/>
        <w:autoSpaceDN w:val="0"/>
        <w:snapToGrid w:val="0"/>
        <w:spacing w:line="400" w:lineRule="exact"/>
        <w:ind w:left="479" w:leftChars="228"/>
        <w:textAlignment w:val="baseline"/>
        <w:rPr>
          <w:rFonts w:hint="eastAsia" w:ascii="仿宋_GB2312" w:eastAsia="仿宋_GB2312"/>
          <w:color w:val="auto"/>
          <w:sz w:val="24"/>
        </w:rPr>
      </w:pPr>
      <w:r>
        <w:rPr>
          <w:rFonts w:hint="eastAsia" w:ascii="仿宋_GB2312" w:eastAsia="仿宋_GB2312"/>
          <w:color w:val="auto"/>
          <w:sz w:val="24"/>
        </w:rPr>
        <w:t>（二）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tbl>
      <w:tblPr>
        <w:tblStyle w:val="40"/>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14:paraId="1129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14:paraId="172FEDEC">
            <w:pPr>
              <w:pStyle w:val="10"/>
              <w:widowControl/>
              <w:kinsoku w:val="0"/>
              <w:topLinePunct/>
              <w:adjustRightInd/>
              <w:snapToGrid w:val="0"/>
              <w:spacing w:line="400" w:lineRule="exact"/>
              <w:ind w:firstLine="0"/>
              <w:jc w:val="both"/>
              <w:textAlignment w:val="baseline"/>
              <w:rPr>
                <w:rFonts w:hint="eastAsia" w:ascii="仿宋_GB2312" w:eastAsia="仿宋_GB2312"/>
                <w:color w:val="auto"/>
                <w:szCs w:val="24"/>
              </w:rPr>
            </w:pPr>
          </w:p>
        </w:tc>
      </w:tr>
    </w:tbl>
    <w:p w14:paraId="5E48A081">
      <w:pPr>
        <w:pStyle w:val="104"/>
        <w:widowControl/>
        <w:tabs>
          <w:tab w:val="left" w:pos="1297"/>
        </w:tabs>
        <w:kinsoku w:val="0"/>
        <w:topLinePunct/>
        <w:autoSpaceDE w:val="0"/>
        <w:autoSpaceDN w:val="0"/>
        <w:snapToGrid w:val="0"/>
        <w:spacing w:line="400" w:lineRule="exact"/>
        <w:ind w:left="482" w:hanging="482" w:hangingChars="200"/>
        <w:textAlignment w:val="baseline"/>
        <w:outlineLvl w:val="1"/>
        <w:rPr>
          <w:rFonts w:hint="eastAsia" w:ascii="仿宋_GB2312" w:eastAsia="仿宋_GB2312"/>
          <w:color w:val="auto"/>
        </w:rPr>
      </w:pPr>
      <w:bookmarkStart w:id="849" w:name="_Toc20794"/>
      <w:bookmarkStart w:id="850" w:name="_Toc43"/>
      <w:bookmarkStart w:id="851" w:name="_Toc17029"/>
      <w:r>
        <w:rPr>
          <w:rFonts w:hint="eastAsia" w:ascii="仿宋_GB2312" w:eastAsia="仿宋_GB2312"/>
          <w:color w:val="auto"/>
        </w:rPr>
        <w:t xml:space="preserve">5.   </w:t>
      </w:r>
      <w:bookmarkEnd w:id="849"/>
      <w:bookmarkEnd w:id="850"/>
      <w:bookmarkStart w:id="852" w:name="_Toc19199"/>
      <w:r>
        <w:rPr>
          <w:rFonts w:hint="eastAsia" w:ascii="仿宋_GB2312" w:eastAsia="仿宋_GB2312"/>
          <w:color w:val="auto"/>
        </w:rPr>
        <w:t>出现下列情形之一的，采购人或者采购代理机构应当终止竞争性谈判采购活动，发布项目终止公告并说明原因，重新开展采购活动：</w:t>
      </w:r>
      <w:bookmarkEnd w:id="851"/>
    </w:p>
    <w:p w14:paraId="4674CAB6">
      <w:pPr>
        <w:widowControl/>
        <w:kinsoku w:val="0"/>
        <w:topLinePunct/>
        <w:autoSpaceDE w:val="0"/>
        <w:autoSpaceDN w:val="0"/>
        <w:snapToGrid w:val="0"/>
        <w:spacing w:line="400" w:lineRule="exact"/>
        <w:textAlignment w:val="baseline"/>
        <w:outlineLvl w:val="1"/>
        <w:rPr>
          <w:rFonts w:hint="eastAsia" w:ascii="仿宋_GB2312" w:eastAsia="仿宋_GB2312"/>
          <w:color w:val="auto"/>
          <w:sz w:val="24"/>
        </w:rPr>
      </w:pPr>
      <w:r>
        <w:rPr>
          <w:rFonts w:hint="eastAsia" w:ascii="仿宋_GB2312" w:eastAsia="仿宋_GB2312"/>
          <w:color w:val="auto"/>
          <w:sz w:val="24"/>
        </w:rPr>
        <w:t>　　</w:t>
      </w:r>
      <w:bookmarkStart w:id="853" w:name="_Toc19631"/>
      <w:r>
        <w:rPr>
          <w:rFonts w:hint="eastAsia" w:ascii="仿宋_GB2312" w:eastAsia="仿宋_GB2312"/>
          <w:color w:val="auto"/>
          <w:sz w:val="24"/>
        </w:rPr>
        <w:t>（一）因情况变化，不再符合规定的竞争性谈判采购方式适用情形的；</w:t>
      </w:r>
      <w:bookmarkEnd w:id="853"/>
    </w:p>
    <w:p w14:paraId="787E716A">
      <w:pPr>
        <w:widowControl/>
        <w:kinsoku w:val="0"/>
        <w:topLinePunct/>
        <w:autoSpaceDE w:val="0"/>
        <w:autoSpaceDN w:val="0"/>
        <w:snapToGrid w:val="0"/>
        <w:spacing w:line="400" w:lineRule="exact"/>
        <w:textAlignment w:val="baseline"/>
        <w:outlineLvl w:val="1"/>
        <w:rPr>
          <w:rFonts w:hint="eastAsia" w:ascii="仿宋_GB2312" w:eastAsia="仿宋_GB2312"/>
          <w:color w:val="auto"/>
          <w:sz w:val="24"/>
        </w:rPr>
      </w:pPr>
      <w:r>
        <w:rPr>
          <w:rFonts w:hint="eastAsia" w:ascii="仿宋_GB2312" w:eastAsia="仿宋_GB2312"/>
          <w:color w:val="auto"/>
          <w:sz w:val="24"/>
        </w:rPr>
        <w:t>　　</w:t>
      </w:r>
      <w:bookmarkStart w:id="854" w:name="_Toc18288"/>
      <w:r>
        <w:rPr>
          <w:rFonts w:hint="eastAsia" w:ascii="仿宋_GB2312" w:eastAsia="仿宋_GB2312"/>
          <w:color w:val="auto"/>
          <w:sz w:val="24"/>
        </w:rPr>
        <w:t>（二）出现影响采购公正的违法、违规行为的；</w:t>
      </w:r>
      <w:bookmarkEnd w:id="854"/>
    </w:p>
    <w:p w14:paraId="7D8EFA4E">
      <w:pPr>
        <w:widowControl/>
        <w:kinsoku w:val="0"/>
        <w:topLinePunct/>
        <w:autoSpaceDE w:val="0"/>
        <w:autoSpaceDN w:val="0"/>
        <w:snapToGrid w:val="0"/>
        <w:spacing w:line="400" w:lineRule="exact"/>
        <w:ind w:left="480" w:hanging="480" w:hangingChars="200"/>
        <w:textAlignment w:val="baseline"/>
        <w:outlineLvl w:val="1"/>
        <w:rPr>
          <w:rFonts w:hint="eastAsia" w:ascii="仿宋_GB2312" w:eastAsia="仿宋_GB2312"/>
          <w:color w:val="auto"/>
          <w:sz w:val="24"/>
        </w:rPr>
      </w:pPr>
      <w:r>
        <w:rPr>
          <w:rFonts w:hint="eastAsia" w:ascii="仿宋_GB2312" w:eastAsia="仿宋_GB2312"/>
          <w:color w:val="auto"/>
          <w:sz w:val="24"/>
        </w:rPr>
        <w:t>　　</w:t>
      </w:r>
      <w:bookmarkStart w:id="855" w:name="_Toc2269"/>
      <w:r>
        <w:rPr>
          <w:rFonts w:hint="eastAsia" w:ascii="仿宋_GB2312" w:eastAsia="仿宋_GB2312"/>
          <w:color w:val="auto"/>
          <w:sz w:val="24"/>
        </w:rPr>
        <w:t>（三）在采购过程中符合竞争要求的供应商或者报价未超过采购预算的供应商不足3家的，但《政府采购非招标采购方式管理办法》第二十七条第二款规定的情形除外。</w:t>
      </w:r>
      <w:bookmarkEnd w:id="855"/>
    </w:p>
    <w:p w14:paraId="765A6956">
      <w:pPr>
        <w:widowControl/>
        <w:kinsoku w:val="0"/>
        <w:topLinePunct/>
        <w:autoSpaceDE w:val="0"/>
        <w:autoSpaceDN w:val="0"/>
        <w:snapToGrid w:val="0"/>
        <w:spacing w:line="400" w:lineRule="exact"/>
        <w:textAlignment w:val="baseline"/>
        <w:outlineLvl w:val="1"/>
        <w:rPr>
          <w:rFonts w:hint="eastAsia" w:ascii="仿宋_GB2312" w:eastAsia="仿宋_GB2312"/>
          <w:b/>
          <w:bCs/>
          <w:color w:val="auto"/>
          <w:sz w:val="24"/>
        </w:rPr>
      </w:pPr>
      <w:bookmarkStart w:id="856" w:name="_Toc30523"/>
      <w:r>
        <w:rPr>
          <w:rFonts w:hint="eastAsia" w:ascii="仿宋_GB2312" w:eastAsia="仿宋_GB2312"/>
          <w:b/>
          <w:bCs/>
          <w:color w:val="auto"/>
          <w:sz w:val="24"/>
        </w:rPr>
        <w:t>6.  其他政府采购政策要求：</w:t>
      </w:r>
      <w:bookmarkEnd w:id="852"/>
      <w:bookmarkEnd w:id="856"/>
    </w:p>
    <w:p w14:paraId="00D55BFD">
      <w:pPr>
        <w:widowControl/>
        <w:kinsoku w:val="0"/>
        <w:topLinePunct/>
        <w:autoSpaceDE w:val="0"/>
        <w:autoSpaceDN w:val="0"/>
        <w:snapToGrid w:val="0"/>
        <w:spacing w:line="400" w:lineRule="exact"/>
        <w:ind w:left="479" w:leftChars="228" w:firstLine="240" w:firstLineChars="100"/>
        <w:textAlignment w:val="baseline"/>
        <w:rPr>
          <w:rFonts w:hint="eastAsia" w:ascii="仿宋_GB2312" w:eastAsia="仿宋_GB2312"/>
          <w:color w:val="auto"/>
          <w:sz w:val="24"/>
        </w:rPr>
      </w:pPr>
      <w:r>
        <w:rPr>
          <w:rFonts w:hint="eastAsia" w:ascii="仿宋_GB2312" w:eastAsia="仿宋_GB2312"/>
          <w:color w:val="auto"/>
          <w:sz w:val="24"/>
        </w:rPr>
        <w:t>（一）《政府采购促进中小企业发展管理办法》（财库[2020]46号）、《关于进一步加大政府采购支持中小企业力度的通知》（财库[2022]19号）、《财政部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hint="eastAsia" w:ascii="仿宋_GB2312" w:eastAsia="仿宋_GB2312"/>
          <w:color w:val="auto"/>
          <w:sz w:val="24"/>
          <w:u w:val="single"/>
        </w:rPr>
        <w:t>10%~20%</w:t>
      </w:r>
      <w:r>
        <w:rPr>
          <w:rFonts w:hint="eastAsia" w:ascii="仿宋_GB2312" w:eastAsia="仿宋_GB2312"/>
          <w:color w:val="auto"/>
          <w:sz w:val="24"/>
        </w:rPr>
        <w:t>的扣除，用扣除后的价格参加评审。对于同时属于小微企业、监狱企业或残疾人福利性单位的，不重复进行投标报价扣除。</w:t>
      </w:r>
    </w:p>
    <w:p w14:paraId="60FA25D2">
      <w:pPr>
        <w:widowControl/>
        <w:kinsoku w:val="0"/>
        <w:topLinePunct/>
        <w:autoSpaceDE w:val="0"/>
        <w:autoSpaceDN w:val="0"/>
        <w:snapToGrid w:val="0"/>
        <w:spacing w:line="400" w:lineRule="exact"/>
        <w:ind w:left="479" w:leftChars="228"/>
        <w:textAlignment w:val="baseline"/>
        <w:rPr>
          <w:rFonts w:hint="eastAsia" w:ascii="仿宋_GB2312" w:eastAsia="仿宋_GB2312"/>
          <w:color w:val="auto"/>
          <w:sz w:val="24"/>
        </w:rPr>
      </w:pPr>
      <w:r>
        <w:rPr>
          <w:rFonts w:hint="eastAsia" w:ascii="仿宋_GB2312" w:eastAsia="仿宋_GB2312"/>
          <w:color w:val="auto"/>
          <w:sz w:val="24"/>
        </w:rPr>
        <w:t>（二）</w:t>
      </w:r>
      <w:r>
        <w:rPr>
          <w:rFonts w:hint="eastAsia" w:ascii="仿宋_GB2312" w:eastAsia="仿宋_GB2312"/>
          <w:b/>
          <w:bCs/>
          <w:color w:val="auto"/>
          <w:sz w:val="24"/>
        </w:rPr>
        <w:t>（本项目不接受联合体投标）</w:t>
      </w:r>
      <w:r>
        <w:rPr>
          <w:rFonts w:hint="eastAsia" w:ascii="仿宋_GB2312" w:eastAsia="仿宋_GB2312"/>
          <w:color w:val="auto"/>
          <w:sz w:val="24"/>
        </w:rPr>
        <w:t>联合协议中约定，小型、微型企业和监狱企业的协议合同金额占到联合体协议合同总金额30%以上的，可给予联合体</w:t>
      </w:r>
      <w:r>
        <w:rPr>
          <w:rFonts w:hint="eastAsia" w:ascii="仿宋_GB2312" w:eastAsia="仿宋_GB2312"/>
          <w:color w:val="auto"/>
          <w:sz w:val="24"/>
          <w:u w:val="single"/>
        </w:rPr>
        <w:t xml:space="preserve">  /   </w:t>
      </w:r>
      <w:r>
        <w:rPr>
          <w:rFonts w:hint="eastAsia" w:ascii="仿宋_GB2312" w:eastAsia="仿宋_GB2312"/>
          <w:color w:val="auto"/>
          <w:sz w:val="24"/>
        </w:rPr>
        <w:t>%的价格扣除。联合体各方均为小型、微型企业和监狱企业的，联合体视同为小型、微型企业和监狱企业。</w:t>
      </w:r>
    </w:p>
    <w:p w14:paraId="1BC306C1">
      <w:pPr>
        <w:pStyle w:val="5"/>
        <w:widowControl/>
        <w:kinsoku w:val="0"/>
        <w:topLinePunct/>
        <w:autoSpaceDE w:val="0"/>
        <w:autoSpaceDN w:val="0"/>
        <w:snapToGrid w:val="0"/>
        <w:spacing w:before="0" w:line="400" w:lineRule="exact"/>
        <w:ind w:left="479" w:leftChars="228"/>
        <w:textAlignment w:val="baseline"/>
        <w:rPr>
          <w:rFonts w:hint="eastAsia" w:ascii="仿宋_GB2312" w:hAnsi="Times New Roman" w:eastAsia="仿宋_GB2312"/>
          <w:color w:val="auto"/>
          <w:u w:val="single"/>
        </w:rPr>
      </w:pPr>
      <w:r>
        <w:rPr>
          <w:rFonts w:hint="eastAsia" w:ascii="仿宋_GB2312" w:hAnsi="Times New Roman" w:eastAsia="仿宋_GB2312"/>
          <w:color w:val="auto"/>
        </w:rPr>
        <w:t>（三）投标人所投产品如被列入财政部与国家主管部门颁发的节能产品目录或环境标志产品目录或无线局域网产品目录，应提供相关证明，在评标时予以优先采购，具体优惠措施为</w:t>
      </w:r>
      <w:r>
        <w:rPr>
          <w:rFonts w:hint="eastAsia" w:ascii="仿宋_GB2312" w:hAnsi="Times New Roman" w:eastAsia="仿宋_GB2312"/>
          <w:color w:val="auto"/>
          <w:u w:val="single"/>
        </w:rPr>
        <w:t>：《财政部、发展改革委、生态环境部、市场监管总局关于优化节能产品、环境标志产品政府采购执行机制的通知》（财库〔2019〕9 号）。</w:t>
      </w:r>
    </w:p>
    <w:p w14:paraId="37534F71">
      <w:pPr>
        <w:pStyle w:val="5"/>
        <w:widowControl/>
        <w:kinsoku w:val="0"/>
        <w:topLinePunct/>
        <w:autoSpaceDE w:val="0"/>
        <w:autoSpaceDN w:val="0"/>
        <w:snapToGrid w:val="0"/>
        <w:spacing w:before="0" w:line="400" w:lineRule="exact"/>
        <w:ind w:left="479" w:leftChars="228"/>
        <w:textAlignment w:val="baseline"/>
        <w:rPr>
          <w:rFonts w:hint="eastAsia" w:ascii="仿宋_GB2312" w:hAnsi="Times New Roman" w:eastAsia="仿宋_GB2312"/>
          <w:color w:val="auto"/>
        </w:rPr>
      </w:pPr>
      <w:r>
        <w:rPr>
          <w:rFonts w:hint="eastAsia" w:ascii="仿宋_GB2312" w:hAnsi="Times New Roman" w:eastAsia="仿宋_GB2312"/>
          <w:color w:val="auto"/>
        </w:rPr>
        <w:t>（四）如采购人所采购产品为政府强制采购的节能产品，投标人所投产品的品牌及型号必须为清单中有效期内产品并提供证明文件，否则其投标将被认定为</w:t>
      </w:r>
      <w:r>
        <w:rPr>
          <w:rFonts w:hint="eastAsia" w:ascii="仿宋_GB2312" w:hAnsi="Times New Roman" w:eastAsia="仿宋_GB2312"/>
          <w:b/>
          <w:bCs/>
          <w:color w:val="auto"/>
        </w:rPr>
        <w:t>投标无效</w:t>
      </w:r>
      <w:r>
        <w:rPr>
          <w:rFonts w:hint="eastAsia" w:ascii="仿宋_GB2312" w:hAnsi="Times New Roman" w:eastAsia="仿宋_GB2312"/>
          <w:color w:val="auto"/>
        </w:rPr>
        <w:t>。</w:t>
      </w:r>
    </w:p>
    <w:p w14:paraId="54E4BBB7">
      <w:pPr>
        <w:pStyle w:val="5"/>
        <w:widowControl/>
        <w:kinsoku w:val="0"/>
        <w:topLinePunct/>
        <w:autoSpaceDE w:val="0"/>
        <w:autoSpaceDN w:val="0"/>
        <w:snapToGrid w:val="0"/>
        <w:spacing w:before="0" w:line="400" w:lineRule="exact"/>
        <w:ind w:firstLine="480" w:firstLineChars="200"/>
        <w:textAlignment w:val="baseline"/>
        <w:rPr>
          <w:rFonts w:hint="eastAsia" w:ascii="仿宋_GB2312" w:hAnsi="Times New Roman" w:eastAsia="仿宋_GB2312"/>
          <w:color w:val="auto"/>
          <w:u w:val="single"/>
        </w:rPr>
      </w:pPr>
      <w:r>
        <w:rPr>
          <w:rFonts w:hint="eastAsia" w:ascii="仿宋_GB2312" w:hAnsi="Times New Roman" w:eastAsia="仿宋_GB2312"/>
          <w:color w:val="auto"/>
        </w:rPr>
        <w:t>（五）对创新产品或创新性企业的优惠措施为</w:t>
      </w:r>
      <w:r>
        <w:rPr>
          <w:rFonts w:hint="eastAsia" w:ascii="仿宋_GB2312" w:hAnsi="Times New Roman" w:eastAsia="仿宋_GB2312"/>
          <w:color w:val="auto"/>
          <w:u w:val="single"/>
        </w:rPr>
        <w:t xml:space="preserve">： 无      </w:t>
      </w:r>
    </w:p>
    <w:p w14:paraId="68753B89">
      <w:pPr>
        <w:pStyle w:val="6"/>
        <w:ind w:firstLine="560"/>
        <w:rPr>
          <w:rFonts w:hint="eastAsia"/>
          <w:color w:val="auto"/>
        </w:rPr>
      </w:pPr>
    </w:p>
    <w:p w14:paraId="417E5F79">
      <w:pPr>
        <w:rPr>
          <w:rFonts w:hint="eastAsia"/>
          <w:color w:val="auto"/>
        </w:rPr>
      </w:pPr>
    </w:p>
    <w:p w14:paraId="573E832A">
      <w:pPr>
        <w:pStyle w:val="2"/>
        <w:ind w:firstLine="480"/>
        <w:rPr>
          <w:rFonts w:hint="eastAsia"/>
          <w:color w:val="auto"/>
        </w:rPr>
      </w:pPr>
    </w:p>
    <w:p w14:paraId="637D5916">
      <w:pPr>
        <w:pStyle w:val="4"/>
        <w:ind w:firstLine="240"/>
        <w:rPr>
          <w:rFonts w:hint="eastAsia"/>
          <w:color w:val="auto"/>
        </w:rPr>
      </w:pPr>
    </w:p>
    <w:p w14:paraId="23287B0F">
      <w:pPr>
        <w:rPr>
          <w:rFonts w:hint="eastAsia"/>
          <w:color w:val="auto"/>
        </w:rPr>
      </w:pPr>
    </w:p>
    <w:p w14:paraId="3BC5722C">
      <w:pPr>
        <w:pStyle w:val="2"/>
        <w:ind w:firstLine="480"/>
        <w:rPr>
          <w:rFonts w:hint="eastAsia"/>
          <w:color w:val="auto"/>
        </w:rPr>
      </w:pPr>
    </w:p>
    <w:p w14:paraId="456CF7DD">
      <w:pPr>
        <w:pStyle w:val="4"/>
        <w:ind w:firstLine="240"/>
        <w:rPr>
          <w:rFonts w:hint="eastAsia"/>
          <w:color w:val="auto"/>
        </w:rPr>
      </w:pPr>
    </w:p>
    <w:p w14:paraId="58F80DDF">
      <w:pPr>
        <w:rPr>
          <w:rFonts w:hint="eastAsia"/>
          <w:color w:val="auto"/>
        </w:rPr>
      </w:pPr>
    </w:p>
    <w:p w14:paraId="6F2B0985">
      <w:pPr>
        <w:pStyle w:val="2"/>
        <w:ind w:firstLine="480"/>
        <w:rPr>
          <w:rFonts w:hint="eastAsia"/>
          <w:color w:val="auto"/>
        </w:rPr>
      </w:pPr>
    </w:p>
    <w:p w14:paraId="0346991B">
      <w:pPr>
        <w:pStyle w:val="4"/>
        <w:ind w:firstLine="240"/>
        <w:rPr>
          <w:color w:val="auto"/>
        </w:rPr>
      </w:pPr>
    </w:p>
    <w:p w14:paraId="6A15AFC9">
      <w:pPr>
        <w:snapToGrid w:val="0"/>
        <w:spacing w:line="360" w:lineRule="exact"/>
        <w:textAlignment w:val="baseline"/>
        <w:outlineLvl w:val="1"/>
        <w:rPr>
          <w:rFonts w:hint="eastAsia" w:ascii="仿宋_GB2312" w:eastAsia="仿宋_GB2312"/>
          <w:b/>
          <w:bCs/>
          <w:color w:val="auto"/>
          <w:sz w:val="24"/>
        </w:rPr>
      </w:pPr>
      <w:bookmarkStart w:id="857" w:name="_Toc10077"/>
      <w:bookmarkStart w:id="858" w:name="_Toc1826"/>
      <w:bookmarkStart w:id="859" w:name="_Toc32032"/>
      <w:bookmarkStart w:id="860" w:name="_Toc2507"/>
    </w:p>
    <w:p w14:paraId="7B3839F8">
      <w:pPr>
        <w:snapToGrid w:val="0"/>
        <w:spacing w:line="360" w:lineRule="exact"/>
        <w:jc w:val="center"/>
        <w:textAlignment w:val="baseline"/>
        <w:outlineLvl w:val="1"/>
        <w:rPr>
          <w:rFonts w:hint="eastAsia" w:ascii="仿宋_GB2312" w:eastAsia="仿宋_GB2312"/>
          <w:b/>
          <w:bCs/>
          <w:color w:val="auto"/>
          <w:sz w:val="28"/>
          <w:szCs w:val="28"/>
        </w:rPr>
      </w:pPr>
      <w:r>
        <w:rPr>
          <w:rFonts w:hint="eastAsia" w:ascii="仿宋_GB2312" w:eastAsia="仿宋_GB2312"/>
          <w:b/>
          <w:bCs/>
          <w:color w:val="auto"/>
          <w:sz w:val="28"/>
          <w:szCs w:val="28"/>
        </w:rPr>
        <w:t>初步评审—资格性审查表</w:t>
      </w:r>
      <w:bookmarkEnd w:id="827"/>
      <w:bookmarkEnd w:id="828"/>
      <w:bookmarkEnd w:id="829"/>
      <w:bookmarkEnd w:id="830"/>
      <w:bookmarkEnd w:id="831"/>
      <w:bookmarkEnd w:id="832"/>
      <w:bookmarkEnd w:id="833"/>
      <w:bookmarkEnd w:id="834"/>
      <w:bookmarkEnd w:id="835"/>
      <w:bookmarkEnd w:id="836"/>
      <w:bookmarkEnd w:id="857"/>
      <w:bookmarkEnd w:id="858"/>
      <w:bookmarkEnd w:id="859"/>
      <w:bookmarkEnd w:id="860"/>
    </w:p>
    <w:tbl>
      <w:tblPr>
        <w:tblStyle w:val="40"/>
        <w:tblpPr w:leftFromText="180" w:rightFromText="180" w:vertAnchor="text" w:horzAnchor="page" w:tblpXSpec="center" w:tblpY="116"/>
        <w:tblOverlap w:val="never"/>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608"/>
        <w:gridCol w:w="1550"/>
      </w:tblGrid>
      <w:tr w14:paraId="58AE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3" w:type="dxa"/>
            <w:vAlign w:val="center"/>
          </w:tcPr>
          <w:p w14:paraId="2EBE9F75">
            <w:pPr>
              <w:snapToGrid w:val="0"/>
              <w:spacing w:line="360" w:lineRule="exact"/>
              <w:jc w:val="center"/>
              <w:textAlignment w:val="baseline"/>
              <w:rPr>
                <w:rFonts w:hint="eastAsia" w:ascii="仿宋_GB2312" w:eastAsia="仿宋_GB2312"/>
                <w:bCs/>
                <w:color w:val="auto"/>
                <w:sz w:val="24"/>
              </w:rPr>
            </w:pPr>
            <w:r>
              <w:rPr>
                <w:rFonts w:hint="eastAsia" w:ascii="仿宋_GB2312" w:eastAsia="仿宋_GB2312"/>
                <w:bCs/>
                <w:color w:val="auto"/>
                <w:sz w:val="24"/>
              </w:rPr>
              <w:t>序号</w:t>
            </w:r>
          </w:p>
        </w:tc>
        <w:tc>
          <w:tcPr>
            <w:tcW w:w="7608" w:type="dxa"/>
            <w:vAlign w:val="center"/>
          </w:tcPr>
          <w:p w14:paraId="5AAFF4A7">
            <w:pPr>
              <w:snapToGrid w:val="0"/>
              <w:spacing w:line="360" w:lineRule="exact"/>
              <w:jc w:val="center"/>
              <w:textAlignment w:val="baseline"/>
              <w:rPr>
                <w:rFonts w:hint="eastAsia" w:ascii="仿宋_GB2312" w:eastAsia="仿宋_GB2312"/>
                <w:bCs/>
                <w:color w:val="auto"/>
                <w:sz w:val="24"/>
              </w:rPr>
            </w:pPr>
            <w:r>
              <w:rPr>
                <w:rFonts w:hint="eastAsia" w:ascii="仿宋_GB2312" w:eastAsia="仿宋_GB2312"/>
                <w:bCs/>
                <w:color w:val="auto"/>
                <w:sz w:val="24"/>
              </w:rPr>
              <w:t>评审内容</w:t>
            </w:r>
          </w:p>
        </w:tc>
        <w:tc>
          <w:tcPr>
            <w:tcW w:w="1550" w:type="dxa"/>
            <w:vAlign w:val="center"/>
          </w:tcPr>
          <w:p w14:paraId="436CDAAE">
            <w:pPr>
              <w:snapToGrid w:val="0"/>
              <w:spacing w:line="360" w:lineRule="exact"/>
              <w:jc w:val="center"/>
              <w:textAlignment w:val="baseline"/>
              <w:rPr>
                <w:rFonts w:hint="eastAsia" w:ascii="仿宋_GB2312" w:eastAsia="仿宋_GB2312"/>
                <w:bCs/>
                <w:color w:val="auto"/>
                <w:sz w:val="24"/>
              </w:rPr>
            </w:pPr>
            <w:r>
              <w:rPr>
                <w:rFonts w:hint="eastAsia" w:ascii="仿宋_GB2312" w:eastAsia="仿宋_GB2312"/>
                <w:bCs/>
                <w:color w:val="auto"/>
                <w:sz w:val="24"/>
              </w:rPr>
              <w:t>评审意见</w:t>
            </w:r>
          </w:p>
          <w:p w14:paraId="4AC8938D">
            <w:pPr>
              <w:snapToGrid w:val="0"/>
              <w:spacing w:line="360" w:lineRule="exact"/>
              <w:textAlignment w:val="baseline"/>
              <w:rPr>
                <w:rFonts w:hint="eastAsia" w:ascii="仿宋_GB2312" w:eastAsia="仿宋_GB2312"/>
                <w:bCs/>
                <w:color w:val="auto"/>
                <w:sz w:val="24"/>
              </w:rPr>
            </w:pPr>
            <w:r>
              <w:rPr>
                <w:rFonts w:hint="eastAsia" w:ascii="仿宋_GB2312" w:eastAsia="仿宋_GB2312"/>
                <w:bCs/>
                <w:color w:val="auto"/>
                <w:sz w:val="24"/>
              </w:rPr>
              <w:t>供应商是否合格</w:t>
            </w:r>
          </w:p>
        </w:tc>
      </w:tr>
      <w:tr w14:paraId="4572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1E445EC3">
            <w:pPr>
              <w:snapToGrid w:val="0"/>
              <w:spacing w:line="360" w:lineRule="exact"/>
              <w:jc w:val="center"/>
              <w:textAlignment w:val="baseline"/>
              <w:rPr>
                <w:rFonts w:hint="eastAsia" w:ascii="仿宋_GB2312" w:eastAsia="仿宋_GB2312"/>
                <w:bCs/>
                <w:color w:val="auto"/>
                <w:sz w:val="24"/>
              </w:rPr>
            </w:pPr>
            <w:r>
              <w:rPr>
                <w:rFonts w:hint="eastAsia" w:ascii="仿宋_GB2312" w:eastAsia="仿宋_GB2312"/>
                <w:bCs/>
                <w:color w:val="auto"/>
                <w:sz w:val="24"/>
              </w:rPr>
              <w:t>1</w:t>
            </w:r>
          </w:p>
        </w:tc>
        <w:tc>
          <w:tcPr>
            <w:tcW w:w="7608" w:type="dxa"/>
            <w:vAlign w:val="center"/>
          </w:tcPr>
          <w:p w14:paraId="32BA80FA">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企业三证合一的法人营业执照或含二维码的营业执照；</w:t>
            </w:r>
          </w:p>
        </w:tc>
        <w:tc>
          <w:tcPr>
            <w:tcW w:w="1550" w:type="dxa"/>
          </w:tcPr>
          <w:p w14:paraId="5A77B61C">
            <w:pPr>
              <w:snapToGrid w:val="0"/>
              <w:spacing w:line="360" w:lineRule="exact"/>
              <w:textAlignment w:val="baseline"/>
              <w:rPr>
                <w:rFonts w:hint="eastAsia" w:ascii="仿宋_GB2312" w:eastAsia="仿宋_GB2312"/>
                <w:color w:val="auto"/>
                <w:sz w:val="24"/>
              </w:rPr>
            </w:pPr>
          </w:p>
        </w:tc>
      </w:tr>
      <w:tr w14:paraId="3C0D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53" w:type="dxa"/>
            <w:vAlign w:val="center"/>
          </w:tcPr>
          <w:p w14:paraId="3AB5AC38">
            <w:pPr>
              <w:snapToGrid w:val="0"/>
              <w:spacing w:line="360" w:lineRule="exact"/>
              <w:jc w:val="center"/>
              <w:textAlignment w:val="baseline"/>
              <w:rPr>
                <w:rFonts w:hint="eastAsia" w:ascii="仿宋_GB2312" w:eastAsia="仿宋_GB2312"/>
                <w:bCs/>
                <w:color w:val="auto"/>
                <w:sz w:val="24"/>
              </w:rPr>
            </w:pPr>
            <w:r>
              <w:rPr>
                <w:rFonts w:hint="eastAsia" w:ascii="仿宋_GB2312" w:eastAsia="仿宋_GB2312"/>
                <w:bCs/>
                <w:color w:val="auto"/>
                <w:sz w:val="24"/>
              </w:rPr>
              <w:t>2</w:t>
            </w:r>
          </w:p>
        </w:tc>
        <w:tc>
          <w:tcPr>
            <w:tcW w:w="7608" w:type="dxa"/>
            <w:vAlign w:val="center"/>
          </w:tcPr>
          <w:p w14:paraId="68B00E73">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法定代表人授权书及被授权人身份证，法人本人参与投标提供法人身份证及法人资格证明；</w:t>
            </w:r>
          </w:p>
        </w:tc>
        <w:tc>
          <w:tcPr>
            <w:tcW w:w="1550" w:type="dxa"/>
          </w:tcPr>
          <w:p w14:paraId="3B3083F1">
            <w:pPr>
              <w:snapToGrid w:val="0"/>
              <w:spacing w:line="360" w:lineRule="exact"/>
              <w:textAlignment w:val="baseline"/>
              <w:rPr>
                <w:rFonts w:hint="eastAsia" w:ascii="仿宋_GB2312" w:eastAsia="仿宋_GB2312"/>
                <w:color w:val="auto"/>
                <w:sz w:val="24"/>
              </w:rPr>
            </w:pPr>
          </w:p>
        </w:tc>
      </w:tr>
      <w:tr w14:paraId="72A6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53" w:type="dxa"/>
            <w:vAlign w:val="center"/>
          </w:tcPr>
          <w:p w14:paraId="68C8486A">
            <w:pPr>
              <w:snapToGrid w:val="0"/>
              <w:spacing w:line="360" w:lineRule="exact"/>
              <w:jc w:val="center"/>
              <w:textAlignment w:val="baseline"/>
              <w:rPr>
                <w:rFonts w:hint="eastAsia" w:ascii="仿宋_GB2312" w:eastAsia="仿宋_GB2312"/>
                <w:bCs/>
                <w:color w:val="auto"/>
                <w:sz w:val="24"/>
              </w:rPr>
            </w:pPr>
            <w:r>
              <w:rPr>
                <w:rFonts w:hint="eastAsia" w:ascii="仿宋_GB2312" w:eastAsia="仿宋_GB2312"/>
                <w:bCs/>
                <w:color w:val="auto"/>
                <w:sz w:val="24"/>
              </w:rPr>
              <w:t>3</w:t>
            </w:r>
          </w:p>
        </w:tc>
        <w:tc>
          <w:tcPr>
            <w:tcW w:w="7608" w:type="dxa"/>
            <w:vAlign w:val="center"/>
          </w:tcPr>
          <w:p w14:paraId="1BE06BD2">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法定代表人或被委托人：由社保部门或税务局出具的投标单位缴纳的社保证明和个人缴纳的社保明细表（近半年任意一个月的社保缴费凭证及个人缴费明细）；被委托人必须是投标单位正式员工，（新成立公司提供自成立之日起至今的相关证明文件）；</w:t>
            </w:r>
          </w:p>
        </w:tc>
        <w:tc>
          <w:tcPr>
            <w:tcW w:w="1550" w:type="dxa"/>
          </w:tcPr>
          <w:p w14:paraId="4CBD0CBA">
            <w:pPr>
              <w:snapToGrid w:val="0"/>
              <w:spacing w:line="360" w:lineRule="exact"/>
              <w:textAlignment w:val="baseline"/>
              <w:rPr>
                <w:rFonts w:hint="eastAsia" w:ascii="仿宋_GB2312" w:eastAsia="仿宋_GB2312"/>
                <w:color w:val="auto"/>
                <w:sz w:val="24"/>
              </w:rPr>
            </w:pPr>
          </w:p>
        </w:tc>
      </w:tr>
      <w:tr w14:paraId="1D30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2375F3F2">
            <w:pPr>
              <w:snapToGrid w:val="0"/>
              <w:spacing w:line="360" w:lineRule="exact"/>
              <w:jc w:val="center"/>
              <w:textAlignment w:val="baseline"/>
              <w:rPr>
                <w:rFonts w:hint="eastAsia" w:ascii="仿宋_GB2312" w:eastAsia="仿宋_GB2312"/>
                <w:bCs/>
                <w:color w:val="auto"/>
                <w:sz w:val="24"/>
              </w:rPr>
            </w:pPr>
            <w:r>
              <w:rPr>
                <w:rFonts w:hint="eastAsia" w:ascii="仿宋_GB2312" w:eastAsia="仿宋_GB2312"/>
                <w:color w:val="auto"/>
                <w:kern w:val="0"/>
                <w:sz w:val="24"/>
              </w:rPr>
              <w:t>4</w:t>
            </w:r>
          </w:p>
        </w:tc>
        <w:tc>
          <w:tcPr>
            <w:tcW w:w="7608" w:type="dxa"/>
            <w:vAlign w:val="center"/>
          </w:tcPr>
          <w:p w14:paraId="64E1CAC2">
            <w:pPr>
              <w:pStyle w:val="36"/>
              <w:widowControl/>
              <w:spacing w:before="0" w:after="0" w:line="360" w:lineRule="exact"/>
              <w:rPr>
                <w:rFonts w:hint="eastAsia" w:ascii="仿宋_GB2312" w:eastAsia="仿宋_GB2312"/>
                <w:color w:val="auto"/>
              </w:rPr>
            </w:pPr>
            <w:r>
              <w:rPr>
                <w:rFonts w:hint="eastAsia" w:ascii="仿宋_GB2312" w:eastAsia="仿宋_GB2312"/>
                <w:color w:val="auto"/>
              </w:rPr>
              <w:t>2024年的财务审计报告与健全的财务会计制度（新成立的公司近三个月内的银行资信证明与健全的财务会计制度）；</w:t>
            </w:r>
          </w:p>
        </w:tc>
        <w:tc>
          <w:tcPr>
            <w:tcW w:w="1550" w:type="dxa"/>
          </w:tcPr>
          <w:p w14:paraId="657840E8">
            <w:pPr>
              <w:snapToGrid w:val="0"/>
              <w:spacing w:line="360" w:lineRule="exact"/>
              <w:textAlignment w:val="baseline"/>
              <w:rPr>
                <w:rFonts w:hint="eastAsia" w:ascii="仿宋_GB2312" w:eastAsia="仿宋_GB2312"/>
                <w:color w:val="auto"/>
                <w:sz w:val="24"/>
              </w:rPr>
            </w:pPr>
          </w:p>
        </w:tc>
      </w:tr>
      <w:tr w14:paraId="70B5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30EE898E">
            <w:pPr>
              <w:snapToGrid w:val="0"/>
              <w:spacing w:line="360" w:lineRule="exact"/>
              <w:jc w:val="center"/>
              <w:textAlignment w:val="baseline"/>
              <w:rPr>
                <w:rFonts w:hint="eastAsia" w:ascii="仿宋_GB2312" w:eastAsia="仿宋_GB2312"/>
                <w:color w:val="auto"/>
                <w:kern w:val="0"/>
                <w:sz w:val="24"/>
              </w:rPr>
            </w:pPr>
            <w:r>
              <w:rPr>
                <w:rFonts w:hint="eastAsia" w:ascii="仿宋_GB2312" w:eastAsia="仿宋_GB2312"/>
                <w:color w:val="auto"/>
                <w:kern w:val="0"/>
                <w:sz w:val="24"/>
              </w:rPr>
              <w:t>5</w:t>
            </w:r>
          </w:p>
        </w:tc>
        <w:tc>
          <w:tcPr>
            <w:tcW w:w="7608" w:type="dxa"/>
            <w:vAlign w:val="center"/>
          </w:tcPr>
          <w:p w14:paraId="453F9424">
            <w:pPr>
              <w:pStyle w:val="36"/>
              <w:widowControl/>
              <w:spacing w:before="0" w:after="0" w:line="360" w:lineRule="exact"/>
              <w:rPr>
                <w:rFonts w:hint="eastAsia" w:ascii="仿宋_GB2312" w:eastAsia="仿宋_GB2312"/>
                <w:color w:val="auto"/>
              </w:rPr>
            </w:pPr>
            <w:r>
              <w:rPr>
                <w:rFonts w:hint="eastAsia" w:ascii="仿宋_GB2312" w:eastAsia="仿宋_GB2312"/>
                <w:color w:val="auto"/>
              </w:rPr>
              <w:t>缴纳税收近半年任意1个月的完税证明（零申报请出具税务部门加盖公章的证明材料或无欠款税收证明）；</w:t>
            </w:r>
          </w:p>
        </w:tc>
        <w:tc>
          <w:tcPr>
            <w:tcW w:w="1550" w:type="dxa"/>
          </w:tcPr>
          <w:p w14:paraId="6FD45D88">
            <w:pPr>
              <w:snapToGrid w:val="0"/>
              <w:spacing w:line="360" w:lineRule="exact"/>
              <w:textAlignment w:val="baseline"/>
              <w:rPr>
                <w:rFonts w:hint="eastAsia" w:ascii="仿宋_GB2312" w:eastAsia="仿宋_GB2312"/>
                <w:color w:val="auto"/>
                <w:sz w:val="24"/>
              </w:rPr>
            </w:pPr>
          </w:p>
        </w:tc>
      </w:tr>
      <w:tr w14:paraId="1335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21A36962">
            <w:pPr>
              <w:snapToGrid w:val="0"/>
              <w:spacing w:line="360" w:lineRule="exact"/>
              <w:jc w:val="center"/>
              <w:textAlignment w:val="baseline"/>
              <w:rPr>
                <w:rFonts w:hint="eastAsia" w:ascii="仿宋_GB2312" w:eastAsia="仿宋_GB2312"/>
                <w:color w:val="auto"/>
                <w:kern w:val="0"/>
                <w:sz w:val="24"/>
              </w:rPr>
            </w:pPr>
            <w:r>
              <w:rPr>
                <w:rFonts w:hint="eastAsia" w:ascii="仿宋_GB2312" w:eastAsia="仿宋_GB2312"/>
                <w:color w:val="auto"/>
                <w:kern w:val="0"/>
                <w:sz w:val="24"/>
              </w:rPr>
              <w:t>6</w:t>
            </w:r>
          </w:p>
        </w:tc>
        <w:tc>
          <w:tcPr>
            <w:tcW w:w="7608" w:type="dxa"/>
            <w:vAlign w:val="center"/>
          </w:tcPr>
          <w:p w14:paraId="7C59C98E">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p>
        </w:tc>
        <w:tc>
          <w:tcPr>
            <w:tcW w:w="1550" w:type="dxa"/>
          </w:tcPr>
          <w:p w14:paraId="0C390460">
            <w:pPr>
              <w:snapToGrid w:val="0"/>
              <w:spacing w:line="360" w:lineRule="exact"/>
              <w:textAlignment w:val="baseline"/>
              <w:rPr>
                <w:rFonts w:hint="eastAsia" w:ascii="仿宋_GB2312" w:eastAsia="仿宋_GB2312"/>
                <w:color w:val="auto"/>
                <w:sz w:val="24"/>
              </w:rPr>
            </w:pPr>
          </w:p>
        </w:tc>
      </w:tr>
      <w:tr w14:paraId="23CA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2D3ECF83">
            <w:pPr>
              <w:snapToGrid w:val="0"/>
              <w:spacing w:line="360" w:lineRule="exact"/>
              <w:jc w:val="center"/>
              <w:textAlignment w:val="baseline"/>
              <w:rPr>
                <w:rFonts w:hint="eastAsia" w:ascii="仿宋_GB2312" w:eastAsia="仿宋_GB2312"/>
                <w:color w:val="auto"/>
                <w:kern w:val="0"/>
                <w:sz w:val="24"/>
              </w:rPr>
            </w:pPr>
            <w:r>
              <w:rPr>
                <w:rFonts w:hint="eastAsia" w:ascii="仿宋_GB2312" w:eastAsia="仿宋_GB2312"/>
                <w:color w:val="auto"/>
                <w:kern w:val="0"/>
                <w:sz w:val="24"/>
              </w:rPr>
              <w:t>7</w:t>
            </w:r>
          </w:p>
        </w:tc>
        <w:tc>
          <w:tcPr>
            <w:tcW w:w="7608" w:type="dxa"/>
            <w:vAlign w:val="center"/>
          </w:tcPr>
          <w:p w14:paraId="39C4FA32">
            <w:pPr>
              <w:snapToGrid w:val="0"/>
              <w:spacing w:line="380" w:lineRule="exact"/>
              <w:textAlignment w:val="baseline"/>
              <w:rPr>
                <w:rFonts w:hint="eastAsia" w:ascii="仿宋_GB2312" w:eastAsia="仿宋_GB2312"/>
                <w:color w:val="auto"/>
                <w:kern w:val="0"/>
                <w:sz w:val="24"/>
              </w:rPr>
            </w:pPr>
            <w:r>
              <w:rPr>
                <w:rFonts w:hint="eastAsia" w:ascii="仿宋_GB2312" w:eastAsia="仿宋_GB2312"/>
                <w:color w:val="auto"/>
                <w:sz w:val="24"/>
              </w:rPr>
              <w:t>在参加政府采购活动中前三年内无重大违法记录的承诺书；</w:t>
            </w:r>
          </w:p>
        </w:tc>
        <w:tc>
          <w:tcPr>
            <w:tcW w:w="1550" w:type="dxa"/>
          </w:tcPr>
          <w:p w14:paraId="5FBD1855">
            <w:pPr>
              <w:snapToGrid w:val="0"/>
              <w:spacing w:line="360" w:lineRule="exact"/>
              <w:textAlignment w:val="baseline"/>
              <w:rPr>
                <w:rFonts w:hint="eastAsia" w:ascii="仿宋_GB2312" w:eastAsia="仿宋_GB2312"/>
                <w:color w:val="auto"/>
                <w:sz w:val="24"/>
              </w:rPr>
            </w:pPr>
          </w:p>
        </w:tc>
      </w:tr>
      <w:tr w14:paraId="7E27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3" w:type="dxa"/>
            <w:vAlign w:val="center"/>
          </w:tcPr>
          <w:p w14:paraId="1481CB98">
            <w:pPr>
              <w:snapToGrid w:val="0"/>
              <w:spacing w:line="360" w:lineRule="exact"/>
              <w:jc w:val="center"/>
              <w:textAlignment w:val="baseline"/>
              <w:rPr>
                <w:rFonts w:hint="eastAsia" w:ascii="仿宋_GB2312" w:eastAsia="仿宋_GB2312"/>
                <w:color w:val="auto"/>
                <w:kern w:val="0"/>
                <w:sz w:val="24"/>
              </w:rPr>
            </w:pPr>
            <w:r>
              <w:rPr>
                <w:rFonts w:hint="eastAsia" w:ascii="仿宋_GB2312" w:eastAsia="仿宋_GB2312"/>
                <w:color w:val="auto"/>
                <w:kern w:val="0"/>
                <w:sz w:val="24"/>
              </w:rPr>
              <w:t>8</w:t>
            </w:r>
          </w:p>
        </w:tc>
        <w:tc>
          <w:tcPr>
            <w:tcW w:w="7608" w:type="dxa"/>
            <w:vAlign w:val="center"/>
          </w:tcPr>
          <w:p w14:paraId="2E6B5C27">
            <w:pPr>
              <w:snapToGrid w:val="0"/>
              <w:spacing w:line="380" w:lineRule="exact"/>
              <w:textAlignment w:val="baseline"/>
              <w:rPr>
                <w:rFonts w:hint="eastAsia" w:ascii="仿宋_GB2312" w:eastAsia="仿宋_GB2312"/>
                <w:color w:val="auto"/>
                <w:kern w:val="0"/>
                <w:sz w:val="24"/>
              </w:rPr>
            </w:pPr>
            <w:r>
              <w:rPr>
                <w:rFonts w:hint="eastAsia" w:ascii="仿宋_GB2312" w:eastAsia="仿宋_GB2312"/>
                <w:color w:val="auto"/>
                <w:sz w:val="24"/>
              </w:rPr>
              <w:t>针对本次采购项目《反商业贿赂承诺书》的书面声明；</w:t>
            </w:r>
          </w:p>
        </w:tc>
        <w:tc>
          <w:tcPr>
            <w:tcW w:w="1550" w:type="dxa"/>
          </w:tcPr>
          <w:p w14:paraId="08C62735">
            <w:pPr>
              <w:snapToGrid w:val="0"/>
              <w:spacing w:line="360" w:lineRule="exact"/>
              <w:textAlignment w:val="baseline"/>
              <w:rPr>
                <w:rFonts w:hint="eastAsia" w:ascii="仿宋_GB2312" w:eastAsia="仿宋_GB2312"/>
                <w:color w:val="auto"/>
                <w:sz w:val="24"/>
              </w:rPr>
            </w:pPr>
          </w:p>
        </w:tc>
      </w:tr>
      <w:tr w14:paraId="3E9A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CD9481B">
            <w:pPr>
              <w:snapToGrid w:val="0"/>
              <w:spacing w:line="360" w:lineRule="exact"/>
              <w:jc w:val="center"/>
              <w:textAlignment w:val="baseline"/>
              <w:rPr>
                <w:rFonts w:hint="eastAsia" w:ascii="仿宋_GB2312" w:eastAsia="仿宋_GB2312"/>
                <w:color w:val="auto"/>
                <w:sz w:val="24"/>
              </w:rPr>
            </w:pPr>
            <w:r>
              <w:rPr>
                <w:rFonts w:hint="eastAsia" w:ascii="仿宋_GB2312" w:eastAsia="仿宋_GB2312"/>
                <w:color w:val="auto"/>
                <w:sz w:val="24"/>
              </w:rPr>
              <w:t>9</w:t>
            </w:r>
          </w:p>
        </w:tc>
        <w:tc>
          <w:tcPr>
            <w:tcW w:w="7608" w:type="dxa"/>
            <w:vAlign w:val="center"/>
          </w:tcPr>
          <w:p w14:paraId="446806DF">
            <w:pPr>
              <w:snapToGrid w:val="0"/>
              <w:spacing w:line="360" w:lineRule="exact"/>
              <w:textAlignment w:val="baseline"/>
              <w:rPr>
                <w:rFonts w:hint="eastAsia" w:ascii="仿宋_GB2312" w:eastAsia="仿宋_GB2312"/>
                <w:color w:val="auto"/>
                <w:sz w:val="24"/>
              </w:rPr>
            </w:pPr>
            <w:r>
              <w:rPr>
                <w:rFonts w:hint="eastAsia" w:ascii="仿宋_GB2312" w:eastAsia="仿宋_GB2312"/>
                <w:color w:val="auto"/>
                <w:sz w:val="24"/>
              </w:rPr>
              <w:t>中小企业声明函</w:t>
            </w:r>
          </w:p>
        </w:tc>
        <w:tc>
          <w:tcPr>
            <w:tcW w:w="1550" w:type="dxa"/>
          </w:tcPr>
          <w:p w14:paraId="3492FBCB">
            <w:pPr>
              <w:snapToGrid w:val="0"/>
              <w:spacing w:line="360" w:lineRule="exact"/>
              <w:textAlignment w:val="baseline"/>
              <w:rPr>
                <w:rFonts w:hint="eastAsia" w:ascii="仿宋_GB2312" w:eastAsia="仿宋_GB2312"/>
                <w:color w:val="auto"/>
                <w:sz w:val="24"/>
              </w:rPr>
            </w:pPr>
          </w:p>
        </w:tc>
      </w:tr>
      <w:tr w14:paraId="242E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3A2818CC">
            <w:pPr>
              <w:snapToGrid w:val="0"/>
              <w:spacing w:line="360" w:lineRule="exact"/>
              <w:jc w:val="center"/>
              <w:textAlignment w:val="baseline"/>
              <w:rPr>
                <w:rFonts w:hint="eastAsia" w:ascii="仿宋_GB2312" w:eastAsia="仿宋_GB2312"/>
                <w:color w:val="auto"/>
                <w:sz w:val="24"/>
              </w:rPr>
            </w:pPr>
          </w:p>
        </w:tc>
        <w:tc>
          <w:tcPr>
            <w:tcW w:w="7608" w:type="dxa"/>
            <w:vAlign w:val="center"/>
          </w:tcPr>
          <w:p w14:paraId="2EB7A4E6">
            <w:pPr>
              <w:snapToGrid w:val="0"/>
              <w:spacing w:line="380" w:lineRule="exact"/>
              <w:textAlignment w:val="baseline"/>
              <w:rPr>
                <w:rFonts w:hint="eastAsia" w:ascii="仿宋_GB2312" w:eastAsia="仿宋_GB2312"/>
                <w:color w:val="auto"/>
                <w:sz w:val="24"/>
              </w:rPr>
            </w:pPr>
            <w:r>
              <w:rPr>
                <w:rFonts w:hint="eastAsia" w:ascii="仿宋_GB2312" w:eastAsia="仿宋_GB2312"/>
                <w:color w:val="auto"/>
                <w:sz w:val="24"/>
              </w:rPr>
              <w:t xml:space="preserve">结论  </w:t>
            </w:r>
          </w:p>
        </w:tc>
        <w:tc>
          <w:tcPr>
            <w:tcW w:w="1550" w:type="dxa"/>
          </w:tcPr>
          <w:p w14:paraId="52CBCF95">
            <w:pPr>
              <w:snapToGrid w:val="0"/>
              <w:spacing w:line="360" w:lineRule="exact"/>
              <w:textAlignment w:val="baseline"/>
              <w:rPr>
                <w:rFonts w:hint="eastAsia" w:ascii="仿宋_GB2312" w:eastAsia="仿宋_GB2312"/>
                <w:color w:val="auto"/>
                <w:sz w:val="24"/>
              </w:rPr>
            </w:pPr>
          </w:p>
        </w:tc>
      </w:tr>
    </w:tbl>
    <w:p w14:paraId="3881E01D">
      <w:pPr>
        <w:snapToGrid w:val="0"/>
        <w:spacing w:line="320" w:lineRule="exact"/>
        <w:textAlignment w:val="baseline"/>
        <w:rPr>
          <w:rFonts w:hint="eastAsia" w:ascii="仿宋_GB2312" w:eastAsia="仿宋_GB2312"/>
          <w:color w:val="auto"/>
          <w:sz w:val="24"/>
        </w:rPr>
      </w:pPr>
      <w:r>
        <w:rPr>
          <w:rFonts w:hint="eastAsia" w:ascii="仿宋_GB2312" w:eastAsia="仿宋_GB2312"/>
          <w:color w:val="auto"/>
          <w:sz w:val="24"/>
        </w:rPr>
        <w:t>说明：（1）上述各项中用“ 合格 ”表示通过，“ 不合格”表示不通过；</w:t>
      </w:r>
    </w:p>
    <w:p w14:paraId="01F154DF">
      <w:pPr>
        <w:snapToGrid w:val="0"/>
        <w:spacing w:line="320" w:lineRule="exact"/>
        <w:textAlignment w:val="baseline"/>
        <w:rPr>
          <w:rFonts w:hint="eastAsia" w:ascii="仿宋_GB2312" w:eastAsia="仿宋_GB2312"/>
          <w:color w:val="auto"/>
          <w:sz w:val="24"/>
        </w:rPr>
      </w:pPr>
      <w:r>
        <w:rPr>
          <w:rFonts w:hint="eastAsia" w:ascii="仿宋_GB2312" w:eastAsia="仿宋_GB2312"/>
          <w:color w:val="auto"/>
          <w:sz w:val="24"/>
        </w:rPr>
        <w:t>（2）上述各项中如有一项为“ 不合格 ”，则结论为“ 不合格 ”，表示该投标文件中存在重大偏差，不能通过初步评审；谈判小组评审专家对某一分项评审认为不合格时，必须要写明原因。</w:t>
      </w:r>
    </w:p>
    <w:p w14:paraId="2E3A925D">
      <w:pPr>
        <w:snapToGrid w:val="0"/>
        <w:spacing w:line="320" w:lineRule="exact"/>
        <w:textAlignment w:val="baseline"/>
        <w:rPr>
          <w:rFonts w:hint="eastAsia" w:ascii="仿宋_GB2312" w:eastAsia="仿宋_GB2312"/>
          <w:color w:val="auto"/>
          <w:sz w:val="24"/>
        </w:rPr>
      </w:pPr>
      <w:r>
        <w:rPr>
          <w:rFonts w:hint="eastAsia" w:ascii="仿宋_GB2312" w:eastAsia="仿宋_GB2312"/>
          <w:color w:val="auto"/>
          <w:sz w:val="24"/>
        </w:rPr>
        <w:t>（3）投标文件最终合格与否， 谈判小组按照少数服从多数的原则定论。</w:t>
      </w:r>
    </w:p>
    <w:p w14:paraId="0FF83FF3">
      <w:pPr>
        <w:snapToGrid w:val="0"/>
        <w:spacing w:line="320" w:lineRule="exact"/>
        <w:textAlignment w:val="baseline"/>
        <w:rPr>
          <w:rFonts w:hint="eastAsia" w:ascii="仿宋_GB2312" w:eastAsia="仿宋_GB2312"/>
          <w:b/>
          <w:bCs/>
          <w:color w:val="auto"/>
          <w:sz w:val="24"/>
        </w:rPr>
      </w:pPr>
      <w:r>
        <w:rPr>
          <w:rFonts w:hint="eastAsia" w:ascii="仿宋_GB2312" w:eastAsia="仿宋_GB2312"/>
          <w:b/>
          <w:bCs/>
          <w:color w:val="auto"/>
          <w:sz w:val="24"/>
        </w:rPr>
        <w:t>备注：通过上述资格性检查，可初步判定投标人的响应文件符合谈判文件的要求；如果有一项未通过上述审查标准，谈判小组将认定整个响应文件未响应谈判文件而予以废标处理。</w:t>
      </w:r>
      <w:bookmarkStart w:id="861" w:name="_Toc32163"/>
      <w:bookmarkStart w:id="862" w:name="_Toc13208"/>
      <w:bookmarkStart w:id="863" w:name="_Toc23517"/>
      <w:bookmarkStart w:id="864" w:name="_Toc29597"/>
      <w:bookmarkStart w:id="865" w:name="_Toc22896"/>
      <w:bookmarkStart w:id="866" w:name="_Toc25729"/>
      <w:bookmarkStart w:id="867" w:name="_Toc11623"/>
      <w:bookmarkStart w:id="868" w:name="_Toc19552"/>
      <w:bookmarkStart w:id="869" w:name="_Toc17652"/>
      <w:bookmarkStart w:id="870" w:name="_Toc17473"/>
      <w:bookmarkStart w:id="871" w:name="_Toc347"/>
      <w:bookmarkStart w:id="872" w:name="_Toc10503"/>
      <w:bookmarkStart w:id="873" w:name="_Toc22949"/>
    </w:p>
    <w:p w14:paraId="5B5A2371">
      <w:pPr>
        <w:pStyle w:val="2"/>
        <w:ind w:firstLine="480"/>
        <w:rPr>
          <w:color w:val="auto"/>
        </w:rPr>
      </w:pPr>
    </w:p>
    <w:p w14:paraId="47BA8508">
      <w:pPr>
        <w:snapToGrid w:val="0"/>
        <w:spacing w:line="360" w:lineRule="exact"/>
        <w:textAlignment w:val="baseline"/>
        <w:outlineLvl w:val="1"/>
        <w:rPr>
          <w:rFonts w:hint="eastAsia" w:ascii="仿宋_GB2312" w:eastAsia="仿宋_GB2312"/>
          <w:b/>
          <w:color w:val="auto"/>
          <w:sz w:val="28"/>
          <w:szCs w:val="28"/>
        </w:rPr>
      </w:pPr>
    </w:p>
    <w:p w14:paraId="603FC9C0">
      <w:pPr>
        <w:snapToGrid w:val="0"/>
        <w:spacing w:line="360" w:lineRule="exact"/>
        <w:jc w:val="center"/>
        <w:textAlignment w:val="baseline"/>
        <w:outlineLvl w:val="1"/>
        <w:rPr>
          <w:rFonts w:hint="eastAsia" w:ascii="仿宋_GB2312" w:eastAsia="仿宋_GB2312"/>
          <w:b/>
          <w:color w:val="auto"/>
          <w:sz w:val="24"/>
        </w:rPr>
      </w:pPr>
      <w:r>
        <w:rPr>
          <w:rFonts w:hint="eastAsia" w:ascii="仿宋_GB2312" w:eastAsia="仿宋_GB2312"/>
          <w:b/>
          <w:color w:val="auto"/>
          <w:sz w:val="24"/>
        </w:rPr>
        <w:t>初步评审—符合性审查表</w:t>
      </w:r>
      <w:bookmarkEnd w:id="861"/>
      <w:bookmarkEnd w:id="862"/>
      <w:bookmarkEnd w:id="863"/>
      <w:bookmarkEnd w:id="864"/>
      <w:bookmarkEnd w:id="865"/>
      <w:bookmarkEnd w:id="866"/>
      <w:bookmarkEnd w:id="867"/>
      <w:bookmarkEnd w:id="868"/>
      <w:bookmarkEnd w:id="869"/>
      <w:bookmarkEnd w:id="870"/>
      <w:bookmarkEnd w:id="871"/>
      <w:bookmarkEnd w:id="872"/>
      <w:bookmarkEnd w:id="873"/>
    </w:p>
    <w:tbl>
      <w:tblPr>
        <w:tblStyle w:val="40"/>
        <w:tblpPr w:leftFromText="180" w:rightFromText="180" w:vertAnchor="text" w:horzAnchor="page" w:tblpXSpec="center" w:tblpY="262"/>
        <w:tblOverlap w:val="never"/>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920"/>
      </w:tblGrid>
      <w:tr w14:paraId="6C45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1C44F464">
            <w:pPr>
              <w:spacing w:line="400" w:lineRule="exact"/>
              <w:jc w:val="center"/>
              <w:rPr>
                <w:rFonts w:hint="eastAsia" w:ascii="仿宋_GB2312" w:eastAsia="仿宋_GB2312"/>
                <w:color w:val="auto"/>
                <w:sz w:val="24"/>
              </w:rPr>
            </w:pPr>
            <w:r>
              <w:rPr>
                <w:rFonts w:hint="eastAsia" w:ascii="仿宋_GB2312" w:eastAsia="仿宋_GB2312"/>
                <w:color w:val="auto"/>
                <w:sz w:val="24"/>
              </w:rPr>
              <w:t>序号</w:t>
            </w:r>
          </w:p>
        </w:tc>
        <w:tc>
          <w:tcPr>
            <w:tcW w:w="6887" w:type="dxa"/>
            <w:vAlign w:val="center"/>
          </w:tcPr>
          <w:p w14:paraId="46C59467">
            <w:pPr>
              <w:spacing w:line="400" w:lineRule="exact"/>
              <w:jc w:val="center"/>
              <w:rPr>
                <w:rFonts w:hint="eastAsia" w:ascii="仿宋_GB2312" w:eastAsia="仿宋_GB2312"/>
                <w:color w:val="auto"/>
                <w:spacing w:val="-2"/>
                <w:sz w:val="24"/>
              </w:rPr>
            </w:pPr>
            <w:r>
              <w:rPr>
                <w:rFonts w:hint="eastAsia" w:ascii="仿宋_GB2312" w:eastAsia="仿宋_GB2312"/>
                <w:color w:val="auto"/>
                <w:spacing w:val="-2"/>
                <w:sz w:val="24"/>
              </w:rPr>
              <w:t>评审内容</w:t>
            </w:r>
          </w:p>
        </w:tc>
        <w:tc>
          <w:tcPr>
            <w:tcW w:w="1920" w:type="dxa"/>
            <w:vAlign w:val="center"/>
          </w:tcPr>
          <w:p w14:paraId="38883226">
            <w:pPr>
              <w:spacing w:line="400" w:lineRule="exact"/>
              <w:jc w:val="center"/>
              <w:rPr>
                <w:rFonts w:hint="eastAsia" w:ascii="仿宋_GB2312" w:eastAsia="仿宋_GB2312"/>
                <w:b/>
                <w:color w:val="auto"/>
                <w:sz w:val="24"/>
              </w:rPr>
            </w:pPr>
            <w:r>
              <w:rPr>
                <w:rFonts w:hint="eastAsia" w:ascii="仿宋_GB2312" w:eastAsia="仿宋_GB2312"/>
                <w:b/>
                <w:color w:val="auto"/>
                <w:sz w:val="24"/>
              </w:rPr>
              <w:t>评审意见</w:t>
            </w:r>
          </w:p>
          <w:p w14:paraId="4EA31D62">
            <w:pPr>
              <w:spacing w:line="400" w:lineRule="exact"/>
              <w:jc w:val="center"/>
              <w:rPr>
                <w:rFonts w:hint="eastAsia" w:ascii="仿宋_GB2312" w:eastAsia="仿宋_GB2312"/>
                <w:color w:val="auto"/>
                <w:spacing w:val="-2"/>
                <w:sz w:val="24"/>
              </w:rPr>
            </w:pPr>
            <w:r>
              <w:rPr>
                <w:rFonts w:hint="eastAsia" w:ascii="仿宋_GB2312" w:eastAsia="仿宋_GB2312"/>
                <w:color w:val="auto"/>
                <w:spacing w:val="-2"/>
                <w:sz w:val="24"/>
              </w:rPr>
              <w:t>供应商是否合格</w:t>
            </w:r>
          </w:p>
        </w:tc>
      </w:tr>
      <w:tr w14:paraId="1BFE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46EE23E">
            <w:pPr>
              <w:spacing w:line="400" w:lineRule="exact"/>
              <w:jc w:val="center"/>
              <w:rPr>
                <w:rFonts w:hint="eastAsia" w:ascii="仿宋_GB2312" w:eastAsia="仿宋_GB2312"/>
                <w:color w:val="auto"/>
                <w:sz w:val="24"/>
              </w:rPr>
            </w:pPr>
            <w:r>
              <w:rPr>
                <w:rFonts w:hint="eastAsia" w:ascii="仿宋_GB2312" w:eastAsia="仿宋_GB2312"/>
                <w:color w:val="auto"/>
                <w:sz w:val="24"/>
              </w:rPr>
              <w:t>1</w:t>
            </w:r>
          </w:p>
        </w:tc>
        <w:tc>
          <w:tcPr>
            <w:tcW w:w="6887" w:type="dxa"/>
            <w:vAlign w:val="center"/>
          </w:tcPr>
          <w:p w14:paraId="129304C4">
            <w:pPr>
              <w:spacing w:line="240" w:lineRule="atLeast"/>
              <w:rPr>
                <w:rFonts w:hint="eastAsia" w:ascii="仿宋_GB2312" w:eastAsia="仿宋_GB2312"/>
                <w:color w:val="auto"/>
                <w:spacing w:val="-2"/>
                <w:sz w:val="24"/>
              </w:rPr>
            </w:pPr>
            <w:r>
              <w:rPr>
                <w:rFonts w:hint="eastAsia" w:ascii="仿宋_GB2312" w:eastAsia="仿宋_GB2312"/>
                <w:color w:val="auto"/>
                <w:sz w:val="24"/>
              </w:rPr>
              <w:t>投标报价未高于预算金额;</w:t>
            </w:r>
          </w:p>
        </w:tc>
        <w:tc>
          <w:tcPr>
            <w:tcW w:w="1920" w:type="dxa"/>
            <w:vAlign w:val="center"/>
          </w:tcPr>
          <w:p w14:paraId="16936545">
            <w:pPr>
              <w:spacing w:line="400" w:lineRule="exact"/>
              <w:rPr>
                <w:rFonts w:hint="eastAsia" w:ascii="仿宋_GB2312" w:eastAsia="仿宋_GB2312"/>
                <w:color w:val="auto"/>
                <w:spacing w:val="-2"/>
                <w:sz w:val="24"/>
              </w:rPr>
            </w:pPr>
          </w:p>
        </w:tc>
      </w:tr>
      <w:tr w14:paraId="0F4D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4" w:type="dxa"/>
            <w:vAlign w:val="center"/>
          </w:tcPr>
          <w:p w14:paraId="06F9D47C">
            <w:pPr>
              <w:spacing w:line="400" w:lineRule="exact"/>
              <w:jc w:val="center"/>
              <w:rPr>
                <w:rFonts w:hint="eastAsia" w:ascii="仿宋_GB2312" w:eastAsia="仿宋_GB2312"/>
                <w:color w:val="auto"/>
                <w:sz w:val="24"/>
              </w:rPr>
            </w:pPr>
            <w:r>
              <w:rPr>
                <w:rFonts w:hint="eastAsia" w:ascii="仿宋_GB2312" w:eastAsia="仿宋_GB2312"/>
                <w:color w:val="auto"/>
                <w:sz w:val="24"/>
              </w:rPr>
              <w:t>2</w:t>
            </w:r>
          </w:p>
        </w:tc>
        <w:tc>
          <w:tcPr>
            <w:tcW w:w="6887" w:type="dxa"/>
            <w:vAlign w:val="center"/>
          </w:tcPr>
          <w:p w14:paraId="2816B23A">
            <w:pPr>
              <w:jc w:val="left"/>
              <w:rPr>
                <w:rFonts w:hint="eastAsia" w:ascii="仿宋_GB2312" w:eastAsia="仿宋_GB2312"/>
                <w:color w:val="auto"/>
                <w:spacing w:val="-2"/>
                <w:sz w:val="24"/>
              </w:rPr>
            </w:pPr>
            <w:r>
              <w:rPr>
                <w:rFonts w:hint="eastAsia" w:ascii="仿宋_GB2312" w:eastAsia="仿宋_GB2312"/>
                <w:color w:val="auto"/>
                <w:spacing w:val="-2"/>
                <w:sz w:val="24"/>
              </w:rPr>
              <w:t>谈判小组认为供应商的报价无明显低于其他通过符合性审查供应商的报价的，供应商的报价不存在异常一致并成规律性的，其报价合理；</w:t>
            </w:r>
          </w:p>
        </w:tc>
        <w:tc>
          <w:tcPr>
            <w:tcW w:w="1920" w:type="dxa"/>
            <w:vAlign w:val="center"/>
          </w:tcPr>
          <w:p w14:paraId="4E5764C2">
            <w:pPr>
              <w:spacing w:line="400" w:lineRule="exact"/>
              <w:rPr>
                <w:rFonts w:hint="eastAsia" w:ascii="仿宋_GB2312" w:eastAsia="仿宋_GB2312"/>
                <w:color w:val="auto"/>
                <w:spacing w:val="-2"/>
                <w:sz w:val="24"/>
              </w:rPr>
            </w:pPr>
          </w:p>
        </w:tc>
      </w:tr>
      <w:tr w14:paraId="5698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60A6E5BE">
            <w:pPr>
              <w:spacing w:line="400" w:lineRule="exact"/>
              <w:jc w:val="center"/>
              <w:rPr>
                <w:rFonts w:hint="eastAsia" w:ascii="仿宋_GB2312" w:eastAsia="仿宋_GB2312"/>
                <w:color w:val="auto"/>
                <w:sz w:val="24"/>
              </w:rPr>
            </w:pPr>
            <w:r>
              <w:rPr>
                <w:rFonts w:hint="eastAsia" w:ascii="仿宋_GB2312" w:eastAsia="仿宋_GB2312"/>
                <w:color w:val="auto"/>
                <w:sz w:val="24"/>
              </w:rPr>
              <w:t>3</w:t>
            </w:r>
          </w:p>
        </w:tc>
        <w:tc>
          <w:tcPr>
            <w:tcW w:w="6887" w:type="dxa"/>
            <w:vAlign w:val="center"/>
          </w:tcPr>
          <w:p w14:paraId="3C6C1442">
            <w:pPr>
              <w:jc w:val="left"/>
              <w:rPr>
                <w:rFonts w:hint="eastAsia" w:ascii="仿宋_GB2312" w:eastAsia="仿宋_GB2312"/>
                <w:color w:val="auto"/>
                <w:spacing w:val="-2"/>
                <w:sz w:val="24"/>
              </w:rPr>
            </w:pPr>
            <w:r>
              <w:rPr>
                <w:rFonts w:hint="eastAsia" w:ascii="仿宋_GB2312" w:eastAsia="仿宋_GB2312"/>
                <w:color w:val="auto"/>
                <w:spacing w:val="-2"/>
                <w:sz w:val="24"/>
              </w:rPr>
              <w:t>响应文件按照谈判文件的规定编制、标记及签署盖章，法定代表人或其授权代表签字（章）和加盖供应商公章（所上传响应文件的印章和签字不能为复印件）；</w:t>
            </w:r>
          </w:p>
        </w:tc>
        <w:tc>
          <w:tcPr>
            <w:tcW w:w="1920" w:type="dxa"/>
            <w:vAlign w:val="center"/>
          </w:tcPr>
          <w:p w14:paraId="28FF7388">
            <w:pPr>
              <w:spacing w:line="400" w:lineRule="exact"/>
              <w:rPr>
                <w:rFonts w:hint="eastAsia" w:ascii="仿宋_GB2312" w:eastAsia="仿宋_GB2312"/>
                <w:color w:val="auto"/>
                <w:spacing w:val="-2"/>
                <w:sz w:val="24"/>
              </w:rPr>
            </w:pPr>
          </w:p>
        </w:tc>
      </w:tr>
      <w:tr w14:paraId="2AD7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C692B0D">
            <w:pPr>
              <w:spacing w:line="400" w:lineRule="exact"/>
              <w:jc w:val="center"/>
              <w:rPr>
                <w:rFonts w:hint="eastAsia" w:ascii="仿宋_GB2312" w:eastAsia="仿宋_GB2312"/>
                <w:color w:val="auto"/>
                <w:sz w:val="24"/>
              </w:rPr>
            </w:pPr>
            <w:r>
              <w:rPr>
                <w:rFonts w:hint="eastAsia" w:ascii="仿宋_GB2312" w:eastAsia="仿宋_GB2312"/>
                <w:color w:val="auto"/>
                <w:sz w:val="24"/>
              </w:rPr>
              <w:t>4</w:t>
            </w:r>
          </w:p>
        </w:tc>
        <w:tc>
          <w:tcPr>
            <w:tcW w:w="6887" w:type="dxa"/>
            <w:vAlign w:val="center"/>
          </w:tcPr>
          <w:p w14:paraId="66CB5CE9">
            <w:pPr>
              <w:jc w:val="left"/>
              <w:rPr>
                <w:rFonts w:hint="eastAsia" w:ascii="仿宋_GB2312" w:eastAsia="仿宋_GB2312"/>
                <w:color w:val="auto"/>
                <w:sz w:val="24"/>
              </w:rPr>
            </w:pPr>
            <w:r>
              <w:rPr>
                <w:rFonts w:hint="eastAsia" w:ascii="仿宋_GB2312" w:eastAsia="仿宋_GB2312"/>
                <w:color w:val="auto"/>
                <w:spacing w:val="-2"/>
                <w:sz w:val="24"/>
              </w:rPr>
              <w:t>所投产品的货物及数量满足谈判文件要求（可参考分项报价表）；</w:t>
            </w:r>
          </w:p>
        </w:tc>
        <w:tc>
          <w:tcPr>
            <w:tcW w:w="1920" w:type="dxa"/>
            <w:vAlign w:val="center"/>
          </w:tcPr>
          <w:p w14:paraId="2C978109">
            <w:pPr>
              <w:spacing w:line="400" w:lineRule="exact"/>
              <w:rPr>
                <w:rFonts w:hint="eastAsia" w:ascii="仿宋_GB2312" w:eastAsia="仿宋_GB2312"/>
                <w:color w:val="auto"/>
                <w:spacing w:val="-2"/>
                <w:sz w:val="24"/>
              </w:rPr>
            </w:pPr>
          </w:p>
        </w:tc>
      </w:tr>
      <w:tr w14:paraId="1445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63E22407">
            <w:pPr>
              <w:spacing w:line="400" w:lineRule="exact"/>
              <w:jc w:val="center"/>
              <w:rPr>
                <w:rFonts w:hint="eastAsia" w:ascii="仿宋_GB2312" w:eastAsia="仿宋_GB2312"/>
                <w:color w:val="auto"/>
                <w:sz w:val="24"/>
              </w:rPr>
            </w:pPr>
            <w:r>
              <w:rPr>
                <w:rFonts w:hint="eastAsia" w:ascii="仿宋_GB2312" w:eastAsia="仿宋_GB2312"/>
                <w:color w:val="auto"/>
                <w:sz w:val="24"/>
              </w:rPr>
              <w:t>5</w:t>
            </w:r>
          </w:p>
        </w:tc>
        <w:tc>
          <w:tcPr>
            <w:tcW w:w="6887" w:type="dxa"/>
            <w:vAlign w:val="center"/>
          </w:tcPr>
          <w:p w14:paraId="58E380A2">
            <w:pPr>
              <w:jc w:val="left"/>
              <w:rPr>
                <w:rFonts w:hint="eastAsia" w:ascii="仿宋_GB2312" w:eastAsia="仿宋_GB2312"/>
                <w:color w:val="auto"/>
                <w:sz w:val="24"/>
              </w:rPr>
            </w:pPr>
            <w:r>
              <w:rPr>
                <w:rFonts w:hint="eastAsia" w:ascii="仿宋_GB2312" w:eastAsia="仿宋_GB2312"/>
                <w:color w:val="auto"/>
                <w:spacing w:val="-2"/>
                <w:sz w:val="24"/>
              </w:rPr>
              <w:t>供货期满足谈判文件规定；</w:t>
            </w:r>
          </w:p>
        </w:tc>
        <w:tc>
          <w:tcPr>
            <w:tcW w:w="1920" w:type="dxa"/>
            <w:vAlign w:val="center"/>
          </w:tcPr>
          <w:p w14:paraId="17B1DDEE">
            <w:pPr>
              <w:spacing w:line="400" w:lineRule="exact"/>
              <w:rPr>
                <w:rFonts w:hint="eastAsia" w:ascii="仿宋_GB2312" w:eastAsia="仿宋_GB2312"/>
                <w:color w:val="auto"/>
                <w:spacing w:val="-2"/>
                <w:sz w:val="24"/>
              </w:rPr>
            </w:pPr>
          </w:p>
        </w:tc>
      </w:tr>
      <w:tr w14:paraId="13A1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D2D1462">
            <w:pPr>
              <w:spacing w:line="400" w:lineRule="exact"/>
              <w:jc w:val="center"/>
              <w:rPr>
                <w:rFonts w:hint="eastAsia" w:ascii="仿宋_GB2312" w:eastAsia="仿宋_GB2312"/>
                <w:color w:val="auto"/>
                <w:sz w:val="24"/>
              </w:rPr>
            </w:pPr>
            <w:r>
              <w:rPr>
                <w:rFonts w:hint="eastAsia" w:ascii="仿宋_GB2312" w:eastAsia="仿宋_GB2312"/>
                <w:color w:val="auto"/>
                <w:sz w:val="24"/>
              </w:rPr>
              <w:t>6</w:t>
            </w:r>
          </w:p>
        </w:tc>
        <w:tc>
          <w:tcPr>
            <w:tcW w:w="6887" w:type="dxa"/>
            <w:vAlign w:val="center"/>
          </w:tcPr>
          <w:p w14:paraId="3BC9D2D9">
            <w:pPr>
              <w:jc w:val="left"/>
              <w:rPr>
                <w:rFonts w:hint="eastAsia" w:ascii="仿宋_GB2312" w:eastAsia="仿宋_GB2312"/>
                <w:color w:val="auto"/>
                <w:spacing w:val="-2"/>
                <w:sz w:val="24"/>
              </w:rPr>
            </w:pPr>
            <w:r>
              <w:rPr>
                <w:rFonts w:hint="eastAsia" w:ascii="仿宋_GB2312" w:eastAsia="仿宋_GB2312"/>
                <w:color w:val="auto"/>
                <w:spacing w:val="-2"/>
                <w:sz w:val="24"/>
              </w:rPr>
              <w:t>按招标文件规定的格式填写，内容全或关键字迹清晰、数量等齐全的；</w:t>
            </w:r>
          </w:p>
        </w:tc>
        <w:tc>
          <w:tcPr>
            <w:tcW w:w="1920" w:type="dxa"/>
            <w:vAlign w:val="center"/>
          </w:tcPr>
          <w:p w14:paraId="3213C85E">
            <w:pPr>
              <w:spacing w:line="400" w:lineRule="exact"/>
              <w:rPr>
                <w:rFonts w:hint="eastAsia" w:ascii="仿宋_GB2312" w:eastAsia="仿宋_GB2312"/>
                <w:color w:val="auto"/>
                <w:spacing w:val="-2"/>
                <w:sz w:val="24"/>
              </w:rPr>
            </w:pPr>
          </w:p>
        </w:tc>
      </w:tr>
      <w:tr w14:paraId="0607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373B6502">
            <w:pPr>
              <w:spacing w:line="400" w:lineRule="exact"/>
              <w:jc w:val="center"/>
              <w:rPr>
                <w:rFonts w:hint="eastAsia" w:ascii="仿宋_GB2312" w:eastAsia="仿宋_GB2312"/>
                <w:color w:val="auto"/>
                <w:sz w:val="24"/>
              </w:rPr>
            </w:pPr>
            <w:r>
              <w:rPr>
                <w:rFonts w:hint="eastAsia" w:ascii="仿宋_GB2312" w:eastAsia="仿宋_GB2312"/>
                <w:color w:val="auto"/>
                <w:sz w:val="24"/>
              </w:rPr>
              <w:t>7</w:t>
            </w:r>
          </w:p>
        </w:tc>
        <w:tc>
          <w:tcPr>
            <w:tcW w:w="6887" w:type="dxa"/>
            <w:vAlign w:val="center"/>
          </w:tcPr>
          <w:p w14:paraId="53F22D44">
            <w:pPr>
              <w:jc w:val="left"/>
              <w:rPr>
                <w:rFonts w:hint="eastAsia" w:ascii="仿宋_GB2312" w:eastAsia="仿宋_GB2312"/>
                <w:color w:val="auto"/>
                <w:spacing w:val="-2"/>
                <w:sz w:val="24"/>
              </w:rPr>
            </w:pPr>
            <w:r>
              <w:rPr>
                <w:rFonts w:hint="eastAsia" w:ascii="仿宋_GB2312" w:eastAsia="仿宋_GB2312"/>
                <w:color w:val="auto"/>
                <w:sz w:val="24"/>
              </w:rPr>
              <w:t>没有采购人不能接受的附加条件；</w:t>
            </w:r>
          </w:p>
        </w:tc>
        <w:tc>
          <w:tcPr>
            <w:tcW w:w="1920" w:type="dxa"/>
            <w:vAlign w:val="center"/>
          </w:tcPr>
          <w:p w14:paraId="3FE10B37">
            <w:pPr>
              <w:spacing w:line="400" w:lineRule="exact"/>
              <w:rPr>
                <w:rFonts w:hint="eastAsia" w:ascii="仿宋_GB2312" w:eastAsia="仿宋_GB2312"/>
                <w:color w:val="auto"/>
                <w:spacing w:val="-2"/>
                <w:sz w:val="24"/>
              </w:rPr>
            </w:pPr>
          </w:p>
        </w:tc>
      </w:tr>
      <w:tr w14:paraId="7278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40D83F0">
            <w:pPr>
              <w:spacing w:line="400" w:lineRule="exact"/>
              <w:jc w:val="center"/>
              <w:rPr>
                <w:rFonts w:hint="eastAsia" w:ascii="仿宋_GB2312" w:eastAsia="仿宋_GB2312"/>
                <w:color w:val="auto"/>
                <w:sz w:val="24"/>
              </w:rPr>
            </w:pPr>
            <w:r>
              <w:rPr>
                <w:rFonts w:hint="eastAsia" w:ascii="仿宋_GB2312" w:eastAsia="仿宋_GB2312"/>
                <w:color w:val="auto"/>
                <w:sz w:val="24"/>
              </w:rPr>
              <w:t>8</w:t>
            </w:r>
          </w:p>
        </w:tc>
        <w:tc>
          <w:tcPr>
            <w:tcW w:w="6887" w:type="dxa"/>
            <w:vAlign w:val="center"/>
          </w:tcPr>
          <w:p w14:paraId="25996A8C">
            <w:pPr>
              <w:jc w:val="left"/>
              <w:rPr>
                <w:rFonts w:hint="eastAsia" w:ascii="仿宋_GB2312" w:eastAsia="仿宋_GB2312"/>
                <w:color w:val="auto"/>
                <w:spacing w:val="-2"/>
                <w:sz w:val="24"/>
              </w:rPr>
            </w:pPr>
            <w:r>
              <w:rPr>
                <w:rFonts w:hint="eastAsia" w:ascii="仿宋_GB2312" w:eastAsia="仿宋_GB2312"/>
                <w:color w:val="auto"/>
                <w:spacing w:val="-2"/>
                <w:sz w:val="24"/>
              </w:rPr>
              <w:t>符合谈判文件中规定的其他实质性要求；</w:t>
            </w:r>
          </w:p>
        </w:tc>
        <w:tc>
          <w:tcPr>
            <w:tcW w:w="1920" w:type="dxa"/>
            <w:vAlign w:val="center"/>
          </w:tcPr>
          <w:p w14:paraId="376EB4AF">
            <w:pPr>
              <w:spacing w:line="400" w:lineRule="exact"/>
              <w:rPr>
                <w:rFonts w:hint="eastAsia" w:ascii="仿宋_GB2312" w:eastAsia="仿宋_GB2312"/>
                <w:color w:val="auto"/>
                <w:spacing w:val="-2"/>
                <w:sz w:val="24"/>
              </w:rPr>
            </w:pPr>
          </w:p>
        </w:tc>
      </w:tr>
      <w:tr w14:paraId="2263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25FC1033">
            <w:pPr>
              <w:spacing w:line="400" w:lineRule="exact"/>
              <w:jc w:val="center"/>
              <w:rPr>
                <w:rFonts w:hint="eastAsia" w:ascii="仿宋_GB2312" w:eastAsia="仿宋_GB2312"/>
                <w:color w:val="auto"/>
                <w:sz w:val="24"/>
              </w:rPr>
            </w:pPr>
            <w:r>
              <w:rPr>
                <w:rFonts w:hint="eastAsia" w:ascii="仿宋_GB2312" w:eastAsia="仿宋_GB2312"/>
                <w:color w:val="auto"/>
                <w:sz w:val="24"/>
              </w:rPr>
              <w:t>9</w:t>
            </w:r>
          </w:p>
        </w:tc>
        <w:tc>
          <w:tcPr>
            <w:tcW w:w="6887" w:type="dxa"/>
            <w:vAlign w:val="center"/>
          </w:tcPr>
          <w:p w14:paraId="07063824">
            <w:pPr>
              <w:jc w:val="left"/>
              <w:rPr>
                <w:rFonts w:hint="eastAsia" w:ascii="仿宋_GB2312" w:eastAsia="仿宋_GB2312"/>
                <w:color w:val="auto"/>
                <w:spacing w:val="-2"/>
                <w:sz w:val="24"/>
              </w:rPr>
            </w:pPr>
            <w:r>
              <w:rPr>
                <w:rFonts w:hint="eastAsia" w:ascii="仿宋_GB2312" w:eastAsia="仿宋_GB2312"/>
                <w:color w:val="auto"/>
                <w:sz w:val="24"/>
              </w:rPr>
              <w:t>不同供应商的响应文件没有错漏一致的情况；</w:t>
            </w:r>
          </w:p>
        </w:tc>
        <w:tc>
          <w:tcPr>
            <w:tcW w:w="1920" w:type="dxa"/>
            <w:vAlign w:val="center"/>
          </w:tcPr>
          <w:p w14:paraId="6A7AF958">
            <w:pPr>
              <w:spacing w:line="400" w:lineRule="exact"/>
              <w:rPr>
                <w:rFonts w:hint="eastAsia" w:ascii="仿宋_GB2312" w:eastAsia="仿宋_GB2312"/>
                <w:color w:val="auto"/>
                <w:spacing w:val="-2"/>
                <w:sz w:val="24"/>
              </w:rPr>
            </w:pPr>
          </w:p>
        </w:tc>
      </w:tr>
      <w:tr w14:paraId="39B6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1E87E85F">
            <w:pPr>
              <w:spacing w:line="400" w:lineRule="exact"/>
              <w:jc w:val="center"/>
              <w:rPr>
                <w:rFonts w:hint="eastAsia" w:ascii="仿宋_GB2312" w:eastAsia="仿宋_GB2312"/>
                <w:color w:val="auto"/>
                <w:sz w:val="24"/>
              </w:rPr>
            </w:pPr>
            <w:r>
              <w:rPr>
                <w:rFonts w:hint="eastAsia" w:ascii="仿宋_GB2312" w:eastAsia="仿宋_GB2312"/>
                <w:color w:val="auto"/>
                <w:sz w:val="24"/>
              </w:rPr>
              <w:t>10</w:t>
            </w:r>
          </w:p>
        </w:tc>
        <w:tc>
          <w:tcPr>
            <w:tcW w:w="6887" w:type="dxa"/>
            <w:vAlign w:val="center"/>
          </w:tcPr>
          <w:p w14:paraId="02E7FD03">
            <w:pPr>
              <w:jc w:val="left"/>
              <w:rPr>
                <w:rFonts w:hint="eastAsia" w:ascii="仿宋_GB2312" w:eastAsia="仿宋_GB2312"/>
                <w:color w:val="auto"/>
                <w:sz w:val="24"/>
              </w:rPr>
            </w:pPr>
            <w:r>
              <w:rPr>
                <w:rFonts w:hint="eastAsia" w:ascii="仿宋_GB2312" w:eastAsia="仿宋_GB2312"/>
                <w:color w:val="auto"/>
                <w:spacing w:val="-2"/>
                <w:sz w:val="24"/>
              </w:rPr>
              <w:t>供应商附有详细地址、联系人、联系电话等信息；</w:t>
            </w:r>
          </w:p>
        </w:tc>
        <w:tc>
          <w:tcPr>
            <w:tcW w:w="1920" w:type="dxa"/>
            <w:vAlign w:val="center"/>
          </w:tcPr>
          <w:p w14:paraId="3EBAAD10">
            <w:pPr>
              <w:spacing w:line="400" w:lineRule="exact"/>
              <w:rPr>
                <w:rFonts w:hint="eastAsia" w:ascii="仿宋_GB2312" w:eastAsia="仿宋_GB2312"/>
                <w:color w:val="auto"/>
                <w:spacing w:val="-2"/>
                <w:sz w:val="24"/>
              </w:rPr>
            </w:pPr>
          </w:p>
        </w:tc>
      </w:tr>
      <w:tr w14:paraId="5CE7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3B6CE3C9">
            <w:pPr>
              <w:spacing w:line="400" w:lineRule="exact"/>
              <w:ind w:firstLine="424" w:firstLineChars="180"/>
              <w:rPr>
                <w:rFonts w:hint="eastAsia" w:ascii="仿宋_GB2312" w:eastAsia="仿宋_GB2312"/>
                <w:color w:val="auto"/>
                <w:spacing w:val="-2"/>
                <w:sz w:val="24"/>
              </w:rPr>
            </w:pPr>
            <w:r>
              <w:rPr>
                <w:rFonts w:hint="eastAsia" w:ascii="仿宋_GB2312" w:eastAsia="仿宋_GB2312"/>
                <w:color w:val="auto"/>
                <w:spacing w:val="-2"/>
                <w:sz w:val="24"/>
              </w:rPr>
              <w:t>结论</w:t>
            </w:r>
          </w:p>
        </w:tc>
        <w:tc>
          <w:tcPr>
            <w:tcW w:w="1920" w:type="dxa"/>
            <w:vAlign w:val="center"/>
          </w:tcPr>
          <w:p w14:paraId="5F553A1C">
            <w:pPr>
              <w:spacing w:line="400" w:lineRule="exact"/>
              <w:ind w:firstLine="424" w:firstLineChars="180"/>
              <w:rPr>
                <w:rFonts w:hint="eastAsia" w:ascii="仿宋_GB2312" w:eastAsia="仿宋_GB2312"/>
                <w:color w:val="auto"/>
                <w:spacing w:val="-2"/>
                <w:sz w:val="24"/>
              </w:rPr>
            </w:pPr>
          </w:p>
        </w:tc>
      </w:tr>
    </w:tbl>
    <w:p w14:paraId="4C9129F0">
      <w:pPr>
        <w:snapToGrid w:val="0"/>
        <w:spacing w:line="360" w:lineRule="exact"/>
        <w:textAlignment w:val="baseline"/>
        <w:rPr>
          <w:rFonts w:hint="eastAsia" w:ascii="仿宋_GB2312" w:eastAsia="仿宋_GB2312"/>
          <w:color w:val="auto"/>
          <w:sz w:val="24"/>
        </w:rPr>
      </w:pPr>
    </w:p>
    <w:p w14:paraId="63DB58F9">
      <w:pPr>
        <w:snapToGrid w:val="0"/>
        <w:spacing w:line="360" w:lineRule="exact"/>
        <w:textAlignment w:val="baseline"/>
        <w:rPr>
          <w:rFonts w:hint="eastAsia" w:ascii="仿宋_GB2312" w:eastAsia="仿宋_GB2312"/>
          <w:color w:val="auto"/>
          <w:sz w:val="24"/>
        </w:rPr>
      </w:pPr>
      <w:r>
        <w:rPr>
          <w:rFonts w:hint="eastAsia" w:ascii="仿宋_GB2312" w:eastAsia="仿宋_GB2312"/>
          <w:color w:val="auto"/>
          <w:sz w:val="24"/>
        </w:rPr>
        <w:t>说明：</w:t>
      </w:r>
    </w:p>
    <w:p w14:paraId="4D59D3A4">
      <w:pPr>
        <w:snapToGrid w:val="0"/>
        <w:spacing w:line="360" w:lineRule="exact"/>
        <w:textAlignment w:val="baseline"/>
        <w:rPr>
          <w:rFonts w:hint="eastAsia" w:ascii="仿宋_GB2312" w:eastAsia="仿宋_GB2312"/>
          <w:color w:val="auto"/>
          <w:sz w:val="24"/>
        </w:rPr>
      </w:pPr>
      <w:r>
        <w:rPr>
          <w:rFonts w:hint="eastAsia" w:ascii="仿宋_GB2312" w:eastAsia="仿宋_GB2312"/>
          <w:color w:val="auto"/>
          <w:sz w:val="24"/>
        </w:rPr>
        <w:t>（1）上述各项中“ 符合”表示通过，“ 不符合”表示未通过；</w:t>
      </w:r>
    </w:p>
    <w:p w14:paraId="1BF93804">
      <w:pPr>
        <w:snapToGrid w:val="0"/>
        <w:spacing w:line="360" w:lineRule="exact"/>
        <w:textAlignment w:val="baseline"/>
        <w:rPr>
          <w:rFonts w:hint="eastAsia" w:ascii="仿宋_GB2312" w:eastAsia="仿宋_GB2312"/>
          <w:color w:val="auto"/>
          <w:sz w:val="24"/>
        </w:rPr>
      </w:pPr>
      <w:r>
        <w:rPr>
          <w:rFonts w:hint="eastAsia" w:ascii="仿宋_GB2312" w:eastAsia="仿宋_GB2312"/>
          <w:color w:val="auto"/>
          <w:sz w:val="24"/>
        </w:rPr>
        <w:t>（2）上述各项中如有一项为“ 不符合”，则结论为“ 不符合”，表示该投标文件中存在重大偏差， 不能通过初步评审；评委对某一分项评审认为不符合时，必须要写明原因。</w:t>
      </w:r>
    </w:p>
    <w:p w14:paraId="6C217C0E">
      <w:pPr>
        <w:snapToGrid w:val="0"/>
        <w:spacing w:line="360" w:lineRule="exact"/>
        <w:textAlignment w:val="baseline"/>
        <w:rPr>
          <w:rFonts w:hint="eastAsia" w:ascii="仿宋_GB2312" w:eastAsia="仿宋_GB2312"/>
          <w:color w:val="auto"/>
          <w:sz w:val="24"/>
        </w:rPr>
      </w:pPr>
      <w:r>
        <w:rPr>
          <w:rFonts w:hint="eastAsia" w:ascii="仿宋_GB2312" w:eastAsia="仿宋_GB2312"/>
          <w:color w:val="auto"/>
          <w:sz w:val="24"/>
        </w:rPr>
        <w:t>（3）谈判文件最终合格与否，谈判小组按照少数服从多数的原则定论。</w:t>
      </w:r>
    </w:p>
    <w:p w14:paraId="475B8856">
      <w:pPr>
        <w:snapToGrid w:val="0"/>
        <w:spacing w:line="240" w:lineRule="atLeast"/>
        <w:ind w:left="1080" w:leftChars="257" w:hanging="540"/>
        <w:jc w:val="left"/>
        <w:textAlignment w:val="baseline"/>
        <w:rPr>
          <w:rFonts w:eastAsia="方正仿宋简体"/>
          <w:bCs/>
          <w:color w:val="auto"/>
          <w:sz w:val="28"/>
          <w:szCs w:val="28"/>
        </w:rPr>
      </w:pPr>
      <w:r>
        <w:rPr>
          <w:rFonts w:hint="eastAsia" w:ascii="仿宋_GB2312" w:eastAsia="仿宋_GB2312"/>
          <w:b/>
          <w:bCs/>
          <w:color w:val="auto"/>
          <w:sz w:val="24"/>
        </w:rPr>
        <w:t>备注：如果供应商有一项未通过上述审查标准，谈判小组将认定整个响应文件未响应谈判文件而予以废标处理</w:t>
      </w:r>
      <w:r>
        <w:rPr>
          <w:rFonts w:eastAsia="方正仿宋简体"/>
          <w:b/>
          <w:bCs/>
          <w:color w:val="auto"/>
          <w:sz w:val="28"/>
          <w:szCs w:val="28"/>
        </w:rPr>
        <w:t>。</w:t>
      </w:r>
      <w:bookmarkStart w:id="874" w:name="_Toc20930"/>
      <w:bookmarkStart w:id="875" w:name="_Toc25310"/>
      <w:bookmarkStart w:id="876" w:name="_Toc507399904"/>
    </w:p>
    <w:p w14:paraId="7C8F3ABD">
      <w:pPr>
        <w:jc w:val="center"/>
        <w:rPr>
          <w:rFonts w:eastAsia="方正仿宋简体"/>
          <w:bCs/>
          <w:color w:val="auto"/>
          <w:sz w:val="28"/>
          <w:szCs w:val="28"/>
        </w:rPr>
      </w:pPr>
    </w:p>
    <w:p w14:paraId="22E4060B">
      <w:pPr>
        <w:pStyle w:val="10"/>
        <w:ind w:firstLine="0"/>
        <w:jc w:val="center"/>
        <w:rPr>
          <w:rFonts w:ascii="方正小标宋简体" w:hAnsi="方正小标宋简体" w:eastAsia="方正小标宋简体" w:cs="方正小标宋简体"/>
          <w:bCs/>
          <w:color w:val="auto"/>
          <w:sz w:val="48"/>
          <w:szCs w:val="48"/>
        </w:rPr>
      </w:pPr>
    </w:p>
    <w:p w14:paraId="153B2D07">
      <w:pPr>
        <w:pStyle w:val="10"/>
        <w:ind w:firstLine="0"/>
        <w:jc w:val="both"/>
        <w:rPr>
          <w:rFonts w:ascii="方正小标宋简体" w:hAnsi="方正小标宋简体" w:eastAsia="方正小标宋简体" w:cs="方正小标宋简体"/>
          <w:bCs/>
          <w:color w:val="auto"/>
          <w:sz w:val="48"/>
          <w:szCs w:val="48"/>
        </w:rPr>
      </w:pPr>
    </w:p>
    <w:p w14:paraId="384CAB0A">
      <w:pPr>
        <w:pStyle w:val="10"/>
        <w:ind w:firstLine="0"/>
        <w:jc w:val="both"/>
        <w:rPr>
          <w:rFonts w:ascii="方正小标宋简体" w:hAnsi="方正小标宋简体" w:eastAsia="方正小标宋简体" w:cs="方正小标宋简体"/>
          <w:bCs/>
          <w:color w:val="auto"/>
          <w:sz w:val="48"/>
          <w:szCs w:val="48"/>
        </w:rPr>
      </w:pPr>
    </w:p>
    <w:p w14:paraId="007751C4">
      <w:pPr>
        <w:jc w:val="center"/>
        <w:rPr>
          <w:rFonts w:hint="eastAsia" w:ascii="仿宋_GB2312" w:hAnsi="方正小标宋简体" w:eastAsia="仿宋_GB2312" w:cs="方正小标宋简体"/>
          <w:bCs/>
          <w:color w:val="auto"/>
          <w:sz w:val="36"/>
          <w:szCs w:val="36"/>
        </w:rPr>
      </w:pPr>
    </w:p>
    <w:p w14:paraId="248D5E35">
      <w:pPr>
        <w:jc w:val="center"/>
        <w:rPr>
          <w:rFonts w:hint="eastAsia" w:ascii="仿宋_GB2312" w:hAnsi="方正小标宋简体" w:eastAsia="仿宋_GB2312" w:cs="方正小标宋简体"/>
          <w:bCs/>
          <w:color w:val="auto"/>
          <w:sz w:val="36"/>
          <w:szCs w:val="36"/>
        </w:rPr>
      </w:pPr>
    </w:p>
    <w:p w14:paraId="1AB41458">
      <w:pPr>
        <w:jc w:val="center"/>
        <w:rPr>
          <w:rFonts w:hint="eastAsia" w:ascii="仿宋_GB2312" w:hAnsi="方正小标宋简体" w:eastAsia="仿宋_GB2312" w:cs="方正小标宋简体"/>
          <w:bCs/>
          <w:color w:val="auto"/>
          <w:sz w:val="36"/>
          <w:szCs w:val="36"/>
        </w:rPr>
      </w:pPr>
      <w:r>
        <w:rPr>
          <w:rFonts w:hint="eastAsia" w:ascii="仿宋_GB2312" w:hAnsi="方正小标宋简体" w:eastAsia="仿宋_GB2312" w:cs="方正小标宋简体"/>
          <w:bCs/>
          <w:color w:val="auto"/>
          <w:sz w:val="36"/>
          <w:szCs w:val="36"/>
        </w:rPr>
        <w:t>喀什地区公安局采购一批打印机硒鼓、耗材项目</w:t>
      </w:r>
    </w:p>
    <w:p w14:paraId="7B261AE3">
      <w:pPr>
        <w:spacing w:line="240" w:lineRule="atLeast"/>
        <w:ind w:left="1080" w:leftChars="257" w:hanging="540"/>
        <w:jc w:val="center"/>
        <w:rPr>
          <w:rFonts w:hint="eastAsia" w:ascii="仿宋_GB2312" w:hAnsi="方正小标宋简体" w:eastAsia="仿宋_GB2312" w:cs="方正小标宋简体"/>
          <w:bCs/>
          <w:color w:val="auto"/>
          <w:sz w:val="36"/>
          <w:szCs w:val="36"/>
        </w:rPr>
      </w:pPr>
      <w:r>
        <w:rPr>
          <w:rFonts w:hint="eastAsia" w:ascii="仿宋_GB2312" w:hAnsi="方正小标宋简体" w:eastAsia="仿宋_GB2312" w:cs="方正小标宋简体"/>
          <w:bCs/>
          <w:color w:val="auto"/>
          <w:sz w:val="36"/>
          <w:szCs w:val="36"/>
        </w:rPr>
        <w:t>项目编号：KSDQ-YY2025(TP)-01号</w:t>
      </w:r>
    </w:p>
    <w:bookmarkEnd w:id="874"/>
    <w:bookmarkEnd w:id="875"/>
    <w:p w14:paraId="7B8B413C">
      <w:pPr>
        <w:rPr>
          <w:rFonts w:ascii="方正小标宋简体" w:hAnsi="方正小标宋简体" w:eastAsia="方正小标宋简体" w:cs="方正小标宋简体"/>
          <w:color w:val="auto"/>
          <w:sz w:val="48"/>
          <w:szCs w:val="48"/>
        </w:rPr>
      </w:pPr>
    </w:p>
    <w:p w14:paraId="66C09C65">
      <w:pPr>
        <w:pStyle w:val="29"/>
        <w:rPr>
          <w:rFonts w:ascii="方正小标宋简体" w:hAnsi="方正小标宋简体" w:eastAsia="方正小标宋简体" w:cs="方正小标宋简体"/>
          <w:color w:val="auto"/>
          <w:sz w:val="48"/>
          <w:szCs w:val="48"/>
        </w:rPr>
      </w:pPr>
    </w:p>
    <w:p w14:paraId="46B5A66E">
      <w:pPr>
        <w:snapToGrid w:val="0"/>
        <w:spacing w:line="240" w:lineRule="atLeast"/>
        <w:textAlignment w:val="baseline"/>
        <w:rPr>
          <w:rFonts w:ascii="方正小标宋简体" w:hAnsi="方正小标宋简体" w:eastAsia="方正小标宋简体" w:cs="方正小标宋简体"/>
          <w:b/>
          <w:color w:val="auto"/>
          <w:sz w:val="48"/>
          <w:szCs w:val="48"/>
        </w:rPr>
      </w:pPr>
    </w:p>
    <w:p w14:paraId="6C66212B">
      <w:pPr>
        <w:snapToGrid w:val="0"/>
        <w:spacing w:line="240" w:lineRule="atLeast"/>
        <w:textAlignment w:val="baseline"/>
        <w:rPr>
          <w:rFonts w:ascii="方正小标宋简体" w:hAnsi="方正小标宋简体" w:eastAsia="方正小标宋简体" w:cs="方正小标宋简体"/>
          <w:b/>
          <w:color w:val="auto"/>
          <w:sz w:val="44"/>
          <w:szCs w:val="44"/>
        </w:rPr>
      </w:pPr>
    </w:p>
    <w:p w14:paraId="1976B3B4">
      <w:pPr>
        <w:jc w:val="center"/>
        <w:rPr>
          <w:rFonts w:hint="eastAsia" w:ascii="仿宋_GB2312" w:hAnsi="方正小标宋简体" w:eastAsia="仿宋_GB2312" w:cs="方正小标宋简体"/>
          <w:bCs/>
          <w:color w:val="auto"/>
          <w:sz w:val="44"/>
          <w:szCs w:val="44"/>
        </w:rPr>
      </w:pPr>
      <w:r>
        <w:rPr>
          <w:rFonts w:hint="eastAsia" w:ascii="仿宋_GB2312" w:hAnsi="方正小标宋简体" w:eastAsia="仿宋_GB2312" w:cs="方正小标宋简体"/>
          <w:bCs/>
          <w:color w:val="auto"/>
          <w:sz w:val="44"/>
          <w:szCs w:val="44"/>
        </w:rPr>
        <w:t>第三册</w:t>
      </w:r>
    </w:p>
    <w:p w14:paraId="771124B1">
      <w:pPr>
        <w:pStyle w:val="2"/>
        <w:ind w:firstLine="560"/>
        <w:rPr>
          <w:rFonts w:eastAsia="方正仿宋简体"/>
          <w:b/>
          <w:color w:val="auto"/>
          <w:sz w:val="28"/>
          <w:szCs w:val="28"/>
        </w:rPr>
      </w:pPr>
    </w:p>
    <w:p w14:paraId="6B42C98A">
      <w:pPr>
        <w:pStyle w:val="2"/>
        <w:ind w:firstLine="0" w:firstLineChars="0"/>
        <w:rPr>
          <w:rFonts w:eastAsia="方正仿宋简体"/>
          <w:bCs/>
          <w:color w:val="auto"/>
          <w:sz w:val="28"/>
          <w:szCs w:val="28"/>
        </w:rPr>
      </w:pPr>
    </w:p>
    <w:p w14:paraId="4D337A1F">
      <w:pPr>
        <w:pStyle w:val="2"/>
        <w:ind w:firstLine="0" w:firstLineChars="0"/>
        <w:rPr>
          <w:rFonts w:eastAsia="方正仿宋简体"/>
          <w:bCs/>
          <w:color w:val="auto"/>
          <w:sz w:val="28"/>
          <w:szCs w:val="28"/>
        </w:rPr>
      </w:pPr>
    </w:p>
    <w:p w14:paraId="30E0A3D8">
      <w:pPr>
        <w:pStyle w:val="2"/>
        <w:ind w:firstLine="0" w:firstLineChars="0"/>
        <w:rPr>
          <w:rFonts w:eastAsia="方正仿宋简体"/>
          <w:bCs/>
          <w:color w:val="auto"/>
          <w:sz w:val="28"/>
          <w:szCs w:val="28"/>
        </w:rPr>
      </w:pPr>
    </w:p>
    <w:p w14:paraId="60CFC20C">
      <w:pPr>
        <w:pStyle w:val="2"/>
        <w:ind w:firstLine="0" w:firstLineChars="0"/>
        <w:rPr>
          <w:rFonts w:eastAsia="方正仿宋简体"/>
          <w:bCs/>
          <w:color w:val="auto"/>
          <w:sz w:val="28"/>
          <w:szCs w:val="28"/>
        </w:rPr>
      </w:pPr>
    </w:p>
    <w:p w14:paraId="0EAC0F97">
      <w:pPr>
        <w:pStyle w:val="2"/>
        <w:ind w:firstLine="0" w:firstLineChars="0"/>
        <w:rPr>
          <w:rFonts w:eastAsia="方正仿宋简体"/>
          <w:bCs/>
          <w:color w:val="auto"/>
          <w:sz w:val="28"/>
          <w:szCs w:val="28"/>
        </w:rPr>
      </w:pPr>
    </w:p>
    <w:p w14:paraId="1075AF8D">
      <w:pPr>
        <w:pStyle w:val="2"/>
        <w:ind w:firstLine="0" w:firstLineChars="0"/>
        <w:rPr>
          <w:rFonts w:eastAsia="方正仿宋简体"/>
          <w:bCs/>
          <w:color w:val="auto"/>
          <w:sz w:val="28"/>
          <w:szCs w:val="28"/>
        </w:rPr>
      </w:pPr>
    </w:p>
    <w:p w14:paraId="0324EFDD">
      <w:pPr>
        <w:pStyle w:val="2"/>
        <w:ind w:firstLine="0" w:firstLineChars="0"/>
        <w:rPr>
          <w:rFonts w:eastAsia="方正仿宋简体"/>
          <w:bCs/>
          <w:color w:val="auto"/>
          <w:sz w:val="28"/>
          <w:szCs w:val="28"/>
        </w:rPr>
      </w:pPr>
    </w:p>
    <w:p w14:paraId="45C6186C">
      <w:pPr>
        <w:pStyle w:val="2"/>
        <w:ind w:firstLine="0" w:firstLineChars="0"/>
        <w:rPr>
          <w:rFonts w:eastAsia="方正仿宋简体"/>
          <w:bCs/>
          <w:color w:val="auto"/>
          <w:sz w:val="28"/>
          <w:szCs w:val="28"/>
        </w:rPr>
      </w:pPr>
    </w:p>
    <w:p w14:paraId="195858C7">
      <w:pPr>
        <w:pStyle w:val="2"/>
        <w:ind w:firstLine="0" w:firstLineChars="0"/>
        <w:rPr>
          <w:rFonts w:eastAsia="方正仿宋简体"/>
          <w:bCs/>
          <w:color w:val="auto"/>
          <w:sz w:val="28"/>
          <w:szCs w:val="28"/>
        </w:rPr>
      </w:pPr>
    </w:p>
    <w:p w14:paraId="15D1D10F">
      <w:pPr>
        <w:pStyle w:val="2"/>
        <w:ind w:firstLine="0" w:firstLineChars="0"/>
        <w:rPr>
          <w:rFonts w:eastAsia="方正仿宋简体"/>
          <w:bCs/>
          <w:color w:val="auto"/>
          <w:sz w:val="28"/>
          <w:szCs w:val="28"/>
        </w:rPr>
      </w:pPr>
    </w:p>
    <w:p w14:paraId="67177959">
      <w:pPr>
        <w:pStyle w:val="4"/>
        <w:ind w:firstLine="240"/>
        <w:rPr>
          <w:rFonts w:hint="eastAsia"/>
          <w:color w:val="auto"/>
        </w:rPr>
      </w:pPr>
    </w:p>
    <w:p w14:paraId="4435467A">
      <w:pPr>
        <w:rPr>
          <w:rFonts w:hint="eastAsia"/>
          <w:color w:val="auto"/>
        </w:rPr>
      </w:pPr>
    </w:p>
    <w:p w14:paraId="6FD3FB98">
      <w:pPr>
        <w:pStyle w:val="2"/>
        <w:ind w:firstLine="480"/>
        <w:rPr>
          <w:rFonts w:hint="eastAsia"/>
          <w:color w:val="auto"/>
        </w:rPr>
      </w:pPr>
    </w:p>
    <w:p w14:paraId="3B5AAD16">
      <w:pPr>
        <w:pStyle w:val="4"/>
        <w:ind w:firstLine="240"/>
        <w:rPr>
          <w:rFonts w:hint="eastAsia"/>
          <w:color w:val="auto"/>
        </w:rPr>
      </w:pPr>
    </w:p>
    <w:p w14:paraId="141FA405">
      <w:pPr>
        <w:rPr>
          <w:rFonts w:hint="eastAsia"/>
          <w:color w:val="auto"/>
        </w:rPr>
      </w:pPr>
    </w:p>
    <w:p w14:paraId="571D8002">
      <w:pPr>
        <w:pStyle w:val="2"/>
        <w:ind w:firstLine="480"/>
        <w:rPr>
          <w:rFonts w:hint="eastAsia"/>
          <w:color w:val="auto"/>
        </w:rPr>
      </w:pPr>
    </w:p>
    <w:p w14:paraId="57C43F13">
      <w:pPr>
        <w:pStyle w:val="4"/>
        <w:ind w:firstLine="240"/>
        <w:rPr>
          <w:color w:val="auto"/>
        </w:rPr>
      </w:pPr>
    </w:p>
    <w:p w14:paraId="21870066">
      <w:pPr>
        <w:pStyle w:val="2"/>
        <w:ind w:firstLine="0" w:firstLineChars="0"/>
        <w:rPr>
          <w:rFonts w:eastAsia="方正仿宋简体"/>
          <w:bCs/>
          <w:color w:val="auto"/>
          <w:sz w:val="28"/>
          <w:szCs w:val="28"/>
        </w:rPr>
      </w:pPr>
    </w:p>
    <w:p w14:paraId="51ACDEC2">
      <w:pPr>
        <w:pStyle w:val="2"/>
        <w:ind w:firstLine="0" w:firstLineChars="0"/>
        <w:rPr>
          <w:rFonts w:hint="eastAsia" w:ascii="仿宋_GB2312" w:eastAsia="仿宋_GB2312"/>
          <w:bCs/>
          <w:color w:val="auto"/>
          <w:sz w:val="28"/>
          <w:szCs w:val="28"/>
        </w:rPr>
      </w:pPr>
      <w:r>
        <w:rPr>
          <w:rFonts w:hint="eastAsia" w:ascii="仿宋_GB2312" w:eastAsia="仿宋_GB2312"/>
          <w:bCs/>
          <w:color w:val="auto"/>
          <w:sz w:val="28"/>
          <w:szCs w:val="28"/>
        </w:rPr>
        <w:t>此合同模板仅供参考，具体以双方签订为准。</w:t>
      </w:r>
    </w:p>
    <w:bookmarkEnd w:id="876"/>
    <w:p w14:paraId="217347B6">
      <w:pPr>
        <w:pStyle w:val="7"/>
        <w:tabs>
          <w:tab w:val="left" w:pos="0"/>
        </w:tabs>
        <w:spacing w:before="0" w:after="0" w:line="240" w:lineRule="auto"/>
        <w:rPr>
          <w:rFonts w:hint="eastAsia" w:ascii="仿宋_GB2312" w:eastAsia="仿宋_GB2312"/>
          <w:color w:val="auto"/>
          <w:sz w:val="28"/>
          <w:szCs w:val="28"/>
        </w:rPr>
      </w:pPr>
      <w:bookmarkStart w:id="877" w:name="_Toc514"/>
      <w:bookmarkStart w:id="878" w:name="_Toc5754"/>
      <w:bookmarkStart w:id="879" w:name="_Toc30198"/>
    </w:p>
    <w:p w14:paraId="62375E7A">
      <w:pPr>
        <w:pStyle w:val="7"/>
        <w:tabs>
          <w:tab w:val="left" w:pos="0"/>
        </w:tabs>
        <w:spacing w:before="0" w:after="0" w:line="240" w:lineRule="auto"/>
        <w:rPr>
          <w:rFonts w:hint="eastAsia" w:ascii="仿宋_GB2312" w:hAnsi="仿宋" w:eastAsia="仿宋_GB2312" w:cs="宋体"/>
          <w:color w:val="auto"/>
          <w:szCs w:val="32"/>
        </w:rPr>
      </w:pPr>
      <w:r>
        <w:rPr>
          <w:rFonts w:hint="eastAsia" w:ascii="仿宋_GB2312" w:hAnsi="仿宋" w:eastAsia="仿宋_GB2312" w:cs="宋体"/>
          <w:color w:val="auto"/>
          <w:szCs w:val="32"/>
        </w:rPr>
        <w:t>第7章</w:t>
      </w:r>
      <w:r>
        <w:rPr>
          <w:rFonts w:hint="eastAsia" w:ascii="仿宋_GB2312" w:eastAsia="仿宋_GB2312"/>
          <w:color w:val="auto"/>
          <w:sz w:val="28"/>
          <w:szCs w:val="28"/>
        </w:rPr>
        <w:t xml:space="preserve"> </w:t>
      </w:r>
      <w:bookmarkEnd w:id="877"/>
      <w:bookmarkEnd w:id="878"/>
      <w:bookmarkEnd w:id="879"/>
      <w:r>
        <w:rPr>
          <w:rFonts w:hint="eastAsia" w:ascii="仿宋_GB2312" w:hAnsi="仿宋" w:eastAsia="仿宋_GB2312" w:cs="宋体"/>
          <w:color w:val="auto"/>
          <w:szCs w:val="32"/>
        </w:rPr>
        <w:t>政府采购合同</w:t>
      </w:r>
      <w:bookmarkStart w:id="880" w:name="_Hlt487972895"/>
      <w:bookmarkEnd w:id="880"/>
      <w:bookmarkStart w:id="881" w:name="_Toc216513788"/>
      <w:bookmarkStart w:id="882" w:name="_Toc487900382"/>
    </w:p>
    <w:bookmarkEnd w:id="881"/>
    <w:bookmarkEnd w:id="882"/>
    <w:p w14:paraId="604A85D2">
      <w:pPr>
        <w:pStyle w:val="10"/>
        <w:spacing w:line="340" w:lineRule="exact"/>
        <w:ind w:left="540" w:leftChars="257" w:firstLine="280"/>
        <w:rPr>
          <w:rFonts w:hint="eastAsia" w:ascii="仿宋_GB2312" w:hAnsi="仿宋" w:eastAsia="仿宋_GB2312" w:cs="宋体"/>
          <w:color w:val="auto"/>
          <w:szCs w:val="24"/>
        </w:rPr>
      </w:pPr>
    </w:p>
    <w:p w14:paraId="00AA683D">
      <w:pPr>
        <w:spacing w:line="340" w:lineRule="exact"/>
        <w:rPr>
          <w:rFonts w:hint="eastAsia" w:ascii="仿宋_GB2312" w:hAnsi="仿宋" w:eastAsia="仿宋_GB2312" w:cs="宋体"/>
          <w:color w:val="auto"/>
          <w:sz w:val="24"/>
          <w:u w:val="single"/>
        </w:rPr>
      </w:pPr>
      <w:r>
        <w:rPr>
          <w:rFonts w:hint="eastAsia" w:ascii="仿宋_GB2312" w:hAnsi="仿宋" w:eastAsia="仿宋_GB2312" w:cs="宋体"/>
          <w:color w:val="auto"/>
          <w:sz w:val="24"/>
        </w:rPr>
        <w:t>合同编号：</w:t>
      </w:r>
      <w:r>
        <w:rPr>
          <w:rFonts w:hint="eastAsia" w:ascii="仿宋_GB2312" w:hAnsi="仿宋" w:eastAsia="仿宋_GB2312" w:cs="宋体"/>
          <w:color w:val="auto"/>
          <w:sz w:val="24"/>
          <w:u w:val="single"/>
        </w:rPr>
        <w:t xml:space="preserve">           </w:t>
      </w:r>
    </w:p>
    <w:p w14:paraId="48D65469">
      <w:pPr>
        <w:spacing w:line="340" w:lineRule="exact"/>
        <w:jc w:val="center"/>
        <w:rPr>
          <w:rFonts w:hint="eastAsia" w:ascii="仿宋_GB2312" w:hAnsi="仿宋" w:eastAsia="仿宋_GB2312" w:cs="宋体"/>
          <w:b/>
          <w:color w:val="auto"/>
          <w:sz w:val="24"/>
        </w:rPr>
      </w:pPr>
    </w:p>
    <w:p w14:paraId="18E1B585">
      <w:pPr>
        <w:spacing w:line="340" w:lineRule="exact"/>
        <w:jc w:val="center"/>
        <w:rPr>
          <w:rFonts w:hint="eastAsia" w:ascii="仿宋_GB2312" w:hAnsi="仿宋" w:eastAsia="仿宋_GB2312" w:cs="宋体"/>
          <w:b/>
          <w:color w:val="auto"/>
          <w:sz w:val="24"/>
        </w:rPr>
      </w:pPr>
    </w:p>
    <w:p w14:paraId="517404E1">
      <w:pPr>
        <w:spacing w:line="340" w:lineRule="exact"/>
        <w:jc w:val="center"/>
        <w:rPr>
          <w:rFonts w:hint="eastAsia" w:ascii="仿宋_GB2312" w:hAnsi="仿宋" w:eastAsia="仿宋_GB2312" w:cs="宋体"/>
          <w:b/>
          <w:color w:val="auto"/>
          <w:sz w:val="24"/>
        </w:rPr>
      </w:pPr>
    </w:p>
    <w:p w14:paraId="6EFD36DA">
      <w:pPr>
        <w:spacing w:line="340" w:lineRule="exact"/>
        <w:jc w:val="center"/>
        <w:rPr>
          <w:rFonts w:hint="eastAsia" w:ascii="仿宋_GB2312" w:hAnsi="仿宋" w:eastAsia="仿宋_GB2312" w:cs="宋体"/>
          <w:b/>
          <w:color w:val="auto"/>
          <w:sz w:val="24"/>
        </w:rPr>
      </w:pPr>
      <w:r>
        <w:rPr>
          <w:rFonts w:hint="eastAsia" w:ascii="仿宋_GB2312" w:hAnsi="仿宋" w:eastAsia="仿宋_GB2312" w:cs="宋体"/>
          <w:b/>
          <w:color w:val="auto"/>
          <w:sz w:val="24"/>
        </w:rPr>
        <w:t>（政府采购合同参考范本）</w:t>
      </w:r>
    </w:p>
    <w:p w14:paraId="46019258">
      <w:pPr>
        <w:spacing w:line="340" w:lineRule="exact"/>
        <w:jc w:val="center"/>
        <w:rPr>
          <w:rFonts w:hint="eastAsia" w:ascii="仿宋_GB2312" w:hAnsi="仿宋" w:eastAsia="仿宋_GB2312" w:cs="宋体"/>
          <w:b/>
          <w:color w:val="auto"/>
          <w:sz w:val="24"/>
        </w:rPr>
      </w:pPr>
    </w:p>
    <w:p w14:paraId="0373D34C">
      <w:pPr>
        <w:pStyle w:val="62"/>
        <w:spacing w:line="340" w:lineRule="exact"/>
        <w:ind w:firstLine="0"/>
        <w:rPr>
          <w:rFonts w:hint="eastAsia" w:ascii="仿宋_GB2312" w:hAnsi="仿宋" w:eastAsia="仿宋_GB2312" w:cs="宋体"/>
          <w:color w:val="auto"/>
          <w:szCs w:val="24"/>
        </w:rPr>
      </w:pPr>
    </w:p>
    <w:p w14:paraId="306A391E">
      <w:pPr>
        <w:pStyle w:val="62"/>
        <w:spacing w:line="340" w:lineRule="exact"/>
        <w:ind w:firstLine="0"/>
        <w:rPr>
          <w:rFonts w:hint="eastAsia" w:ascii="仿宋_GB2312" w:hAnsi="仿宋" w:eastAsia="仿宋_GB2312" w:cs="宋体"/>
          <w:color w:val="auto"/>
          <w:szCs w:val="24"/>
        </w:rPr>
      </w:pPr>
    </w:p>
    <w:p w14:paraId="286767FA">
      <w:pPr>
        <w:pStyle w:val="62"/>
        <w:spacing w:line="340" w:lineRule="exact"/>
        <w:ind w:firstLine="0"/>
        <w:rPr>
          <w:rFonts w:hint="eastAsia" w:ascii="仿宋_GB2312" w:hAnsi="仿宋" w:eastAsia="仿宋_GB2312" w:cs="宋体"/>
          <w:color w:val="auto"/>
          <w:szCs w:val="24"/>
        </w:rPr>
      </w:pPr>
    </w:p>
    <w:p w14:paraId="313EF9DD">
      <w:pPr>
        <w:pStyle w:val="62"/>
        <w:spacing w:line="340" w:lineRule="exact"/>
        <w:ind w:firstLine="0"/>
        <w:jc w:val="center"/>
        <w:rPr>
          <w:rFonts w:hint="eastAsia" w:ascii="仿宋_GB2312" w:hAnsi="仿宋" w:eastAsia="仿宋_GB2312" w:cs="宋体"/>
          <w:b/>
          <w:color w:val="auto"/>
          <w:szCs w:val="24"/>
        </w:rPr>
      </w:pPr>
      <w:r>
        <w:rPr>
          <w:rFonts w:hint="eastAsia" w:ascii="仿宋_GB2312" w:hAnsi="仿宋" w:eastAsia="仿宋_GB2312" w:cs="宋体"/>
          <w:b/>
          <w:color w:val="auto"/>
          <w:szCs w:val="24"/>
        </w:rPr>
        <w:t>第一部分 合同书</w:t>
      </w:r>
    </w:p>
    <w:p w14:paraId="6EEB304D">
      <w:pPr>
        <w:pStyle w:val="62"/>
        <w:spacing w:line="340" w:lineRule="exact"/>
        <w:ind w:firstLine="0"/>
        <w:rPr>
          <w:rFonts w:hint="eastAsia" w:ascii="仿宋_GB2312" w:hAnsi="仿宋" w:eastAsia="仿宋_GB2312" w:cs="宋体"/>
          <w:color w:val="auto"/>
          <w:szCs w:val="24"/>
        </w:rPr>
      </w:pPr>
    </w:p>
    <w:p w14:paraId="3E6056C5">
      <w:pPr>
        <w:pStyle w:val="62"/>
        <w:spacing w:line="340" w:lineRule="exact"/>
        <w:ind w:firstLine="0"/>
        <w:rPr>
          <w:rFonts w:hint="eastAsia" w:ascii="仿宋_GB2312" w:hAnsi="仿宋" w:eastAsia="仿宋_GB2312" w:cs="宋体"/>
          <w:color w:val="auto"/>
          <w:szCs w:val="24"/>
        </w:rPr>
      </w:pPr>
    </w:p>
    <w:p w14:paraId="64C6A8A0">
      <w:pPr>
        <w:spacing w:before="120" w:line="340" w:lineRule="exact"/>
        <w:rPr>
          <w:rFonts w:hint="eastAsia" w:ascii="仿宋_GB2312" w:hAnsi="仿宋" w:eastAsia="仿宋_GB2312" w:cs="宋体"/>
          <w:color w:val="auto"/>
          <w:sz w:val="24"/>
        </w:rPr>
      </w:pPr>
    </w:p>
    <w:p w14:paraId="73A5A0A1">
      <w:pPr>
        <w:spacing w:before="120" w:line="340" w:lineRule="exact"/>
        <w:ind w:left="960"/>
        <w:rPr>
          <w:rFonts w:hint="eastAsia" w:ascii="仿宋_GB2312" w:hAnsi="仿宋" w:eastAsia="仿宋_GB2312" w:cs="宋体"/>
          <w:color w:val="auto"/>
          <w:sz w:val="24"/>
        </w:rPr>
      </w:pPr>
      <w:r>
        <w:rPr>
          <w:rFonts w:hint="eastAsia" w:ascii="仿宋_GB2312" w:hAnsi="仿宋" w:eastAsia="仿宋_GB2312" w:cs="宋体"/>
          <w:color w:val="auto"/>
          <w:sz w:val="24"/>
        </w:rPr>
        <w:t>项目名称：</w:t>
      </w:r>
      <w:r>
        <w:rPr>
          <w:rFonts w:hint="eastAsia" w:ascii="仿宋_GB2312" w:hAnsi="仿宋" w:eastAsia="仿宋_GB2312" w:cs="宋体"/>
          <w:color w:val="auto"/>
          <w:sz w:val="24"/>
          <w:u w:val="single"/>
        </w:rPr>
        <w:t xml:space="preserve">                                   </w:t>
      </w:r>
    </w:p>
    <w:p w14:paraId="0E25A521">
      <w:pPr>
        <w:pStyle w:val="51"/>
        <w:spacing w:before="120" w:line="340" w:lineRule="exact"/>
        <w:rPr>
          <w:rFonts w:hint="eastAsia" w:hAnsi="仿宋" w:cs="宋体"/>
          <w:color w:val="auto"/>
          <w:szCs w:val="24"/>
        </w:rPr>
      </w:pPr>
    </w:p>
    <w:p w14:paraId="5AC9EE7F">
      <w:pPr>
        <w:pStyle w:val="51"/>
        <w:spacing w:before="120" w:line="340" w:lineRule="exact"/>
        <w:rPr>
          <w:rFonts w:hint="eastAsia" w:hAnsi="仿宋" w:cs="宋体"/>
          <w:color w:val="auto"/>
          <w:szCs w:val="24"/>
        </w:rPr>
      </w:pPr>
    </w:p>
    <w:p w14:paraId="65235048">
      <w:pPr>
        <w:spacing w:line="340" w:lineRule="exact"/>
        <w:rPr>
          <w:rFonts w:hint="eastAsia" w:ascii="仿宋_GB2312" w:hAnsi="仿宋" w:eastAsia="仿宋_GB2312" w:cs="宋体"/>
          <w:color w:val="auto"/>
          <w:sz w:val="24"/>
        </w:rPr>
      </w:pPr>
    </w:p>
    <w:p w14:paraId="3C790364">
      <w:pPr>
        <w:spacing w:before="120" w:line="340" w:lineRule="exact"/>
        <w:ind w:left="960"/>
        <w:rPr>
          <w:rFonts w:hint="eastAsia" w:ascii="仿宋_GB2312" w:hAnsi="仿宋" w:eastAsia="仿宋_GB2312" w:cs="宋体"/>
          <w:color w:val="auto"/>
          <w:sz w:val="24"/>
          <w:u w:val="single"/>
        </w:rPr>
      </w:pPr>
      <w:r>
        <w:rPr>
          <w:rFonts w:hint="eastAsia" w:ascii="仿宋_GB2312" w:hAnsi="仿宋" w:eastAsia="仿宋_GB2312" w:cs="宋体"/>
          <w:color w:val="auto"/>
          <w:sz w:val="24"/>
        </w:rPr>
        <w:t>甲方：</w:t>
      </w:r>
      <w:r>
        <w:rPr>
          <w:rFonts w:hint="eastAsia" w:ascii="仿宋_GB2312" w:hAnsi="仿宋" w:eastAsia="仿宋_GB2312" w:cs="宋体"/>
          <w:color w:val="auto"/>
          <w:sz w:val="24"/>
          <w:u w:val="single"/>
        </w:rPr>
        <w:t xml:space="preserve">                                    </w:t>
      </w:r>
    </w:p>
    <w:p w14:paraId="57839024">
      <w:pPr>
        <w:spacing w:before="120" w:line="340" w:lineRule="exact"/>
        <w:rPr>
          <w:rFonts w:hint="eastAsia" w:ascii="仿宋_GB2312" w:hAnsi="仿宋" w:eastAsia="仿宋_GB2312" w:cs="宋体"/>
          <w:color w:val="auto"/>
          <w:sz w:val="24"/>
        </w:rPr>
      </w:pPr>
    </w:p>
    <w:p w14:paraId="7673F703">
      <w:pPr>
        <w:spacing w:before="120" w:line="340" w:lineRule="exact"/>
        <w:ind w:left="960"/>
        <w:rPr>
          <w:rFonts w:hint="eastAsia" w:ascii="仿宋_GB2312" w:hAnsi="仿宋" w:eastAsia="仿宋_GB2312" w:cs="宋体"/>
          <w:color w:val="auto"/>
          <w:sz w:val="24"/>
          <w:u w:val="single"/>
        </w:rPr>
      </w:pPr>
      <w:r>
        <w:rPr>
          <w:rFonts w:hint="eastAsia" w:ascii="仿宋_GB2312" w:hAnsi="仿宋" w:eastAsia="仿宋_GB2312" w:cs="宋体"/>
          <w:color w:val="auto"/>
          <w:sz w:val="24"/>
        </w:rPr>
        <w:t>乙方：</w:t>
      </w:r>
      <w:r>
        <w:rPr>
          <w:rFonts w:hint="eastAsia" w:ascii="仿宋_GB2312" w:hAnsi="仿宋" w:eastAsia="仿宋_GB2312" w:cs="宋体"/>
          <w:color w:val="auto"/>
          <w:sz w:val="24"/>
          <w:u w:val="single"/>
        </w:rPr>
        <w:t xml:space="preserve">                                       </w:t>
      </w:r>
    </w:p>
    <w:p w14:paraId="79F4BD9E">
      <w:pPr>
        <w:spacing w:before="120" w:line="340" w:lineRule="exact"/>
        <w:rPr>
          <w:rFonts w:hint="eastAsia" w:ascii="仿宋_GB2312" w:hAnsi="仿宋" w:eastAsia="仿宋_GB2312" w:cs="宋体"/>
          <w:color w:val="auto"/>
          <w:sz w:val="24"/>
        </w:rPr>
      </w:pPr>
    </w:p>
    <w:p w14:paraId="714D6243">
      <w:pPr>
        <w:spacing w:before="120" w:line="340" w:lineRule="exact"/>
        <w:ind w:firstLine="960" w:firstLineChars="400"/>
        <w:rPr>
          <w:rFonts w:hint="eastAsia" w:ascii="仿宋_GB2312" w:hAnsi="仿宋" w:eastAsia="仿宋_GB2312" w:cs="宋体"/>
          <w:color w:val="auto"/>
          <w:sz w:val="24"/>
          <w:u w:val="single"/>
        </w:rPr>
      </w:pPr>
      <w:r>
        <w:rPr>
          <w:rFonts w:hint="eastAsia" w:ascii="仿宋_GB2312" w:hAnsi="仿宋" w:eastAsia="仿宋_GB2312" w:cs="宋体"/>
          <w:color w:val="auto"/>
          <w:sz w:val="24"/>
        </w:rPr>
        <w:t>签订地：</w:t>
      </w:r>
      <w:r>
        <w:rPr>
          <w:rFonts w:hint="eastAsia" w:ascii="仿宋_GB2312" w:hAnsi="仿宋" w:eastAsia="仿宋_GB2312" w:cs="宋体"/>
          <w:color w:val="auto"/>
          <w:sz w:val="24"/>
          <w:u w:val="single"/>
        </w:rPr>
        <w:t xml:space="preserve">                                     </w:t>
      </w:r>
    </w:p>
    <w:p w14:paraId="5666CE61">
      <w:pPr>
        <w:spacing w:before="120" w:line="340" w:lineRule="exact"/>
        <w:rPr>
          <w:rFonts w:hint="eastAsia" w:ascii="仿宋_GB2312" w:hAnsi="仿宋" w:eastAsia="仿宋_GB2312" w:cs="宋体"/>
          <w:color w:val="auto"/>
          <w:sz w:val="24"/>
        </w:rPr>
      </w:pPr>
    </w:p>
    <w:p w14:paraId="4998AE22">
      <w:pPr>
        <w:spacing w:before="120" w:line="340" w:lineRule="exact"/>
        <w:ind w:firstLine="960" w:firstLineChars="400"/>
        <w:rPr>
          <w:rFonts w:hint="eastAsia" w:ascii="仿宋_GB2312" w:hAnsi="仿宋" w:eastAsia="仿宋_GB2312" w:cs="宋体"/>
          <w:color w:val="auto"/>
          <w:sz w:val="24"/>
          <w:u w:val="single"/>
        </w:rPr>
      </w:pPr>
      <w:r>
        <w:rPr>
          <w:rFonts w:hint="eastAsia" w:ascii="仿宋_GB2312" w:hAnsi="仿宋" w:eastAsia="仿宋_GB2312" w:cs="宋体"/>
          <w:color w:val="auto"/>
          <w:sz w:val="24"/>
        </w:rPr>
        <w:t>签订日期：</w:t>
      </w:r>
      <w:r>
        <w:rPr>
          <w:rFonts w:hint="eastAsia" w:ascii="仿宋_GB2312" w:hAnsi="仿宋" w:eastAsia="仿宋_GB2312" w:cs="宋体"/>
          <w:color w:val="auto"/>
          <w:sz w:val="24"/>
          <w:u w:val="single"/>
        </w:rPr>
        <w:t xml:space="preserve">               </w:t>
      </w:r>
      <w:r>
        <w:rPr>
          <w:rFonts w:hint="eastAsia" w:ascii="仿宋_GB2312" w:hAnsi="仿宋" w:eastAsia="仿宋_GB2312" w:cs="宋体"/>
          <w:color w:val="auto"/>
          <w:sz w:val="24"/>
        </w:rPr>
        <w:t>年</w:t>
      </w:r>
      <w:r>
        <w:rPr>
          <w:rFonts w:hint="eastAsia" w:ascii="仿宋_GB2312" w:hAnsi="仿宋" w:eastAsia="仿宋_GB2312" w:cs="宋体"/>
          <w:color w:val="auto"/>
          <w:sz w:val="24"/>
          <w:u w:val="single"/>
        </w:rPr>
        <w:t xml:space="preserve">       </w:t>
      </w:r>
      <w:r>
        <w:rPr>
          <w:rFonts w:hint="eastAsia" w:ascii="仿宋_GB2312" w:hAnsi="仿宋" w:eastAsia="仿宋_GB2312" w:cs="宋体"/>
          <w:color w:val="auto"/>
          <w:sz w:val="24"/>
        </w:rPr>
        <w:t>月</w:t>
      </w:r>
      <w:r>
        <w:rPr>
          <w:rFonts w:hint="eastAsia" w:ascii="仿宋_GB2312" w:hAnsi="仿宋" w:eastAsia="仿宋_GB2312" w:cs="宋体"/>
          <w:color w:val="auto"/>
          <w:sz w:val="24"/>
          <w:u w:val="single"/>
        </w:rPr>
        <w:t xml:space="preserve">       </w:t>
      </w:r>
      <w:r>
        <w:rPr>
          <w:rFonts w:hint="eastAsia" w:ascii="仿宋_GB2312" w:hAnsi="仿宋" w:eastAsia="仿宋_GB2312" w:cs="宋体"/>
          <w:color w:val="auto"/>
          <w:sz w:val="24"/>
        </w:rPr>
        <w:t>日</w:t>
      </w:r>
    </w:p>
    <w:p w14:paraId="60252691">
      <w:pPr>
        <w:spacing w:line="340" w:lineRule="exact"/>
        <w:ind w:firstLine="640"/>
        <w:jc w:val="center"/>
        <w:rPr>
          <w:rFonts w:ascii="宋体" w:hAnsi="宋体" w:cs="宋体"/>
          <w:color w:val="auto"/>
          <w:sz w:val="24"/>
        </w:rPr>
        <w:sectPr>
          <w:headerReference r:id="rId19" w:type="default"/>
          <w:footerReference r:id="rId20" w:type="default"/>
          <w:pgSz w:w="11907" w:h="16840"/>
          <w:pgMar w:top="1474" w:right="1273" w:bottom="1474" w:left="1394" w:header="851" w:footer="851" w:gutter="0"/>
          <w:cols w:space="720" w:num="1"/>
          <w:docGrid w:linePitch="462" w:charSpace="0"/>
        </w:sectPr>
      </w:pPr>
    </w:p>
    <w:p w14:paraId="7777932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年</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月</w:t>
      </w:r>
      <w:r>
        <w:rPr>
          <w:rFonts w:hint="eastAsia" w:ascii="仿宋" w:hAnsi="仿宋" w:eastAsia="仿宋" w:cs="宋体"/>
          <w:color w:val="auto"/>
          <w:sz w:val="24"/>
          <w:u w:val="single"/>
          <w:lang w:val="zh-CN"/>
        </w:rPr>
        <w:t xml:space="preserve">    </w:t>
      </w:r>
      <w:r>
        <w:rPr>
          <w:rFonts w:hint="eastAsia" w:ascii="仿宋" w:hAnsi="仿宋" w:eastAsia="仿宋" w:cs="宋体"/>
          <w:color w:val="auto"/>
          <w:sz w:val="24"/>
          <w:lang w:val="zh-CN"/>
        </w:rPr>
        <w:t>日</w:t>
      </w:r>
      <w:r>
        <w:rPr>
          <w:rFonts w:hint="eastAsia" w:ascii="仿宋" w:hAnsi="仿宋" w:eastAsia="仿宋" w:cs="宋体"/>
          <w:color w:val="auto"/>
          <w:sz w:val="24"/>
        </w:rPr>
        <w:t>，</w:t>
      </w:r>
      <w:r>
        <w:rPr>
          <w:rFonts w:hint="eastAsia" w:ascii="仿宋" w:hAnsi="仿宋" w:eastAsia="仿宋" w:cs="宋体"/>
          <w:color w:val="auto"/>
          <w:sz w:val="24"/>
          <w:u w:val="single"/>
        </w:rPr>
        <w:t xml:space="preserve">   （采购人名称）   </w:t>
      </w:r>
      <w:r>
        <w:rPr>
          <w:rFonts w:hint="eastAsia" w:ascii="仿宋" w:hAnsi="仿宋" w:eastAsia="仿宋" w:cs="宋体"/>
          <w:color w:val="auto"/>
          <w:sz w:val="24"/>
        </w:rPr>
        <w:t>以</w:t>
      </w:r>
      <w:r>
        <w:rPr>
          <w:rFonts w:hint="eastAsia" w:ascii="仿宋" w:hAnsi="仿宋" w:eastAsia="仿宋" w:cs="宋体"/>
          <w:color w:val="auto"/>
          <w:sz w:val="24"/>
          <w:u w:val="single"/>
        </w:rPr>
        <w:t xml:space="preserve">   （政府采购方式）  </w:t>
      </w:r>
      <w:r>
        <w:rPr>
          <w:rFonts w:hint="eastAsia" w:ascii="仿宋" w:hAnsi="仿宋" w:eastAsia="仿宋" w:cs="宋体"/>
          <w:color w:val="auto"/>
          <w:sz w:val="24"/>
        </w:rPr>
        <w:t>对</w:t>
      </w:r>
      <w:r>
        <w:rPr>
          <w:rFonts w:hint="eastAsia" w:ascii="仿宋" w:hAnsi="仿宋" w:eastAsia="仿宋" w:cs="宋体"/>
          <w:color w:val="auto"/>
          <w:sz w:val="24"/>
          <w:u w:val="single"/>
        </w:rPr>
        <w:t xml:space="preserve">   （同前页项目名称）   </w:t>
      </w:r>
      <w:r>
        <w:rPr>
          <w:rFonts w:hint="eastAsia" w:ascii="仿宋" w:hAnsi="仿宋" w:eastAsia="仿宋" w:cs="宋体"/>
          <w:color w:val="auto"/>
          <w:sz w:val="24"/>
        </w:rPr>
        <w:t>项目进行了采购。经</w:t>
      </w:r>
      <w:r>
        <w:rPr>
          <w:rFonts w:hint="eastAsia" w:ascii="仿宋" w:hAnsi="仿宋" w:eastAsia="仿宋" w:cs="宋体"/>
          <w:color w:val="auto"/>
          <w:sz w:val="24"/>
          <w:u w:val="single"/>
        </w:rPr>
        <w:t xml:space="preserve">   （相关评定主体名称）   </w:t>
      </w:r>
      <w:r>
        <w:rPr>
          <w:rFonts w:hint="eastAsia" w:ascii="仿宋" w:hAnsi="仿宋" w:eastAsia="仿宋" w:cs="宋体"/>
          <w:color w:val="auto"/>
          <w:sz w:val="24"/>
        </w:rPr>
        <w:t>评定，</w:t>
      </w:r>
      <w:r>
        <w:rPr>
          <w:rFonts w:hint="eastAsia" w:ascii="仿宋" w:hAnsi="仿宋" w:eastAsia="仿宋" w:cs="宋体"/>
          <w:color w:val="auto"/>
          <w:sz w:val="24"/>
          <w:u w:val="single"/>
        </w:rPr>
        <w:t xml:space="preserve">   （中标供应商名称） </w:t>
      </w:r>
      <w:r>
        <w:rPr>
          <w:rFonts w:hint="eastAsia" w:ascii="仿宋" w:hAnsi="仿宋" w:eastAsia="仿宋" w:cs="宋体"/>
          <w:color w:val="auto"/>
          <w:sz w:val="24"/>
        </w:rPr>
        <w:t>为该项目中标供应商。现于中标通知书发出之日起三十日内，按照采购文件确定的事项签订本合同。</w:t>
      </w:r>
    </w:p>
    <w:p w14:paraId="46774C5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zh-CN"/>
        </w:rPr>
        <w:t>根据《中华人民共和国</w:t>
      </w:r>
      <w:r>
        <w:rPr>
          <w:rFonts w:hint="eastAsia" w:ascii="仿宋" w:hAnsi="仿宋" w:eastAsia="仿宋" w:cs="宋体"/>
          <w:color w:val="auto"/>
          <w:sz w:val="24"/>
        </w:rPr>
        <w:t>民法典</w:t>
      </w:r>
      <w:r>
        <w:rPr>
          <w:rFonts w:hint="eastAsia" w:ascii="仿宋" w:hAnsi="仿宋" w:eastAsia="仿宋" w:cs="宋体"/>
          <w:color w:val="auto"/>
          <w:sz w:val="24"/>
          <w:lang w:val="zh-CN"/>
        </w:rPr>
        <w:t>》、《中华人民共和国政府采购法》等相关法律法规之规定，按照平等、自愿、公平和诚实信用的原则，经</w:t>
      </w:r>
      <w:r>
        <w:rPr>
          <w:rFonts w:hint="eastAsia" w:ascii="仿宋" w:hAnsi="仿宋" w:eastAsia="仿宋" w:cs="宋体"/>
          <w:color w:val="auto"/>
          <w:sz w:val="24"/>
          <w:u w:val="single"/>
        </w:rPr>
        <w:t xml:space="preserve">   （采购人名称）   </w:t>
      </w:r>
      <w:r>
        <w:rPr>
          <w:rFonts w:hint="eastAsia" w:ascii="仿宋" w:hAnsi="仿宋" w:eastAsia="仿宋" w:cs="宋体"/>
          <w:color w:val="auto"/>
          <w:sz w:val="24"/>
          <w:lang w:val="zh-CN"/>
        </w:rPr>
        <w:t>(以下简称：甲方)和</w:t>
      </w:r>
      <w:r>
        <w:rPr>
          <w:rFonts w:hint="eastAsia" w:ascii="仿宋" w:hAnsi="仿宋" w:eastAsia="仿宋" w:cs="宋体"/>
          <w:color w:val="auto"/>
          <w:sz w:val="24"/>
          <w:u w:val="single"/>
        </w:rPr>
        <w:t xml:space="preserve">   （中标供应商名称）   </w:t>
      </w:r>
      <w:r>
        <w:rPr>
          <w:rFonts w:hint="eastAsia" w:ascii="仿宋" w:hAnsi="仿宋" w:eastAsia="仿宋" w:cs="宋体"/>
          <w:color w:val="auto"/>
          <w:sz w:val="24"/>
          <w:lang w:val="zh-CN"/>
        </w:rPr>
        <w:t>(以下简称：乙方)协商一致，约定以下合同</w:t>
      </w:r>
      <w:r>
        <w:rPr>
          <w:rFonts w:hint="eastAsia" w:ascii="仿宋" w:hAnsi="仿宋" w:eastAsia="仿宋" w:cs="宋体"/>
          <w:color w:val="auto"/>
          <w:sz w:val="24"/>
        </w:rPr>
        <w:t>条款，以兹共同遵守、全面履行。</w:t>
      </w:r>
    </w:p>
    <w:p w14:paraId="34F04B0D">
      <w:pPr>
        <w:spacing w:line="360" w:lineRule="auto"/>
        <w:ind w:firstLine="482" w:firstLineChars="200"/>
        <w:outlineLvl w:val="0"/>
        <w:rPr>
          <w:rFonts w:ascii="仿宋" w:hAnsi="仿宋" w:eastAsia="仿宋" w:cs="宋体"/>
          <w:color w:val="auto"/>
          <w:sz w:val="24"/>
        </w:rPr>
      </w:pPr>
      <w:bookmarkStart w:id="883" w:name="_Toc15367"/>
      <w:bookmarkStart w:id="884" w:name="_Toc24451"/>
      <w:bookmarkStart w:id="885" w:name="_Toc27052"/>
      <w:bookmarkStart w:id="886" w:name="_Toc194495389"/>
      <w:bookmarkStart w:id="887" w:name="_Toc28855"/>
      <w:bookmarkStart w:id="888" w:name="_Toc19273"/>
      <w:bookmarkStart w:id="889" w:name="_Toc20421"/>
      <w:bookmarkStart w:id="890" w:name="_Toc19878"/>
      <w:r>
        <w:rPr>
          <w:rFonts w:hint="eastAsia" w:ascii="仿宋" w:hAnsi="仿宋" w:eastAsia="仿宋" w:cs="宋体"/>
          <w:b/>
          <w:color w:val="auto"/>
          <w:sz w:val="24"/>
        </w:rPr>
        <w:t>1.1 合同组成部分</w:t>
      </w:r>
      <w:bookmarkEnd w:id="883"/>
      <w:bookmarkEnd w:id="884"/>
      <w:bookmarkEnd w:id="885"/>
      <w:bookmarkEnd w:id="886"/>
      <w:bookmarkEnd w:id="887"/>
      <w:bookmarkEnd w:id="888"/>
      <w:bookmarkEnd w:id="889"/>
      <w:bookmarkEnd w:id="890"/>
    </w:p>
    <w:p w14:paraId="16C9914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ECCD4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1.1.1 本合同及其补充合同、变更协议；</w:t>
      </w:r>
    </w:p>
    <w:p w14:paraId="4494C30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1.1.2 中标通知书；</w:t>
      </w:r>
    </w:p>
    <w:p w14:paraId="00952CA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1.1.3 响应文件（含澄清或者说明文件）；</w:t>
      </w:r>
    </w:p>
    <w:p w14:paraId="5C55A46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1.1.4 招标文件（含澄清或者修改文件）；</w:t>
      </w:r>
    </w:p>
    <w:p w14:paraId="006B53B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1.1.5 其他相关采购文件。</w:t>
      </w:r>
    </w:p>
    <w:p w14:paraId="092E4728">
      <w:pPr>
        <w:spacing w:line="360" w:lineRule="auto"/>
        <w:ind w:firstLine="482" w:firstLineChars="200"/>
        <w:outlineLvl w:val="0"/>
        <w:rPr>
          <w:rFonts w:ascii="仿宋" w:hAnsi="仿宋" w:eastAsia="仿宋" w:cs="宋体"/>
          <w:b/>
          <w:color w:val="auto"/>
          <w:sz w:val="24"/>
        </w:rPr>
      </w:pPr>
      <w:bookmarkStart w:id="891" w:name="_Toc6773"/>
      <w:bookmarkStart w:id="892" w:name="_Toc22185"/>
      <w:bookmarkStart w:id="893" w:name="_Toc2918"/>
      <w:bookmarkStart w:id="894" w:name="_Toc21349"/>
      <w:bookmarkStart w:id="895" w:name="_Toc10498"/>
      <w:bookmarkStart w:id="896" w:name="_Toc194495390"/>
      <w:bookmarkStart w:id="897" w:name="_Toc10971"/>
      <w:bookmarkStart w:id="898" w:name="_Toc18585"/>
      <w:bookmarkStart w:id="899" w:name="_Toc6311"/>
      <w:r>
        <w:rPr>
          <w:rFonts w:hint="eastAsia" w:ascii="仿宋" w:hAnsi="仿宋" w:eastAsia="仿宋" w:cs="宋体"/>
          <w:b/>
          <w:color w:val="auto"/>
          <w:sz w:val="24"/>
        </w:rPr>
        <w:t>1.2 标的</w:t>
      </w:r>
      <w:bookmarkEnd w:id="891"/>
      <w:bookmarkEnd w:id="892"/>
      <w:bookmarkEnd w:id="893"/>
      <w:bookmarkEnd w:id="894"/>
      <w:bookmarkEnd w:id="895"/>
      <w:bookmarkEnd w:id="896"/>
      <w:bookmarkEnd w:id="897"/>
      <w:bookmarkEnd w:id="898"/>
      <w:bookmarkEnd w:id="899"/>
    </w:p>
    <w:p w14:paraId="62CEB556">
      <w:pPr>
        <w:spacing w:line="360" w:lineRule="auto"/>
        <w:ind w:firstLine="480" w:firstLineChars="200"/>
        <w:rPr>
          <w:rFonts w:ascii="仿宋" w:hAnsi="仿宋" w:eastAsia="仿宋" w:cs="宋体"/>
          <w:color w:val="auto"/>
          <w:sz w:val="24"/>
          <w:u w:val="single"/>
        </w:rPr>
      </w:pPr>
      <w:r>
        <w:rPr>
          <w:rFonts w:hint="eastAsia" w:ascii="仿宋" w:hAnsi="仿宋" w:eastAsia="仿宋" w:cs="宋体"/>
          <w:color w:val="auto"/>
          <w:sz w:val="24"/>
        </w:rPr>
        <w:t>1.2.1 标的名称：</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31FD38C8">
      <w:pPr>
        <w:spacing w:line="360" w:lineRule="auto"/>
        <w:ind w:firstLine="480" w:firstLineChars="200"/>
        <w:rPr>
          <w:rFonts w:ascii="仿宋" w:hAnsi="仿宋" w:eastAsia="仿宋" w:cs="宋体"/>
          <w:color w:val="auto"/>
          <w:sz w:val="24"/>
          <w:u w:val="single"/>
        </w:rPr>
      </w:pPr>
      <w:r>
        <w:rPr>
          <w:rFonts w:hint="eastAsia" w:ascii="仿宋" w:hAnsi="仿宋" w:eastAsia="仿宋" w:cs="宋体"/>
          <w:color w:val="auto"/>
          <w:sz w:val="24"/>
        </w:rPr>
        <w:t>1.2.2 标的数量：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14850F86">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1.2.3 标的质量：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2A83BE15">
      <w:pPr>
        <w:spacing w:line="360" w:lineRule="auto"/>
        <w:ind w:firstLine="482" w:firstLineChars="200"/>
        <w:outlineLvl w:val="0"/>
        <w:rPr>
          <w:rFonts w:ascii="仿宋" w:hAnsi="仿宋" w:eastAsia="仿宋" w:cs="宋体"/>
          <w:b/>
          <w:color w:val="auto"/>
          <w:sz w:val="24"/>
        </w:rPr>
      </w:pPr>
      <w:bookmarkStart w:id="900" w:name="_Toc4929"/>
      <w:bookmarkStart w:id="901" w:name="_Toc21124"/>
      <w:bookmarkStart w:id="902" w:name="_Toc1386"/>
      <w:bookmarkStart w:id="903" w:name="_Toc18317"/>
      <w:bookmarkStart w:id="904" w:name="_Toc21518"/>
      <w:bookmarkStart w:id="905" w:name="_Toc13918"/>
      <w:bookmarkStart w:id="906" w:name="_Toc194495391"/>
      <w:bookmarkStart w:id="907" w:name="_Toc5635"/>
      <w:bookmarkStart w:id="908" w:name="_Toc15278"/>
      <w:r>
        <w:rPr>
          <w:rFonts w:hint="eastAsia" w:ascii="仿宋" w:hAnsi="仿宋" w:eastAsia="仿宋" w:cs="宋体"/>
          <w:b/>
          <w:color w:val="auto"/>
          <w:sz w:val="24"/>
        </w:rPr>
        <w:t>1.3 价款</w:t>
      </w:r>
      <w:bookmarkEnd w:id="900"/>
      <w:bookmarkEnd w:id="901"/>
      <w:bookmarkEnd w:id="902"/>
      <w:bookmarkEnd w:id="903"/>
      <w:bookmarkEnd w:id="904"/>
      <w:bookmarkEnd w:id="905"/>
      <w:bookmarkEnd w:id="906"/>
      <w:bookmarkEnd w:id="907"/>
      <w:bookmarkEnd w:id="908"/>
    </w:p>
    <w:p w14:paraId="32304F3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本合同总价为：￥</w:t>
      </w:r>
      <w:r>
        <w:rPr>
          <w:rFonts w:hint="eastAsia" w:ascii="仿宋" w:hAnsi="仿宋" w:eastAsia="仿宋" w:cs="宋体"/>
          <w:color w:val="auto"/>
          <w:sz w:val="24"/>
          <w:u w:val="single"/>
        </w:rPr>
        <w:t xml:space="preserve">           </w:t>
      </w:r>
      <w:r>
        <w:rPr>
          <w:rFonts w:hint="eastAsia" w:ascii="仿宋" w:hAnsi="仿宋" w:eastAsia="仿宋" w:cs="宋体"/>
          <w:color w:val="auto"/>
          <w:sz w:val="24"/>
        </w:rPr>
        <w:t>元（大写：</w:t>
      </w:r>
      <w:r>
        <w:rPr>
          <w:rFonts w:hint="eastAsia" w:ascii="仿宋" w:hAnsi="仿宋" w:eastAsia="仿宋" w:cs="宋体"/>
          <w:color w:val="auto"/>
          <w:sz w:val="24"/>
          <w:u w:val="single"/>
        </w:rPr>
        <w:t xml:space="preserve">                 </w:t>
      </w:r>
      <w:r>
        <w:rPr>
          <w:rFonts w:hint="eastAsia" w:ascii="仿宋" w:hAnsi="仿宋" w:eastAsia="仿宋" w:cs="宋体"/>
          <w:color w:val="auto"/>
          <w:sz w:val="24"/>
        </w:rPr>
        <w:t>元人民币）。</w:t>
      </w:r>
    </w:p>
    <w:p w14:paraId="034B6A8D">
      <w:pPr>
        <w:spacing w:line="360" w:lineRule="auto"/>
        <w:ind w:firstLine="480" w:firstLineChars="200"/>
        <w:rPr>
          <w:rFonts w:ascii="仿宋" w:hAnsi="仿宋" w:eastAsia="仿宋" w:cs="宋体"/>
          <w:color w:val="auto"/>
          <w:sz w:val="24"/>
          <w:u w:val="single"/>
        </w:rPr>
      </w:pPr>
      <w:r>
        <w:rPr>
          <w:rFonts w:hint="eastAsia" w:ascii="仿宋" w:hAnsi="仿宋" w:eastAsia="仿宋" w:cs="宋体"/>
          <w:color w:val="auto"/>
          <w:sz w:val="24"/>
        </w:rPr>
        <w:t>分项价格：</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01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F95234">
            <w:pPr>
              <w:pStyle w:val="60"/>
              <w:spacing w:line="360" w:lineRule="auto"/>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序号</w:t>
            </w:r>
          </w:p>
        </w:tc>
        <w:tc>
          <w:tcPr>
            <w:tcW w:w="3402" w:type="dxa"/>
            <w:vAlign w:val="center"/>
          </w:tcPr>
          <w:p w14:paraId="31699B0B">
            <w:pPr>
              <w:pStyle w:val="60"/>
              <w:spacing w:line="360" w:lineRule="auto"/>
              <w:ind w:firstLine="200"/>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分项名称</w:t>
            </w:r>
          </w:p>
        </w:tc>
        <w:tc>
          <w:tcPr>
            <w:tcW w:w="2552" w:type="dxa"/>
            <w:vAlign w:val="center"/>
          </w:tcPr>
          <w:p w14:paraId="0062E670">
            <w:pPr>
              <w:pStyle w:val="60"/>
              <w:spacing w:line="360" w:lineRule="auto"/>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分项价格</w:t>
            </w:r>
          </w:p>
        </w:tc>
      </w:tr>
      <w:tr w14:paraId="398F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B09DA9">
            <w:pPr>
              <w:pStyle w:val="60"/>
              <w:spacing w:line="360" w:lineRule="auto"/>
              <w:ind w:firstLine="200"/>
              <w:jc w:val="center"/>
              <w:rPr>
                <w:rFonts w:ascii="仿宋" w:hAnsi="仿宋" w:eastAsia="仿宋" w:cs="宋体"/>
                <w:color w:val="auto"/>
                <w:kern w:val="2"/>
                <w:sz w:val="24"/>
                <w:szCs w:val="24"/>
              </w:rPr>
            </w:pPr>
          </w:p>
        </w:tc>
        <w:tc>
          <w:tcPr>
            <w:tcW w:w="3402" w:type="dxa"/>
            <w:vAlign w:val="center"/>
          </w:tcPr>
          <w:p w14:paraId="0EE0F0F0">
            <w:pPr>
              <w:pStyle w:val="60"/>
              <w:spacing w:line="360" w:lineRule="auto"/>
              <w:ind w:firstLine="200"/>
              <w:jc w:val="center"/>
              <w:rPr>
                <w:rFonts w:ascii="仿宋" w:hAnsi="仿宋" w:eastAsia="仿宋" w:cs="宋体"/>
                <w:color w:val="auto"/>
                <w:kern w:val="2"/>
                <w:sz w:val="24"/>
                <w:szCs w:val="24"/>
              </w:rPr>
            </w:pPr>
          </w:p>
        </w:tc>
        <w:tc>
          <w:tcPr>
            <w:tcW w:w="2552" w:type="dxa"/>
            <w:vAlign w:val="center"/>
          </w:tcPr>
          <w:p w14:paraId="09355BFE">
            <w:pPr>
              <w:pStyle w:val="60"/>
              <w:spacing w:line="360" w:lineRule="auto"/>
              <w:ind w:firstLine="200"/>
              <w:jc w:val="center"/>
              <w:rPr>
                <w:rFonts w:ascii="仿宋" w:hAnsi="仿宋" w:eastAsia="仿宋" w:cs="宋体"/>
                <w:color w:val="auto"/>
                <w:kern w:val="2"/>
                <w:sz w:val="24"/>
                <w:szCs w:val="24"/>
              </w:rPr>
            </w:pPr>
          </w:p>
        </w:tc>
      </w:tr>
      <w:tr w14:paraId="511B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67C53D">
            <w:pPr>
              <w:pStyle w:val="60"/>
              <w:spacing w:line="360" w:lineRule="auto"/>
              <w:ind w:firstLine="200"/>
              <w:jc w:val="center"/>
              <w:rPr>
                <w:rFonts w:ascii="仿宋" w:hAnsi="仿宋" w:eastAsia="仿宋" w:cs="宋体"/>
                <w:color w:val="auto"/>
                <w:kern w:val="2"/>
                <w:sz w:val="24"/>
                <w:szCs w:val="24"/>
              </w:rPr>
            </w:pPr>
          </w:p>
        </w:tc>
        <w:tc>
          <w:tcPr>
            <w:tcW w:w="3402" w:type="dxa"/>
            <w:vAlign w:val="center"/>
          </w:tcPr>
          <w:p w14:paraId="7BA91D88">
            <w:pPr>
              <w:pStyle w:val="60"/>
              <w:spacing w:line="360" w:lineRule="auto"/>
              <w:ind w:firstLine="200"/>
              <w:jc w:val="center"/>
              <w:rPr>
                <w:rFonts w:ascii="仿宋" w:hAnsi="仿宋" w:eastAsia="仿宋" w:cs="宋体"/>
                <w:color w:val="auto"/>
                <w:kern w:val="2"/>
                <w:sz w:val="24"/>
                <w:szCs w:val="24"/>
              </w:rPr>
            </w:pPr>
          </w:p>
        </w:tc>
        <w:tc>
          <w:tcPr>
            <w:tcW w:w="2552" w:type="dxa"/>
            <w:vAlign w:val="center"/>
          </w:tcPr>
          <w:p w14:paraId="27FCD07A">
            <w:pPr>
              <w:pStyle w:val="60"/>
              <w:spacing w:line="360" w:lineRule="auto"/>
              <w:ind w:firstLine="200"/>
              <w:jc w:val="center"/>
              <w:rPr>
                <w:rFonts w:ascii="仿宋" w:hAnsi="仿宋" w:eastAsia="仿宋" w:cs="宋体"/>
                <w:color w:val="auto"/>
                <w:kern w:val="2"/>
                <w:sz w:val="24"/>
                <w:szCs w:val="24"/>
              </w:rPr>
            </w:pPr>
          </w:p>
        </w:tc>
      </w:tr>
      <w:tr w14:paraId="7ADF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C8A2C0">
            <w:pPr>
              <w:pStyle w:val="60"/>
              <w:spacing w:line="360" w:lineRule="auto"/>
              <w:ind w:firstLine="200"/>
              <w:jc w:val="center"/>
              <w:rPr>
                <w:rFonts w:ascii="仿宋" w:hAnsi="仿宋" w:eastAsia="仿宋" w:cs="宋体"/>
                <w:color w:val="auto"/>
                <w:kern w:val="2"/>
                <w:sz w:val="24"/>
                <w:szCs w:val="24"/>
              </w:rPr>
            </w:pPr>
          </w:p>
        </w:tc>
        <w:tc>
          <w:tcPr>
            <w:tcW w:w="3402" w:type="dxa"/>
            <w:vAlign w:val="center"/>
          </w:tcPr>
          <w:p w14:paraId="566B28FC">
            <w:pPr>
              <w:pStyle w:val="60"/>
              <w:spacing w:line="360" w:lineRule="auto"/>
              <w:ind w:firstLine="200"/>
              <w:jc w:val="center"/>
              <w:rPr>
                <w:rFonts w:ascii="仿宋" w:hAnsi="仿宋" w:eastAsia="仿宋" w:cs="宋体"/>
                <w:color w:val="auto"/>
                <w:kern w:val="2"/>
                <w:sz w:val="24"/>
                <w:szCs w:val="24"/>
              </w:rPr>
            </w:pPr>
          </w:p>
        </w:tc>
        <w:tc>
          <w:tcPr>
            <w:tcW w:w="2552" w:type="dxa"/>
            <w:vAlign w:val="center"/>
          </w:tcPr>
          <w:p w14:paraId="2FA7DCC4">
            <w:pPr>
              <w:pStyle w:val="60"/>
              <w:spacing w:line="360" w:lineRule="auto"/>
              <w:ind w:firstLine="200"/>
              <w:jc w:val="center"/>
              <w:rPr>
                <w:rFonts w:ascii="仿宋" w:hAnsi="仿宋" w:eastAsia="仿宋" w:cs="宋体"/>
                <w:color w:val="auto"/>
                <w:kern w:val="2"/>
                <w:sz w:val="24"/>
                <w:szCs w:val="24"/>
              </w:rPr>
            </w:pPr>
          </w:p>
        </w:tc>
      </w:tr>
      <w:tr w14:paraId="2BC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4D0F2A">
            <w:pPr>
              <w:pStyle w:val="60"/>
              <w:spacing w:line="360" w:lineRule="auto"/>
              <w:ind w:firstLine="200"/>
              <w:jc w:val="center"/>
              <w:rPr>
                <w:rFonts w:ascii="仿宋" w:hAnsi="仿宋" w:eastAsia="仿宋" w:cs="宋体"/>
                <w:color w:val="auto"/>
                <w:kern w:val="2"/>
                <w:sz w:val="24"/>
                <w:szCs w:val="24"/>
              </w:rPr>
            </w:pPr>
            <w:r>
              <w:rPr>
                <w:rFonts w:hint="eastAsia" w:ascii="仿宋" w:hAnsi="仿宋" w:eastAsia="仿宋" w:cs="宋体"/>
                <w:color w:val="auto"/>
                <w:kern w:val="2"/>
                <w:sz w:val="24"/>
                <w:szCs w:val="24"/>
              </w:rPr>
              <w:t>总价</w:t>
            </w:r>
          </w:p>
        </w:tc>
        <w:tc>
          <w:tcPr>
            <w:tcW w:w="2552" w:type="dxa"/>
            <w:vAlign w:val="center"/>
          </w:tcPr>
          <w:p w14:paraId="61A73852">
            <w:pPr>
              <w:pStyle w:val="60"/>
              <w:spacing w:line="360" w:lineRule="auto"/>
              <w:ind w:firstLine="200"/>
              <w:jc w:val="center"/>
              <w:rPr>
                <w:rFonts w:ascii="仿宋" w:hAnsi="仿宋" w:eastAsia="仿宋" w:cs="宋体"/>
                <w:color w:val="auto"/>
                <w:kern w:val="2"/>
                <w:sz w:val="24"/>
                <w:szCs w:val="24"/>
              </w:rPr>
            </w:pPr>
          </w:p>
        </w:tc>
      </w:tr>
    </w:tbl>
    <w:p w14:paraId="383DB919">
      <w:pPr>
        <w:spacing w:line="360" w:lineRule="auto"/>
        <w:ind w:firstLine="482" w:firstLineChars="200"/>
        <w:outlineLvl w:val="0"/>
        <w:rPr>
          <w:rFonts w:ascii="仿宋" w:hAnsi="仿宋" w:eastAsia="仿宋" w:cs="宋体"/>
          <w:b/>
          <w:color w:val="auto"/>
          <w:sz w:val="24"/>
        </w:rPr>
      </w:pPr>
      <w:bookmarkStart w:id="909" w:name="_Toc3654"/>
      <w:bookmarkStart w:id="910" w:name="_Toc14993"/>
      <w:bookmarkStart w:id="911" w:name="_Toc30506"/>
      <w:bookmarkStart w:id="912" w:name="_Toc194495392"/>
      <w:bookmarkStart w:id="913" w:name="_Toc10018"/>
      <w:bookmarkStart w:id="914" w:name="_Toc12681"/>
      <w:bookmarkStart w:id="915" w:name="_Toc26916"/>
      <w:bookmarkStart w:id="916" w:name="_Toc15402"/>
      <w:bookmarkStart w:id="917" w:name="_Toc30158"/>
      <w:r>
        <w:rPr>
          <w:rFonts w:hint="eastAsia" w:ascii="仿宋" w:hAnsi="仿宋" w:eastAsia="仿宋" w:cs="宋体"/>
          <w:b/>
          <w:color w:val="auto"/>
          <w:sz w:val="24"/>
        </w:rPr>
        <w:t>1.4 付款方式和发票开具方式</w:t>
      </w:r>
      <w:bookmarkEnd w:id="909"/>
      <w:bookmarkEnd w:id="910"/>
      <w:bookmarkEnd w:id="911"/>
      <w:bookmarkEnd w:id="912"/>
      <w:bookmarkEnd w:id="913"/>
      <w:bookmarkEnd w:id="914"/>
      <w:bookmarkEnd w:id="915"/>
      <w:bookmarkEnd w:id="916"/>
      <w:bookmarkEnd w:id="917"/>
    </w:p>
    <w:p w14:paraId="63E833D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1.4.1付款方式：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6B9BEBD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1.4.2 发票开具方式：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1F409EE8">
      <w:pPr>
        <w:spacing w:line="360" w:lineRule="auto"/>
        <w:ind w:firstLine="482" w:firstLineChars="200"/>
        <w:outlineLvl w:val="0"/>
        <w:rPr>
          <w:rFonts w:ascii="仿宋" w:hAnsi="仿宋" w:eastAsia="仿宋" w:cs="宋体"/>
          <w:b/>
          <w:color w:val="auto"/>
          <w:sz w:val="24"/>
        </w:rPr>
      </w:pPr>
      <w:bookmarkStart w:id="918" w:name="_Toc26506"/>
      <w:bookmarkStart w:id="919" w:name="_Toc20713"/>
      <w:bookmarkStart w:id="920" w:name="_Toc4760"/>
      <w:bookmarkStart w:id="921" w:name="_Toc8772"/>
      <w:bookmarkStart w:id="922" w:name="_Toc31421"/>
      <w:bookmarkStart w:id="923" w:name="_Toc11108"/>
      <w:bookmarkStart w:id="924" w:name="_Toc9768"/>
      <w:bookmarkStart w:id="925" w:name="_Toc194495393"/>
      <w:bookmarkStart w:id="926" w:name="_Toc3625"/>
      <w:r>
        <w:rPr>
          <w:rFonts w:hint="eastAsia" w:ascii="仿宋" w:hAnsi="仿宋" w:eastAsia="仿宋" w:cs="宋体"/>
          <w:b/>
          <w:color w:val="auto"/>
          <w:sz w:val="24"/>
        </w:rPr>
        <w:t>1.5 履行期限、地点和方式</w:t>
      </w:r>
      <w:bookmarkEnd w:id="918"/>
      <w:bookmarkEnd w:id="919"/>
      <w:bookmarkEnd w:id="920"/>
      <w:bookmarkEnd w:id="921"/>
      <w:bookmarkEnd w:id="922"/>
      <w:bookmarkEnd w:id="923"/>
      <w:bookmarkEnd w:id="924"/>
      <w:bookmarkEnd w:id="925"/>
      <w:bookmarkEnd w:id="926"/>
    </w:p>
    <w:p w14:paraId="74571EBC">
      <w:pPr>
        <w:spacing w:line="360" w:lineRule="auto"/>
        <w:ind w:firstLine="480" w:firstLineChars="200"/>
        <w:rPr>
          <w:rFonts w:ascii="仿宋" w:hAnsi="仿宋" w:eastAsia="仿宋" w:cs="宋体"/>
          <w:color w:val="auto"/>
          <w:sz w:val="24"/>
          <w:u w:val="single"/>
        </w:rPr>
      </w:pPr>
      <w:r>
        <w:rPr>
          <w:rFonts w:hint="eastAsia" w:ascii="仿宋" w:hAnsi="仿宋" w:eastAsia="仿宋" w:cs="宋体"/>
          <w:color w:val="auto"/>
          <w:sz w:val="24"/>
        </w:rPr>
        <w:t>1.5.1 履行期限：</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7F451664">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1.5.2 履行地点：</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4C62401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1.5.3 履行方式：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17CA3F49">
      <w:pPr>
        <w:spacing w:line="360" w:lineRule="auto"/>
        <w:ind w:firstLine="482" w:firstLineChars="200"/>
        <w:outlineLvl w:val="0"/>
        <w:rPr>
          <w:rFonts w:ascii="仿宋" w:hAnsi="仿宋" w:eastAsia="仿宋" w:cs="宋体"/>
          <w:color w:val="auto"/>
          <w:sz w:val="24"/>
          <w:u w:val="single"/>
        </w:rPr>
      </w:pPr>
      <w:bookmarkStart w:id="927" w:name="_Toc2375"/>
      <w:bookmarkStart w:id="928" w:name="_Toc5698"/>
      <w:bookmarkStart w:id="929" w:name="_Toc8586"/>
      <w:bookmarkStart w:id="930" w:name="_Toc5752"/>
      <w:bookmarkStart w:id="931" w:name="_Toc194495394"/>
      <w:bookmarkStart w:id="932" w:name="_Toc2239"/>
      <w:bookmarkStart w:id="933" w:name="_Toc3079"/>
      <w:bookmarkStart w:id="934" w:name="_Toc24662"/>
      <w:bookmarkStart w:id="935" w:name="_Toc22761"/>
      <w:r>
        <w:rPr>
          <w:rFonts w:hint="eastAsia" w:ascii="仿宋" w:hAnsi="仿宋" w:eastAsia="仿宋" w:cs="宋体"/>
          <w:b/>
          <w:color w:val="auto"/>
          <w:sz w:val="24"/>
        </w:rPr>
        <w:t>1.6 违约责任</w:t>
      </w:r>
      <w:bookmarkEnd w:id="927"/>
      <w:bookmarkEnd w:id="928"/>
      <w:bookmarkEnd w:id="929"/>
      <w:bookmarkEnd w:id="930"/>
      <w:bookmarkEnd w:id="931"/>
      <w:bookmarkEnd w:id="932"/>
      <w:bookmarkEnd w:id="933"/>
      <w:bookmarkEnd w:id="934"/>
      <w:bookmarkEnd w:id="935"/>
    </w:p>
    <w:p w14:paraId="6508AA4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%；迟延履行的违约金计算数额达到前述最高限额之日起，甲方有权在要求乙方支付违约金的同时，书面通知乙方解除本合同；</w:t>
      </w:r>
    </w:p>
    <w:p w14:paraId="793A250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w:t>
      </w:r>
      <w:r>
        <w:rPr>
          <w:rFonts w:hint="eastAsia" w:ascii="仿宋" w:hAnsi="仿宋" w:eastAsia="仿宋" w:cs="宋体"/>
          <w:color w:val="auto"/>
          <w:sz w:val="24"/>
        </w:rPr>
        <w:t>%；迟延付款的违约金计算数额达到前述最高限额之日起，乙方有权在要求甲方支付违约金的同时，书面通知甲方解除本合同；</w:t>
      </w:r>
    </w:p>
    <w:p w14:paraId="3257D95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46BFAC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024C15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A6486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03733328">
      <w:pPr>
        <w:spacing w:line="360" w:lineRule="auto"/>
        <w:ind w:firstLine="482" w:firstLineChars="200"/>
        <w:outlineLvl w:val="0"/>
        <w:rPr>
          <w:rFonts w:ascii="仿宋" w:hAnsi="仿宋" w:eastAsia="仿宋" w:cs="宋体"/>
          <w:b/>
          <w:color w:val="auto"/>
          <w:sz w:val="24"/>
        </w:rPr>
      </w:pPr>
      <w:bookmarkStart w:id="936" w:name="_Toc194495395"/>
      <w:bookmarkStart w:id="937" w:name="_Toc32454"/>
      <w:bookmarkStart w:id="938" w:name="_Toc21894"/>
      <w:bookmarkStart w:id="939" w:name="_Toc30329"/>
      <w:bookmarkStart w:id="940" w:name="_Toc18683"/>
      <w:bookmarkStart w:id="941" w:name="_Toc26807"/>
      <w:bookmarkStart w:id="942" w:name="_Toc10090"/>
      <w:bookmarkStart w:id="943" w:name="_Toc4077"/>
      <w:bookmarkStart w:id="944" w:name="_Toc9497"/>
      <w:r>
        <w:rPr>
          <w:rFonts w:hint="eastAsia" w:ascii="仿宋" w:hAnsi="仿宋" w:eastAsia="仿宋" w:cs="宋体"/>
          <w:b/>
          <w:color w:val="auto"/>
          <w:sz w:val="24"/>
        </w:rPr>
        <w:t>1.7 合同争议的解决</w:t>
      </w:r>
      <w:bookmarkEnd w:id="936"/>
      <w:bookmarkEnd w:id="937"/>
      <w:bookmarkEnd w:id="938"/>
      <w:bookmarkEnd w:id="939"/>
      <w:bookmarkEnd w:id="940"/>
      <w:bookmarkEnd w:id="941"/>
      <w:bookmarkEnd w:id="942"/>
      <w:bookmarkEnd w:id="943"/>
      <w:bookmarkEnd w:id="944"/>
    </w:p>
    <w:p w14:paraId="2D09CE44">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本合同履行过程中发生的任何争议，双方当事人均可通过和解或者调解解决；不愿和解、调解或者和解、调解不成的，可以选择下列第</w:t>
      </w:r>
      <w:r>
        <w:rPr>
          <w:rFonts w:hint="eastAsia" w:ascii="仿宋" w:hAnsi="仿宋" w:eastAsia="仿宋" w:cs="宋体"/>
          <w:color w:val="auto"/>
          <w:sz w:val="24"/>
          <w:u w:val="single"/>
        </w:rPr>
        <w:t xml:space="preserve">    </w:t>
      </w:r>
      <w:r>
        <w:rPr>
          <w:rFonts w:hint="eastAsia" w:ascii="仿宋" w:hAnsi="仿宋" w:eastAsia="仿宋" w:cs="宋体"/>
          <w:color w:val="auto"/>
          <w:sz w:val="24"/>
        </w:rPr>
        <w:t>种方式解决：</w:t>
      </w:r>
    </w:p>
    <w:p w14:paraId="367FC636">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1.7.1 将争议提交</w:t>
      </w:r>
      <w:r>
        <w:rPr>
          <w:rFonts w:hint="eastAsia" w:ascii="仿宋" w:hAnsi="仿宋" w:eastAsia="仿宋" w:cs="宋体"/>
          <w:color w:val="auto"/>
          <w:sz w:val="24"/>
          <w:u w:val="single"/>
        </w:rPr>
        <w:t xml:space="preserve">              </w:t>
      </w:r>
      <w:r>
        <w:rPr>
          <w:rFonts w:hint="eastAsia" w:ascii="仿宋" w:hAnsi="仿宋" w:eastAsia="仿宋" w:cs="宋体"/>
          <w:color w:val="auto"/>
          <w:sz w:val="24"/>
        </w:rPr>
        <w:t>仲裁委员会依申请仲裁时其现行有效的仲裁规则裁决；</w:t>
      </w:r>
    </w:p>
    <w:p w14:paraId="4F76A2F4">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1.7.2 向</w:t>
      </w:r>
      <w:r>
        <w:rPr>
          <w:rFonts w:hint="eastAsia" w:ascii="仿宋" w:hAnsi="仿宋" w:eastAsia="仿宋" w:cs="宋体"/>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宋体"/>
          <w:color w:val="auto"/>
          <w:sz w:val="24"/>
        </w:rPr>
        <w:t>人民法院起诉。</w:t>
      </w:r>
    </w:p>
    <w:p w14:paraId="440EE9A7">
      <w:pPr>
        <w:spacing w:line="360" w:lineRule="auto"/>
        <w:ind w:firstLine="482" w:firstLineChars="200"/>
        <w:outlineLvl w:val="0"/>
        <w:rPr>
          <w:rFonts w:ascii="仿宋" w:hAnsi="仿宋" w:eastAsia="仿宋" w:cs="宋体"/>
          <w:b/>
          <w:color w:val="auto"/>
          <w:sz w:val="24"/>
        </w:rPr>
      </w:pPr>
      <w:bookmarkStart w:id="945" w:name="_Toc16417"/>
      <w:bookmarkStart w:id="946" w:name="_Toc194495396"/>
      <w:bookmarkStart w:id="947" w:name="_Toc19650"/>
      <w:bookmarkStart w:id="948" w:name="_Toc12273"/>
      <w:bookmarkStart w:id="949" w:name="_Toc12232"/>
      <w:bookmarkStart w:id="950" w:name="_Toc23784"/>
      <w:bookmarkStart w:id="951" w:name="_Toc15827"/>
      <w:bookmarkStart w:id="952" w:name="_Toc26227"/>
      <w:bookmarkStart w:id="953" w:name="_Toc7372"/>
      <w:r>
        <w:rPr>
          <w:rFonts w:hint="eastAsia" w:ascii="仿宋" w:hAnsi="仿宋" w:eastAsia="仿宋" w:cs="宋体"/>
          <w:b/>
          <w:color w:val="auto"/>
          <w:sz w:val="24"/>
        </w:rPr>
        <w:t>1.8 合同生效</w:t>
      </w:r>
      <w:bookmarkEnd w:id="945"/>
      <w:bookmarkEnd w:id="946"/>
      <w:bookmarkEnd w:id="947"/>
      <w:bookmarkEnd w:id="948"/>
      <w:bookmarkEnd w:id="949"/>
      <w:bookmarkEnd w:id="950"/>
      <w:bookmarkEnd w:id="951"/>
      <w:bookmarkEnd w:id="952"/>
      <w:bookmarkEnd w:id="953"/>
    </w:p>
    <w:p w14:paraId="2576752A">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sz w:val="24"/>
        </w:rPr>
        <w:t>本合同自双方当事人加盖公章或者签字时生效。</w:t>
      </w:r>
    </w:p>
    <w:p w14:paraId="023023C3">
      <w:pPr>
        <w:spacing w:line="360" w:lineRule="auto"/>
        <w:rPr>
          <w:rFonts w:ascii="仿宋" w:hAnsi="仿宋" w:eastAsia="仿宋" w:cs="宋体"/>
          <w:color w:val="auto"/>
          <w:sz w:val="24"/>
          <w:lang w:val="zh-CN"/>
        </w:rPr>
      </w:pPr>
    </w:p>
    <w:p w14:paraId="1DAAB9BC">
      <w:pPr>
        <w:spacing w:line="360" w:lineRule="auto"/>
        <w:rPr>
          <w:rFonts w:ascii="仿宋" w:hAnsi="仿宋" w:eastAsia="仿宋" w:cs="宋体"/>
          <w:color w:val="auto"/>
          <w:sz w:val="24"/>
          <w:lang w:val="zh-CN"/>
        </w:rPr>
      </w:pPr>
      <w:r>
        <w:rPr>
          <w:rFonts w:hint="eastAsia" w:ascii="仿宋" w:hAnsi="仿宋" w:eastAsia="仿宋" w:cs="宋体"/>
          <w:b/>
          <w:color w:val="auto"/>
          <w:sz w:val="24"/>
          <w:lang w:val="zh-CN"/>
        </w:rPr>
        <w:t>甲方</w:t>
      </w:r>
      <w:r>
        <w:rPr>
          <w:rFonts w:hint="eastAsia" w:ascii="仿宋" w:hAnsi="仿宋" w:eastAsia="仿宋" w:cs="宋体"/>
          <w:color w:val="auto"/>
          <w:sz w:val="24"/>
          <w:lang w:val="zh-CN"/>
        </w:rPr>
        <w:t xml:space="preserve">：                             </w:t>
      </w:r>
      <w:r>
        <w:rPr>
          <w:rFonts w:hint="eastAsia" w:ascii="仿宋" w:hAnsi="仿宋" w:eastAsia="仿宋" w:cs="宋体"/>
          <w:b/>
          <w:color w:val="auto"/>
          <w:sz w:val="24"/>
          <w:lang w:val="zh-CN"/>
        </w:rPr>
        <w:t xml:space="preserve">      乙方</w:t>
      </w:r>
      <w:r>
        <w:rPr>
          <w:rFonts w:hint="eastAsia" w:ascii="仿宋" w:hAnsi="仿宋" w:eastAsia="仿宋" w:cs="宋体"/>
          <w:color w:val="auto"/>
          <w:sz w:val="24"/>
          <w:lang w:val="zh-CN"/>
        </w:rPr>
        <w:t>：</w:t>
      </w:r>
    </w:p>
    <w:p w14:paraId="561157A7">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统一社会信用代码：                        统一社会信用代码或身份证号码：</w:t>
      </w:r>
    </w:p>
    <w:p w14:paraId="52F4822F">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住所：                                   住所：</w:t>
      </w:r>
    </w:p>
    <w:p w14:paraId="54D7A927">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法定代表人或                             法定代表人</w:t>
      </w:r>
    </w:p>
    <w:p w14:paraId="0D27F363">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 xml:space="preserve">授权代表（签字）：                        或授权代表（签字）: </w:t>
      </w:r>
    </w:p>
    <w:p w14:paraId="75E7C72F">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联系人：                                 联系人：</w:t>
      </w:r>
    </w:p>
    <w:p w14:paraId="1C11CC69">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约定送达地址：                           约定送达地址：</w:t>
      </w:r>
    </w:p>
    <w:p w14:paraId="6CF99D22">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邮政编码：                               邮政编码：</w:t>
      </w:r>
    </w:p>
    <w:p w14:paraId="628D216F">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 xml:space="preserve">电话:                                    电话: </w:t>
      </w:r>
    </w:p>
    <w:p w14:paraId="5C359745">
      <w:pPr>
        <w:spacing w:line="360" w:lineRule="auto"/>
        <w:rPr>
          <w:rFonts w:ascii="仿宋" w:hAnsi="仿宋" w:eastAsia="仿宋" w:cs="宋体"/>
          <w:color w:val="auto"/>
          <w:sz w:val="24"/>
          <w:lang w:val="zh-CN"/>
        </w:rPr>
      </w:pPr>
      <w:r>
        <w:rPr>
          <w:rFonts w:hint="eastAsia" w:ascii="仿宋" w:hAnsi="仿宋" w:eastAsia="仿宋" w:cs="宋体"/>
          <w:color w:val="auto"/>
          <w:sz w:val="24"/>
          <w:lang w:val="zh-CN"/>
        </w:rPr>
        <w:t>传真:                                    传真:</w:t>
      </w:r>
    </w:p>
    <w:p w14:paraId="501F751E">
      <w:pPr>
        <w:spacing w:line="360" w:lineRule="auto"/>
        <w:rPr>
          <w:rFonts w:ascii="仿宋" w:hAnsi="仿宋" w:eastAsia="仿宋" w:cs="宋体"/>
          <w:color w:val="auto"/>
          <w:sz w:val="24"/>
        </w:rPr>
      </w:pPr>
      <w:r>
        <w:rPr>
          <w:rFonts w:hint="eastAsia" w:ascii="仿宋" w:hAnsi="仿宋" w:eastAsia="仿宋" w:cs="宋体"/>
          <w:color w:val="auto"/>
          <w:sz w:val="24"/>
          <w:lang w:val="zh-CN"/>
        </w:rPr>
        <w:t>电子邮箱：                               电子邮箱：</w:t>
      </w:r>
    </w:p>
    <w:p w14:paraId="00F4EC4A">
      <w:pPr>
        <w:spacing w:line="360" w:lineRule="auto"/>
        <w:rPr>
          <w:rFonts w:ascii="仿宋" w:hAnsi="仿宋" w:eastAsia="仿宋" w:cs="宋体"/>
          <w:color w:val="auto"/>
          <w:sz w:val="24"/>
        </w:rPr>
      </w:pPr>
      <w:r>
        <w:rPr>
          <w:rFonts w:hint="eastAsia" w:ascii="仿宋" w:hAnsi="仿宋" w:eastAsia="仿宋" w:cs="宋体"/>
          <w:color w:val="auto"/>
          <w:sz w:val="24"/>
        </w:rPr>
        <w:t xml:space="preserve">开户银行：                               开户银行： </w:t>
      </w:r>
    </w:p>
    <w:p w14:paraId="474EA88D">
      <w:pPr>
        <w:spacing w:line="360" w:lineRule="auto"/>
        <w:rPr>
          <w:rFonts w:ascii="仿宋" w:hAnsi="仿宋" w:eastAsia="仿宋" w:cs="宋体"/>
          <w:color w:val="auto"/>
          <w:sz w:val="24"/>
        </w:rPr>
      </w:pPr>
      <w:r>
        <w:rPr>
          <w:rFonts w:hint="eastAsia" w:ascii="仿宋" w:hAnsi="仿宋" w:eastAsia="仿宋" w:cs="宋体"/>
          <w:color w:val="auto"/>
          <w:sz w:val="24"/>
        </w:rPr>
        <w:t xml:space="preserve">开户名称：                               开户名称： </w:t>
      </w:r>
    </w:p>
    <w:p w14:paraId="56146452">
      <w:pPr>
        <w:spacing w:line="360" w:lineRule="auto"/>
        <w:rPr>
          <w:rFonts w:ascii="仿宋" w:hAnsi="仿宋" w:eastAsia="仿宋" w:cs="宋体"/>
          <w:b/>
          <w:color w:val="auto"/>
          <w:sz w:val="24"/>
        </w:rPr>
      </w:pPr>
      <w:r>
        <w:rPr>
          <w:rFonts w:hint="eastAsia" w:ascii="仿宋" w:hAnsi="仿宋" w:eastAsia="仿宋" w:cs="宋体"/>
          <w:color w:val="auto"/>
          <w:sz w:val="24"/>
        </w:rPr>
        <w:t>开户账号：</w:t>
      </w:r>
      <w:r>
        <w:rPr>
          <w:rFonts w:hint="eastAsia" w:ascii="仿宋" w:hAnsi="仿宋" w:eastAsia="仿宋" w:cs="宋体"/>
          <w:color w:val="auto"/>
          <w:sz w:val="24"/>
          <w:lang w:val="zh-CN"/>
        </w:rPr>
        <w:t xml:space="preserve">                               </w:t>
      </w:r>
      <w:r>
        <w:rPr>
          <w:rFonts w:hint="eastAsia" w:ascii="仿宋" w:hAnsi="仿宋" w:eastAsia="仿宋" w:cs="宋体"/>
          <w:color w:val="auto"/>
          <w:sz w:val="24"/>
        </w:rPr>
        <w:t>开户账号：</w:t>
      </w:r>
      <w:bookmarkStart w:id="954" w:name="_Toc331685783"/>
    </w:p>
    <w:p w14:paraId="358F0051">
      <w:pPr>
        <w:pStyle w:val="62"/>
        <w:spacing w:line="360" w:lineRule="auto"/>
        <w:ind w:firstLine="0"/>
        <w:jc w:val="center"/>
        <w:rPr>
          <w:rFonts w:ascii="仿宋" w:hAnsi="仿宋" w:eastAsia="仿宋" w:cs="宋体"/>
          <w:b/>
          <w:color w:val="auto"/>
          <w:szCs w:val="24"/>
        </w:rPr>
      </w:pPr>
      <w:r>
        <w:rPr>
          <w:rFonts w:hint="eastAsia" w:ascii="仿宋" w:hAnsi="仿宋" w:eastAsia="仿宋" w:cs="宋体"/>
          <w:b/>
          <w:color w:val="auto"/>
          <w:szCs w:val="24"/>
        </w:rPr>
        <w:t>第二部分 合同一般条款</w:t>
      </w:r>
      <w:bookmarkEnd w:id="954"/>
    </w:p>
    <w:p w14:paraId="2FA333C0">
      <w:pPr>
        <w:spacing w:line="360" w:lineRule="auto"/>
        <w:ind w:firstLine="482" w:firstLineChars="200"/>
        <w:outlineLvl w:val="0"/>
        <w:rPr>
          <w:rFonts w:ascii="仿宋" w:hAnsi="仿宋" w:eastAsia="仿宋" w:cs="宋体"/>
          <w:b/>
          <w:color w:val="auto"/>
          <w:sz w:val="24"/>
        </w:rPr>
      </w:pPr>
      <w:bookmarkStart w:id="955" w:name="_Toc279701240"/>
      <w:bookmarkStart w:id="956" w:name="_Toc194495397"/>
      <w:bookmarkStart w:id="957" w:name="_Toc18161"/>
      <w:bookmarkStart w:id="958" w:name="_Ref467378404"/>
      <w:bookmarkStart w:id="959" w:name="_Toc31297"/>
      <w:bookmarkStart w:id="960" w:name="_Toc487900349"/>
      <w:bookmarkStart w:id="961" w:name="_Ref467379101"/>
      <w:bookmarkStart w:id="962" w:name="_Ref467379214"/>
      <w:bookmarkStart w:id="963" w:name="_Ref467378499"/>
      <w:bookmarkStart w:id="964" w:name="_Toc25079"/>
      <w:bookmarkStart w:id="965" w:name="_Toc5228"/>
      <w:bookmarkStart w:id="966" w:name="_Ref467379094"/>
      <w:bookmarkStart w:id="967" w:name="_Ref467379195"/>
      <w:bookmarkStart w:id="968" w:name="_Ref467379109"/>
      <w:bookmarkStart w:id="969" w:name="_Toc14021"/>
      <w:bookmarkStart w:id="970" w:name="_Toc259093669"/>
      <w:bookmarkStart w:id="971" w:name="_Toc9939"/>
      <w:bookmarkStart w:id="972" w:name="_Toc19680"/>
      <w:bookmarkStart w:id="973" w:name="_Toc6756"/>
      <w:bookmarkStart w:id="974" w:name="_Ref467378463"/>
      <w:bookmarkStart w:id="975" w:name="_Ref467379225"/>
      <w:bookmarkStart w:id="976" w:name="_Ref467379205"/>
      <w:r>
        <w:rPr>
          <w:rFonts w:hint="eastAsia" w:ascii="仿宋" w:hAnsi="仿宋" w:eastAsia="仿宋" w:cs="宋体"/>
          <w:b/>
          <w:color w:val="auto"/>
          <w:sz w:val="24"/>
        </w:rPr>
        <w:t>2.1 定义</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0A5A616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本合同中的下列词语应按以下内容进行解释：</w:t>
      </w:r>
    </w:p>
    <w:p w14:paraId="2D8A31CE">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2.1.1 “合同”系指采购人和中标供应商签订的载明双方当事人所达成的协议，并包括所有的附件、附录和构成合同的其他文件。</w:t>
      </w:r>
    </w:p>
    <w:p w14:paraId="3CA91E66">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2.1.2 “合同价”系指根据合同约定，中标供应商在完全履行合同义务后，采购人应支付给中标供应商的价格。</w:t>
      </w:r>
    </w:p>
    <w:p w14:paraId="5E271ED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2.1.3 “服务”系指中标供应商根据合同约定应向采购人履行的除货物和工程以外的其他政府采购对象，包括采购人自身需要的服务和向社会公众提供的公共服务。</w:t>
      </w:r>
    </w:p>
    <w:p w14:paraId="176BC4B0">
      <w:pPr>
        <w:spacing w:line="360" w:lineRule="auto"/>
        <w:ind w:firstLine="480" w:firstLineChars="200"/>
        <w:rPr>
          <w:rFonts w:ascii="仿宋" w:hAnsi="仿宋" w:eastAsia="仿宋" w:cs="宋体"/>
          <w:color w:val="auto"/>
          <w:sz w:val="24"/>
        </w:rPr>
      </w:pPr>
      <w:bookmarkStart w:id="977" w:name="_Ref467378840"/>
      <w:r>
        <w:rPr>
          <w:rFonts w:hint="eastAsia" w:ascii="仿宋" w:hAnsi="仿宋" w:eastAsia="仿宋" w:cs="宋体"/>
          <w:color w:val="auto"/>
          <w:sz w:val="24"/>
        </w:rPr>
        <w:t>2.1.4 “甲方”系指与中标供应商签署合同的采购人</w:t>
      </w:r>
      <w:bookmarkEnd w:id="977"/>
      <w:r>
        <w:rPr>
          <w:rFonts w:hint="eastAsia" w:ascii="仿宋" w:hAnsi="仿宋" w:eastAsia="仿宋" w:cs="宋体"/>
          <w:color w:val="auto"/>
          <w:sz w:val="24"/>
        </w:rPr>
        <w:t>；采购人委托采购代理机构代表其与乙方签订合同的，采购人的授权委托书作为合同附件。</w:t>
      </w:r>
    </w:p>
    <w:p w14:paraId="0B1A4D0D">
      <w:pPr>
        <w:spacing w:line="360" w:lineRule="auto"/>
        <w:ind w:firstLine="480" w:firstLineChars="200"/>
        <w:rPr>
          <w:rFonts w:ascii="仿宋" w:hAnsi="仿宋" w:eastAsia="仿宋" w:cs="宋体"/>
          <w:color w:val="auto"/>
          <w:sz w:val="24"/>
        </w:rPr>
      </w:pPr>
      <w:bookmarkStart w:id="978" w:name="_Ref467379400"/>
      <w:r>
        <w:rPr>
          <w:rFonts w:hint="eastAsia" w:ascii="仿宋" w:hAnsi="仿宋" w:eastAsia="仿宋" w:cs="宋体"/>
          <w:color w:val="auto"/>
          <w:sz w:val="24"/>
        </w:rPr>
        <w:t>2.1.5 “乙方”系指根据合同约定提供服务的中标供应商</w:t>
      </w:r>
      <w:bookmarkEnd w:id="978"/>
      <w:r>
        <w:rPr>
          <w:rFonts w:hint="eastAsia" w:ascii="仿宋" w:hAnsi="仿宋" w:eastAsia="仿宋"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E160FC">
      <w:pPr>
        <w:spacing w:line="360" w:lineRule="auto"/>
        <w:ind w:firstLine="480" w:firstLineChars="200"/>
        <w:rPr>
          <w:rFonts w:ascii="仿宋" w:hAnsi="仿宋" w:eastAsia="仿宋" w:cs="宋体"/>
          <w:color w:val="auto"/>
          <w:sz w:val="24"/>
        </w:rPr>
      </w:pPr>
      <w:bookmarkStart w:id="979" w:name="_Ref467379436"/>
      <w:r>
        <w:rPr>
          <w:rFonts w:hint="eastAsia" w:ascii="仿宋" w:hAnsi="仿宋" w:eastAsia="仿宋" w:cs="宋体"/>
          <w:color w:val="auto"/>
          <w:sz w:val="24"/>
        </w:rPr>
        <w:t>2.1.6 “现场”系指合同约定提供服务的地点。</w:t>
      </w:r>
      <w:bookmarkEnd w:id="979"/>
    </w:p>
    <w:p w14:paraId="67852E39">
      <w:pPr>
        <w:spacing w:line="360" w:lineRule="auto"/>
        <w:ind w:firstLine="482" w:firstLineChars="200"/>
        <w:outlineLvl w:val="0"/>
        <w:rPr>
          <w:rFonts w:ascii="仿宋" w:hAnsi="仿宋" w:eastAsia="仿宋" w:cs="宋体"/>
          <w:b/>
          <w:color w:val="auto"/>
          <w:sz w:val="24"/>
        </w:rPr>
      </w:pPr>
      <w:bookmarkStart w:id="980" w:name="_Toc19539"/>
      <w:bookmarkStart w:id="981" w:name="_Toc279701241"/>
      <w:bookmarkStart w:id="982" w:name="_Toc259093670"/>
      <w:bookmarkStart w:id="983" w:name="_Toc16752"/>
      <w:bookmarkStart w:id="984" w:name="_Toc3769"/>
      <w:bookmarkStart w:id="985" w:name="_Toc23289"/>
      <w:bookmarkStart w:id="986" w:name="_Toc6300"/>
      <w:bookmarkStart w:id="987" w:name="_Toc610"/>
      <w:bookmarkStart w:id="988" w:name="_Toc487900350"/>
      <w:bookmarkStart w:id="989" w:name="_Toc31402"/>
      <w:bookmarkStart w:id="990" w:name="_Toc18189"/>
      <w:bookmarkStart w:id="991" w:name="_Toc194495398"/>
      <w:r>
        <w:rPr>
          <w:rFonts w:hint="eastAsia" w:ascii="仿宋" w:hAnsi="仿宋" w:eastAsia="仿宋" w:cs="宋体"/>
          <w:b/>
          <w:color w:val="auto"/>
          <w:sz w:val="24"/>
        </w:rPr>
        <w:t>2.2 技术规范</w:t>
      </w:r>
      <w:bookmarkEnd w:id="980"/>
      <w:bookmarkEnd w:id="981"/>
      <w:bookmarkEnd w:id="982"/>
      <w:bookmarkEnd w:id="983"/>
      <w:bookmarkEnd w:id="984"/>
      <w:bookmarkEnd w:id="985"/>
      <w:bookmarkEnd w:id="986"/>
      <w:bookmarkEnd w:id="987"/>
      <w:bookmarkEnd w:id="988"/>
      <w:bookmarkEnd w:id="989"/>
      <w:bookmarkEnd w:id="990"/>
      <w:bookmarkEnd w:id="991"/>
    </w:p>
    <w:p w14:paraId="005C6AF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D95EA3">
      <w:pPr>
        <w:spacing w:line="360" w:lineRule="auto"/>
        <w:ind w:firstLine="482" w:firstLineChars="200"/>
        <w:outlineLvl w:val="0"/>
        <w:rPr>
          <w:rFonts w:ascii="仿宋" w:hAnsi="仿宋" w:eastAsia="仿宋" w:cs="宋体"/>
          <w:b/>
          <w:color w:val="auto"/>
          <w:sz w:val="24"/>
        </w:rPr>
      </w:pPr>
      <w:bookmarkStart w:id="992" w:name="_Toc854"/>
      <w:bookmarkStart w:id="993" w:name="_Toc13673"/>
      <w:bookmarkStart w:id="994" w:name="_Toc9161"/>
      <w:bookmarkStart w:id="995" w:name="_Toc194495399"/>
      <w:bookmarkStart w:id="996" w:name="_Toc4133"/>
      <w:bookmarkStart w:id="997" w:name="_Toc12412"/>
      <w:bookmarkStart w:id="998" w:name="_Toc259093671"/>
      <w:bookmarkStart w:id="999" w:name="_Toc279701242"/>
      <w:bookmarkStart w:id="1000" w:name="_Toc8229"/>
      <w:bookmarkStart w:id="1001" w:name="_Toc487900351"/>
      <w:bookmarkStart w:id="1002" w:name="_Toc21682"/>
      <w:bookmarkStart w:id="1003" w:name="_Toc27945"/>
      <w:r>
        <w:rPr>
          <w:rFonts w:hint="eastAsia" w:ascii="仿宋" w:hAnsi="仿宋" w:eastAsia="仿宋" w:cs="宋体"/>
          <w:b/>
          <w:color w:val="auto"/>
          <w:sz w:val="24"/>
        </w:rPr>
        <w:t>2.3 知识产权</w:t>
      </w:r>
      <w:bookmarkEnd w:id="992"/>
      <w:bookmarkEnd w:id="993"/>
      <w:bookmarkEnd w:id="994"/>
      <w:bookmarkEnd w:id="995"/>
      <w:bookmarkEnd w:id="996"/>
      <w:bookmarkEnd w:id="997"/>
      <w:bookmarkEnd w:id="998"/>
      <w:bookmarkEnd w:id="999"/>
      <w:bookmarkEnd w:id="1000"/>
      <w:bookmarkEnd w:id="1001"/>
      <w:bookmarkEnd w:id="1002"/>
      <w:bookmarkEnd w:id="1003"/>
    </w:p>
    <w:p w14:paraId="12E50D46">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0CDB71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2.3.2 合同涉及技术成果的归属和收益的分成办法的，详见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2C0FB351">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2.4 履约检查和问题反馈</w:t>
      </w:r>
    </w:p>
    <w:p w14:paraId="1ED04B3B">
      <w:pPr>
        <w:spacing w:line="360" w:lineRule="auto"/>
        <w:ind w:firstLine="480" w:firstLineChars="200"/>
        <w:rPr>
          <w:rFonts w:ascii="仿宋" w:hAnsi="仿宋" w:eastAsia="仿宋" w:cs="宋体"/>
          <w:color w:val="auto"/>
          <w:sz w:val="24"/>
        </w:rPr>
      </w:pPr>
      <w:bookmarkStart w:id="1004" w:name="_Ref467379657"/>
      <w:r>
        <w:rPr>
          <w:rFonts w:hint="eastAsia" w:ascii="仿宋" w:hAnsi="仿宋" w:eastAsia="仿宋" w:cs="宋体"/>
          <w:color w:val="auto"/>
          <w:sz w:val="24"/>
        </w:rPr>
        <w:t>2.4.1</w:t>
      </w:r>
      <w:bookmarkEnd w:id="1004"/>
      <w:bookmarkStart w:id="1005" w:name="_Toc186431854"/>
      <w:bookmarkStart w:id="1006" w:name="_Toc279701247"/>
      <w:bookmarkStart w:id="1007" w:name="_Toc259093676"/>
      <w:bookmarkStart w:id="1008" w:name="_Ref467379807"/>
      <w:bookmarkStart w:id="1009" w:name="_Ref467379793"/>
      <w:bookmarkStart w:id="1010" w:name="_Toc487900357"/>
      <w:r>
        <w:rPr>
          <w:rFonts w:hint="eastAsia" w:ascii="仿宋" w:hAnsi="仿宋" w:eastAsia="仿宋" w:cs="宋体"/>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D927F6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2.4.2 合同履行期间，甲方有权将履行过程中出现的问题反馈给乙方，双方当事人应以书面形式约定需要完善和改进的内容</w:t>
      </w:r>
      <w:bookmarkEnd w:id="1005"/>
      <w:bookmarkStart w:id="1011" w:name="_Toc186431855"/>
      <w:r>
        <w:rPr>
          <w:rFonts w:hint="eastAsia" w:ascii="仿宋" w:hAnsi="仿宋" w:eastAsia="仿宋" w:cs="宋体"/>
          <w:color w:val="auto"/>
          <w:sz w:val="24"/>
        </w:rPr>
        <w:t>。</w:t>
      </w:r>
    </w:p>
    <w:bookmarkEnd w:id="1011"/>
    <w:p w14:paraId="160F6920">
      <w:pPr>
        <w:spacing w:line="360" w:lineRule="auto"/>
        <w:ind w:firstLine="482" w:firstLineChars="200"/>
        <w:outlineLvl w:val="0"/>
        <w:rPr>
          <w:rFonts w:ascii="仿宋" w:hAnsi="仿宋" w:eastAsia="仿宋" w:cs="宋体"/>
          <w:b/>
          <w:color w:val="auto"/>
          <w:sz w:val="24"/>
        </w:rPr>
      </w:pPr>
      <w:bookmarkStart w:id="1012" w:name="_Toc15447"/>
      <w:bookmarkStart w:id="1013" w:name="_Toc194495400"/>
      <w:bookmarkStart w:id="1014" w:name="_Toc29804"/>
      <w:bookmarkStart w:id="1015" w:name="_Toc26555"/>
      <w:bookmarkStart w:id="1016" w:name="_Toc22011"/>
      <w:bookmarkStart w:id="1017" w:name="_Toc9494"/>
      <w:bookmarkStart w:id="1018" w:name="_Toc31233"/>
      <w:bookmarkStart w:id="1019" w:name="_Toc11383"/>
      <w:bookmarkStart w:id="1020" w:name="_Toc32670"/>
      <w:r>
        <w:rPr>
          <w:rFonts w:hint="eastAsia" w:ascii="仿宋" w:hAnsi="仿宋" w:eastAsia="仿宋" w:cs="宋体"/>
          <w:b/>
          <w:color w:val="auto"/>
          <w:sz w:val="24"/>
        </w:rPr>
        <w:t>2.5 结算方式和付款条件</w:t>
      </w:r>
      <w:bookmarkEnd w:id="1006"/>
      <w:bookmarkEnd w:id="1007"/>
      <w:bookmarkEnd w:id="1008"/>
      <w:bookmarkEnd w:id="1009"/>
      <w:bookmarkEnd w:id="1010"/>
      <w:bookmarkEnd w:id="1012"/>
      <w:bookmarkEnd w:id="1013"/>
      <w:bookmarkEnd w:id="1014"/>
      <w:bookmarkEnd w:id="1015"/>
      <w:bookmarkEnd w:id="1016"/>
      <w:bookmarkEnd w:id="1017"/>
      <w:bookmarkEnd w:id="1018"/>
      <w:bookmarkEnd w:id="1019"/>
      <w:bookmarkEnd w:id="1020"/>
    </w:p>
    <w:p w14:paraId="756D6FA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0CC7E7EF">
      <w:pPr>
        <w:spacing w:line="360" w:lineRule="auto"/>
        <w:ind w:firstLine="482" w:firstLineChars="200"/>
        <w:outlineLvl w:val="0"/>
        <w:rPr>
          <w:rFonts w:ascii="仿宋" w:hAnsi="仿宋" w:eastAsia="仿宋" w:cs="宋体"/>
          <w:b/>
          <w:color w:val="auto"/>
          <w:sz w:val="24"/>
        </w:rPr>
      </w:pPr>
      <w:bookmarkStart w:id="1021" w:name="_Toc279701248"/>
      <w:bookmarkStart w:id="1022" w:name="_Toc487900358"/>
      <w:bookmarkStart w:id="1023" w:name="_Ref467379863"/>
      <w:bookmarkStart w:id="1024" w:name="_Ref467379852"/>
      <w:bookmarkStart w:id="1025" w:name="_Toc259093677"/>
      <w:bookmarkStart w:id="1026" w:name="_Ref467379923"/>
      <w:bookmarkStart w:id="1027" w:name="_Toc13154"/>
      <w:bookmarkStart w:id="1028" w:name="_Toc27491"/>
      <w:bookmarkStart w:id="1029" w:name="_Toc13467"/>
      <w:bookmarkStart w:id="1030" w:name="_Toc18990"/>
      <w:bookmarkStart w:id="1031" w:name="_Toc16163"/>
      <w:bookmarkStart w:id="1032" w:name="_Toc12763"/>
      <w:bookmarkStart w:id="1033" w:name="_Toc23565"/>
      <w:bookmarkStart w:id="1034" w:name="_Toc30507"/>
      <w:bookmarkStart w:id="1035" w:name="_Toc194495401"/>
      <w:r>
        <w:rPr>
          <w:rFonts w:hint="eastAsia" w:ascii="仿宋" w:hAnsi="仿宋" w:eastAsia="仿宋" w:cs="宋体"/>
          <w:b/>
          <w:color w:val="auto"/>
          <w:sz w:val="24"/>
        </w:rPr>
        <w:t>2.6 技术资料</w:t>
      </w:r>
      <w:bookmarkEnd w:id="1021"/>
      <w:bookmarkEnd w:id="1022"/>
      <w:bookmarkEnd w:id="1023"/>
      <w:bookmarkEnd w:id="1024"/>
      <w:bookmarkEnd w:id="1025"/>
      <w:bookmarkEnd w:id="1026"/>
      <w:r>
        <w:rPr>
          <w:rFonts w:hint="eastAsia" w:ascii="仿宋" w:hAnsi="仿宋" w:eastAsia="仿宋" w:cs="宋体"/>
          <w:b/>
          <w:color w:val="auto"/>
          <w:sz w:val="24"/>
        </w:rPr>
        <w:t>和保密义务</w:t>
      </w:r>
      <w:bookmarkEnd w:id="1027"/>
      <w:bookmarkEnd w:id="1028"/>
      <w:bookmarkEnd w:id="1029"/>
      <w:bookmarkEnd w:id="1030"/>
      <w:bookmarkEnd w:id="1031"/>
      <w:bookmarkEnd w:id="1032"/>
      <w:bookmarkEnd w:id="1033"/>
      <w:bookmarkEnd w:id="1034"/>
      <w:bookmarkEnd w:id="1035"/>
    </w:p>
    <w:p w14:paraId="7DE4422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2.6.1 乙方有权依据合同约定和项目需要，向甲方了解有关情况，调阅有关资料等，甲方应予积极配合；</w:t>
      </w:r>
    </w:p>
    <w:p w14:paraId="7783EC2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2.6.2 乙方有义务妥善保管和保护由甲方提供的前款信息和资料等；</w:t>
      </w:r>
    </w:p>
    <w:p w14:paraId="5B99E6B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D7E3B6">
      <w:pPr>
        <w:spacing w:line="360" w:lineRule="auto"/>
        <w:ind w:firstLine="482" w:firstLineChars="200"/>
        <w:outlineLvl w:val="0"/>
        <w:rPr>
          <w:rFonts w:ascii="仿宋" w:hAnsi="仿宋" w:eastAsia="仿宋" w:cs="宋体"/>
          <w:b/>
          <w:color w:val="auto"/>
          <w:sz w:val="24"/>
        </w:rPr>
      </w:pPr>
      <w:bookmarkStart w:id="1036" w:name="_Toc18542"/>
      <w:bookmarkStart w:id="1037" w:name="_Toc20757"/>
      <w:bookmarkStart w:id="1038" w:name="_Toc194495402"/>
      <w:bookmarkStart w:id="1039" w:name="_Toc19069"/>
      <w:bookmarkStart w:id="1040" w:name="_Toc18368"/>
      <w:bookmarkStart w:id="1041" w:name="_Toc279701252"/>
      <w:bookmarkStart w:id="1042" w:name="_Toc487900362"/>
      <w:bookmarkStart w:id="1043" w:name="_Toc259093681"/>
      <w:r>
        <w:rPr>
          <w:rFonts w:hint="eastAsia" w:ascii="仿宋" w:hAnsi="仿宋" w:eastAsia="仿宋" w:cs="宋体"/>
          <w:b/>
          <w:color w:val="auto"/>
          <w:sz w:val="24"/>
        </w:rPr>
        <w:t>2.7 质量保证</w:t>
      </w:r>
      <w:bookmarkEnd w:id="1036"/>
      <w:bookmarkEnd w:id="1037"/>
      <w:bookmarkEnd w:id="1038"/>
      <w:bookmarkEnd w:id="1039"/>
      <w:bookmarkEnd w:id="1040"/>
    </w:p>
    <w:p w14:paraId="054E4C0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2.7.1 乙方应建立和完善履行合同的内部质量保证体系，并提供相关内部规章制度给甲方，以便甲方进行监督检查；</w:t>
      </w:r>
    </w:p>
    <w:p w14:paraId="3721103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2.7.2 乙方应保证履行合同的人员数量和素质、软件和硬件设备的配置、场地、环境和设施等满足全面履行合同的要求，并应接受甲方的监督检查。</w:t>
      </w:r>
    </w:p>
    <w:p w14:paraId="267D9DEB">
      <w:pPr>
        <w:spacing w:line="360" w:lineRule="auto"/>
        <w:ind w:firstLine="482" w:firstLineChars="200"/>
        <w:outlineLvl w:val="0"/>
        <w:rPr>
          <w:rFonts w:ascii="仿宋" w:hAnsi="仿宋" w:eastAsia="仿宋" w:cs="宋体"/>
          <w:b/>
          <w:color w:val="auto"/>
          <w:sz w:val="24"/>
        </w:rPr>
      </w:pPr>
      <w:bookmarkStart w:id="1044" w:name="_Toc23983"/>
      <w:bookmarkStart w:id="1045" w:name="_Toc25551"/>
      <w:bookmarkStart w:id="1046" w:name="_Toc194495403"/>
      <w:bookmarkStart w:id="1047" w:name="_Toc22267"/>
      <w:bookmarkStart w:id="1048" w:name="_Toc6631"/>
      <w:r>
        <w:rPr>
          <w:rFonts w:hint="eastAsia" w:ascii="仿宋" w:hAnsi="仿宋" w:eastAsia="仿宋" w:cs="宋体"/>
          <w:b/>
          <w:color w:val="auto"/>
          <w:sz w:val="24"/>
        </w:rPr>
        <w:t>2.8 延迟</w:t>
      </w:r>
      <w:bookmarkEnd w:id="1041"/>
      <w:bookmarkEnd w:id="1042"/>
      <w:bookmarkEnd w:id="1043"/>
      <w:r>
        <w:rPr>
          <w:rFonts w:hint="eastAsia" w:ascii="仿宋" w:hAnsi="仿宋" w:eastAsia="仿宋" w:cs="宋体"/>
          <w:b/>
          <w:color w:val="auto"/>
          <w:sz w:val="24"/>
        </w:rPr>
        <w:t>履行</w:t>
      </w:r>
      <w:bookmarkEnd w:id="1044"/>
      <w:bookmarkEnd w:id="1045"/>
      <w:bookmarkEnd w:id="1046"/>
      <w:bookmarkEnd w:id="1047"/>
      <w:bookmarkEnd w:id="1048"/>
    </w:p>
    <w:p w14:paraId="0A1C153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39755EF">
      <w:pPr>
        <w:spacing w:line="360" w:lineRule="auto"/>
        <w:ind w:firstLine="482" w:firstLineChars="200"/>
        <w:outlineLvl w:val="0"/>
        <w:rPr>
          <w:rFonts w:ascii="仿宋" w:hAnsi="仿宋" w:eastAsia="仿宋" w:cs="宋体"/>
          <w:b/>
          <w:color w:val="auto"/>
          <w:sz w:val="24"/>
        </w:rPr>
      </w:pPr>
      <w:bookmarkStart w:id="1049" w:name="_Toc10611"/>
      <w:bookmarkStart w:id="1050" w:name="_Toc28129"/>
      <w:bookmarkStart w:id="1051" w:name="_Toc32604"/>
      <w:bookmarkStart w:id="1052" w:name="_Toc555"/>
      <w:bookmarkStart w:id="1053" w:name="_Toc194495404"/>
      <w:bookmarkStart w:id="1054" w:name="_Toc259093683"/>
      <w:bookmarkStart w:id="1055" w:name="_Toc279701254"/>
      <w:bookmarkStart w:id="1056" w:name="_Toc487900364"/>
      <w:bookmarkStart w:id="1057" w:name="_Ref467378121"/>
      <w:r>
        <w:rPr>
          <w:rFonts w:hint="eastAsia" w:ascii="仿宋" w:hAnsi="仿宋" w:eastAsia="仿宋" w:cs="宋体"/>
          <w:b/>
          <w:color w:val="auto"/>
          <w:sz w:val="24"/>
        </w:rPr>
        <w:t>2.9 合同变更</w:t>
      </w:r>
      <w:bookmarkEnd w:id="1049"/>
      <w:bookmarkEnd w:id="1050"/>
      <w:bookmarkEnd w:id="1051"/>
      <w:bookmarkEnd w:id="1052"/>
      <w:bookmarkEnd w:id="1053"/>
    </w:p>
    <w:p w14:paraId="613B814D">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B6D3BE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2.9.2 合同继续履行将损害国家利益和社会公共利益的，双方当事人应当以书面形式变更合同。有过错的一方应当承担赔偿责任，双方当事人都有过错的，各自承担相应的责任。</w:t>
      </w:r>
      <w:bookmarkStart w:id="1058" w:name="_Toc259093688"/>
      <w:bookmarkStart w:id="1059" w:name="_Toc487900369"/>
      <w:bookmarkStart w:id="1060" w:name="_Toc279701259"/>
    </w:p>
    <w:p w14:paraId="1ECD98AC">
      <w:pPr>
        <w:spacing w:line="360" w:lineRule="auto"/>
        <w:ind w:firstLine="482" w:firstLineChars="200"/>
        <w:outlineLvl w:val="0"/>
        <w:rPr>
          <w:rFonts w:ascii="仿宋" w:hAnsi="仿宋" w:eastAsia="仿宋" w:cs="宋体"/>
          <w:b/>
          <w:color w:val="auto"/>
          <w:sz w:val="24"/>
        </w:rPr>
      </w:pPr>
      <w:bookmarkStart w:id="1061" w:name="_Toc26689"/>
      <w:bookmarkStart w:id="1062" w:name="_Toc21830"/>
      <w:bookmarkStart w:id="1063" w:name="_Toc10663"/>
      <w:bookmarkStart w:id="1064" w:name="_Toc42"/>
      <w:bookmarkStart w:id="1065" w:name="_Toc5111"/>
      <w:bookmarkStart w:id="1066" w:name="_Toc23368"/>
      <w:bookmarkStart w:id="1067" w:name="_Toc19887"/>
      <w:bookmarkStart w:id="1068" w:name="_Toc16594"/>
      <w:bookmarkStart w:id="1069" w:name="_Toc194495405"/>
      <w:r>
        <w:rPr>
          <w:rFonts w:hint="eastAsia" w:ascii="仿宋" w:hAnsi="仿宋" w:eastAsia="仿宋" w:cs="宋体"/>
          <w:b/>
          <w:color w:val="auto"/>
          <w:sz w:val="24"/>
        </w:rPr>
        <w:t>2.10 合同转让</w:t>
      </w:r>
      <w:bookmarkEnd w:id="1058"/>
      <w:bookmarkEnd w:id="1059"/>
      <w:bookmarkEnd w:id="1060"/>
      <w:r>
        <w:rPr>
          <w:rFonts w:hint="eastAsia" w:ascii="仿宋" w:hAnsi="仿宋" w:eastAsia="仿宋" w:cs="宋体"/>
          <w:b/>
          <w:color w:val="auto"/>
          <w:sz w:val="24"/>
        </w:rPr>
        <w:t>和分包</w:t>
      </w:r>
      <w:bookmarkEnd w:id="1061"/>
      <w:bookmarkEnd w:id="1062"/>
      <w:bookmarkEnd w:id="1063"/>
      <w:bookmarkEnd w:id="1064"/>
      <w:bookmarkEnd w:id="1065"/>
      <w:bookmarkEnd w:id="1066"/>
      <w:bookmarkEnd w:id="1067"/>
      <w:bookmarkEnd w:id="1068"/>
      <w:bookmarkEnd w:id="1069"/>
    </w:p>
    <w:p w14:paraId="13A2355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9D6F383">
      <w:pPr>
        <w:spacing w:line="360" w:lineRule="auto"/>
        <w:ind w:firstLine="482" w:firstLineChars="200"/>
        <w:outlineLvl w:val="0"/>
        <w:rPr>
          <w:rFonts w:ascii="仿宋" w:hAnsi="仿宋" w:eastAsia="仿宋" w:cs="宋体"/>
          <w:b/>
          <w:color w:val="auto"/>
          <w:sz w:val="24"/>
        </w:rPr>
      </w:pPr>
      <w:bookmarkStart w:id="1070" w:name="_Toc32494"/>
      <w:bookmarkStart w:id="1071" w:name="_Toc3286"/>
      <w:bookmarkStart w:id="1072" w:name="_Toc4720"/>
      <w:bookmarkStart w:id="1073" w:name="_Toc20269"/>
      <w:bookmarkStart w:id="1074" w:name="_Toc26633"/>
      <w:bookmarkStart w:id="1075" w:name="_Toc14371"/>
      <w:bookmarkStart w:id="1076" w:name="_Toc194495406"/>
      <w:bookmarkStart w:id="1077" w:name="_Toc25571"/>
      <w:bookmarkStart w:id="1078" w:name="_Toc15639"/>
      <w:r>
        <w:rPr>
          <w:rFonts w:hint="eastAsia" w:ascii="仿宋" w:hAnsi="仿宋" w:eastAsia="仿宋" w:cs="宋体"/>
          <w:b/>
          <w:color w:val="auto"/>
          <w:sz w:val="24"/>
        </w:rPr>
        <w:t>2.11 不可抗力</w:t>
      </w:r>
      <w:bookmarkEnd w:id="1070"/>
      <w:bookmarkEnd w:id="1071"/>
      <w:bookmarkEnd w:id="1072"/>
      <w:bookmarkEnd w:id="1073"/>
      <w:bookmarkEnd w:id="1074"/>
      <w:bookmarkEnd w:id="1075"/>
      <w:bookmarkEnd w:id="1076"/>
      <w:bookmarkEnd w:id="1077"/>
      <w:bookmarkEnd w:id="1078"/>
    </w:p>
    <w:p w14:paraId="3AF3656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2.11.1如果任何一方遭遇法律规定的不可抗力，致使合同履行受阻时，履行合同的期限应予延长，延长的期限应相当于不可抗力所影响的时间；</w:t>
      </w:r>
    </w:p>
    <w:p w14:paraId="52953474">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2.11.2 因不可抗力致使不能实现合同目的的，当事人可以解除合同；</w:t>
      </w:r>
    </w:p>
    <w:p w14:paraId="164F0F1E">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2.11.3 因不可抗力致使合同有变更必要的，双方当事人应在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约定时间内以书面形式变更合同；</w:t>
      </w:r>
    </w:p>
    <w:p w14:paraId="609A5FA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2.11.4受不可抗力影响的一方在不可抗力发生后，应在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约定时间内以书面形式通知对方当事人，并在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约定时间内，将有关部门出具的证明文件送达对方当事人。</w:t>
      </w:r>
    </w:p>
    <w:p w14:paraId="2AEFBFB9">
      <w:pPr>
        <w:spacing w:line="360" w:lineRule="auto"/>
        <w:ind w:firstLine="482" w:firstLineChars="200"/>
        <w:outlineLvl w:val="0"/>
        <w:rPr>
          <w:rFonts w:ascii="仿宋" w:hAnsi="仿宋" w:eastAsia="仿宋" w:cs="宋体"/>
          <w:b/>
          <w:color w:val="auto"/>
          <w:sz w:val="24"/>
        </w:rPr>
      </w:pPr>
      <w:bookmarkStart w:id="1079" w:name="_Toc30417"/>
      <w:bookmarkStart w:id="1080" w:name="_Toc279701255"/>
      <w:bookmarkStart w:id="1081" w:name="_Toc24465"/>
      <w:bookmarkStart w:id="1082" w:name="_Toc23854"/>
      <w:bookmarkStart w:id="1083" w:name="_Toc194495407"/>
      <w:bookmarkStart w:id="1084" w:name="_Toc487900365"/>
      <w:bookmarkStart w:id="1085" w:name="_Toc14115"/>
      <w:bookmarkStart w:id="1086" w:name="_Toc259093684"/>
      <w:bookmarkStart w:id="1087" w:name="_Toc3638"/>
      <w:bookmarkStart w:id="1088" w:name="_Toc1524"/>
      <w:bookmarkStart w:id="1089" w:name="_Toc25783"/>
      <w:bookmarkStart w:id="1090" w:name="_Toc12739"/>
      <w:r>
        <w:rPr>
          <w:rFonts w:hint="eastAsia" w:ascii="仿宋" w:hAnsi="仿宋" w:eastAsia="仿宋" w:cs="宋体"/>
          <w:b/>
          <w:color w:val="auto"/>
          <w:sz w:val="24"/>
        </w:rPr>
        <w:t>2.12 税费</w:t>
      </w:r>
      <w:bookmarkEnd w:id="1079"/>
      <w:bookmarkEnd w:id="1080"/>
      <w:bookmarkEnd w:id="1081"/>
      <w:bookmarkEnd w:id="1082"/>
      <w:bookmarkEnd w:id="1083"/>
      <w:bookmarkEnd w:id="1084"/>
      <w:bookmarkEnd w:id="1085"/>
      <w:bookmarkEnd w:id="1086"/>
      <w:bookmarkEnd w:id="1087"/>
      <w:bookmarkEnd w:id="1088"/>
      <w:bookmarkEnd w:id="1089"/>
      <w:bookmarkEnd w:id="1090"/>
    </w:p>
    <w:p w14:paraId="155E8FB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与合同有关的一切税费，均按照中华人民共和国法律的相关规定缴纳。</w:t>
      </w:r>
    </w:p>
    <w:p w14:paraId="795648D6">
      <w:pPr>
        <w:spacing w:line="360" w:lineRule="auto"/>
        <w:ind w:firstLine="482" w:firstLineChars="200"/>
        <w:outlineLvl w:val="0"/>
        <w:rPr>
          <w:rFonts w:ascii="仿宋" w:hAnsi="仿宋" w:eastAsia="仿宋" w:cs="宋体"/>
          <w:b/>
          <w:color w:val="auto"/>
          <w:sz w:val="24"/>
        </w:rPr>
      </w:pPr>
      <w:bookmarkStart w:id="1091" w:name="_Toc11393"/>
      <w:bookmarkStart w:id="1092" w:name="_Toc26883"/>
      <w:bookmarkStart w:id="1093" w:name="_Toc23362"/>
      <w:bookmarkStart w:id="1094" w:name="_Toc194495408"/>
      <w:bookmarkStart w:id="1095" w:name="_Toc16393"/>
      <w:bookmarkStart w:id="1096" w:name="_Toc259093687"/>
      <w:bookmarkStart w:id="1097" w:name="_Toc14814"/>
      <w:bookmarkStart w:id="1098" w:name="_Toc30105"/>
      <w:bookmarkStart w:id="1099" w:name="_Toc487900368"/>
      <w:bookmarkStart w:id="1100" w:name="_Toc279701258"/>
      <w:bookmarkStart w:id="1101" w:name="_Toc7315"/>
      <w:bookmarkStart w:id="1102" w:name="_Toc25525"/>
      <w:r>
        <w:rPr>
          <w:rFonts w:hint="eastAsia" w:ascii="仿宋" w:hAnsi="仿宋" w:eastAsia="仿宋" w:cs="宋体"/>
          <w:b/>
          <w:color w:val="auto"/>
          <w:sz w:val="24"/>
        </w:rPr>
        <w:t>2.13 乙方破产</w:t>
      </w:r>
      <w:bookmarkEnd w:id="1091"/>
      <w:bookmarkEnd w:id="1092"/>
      <w:bookmarkEnd w:id="1093"/>
      <w:bookmarkEnd w:id="1094"/>
      <w:bookmarkEnd w:id="1095"/>
      <w:bookmarkEnd w:id="1096"/>
      <w:bookmarkEnd w:id="1097"/>
      <w:bookmarkEnd w:id="1098"/>
      <w:bookmarkEnd w:id="1099"/>
      <w:bookmarkEnd w:id="1100"/>
      <w:bookmarkEnd w:id="1101"/>
      <w:bookmarkEnd w:id="1102"/>
    </w:p>
    <w:p w14:paraId="7E926DF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4D0B15">
      <w:pPr>
        <w:spacing w:line="360" w:lineRule="auto"/>
        <w:ind w:firstLine="482" w:firstLineChars="200"/>
        <w:outlineLvl w:val="0"/>
        <w:rPr>
          <w:rFonts w:ascii="仿宋" w:hAnsi="仿宋" w:eastAsia="仿宋" w:cs="宋体"/>
          <w:b/>
          <w:color w:val="auto"/>
          <w:sz w:val="24"/>
        </w:rPr>
      </w:pPr>
      <w:bookmarkStart w:id="1103" w:name="_Toc7235"/>
      <w:bookmarkStart w:id="1104" w:name="_Toc194495409"/>
      <w:bookmarkStart w:id="1105" w:name="_Toc6059"/>
      <w:bookmarkStart w:id="1106" w:name="_Toc23323"/>
      <w:bookmarkStart w:id="1107" w:name="_Toc1123"/>
      <w:bookmarkStart w:id="1108" w:name="_Toc2016"/>
      <w:bookmarkStart w:id="1109" w:name="_Toc10922"/>
      <w:r>
        <w:rPr>
          <w:rFonts w:hint="eastAsia" w:ascii="仿宋" w:hAnsi="仿宋" w:eastAsia="仿宋" w:cs="宋体"/>
          <w:b/>
          <w:color w:val="auto"/>
          <w:sz w:val="24"/>
        </w:rPr>
        <w:t>2.14 合同中止、终止</w:t>
      </w:r>
      <w:bookmarkEnd w:id="1103"/>
      <w:bookmarkEnd w:id="1104"/>
      <w:bookmarkEnd w:id="1105"/>
      <w:bookmarkEnd w:id="1106"/>
      <w:bookmarkEnd w:id="1107"/>
      <w:bookmarkEnd w:id="1108"/>
      <w:bookmarkEnd w:id="1109"/>
    </w:p>
    <w:p w14:paraId="3DB3895E">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2.14.1 双方当事人不得擅自中止或者终止合同；</w:t>
      </w:r>
    </w:p>
    <w:p w14:paraId="0A3FA33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2.14.2合同继续履行将损害国家利益和社会公共利益的，双方当事人应当中止或者终止合同。有过错的一方应当承担赔偿责任，双方当事人都有过错的，各自承担相应的责任。</w:t>
      </w:r>
    </w:p>
    <w:p w14:paraId="2EF09FD1">
      <w:pPr>
        <w:spacing w:line="360" w:lineRule="auto"/>
        <w:ind w:firstLine="482" w:firstLineChars="200"/>
        <w:outlineLvl w:val="0"/>
        <w:rPr>
          <w:rFonts w:ascii="仿宋" w:hAnsi="仿宋" w:eastAsia="仿宋" w:cs="宋体"/>
          <w:b/>
          <w:color w:val="auto"/>
          <w:sz w:val="24"/>
        </w:rPr>
      </w:pPr>
      <w:bookmarkStart w:id="1110" w:name="_Toc194495410"/>
      <w:bookmarkStart w:id="1111" w:name="_Toc11834"/>
      <w:bookmarkStart w:id="1112" w:name="_Toc29105"/>
      <w:bookmarkStart w:id="1113" w:name="_Toc14525"/>
      <w:bookmarkStart w:id="1114" w:name="_Toc1969"/>
      <w:bookmarkStart w:id="1115" w:name="_Toc17564"/>
      <w:bookmarkStart w:id="1116" w:name="_Toc17363"/>
      <w:r>
        <w:rPr>
          <w:rFonts w:hint="eastAsia" w:ascii="仿宋" w:hAnsi="仿宋" w:eastAsia="仿宋" w:cs="宋体"/>
          <w:b/>
          <w:color w:val="auto"/>
          <w:sz w:val="24"/>
        </w:rPr>
        <w:t>2.15 检验和验收</w:t>
      </w:r>
      <w:bookmarkEnd w:id="1110"/>
      <w:bookmarkEnd w:id="1111"/>
      <w:bookmarkEnd w:id="1112"/>
      <w:bookmarkEnd w:id="1113"/>
      <w:bookmarkEnd w:id="1114"/>
      <w:bookmarkEnd w:id="1115"/>
      <w:bookmarkEnd w:id="1116"/>
    </w:p>
    <w:p w14:paraId="5661EAB0">
      <w:pPr>
        <w:tabs>
          <w:tab w:val="left" w:pos="360"/>
          <w:tab w:val="left" w:pos="540"/>
          <w:tab w:val="left" w:pos="1080"/>
        </w:tabs>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2.15.1 乙方按照</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的约定，定期提交服务报告，甲方按照</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的约定进行定期验收；</w:t>
      </w:r>
    </w:p>
    <w:p w14:paraId="02A2BDEC">
      <w:pPr>
        <w:tabs>
          <w:tab w:val="left" w:pos="360"/>
          <w:tab w:val="left" w:pos="540"/>
          <w:tab w:val="left" w:pos="1080"/>
        </w:tabs>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6EEE96">
      <w:pPr>
        <w:tabs>
          <w:tab w:val="left" w:pos="360"/>
          <w:tab w:val="left" w:pos="540"/>
          <w:tab w:val="left" w:pos="1080"/>
        </w:tabs>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2.15.3 检验和验收标准、程序等具体内容以及前述验收书的效力详见</w:t>
      </w:r>
      <w:r>
        <w:rPr>
          <w:rFonts w:hint="eastAsia" w:ascii="仿宋" w:hAnsi="仿宋" w:eastAsia="仿宋" w:cs="宋体"/>
          <w:b/>
          <w:i/>
          <w:color w:val="auto"/>
          <w:sz w:val="24"/>
          <w:u w:val="single"/>
        </w:rPr>
        <w:t>合同专用条款</w:t>
      </w:r>
      <w:r>
        <w:rPr>
          <w:rFonts w:hint="eastAsia" w:ascii="仿宋" w:hAnsi="仿宋" w:eastAsia="仿宋" w:cs="宋体"/>
          <w:i/>
          <w:color w:val="auto"/>
          <w:sz w:val="24"/>
        </w:rPr>
        <w:t>。</w:t>
      </w:r>
    </w:p>
    <w:bookmarkEnd w:id="1054"/>
    <w:bookmarkEnd w:id="1055"/>
    <w:bookmarkEnd w:id="1056"/>
    <w:bookmarkEnd w:id="1057"/>
    <w:p w14:paraId="655877E4">
      <w:pPr>
        <w:spacing w:line="360" w:lineRule="auto"/>
        <w:ind w:firstLine="482" w:firstLineChars="200"/>
        <w:outlineLvl w:val="0"/>
        <w:rPr>
          <w:rFonts w:ascii="仿宋" w:hAnsi="仿宋" w:eastAsia="仿宋" w:cs="宋体"/>
          <w:b/>
          <w:color w:val="auto"/>
          <w:sz w:val="24"/>
        </w:rPr>
      </w:pPr>
      <w:bookmarkStart w:id="1117" w:name="_Toc279701261"/>
      <w:bookmarkStart w:id="1118" w:name="_Toc487900371"/>
      <w:bookmarkStart w:id="1119" w:name="_Toc259093690"/>
      <w:bookmarkStart w:id="1120" w:name="_Toc12666"/>
      <w:bookmarkStart w:id="1121" w:name="_Toc25198"/>
      <w:bookmarkStart w:id="1122" w:name="_Toc194495411"/>
      <w:bookmarkStart w:id="1123" w:name="_Toc15349"/>
      <w:bookmarkStart w:id="1124" w:name="_Toc22927"/>
      <w:bookmarkStart w:id="1125" w:name="_Toc18450"/>
      <w:bookmarkStart w:id="1126" w:name="_Toc2308"/>
      <w:bookmarkStart w:id="1127" w:name="_Toc9808"/>
      <w:bookmarkStart w:id="1128" w:name="_Toc31892"/>
      <w:r>
        <w:rPr>
          <w:rFonts w:hint="eastAsia" w:ascii="仿宋" w:hAnsi="仿宋" w:eastAsia="仿宋" w:cs="宋体"/>
          <w:b/>
          <w:color w:val="auto"/>
          <w:sz w:val="24"/>
        </w:rPr>
        <w:t>2.16 通知</w:t>
      </w:r>
      <w:bookmarkEnd w:id="1117"/>
      <w:bookmarkEnd w:id="1118"/>
      <w:bookmarkEnd w:id="1119"/>
      <w:r>
        <w:rPr>
          <w:rFonts w:hint="eastAsia" w:ascii="仿宋" w:hAnsi="仿宋" w:eastAsia="仿宋" w:cs="宋体"/>
          <w:b/>
          <w:color w:val="auto"/>
          <w:sz w:val="24"/>
        </w:rPr>
        <w:t>和送达</w:t>
      </w:r>
      <w:bookmarkEnd w:id="1120"/>
      <w:bookmarkEnd w:id="1121"/>
      <w:bookmarkEnd w:id="1122"/>
      <w:bookmarkEnd w:id="1123"/>
      <w:bookmarkEnd w:id="1124"/>
      <w:bookmarkEnd w:id="1125"/>
      <w:bookmarkEnd w:id="1126"/>
      <w:bookmarkEnd w:id="1127"/>
      <w:bookmarkEnd w:id="1128"/>
    </w:p>
    <w:p w14:paraId="3C747F3C">
      <w:pPr>
        <w:spacing w:line="360" w:lineRule="auto"/>
        <w:ind w:firstLine="480" w:firstLineChars="200"/>
        <w:rPr>
          <w:rFonts w:ascii="仿宋" w:hAnsi="仿宋" w:eastAsia="仿宋" w:cs="宋体"/>
          <w:color w:val="auto"/>
          <w:sz w:val="24"/>
        </w:rPr>
      </w:pPr>
      <w:bookmarkStart w:id="1129" w:name="_Toc29220"/>
      <w:bookmarkStart w:id="1130" w:name="_Toc7073"/>
      <w:bookmarkStart w:id="1131" w:name="_Toc259093691"/>
      <w:bookmarkStart w:id="1132" w:name="_Toc279701262"/>
      <w:bookmarkStart w:id="1133" w:name="_Toc487900372"/>
      <w:r>
        <w:rPr>
          <w:rFonts w:hint="eastAsia" w:ascii="仿宋" w:hAnsi="仿宋" w:eastAsia="仿宋" w:cs="宋体"/>
          <w:color w:val="auto"/>
          <w:sz w:val="24"/>
        </w:rPr>
        <w:t>2.16.1 任何一方因履行合同而以合同第一部分尾部所列明的</w:t>
      </w:r>
      <w:r>
        <w:rPr>
          <w:rFonts w:hint="eastAsia" w:ascii="仿宋" w:hAnsi="仿宋" w:eastAsia="仿宋" w:cs="宋体"/>
          <w:color w:val="auto"/>
          <w:sz w:val="24"/>
          <w:u w:val="single"/>
        </w:rPr>
        <w:t xml:space="preserve">          </w:t>
      </w:r>
      <w:r>
        <w:rPr>
          <w:rFonts w:hint="eastAsia" w:ascii="仿宋" w:hAnsi="仿宋" w:eastAsia="仿宋" w:cs="宋体"/>
          <w:color w:val="auto"/>
          <w:sz w:val="24"/>
        </w:rPr>
        <w:t>发出的所有通知、文件、材料，均视为已向对方当事人送达；任何一方变更上述送达方式或者地址的，应于</w:t>
      </w:r>
      <w:r>
        <w:rPr>
          <w:rFonts w:hint="eastAsia" w:ascii="仿宋" w:hAnsi="仿宋" w:eastAsia="仿宋" w:cs="宋体"/>
          <w:color w:val="auto"/>
          <w:sz w:val="24"/>
          <w:u w:val="single"/>
        </w:rPr>
        <w:t xml:space="preserve">   </w:t>
      </w:r>
      <w:r>
        <w:rPr>
          <w:rFonts w:hint="eastAsia" w:ascii="仿宋" w:hAnsi="仿宋" w:eastAsia="仿宋" w:cs="宋体"/>
          <w:color w:val="auto"/>
          <w:sz w:val="24"/>
        </w:rPr>
        <w:t>个工作日内书面通知对方当事人，在对方当事人收到有关变更通知之前，变更前的约定送达方式或者地址仍视为有效。</w:t>
      </w:r>
      <w:bookmarkEnd w:id="1129"/>
      <w:bookmarkEnd w:id="1130"/>
    </w:p>
    <w:p w14:paraId="2B5D253F">
      <w:pPr>
        <w:spacing w:line="360" w:lineRule="auto"/>
        <w:ind w:firstLine="480" w:firstLineChars="200"/>
        <w:rPr>
          <w:rFonts w:ascii="仿宋" w:hAnsi="仿宋" w:eastAsia="仿宋" w:cs="宋体"/>
          <w:color w:val="auto"/>
          <w:sz w:val="24"/>
        </w:rPr>
      </w:pPr>
      <w:bookmarkStart w:id="1134" w:name="_Toc27674"/>
      <w:bookmarkStart w:id="1135" w:name="_Toc18401"/>
      <w:r>
        <w:rPr>
          <w:rFonts w:hint="eastAsia" w:ascii="仿宋" w:hAnsi="仿宋" w:eastAsia="仿宋" w:cs="宋体"/>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34"/>
      <w:bookmarkEnd w:id="1135"/>
    </w:p>
    <w:bookmarkEnd w:id="1131"/>
    <w:bookmarkEnd w:id="1132"/>
    <w:bookmarkEnd w:id="1133"/>
    <w:p w14:paraId="46736141">
      <w:pPr>
        <w:spacing w:line="360" w:lineRule="auto"/>
        <w:ind w:firstLine="482" w:firstLineChars="200"/>
        <w:outlineLvl w:val="0"/>
        <w:rPr>
          <w:rFonts w:ascii="仿宋" w:hAnsi="仿宋" w:eastAsia="仿宋" w:cs="宋体"/>
          <w:b/>
          <w:color w:val="auto"/>
          <w:sz w:val="24"/>
        </w:rPr>
      </w:pPr>
      <w:bookmarkStart w:id="1136" w:name="_Toc259093692"/>
      <w:bookmarkStart w:id="1137" w:name="_Toc279701263"/>
      <w:bookmarkStart w:id="1138" w:name="_Toc8450"/>
      <w:bookmarkStart w:id="1139" w:name="_Toc27644"/>
      <w:bookmarkStart w:id="1140" w:name="_Toc28906"/>
      <w:bookmarkStart w:id="1141" w:name="_Toc194495412"/>
      <w:bookmarkStart w:id="1142" w:name="_Toc5063"/>
      <w:bookmarkStart w:id="1143" w:name="_Toc487900373"/>
      <w:bookmarkStart w:id="1144" w:name="_Toc12254"/>
      <w:bookmarkStart w:id="1145" w:name="_Toc20808"/>
      <w:bookmarkStart w:id="1146" w:name="_Toc20039"/>
      <w:bookmarkStart w:id="1147" w:name="_Toc25872"/>
      <w:r>
        <w:rPr>
          <w:rFonts w:hint="eastAsia" w:ascii="仿宋" w:hAnsi="仿宋" w:eastAsia="仿宋" w:cs="宋体"/>
          <w:b/>
          <w:color w:val="auto"/>
          <w:sz w:val="24"/>
        </w:rPr>
        <w:t>2.17 合同使用的文字和适用的法律</w:t>
      </w:r>
      <w:bookmarkEnd w:id="1136"/>
      <w:bookmarkEnd w:id="1137"/>
      <w:bookmarkEnd w:id="1138"/>
      <w:bookmarkEnd w:id="1139"/>
      <w:bookmarkEnd w:id="1140"/>
      <w:bookmarkEnd w:id="1141"/>
      <w:bookmarkEnd w:id="1142"/>
      <w:bookmarkEnd w:id="1143"/>
      <w:bookmarkEnd w:id="1144"/>
      <w:bookmarkEnd w:id="1145"/>
      <w:bookmarkEnd w:id="1146"/>
      <w:bookmarkEnd w:id="1147"/>
    </w:p>
    <w:p w14:paraId="6A1A6C5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2.17.1 合同使用汉语书就、变更和解释；</w:t>
      </w:r>
    </w:p>
    <w:p w14:paraId="02DDC1B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2.17.2 合同适用中华人民共和国法律。</w:t>
      </w:r>
    </w:p>
    <w:p w14:paraId="7E7FE615">
      <w:pPr>
        <w:spacing w:line="360" w:lineRule="auto"/>
        <w:ind w:firstLine="482" w:firstLineChars="200"/>
        <w:outlineLvl w:val="0"/>
        <w:rPr>
          <w:rFonts w:ascii="仿宋" w:hAnsi="仿宋" w:eastAsia="仿宋" w:cs="宋体"/>
          <w:b/>
          <w:color w:val="auto"/>
          <w:sz w:val="24"/>
        </w:rPr>
      </w:pPr>
      <w:bookmarkStart w:id="1148" w:name="_Toc259093693"/>
      <w:bookmarkStart w:id="1149" w:name="_Toc18045"/>
      <w:bookmarkStart w:id="1150" w:name="_Toc9635"/>
      <w:bookmarkStart w:id="1151" w:name="_Toc22266"/>
      <w:bookmarkStart w:id="1152" w:name="_Toc5742"/>
      <w:bookmarkStart w:id="1153" w:name="_Toc27403"/>
      <w:bookmarkStart w:id="1154" w:name="_Toc30096"/>
      <w:bookmarkStart w:id="1155" w:name="_Toc194495413"/>
      <w:bookmarkStart w:id="1156" w:name="_Toc279701264"/>
      <w:bookmarkStart w:id="1157" w:name="_Toc1492"/>
      <w:bookmarkStart w:id="1158" w:name="_Toc27127"/>
      <w:bookmarkStart w:id="1159" w:name="_Toc487900374"/>
      <w:r>
        <w:rPr>
          <w:rFonts w:hint="eastAsia" w:ascii="仿宋" w:hAnsi="仿宋" w:eastAsia="仿宋" w:cs="宋体"/>
          <w:b/>
          <w:color w:val="auto"/>
          <w:sz w:val="24"/>
        </w:rPr>
        <w:t>2.18 履约保证金</w:t>
      </w:r>
      <w:bookmarkEnd w:id="1148"/>
      <w:bookmarkEnd w:id="1149"/>
      <w:bookmarkEnd w:id="1150"/>
      <w:bookmarkEnd w:id="1151"/>
      <w:bookmarkEnd w:id="1152"/>
      <w:bookmarkEnd w:id="1153"/>
      <w:bookmarkEnd w:id="1154"/>
      <w:bookmarkEnd w:id="1155"/>
      <w:bookmarkEnd w:id="1156"/>
      <w:bookmarkEnd w:id="1157"/>
      <w:bookmarkEnd w:id="1158"/>
    </w:p>
    <w:p w14:paraId="6490E8B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2.18.1 采购文件要求乙方提交履约保证金的，乙方应按</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约定的方式，以支票、汇票、本票或者金融机构、担保机构出具的保函等非现金形式，提交不超过合同价10%的履约保证金；</w:t>
      </w:r>
    </w:p>
    <w:p w14:paraId="538DC8F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2.18.2 履约保证金在</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约定期间内不予退还或者应完全有效，前述约定期间届满之日起</w:t>
      </w:r>
      <w:r>
        <w:rPr>
          <w:rFonts w:hint="eastAsia" w:ascii="仿宋" w:hAnsi="仿宋" w:eastAsia="仿宋" w:cs="宋体"/>
          <w:color w:val="auto"/>
          <w:sz w:val="24"/>
          <w:u w:val="single"/>
        </w:rPr>
        <w:t xml:space="preserve">    </w:t>
      </w:r>
      <w:r>
        <w:rPr>
          <w:rFonts w:hint="eastAsia" w:ascii="仿宋" w:hAnsi="仿宋" w:eastAsia="仿宋" w:cs="宋体"/>
          <w:color w:val="auto"/>
          <w:sz w:val="24"/>
        </w:rPr>
        <w:t>个工作日内，甲方应将履约保证金退还乙方；</w:t>
      </w:r>
    </w:p>
    <w:p w14:paraId="3B5945B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159"/>
    <w:p w14:paraId="765714E7">
      <w:pPr>
        <w:spacing w:line="360" w:lineRule="auto"/>
        <w:ind w:firstLine="482" w:firstLineChars="200"/>
        <w:rPr>
          <w:rFonts w:ascii="仿宋" w:hAnsi="仿宋" w:eastAsia="仿宋" w:cs="宋体"/>
          <w:b/>
          <w:color w:val="auto"/>
          <w:sz w:val="24"/>
        </w:rPr>
      </w:pPr>
      <w:r>
        <w:rPr>
          <w:rFonts w:hint="eastAsia" w:ascii="仿宋" w:hAnsi="仿宋" w:eastAsia="仿宋" w:cs="宋体"/>
          <w:b/>
          <w:color w:val="auto"/>
          <w:sz w:val="24"/>
        </w:rPr>
        <w:t>2.19 合同份数</w:t>
      </w:r>
    </w:p>
    <w:p w14:paraId="76049E1E">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合同份数按</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规定，每份均具有同等法律效力。</w:t>
      </w:r>
    </w:p>
    <w:p w14:paraId="66327305">
      <w:pPr>
        <w:pStyle w:val="62"/>
        <w:spacing w:line="360" w:lineRule="auto"/>
        <w:ind w:firstLine="0"/>
        <w:jc w:val="both"/>
        <w:rPr>
          <w:rFonts w:ascii="仿宋" w:hAnsi="仿宋" w:eastAsia="仿宋" w:cs="宋体"/>
          <w:b/>
          <w:color w:val="auto"/>
          <w:szCs w:val="24"/>
        </w:rPr>
      </w:pPr>
      <w:bookmarkStart w:id="1160" w:name="_Toc331685784"/>
      <w:r>
        <w:rPr>
          <w:rFonts w:hint="eastAsia" w:ascii="仿宋" w:hAnsi="仿宋" w:eastAsia="仿宋" w:cs="宋体"/>
          <w:b/>
          <w:color w:val="auto"/>
          <w:szCs w:val="24"/>
        </w:rPr>
        <w:t>第三部分  合同专用条款</w:t>
      </w:r>
      <w:bookmarkEnd w:id="1160"/>
    </w:p>
    <w:p w14:paraId="3155A408">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5A9D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4164B266">
            <w:pPr>
              <w:spacing w:line="360" w:lineRule="auto"/>
              <w:jc w:val="center"/>
              <w:rPr>
                <w:rFonts w:ascii="仿宋" w:hAnsi="仿宋" w:eastAsia="仿宋" w:cs="宋体"/>
                <w:b/>
                <w:color w:val="auto"/>
                <w:sz w:val="24"/>
              </w:rPr>
            </w:pPr>
            <w:r>
              <w:rPr>
                <w:rFonts w:hint="eastAsia" w:ascii="仿宋" w:hAnsi="仿宋" w:eastAsia="仿宋" w:cs="宋体"/>
                <w:b/>
                <w:color w:val="auto"/>
                <w:sz w:val="24"/>
              </w:rPr>
              <w:t>条款号</w:t>
            </w:r>
          </w:p>
        </w:tc>
        <w:tc>
          <w:tcPr>
            <w:tcW w:w="7633" w:type="dxa"/>
            <w:vAlign w:val="center"/>
          </w:tcPr>
          <w:p w14:paraId="25E21AD1">
            <w:pPr>
              <w:spacing w:line="360" w:lineRule="auto"/>
              <w:jc w:val="center"/>
              <w:rPr>
                <w:rFonts w:ascii="仿宋" w:hAnsi="仿宋" w:eastAsia="仿宋" w:cs="宋体"/>
                <w:b/>
                <w:color w:val="auto"/>
                <w:sz w:val="24"/>
              </w:rPr>
            </w:pPr>
            <w:r>
              <w:rPr>
                <w:rFonts w:hint="eastAsia" w:ascii="仿宋" w:hAnsi="仿宋" w:eastAsia="仿宋" w:cs="宋体"/>
                <w:b/>
                <w:color w:val="auto"/>
                <w:sz w:val="24"/>
              </w:rPr>
              <w:t>约定内容</w:t>
            </w:r>
          </w:p>
        </w:tc>
      </w:tr>
      <w:tr w14:paraId="1441D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405C9D78">
            <w:pPr>
              <w:spacing w:line="360" w:lineRule="auto"/>
              <w:rPr>
                <w:rFonts w:ascii="仿宋" w:hAnsi="仿宋" w:eastAsia="仿宋" w:cs="宋体"/>
                <w:color w:val="auto"/>
                <w:sz w:val="24"/>
              </w:rPr>
            </w:pPr>
          </w:p>
        </w:tc>
        <w:tc>
          <w:tcPr>
            <w:tcW w:w="7633" w:type="dxa"/>
            <w:vAlign w:val="center"/>
          </w:tcPr>
          <w:p w14:paraId="146E23AF">
            <w:pPr>
              <w:spacing w:line="360" w:lineRule="auto"/>
              <w:rPr>
                <w:rFonts w:ascii="仿宋" w:hAnsi="仿宋" w:eastAsia="仿宋" w:cs="宋体"/>
                <w:color w:val="auto"/>
                <w:sz w:val="24"/>
              </w:rPr>
            </w:pPr>
          </w:p>
        </w:tc>
      </w:tr>
      <w:tr w14:paraId="70CE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55E118BF">
            <w:pPr>
              <w:spacing w:line="360" w:lineRule="auto"/>
              <w:rPr>
                <w:rFonts w:ascii="仿宋" w:hAnsi="仿宋" w:eastAsia="仿宋" w:cs="宋体"/>
                <w:color w:val="auto"/>
                <w:sz w:val="24"/>
              </w:rPr>
            </w:pPr>
          </w:p>
        </w:tc>
        <w:tc>
          <w:tcPr>
            <w:tcW w:w="7633" w:type="dxa"/>
            <w:vAlign w:val="center"/>
          </w:tcPr>
          <w:p w14:paraId="2A03F7E9">
            <w:pPr>
              <w:spacing w:line="360" w:lineRule="auto"/>
              <w:rPr>
                <w:rFonts w:ascii="仿宋" w:hAnsi="仿宋" w:eastAsia="仿宋" w:cs="宋体"/>
                <w:color w:val="auto"/>
                <w:sz w:val="24"/>
              </w:rPr>
            </w:pPr>
          </w:p>
        </w:tc>
      </w:tr>
      <w:tr w14:paraId="304C7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2130BE83">
            <w:pPr>
              <w:spacing w:line="360" w:lineRule="auto"/>
              <w:rPr>
                <w:rFonts w:ascii="仿宋" w:hAnsi="仿宋" w:eastAsia="仿宋" w:cs="宋体"/>
                <w:color w:val="auto"/>
                <w:sz w:val="24"/>
              </w:rPr>
            </w:pPr>
          </w:p>
        </w:tc>
        <w:tc>
          <w:tcPr>
            <w:tcW w:w="7633" w:type="dxa"/>
            <w:vAlign w:val="center"/>
          </w:tcPr>
          <w:p w14:paraId="27525039">
            <w:pPr>
              <w:spacing w:line="360" w:lineRule="auto"/>
              <w:rPr>
                <w:rFonts w:ascii="仿宋" w:hAnsi="仿宋" w:eastAsia="仿宋" w:cs="宋体"/>
                <w:color w:val="auto"/>
                <w:sz w:val="24"/>
              </w:rPr>
            </w:pPr>
          </w:p>
        </w:tc>
      </w:tr>
      <w:tr w14:paraId="702B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58589028">
            <w:pPr>
              <w:spacing w:line="360" w:lineRule="auto"/>
              <w:rPr>
                <w:rFonts w:ascii="仿宋" w:hAnsi="仿宋" w:eastAsia="仿宋" w:cs="宋体"/>
                <w:color w:val="auto"/>
                <w:sz w:val="24"/>
              </w:rPr>
            </w:pPr>
          </w:p>
        </w:tc>
        <w:tc>
          <w:tcPr>
            <w:tcW w:w="7633" w:type="dxa"/>
            <w:vAlign w:val="center"/>
          </w:tcPr>
          <w:p w14:paraId="589F8D0A">
            <w:pPr>
              <w:spacing w:line="360" w:lineRule="auto"/>
              <w:rPr>
                <w:rFonts w:ascii="仿宋" w:hAnsi="仿宋" w:eastAsia="仿宋" w:cs="宋体"/>
                <w:color w:val="auto"/>
                <w:sz w:val="24"/>
              </w:rPr>
            </w:pPr>
          </w:p>
        </w:tc>
      </w:tr>
      <w:tr w14:paraId="1A69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6C07587D">
            <w:pPr>
              <w:spacing w:line="360" w:lineRule="auto"/>
              <w:rPr>
                <w:rFonts w:ascii="仿宋" w:hAnsi="仿宋" w:eastAsia="仿宋" w:cs="宋体"/>
                <w:color w:val="auto"/>
                <w:sz w:val="24"/>
              </w:rPr>
            </w:pPr>
          </w:p>
        </w:tc>
        <w:tc>
          <w:tcPr>
            <w:tcW w:w="7633" w:type="dxa"/>
            <w:vAlign w:val="center"/>
          </w:tcPr>
          <w:p w14:paraId="62371E9A">
            <w:pPr>
              <w:spacing w:line="360" w:lineRule="auto"/>
              <w:rPr>
                <w:rFonts w:ascii="仿宋" w:hAnsi="仿宋" w:eastAsia="仿宋" w:cs="宋体"/>
                <w:color w:val="auto"/>
                <w:sz w:val="24"/>
                <w:u w:val="single"/>
              </w:rPr>
            </w:pPr>
          </w:p>
        </w:tc>
      </w:tr>
      <w:tr w14:paraId="1FBC8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3E92B2E5">
            <w:pPr>
              <w:spacing w:line="360" w:lineRule="auto"/>
              <w:rPr>
                <w:rFonts w:ascii="仿宋" w:hAnsi="仿宋" w:eastAsia="仿宋" w:cs="宋体"/>
                <w:color w:val="auto"/>
                <w:sz w:val="24"/>
              </w:rPr>
            </w:pPr>
          </w:p>
        </w:tc>
        <w:tc>
          <w:tcPr>
            <w:tcW w:w="7633" w:type="dxa"/>
            <w:vAlign w:val="center"/>
          </w:tcPr>
          <w:p w14:paraId="6CF03A92">
            <w:pPr>
              <w:spacing w:line="360" w:lineRule="auto"/>
              <w:rPr>
                <w:rFonts w:ascii="仿宋" w:hAnsi="仿宋" w:eastAsia="仿宋" w:cs="宋体"/>
                <w:color w:val="auto"/>
                <w:sz w:val="24"/>
              </w:rPr>
            </w:pPr>
          </w:p>
        </w:tc>
      </w:tr>
      <w:tr w14:paraId="59C94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6451CC66">
            <w:pPr>
              <w:spacing w:line="360" w:lineRule="auto"/>
              <w:rPr>
                <w:rFonts w:ascii="仿宋" w:hAnsi="仿宋" w:eastAsia="仿宋" w:cs="宋体"/>
                <w:color w:val="auto"/>
                <w:sz w:val="24"/>
              </w:rPr>
            </w:pPr>
          </w:p>
        </w:tc>
        <w:tc>
          <w:tcPr>
            <w:tcW w:w="7633" w:type="dxa"/>
            <w:vAlign w:val="center"/>
          </w:tcPr>
          <w:p w14:paraId="368A4983">
            <w:pPr>
              <w:spacing w:line="360" w:lineRule="auto"/>
              <w:rPr>
                <w:rFonts w:ascii="仿宋" w:hAnsi="仿宋" w:eastAsia="仿宋" w:cs="宋体"/>
                <w:color w:val="auto"/>
                <w:sz w:val="24"/>
                <w:u w:val="single"/>
              </w:rPr>
            </w:pPr>
          </w:p>
        </w:tc>
      </w:tr>
      <w:tr w14:paraId="4D02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364C0BBC">
            <w:pPr>
              <w:spacing w:line="360" w:lineRule="auto"/>
              <w:rPr>
                <w:rFonts w:ascii="仿宋" w:hAnsi="仿宋" w:eastAsia="仿宋" w:cs="宋体"/>
                <w:color w:val="auto"/>
                <w:sz w:val="24"/>
              </w:rPr>
            </w:pPr>
          </w:p>
        </w:tc>
        <w:tc>
          <w:tcPr>
            <w:tcW w:w="7633" w:type="dxa"/>
            <w:vAlign w:val="center"/>
          </w:tcPr>
          <w:p w14:paraId="4508AA15">
            <w:pPr>
              <w:spacing w:line="360" w:lineRule="auto"/>
              <w:rPr>
                <w:rFonts w:ascii="仿宋" w:hAnsi="仿宋" w:eastAsia="仿宋" w:cs="宋体"/>
                <w:color w:val="auto"/>
                <w:sz w:val="24"/>
              </w:rPr>
            </w:pPr>
          </w:p>
        </w:tc>
      </w:tr>
      <w:tr w14:paraId="59A9B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32901EEE">
            <w:pPr>
              <w:spacing w:line="360" w:lineRule="auto"/>
              <w:rPr>
                <w:rFonts w:ascii="仿宋" w:hAnsi="仿宋" w:eastAsia="仿宋" w:cs="宋体"/>
                <w:color w:val="auto"/>
                <w:sz w:val="24"/>
              </w:rPr>
            </w:pPr>
          </w:p>
        </w:tc>
        <w:tc>
          <w:tcPr>
            <w:tcW w:w="7633" w:type="dxa"/>
            <w:vAlign w:val="center"/>
          </w:tcPr>
          <w:p w14:paraId="0CB49703">
            <w:pPr>
              <w:spacing w:line="360" w:lineRule="auto"/>
              <w:rPr>
                <w:rFonts w:ascii="仿宋" w:hAnsi="仿宋" w:eastAsia="仿宋" w:cs="宋体"/>
                <w:color w:val="auto"/>
                <w:sz w:val="24"/>
              </w:rPr>
            </w:pPr>
          </w:p>
        </w:tc>
      </w:tr>
      <w:tr w14:paraId="4284D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58117FCE">
            <w:pPr>
              <w:spacing w:line="360" w:lineRule="auto"/>
              <w:rPr>
                <w:rFonts w:ascii="仿宋" w:hAnsi="仿宋" w:eastAsia="仿宋" w:cs="宋体"/>
                <w:color w:val="auto"/>
                <w:sz w:val="24"/>
              </w:rPr>
            </w:pPr>
          </w:p>
        </w:tc>
        <w:tc>
          <w:tcPr>
            <w:tcW w:w="7633" w:type="dxa"/>
            <w:vAlign w:val="center"/>
          </w:tcPr>
          <w:p w14:paraId="40DAEFDD">
            <w:pPr>
              <w:spacing w:line="360" w:lineRule="auto"/>
              <w:rPr>
                <w:rFonts w:ascii="仿宋" w:hAnsi="仿宋" w:eastAsia="仿宋" w:cs="宋体"/>
                <w:color w:val="auto"/>
                <w:sz w:val="24"/>
              </w:rPr>
            </w:pPr>
          </w:p>
        </w:tc>
      </w:tr>
      <w:tr w14:paraId="3EB8B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76068764">
            <w:pPr>
              <w:spacing w:line="360" w:lineRule="auto"/>
              <w:rPr>
                <w:rFonts w:ascii="仿宋" w:hAnsi="仿宋" w:eastAsia="仿宋" w:cs="宋体"/>
                <w:color w:val="auto"/>
                <w:sz w:val="24"/>
              </w:rPr>
            </w:pPr>
          </w:p>
        </w:tc>
        <w:tc>
          <w:tcPr>
            <w:tcW w:w="7633" w:type="dxa"/>
            <w:vAlign w:val="center"/>
          </w:tcPr>
          <w:p w14:paraId="2D10FA07">
            <w:pPr>
              <w:spacing w:line="360" w:lineRule="auto"/>
              <w:rPr>
                <w:rFonts w:ascii="仿宋" w:hAnsi="仿宋" w:eastAsia="仿宋" w:cs="宋体"/>
                <w:color w:val="auto"/>
                <w:sz w:val="24"/>
              </w:rPr>
            </w:pPr>
          </w:p>
        </w:tc>
      </w:tr>
      <w:tr w14:paraId="51219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14:paraId="347953B5">
            <w:pPr>
              <w:spacing w:line="360" w:lineRule="auto"/>
              <w:rPr>
                <w:rFonts w:ascii="仿宋" w:hAnsi="仿宋" w:eastAsia="仿宋" w:cs="宋体"/>
                <w:color w:val="auto"/>
                <w:sz w:val="24"/>
              </w:rPr>
            </w:pPr>
          </w:p>
        </w:tc>
        <w:tc>
          <w:tcPr>
            <w:tcW w:w="7633" w:type="dxa"/>
            <w:vAlign w:val="center"/>
          </w:tcPr>
          <w:p w14:paraId="66445157">
            <w:pPr>
              <w:spacing w:line="360" w:lineRule="auto"/>
              <w:rPr>
                <w:rFonts w:ascii="仿宋" w:hAnsi="仿宋" w:eastAsia="仿宋" w:cs="宋体"/>
                <w:color w:val="auto"/>
                <w:sz w:val="24"/>
              </w:rPr>
            </w:pPr>
          </w:p>
        </w:tc>
      </w:tr>
    </w:tbl>
    <w:p w14:paraId="2A9E00E1">
      <w:pPr>
        <w:pStyle w:val="10"/>
        <w:spacing w:line="400" w:lineRule="exact"/>
        <w:ind w:firstLine="240"/>
        <w:rPr>
          <w:rFonts w:ascii="仿宋" w:hAnsi="仿宋" w:eastAsia="仿宋" w:cs="宋体"/>
          <w:color w:val="auto"/>
          <w:szCs w:val="24"/>
        </w:rPr>
      </w:pPr>
    </w:p>
    <w:p w14:paraId="16CAA88C">
      <w:pPr>
        <w:spacing w:line="400" w:lineRule="exact"/>
        <w:rPr>
          <w:rFonts w:ascii="宋体" w:hAnsi="宋体" w:cs="宋体"/>
          <w:color w:val="auto"/>
        </w:rPr>
      </w:pPr>
    </w:p>
    <w:p w14:paraId="4CC9B998">
      <w:pPr>
        <w:spacing w:line="243" w:lineRule="auto"/>
        <w:rPr>
          <w:rFonts w:ascii="仿宋" w:hAnsi="仿宋" w:eastAsia="仿宋"/>
          <w:color w:val="auto"/>
        </w:rPr>
      </w:pPr>
    </w:p>
    <w:p w14:paraId="1E47526B">
      <w:pPr>
        <w:spacing w:line="244" w:lineRule="auto"/>
        <w:rPr>
          <w:rFonts w:ascii="仿宋" w:hAnsi="仿宋" w:eastAsia="仿宋"/>
          <w:color w:val="auto"/>
        </w:rPr>
      </w:pPr>
    </w:p>
    <w:p w14:paraId="39E61E2F">
      <w:pPr>
        <w:spacing w:line="244" w:lineRule="auto"/>
        <w:rPr>
          <w:rFonts w:ascii="仿宋" w:hAnsi="仿宋" w:eastAsia="仿宋"/>
          <w:color w:val="auto"/>
        </w:rPr>
      </w:pPr>
    </w:p>
    <w:p w14:paraId="2784BB2A">
      <w:pPr>
        <w:spacing w:line="244" w:lineRule="auto"/>
        <w:rPr>
          <w:rFonts w:ascii="仿宋" w:hAnsi="仿宋" w:eastAsia="仿宋"/>
          <w:color w:val="auto"/>
        </w:rPr>
      </w:pPr>
    </w:p>
    <w:p w14:paraId="0E3175C5">
      <w:pPr>
        <w:spacing w:line="244" w:lineRule="auto"/>
        <w:rPr>
          <w:rFonts w:ascii="仿宋" w:hAnsi="仿宋" w:eastAsia="仿宋"/>
          <w:color w:val="auto"/>
          <w:highlight w:val="yellow"/>
        </w:rPr>
      </w:pPr>
    </w:p>
    <w:p w14:paraId="2BB5C745">
      <w:pPr>
        <w:rPr>
          <w:color w:val="auto"/>
        </w:rPr>
      </w:pPr>
    </w:p>
    <w:bookmarkEnd w:id="1161"/>
    <w:sectPr>
      <w:headerReference r:id="rId21" w:type="default"/>
      <w:footerReference r:id="rId22" w:type="default"/>
      <w:pgSz w:w="11905" w:h="16838"/>
      <w:pgMar w:top="1984" w:right="1531" w:bottom="1701" w:left="1531" w:header="851" w:footer="992"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6685">
    <w:pPr>
      <w:pStyle w:val="2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D912">
    <w:pPr>
      <w:pStyle w:val="24"/>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4795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026AB2C">
                          <w:pPr>
                            <w:pStyle w:val="24"/>
                          </w:pPr>
                          <w:r>
                            <w:fldChar w:fldCharType="begin"/>
                          </w:r>
                          <w:r>
                            <w:instrText xml:space="preserve"> PAGE  \* MERGEFORMAT </w:instrText>
                          </w:r>
                          <w:r>
                            <w:fldChar w:fldCharType="separate"/>
                          </w:r>
                          <w:r>
                            <w:t>66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950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XTy1DCgIAAAQEAAAOAAAAZHJzL2Uyb0RvYy54bWytU82O0zAQviPx&#10;DpbvNM2yBTZqulq2KkJafqSFB3Adp7GIPdbYbVIeAN5gT1y481x9DsZOU5blsgcu1tgef/N934zn&#10;l71p2U6h12BLnk+mnCkrodJ2U/LPn1bPXnHmg7CVaMGqku+V55eLp0/mnSvUGTTQVgoZgVhfdK7k&#10;TQiuyDIvG2WEn4BTli5rQCMCbXGTVSg6Qjdtdjadvsg6wMohSOU9nS6HS35ExMcAQl1rqZYgt0bZ&#10;MKCiakUgSb7RzvNFYlvXSoYPde1VYG3JSWlIKxWheB3XbDEXxQaFa7Q8UhCPofBAkxHaUtET1FIE&#10;wbao/4EyWiJ4qMNEgskGIckRUpFPH3hz2winkhay2ruT6f7/wcr3u4/IdEWTkHNmhaGOH+6+H378&#10;Ovz8xuiMDOqcLyjv1lFm6F9DT8lJrHc3IL94ZuG6EXajrhCha5SoiGB6md17OuD4CLLu3kFFhcQ2&#10;QALqazTRPfKDETo1Z39qjuoDk7Fkfn7xfMaZpKv8/OXFbBa5ZaIYHzv04Y0Cw2JQcqTeJ3Cxu/Fh&#10;SB1TYi0LK922qf+t/euAMONJIh/5DsxDv+6PZqyh2pMMhGGc6DNR0AB+5ayjUSq5pZ/DWfvWkhFx&#10;6sYAx2A9BsJKeljywNkQXodhOrcO9aYh3NHqKzJrpZOQ6OrA4ciShiNZcRzkOH339ynrz+d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pb8P0QAAAAMBAAAPAAAAAAAAAAEAIAAAACIAAABkcnMv&#10;ZG93bnJldi54bWxQSwECFAAUAAAACACHTuJAF08tQwoCAAAEBAAADgAAAAAAAAABACAAAAAgAQAA&#10;ZHJzL2Uyb0RvYy54bWxQSwUGAAAAAAYABgBZAQAAnAUAAAAA&#10;">
              <v:fill on="f" focussize="0,0"/>
              <v:stroke on="f"/>
              <v:imagedata o:title=""/>
              <o:lock v:ext="edit" aspectratio="f"/>
              <v:textbox inset="0mm,0mm,0mm,0mm" style="mso-fit-shape-to-text:t;">
                <w:txbxContent>
                  <w:p w14:paraId="2026AB2C">
                    <w:pPr>
                      <w:pStyle w:val="24"/>
                    </w:pPr>
                    <w:r>
                      <w:fldChar w:fldCharType="begin"/>
                    </w:r>
                    <w:r>
                      <w:instrText xml:space="preserve"> PAGE  \* MERGEFORMAT </w:instrText>
                    </w:r>
                    <w:r>
                      <w:fldChar w:fldCharType="separate"/>
                    </w:r>
                    <w:r>
                      <w:t>66</w:t>
                    </w:r>
                    <w:r>
                      <w:fldChar w:fldCharType="end"/>
                    </w:r>
                  </w:p>
                </w:txbxContent>
              </v:textbox>
            </v:shape>
          </w:pict>
        </mc:Fallback>
      </mc:AlternateContent>
    </w:r>
  </w:p>
  <w:p w14:paraId="692F3E56">
    <w:pPr>
      <w:pStyle w:val="24"/>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E9D3">
    <w:pPr>
      <w:pStyle w:val="2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E928B">
                          <w:pPr>
                            <w:pStyle w:val="2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C6E928B">
                    <w:pPr>
                      <w:pStyle w:val="2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C338">
    <w:pPr>
      <w:widowControl/>
      <w:tabs>
        <w:tab w:val="center" w:pos="4153"/>
        <w:tab w:val="right" w:pos="8306"/>
      </w:tabs>
      <w:kinsoku w:val="0"/>
      <w:autoSpaceDE w:val="0"/>
      <w:autoSpaceDN w:val="0"/>
      <w:adjustRightInd w:val="0"/>
      <w:snapToGrid w:val="0"/>
      <w:ind w:right="360"/>
      <w:jc w:val="left"/>
      <w:textAlignment w:val="baseline"/>
      <w:rPr>
        <w:rFonts w:ascii="Arial" w:hAnsi="Arial" w:eastAsia="Arial" w:cs="Arial"/>
        <w:snapToGrid w:val="0"/>
        <w:color w:val="000000"/>
        <w:kern w:val="0"/>
        <w:szCs w:val="21"/>
        <w:lang w:eastAsia="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65DCD">
                          <w:pPr>
                            <w:pStyle w:val="24"/>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rPr>
                            <w:t>29</w:t>
                          </w:r>
                          <w:r>
                            <w:rPr>
                              <w:rFonts w:hint="eastAsia" w:ascii="仿宋_GB2312" w:eastAsia="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FF65DCD">
                    <w:pPr>
                      <w:pStyle w:val="24"/>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rPr>
                      <w:t>29</w:t>
                    </w:r>
                    <w:r>
                      <w:rPr>
                        <w:rFonts w:hint="eastAsia" w:ascii="仿宋_GB2312" w:eastAsia="仿宋_GB2312"/>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1F9">
    <w:pPr>
      <w:kinsoku w:val="0"/>
      <w:autoSpaceDE w:val="0"/>
      <w:autoSpaceDN w:val="0"/>
      <w:adjustRightInd w:val="0"/>
      <w:snapToGrid w:val="0"/>
      <w:spacing w:line="173" w:lineRule="auto"/>
      <w:textAlignment w:val="baseline"/>
      <w:rPr>
        <w:rFonts w:ascii="宋体" w:hAnsi="宋体" w:cs="宋体"/>
        <w:snapToGrid w:val="0"/>
        <w:color w:val="00000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5EBD9">
                          <w:pPr>
                            <w:pStyle w:val="2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65EBD9">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90A2">
    <w:pPr>
      <w:kinsoku w:val="0"/>
      <w:autoSpaceDE w:val="0"/>
      <w:autoSpaceDN w:val="0"/>
      <w:adjustRightInd w:val="0"/>
      <w:snapToGrid w:val="0"/>
      <w:spacing w:line="172" w:lineRule="auto"/>
      <w:ind w:left="4083"/>
      <w:textAlignment w:val="baseline"/>
      <w:rPr>
        <w:rFonts w:ascii="宋体" w:hAnsi="宋体" w:cs="宋体"/>
        <w:snapToGrid w:val="0"/>
        <w:color w:val="000000"/>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2AF32">
                          <w:pPr>
                            <w:pStyle w:val="2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602AF32">
                    <w:pPr>
                      <w:pStyle w:val="2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E60C">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95B38">
                          <w:pPr>
                            <w:pStyle w:val="2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0895B38">
                    <w:pPr>
                      <w:pStyle w:val="2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D77">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809A0">
                          <w:pPr>
                            <w:pStyle w:val="2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A3809A0">
                    <w:pPr>
                      <w:pStyle w:val="2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B62C">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5E8B2">
                          <w:pPr>
                            <w:pStyle w:val="2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FD5E8B2">
                    <w:pPr>
                      <w:pStyle w:val="24"/>
                    </w:pPr>
                    <w:r>
                      <w:fldChar w:fldCharType="begin"/>
                    </w:r>
                    <w:r>
                      <w:instrText xml:space="preserve"> PAGE  \* MERGEFORMAT </w:instrText>
                    </w:r>
                    <w:r>
                      <w:fldChar w:fldCharType="separate"/>
                    </w:r>
                    <w:r>
                      <w:t>55</w:t>
                    </w:r>
                    <w:r>
                      <w:fldChar w:fldCharType="end"/>
                    </w:r>
                  </w:p>
                </w:txbxContent>
              </v:textbox>
            </v:shape>
          </w:pict>
        </mc:Fallback>
      </mc:AlternateContent>
    </w:r>
  </w:p>
  <w:p w14:paraId="0A2F4B4D">
    <w:pPr>
      <w:pStyle w:val="2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412B">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6D4D">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5A58">
    <w:pPr>
      <w:pStyle w:val="5"/>
      <w:spacing w:line="396" w:lineRule="exact"/>
      <w:ind w:left="11" w:firstLine="1800" w:firstLineChars="100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F3A2">
    <w:pPr>
      <w:pStyle w:val="26"/>
      <w:pBdr>
        <w:bottom w:val="none" w:color="auto" w:sz="0" w:space="1"/>
      </w:pBdr>
      <w:tabs>
        <w:tab w:val="clear" w:pos="830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770BF">
    <w:pPr>
      <w:widowControl/>
      <w:kinsoku w:val="0"/>
      <w:autoSpaceDE w:val="0"/>
      <w:autoSpaceDN w:val="0"/>
      <w:adjustRightInd w:val="0"/>
      <w:snapToGrid w:val="0"/>
      <w:ind w:firstLine="3150" w:firstLineChars="1500"/>
      <w:jc w:val="left"/>
      <w:textAlignment w:val="baseline"/>
      <w:rPr>
        <w:rFonts w:ascii="Arial" w:hAnsi="Arial" w:cs="Arial"/>
        <w:snapToGrid w:val="0"/>
        <w:color w:val="000000"/>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C6A5">
    <w:pPr>
      <w:widowControl/>
      <w:kinsoku w:val="0"/>
      <w:autoSpaceDE w:val="0"/>
      <w:autoSpaceDN w:val="0"/>
      <w:adjustRightInd w:val="0"/>
      <w:snapToGrid w:val="0"/>
      <w:ind w:firstLine="3150" w:firstLineChars="1500"/>
      <w:jc w:val="left"/>
      <w:textAlignment w:val="baseline"/>
      <w:rPr>
        <w:rFonts w:ascii="Arial" w:hAnsi="Arial" w:cs="Arial"/>
        <w:snapToGrid w:val="0"/>
        <w:color w:val="000000"/>
        <w:kern w:val="0"/>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221">
    <w:pPr>
      <w:pStyle w:val="26"/>
      <w:pBdr>
        <w:bottom w:val="none" w:color="auto" w:sz="0" w:space="1"/>
      </w:pBdr>
      <w:jc w:val="left"/>
    </w:pPr>
    <w:r>
      <w:rPr>
        <w:rFonts w:ascii="Cambria" w:hAnsi="Cambria"/>
        <w:vanish/>
        <w:sz w:val="32"/>
        <w:szCs w:val="32"/>
        <w:highlight w:val="yellow"/>
      </w:rPr>
      <w:t>&lt;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AA07">
    <w:pPr>
      <w:pStyle w:val="2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EC40">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49A6">
    <w:pPr>
      <w:pStyle w:val="26"/>
      <w:pBdr>
        <w:bottom w:val="none" w:color="auto" w:sz="0" w:space="0"/>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A6CF">
    <w:pPr>
      <w:pStyle w:val="26"/>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11"/>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1">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1216518B"/>
    <w:multiLevelType w:val="singleLevel"/>
    <w:tmpl w:val="1216518B"/>
    <w:lvl w:ilvl="0" w:tentative="0">
      <w:start w:val="2"/>
      <w:numFmt w:val="decimal"/>
      <w:suff w:val="nothing"/>
      <w:lvlText w:val="%1、"/>
      <w:lvlJc w:val="left"/>
      <w:rPr>
        <w:rFonts w:hint="default"/>
        <w:b w:val="0"/>
        <w:bCs w:val="0"/>
      </w:rPr>
    </w:lvl>
  </w:abstractNum>
  <w:abstractNum w:abstractNumId="3">
    <w:nsid w:val="686BCABD"/>
    <w:multiLevelType w:val="singleLevel"/>
    <w:tmpl w:val="686BCABD"/>
    <w:lvl w:ilvl="0" w:tentative="0">
      <w:start w:val="2"/>
      <w:numFmt w:val="decimal"/>
      <w:suff w:val="space"/>
      <w:lvlText w:val="%1."/>
      <w:lvlJc w:val="left"/>
    </w:lvl>
  </w:abstractNum>
  <w:abstractNum w:abstractNumId="4">
    <w:nsid w:val="6D97841C"/>
    <w:multiLevelType w:val="singleLevel"/>
    <w:tmpl w:val="6D97841C"/>
    <w:lvl w:ilvl="0" w:tentative="0">
      <w:start w:val="2"/>
      <w:numFmt w:val="decimal"/>
      <w:suff w:val="nothing"/>
      <w:lvlText w:val="%1、"/>
      <w:lvlJc w:val="left"/>
    </w:lvl>
  </w:abstractNum>
  <w:abstractNum w:abstractNumId="5">
    <w:nsid w:val="7DEDC627"/>
    <w:multiLevelType w:val="singleLevel"/>
    <w:tmpl w:val="7DEDC627"/>
    <w:lvl w:ilvl="0" w:tentative="0">
      <w:start w:val="3"/>
      <w:numFmt w:val="decimal"/>
      <w:lvlText w:val="%1."/>
      <w:lvlJc w:val="left"/>
      <w:pPr>
        <w:tabs>
          <w:tab w:val="left" w:pos="312"/>
        </w:tabs>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WQxYTNlN2RiNzhiN2VmODBkM2ExZTVkMjE3MWMifQ=="/>
    <w:docVar w:name="KSO_WPS_MARK_KEY" w:val="13256ca7-ff7d-4432-802a-d50f06383b2d"/>
  </w:docVars>
  <w:rsids>
    <w:rsidRoot w:val="00A2385F"/>
    <w:rsid w:val="000366F3"/>
    <w:rsid w:val="0005268F"/>
    <w:rsid w:val="000923E9"/>
    <w:rsid w:val="000F38AC"/>
    <w:rsid w:val="0018099E"/>
    <w:rsid w:val="001C2D60"/>
    <w:rsid w:val="00236911"/>
    <w:rsid w:val="002D6058"/>
    <w:rsid w:val="00373832"/>
    <w:rsid w:val="00376A20"/>
    <w:rsid w:val="00437E1B"/>
    <w:rsid w:val="00481283"/>
    <w:rsid w:val="004D0FE3"/>
    <w:rsid w:val="00537FBC"/>
    <w:rsid w:val="00583AA5"/>
    <w:rsid w:val="005A2491"/>
    <w:rsid w:val="007201E0"/>
    <w:rsid w:val="00751EAB"/>
    <w:rsid w:val="007F7AB9"/>
    <w:rsid w:val="00807164"/>
    <w:rsid w:val="0083291A"/>
    <w:rsid w:val="0084662C"/>
    <w:rsid w:val="00910A35"/>
    <w:rsid w:val="0095072D"/>
    <w:rsid w:val="00976F53"/>
    <w:rsid w:val="009A7994"/>
    <w:rsid w:val="00A2385F"/>
    <w:rsid w:val="00A35B52"/>
    <w:rsid w:val="00A8113C"/>
    <w:rsid w:val="00B11852"/>
    <w:rsid w:val="00BB4B5A"/>
    <w:rsid w:val="00BD3553"/>
    <w:rsid w:val="00D0760D"/>
    <w:rsid w:val="00D46B22"/>
    <w:rsid w:val="00DD2DEB"/>
    <w:rsid w:val="00E52F76"/>
    <w:rsid w:val="00E55333"/>
    <w:rsid w:val="00EA233A"/>
    <w:rsid w:val="00F5476E"/>
    <w:rsid w:val="010524BA"/>
    <w:rsid w:val="01125A5E"/>
    <w:rsid w:val="01211AD4"/>
    <w:rsid w:val="0134709D"/>
    <w:rsid w:val="013E5860"/>
    <w:rsid w:val="014533BD"/>
    <w:rsid w:val="0147153B"/>
    <w:rsid w:val="015D7FE4"/>
    <w:rsid w:val="016F6A25"/>
    <w:rsid w:val="01701A0E"/>
    <w:rsid w:val="0179546C"/>
    <w:rsid w:val="017D3E84"/>
    <w:rsid w:val="017E427C"/>
    <w:rsid w:val="018140CF"/>
    <w:rsid w:val="018A2437"/>
    <w:rsid w:val="018C2D61"/>
    <w:rsid w:val="019404F8"/>
    <w:rsid w:val="019D73AC"/>
    <w:rsid w:val="01B00A12"/>
    <w:rsid w:val="01B67746"/>
    <w:rsid w:val="01C81F50"/>
    <w:rsid w:val="01C8665F"/>
    <w:rsid w:val="01C963B7"/>
    <w:rsid w:val="01DA7CD9"/>
    <w:rsid w:val="01DB262B"/>
    <w:rsid w:val="01E3651A"/>
    <w:rsid w:val="01E536F7"/>
    <w:rsid w:val="01EB76E7"/>
    <w:rsid w:val="01ED54E1"/>
    <w:rsid w:val="01F91A55"/>
    <w:rsid w:val="01FC27C2"/>
    <w:rsid w:val="02147AFB"/>
    <w:rsid w:val="02690F88"/>
    <w:rsid w:val="028C3520"/>
    <w:rsid w:val="028C4AC9"/>
    <w:rsid w:val="02B25596"/>
    <w:rsid w:val="02B973DC"/>
    <w:rsid w:val="02BB745B"/>
    <w:rsid w:val="02C848FD"/>
    <w:rsid w:val="02E62CF8"/>
    <w:rsid w:val="02EE0040"/>
    <w:rsid w:val="02F1288C"/>
    <w:rsid w:val="02F45D69"/>
    <w:rsid w:val="02F90983"/>
    <w:rsid w:val="02FA309F"/>
    <w:rsid w:val="03002B58"/>
    <w:rsid w:val="03091250"/>
    <w:rsid w:val="03093041"/>
    <w:rsid w:val="030D164E"/>
    <w:rsid w:val="031A1DEF"/>
    <w:rsid w:val="03321F2A"/>
    <w:rsid w:val="033705B7"/>
    <w:rsid w:val="03590AF2"/>
    <w:rsid w:val="036611D4"/>
    <w:rsid w:val="036B40A7"/>
    <w:rsid w:val="036F5A57"/>
    <w:rsid w:val="03720451"/>
    <w:rsid w:val="037C70E4"/>
    <w:rsid w:val="038B23B0"/>
    <w:rsid w:val="038D178A"/>
    <w:rsid w:val="038D41AD"/>
    <w:rsid w:val="038F46AF"/>
    <w:rsid w:val="03A117AC"/>
    <w:rsid w:val="03B24423"/>
    <w:rsid w:val="03B46C2F"/>
    <w:rsid w:val="03C56A58"/>
    <w:rsid w:val="03CE5F43"/>
    <w:rsid w:val="03D231EC"/>
    <w:rsid w:val="03D47417"/>
    <w:rsid w:val="03DA0EBC"/>
    <w:rsid w:val="03EE0393"/>
    <w:rsid w:val="03F07373"/>
    <w:rsid w:val="03F20B60"/>
    <w:rsid w:val="04015D0E"/>
    <w:rsid w:val="04186A8A"/>
    <w:rsid w:val="042A08F8"/>
    <w:rsid w:val="042A113E"/>
    <w:rsid w:val="045D7B40"/>
    <w:rsid w:val="045E49C7"/>
    <w:rsid w:val="046D304D"/>
    <w:rsid w:val="04731085"/>
    <w:rsid w:val="04747A48"/>
    <w:rsid w:val="04784101"/>
    <w:rsid w:val="04785EAF"/>
    <w:rsid w:val="04787C5D"/>
    <w:rsid w:val="047E093E"/>
    <w:rsid w:val="048D0707"/>
    <w:rsid w:val="048D72F3"/>
    <w:rsid w:val="049276B1"/>
    <w:rsid w:val="049D7DF5"/>
    <w:rsid w:val="04A9252C"/>
    <w:rsid w:val="04AB5747"/>
    <w:rsid w:val="04B22F0A"/>
    <w:rsid w:val="04C56495"/>
    <w:rsid w:val="04E75040"/>
    <w:rsid w:val="04EC2304"/>
    <w:rsid w:val="04EC3346"/>
    <w:rsid w:val="04ED3108"/>
    <w:rsid w:val="04ED60CA"/>
    <w:rsid w:val="04F7641F"/>
    <w:rsid w:val="04F87BAD"/>
    <w:rsid w:val="0500010F"/>
    <w:rsid w:val="05087525"/>
    <w:rsid w:val="05143E2A"/>
    <w:rsid w:val="0515576F"/>
    <w:rsid w:val="052161FD"/>
    <w:rsid w:val="05261AAF"/>
    <w:rsid w:val="052D07D4"/>
    <w:rsid w:val="053718BE"/>
    <w:rsid w:val="053764FC"/>
    <w:rsid w:val="055F4DD8"/>
    <w:rsid w:val="056621AB"/>
    <w:rsid w:val="05707440"/>
    <w:rsid w:val="05803D35"/>
    <w:rsid w:val="05AF3B52"/>
    <w:rsid w:val="05C02FC9"/>
    <w:rsid w:val="05C32F45"/>
    <w:rsid w:val="05D36E03"/>
    <w:rsid w:val="05D918C2"/>
    <w:rsid w:val="05E456A5"/>
    <w:rsid w:val="05E47EEC"/>
    <w:rsid w:val="05E617ED"/>
    <w:rsid w:val="05F73FAC"/>
    <w:rsid w:val="05FC5B20"/>
    <w:rsid w:val="060752D5"/>
    <w:rsid w:val="06153242"/>
    <w:rsid w:val="061D286A"/>
    <w:rsid w:val="063234F5"/>
    <w:rsid w:val="063A78C0"/>
    <w:rsid w:val="063C6016"/>
    <w:rsid w:val="06473D73"/>
    <w:rsid w:val="06474B98"/>
    <w:rsid w:val="06496C7F"/>
    <w:rsid w:val="064A0316"/>
    <w:rsid w:val="064E6EC7"/>
    <w:rsid w:val="065C592B"/>
    <w:rsid w:val="066667A9"/>
    <w:rsid w:val="06677F89"/>
    <w:rsid w:val="066D1CAF"/>
    <w:rsid w:val="06703FD9"/>
    <w:rsid w:val="06755707"/>
    <w:rsid w:val="067B7B4A"/>
    <w:rsid w:val="069B03C7"/>
    <w:rsid w:val="069F7723"/>
    <w:rsid w:val="06B22121"/>
    <w:rsid w:val="06D86974"/>
    <w:rsid w:val="06DD234E"/>
    <w:rsid w:val="06E96DFB"/>
    <w:rsid w:val="06F67066"/>
    <w:rsid w:val="07230354"/>
    <w:rsid w:val="074579E5"/>
    <w:rsid w:val="07516136"/>
    <w:rsid w:val="07610A04"/>
    <w:rsid w:val="077A5D1C"/>
    <w:rsid w:val="07891992"/>
    <w:rsid w:val="078C1A48"/>
    <w:rsid w:val="07A56FBB"/>
    <w:rsid w:val="07A80DEC"/>
    <w:rsid w:val="07AD40C1"/>
    <w:rsid w:val="07B74157"/>
    <w:rsid w:val="07C56195"/>
    <w:rsid w:val="07CA5902"/>
    <w:rsid w:val="07CD180E"/>
    <w:rsid w:val="07CF7782"/>
    <w:rsid w:val="07F95559"/>
    <w:rsid w:val="07FC3679"/>
    <w:rsid w:val="08024DF7"/>
    <w:rsid w:val="08052A7A"/>
    <w:rsid w:val="082D6A29"/>
    <w:rsid w:val="083F5B5A"/>
    <w:rsid w:val="085B3539"/>
    <w:rsid w:val="08652581"/>
    <w:rsid w:val="08A4297C"/>
    <w:rsid w:val="08B655D0"/>
    <w:rsid w:val="08B7268E"/>
    <w:rsid w:val="08B8144A"/>
    <w:rsid w:val="08B8657D"/>
    <w:rsid w:val="08C97421"/>
    <w:rsid w:val="08D431D4"/>
    <w:rsid w:val="08D4725F"/>
    <w:rsid w:val="08D87F1F"/>
    <w:rsid w:val="08DB12F2"/>
    <w:rsid w:val="08DC4D33"/>
    <w:rsid w:val="08E774C9"/>
    <w:rsid w:val="08F75C3E"/>
    <w:rsid w:val="08FD2FBB"/>
    <w:rsid w:val="090319CE"/>
    <w:rsid w:val="09046842"/>
    <w:rsid w:val="09063A89"/>
    <w:rsid w:val="090C58FE"/>
    <w:rsid w:val="0916459F"/>
    <w:rsid w:val="0917285B"/>
    <w:rsid w:val="091A7B0E"/>
    <w:rsid w:val="09452378"/>
    <w:rsid w:val="094B7264"/>
    <w:rsid w:val="09700438"/>
    <w:rsid w:val="0983157E"/>
    <w:rsid w:val="0984177E"/>
    <w:rsid w:val="098E5A20"/>
    <w:rsid w:val="09BC028D"/>
    <w:rsid w:val="09D228EF"/>
    <w:rsid w:val="09F0070E"/>
    <w:rsid w:val="09F95B1B"/>
    <w:rsid w:val="09FD0D82"/>
    <w:rsid w:val="0A0A75A9"/>
    <w:rsid w:val="0A163248"/>
    <w:rsid w:val="0A165A38"/>
    <w:rsid w:val="0A184E5C"/>
    <w:rsid w:val="0A1A54C4"/>
    <w:rsid w:val="0A2A329B"/>
    <w:rsid w:val="0A3058CA"/>
    <w:rsid w:val="0A46533C"/>
    <w:rsid w:val="0A5708DA"/>
    <w:rsid w:val="0A5D3C9D"/>
    <w:rsid w:val="0A6D34BC"/>
    <w:rsid w:val="0A71587A"/>
    <w:rsid w:val="0A73514E"/>
    <w:rsid w:val="0A7E1D37"/>
    <w:rsid w:val="0A7F178F"/>
    <w:rsid w:val="0A7F70B2"/>
    <w:rsid w:val="0A836C1F"/>
    <w:rsid w:val="0A870FE2"/>
    <w:rsid w:val="0AB06A3F"/>
    <w:rsid w:val="0AB86D45"/>
    <w:rsid w:val="0ABC3767"/>
    <w:rsid w:val="0AC21BF6"/>
    <w:rsid w:val="0ACA545E"/>
    <w:rsid w:val="0ACF434F"/>
    <w:rsid w:val="0ADC6000"/>
    <w:rsid w:val="0AF2175B"/>
    <w:rsid w:val="0B002E4E"/>
    <w:rsid w:val="0B03123F"/>
    <w:rsid w:val="0B0405FD"/>
    <w:rsid w:val="0B092AC6"/>
    <w:rsid w:val="0B0A6E3C"/>
    <w:rsid w:val="0B0E4F5B"/>
    <w:rsid w:val="0B0E6379"/>
    <w:rsid w:val="0B15342C"/>
    <w:rsid w:val="0B1B5470"/>
    <w:rsid w:val="0B281539"/>
    <w:rsid w:val="0B497F1C"/>
    <w:rsid w:val="0B4B0851"/>
    <w:rsid w:val="0B633D1A"/>
    <w:rsid w:val="0B692DCB"/>
    <w:rsid w:val="0B766D12"/>
    <w:rsid w:val="0B7E4235"/>
    <w:rsid w:val="0B7F74A7"/>
    <w:rsid w:val="0B8A5E35"/>
    <w:rsid w:val="0B8A71CC"/>
    <w:rsid w:val="0B8D0694"/>
    <w:rsid w:val="0B920BA5"/>
    <w:rsid w:val="0B9550CC"/>
    <w:rsid w:val="0B9B26BD"/>
    <w:rsid w:val="0BA15CEB"/>
    <w:rsid w:val="0BAB0B95"/>
    <w:rsid w:val="0BB24076"/>
    <w:rsid w:val="0BB32E0D"/>
    <w:rsid w:val="0BBE1B4F"/>
    <w:rsid w:val="0BC96A91"/>
    <w:rsid w:val="0BF355ED"/>
    <w:rsid w:val="0C005C69"/>
    <w:rsid w:val="0C025EC9"/>
    <w:rsid w:val="0C21727A"/>
    <w:rsid w:val="0C4E5342"/>
    <w:rsid w:val="0C521CE9"/>
    <w:rsid w:val="0C527533"/>
    <w:rsid w:val="0C6438DB"/>
    <w:rsid w:val="0C6805B7"/>
    <w:rsid w:val="0C7D05E0"/>
    <w:rsid w:val="0C812E4D"/>
    <w:rsid w:val="0C9507A9"/>
    <w:rsid w:val="0C967DC9"/>
    <w:rsid w:val="0CAE6610"/>
    <w:rsid w:val="0CB5445E"/>
    <w:rsid w:val="0CB850A1"/>
    <w:rsid w:val="0CB90E62"/>
    <w:rsid w:val="0CCA3F69"/>
    <w:rsid w:val="0CCC2232"/>
    <w:rsid w:val="0CDC5CC6"/>
    <w:rsid w:val="0CDE780B"/>
    <w:rsid w:val="0CE27409"/>
    <w:rsid w:val="0CE51054"/>
    <w:rsid w:val="0CE66CAF"/>
    <w:rsid w:val="0CE85A5A"/>
    <w:rsid w:val="0CE90887"/>
    <w:rsid w:val="0CFB5391"/>
    <w:rsid w:val="0D0177BE"/>
    <w:rsid w:val="0D065A6A"/>
    <w:rsid w:val="0D092A9C"/>
    <w:rsid w:val="0D0A7D79"/>
    <w:rsid w:val="0D140841"/>
    <w:rsid w:val="0D1A3FB6"/>
    <w:rsid w:val="0D1C23CC"/>
    <w:rsid w:val="0D1F6E79"/>
    <w:rsid w:val="0D226558"/>
    <w:rsid w:val="0D2A05E1"/>
    <w:rsid w:val="0D3F05B9"/>
    <w:rsid w:val="0D433D55"/>
    <w:rsid w:val="0D581437"/>
    <w:rsid w:val="0D58326E"/>
    <w:rsid w:val="0D613866"/>
    <w:rsid w:val="0D7E493E"/>
    <w:rsid w:val="0D7F2AD9"/>
    <w:rsid w:val="0D91386C"/>
    <w:rsid w:val="0DA86F94"/>
    <w:rsid w:val="0DAF6675"/>
    <w:rsid w:val="0DB42444"/>
    <w:rsid w:val="0DC06E1B"/>
    <w:rsid w:val="0DC540B1"/>
    <w:rsid w:val="0DF66C37"/>
    <w:rsid w:val="0DF97723"/>
    <w:rsid w:val="0DFA5C3E"/>
    <w:rsid w:val="0E0161A6"/>
    <w:rsid w:val="0E026283"/>
    <w:rsid w:val="0E075CE5"/>
    <w:rsid w:val="0E0E1903"/>
    <w:rsid w:val="0E174921"/>
    <w:rsid w:val="0E257BB8"/>
    <w:rsid w:val="0E29085B"/>
    <w:rsid w:val="0E35451A"/>
    <w:rsid w:val="0E361023"/>
    <w:rsid w:val="0E3C3EEE"/>
    <w:rsid w:val="0E436FAD"/>
    <w:rsid w:val="0E6F7F20"/>
    <w:rsid w:val="0E8D602B"/>
    <w:rsid w:val="0E9B0C86"/>
    <w:rsid w:val="0E9F50F9"/>
    <w:rsid w:val="0EA7186A"/>
    <w:rsid w:val="0EA770E0"/>
    <w:rsid w:val="0EB37936"/>
    <w:rsid w:val="0EB37E34"/>
    <w:rsid w:val="0EBA64AB"/>
    <w:rsid w:val="0EBE6DAF"/>
    <w:rsid w:val="0EE018B0"/>
    <w:rsid w:val="0EE04D7C"/>
    <w:rsid w:val="0EE24651"/>
    <w:rsid w:val="0EE534D8"/>
    <w:rsid w:val="0EF4487E"/>
    <w:rsid w:val="0F0C63D0"/>
    <w:rsid w:val="0F0F71EA"/>
    <w:rsid w:val="0F384BB8"/>
    <w:rsid w:val="0F437D72"/>
    <w:rsid w:val="0F4414CB"/>
    <w:rsid w:val="0F470F18"/>
    <w:rsid w:val="0F563291"/>
    <w:rsid w:val="0F5A22B4"/>
    <w:rsid w:val="0F5B4839"/>
    <w:rsid w:val="0F655249"/>
    <w:rsid w:val="0F6D3099"/>
    <w:rsid w:val="0F6E721B"/>
    <w:rsid w:val="0F783207"/>
    <w:rsid w:val="0F877284"/>
    <w:rsid w:val="0F8B5645"/>
    <w:rsid w:val="0F985657"/>
    <w:rsid w:val="0FA3738C"/>
    <w:rsid w:val="0FA62B5E"/>
    <w:rsid w:val="0FBB69BF"/>
    <w:rsid w:val="0FC61BB8"/>
    <w:rsid w:val="0FC85F3C"/>
    <w:rsid w:val="0FCE4A5B"/>
    <w:rsid w:val="0FD618D8"/>
    <w:rsid w:val="0FDE04DE"/>
    <w:rsid w:val="0FE964F7"/>
    <w:rsid w:val="0FEA67C8"/>
    <w:rsid w:val="0FEF3113"/>
    <w:rsid w:val="0FF25A98"/>
    <w:rsid w:val="10101588"/>
    <w:rsid w:val="101C18BE"/>
    <w:rsid w:val="101F564B"/>
    <w:rsid w:val="10233C5D"/>
    <w:rsid w:val="102B64CB"/>
    <w:rsid w:val="10371454"/>
    <w:rsid w:val="10417A9D"/>
    <w:rsid w:val="105D7899"/>
    <w:rsid w:val="10624D1C"/>
    <w:rsid w:val="107762D6"/>
    <w:rsid w:val="109238DB"/>
    <w:rsid w:val="10A937BF"/>
    <w:rsid w:val="10CB4DC3"/>
    <w:rsid w:val="10D827B0"/>
    <w:rsid w:val="10E1157D"/>
    <w:rsid w:val="10EA3763"/>
    <w:rsid w:val="10EB372F"/>
    <w:rsid w:val="10F62635"/>
    <w:rsid w:val="10F820FC"/>
    <w:rsid w:val="10F941B8"/>
    <w:rsid w:val="111C7B0C"/>
    <w:rsid w:val="112F523C"/>
    <w:rsid w:val="113413B0"/>
    <w:rsid w:val="113F700A"/>
    <w:rsid w:val="11473C83"/>
    <w:rsid w:val="116367EF"/>
    <w:rsid w:val="11674D0C"/>
    <w:rsid w:val="11730472"/>
    <w:rsid w:val="1182552C"/>
    <w:rsid w:val="118B12F6"/>
    <w:rsid w:val="119255CC"/>
    <w:rsid w:val="119D5452"/>
    <w:rsid w:val="11A73C82"/>
    <w:rsid w:val="11D469B8"/>
    <w:rsid w:val="11D546DC"/>
    <w:rsid w:val="11D578C1"/>
    <w:rsid w:val="11D75E31"/>
    <w:rsid w:val="11DA7806"/>
    <w:rsid w:val="11EC7BDD"/>
    <w:rsid w:val="120F546F"/>
    <w:rsid w:val="12162052"/>
    <w:rsid w:val="12261A20"/>
    <w:rsid w:val="123C2332"/>
    <w:rsid w:val="123D43D6"/>
    <w:rsid w:val="124757A1"/>
    <w:rsid w:val="12524DC1"/>
    <w:rsid w:val="12935506"/>
    <w:rsid w:val="12A143F5"/>
    <w:rsid w:val="12A509D3"/>
    <w:rsid w:val="12A7686F"/>
    <w:rsid w:val="12AC38F3"/>
    <w:rsid w:val="12B74D0F"/>
    <w:rsid w:val="12C624DB"/>
    <w:rsid w:val="12DC4521"/>
    <w:rsid w:val="12DC652E"/>
    <w:rsid w:val="12E57DFC"/>
    <w:rsid w:val="12E61DC3"/>
    <w:rsid w:val="12FA200B"/>
    <w:rsid w:val="12FA2197"/>
    <w:rsid w:val="130425E9"/>
    <w:rsid w:val="13117DC5"/>
    <w:rsid w:val="13246336"/>
    <w:rsid w:val="13334547"/>
    <w:rsid w:val="13346952"/>
    <w:rsid w:val="13383F81"/>
    <w:rsid w:val="13387AE1"/>
    <w:rsid w:val="134358DA"/>
    <w:rsid w:val="13615B8F"/>
    <w:rsid w:val="13616F9C"/>
    <w:rsid w:val="137D409C"/>
    <w:rsid w:val="138B6837"/>
    <w:rsid w:val="13907AC5"/>
    <w:rsid w:val="139257E8"/>
    <w:rsid w:val="13946135"/>
    <w:rsid w:val="139A3823"/>
    <w:rsid w:val="139C0D62"/>
    <w:rsid w:val="13AF26A4"/>
    <w:rsid w:val="13B0660A"/>
    <w:rsid w:val="13BD7988"/>
    <w:rsid w:val="13BE6289"/>
    <w:rsid w:val="13E06DE0"/>
    <w:rsid w:val="13EE163F"/>
    <w:rsid w:val="13F15336"/>
    <w:rsid w:val="13F316AE"/>
    <w:rsid w:val="13F653DA"/>
    <w:rsid w:val="13F776C2"/>
    <w:rsid w:val="13FA68E0"/>
    <w:rsid w:val="140333DF"/>
    <w:rsid w:val="14151B78"/>
    <w:rsid w:val="141B480E"/>
    <w:rsid w:val="141C70D4"/>
    <w:rsid w:val="142A620F"/>
    <w:rsid w:val="1433594E"/>
    <w:rsid w:val="14336D9E"/>
    <w:rsid w:val="14373691"/>
    <w:rsid w:val="1453547C"/>
    <w:rsid w:val="14563B69"/>
    <w:rsid w:val="14641FAC"/>
    <w:rsid w:val="146A26EA"/>
    <w:rsid w:val="146C2D38"/>
    <w:rsid w:val="1478680C"/>
    <w:rsid w:val="147940F2"/>
    <w:rsid w:val="14873911"/>
    <w:rsid w:val="14970D61"/>
    <w:rsid w:val="14A31E21"/>
    <w:rsid w:val="14B577EF"/>
    <w:rsid w:val="14B75B84"/>
    <w:rsid w:val="14BB64E2"/>
    <w:rsid w:val="14BC5944"/>
    <w:rsid w:val="14C8669B"/>
    <w:rsid w:val="14DC2824"/>
    <w:rsid w:val="14EC447B"/>
    <w:rsid w:val="15027590"/>
    <w:rsid w:val="15066DEF"/>
    <w:rsid w:val="15072029"/>
    <w:rsid w:val="152E242A"/>
    <w:rsid w:val="1536682A"/>
    <w:rsid w:val="154159AD"/>
    <w:rsid w:val="154215BC"/>
    <w:rsid w:val="155535FD"/>
    <w:rsid w:val="155A5C59"/>
    <w:rsid w:val="155B5261"/>
    <w:rsid w:val="15611B6D"/>
    <w:rsid w:val="156B49C1"/>
    <w:rsid w:val="15774D7C"/>
    <w:rsid w:val="157B4836"/>
    <w:rsid w:val="15842905"/>
    <w:rsid w:val="158D0755"/>
    <w:rsid w:val="159016D2"/>
    <w:rsid w:val="159309AD"/>
    <w:rsid w:val="159F14ED"/>
    <w:rsid w:val="15AA440F"/>
    <w:rsid w:val="15C919E7"/>
    <w:rsid w:val="15DD779C"/>
    <w:rsid w:val="15E46CB5"/>
    <w:rsid w:val="15EF7C7C"/>
    <w:rsid w:val="1611654B"/>
    <w:rsid w:val="161D22ED"/>
    <w:rsid w:val="16200715"/>
    <w:rsid w:val="16221D36"/>
    <w:rsid w:val="162E4C69"/>
    <w:rsid w:val="164D0F49"/>
    <w:rsid w:val="166F5FCE"/>
    <w:rsid w:val="167B677B"/>
    <w:rsid w:val="168356FE"/>
    <w:rsid w:val="16B14980"/>
    <w:rsid w:val="16B54F24"/>
    <w:rsid w:val="16D045A8"/>
    <w:rsid w:val="16E9544C"/>
    <w:rsid w:val="17086033"/>
    <w:rsid w:val="1708641E"/>
    <w:rsid w:val="170F61FF"/>
    <w:rsid w:val="17155205"/>
    <w:rsid w:val="17223EA9"/>
    <w:rsid w:val="17255A22"/>
    <w:rsid w:val="172C69B9"/>
    <w:rsid w:val="172F44BE"/>
    <w:rsid w:val="1761752E"/>
    <w:rsid w:val="176501ED"/>
    <w:rsid w:val="1773416E"/>
    <w:rsid w:val="177C29F3"/>
    <w:rsid w:val="178178ED"/>
    <w:rsid w:val="178513E3"/>
    <w:rsid w:val="178B4D11"/>
    <w:rsid w:val="178C0BA2"/>
    <w:rsid w:val="17935082"/>
    <w:rsid w:val="179A7738"/>
    <w:rsid w:val="17A7442A"/>
    <w:rsid w:val="17AB2D65"/>
    <w:rsid w:val="17AC7EF2"/>
    <w:rsid w:val="17BA35E8"/>
    <w:rsid w:val="17BA57A8"/>
    <w:rsid w:val="17C102FA"/>
    <w:rsid w:val="17C214C3"/>
    <w:rsid w:val="17CE4630"/>
    <w:rsid w:val="17D709B9"/>
    <w:rsid w:val="17DF44CF"/>
    <w:rsid w:val="17E53518"/>
    <w:rsid w:val="1811351A"/>
    <w:rsid w:val="1816072C"/>
    <w:rsid w:val="181F3340"/>
    <w:rsid w:val="18223E76"/>
    <w:rsid w:val="18297794"/>
    <w:rsid w:val="183B77E9"/>
    <w:rsid w:val="184D05F5"/>
    <w:rsid w:val="184F4BC1"/>
    <w:rsid w:val="18515FAD"/>
    <w:rsid w:val="18593FB0"/>
    <w:rsid w:val="185A0ED8"/>
    <w:rsid w:val="185E15CE"/>
    <w:rsid w:val="18960BDD"/>
    <w:rsid w:val="18A47F05"/>
    <w:rsid w:val="18C20499"/>
    <w:rsid w:val="18C4775F"/>
    <w:rsid w:val="18C72B3F"/>
    <w:rsid w:val="18C86D4E"/>
    <w:rsid w:val="18C92EA9"/>
    <w:rsid w:val="18DC7AEC"/>
    <w:rsid w:val="18F80469"/>
    <w:rsid w:val="18FF0D97"/>
    <w:rsid w:val="1907216D"/>
    <w:rsid w:val="19114790"/>
    <w:rsid w:val="19164ED0"/>
    <w:rsid w:val="19185CC9"/>
    <w:rsid w:val="19205CE1"/>
    <w:rsid w:val="19267C65"/>
    <w:rsid w:val="192C1E9B"/>
    <w:rsid w:val="19340CE1"/>
    <w:rsid w:val="19386D9F"/>
    <w:rsid w:val="193A12A5"/>
    <w:rsid w:val="194C4354"/>
    <w:rsid w:val="195763CE"/>
    <w:rsid w:val="195A5FEF"/>
    <w:rsid w:val="196F59A4"/>
    <w:rsid w:val="19764FFA"/>
    <w:rsid w:val="19852069"/>
    <w:rsid w:val="198C6A62"/>
    <w:rsid w:val="19912E63"/>
    <w:rsid w:val="19927F50"/>
    <w:rsid w:val="199652D7"/>
    <w:rsid w:val="19B6623A"/>
    <w:rsid w:val="19B859AC"/>
    <w:rsid w:val="19C846DF"/>
    <w:rsid w:val="19C86B39"/>
    <w:rsid w:val="19D1173D"/>
    <w:rsid w:val="19E31528"/>
    <w:rsid w:val="19E51499"/>
    <w:rsid w:val="19E9014D"/>
    <w:rsid w:val="19EA525E"/>
    <w:rsid w:val="19EB5461"/>
    <w:rsid w:val="19F01FEB"/>
    <w:rsid w:val="19F86A79"/>
    <w:rsid w:val="19F91C0C"/>
    <w:rsid w:val="1A185806"/>
    <w:rsid w:val="1A3146DE"/>
    <w:rsid w:val="1A4068B6"/>
    <w:rsid w:val="1A4C0584"/>
    <w:rsid w:val="1A561419"/>
    <w:rsid w:val="1A5A306A"/>
    <w:rsid w:val="1A68376E"/>
    <w:rsid w:val="1A6B42BD"/>
    <w:rsid w:val="1A6C186B"/>
    <w:rsid w:val="1A735E45"/>
    <w:rsid w:val="1A861B86"/>
    <w:rsid w:val="1A9851A9"/>
    <w:rsid w:val="1AB10C2F"/>
    <w:rsid w:val="1ABE4DC7"/>
    <w:rsid w:val="1AF20156"/>
    <w:rsid w:val="1AFB6760"/>
    <w:rsid w:val="1B0F2BA3"/>
    <w:rsid w:val="1B1361DA"/>
    <w:rsid w:val="1B1A5A64"/>
    <w:rsid w:val="1B252495"/>
    <w:rsid w:val="1B385FBD"/>
    <w:rsid w:val="1B4329AF"/>
    <w:rsid w:val="1B4B26E7"/>
    <w:rsid w:val="1B534CC0"/>
    <w:rsid w:val="1B672B4E"/>
    <w:rsid w:val="1B7053B6"/>
    <w:rsid w:val="1B737443"/>
    <w:rsid w:val="1B7B5B9E"/>
    <w:rsid w:val="1B92524D"/>
    <w:rsid w:val="1B9C328F"/>
    <w:rsid w:val="1B9E4D27"/>
    <w:rsid w:val="1BA322D1"/>
    <w:rsid w:val="1BA43753"/>
    <w:rsid w:val="1BA96A85"/>
    <w:rsid w:val="1BBA55E0"/>
    <w:rsid w:val="1BBC4FBE"/>
    <w:rsid w:val="1BDE740C"/>
    <w:rsid w:val="1BE13206"/>
    <w:rsid w:val="1BE20836"/>
    <w:rsid w:val="1BE22C5C"/>
    <w:rsid w:val="1BE64124"/>
    <w:rsid w:val="1C067C94"/>
    <w:rsid w:val="1C081E3E"/>
    <w:rsid w:val="1C0E0543"/>
    <w:rsid w:val="1C165D2D"/>
    <w:rsid w:val="1C200EAE"/>
    <w:rsid w:val="1C207D0F"/>
    <w:rsid w:val="1C2A18F3"/>
    <w:rsid w:val="1C2A44BD"/>
    <w:rsid w:val="1C33177C"/>
    <w:rsid w:val="1C356385"/>
    <w:rsid w:val="1C380807"/>
    <w:rsid w:val="1C4427ED"/>
    <w:rsid w:val="1C5541CB"/>
    <w:rsid w:val="1C562968"/>
    <w:rsid w:val="1C5E5A39"/>
    <w:rsid w:val="1C6502FB"/>
    <w:rsid w:val="1C700666"/>
    <w:rsid w:val="1CA469B1"/>
    <w:rsid w:val="1CAD6CD0"/>
    <w:rsid w:val="1CB31078"/>
    <w:rsid w:val="1CB563BF"/>
    <w:rsid w:val="1CC80AF8"/>
    <w:rsid w:val="1CD9555B"/>
    <w:rsid w:val="1CDE1009"/>
    <w:rsid w:val="1CE24B53"/>
    <w:rsid w:val="1CE56087"/>
    <w:rsid w:val="1CE95744"/>
    <w:rsid w:val="1CF32E94"/>
    <w:rsid w:val="1D006283"/>
    <w:rsid w:val="1D0D333F"/>
    <w:rsid w:val="1D1127EA"/>
    <w:rsid w:val="1D2F26D9"/>
    <w:rsid w:val="1D416ED6"/>
    <w:rsid w:val="1D4B528A"/>
    <w:rsid w:val="1D561191"/>
    <w:rsid w:val="1D5F77B4"/>
    <w:rsid w:val="1D603890"/>
    <w:rsid w:val="1D652747"/>
    <w:rsid w:val="1D6923EE"/>
    <w:rsid w:val="1D6B45DF"/>
    <w:rsid w:val="1D6C00F6"/>
    <w:rsid w:val="1D703899"/>
    <w:rsid w:val="1D743260"/>
    <w:rsid w:val="1D7E0B7E"/>
    <w:rsid w:val="1D87232E"/>
    <w:rsid w:val="1D8C22E4"/>
    <w:rsid w:val="1D914323"/>
    <w:rsid w:val="1DAA4263"/>
    <w:rsid w:val="1DC00253"/>
    <w:rsid w:val="1DE74087"/>
    <w:rsid w:val="1DF12561"/>
    <w:rsid w:val="1DF75C3F"/>
    <w:rsid w:val="1E005866"/>
    <w:rsid w:val="1E051DA6"/>
    <w:rsid w:val="1E1142DC"/>
    <w:rsid w:val="1E177171"/>
    <w:rsid w:val="1E214CCB"/>
    <w:rsid w:val="1E25455A"/>
    <w:rsid w:val="1E25781D"/>
    <w:rsid w:val="1E313EF4"/>
    <w:rsid w:val="1E366767"/>
    <w:rsid w:val="1E3D7AF5"/>
    <w:rsid w:val="1E5E2056"/>
    <w:rsid w:val="1E5F02FE"/>
    <w:rsid w:val="1E6F0159"/>
    <w:rsid w:val="1E7606C3"/>
    <w:rsid w:val="1E7834EF"/>
    <w:rsid w:val="1E7B2D93"/>
    <w:rsid w:val="1E8079E6"/>
    <w:rsid w:val="1E874AB2"/>
    <w:rsid w:val="1E965458"/>
    <w:rsid w:val="1E987FD4"/>
    <w:rsid w:val="1E9D33D6"/>
    <w:rsid w:val="1E9F310C"/>
    <w:rsid w:val="1EA062D6"/>
    <w:rsid w:val="1EAA0825"/>
    <w:rsid w:val="1EAA6CCB"/>
    <w:rsid w:val="1EB43268"/>
    <w:rsid w:val="1EC00E8E"/>
    <w:rsid w:val="1EE9768B"/>
    <w:rsid w:val="1EEB0EAF"/>
    <w:rsid w:val="1F023D01"/>
    <w:rsid w:val="1F0A3DD0"/>
    <w:rsid w:val="1F0C1D4F"/>
    <w:rsid w:val="1F224F0F"/>
    <w:rsid w:val="1F2A69DD"/>
    <w:rsid w:val="1F3319FA"/>
    <w:rsid w:val="1F342DE0"/>
    <w:rsid w:val="1F4B6060"/>
    <w:rsid w:val="1F4D7736"/>
    <w:rsid w:val="1F4D7DD7"/>
    <w:rsid w:val="1F4F39E8"/>
    <w:rsid w:val="1F5B5E55"/>
    <w:rsid w:val="1F6317DE"/>
    <w:rsid w:val="1F737ACE"/>
    <w:rsid w:val="1F8C50D5"/>
    <w:rsid w:val="1F9073A4"/>
    <w:rsid w:val="1F9319F6"/>
    <w:rsid w:val="1F9763DF"/>
    <w:rsid w:val="1F9B14F3"/>
    <w:rsid w:val="1FB21D1D"/>
    <w:rsid w:val="1FBD45C9"/>
    <w:rsid w:val="1FBF26D3"/>
    <w:rsid w:val="1FC06C35"/>
    <w:rsid w:val="1FC16504"/>
    <w:rsid w:val="1FC81641"/>
    <w:rsid w:val="1FE04A31"/>
    <w:rsid w:val="1FF468DA"/>
    <w:rsid w:val="1FF74269"/>
    <w:rsid w:val="20004487"/>
    <w:rsid w:val="200906ED"/>
    <w:rsid w:val="200C0A75"/>
    <w:rsid w:val="20233E27"/>
    <w:rsid w:val="202537A4"/>
    <w:rsid w:val="202C0C53"/>
    <w:rsid w:val="203835B0"/>
    <w:rsid w:val="20387404"/>
    <w:rsid w:val="203D0257"/>
    <w:rsid w:val="203F337A"/>
    <w:rsid w:val="20470660"/>
    <w:rsid w:val="205F7786"/>
    <w:rsid w:val="20766E26"/>
    <w:rsid w:val="207F0F3E"/>
    <w:rsid w:val="20825169"/>
    <w:rsid w:val="20844CEB"/>
    <w:rsid w:val="208E3794"/>
    <w:rsid w:val="208F4041"/>
    <w:rsid w:val="20921198"/>
    <w:rsid w:val="20923EB4"/>
    <w:rsid w:val="20AA1CBB"/>
    <w:rsid w:val="20B466B2"/>
    <w:rsid w:val="20B56069"/>
    <w:rsid w:val="20BF519C"/>
    <w:rsid w:val="20D6227E"/>
    <w:rsid w:val="20D63AA1"/>
    <w:rsid w:val="20D77692"/>
    <w:rsid w:val="20DD6A9D"/>
    <w:rsid w:val="20E13080"/>
    <w:rsid w:val="20E33800"/>
    <w:rsid w:val="20E3645C"/>
    <w:rsid w:val="20FC4984"/>
    <w:rsid w:val="20FC6E7B"/>
    <w:rsid w:val="210020EE"/>
    <w:rsid w:val="21035EC5"/>
    <w:rsid w:val="21210854"/>
    <w:rsid w:val="212109BB"/>
    <w:rsid w:val="212928FB"/>
    <w:rsid w:val="21304D69"/>
    <w:rsid w:val="214059D8"/>
    <w:rsid w:val="21420A29"/>
    <w:rsid w:val="21491CD4"/>
    <w:rsid w:val="21496A3A"/>
    <w:rsid w:val="214C0B35"/>
    <w:rsid w:val="214D7D49"/>
    <w:rsid w:val="2159345A"/>
    <w:rsid w:val="21686402"/>
    <w:rsid w:val="21693571"/>
    <w:rsid w:val="21723F5A"/>
    <w:rsid w:val="21725D88"/>
    <w:rsid w:val="217D0EAB"/>
    <w:rsid w:val="217E1DB6"/>
    <w:rsid w:val="21817394"/>
    <w:rsid w:val="21A16911"/>
    <w:rsid w:val="21A4680D"/>
    <w:rsid w:val="21AE791B"/>
    <w:rsid w:val="21CA4384"/>
    <w:rsid w:val="21CB1A81"/>
    <w:rsid w:val="21D0740C"/>
    <w:rsid w:val="21D42B06"/>
    <w:rsid w:val="21E2757C"/>
    <w:rsid w:val="21E43A57"/>
    <w:rsid w:val="21F7166B"/>
    <w:rsid w:val="21FA3B6A"/>
    <w:rsid w:val="220C1F3E"/>
    <w:rsid w:val="2210754D"/>
    <w:rsid w:val="2213568B"/>
    <w:rsid w:val="22231004"/>
    <w:rsid w:val="22282AB9"/>
    <w:rsid w:val="222D6EB6"/>
    <w:rsid w:val="22347A2E"/>
    <w:rsid w:val="22353BFF"/>
    <w:rsid w:val="223A6222"/>
    <w:rsid w:val="223C2491"/>
    <w:rsid w:val="22404D3F"/>
    <w:rsid w:val="22466687"/>
    <w:rsid w:val="224D6B7F"/>
    <w:rsid w:val="227373FD"/>
    <w:rsid w:val="228E406B"/>
    <w:rsid w:val="22AC6FF8"/>
    <w:rsid w:val="22BC4355"/>
    <w:rsid w:val="22BF3489"/>
    <w:rsid w:val="22C60A95"/>
    <w:rsid w:val="22D52E75"/>
    <w:rsid w:val="22E76557"/>
    <w:rsid w:val="22EC653F"/>
    <w:rsid w:val="230331EC"/>
    <w:rsid w:val="230A13A4"/>
    <w:rsid w:val="23122038"/>
    <w:rsid w:val="23122EC9"/>
    <w:rsid w:val="23152DEF"/>
    <w:rsid w:val="23160915"/>
    <w:rsid w:val="23212A42"/>
    <w:rsid w:val="233722FE"/>
    <w:rsid w:val="23382751"/>
    <w:rsid w:val="233B30F6"/>
    <w:rsid w:val="23410D8E"/>
    <w:rsid w:val="234B4A63"/>
    <w:rsid w:val="234B7310"/>
    <w:rsid w:val="234E7DDD"/>
    <w:rsid w:val="23542123"/>
    <w:rsid w:val="235A5754"/>
    <w:rsid w:val="2361682E"/>
    <w:rsid w:val="23740FE9"/>
    <w:rsid w:val="237C10C0"/>
    <w:rsid w:val="237D2DCC"/>
    <w:rsid w:val="238D5570"/>
    <w:rsid w:val="23980464"/>
    <w:rsid w:val="239A32F4"/>
    <w:rsid w:val="23A647D9"/>
    <w:rsid w:val="23AA350C"/>
    <w:rsid w:val="23CF78ED"/>
    <w:rsid w:val="23D060C1"/>
    <w:rsid w:val="23D40712"/>
    <w:rsid w:val="23DA50C3"/>
    <w:rsid w:val="23DC2471"/>
    <w:rsid w:val="23DD2E01"/>
    <w:rsid w:val="23DD7E55"/>
    <w:rsid w:val="23E1001B"/>
    <w:rsid w:val="23E94859"/>
    <w:rsid w:val="23ED30B8"/>
    <w:rsid w:val="23F23130"/>
    <w:rsid w:val="23FC7297"/>
    <w:rsid w:val="23FF75FB"/>
    <w:rsid w:val="240F6A2D"/>
    <w:rsid w:val="24155F5C"/>
    <w:rsid w:val="24160FC6"/>
    <w:rsid w:val="2430476C"/>
    <w:rsid w:val="24345F88"/>
    <w:rsid w:val="243B67EC"/>
    <w:rsid w:val="245A32A7"/>
    <w:rsid w:val="246273A5"/>
    <w:rsid w:val="2471674B"/>
    <w:rsid w:val="24782CA3"/>
    <w:rsid w:val="24844EB1"/>
    <w:rsid w:val="248B5C2B"/>
    <w:rsid w:val="249965C8"/>
    <w:rsid w:val="24AF4CCB"/>
    <w:rsid w:val="24C77C86"/>
    <w:rsid w:val="24CC69F6"/>
    <w:rsid w:val="24D32F62"/>
    <w:rsid w:val="24DA5A88"/>
    <w:rsid w:val="24DE1C90"/>
    <w:rsid w:val="24ED4FF5"/>
    <w:rsid w:val="24EE6803"/>
    <w:rsid w:val="24F15FCE"/>
    <w:rsid w:val="24F353B2"/>
    <w:rsid w:val="250210D7"/>
    <w:rsid w:val="250C740A"/>
    <w:rsid w:val="25233288"/>
    <w:rsid w:val="25280CE5"/>
    <w:rsid w:val="252C3858"/>
    <w:rsid w:val="252D2683"/>
    <w:rsid w:val="25357596"/>
    <w:rsid w:val="25416C72"/>
    <w:rsid w:val="25435A82"/>
    <w:rsid w:val="255D5742"/>
    <w:rsid w:val="255D7C93"/>
    <w:rsid w:val="255F2708"/>
    <w:rsid w:val="25676FF0"/>
    <w:rsid w:val="25696D22"/>
    <w:rsid w:val="256A4F48"/>
    <w:rsid w:val="256F5F2A"/>
    <w:rsid w:val="257D1A34"/>
    <w:rsid w:val="257D4C7B"/>
    <w:rsid w:val="25802E97"/>
    <w:rsid w:val="25860087"/>
    <w:rsid w:val="25880895"/>
    <w:rsid w:val="258E6E89"/>
    <w:rsid w:val="25A74C16"/>
    <w:rsid w:val="25AA4DBD"/>
    <w:rsid w:val="25B37DB2"/>
    <w:rsid w:val="25B625BC"/>
    <w:rsid w:val="25BE7351"/>
    <w:rsid w:val="25C21DB8"/>
    <w:rsid w:val="25D31C2B"/>
    <w:rsid w:val="25D40D64"/>
    <w:rsid w:val="25D6707C"/>
    <w:rsid w:val="25DC4098"/>
    <w:rsid w:val="25DF000F"/>
    <w:rsid w:val="25E70CC0"/>
    <w:rsid w:val="25F9417F"/>
    <w:rsid w:val="2604161F"/>
    <w:rsid w:val="2606135F"/>
    <w:rsid w:val="260E1D58"/>
    <w:rsid w:val="261339BD"/>
    <w:rsid w:val="26233A75"/>
    <w:rsid w:val="26466904"/>
    <w:rsid w:val="26535565"/>
    <w:rsid w:val="2657422B"/>
    <w:rsid w:val="266234A8"/>
    <w:rsid w:val="2663396D"/>
    <w:rsid w:val="266630F8"/>
    <w:rsid w:val="266F74F0"/>
    <w:rsid w:val="2686653E"/>
    <w:rsid w:val="269B2847"/>
    <w:rsid w:val="26B27A22"/>
    <w:rsid w:val="26CA6C74"/>
    <w:rsid w:val="26D50DA8"/>
    <w:rsid w:val="26DC7786"/>
    <w:rsid w:val="26F45411"/>
    <w:rsid w:val="27072D91"/>
    <w:rsid w:val="27171437"/>
    <w:rsid w:val="27171E79"/>
    <w:rsid w:val="272B4742"/>
    <w:rsid w:val="272C4BAB"/>
    <w:rsid w:val="2732337B"/>
    <w:rsid w:val="27353DC1"/>
    <w:rsid w:val="27466A28"/>
    <w:rsid w:val="274933B9"/>
    <w:rsid w:val="27507637"/>
    <w:rsid w:val="2767052D"/>
    <w:rsid w:val="278604FC"/>
    <w:rsid w:val="27872A26"/>
    <w:rsid w:val="27882A31"/>
    <w:rsid w:val="27885F02"/>
    <w:rsid w:val="2789650C"/>
    <w:rsid w:val="279C1381"/>
    <w:rsid w:val="27A54F6B"/>
    <w:rsid w:val="27A96E15"/>
    <w:rsid w:val="27BB265B"/>
    <w:rsid w:val="27D03F85"/>
    <w:rsid w:val="27D653DC"/>
    <w:rsid w:val="27D95753"/>
    <w:rsid w:val="27DA41C2"/>
    <w:rsid w:val="27DD4868"/>
    <w:rsid w:val="27DD632F"/>
    <w:rsid w:val="27DE57F7"/>
    <w:rsid w:val="27E36205"/>
    <w:rsid w:val="27E45C6F"/>
    <w:rsid w:val="27FA6B15"/>
    <w:rsid w:val="280F169C"/>
    <w:rsid w:val="281520F8"/>
    <w:rsid w:val="281E3A75"/>
    <w:rsid w:val="28237D5C"/>
    <w:rsid w:val="28343B75"/>
    <w:rsid w:val="2835183D"/>
    <w:rsid w:val="283D4C71"/>
    <w:rsid w:val="28445C47"/>
    <w:rsid w:val="28485E34"/>
    <w:rsid w:val="284E7F28"/>
    <w:rsid w:val="286478B1"/>
    <w:rsid w:val="286F4229"/>
    <w:rsid w:val="2871153E"/>
    <w:rsid w:val="288D3427"/>
    <w:rsid w:val="289150DD"/>
    <w:rsid w:val="28A25AE1"/>
    <w:rsid w:val="28A54C15"/>
    <w:rsid w:val="28BF3AB9"/>
    <w:rsid w:val="28D26B5D"/>
    <w:rsid w:val="28E512B7"/>
    <w:rsid w:val="28F2772E"/>
    <w:rsid w:val="28FC0B38"/>
    <w:rsid w:val="28FE752D"/>
    <w:rsid w:val="29042C9D"/>
    <w:rsid w:val="290B408E"/>
    <w:rsid w:val="290D5C79"/>
    <w:rsid w:val="291A6BF2"/>
    <w:rsid w:val="291D527F"/>
    <w:rsid w:val="29233949"/>
    <w:rsid w:val="29241B69"/>
    <w:rsid w:val="29246597"/>
    <w:rsid w:val="29355D07"/>
    <w:rsid w:val="29395931"/>
    <w:rsid w:val="29425E66"/>
    <w:rsid w:val="2949741F"/>
    <w:rsid w:val="29587A3C"/>
    <w:rsid w:val="296F2B7D"/>
    <w:rsid w:val="297360E0"/>
    <w:rsid w:val="29863057"/>
    <w:rsid w:val="298815CA"/>
    <w:rsid w:val="298C7B83"/>
    <w:rsid w:val="29AA2EF6"/>
    <w:rsid w:val="29B642CE"/>
    <w:rsid w:val="29B72037"/>
    <w:rsid w:val="29BB1649"/>
    <w:rsid w:val="29C8472A"/>
    <w:rsid w:val="29CD4C64"/>
    <w:rsid w:val="29D0034B"/>
    <w:rsid w:val="29D57773"/>
    <w:rsid w:val="29E05E72"/>
    <w:rsid w:val="29E5105E"/>
    <w:rsid w:val="29E63E15"/>
    <w:rsid w:val="29EC564C"/>
    <w:rsid w:val="29F36880"/>
    <w:rsid w:val="29FA3DB5"/>
    <w:rsid w:val="2A0B40F5"/>
    <w:rsid w:val="2A145827"/>
    <w:rsid w:val="2A1A0961"/>
    <w:rsid w:val="2A204B07"/>
    <w:rsid w:val="2A30050E"/>
    <w:rsid w:val="2A302281"/>
    <w:rsid w:val="2A3C1195"/>
    <w:rsid w:val="2A41592E"/>
    <w:rsid w:val="2A46661C"/>
    <w:rsid w:val="2A4B2BFE"/>
    <w:rsid w:val="2A634064"/>
    <w:rsid w:val="2A704DAF"/>
    <w:rsid w:val="2A720786"/>
    <w:rsid w:val="2A797499"/>
    <w:rsid w:val="2A860B1A"/>
    <w:rsid w:val="2A9406A5"/>
    <w:rsid w:val="2A9D3C39"/>
    <w:rsid w:val="2AA35AC1"/>
    <w:rsid w:val="2AA53FC7"/>
    <w:rsid w:val="2AAF65A5"/>
    <w:rsid w:val="2ABA5391"/>
    <w:rsid w:val="2AC40779"/>
    <w:rsid w:val="2ACD7003"/>
    <w:rsid w:val="2AD93A9A"/>
    <w:rsid w:val="2AE109AC"/>
    <w:rsid w:val="2AEA253B"/>
    <w:rsid w:val="2AED3A81"/>
    <w:rsid w:val="2AF9533D"/>
    <w:rsid w:val="2B0B4AD7"/>
    <w:rsid w:val="2B3441AB"/>
    <w:rsid w:val="2B525464"/>
    <w:rsid w:val="2B5851F7"/>
    <w:rsid w:val="2B5B474C"/>
    <w:rsid w:val="2B71571E"/>
    <w:rsid w:val="2B755EC7"/>
    <w:rsid w:val="2B8B29B6"/>
    <w:rsid w:val="2BA80ED7"/>
    <w:rsid w:val="2BAA72F5"/>
    <w:rsid w:val="2BB86A0D"/>
    <w:rsid w:val="2BBD2810"/>
    <w:rsid w:val="2BC41FD3"/>
    <w:rsid w:val="2BD726A6"/>
    <w:rsid w:val="2BDD222B"/>
    <w:rsid w:val="2C1502DE"/>
    <w:rsid w:val="2C194EF8"/>
    <w:rsid w:val="2C1F3D30"/>
    <w:rsid w:val="2C37548A"/>
    <w:rsid w:val="2C4C08BA"/>
    <w:rsid w:val="2C55001B"/>
    <w:rsid w:val="2C590CB2"/>
    <w:rsid w:val="2C5A6343"/>
    <w:rsid w:val="2C5F125D"/>
    <w:rsid w:val="2C642E8E"/>
    <w:rsid w:val="2C66367B"/>
    <w:rsid w:val="2C7212B2"/>
    <w:rsid w:val="2C974875"/>
    <w:rsid w:val="2CB45646"/>
    <w:rsid w:val="2CBB0983"/>
    <w:rsid w:val="2CC76D91"/>
    <w:rsid w:val="2CD41001"/>
    <w:rsid w:val="2CF3396D"/>
    <w:rsid w:val="2CFD62C6"/>
    <w:rsid w:val="2D141472"/>
    <w:rsid w:val="2D1A2922"/>
    <w:rsid w:val="2D1B5C65"/>
    <w:rsid w:val="2D346567"/>
    <w:rsid w:val="2D3602B3"/>
    <w:rsid w:val="2D401D61"/>
    <w:rsid w:val="2D470BD5"/>
    <w:rsid w:val="2D4B4217"/>
    <w:rsid w:val="2D4D587B"/>
    <w:rsid w:val="2D604B8B"/>
    <w:rsid w:val="2D70497E"/>
    <w:rsid w:val="2D712D59"/>
    <w:rsid w:val="2D72333E"/>
    <w:rsid w:val="2D73694A"/>
    <w:rsid w:val="2D814F88"/>
    <w:rsid w:val="2D937631"/>
    <w:rsid w:val="2D945258"/>
    <w:rsid w:val="2DB1769B"/>
    <w:rsid w:val="2DB4490D"/>
    <w:rsid w:val="2DBE0FB3"/>
    <w:rsid w:val="2DC06C25"/>
    <w:rsid w:val="2DCB585B"/>
    <w:rsid w:val="2DD63ADF"/>
    <w:rsid w:val="2DDC385E"/>
    <w:rsid w:val="2DF239C5"/>
    <w:rsid w:val="2DF43FBC"/>
    <w:rsid w:val="2DF503EA"/>
    <w:rsid w:val="2DFA369A"/>
    <w:rsid w:val="2DFE4CBC"/>
    <w:rsid w:val="2E022B37"/>
    <w:rsid w:val="2E081D2D"/>
    <w:rsid w:val="2E1023B7"/>
    <w:rsid w:val="2E1879CD"/>
    <w:rsid w:val="2E1E466A"/>
    <w:rsid w:val="2E282B4A"/>
    <w:rsid w:val="2E286C7E"/>
    <w:rsid w:val="2E496043"/>
    <w:rsid w:val="2E4C5D3B"/>
    <w:rsid w:val="2E6950B1"/>
    <w:rsid w:val="2E6A78AF"/>
    <w:rsid w:val="2E740FFF"/>
    <w:rsid w:val="2E8D34D6"/>
    <w:rsid w:val="2E951B85"/>
    <w:rsid w:val="2E9C1FB3"/>
    <w:rsid w:val="2E9D0768"/>
    <w:rsid w:val="2EA27D48"/>
    <w:rsid w:val="2EA469D5"/>
    <w:rsid w:val="2EBD0D35"/>
    <w:rsid w:val="2EC6650E"/>
    <w:rsid w:val="2ECC6280"/>
    <w:rsid w:val="2EDA313F"/>
    <w:rsid w:val="2EF04956"/>
    <w:rsid w:val="2EF26A3C"/>
    <w:rsid w:val="2EFB527A"/>
    <w:rsid w:val="2EFC6A61"/>
    <w:rsid w:val="2F07574E"/>
    <w:rsid w:val="2F0807EE"/>
    <w:rsid w:val="2F191187"/>
    <w:rsid w:val="2F280717"/>
    <w:rsid w:val="2F2F3581"/>
    <w:rsid w:val="2F414A1D"/>
    <w:rsid w:val="2F4531FE"/>
    <w:rsid w:val="2F6D59FC"/>
    <w:rsid w:val="2F6F784F"/>
    <w:rsid w:val="2F77082B"/>
    <w:rsid w:val="2F770E4B"/>
    <w:rsid w:val="2F814EDD"/>
    <w:rsid w:val="2F8348CA"/>
    <w:rsid w:val="2F84083C"/>
    <w:rsid w:val="2F885D49"/>
    <w:rsid w:val="2F8F400C"/>
    <w:rsid w:val="2F9176CF"/>
    <w:rsid w:val="2F9C21A2"/>
    <w:rsid w:val="2FA026FC"/>
    <w:rsid w:val="2FAC009A"/>
    <w:rsid w:val="2FB36CC7"/>
    <w:rsid w:val="2FC0766C"/>
    <w:rsid w:val="2FC57137"/>
    <w:rsid w:val="2FCB4132"/>
    <w:rsid w:val="2FCC708E"/>
    <w:rsid w:val="2FD1188B"/>
    <w:rsid w:val="2FD15C75"/>
    <w:rsid w:val="2FD52C0A"/>
    <w:rsid w:val="2FD66E82"/>
    <w:rsid w:val="2FDF28A5"/>
    <w:rsid w:val="2FE478CA"/>
    <w:rsid w:val="2FE74EFC"/>
    <w:rsid w:val="3009452F"/>
    <w:rsid w:val="301022EF"/>
    <w:rsid w:val="30146B38"/>
    <w:rsid w:val="301D1E80"/>
    <w:rsid w:val="302441A8"/>
    <w:rsid w:val="302C1778"/>
    <w:rsid w:val="303E6DC9"/>
    <w:rsid w:val="303F11A8"/>
    <w:rsid w:val="30465BED"/>
    <w:rsid w:val="306851AF"/>
    <w:rsid w:val="30694FA8"/>
    <w:rsid w:val="306C4B2F"/>
    <w:rsid w:val="306D11F0"/>
    <w:rsid w:val="307169A8"/>
    <w:rsid w:val="30865B4F"/>
    <w:rsid w:val="308B3B89"/>
    <w:rsid w:val="309B1D1D"/>
    <w:rsid w:val="309D2676"/>
    <w:rsid w:val="30B750F4"/>
    <w:rsid w:val="30C145B6"/>
    <w:rsid w:val="30C24486"/>
    <w:rsid w:val="30C50319"/>
    <w:rsid w:val="30CF747D"/>
    <w:rsid w:val="30DD3865"/>
    <w:rsid w:val="30ED53AB"/>
    <w:rsid w:val="30F524B2"/>
    <w:rsid w:val="3108349C"/>
    <w:rsid w:val="311D7312"/>
    <w:rsid w:val="31233AD5"/>
    <w:rsid w:val="31293F09"/>
    <w:rsid w:val="312F6DFA"/>
    <w:rsid w:val="314B3E97"/>
    <w:rsid w:val="315F75E9"/>
    <w:rsid w:val="31692558"/>
    <w:rsid w:val="317E7275"/>
    <w:rsid w:val="318555E4"/>
    <w:rsid w:val="319A273F"/>
    <w:rsid w:val="319F631C"/>
    <w:rsid w:val="31A647BD"/>
    <w:rsid w:val="31A904A7"/>
    <w:rsid w:val="31AB7A7E"/>
    <w:rsid w:val="31D00AD4"/>
    <w:rsid w:val="31E51564"/>
    <w:rsid w:val="31EF4229"/>
    <w:rsid w:val="31FF2029"/>
    <w:rsid w:val="321626E0"/>
    <w:rsid w:val="32230967"/>
    <w:rsid w:val="323718AA"/>
    <w:rsid w:val="32394A8D"/>
    <w:rsid w:val="32403F54"/>
    <w:rsid w:val="32404D8A"/>
    <w:rsid w:val="3241790C"/>
    <w:rsid w:val="325600FC"/>
    <w:rsid w:val="32716203"/>
    <w:rsid w:val="32765301"/>
    <w:rsid w:val="327F1A82"/>
    <w:rsid w:val="328557EF"/>
    <w:rsid w:val="32892A6F"/>
    <w:rsid w:val="329600C7"/>
    <w:rsid w:val="329830F5"/>
    <w:rsid w:val="32996131"/>
    <w:rsid w:val="32A85CE8"/>
    <w:rsid w:val="32AC094E"/>
    <w:rsid w:val="32EB1910"/>
    <w:rsid w:val="33021759"/>
    <w:rsid w:val="330B0D78"/>
    <w:rsid w:val="330B3A7C"/>
    <w:rsid w:val="331045E4"/>
    <w:rsid w:val="3311299C"/>
    <w:rsid w:val="33270BD4"/>
    <w:rsid w:val="332A148C"/>
    <w:rsid w:val="333472C1"/>
    <w:rsid w:val="333E0EE8"/>
    <w:rsid w:val="33414E9E"/>
    <w:rsid w:val="33423AC4"/>
    <w:rsid w:val="33447CF9"/>
    <w:rsid w:val="334D54B6"/>
    <w:rsid w:val="33602573"/>
    <w:rsid w:val="33602787"/>
    <w:rsid w:val="33604EEF"/>
    <w:rsid w:val="3361045D"/>
    <w:rsid w:val="336141CC"/>
    <w:rsid w:val="33667EE8"/>
    <w:rsid w:val="33680F96"/>
    <w:rsid w:val="336B1F56"/>
    <w:rsid w:val="3373567E"/>
    <w:rsid w:val="33754E1A"/>
    <w:rsid w:val="33774DF1"/>
    <w:rsid w:val="338133D0"/>
    <w:rsid w:val="338965CD"/>
    <w:rsid w:val="3394163F"/>
    <w:rsid w:val="33A15FD9"/>
    <w:rsid w:val="33A23750"/>
    <w:rsid w:val="33A51367"/>
    <w:rsid w:val="33A62744"/>
    <w:rsid w:val="33A8354C"/>
    <w:rsid w:val="33AE495C"/>
    <w:rsid w:val="33B026C0"/>
    <w:rsid w:val="33E10ACB"/>
    <w:rsid w:val="33E52369"/>
    <w:rsid w:val="33EB56E4"/>
    <w:rsid w:val="340513A4"/>
    <w:rsid w:val="340B06A9"/>
    <w:rsid w:val="34140466"/>
    <w:rsid w:val="341727EC"/>
    <w:rsid w:val="34175240"/>
    <w:rsid w:val="3418299B"/>
    <w:rsid w:val="34226FB6"/>
    <w:rsid w:val="3432676E"/>
    <w:rsid w:val="343F195F"/>
    <w:rsid w:val="34416AD1"/>
    <w:rsid w:val="344D5A75"/>
    <w:rsid w:val="345060D9"/>
    <w:rsid w:val="345301C9"/>
    <w:rsid w:val="345D39D1"/>
    <w:rsid w:val="34936AD5"/>
    <w:rsid w:val="349C0302"/>
    <w:rsid w:val="34A22009"/>
    <w:rsid w:val="34A4661C"/>
    <w:rsid w:val="34A74EBF"/>
    <w:rsid w:val="34A9073A"/>
    <w:rsid w:val="34AF4CCA"/>
    <w:rsid w:val="34B75A01"/>
    <w:rsid w:val="34C0224B"/>
    <w:rsid w:val="34CD1C15"/>
    <w:rsid w:val="34D70CF5"/>
    <w:rsid w:val="34EE16F7"/>
    <w:rsid w:val="34F046EB"/>
    <w:rsid w:val="34F8431E"/>
    <w:rsid w:val="34FE64FC"/>
    <w:rsid w:val="3503382F"/>
    <w:rsid w:val="350B7E16"/>
    <w:rsid w:val="351052B1"/>
    <w:rsid w:val="352716F9"/>
    <w:rsid w:val="35413331"/>
    <w:rsid w:val="354444EB"/>
    <w:rsid w:val="354C23F6"/>
    <w:rsid w:val="35514B80"/>
    <w:rsid w:val="359E4EC6"/>
    <w:rsid w:val="35A46254"/>
    <w:rsid w:val="35AD3F10"/>
    <w:rsid w:val="35B60D26"/>
    <w:rsid w:val="35C81D89"/>
    <w:rsid w:val="35CD209A"/>
    <w:rsid w:val="35D23105"/>
    <w:rsid w:val="35D85BC3"/>
    <w:rsid w:val="35DE50FA"/>
    <w:rsid w:val="35FC160B"/>
    <w:rsid w:val="35FF5657"/>
    <w:rsid w:val="36054F45"/>
    <w:rsid w:val="36060534"/>
    <w:rsid w:val="362D0CC9"/>
    <w:rsid w:val="36455E67"/>
    <w:rsid w:val="36484FA5"/>
    <w:rsid w:val="3648773B"/>
    <w:rsid w:val="364A6DFC"/>
    <w:rsid w:val="364B5267"/>
    <w:rsid w:val="36681030"/>
    <w:rsid w:val="36687677"/>
    <w:rsid w:val="367825F2"/>
    <w:rsid w:val="367C2974"/>
    <w:rsid w:val="36870372"/>
    <w:rsid w:val="36905B76"/>
    <w:rsid w:val="3696186C"/>
    <w:rsid w:val="36AF4EB1"/>
    <w:rsid w:val="36B72F54"/>
    <w:rsid w:val="36BC0FD4"/>
    <w:rsid w:val="36BF1958"/>
    <w:rsid w:val="36C479A2"/>
    <w:rsid w:val="36C86881"/>
    <w:rsid w:val="36D43795"/>
    <w:rsid w:val="36FB14E2"/>
    <w:rsid w:val="36FC3DF4"/>
    <w:rsid w:val="370945C1"/>
    <w:rsid w:val="37133F80"/>
    <w:rsid w:val="373B6A05"/>
    <w:rsid w:val="37436EFE"/>
    <w:rsid w:val="37513AA6"/>
    <w:rsid w:val="375B18DC"/>
    <w:rsid w:val="376E32EF"/>
    <w:rsid w:val="376F5D97"/>
    <w:rsid w:val="37704EDE"/>
    <w:rsid w:val="37732382"/>
    <w:rsid w:val="377B655D"/>
    <w:rsid w:val="37932472"/>
    <w:rsid w:val="37A128FA"/>
    <w:rsid w:val="37B01ACB"/>
    <w:rsid w:val="37B61816"/>
    <w:rsid w:val="37BE77D6"/>
    <w:rsid w:val="37BF67E0"/>
    <w:rsid w:val="37C83F85"/>
    <w:rsid w:val="37C85006"/>
    <w:rsid w:val="37D95B9D"/>
    <w:rsid w:val="37DA072F"/>
    <w:rsid w:val="37E004DA"/>
    <w:rsid w:val="37E64902"/>
    <w:rsid w:val="37EF0341"/>
    <w:rsid w:val="3801110C"/>
    <w:rsid w:val="380E2E8B"/>
    <w:rsid w:val="380F4E1E"/>
    <w:rsid w:val="38121883"/>
    <w:rsid w:val="38140865"/>
    <w:rsid w:val="3814695C"/>
    <w:rsid w:val="381579B8"/>
    <w:rsid w:val="381A4872"/>
    <w:rsid w:val="381F1DC0"/>
    <w:rsid w:val="3828569E"/>
    <w:rsid w:val="383B4C4E"/>
    <w:rsid w:val="384C103A"/>
    <w:rsid w:val="384C4606"/>
    <w:rsid w:val="38591578"/>
    <w:rsid w:val="385F52CD"/>
    <w:rsid w:val="386B6845"/>
    <w:rsid w:val="386E7A13"/>
    <w:rsid w:val="38704469"/>
    <w:rsid w:val="38744B16"/>
    <w:rsid w:val="387C596D"/>
    <w:rsid w:val="388367B6"/>
    <w:rsid w:val="3889029D"/>
    <w:rsid w:val="38987DAF"/>
    <w:rsid w:val="38CB21FC"/>
    <w:rsid w:val="38CE5AC2"/>
    <w:rsid w:val="38D12712"/>
    <w:rsid w:val="38E93654"/>
    <w:rsid w:val="38EB3ACA"/>
    <w:rsid w:val="38FA68B7"/>
    <w:rsid w:val="3930052B"/>
    <w:rsid w:val="39301287"/>
    <w:rsid w:val="393B0C7E"/>
    <w:rsid w:val="39531D4A"/>
    <w:rsid w:val="39685F7B"/>
    <w:rsid w:val="39A607ED"/>
    <w:rsid w:val="39AB3E2B"/>
    <w:rsid w:val="39AD091A"/>
    <w:rsid w:val="39B73331"/>
    <w:rsid w:val="39C24EFB"/>
    <w:rsid w:val="39C72283"/>
    <w:rsid w:val="39DD67FD"/>
    <w:rsid w:val="39E41315"/>
    <w:rsid w:val="39E70A77"/>
    <w:rsid w:val="39F41851"/>
    <w:rsid w:val="39F50E2C"/>
    <w:rsid w:val="39F56FB2"/>
    <w:rsid w:val="39F71049"/>
    <w:rsid w:val="39F94A0C"/>
    <w:rsid w:val="3A153EA8"/>
    <w:rsid w:val="3A184B1B"/>
    <w:rsid w:val="3A327C39"/>
    <w:rsid w:val="3A3C5FBB"/>
    <w:rsid w:val="3A497F02"/>
    <w:rsid w:val="3A4E0A79"/>
    <w:rsid w:val="3A58696B"/>
    <w:rsid w:val="3A5B243A"/>
    <w:rsid w:val="3A6E7090"/>
    <w:rsid w:val="3A79380C"/>
    <w:rsid w:val="3A852338"/>
    <w:rsid w:val="3A86254D"/>
    <w:rsid w:val="3A874A1E"/>
    <w:rsid w:val="3A891DB3"/>
    <w:rsid w:val="3AA81D4F"/>
    <w:rsid w:val="3AA86115"/>
    <w:rsid w:val="3AB36F15"/>
    <w:rsid w:val="3AB84EA1"/>
    <w:rsid w:val="3AC6395A"/>
    <w:rsid w:val="3ACC146B"/>
    <w:rsid w:val="3ACC7D7A"/>
    <w:rsid w:val="3ADA20F9"/>
    <w:rsid w:val="3AE05218"/>
    <w:rsid w:val="3AE1769E"/>
    <w:rsid w:val="3AE2143C"/>
    <w:rsid w:val="3B00369E"/>
    <w:rsid w:val="3B027650"/>
    <w:rsid w:val="3B15693E"/>
    <w:rsid w:val="3B1D212E"/>
    <w:rsid w:val="3B3E6803"/>
    <w:rsid w:val="3B436A2D"/>
    <w:rsid w:val="3B5272A1"/>
    <w:rsid w:val="3B677B08"/>
    <w:rsid w:val="3B68372E"/>
    <w:rsid w:val="3B716B8E"/>
    <w:rsid w:val="3B7425F8"/>
    <w:rsid w:val="3B746D3E"/>
    <w:rsid w:val="3B75223E"/>
    <w:rsid w:val="3B7641EF"/>
    <w:rsid w:val="3B776DC1"/>
    <w:rsid w:val="3B7B46AC"/>
    <w:rsid w:val="3B7E70FD"/>
    <w:rsid w:val="3B810A2F"/>
    <w:rsid w:val="3B9052B1"/>
    <w:rsid w:val="3BAC0D6F"/>
    <w:rsid w:val="3BAE7543"/>
    <w:rsid w:val="3BC66145"/>
    <w:rsid w:val="3BC70FF9"/>
    <w:rsid w:val="3BC71628"/>
    <w:rsid w:val="3BD511E0"/>
    <w:rsid w:val="3BD808AC"/>
    <w:rsid w:val="3BD84DB7"/>
    <w:rsid w:val="3BEC625F"/>
    <w:rsid w:val="3BFA4E20"/>
    <w:rsid w:val="3C066CAC"/>
    <w:rsid w:val="3C083D6F"/>
    <w:rsid w:val="3C094103"/>
    <w:rsid w:val="3C0E567E"/>
    <w:rsid w:val="3C125555"/>
    <w:rsid w:val="3C145C7C"/>
    <w:rsid w:val="3C162EAA"/>
    <w:rsid w:val="3C2002D7"/>
    <w:rsid w:val="3C2B70E9"/>
    <w:rsid w:val="3C3D2AB1"/>
    <w:rsid w:val="3C573431"/>
    <w:rsid w:val="3C655D7A"/>
    <w:rsid w:val="3C7266B7"/>
    <w:rsid w:val="3C776471"/>
    <w:rsid w:val="3C7F052D"/>
    <w:rsid w:val="3C90040C"/>
    <w:rsid w:val="3C975A5C"/>
    <w:rsid w:val="3CC1458A"/>
    <w:rsid w:val="3CC30D61"/>
    <w:rsid w:val="3CD95175"/>
    <w:rsid w:val="3CF37F2B"/>
    <w:rsid w:val="3D032AF8"/>
    <w:rsid w:val="3D046588"/>
    <w:rsid w:val="3D051216"/>
    <w:rsid w:val="3D0777F5"/>
    <w:rsid w:val="3D0D7AAD"/>
    <w:rsid w:val="3D2B0AF1"/>
    <w:rsid w:val="3D351888"/>
    <w:rsid w:val="3D40653E"/>
    <w:rsid w:val="3D431496"/>
    <w:rsid w:val="3D5500BC"/>
    <w:rsid w:val="3D597924"/>
    <w:rsid w:val="3D7017A9"/>
    <w:rsid w:val="3D971672"/>
    <w:rsid w:val="3D9E6FBC"/>
    <w:rsid w:val="3DA21757"/>
    <w:rsid w:val="3DB16C34"/>
    <w:rsid w:val="3DC169DC"/>
    <w:rsid w:val="3DCF5690"/>
    <w:rsid w:val="3DF32952"/>
    <w:rsid w:val="3E114063"/>
    <w:rsid w:val="3E25442B"/>
    <w:rsid w:val="3E316E95"/>
    <w:rsid w:val="3E467691"/>
    <w:rsid w:val="3E49337B"/>
    <w:rsid w:val="3E4D66F8"/>
    <w:rsid w:val="3E602049"/>
    <w:rsid w:val="3E692C2C"/>
    <w:rsid w:val="3EA1798D"/>
    <w:rsid w:val="3EA36C7C"/>
    <w:rsid w:val="3EB52937"/>
    <w:rsid w:val="3ED12FA4"/>
    <w:rsid w:val="3EDB71D8"/>
    <w:rsid w:val="3EDE6333"/>
    <w:rsid w:val="3F001261"/>
    <w:rsid w:val="3F1917D9"/>
    <w:rsid w:val="3F2231EB"/>
    <w:rsid w:val="3F2A05DE"/>
    <w:rsid w:val="3F4D1B0A"/>
    <w:rsid w:val="3F5B5BD6"/>
    <w:rsid w:val="3F70371B"/>
    <w:rsid w:val="3F7B1D38"/>
    <w:rsid w:val="3F842EA7"/>
    <w:rsid w:val="3F844A1B"/>
    <w:rsid w:val="3F861477"/>
    <w:rsid w:val="3F88386A"/>
    <w:rsid w:val="3F8B06A4"/>
    <w:rsid w:val="3FA20372"/>
    <w:rsid w:val="3FA255B3"/>
    <w:rsid w:val="3FAC435A"/>
    <w:rsid w:val="3FC0474E"/>
    <w:rsid w:val="3FC53F16"/>
    <w:rsid w:val="3FC803BF"/>
    <w:rsid w:val="3FD73037"/>
    <w:rsid w:val="3FE6250B"/>
    <w:rsid w:val="3FF375E9"/>
    <w:rsid w:val="401364B0"/>
    <w:rsid w:val="403D4979"/>
    <w:rsid w:val="403F6A61"/>
    <w:rsid w:val="404C2229"/>
    <w:rsid w:val="4051246B"/>
    <w:rsid w:val="406D086A"/>
    <w:rsid w:val="40722DC6"/>
    <w:rsid w:val="407F034F"/>
    <w:rsid w:val="4082727F"/>
    <w:rsid w:val="408760A5"/>
    <w:rsid w:val="408A6B05"/>
    <w:rsid w:val="409D1518"/>
    <w:rsid w:val="40A37834"/>
    <w:rsid w:val="40AB66E9"/>
    <w:rsid w:val="40AF61D9"/>
    <w:rsid w:val="40DA53EC"/>
    <w:rsid w:val="40EA14CD"/>
    <w:rsid w:val="40EB2C00"/>
    <w:rsid w:val="40ED6D46"/>
    <w:rsid w:val="40F64AA4"/>
    <w:rsid w:val="40FC207B"/>
    <w:rsid w:val="410051CB"/>
    <w:rsid w:val="410B1EE2"/>
    <w:rsid w:val="41154134"/>
    <w:rsid w:val="412C434F"/>
    <w:rsid w:val="4137736B"/>
    <w:rsid w:val="413B3FDD"/>
    <w:rsid w:val="41452EF5"/>
    <w:rsid w:val="414A10B2"/>
    <w:rsid w:val="415875F1"/>
    <w:rsid w:val="415A28B3"/>
    <w:rsid w:val="4160517B"/>
    <w:rsid w:val="41683B13"/>
    <w:rsid w:val="4169059D"/>
    <w:rsid w:val="416B4E8D"/>
    <w:rsid w:val="416C40CA"/>
    <w:rsid w:val="416E1CE1"/>
    <w:rsid w:val="4178254E"/>
    <w:rsid w:val="417B0EBB"/>
    <w:rsid w:val="41911D83"/>
    <w:rsid w:val="41943620"/>
    <w:rsid w:val="41974F49"/>
    <w:rsid w:val="41983DA6"/>
    <w:rsid w:val="41C74AA5"/>
    <w:rsid w:val="41D93C48"/>
    <w:rsid w:val="41EA667F"/>
    <w:rsid w:val="41F45E6E"/>
    <w:rsid w:val="41F93C38"/>
    <w:rsid w:val="41FB36A0"/>
    <w:rsid w:val="420330D8"/>
    <w:rsid w:val="42097004"/>
    <w:rsid w:val="42173F98"/>
    <w:rsid w:val="42175D58"/>
    <w:rsid w:val="42194010"/>
    <w:rsid w:val="42285853"/>
    <w:rsid w:val="422E2B1C"/>
    <w:rsid w:val="42343789"/>
    <w:rsid w:val="424B31AC"/>
    <w:rsid w:val="424E1481"/>
    <w:rsid w:val="42565461"/>
    <w:rsid w:val="4260787A"/>
    <w:rsid w:val="426865E9"/>
    <w:rsid w:val="42744887"/>
    <w:rsid w:val="42905B96"/>
    <w:rsid w:val="429F5DD9"/>
    <w:rsid w:val="42A02A2D"/>
    <w:rsid w:val="42B5463C"/>
    <w:rsid w:val="42B71375"/>
    <w:rsid w:val="42C075DA"/>
    <w:rsid w:val="42CB4D68"/>
    <w:rsid w:val="42CD488F"/>
    <w:rsid w:val="42D57D3E"/>
    <w:rsid w:val="42D622FF"/>
    <w:rsid w:val="42D648AC"/>
    <w:rsid w:val="42D84860"/>
    <w:rsid w:val="42DA62DC"/>
    <w:rsid w:val="42DD7AFF"/>
    <w:rsid w:val="42F0142F"/>
    <w:rsid w:val="42F223AD"/>
    <w:rsid w:val="42FD6410"/>
    <w:rsid w:val="43030A5E"/>
    <w:rsid w:val="431D2A61"/>
    <w:rsid w:val="432057EF"/>
    <w:rsid w:val="43234C5C"/>
    <w:rsid w:val="432373CD"/>
    <w:rsid w:val="433742D1"/>
    <w:rsid w:val="433C4C77"/>
    <w:rsid w:val="434B581F"/>
    <w:rsid w:val="435665AA"/>
    <w:rsid w:val="436112E1"/>
    <w:rsid w:val="43755BDD"/>
    <w:rsid w:val="43840B56"/>
    <w:rsid w:val="4385015B"/>
    <w:rsid w:val="43911CB5"/>
    <w:rsid w:val="439220B0"/>
    <w:rsid w:val="43AB06CC"/>
    <w:rsid w:val="43AE1B1C"/>
    <w:rsid w:val="43B835F7"/>
    <w:rsid w:val="43B950F8"/>
    <w:rsid w:val="43BB4E95"/>
    <w:rsid w:val="43CE2E1A"/>
    <w:rsid w:val="43F62371"/>
    <w:rsid w:val="43FD725B"/>
    <w:rsid w:val="440305EA"/>
    <w:rsid w:val="440F1AA6"/>
    <w:rsid w:val="44110F59"/>
    <w:rsid w:val="44253F31"/>
    <w:rsid w:val="4426430E"/>
    <w:rsid w:val="44454D66"/>
    <w:rsid w:val="445E397E"/>
    <w:rsid w:val="445F1EDA"/>
    <w:rsid w:val="44710B3F"/>
    <w:rsid w:val="44735CD0"/>
    <w:rsid w:val="44742632"/>
    <w:rsid w:val="447B688E"/>
    <w:rsid w:val="447E1F10"/>
    <w:rsid w:val="4488644F"/>
    <w:rsid w:val="44A13425"/>
    <w:rsid w:val="44BB34D1"/>
    <w:rsid w:val="44BB3567"/>
    <w:rsid w:val="44C66A64"/>
    <w:rsid w:val="44C70B39"/>
    <w:rsid w:val="44CD1A45"/>
    <w:rsid w:val="44DC51AE"/>
    <w:rsid w:val="44DD615E"/>
    <w:rsid w:val="450F4378"/>
    <w:rsid w:val="45145D91"/>
    <w:rsid w:val="451720A5"/>
    <w:rsid w:val="45180C0C"/>
    <w:rsid w:val="451C2D7E"/>
    <w:rsid w:val="45263EC6"/>
    <w:rsid w:val="452A1788"/>
    <w:rsid w:val="452D538E"/>
    <w:rsid w:val="45301EA8"/>
    <w:rsid w:val="453A4784"/>
    <w:rsid w:val="454642B2"/>
    <w:rsid w:val="454804B8"/>
    <w:rsid w:val="454C6A98"/>
    <w:rsid w:val="456E4487"/>
    <w:rsid w:val="45850474"/>
    <w:rsid w:val="458A7A9C"/>
    <w:rsid w:val="458B1E5E"/>
    <w:rsid w:val="458B789C"/>
    <w:rsid w:val="458C0ED9"/>
    <w:rsid w:val="459C5D1A"/>
    <w:rsid w:val="45A14D39"/>
    <w:rsid w:val="45A35291"/>
    <w:rsid w:val="45A40F95"/>
    <w:rsid w:val="45A6046D"/>
    <w:rsid w:val="45B41180"/>
    <w:rsid w:val="45B46040"/>
    <w:rsid w:val="45BB73CE"/>
    <w:rsid w:val="45C304E5"/>
    <w:rsid w:val="45D17183"/>
    <w:rsid w:val="45E201D7"/>
    <w:rsid w:val="45EC3A46"/>
    <w:rsid w:val="4600081E"/>
    <w:rsid w:val="460A4B7A"/>
    <w:rsid w:val="4624726D"/>
    <w:rsid w:val="462F3E9E"/>
    <w:rsid w:val="46333408"/>
    <w:rsid w:val="46333DF2"/>
    <w:rsid w:val="46491E27"/>
    <w:rsid w:val="46596F50"/>
    <w:rsid w:val="465A5CC9"/>
    <w:rsid w:val="4665558C"/>
    <w:rsid w:val="46780E1B"/>
    <w:rsid w:val="468D773E"/>
    <w:rsid w:val="46AD1532"/>
    <w:rsid w:val="46B143D7"/>
    <w:rsid w:val="46B452B8"/>
    <w:rsid w:val="46D812C6"/>
    <w:rsid w:val="46D90ACA"/>
    <w:rsid w:val="46F11421"/>
    <w:rsid w:val="46F93C9A"/>
    <w:rsid w:val="46FF3C5A"/>
    <w:rsid w:val="47056A25"/>
    <w:rsid w:val="470C47EC"/>
    <w:rsid w:val="470E352E"/>
    <w:rsid w:val="47104448"/>
    <w:rsid w:val="47160727"/>
    <w:rsid w:val="47213261"/>
    <w:rsid w:val="473313CC"/>
    <w:rsid w:val="47340AE9"/>
    <w:rsid w:val="47486B44"/>
    <w:rsid w:val="47614E7C"/>
    <w:rsid w:val="476A0937"/>
    <w:rsid w:val="477215EF"/>
    <w:rsid w:val="47890024"/>
    <w:rsid w:val="479003E6"/>
    <w:rsid w:val="47912B6A"/>
    <w:rsid w:val="479635D8"/>
    <w:rsid w:val="47991EAA"/>
    <w:rsid w:val="479C1784"/>
    <w:rsid w:val="479C5A9A"/>
    <w:rsid w:val="47AA16D3"/>
    <w:rsid w:val="47BC7E86"/>
    <w:rsid w:val="47C47217"/>
    <w:rsid w:val="47CB5FD1"/>
    <w:rsid w:val="47CD28C8"/>
    <w:rsid w:val="47D37E60"/>
    <w:rsid w:val="47D96EA6"/>
    <w:rsid w:val="47DF228B"/>
    <w:rsid w:val="47E113B9"/>
    <w:rsid w:val="47E160CE"/>
    <w:rsid w:val="47E5607C"/>
    <w:rsid w:val="47EC73B1"/>
    <w:rsid w:val="47F10B35"/>
    <w:rsid w:val="47FE1F1B"/>
    <w:rsid w:val="48062738"/>
    <w:rsid w:val="480C5A9E"/>
    <w:rsid w:val="481132D5"/>
    <w:rsid w:val="482653F4"/>
    <w:rsid w:val="482B5628"/>
    <w:rsid w:val="48305256"/>
    <w:rsid w:val="4841029F"/>
    <w:rsid w:val="4845217E"/>
    <w:rsid w:val="4847568C"/>
    <w:rsid w:val="48552AD6"/>
    <w:rsid w:val="48561630"/>
    <w:rsid w:val="485D1C6A"/>
    <w:rsid w:val="48687142"/>
    <w:rsid w:val="487E46E3"/>
    <w:rsid w:val="4891762D"/>
    <w:rsid w:val="48970623"/>
    <w:rsid w:val="4898300A"/>
    <w:rsid w:val="489A7399"/>
    <w:rsid w:val="48A27589"/>
    <w:rsid w:val="48A600A4"/>
    <w:rsid w:val="48B14AB8"/>
    <w:rsid w:val="48B90DF8"/>
    <w:rsid w:val="48BF71D5"/>
    <w:rsid w:val="48DB7174"/>
    <w:rsid w:val="48E44AE3"/>
    <w:rsid w:val="48FD36CD"/>
    <w:rsid w:val="48FE7C8E"/>
    <w:rsid w:val="49041047"/>
    <w:rsid w:val="491142EA"/>
    <w:rsid w:val="492A02B5"/>
    <w:rsid w:val="4930492E"/>
    <w:rsid w:val="493D5237"/>
    <w:rsid w:val="493F044C"/>
    <w:rsid w:val="49672B2D"/>
    <w:rsid w:val="49770DED"/>
    <w:rsid w:val="49973CD0"/>
    <w:rsid w:val="499A3140"/>
    <w:rsid w:val="49B051A3"/>
    <w:rsid w:val="49D524B7"/>
    <w:rsid w:val="49D56939"/>
    <w:rsid w:val="49D722FD"/>
    <w:rsid w:val="49ED3895"/>
    <w:rsid w:val="4A052A02"/>
    <w:rsid w:val="4A1A1E66"/>
    <w:rsid w:val="4A1E7E81"/>
    <w:rsid w:val="4A265C74"/>
    <w:rsid w:val="4A4027F7"/>
    <w:rsid w:val="4A4071CA"/>
    <w:rsid w:val="4A430C81"/>
    <w:rsid w:val="4A4A60AE"/>
    <w:rsid w:val="4A5F1DE2"/>
    <w:rsid w:val="4A610771"/>
    <w:rsid w:val="4A7E66E3"/>
    <w:rsid w:val="4A8B46D1"/>
    <w:rsid w:val="4A934476"/>
    <w:rsid w:val="4A987C02"/>
    <w:rsid w:val="4AA5064D"/>
    <w:rsid w:val="4AAD2423"/>
    <w:rsid w:val="4AAF2DDB"/>
    <w:rsid w:val="4AB01740"/>
    <w:rsid w:val="4AC54775"/>
    <w:rsid w:val="4ACC62C5"/>
    <w:rsid w:val="4AD1153E"/>
    <w:rsid w:val="4AD14A5F"/>
    <w:rsid w:val="4AD511F4"/>
    <w:rsid w:val="4AF10B09"/>
    <w:rsid w:val="4B005883"/>
    <w:rsid w:val="4B0B605E"/>
    <w:rsid w:val="4B182B87"/>
    <w:rsid w:val="4B272CD8"/>
    <w:rsid w:val="4B28386C"/>
    <w:rsid w:val="4B2A29D3"/>
    <w:rsid w:val="4B3266EA"/>
    <w:rsid w:val="4B3D6550"/>
    <w:rsid w:val="4B425E9C"/>
    <w:rsid w:val="4B6D5713"/>
    <w:rsid w:val="4B713326"/>
    <w:rsid w:val="4B752690"/>
    <w:rsid w:val="4B752CD7"/>
    <w:rsid w:val="4B771FE9"/>
    <w:rsid w:val="4B7A68B2"/>
    <w:rsid w:val="4B83273C"/>
    <w:rsid w:val="4B8D17AB"/>
    <w:rsid w:val="4BA353DE"/>
    <w:rsid w:val="4BC3602A"/>
    <w:rsid w:val="4BC416A7"/>
    <w:rsid w:val="4BE8780A"/>
    <w:rsid w:val="4BF16513"/>
    <w:rsid w:val="4BF40C2F"/>
    <w:rsid w:val="4C060DAE"/>
    <w:rsid w:val="4C081A54"/>
    <w:rsid w:val="4C0C0983"/>
    <w:rsid w:val="4C1831C7"/>
    <w:rsid w:val="4C1A39FE"/>
    <w:rsid w:val="4C1D4385"/>
    <w:rsid w:val="4C1F6391"/>
    <w:rsid w:val="4C251234"/>
    <w:rsid w:val="4C394F30"/>
    <w:rsid w:val="4C4B1951"/>
    <w:rsid w:val="4C4F6714"/>
    <w:rsid w:val="4C523AD7"/>
    <w:rsid w:val="4C576116"/>
    <w:rsid w:val="4C5A7411"/>
    <w:rsid w:val="4C5E207D"/>
    <w:rsid w:val="4C6B2C6C"/>
    <w:rsid w:val="4C7C5A8A"/>
    <w:rsid w:val="4C905371"/>
    <w:rsid w:val="4C944343"/>
    <w:rsid w:val="4C991D89"/>
    <w:rsid w:val="4C9C0ABB"/>
    <w:rsid w:val="4CA850E5"/>
    <w:rsid w:val="4CAC29CF"/>
    <w:rsid w:val="4CB81B8F"/>
    <w:rsid w:val="4CBB35BF"/>
    <w:rsid w:val="4CBE77A4"/>
    <w:rsid w:val="4CC74407"/>
    <w:rsid w:val="4CD55377"/>
    <w:rsid w:val="4CD86A09"/>
    <w:rsid w:val="4CF43964"/>
    <w:rsid w:val="4CF64F14"/>
    <w:rsid w:val="4D0221A3"/>
    <w:rsid w:val="4D0D793B"/>
    <w:rsid w:val="4D0F4759"/>
    <w:rsid w:val="4D1A2C2C"/>
    <w:rsid w:val="4D243FEF"/>
    <w:rsid w:val="4D292248"/>
    <w:rsid w:val="4D2A10DA"/>
    <w:rsid w:val="4D2E66D8"/>
    <w:rsid w:val="4D3560E9"/>
    <w:rsid w:val="4D3B40B9"/>
    <w:rsid w:val="4D460795"/>
    <w:rsid w:val="4D4752A7"/>
    <w:rsid w:val="4D4A5FD2"/>
    <w:rsid w:val="4D535EBE"/>
    <w:rsid w:val="4D562ADC"/>
    <w:rsid w:val="4D5F3A58"/>
    <w:rsid w:val="4D714FBA"/>
    <w:rsid w:val="4D7916E0"/>
    <w:rsid w:val="4D7B4B1A"/>
    <w:rsid w:val="4D8F1AA1"/>
    <w:rsid w:val="4D907392"/>
    <w:rsid w:val="4D9407DD"/>
    <w:rsid w:val="4DAA47BA"/>
    <w:rsid w:val="4DAE098A"/>
    <w:rsid w:val="4DB12E65"/>
    <w:rsid w:val="4DB13F77"/>
    <w:rsid w:val="4DB72535"/>
    <w:rsid w:val="4DBE36AA"/>
    <w:rsid w:val="4DCF084E"/>
    <w:rsid w:val="4DEA4CF4"/>
    <w:rsid w:val="4DF2643A"/>
    <w:rsid w:val="4E0E023E"/>
    <w:rsid w:val="4E233E84"/>
    <w:rsid w:val="4E2B258E"/>
    <w:rsid w:val="4E2B5596"/>
    <w:rsid w:val="4E340EE5"/>
    <w:rsid w:val="4E3D4475"/>
    <w:rsid w:val="4E3E67B8"/>
    <w:rsid w:val="4E456B8F"/>
    <w:rsid w:val="4E622F2A"/>
    <w:rsid w:val="4E824F2D"/>
    <w:rsid w:val="4E8D55E0"/>
    <w:rsid w:val="4E925534"/>
    <w:rsid w:val="4EA06C72"/>
    <w:rsid w:val="4EA42579"/>
    <w:rsid w:val="4EA63F56"/>
    <w:rsid w:val="4EB93358"/>
    <w:rsid w:val="4EBE43C3"/>
    <w:rsid w:val="4EC266FD"/>
    <w:rsid w:val="4ECC4FC5"/>
    <w:rsid w:val="4ECF7A46"/>
    <w:rsid w:val="4EF0047E"/>
    <w:rsid w:val="4EF14BAB"/>
    <w:rsid w:val="4EF30D17"/>
    <w:rsid w:val="4EF50003"/>
    <w:rsid w:val="4EF50CB7"/>
    <w:rsid w:val="4EF63329"/>
    <w:rsid w:val="4EF676C9"/>
    <w:rsid w:val="4F0D35E4"/>
    <w:rsid w:val="4F173BCD"/>
    <w:rsid w:val="4F1D0D8E"/>
    <w:rsid w:val="4F227646"/>
    <w:rsid w:val="4F245FE4"/>
    <w:rsid w:val="4F342F2C"/>
    <w:rsid w:val="4F3A1A7F"/>
    <w:rsid w:val="4F563496"/>
    <w:rsid w:val="4F5B74ED"/>
    <w:rsid w:val="4F635231"/>
    <w:rsid w:val="4F686E22"/>
    <w:rsid w:val="4F6E1344"/>
    <w:rsid w:val="4F7E4170"/>
    <w:rsid w:val="4F97451A"/>
    <w:rsid w:val="4F9E1B4A"/>
    <w:rsid w:val="4FA35AEB"/>
    <w:rsid w:val="4FAE2D46"/>
    <w:rsid w:val="4FBC3CB9"/>
    <w:rsid w:val="4FC275AB"/>
    <w:rsid w:val="4FC32720"/>
    <w:rsid w:val="4FC355A3"/>
    <w:rsid w:val="4FD50FDB"/>
    <w:rsid w:val="4FD712A8"/>
    <w:rsid w:val="4FE42ED6"/>
    <w:rsid w:val="4FEE793D"/>
    <w:rsid w:val="4FF07E65"/>
    <w:rsid w:val="5001702D"/>
    <w:rsid w:val="501B10E5"/>
    <w:rsid w:val="501F0330"/>
    <w:rsid w:val="50201B89"/>
    <w:rsid w:val="502A216A"/>
    <w:rsid w:val="503C555A"/>
    <w:rsid w:val="504B1678"/>
    <w:rsid w:val="504D03E6"/>
    <w:rsid w:val="50583401"/>
    <w:rsid w:val="505E4442"/>
    <w:rsid w:val="50697A34"/>
    <w:rsid w:val="509757BA"/>
    <w:rsid w:val="509B38A1"/>
    <w:rsid w:val="509D4751"/>
    <w:rsid w:val="509F000D"/>
    <w:rsid w:val="50B355BF"/>
    <w:rsid w:val="50B96C23"/>
    <w:rsid w:val="50BC1DB6"/>
    <w:rsid w:val="50CC5968"/>
    <w:rsid w:val="50D55F27"/>
    <w:rsid w:val="50D77086"/>
    <w:rsid w:val="50E72018"/>
    <w:rsid w:val="50EE31F4"/>
    <w:rsid w:val="50F30BC7"/>
    <w:rsid w:val="50F83289"/>
    <w:rsid w:val="50F87478"/>
    <w:rsid w:val="50FD50EA"/>
    <w:rsid w:val="51082D21"/>
    <w:rsid w:val="510F6014"/>
    <w:rsid w:val="51143E36"/>
    <w:rsid w:val="51267B62"/>
    <w:rsid w:val="51322CE6"/>
    <w:rsid w:val="51366287"/>
    <w:rsid w:val="513E1CE3"/>
    <w:rsid w:val="513E2305"/>
    <w:rsid w:val="514D4ADD"/>
    <w:rsid w:val="51610806"/>
    <w:rsid w:val="516A16C7"/>
    <w:rsid w:val="51785C31"/>
    <w:rsid w:val="517B2107"/>
    <w:rsid w:val="51922F92"/>
    <w:rsid w:val="51955A0F"/>
    <w:rsid w:val="519D2DC7"/>
    <w:rsid w:val="51A35268"/>
    <w:rsid w:val="51AD1B38"/>
    <w:rsid w:val="51B334DB"/>
    <w:rsid w:val="51B7669B"/>
    <w:rsid w:val="51BF6365"/>
    <w:rsid w:val="51CC4654"/>
    <w:rsid w:val="51E11F6A"/>
    <w:rsid w:val="51E575E5"/>
    <w:rsid w:val="51F577C4"/>
    <w:rsid w:val="51F6235D"/>
    <w:rsid w:val="51F872B4"/>
    <w:rsid w:val="51FF14B2"/>
    <w:rsid w:val="52032860"/>
    <w:rsid w:val="5209153C"/>
    <w:rsid w:val="520C2D5F"/>
    <w:rsid w:val="520F57C5"/>
    <w:rsid w:val="522F43C7"/>
    <w:rsid w:val="523578A9"/>
    <w:rsid w:val="52372F80"/>
    <w:rsid w:val="52383569"/>
    <w:rsid w:val="52395069"/>
    <w:rsid w:val="524103EF"/>
    <w:rsid w:val="524903FE"/>
    <w:rsid w:val="52535CF1"/>
    <w:rsid w:val="52553B0A"/>
    <w:rsid w:val="525766D1"/>
    <w:rsid w:val="52670037"/>
    <w:rsid w:val="526A0EDA"/>
    <w:rsid w:val="52744124"/>
    <w:rsid w:val="527728CF"/>
    <w:rsid w:val="529809A3"/>
    <w:rsid w:val="52A419D7"/>
    <w:rsid w:val="52B633F7"/>
    <w:rsid w:val="52D01AF0"/>
    <w:rsid w:val="52D04342"/>
    <w:rsid w:val="52D642EC"/>
    <w:rsid w:val="52F3104D"/>
    <w:rsid w:val="52FE6B4C"/>
    <w:rsid w:val="52FE750F"/>
    <w:rsid w:val="530C29FE"/>
    <w:rsid w:val="53202F66"/>
    <w:rsid w:val="532250D9"/>
    <w:rsid w:val="53285238"/>
    <w:rsid w:val="53285977"/>
    <w:rsid w:val="53296B41"/>
    <w:rsid w:val="532C5869"/>
    <w:rsid w:val="53340597"/>
    <w:rsid w:val="53342D48"/>
    <w:rsid w:val="53357354"/>
    <w:rsid w:val="533C5046"/>
    <w:rsid w:val="53406BBF"/>
    <w:rsid w:val="53486937"/>
    <w:rsid w:val="535374DB"/>
    <w:rsid w:val="535D65EE"/>
    <w:rsid w:val="53614807"/>
    <w:rsid w:val="537060F9"/>
    <w:rsid w:val="5379339B"/>
    <w:rsid w:val="537B43B3"/>
    <w:rsid w:val="537C6BB3"/>
    <w:rsid w:val="537F7D83"/>
    <w:rsid w:val="53835F08"/>
    <w:rsid w:val="538859D5"/>
    <w:rsid w:val="53915C12"/>
    <w:rsid w:val="539D1E89"/>
    <w:rsid w:val="53A37AD2"/>
    <w:rsid w:val="53B20BF4"/>
    <w:rsid w:val="53BC0997"/>
    <w:rsid w:val="53DB3F0B"/>
    <w:rsid w:val="53DF072C"/>
    <w:rsid w:val="53F92DE6"/>
    <w:rsid w:val="53FD4F1F"/>
    <w:rsid w:val="54012FCE"/>
    <w:rsid w:val="5402266C"/>
    <w:rsid w:val="540A5085"/>
    <w:rsid w:val="540F62C9"/>
    <w:rsid w:val="54147CCD"/>
    <w:rsid w:val="541F1573"/>
    <w:rsid w:val="542263F9"/>
    <w:rsid w:val="54252B18"/>
    <w:rsid w:val="54464C78"/>
    <w:rsid w:val="544A6F73"/>
    <w:rsid w:val="544D4F48"/>
    <w:rsid w:val="546B6A40"/>
    <w:rsid w:val="546E2DC9"/>
    <w:rsid w:val="54713346"/>
    <w:rsid w:val="5486504B"/>
    <w:rsid w:val="548F245B"/>
    <w:rsid w:val="54952990"/>
    <w:rsid w:val="549E0A56"/>
    <w:rsid w:val="549E4349"/>
    <w:rsid w:val="54AB2D04"/>
    <w:rsid w:val="54AC0B9A"/>
    <w:rsid w:val="54C0055D"/>
    <w:rsid w:val="54CB0CB0"/>
    <w:rsid w:val="54DA7511"/>
    <w:rsid w:val="54EE31A2"/>
    <w:rsid w:val="54F62299"/>
    <w:rsid w:val="54FE72D7"/>
    <w:rsid w:val="5503084B"/>
    <w:rsid w:val="55032DAC"/>
    <w:rsid w:val="55207A5F"/>
    <w:rsid w:val="55224E68"/>
    <w:rsid w:val="552254B9"/>
    <w:rsid w:val="552A3ED8"/>
    <w:rsid w:val="55355B59"/>
    <w:rsid w:val="553B4087"/>
    <w:rsid w:val="553D0A49"/>
    <w:rsid w:val="554478CF"/>
    <w:rsid w:val="5550634A"/>
    <w:rsid w:val="55517407"/>
    <w:rsid w:val="5552291E"/>
    <w:rsid w:val="55543E26"/>
    <w:rsid w:val="55582AEC"/>
    <w:rsid w:val="5575301E"/>
    <w:rsid w:val="557E5D22"/>
    <w:rsid w:val="557F487D"/>
    <w:rsid w:val="558C68ED"/>
    <w:rsid w:val="558E2409"/>
    <w:rsid w:val="55936B7B"/>
    <w:rsid w:val="55973FD7"/>
    <w:rsid w:val="55977096"/>
    <w:rsid w:val="55A307ED"/>
    <w:rsid w:val="55AE077A"/>
    <w:rsid w:val="55B0295C"/>
    <w:rsid w:val="55B41744"/>
    <w:rsid w:val="55C1371A"/>
    <w:rsid w:val="55C37BD9"/>
    <w:rsid w:val="55E531BF"/>
    <w:rsid w:val="55E71C4C"/>
    <w:rsid w:val="55F312FB"/>
    <w:rsid w:val="55F57D8E"/>
    <w:rsid w:val="55F948B0"/>
    <w:rsid w:val="55FF038E"/>
    <w:rsid w:val="55FF3DDE"/>
    <w:rsid w:val="56062527"/>
    <w:rsid w:val="561F3061"/>
    <w:rsid w:val="56290384"/>
    <w:rsid w:val="562D0F6F"/>
    <w:rsid w:val="56396F1D"/>
    <w:rsid w:val="563A1081"/>
    <w:rsid w:val="56421E30"/>
    <w:rsid w:val="564A1244"/>
    <w:rsid w:val="567F387A"/>
    <w:rsid w:val="568C6F89"/>
    <w:rsid w:val="56AE30A7"/>
    <w:rsid w:val="56D41F1C"/>
    <w:rsid w:val="56DC151C"/>
    <w:rsid w:val="56DC5306"/>
    <w:rsid w:val="56E40CFD"/>
    <w:rsid w:val="56EF2B1F"/>
    <w:rsid w:val="56FE4611"/>
    <w:rsid w:val="56FF0A4E"/>
    <w:rsid w:val="57054792"/>
    <w:rsid w:val="570B02A1"/>
    <w:rsid w:val="5714127B"/>
    <w:rsid w:val="571D1B08"/>
    <w:rsid w:val="57266671"/>
    <w:rsid w:val="572B1EDA"/>
    <w:rsid w:val="5734551A"/>
    <w:rsid w:val="57463262"/>
    <w:rsid w:val="574C5E0F"/>
    <w:rsid w:val="57612A46"/>
    <w:rsid w:val="576D211E"/>
    <w:rsid w:val="57763C09"/>
    <w:rsid w:val="57882017"/>
    <w:rsid w:val="578A4E52"/>
    <w:rsid w:val="579A3CED"/>
    <w:rsid w:val="579B2648"/>
    <w:rsid w:val="57AA4AFF"/>
    <w:rsid w:val="57B26E99"/>
    <w:rsid w:val="57BA7454"/>
    <w:rsid w:val="57C6600D"/>
    <w:rsid w:val="57C66EC7"/>
    <w:rsid w:val="57C82AA9"/>
    <w:rsid w:val="57C8361F"/>
    <w:rsid w:val="57CF7769"/>
    <w:rsid w:val="57F17EA0"/>
    <w:rsid w:val="57F83A18"/>
    <w:rsid w:val="581527D2"/>
    <w:rsid w:val="581B5AAA"/>
    <w:rsid w:val="58221E05"/>
    <w:rsid w:val="58234E6B"/>
    <w:rsid w:val="582A2E20"/>
    <w:rsid w:val="582E6822"/>
    <w:rsid w:val="582F78F2"/>
    <w:rsid w:val="583F5FE4"/>
    <w:rsid w:val="586814F3"/>
    <w:rsid w:val="58714DD0"/>
    <w:rsid w:val="5876536A"/>
    <w:rsid w:val="587720A4"/>
    <w:rsid w:val="587D502B"/>
    <w:rsid w:val="58905077"/>
    <w:rsid w:val="58A40F58"/>
    <w:rsid w:val="58A779FA"/>
    <w:rsid w:val="58B26EB7"/>
    <w:rsid w:val="58C44394"/>
    <w:rsid w:val="58C52A19"/>
    <w:rsid w:val="58D578CD"/>
    <w:rsid w:val="58DB71EA"/>
    <w:rsid w:val="58E6129C"/>
    <w:rsid w:val="58FE07F5"/>
    <w:rsid w:val="59165123"/>
    <w:rsid w:val="59187F24"/>
    <w:rsid w:val="59192A02"/>
    <w:rsid w:val="591D64E4"/>
    <w:rsid w:val="591D6807"/>
    <w:rsid w:val="59221C26"/>
    <w:rsid w:val="59314569"/>
    <w:rsid w:val="59317D71"/>
    <w:rsid w:val="59494DF1"/>
    <w:rsid w:val="594A14C2"/>
    <w:rsid w:val="59531D4F"/>
    <w:rsid w:val="596123F7"/>
    <w:rsid w:val="59661FA8"/>
    <w:rsid w:val="596E2A35"/>
    <w:rsid w:val="59744DDD"/>
    <w:rsid w:val="5992099F"/>
    <w:rsid w:val="59B678B2"/>
    <w:rsid w:val="59CC0A6E"/>
    <w:rsid w:val="59D36764"/>
    <w:rsid w:val="59D62B5C"/>
    <w:rsid w:val="59DB1A4B"/>
    <w:rsid w:val="59DC4FEB"/>
    <w:rsid w:val="59DE128C"/>
    <w:rsid w:val="5A112FB9"/>
    <w:rsid w:val="5A2150D7"/>
    <w:rsid w:val="5A3B3DA0"/>
    <w:rsid w:val="5A3B4BA6"/>
    <w:rsid w:val="5A454A58"/>
    <w:rsid w:val="5A5549F6"/>
    <w:rsid w:val="5A63592E"/>
    <w:rsid w:val="5A66105B"/>
    <w:rsid w:val="5A6A1116"/>
    <w:rsid w:val="5A7A298B"/>
    <w:rsid w:val="5A884D82"/>
    <w:rsid w:val="5AA0531F"/>
    <w:rsid w:val="5AB0451E"/>
    <w:rsid w:val="5AB87F28"/>
    <w:rsid w:val="5ABC682F"/>
    <w:rsid w:val="5AC037A7"/>
    <w:rsid w:val="5AC4067B"/>
    <w:rsid w:val="5AD503D5"/>
    <w:rsid w:val="5AE42616"/>
    <w:rsid w:val="5AEE3033"/>
    <w:rsid w:val="5AF27FE4"/>
    <w:rsid w:val="5AF332F3"/>
    <w:rsid w:val="5AF5773C"/>
    <w:rsid w:val="5AF63194"/>
    <w:rsid w:val="5AF64C90"/>
    <w:rsid w:val="5AF749C6"/>
    <w:rsid w:val="5AFC0EA5"/>
    <w:rsid w:val="5B0373F5"/>
    <w:rsid w:val="5B195FB0"/>
    <w:rsid w:val="5B32249C"/>
    <w:rsid w:val="5B340130"/>
    <w:rsid w:val="5B3A261E"/>
    <w:rsid w:val="5B3E48D4"/>
    <w:rsid w:val="5B4210BE"/>
    <w:rsid w:val="5B690FED"/>
    <w:rsid w:val="5B745F78"/>
    <w:rsid w:val="5B8100B7"/>
    <w:rsid w:val="5B93640D"/>
    <w:rsid w:val="5BC018CD"/>
    <w:rsid w:val="5BF430A2"/>
    <w:rsid w:val="5BF4415A"/>
    <w:rsid w:val="5BF97873"/>
    <w:rsid w:val="5BFB20AF"/>
    <w:rsid w:val="5C022245"/>
    <w:rsid w:val="5C0B77D5"/>
    <w:rsid w:val="5C25621E"/>
    <w:rsid w:val="5C2B7D5E"/>
    <w:rsid w:val="5C3B79DC"/>
    <w:rsid w:val="5C481355"/>
    <w:rsid w:val="5C4E0F47"/>
    <w:rsid w:val="5C600DD1"/>
    <w:rsid w:val="5C632DA7"/>
    <w:rsid w:val="5C791167"/>
    <w:rsid w:val="5C824727"/>
    <w:rsid w:val="5C975049"/>
    <w:rsid w:val="5C9872E9"/>
    <w:rsid w:val="5CA02022"/>
    <w:rsid w:val="5CBA5115"/>
    <w:rsid w:val="5CCB5FC8"/>
    <w:rsid w:val="5CD831AB"/>
    <w:rsid w:val="5CE15FE4"/>
    <w:rsid w:val="5CE31456"/>
    <w:rsid w:val="5CF66008"/>
    <w:rsid w:val="5D0D54C8"/>
    <w:rsid w:val="5D1F603D"/>
    <w:rsid w:val="5D2321D9"/>
    <w:rsid w:val="5D232A1E"/>
    <w:rsid w:val="5D236BD3"/>
    <w:rsid w:val="5D2A3898"/>
    <w:rsid w:val="5D2C17CF"/>
    <w:rsid w:val="5D482254"/>
    <w:rsid w:val="5D6A5B88"/>
    <w:rsid w:val="5D7243BE"/>
    <w:rsid w:val="5D871F33"/>
    <w:rsid w:val="5D9A4E5E"/>
    <w:rsid w:val="5DA80393"/>
    <w:rsid w:val="5DA859AD"/>
    <w:rsid w:val="5DA86E45"/>
    <w:rsid w:val="5DC84828"/>
    <w:rsid w:val="5DDA3E54"/>
    <w:rsid w:val="5DDB1F64"/>
    <w:rsid w:val="5DDD201F"/>
    <w:rsid w:val="5DE6752F"/>
    <w:rsid w:val="5DF10D9E"/>
    <w:rsid w:val="5DF259D2"/>
    <w:rsid w:val="5E0140D1"/>
    <w:rsid w:val="5E0C02C8"/>
    <w:rsid w:val="5E1B524C"/>
    <w:rsid w:val="5E272EF0"/>
    <w:rsid w:val="5E3118C9"/>
    <w:rsid w:val="5E3E2C99"/>
    <w:rsid w:val="5E44047B"/>
    <w:rsid w:val="5E4A0E32"/>
    <w:rsid w:val="5E4E260F"/>
    <w:rsid w:val="5E7454E5"/>
    <w:rsid w:val="5E8272E5"/>
    <w:rsid w:val="5E846FD1"/>
    <w:rsid w:val="5E8E6778"/>
    <w:rsid w:val="5E9542E1"/>
    <w:rsid w:val="5E9B0F7C"/>
    <w:rsid w:val="5E9B1F7A"/>
    <w:rsid w:val="5EA25337"/>
    <w:rsid w:val="5ED822E5"/>
    <w:rsid w:val="5EE75DB8"/>
    <w:rsid w:val="5EE82198"/>
    <w:rsid w:val="5F0D0659"/>
    <w:rsid w:val="5F1567BE"/>
    <w:rsid w:val="5F17346F"/>
    <w:rsid w:val="5F197747"/>
    <w:rsid w:val="5F1F6697"/>
    <w:rsid w:val="5F2A644B"/>
    <w:rsid w:val="5F425C06"/>
    <w:rsid w:val="5F536251"/>
    <w:rsid w:val="5F612FA7"/>
    <w:rsid w:val="5F637BFE"/>
    <w:rsid w:val="5F6B20AE"/>
    <w:rsid w:val="5F712693"/>
    <w:rsid w:val="5F716531"/>
    <w:rsid w:val="5F8168E0"/>
    <w:rsid w:val="5F8536F5"/>
    <w:rsid w:val="5F871BC3"/>
    <w:rsid w:val="5F8D60DF"/>
    <w:rsid w:val="5FC52ECB"/>
    <w:rsid w:val="5FD86881"/>
    <w:rsid w:val="5FDB6E7F"/>
    <w:rsid w:val="5FE10DED"/>
    <w:rsid w:val="5FF22B47"/>
    <w:rsid w:val="5FF75410"/>
    <w:rsid w:val="5FF76DFD"/>
    <w:rsid w:val="60025E39"/>
    <w:rsid w:val="60035A5F"/>
    <w:rsid w:val="60051914"/>
    <w:rsid w:val="60371840"/>
    <w:rsid w:val="6047263F"/>
    <w:rsid w:val="604E693F"/>
    <w:rsid w:val="60525073"/>
    <w:rsid w:val="60532B65"/>
    <w:rsid w:val="605920B2"/>
    <w:rsid w:val="60620FA8"/>
    <w:rsid w:val="60687768"/>
    <w:rsid w:val="60903A5C"/>
    <w:rsid w:val="609626BF"/>
    <w:rsid w:val="60B26A50"/>
    <w:rsid w:val="60BB2957"/>
    <w:rsid w:val="60BD0306"/>
    <w:rsid w:val="60BD4B77"/>
    <w:rsid w:val="60C57CAB"/>
    <w:rsid w:val="60ED793A"/>
    <w:rsid w:val="60F52A9D"/>
    <w:rsid w:val="6106379C"/>
    <w:rsid w:val="612F6EB8"/>
    <w:rsid w:val="613948E9"/>
    <w:rsid w:val="613E1D31"/>
    <w:rsid w:val="614A3E3D"/>
    <w:rsid w:val="614B3095"/>
    <w:rsid w:val="6155521C"/>
    <w:rsid w:val="617B7268"/>
    <w:rsid w:val="61903065"/>
    <w:rsid w:val="61C643B2"/>
    <w:rsid w:val="61D53E81"/>
    <w:rsid w:val="61D64951"/>
    <w:rsid w:val="61E11B13"/>
    <w:rsid w:val="61E406BF"/>
    <w:rsid w:val="61EF3AF2"/>
    <w:rsid w:val="6212567A"/>
    <w:rsid w:val="6216619E"/>
    <w:rsid w:val="62246BAC"/>
    <w:rsid w:val="62366076"/>
    <w:rsid w:val="623D2A44"/>
    <w:rsid w:val="6246161C"/>
    <w:rsid w:val="626D392C"/>
    <w:rsid w:val="62811FE2"/>
    <w:rsid w:val="62847918"/>
    <w:rsid w:val="628F156F"/>
    <w:rsid w:val="62A060CC"/>
    <w:rsid w:val="62C34347"/>
    <w:rsid w:val="62CE7D6F"/>
    <w:rsid w:val="62DB6BA0"/>
    <w:rsid w:val="62E15AD8"/>
    <w:rsid w:val="62EC076F"/>
    <w:rsid w:val="62F3173B"/>
    <w:rsid w:val="631228D9"/>
    <w:rsid w:val="6315750A"/>
    <w:rsid w:val="631E09FD"/>
    <w:rsid w:val="635214D1"/>
    <w:rsid w:val="63582DE4"/>
    <w:rsid w:val="635F0941"/>
    <w:rsid w:val="636C365E"/>
    <w:rsid w:val="6370227B"/>
    <w:rsid w:val="63764BA6"/>
    <w:rsid w:val="638C41CC"/>
    <w:rsid w:val="63A62AF8"/>
    <w:rsid w:val="63AA3E84"/>
    <w:rsid w:val="63AD595D"/>
    <w:rsid w:val="63B55407"/>
    <w:rsid w:val="63C6094E"/>
    <w:rsid w:val="63C62314"/>
    <w:rsid w:val="63D539FB"/>
    <w:rsid w:val="63E479CA"/>
    <w:rsid w:val="63FB5F93"/>
    <w:rsid w:val="64062D3B"/>
    <w:rsid w:val="64126312"/>
    <w:rsid w:val="641857C3"/>
    <w:rsid w:val="641C7155"/>
    <w:rsid w:val="641F65D0"/>
    <w:rsid w:val="64352E85"/>
    <w:rsid w:val="64387BFA"/>
    <w:rsid w:val="643E7055"/>
    <w:rsid w:val="645416EA"/>
    <w:rsid w:val="645738AA"/>
    <w:rsid w:val="645D2B98"/>
    <w:rsid w:val="64677CF6"/>
    <w:rsid w:val="646A55AB"/>
    <w:rsid w:val="64821F97"/>
    <w:rsid w:val="6484436A"/>
    <w:rsid w:val="6489776B"/>
    <w:rsid w:val="648A5448"/>
    <w:rsid w:val="64925346"/>
    <w:rsid w:val="64AB08E2"/>
    <w:rsid w:val="64B27796"/>
    <w:rsid w:val="64B41E4C"/>
    <w:rsid w:val="64BB1553"/>
    <w:rsid w:val="64C14B94"/>
    <w:rsid w:val="64C35400"/>
    <w:rsid w:val="64CA2D32"/>
    <w:rsid w:val="64D37E39"/>
    <w:rsid w:val="64D85739"/>
    <w:rsid w:val="64E261ED"/>
    <w:rsid w:val="64EF3DC8"/>
    <w:rsid w:val="64F47123"/>
    <w:rsid w:val="64F55A2C"/>
    <w:rsid w:val="64FB320B"/>
    <w:rsid w:val="64FD6312"/>
    <w:rsid w:val="650662F1"/>
    <w:rsid w:val="652A557F"/>
    <w:rsid w:val="6531552B"/>
    <w:rsid w:val="656D57A5"/>
    <w:rsid w:val="656E190F"/>
    <w:rsid w:val="657E05FA"/>
    <w:rsid w:val="659A62E9"/>
    <w:rsid w:val="65C01263"/>
    <w:rsid w:val="65C154DA"/>
    <w:rsid w:val="65CF5102"/>
    <w:rsid w:val="65E01408"/>
    <w:rsid w:val="65E816C2"/>
    <w:rsid w:val="65F51A7B"/>
    <w:rsid w:val="65F55F40"/>
    <w:rsid w:val="65F75DA9"/>
    <w:rsid w:val="660E4511"/>
    <w:rsid w:val="66164125"/>
    <w:rsid w:val="662110B1"/>
    <w:rsid w:val="6626728B"/>
    <w:rsid w:val="6632293D"/>
    <w:rsid w:val="66424110"/>
    <w:rsid w:val="665D2667"/>
    <w:rsid w:val="665D2FCE"/>
    <w:rsid w:val="665E7BFF"/>
    <w:rsid w:val="666D2063"/>
    <w:rsid w:val="667446A2"/>
    <w:rsid w:val="66763171"/>
    <w:rsid w:val="667E58EC"/>
    <w:rsid w:val="667E641E"/>
    <w:rsid w:val="668169C8"/>
    <w:rsid w:val="66914189"/>
    <w:rsid w:val="66952ECC"/>
    <w:rsid w:val="66967370"/>
    <w:rsid w:val="66A35358"/>
    <w:rsid w:val="66A564E5"/>
    <w:rsid w:val="66BA5C67"/>
    <w:rsid w:val="66BF431F"/>
    <w:rsid w:val="66D46B66"/>
    <w:rsid w:val="66DB1151"/>
    <w:rsid w:val="66E23884"/>
    <w:rsid w:val="66E520A5"/>
    <w:rsid w:val="66E57423"/>
    <w:rsid w:val="66EE1B65"/>
    <w:rsid w:val="66EE32F4"/>
    <w:rsid w:val="66F879FF"/>
    <w:rsid w:val="670304A8"/>
    <w:rsid w:val="67105CF0"/>
    <w:rsid w:val="672121B0"/>
    <w:rsid w:val="672A3D40"/>
    <w:rsid w:val="674027F2"/>
    <w:rsid w:val="675F359A"/>
    <w:rsid w:val="676359ED"/>
    <w:rsid w:val="67701478"/>
    <w:rsid w:val="677047B9"/>
    <w:rsid w:val="67893F36"/>
    <w:rsid w:val="678E3C69"/>
    <w:rsid w:val="679937C1"/>
    <w:rsid w:val="679C6C08"/>
    <w:rsid w:val="67B4762B"/>
    <w:rsid w:val="67BB4EA7"/>
    <w:rsid w:val="67C14D73"/>
    <w:rsid w:val="67DB07D2"/>
    <w:rsid w:val="67EE12E9"/>
    <w:rsid w:val="67F108B6"/>
    <w:rsid w:val="67FF7D71"/>
    <w:rsid w:val="680247E6"/>
    <w:rsid w:val="68025FB1"/>
    <w:rsid w:val="680A40B1"/>
    <w:rsid w:val="68221D4B"/>
    <w:rsid w:val="6829307F"/>
    <w:rsid w:val="68500A53"/>
    <w:rsid w:val="685659B5"/>
    <w:rsid w:val="6877000B"/>
    <w:rsid w:val="687A6BA1"/>
    <w:rsid w:val="687B738A"/>
    <w:rsid w:val="6882226C"/>
    <w:rsid w:val="68A71A92"/>
    <w:rsid w:val="68AD042B"/>
    <w:rsid w:val="68B02C01"/>
    <w:rsid w:val="68B20C25"/>
    <w:rsid w:val="68BE6BCB"/>
    <w:rsid w:val="68C831D1"/>
    <w:rsid w:val="68DD768B"/>
    <w:rsid w:val="68E51EE8"/>
    <w:rsid w:val="68E90C6D"/>
    <w:rsid w:val="68F071AE"/>
    <w:rsid w:val="691213D6"/>
    <w:rsid w:val="69145FFC"/>
    <w:rsid w:val="69287927"/>
    <w:rsid w:val="69356181"/>
    <w:rsid w:val="69387B98"/>
    <w:rsid w:val="693D63AD"/>
    <w:rsid w:val="693F1BDF"/>
    <w:rsid w:val="6944726F"/>
    <w:rsid w:val="694E396F"/>
    <w:rsid w:val="696A04ED"/>
    <w:rsid w:val="69706BE1"/>
    <w:rsid w:val="698420E5"/>
    <w:rsid w:val="698941A8"/>
    <w:rsid w:val="698E1975"/>
    <w:rsid w:val="69977E54"/>
    <w:rsid w:val="69A25CF9"/>
    <w:rsid w:val="69AE4280"/>
    <w:rsid w:val="69B93887"/>
    <w:rsid w:val="69D0323F"/>
    <w:rsid w:val="69D62E14"/>
    <w:rsid w:val="69ED3A2F"/>
    <w:rsid w:val="69F20D98"/>
    <w:rsid w:val="69F40FF1"/>
    <w:rsid w:val="69F7464D"/>
    <w:rsid w:val="6A1151A7"/>
    <w:rsid w:val="6A157E2A"/>
    <w:rsid w:val="6A2F6504"/>
    <w:rsid w:val="6A316D1F"/>
    <w:rsid w:val="6A394161"/>
    <w:rsid w:val="6A3C1FDC"/>
    <w:rsid w:val="6A4627FC"/>
    <w:rsid w:val="6A4850C1"/>
    <w:rsid w:val="6A4950F1"/>
    <w:rsid w:val="6A521800"/>
    <w:rsid w:val="6A7507DD"/>
    <w:rsid w:val="6A773014"/>
    <w:rsid w:val="6A8743E3"/>
    <w:rsid w:val="6A8A43FE"/>
    <w:rsid w:val="6A933773"/>
    <w:rsid w:val="6A9337CC"/>
    <w:rsid w:val="6A937692"/>
    <w:rsid w:val="6AA252F9"/>
    <w:rsid w:val="6AAD2A38"/>
    <w:rsid w:val="6AC51C25"/>
    <w:rsid w:val="6AC83870"/>
    <w:rsid w:val="6ACC31C6"/>
    <w:rsid w:val="6ACE149D"/>
    <w:rsid w:val="6ACE30EF"/>
    <w:rsid w:val="6ACE5BBD"/>
    <w:rsid w:val="6AD22940"/>
    <w:rsid w:val="6AD36D91"/>
    <w:rsid w:val="6AD9625D"/>
    <w:rsid w:val="6AE34B4E"/>
    <w:rsid w:val="6AED4EE9"/>
    <w:rsid w:val="6AF34D96"/>
    <w:rsid w:val="6AF53C10"/>
    <w:rsid w:val="6AF705F9"/>
    <w:rsid w:val="6AFB39BF"/>
    <w:rsid w:val="6AFC405A"/>
    <w:rsid w:val="6B044ABC"/>
    <w:rsid w:val="6B0A5734"/>
    <w:rsid w:val="6B0E57A0"/>
    <w:rsid w:val="6B0F6314"/>
    <w:rsid w:val="6B12261D"/>
    <w:rsid w:val="6B252170"/>
    <w:rsid w:val="6B25718E"/>
    <w:rsid w:val="6B2807B2"/>
    <w:rsid w:val="6B2D00F4"/>
    <w:rsid w:val="6B3713A3"/>
    <w:rsid w:val="6B3D116E"/>
    <w:rsid w:val="6B3E7C41"/>
    <w:rsid w:val="6B472C16"/>
    <w:rsid w:val="6B48330D"/>
    <w:rsid w:val="6B5B46E4"/>
    <w:rsid w:val="6B704CCC"/>
    <w:rsid w:val="6B790BCE"/>
    <w:rsid w:val="6B7E5214"/>
    <w:rsid w:val="6B871BCF"/>
    <w:rsid w:val="6B9375F3"/>
    <w:rsid w:val="6B99520C"/>
    <w:rsid w:val="6BAB7C0A"/>
    <w:rsid w:val="6BCA6D2F"/>
    <w:rsid w:val="6BD1430E"/>
    <w:rsid w:val="6BD5278F"/>
    <w:rsid w:val="6BE8137D"/>
    <w:rsid w:val="6BEA1531"/>
    <w:rsid w:val="6BF57D61"/>
    <w:rsid w:val="6C0A7EB8"/>
    <w:rsid w:val="6C0C1FD6"/>
    <w:rsid w:val="6C111277"/>
    <w:rsid w:val="6C16494C"/>
    <w:rsid w:val="6C1D20B1"/>
    <w:rsid w:val="6C203F87"/>
    <w:rsid w:val="6C235588"/>
    <w:rsid w:val="6C304B99"/>
    <w:rsid w:val="6C3867D3"/>
    <w:rsid w:val="6C421000"/>
    <w:rsid w:val="6C505BB4"/>
    <w:rsid w:val="6C527799"/>
    <w:rsid w:val="6C544A36"/>
    <w:rsid w:val="6C547C54"/>
    <w:rsid w:val="6C6B6BA9"/>
    <w:rsid w:val="6C8163CC"/>
    <w:rsid w:val="6C8443FB"/>
    <w:rsid w:val="6CA17A26"/>
    <w:rsid w:val="6CA6045C"/>
    <w:rsid w:val="6CAF669F"/>
    <w:rsid w:val="6CB255D4"/>
    <w:rsid w:val="6CB46542"/>
    <w:rsid w:val="6CE95D1F"/>
    <w:rsid w:val="6CEE6900"/>
    <w:rsid w:val="6CF60B16"/>
    <w:rsid w:val="6CFB216D"/>
    <w:rsid w:val="6D016085"/>
    <w:rsid w:val="6D0336AE"/>
    <w:rsid w:val="6D095645"/>
    <w:rsid w:val="6D0D4104"/>
    <w:rsid w:val="6D0E102D"/>
    <w:rsid w:val="6D300760"/>
    <w:rsid w:val="6D361CAF"/>
    <w:rsid w:val="6D4B1154"/>
    <w:rsid w:val="6D5560A2"/>
    <w:rsid w:val="6D5754B9"/>
    <w:rsid w:val="6D714983"/>
    <w:rsid w:val="6D743512"/>
    <w:rsid w:val="6D7A1060"/>
    <w:rsid w:val="6D7B3E18"/>
    <w:rsid w:val="6D7C6B93"/>
    <w:rsid w:val="6D7D2CD5"/>
    <w:rsid w:val="6D921906"/>
    <w:rsid w:val="6D9560A3"/>
    <w:rsid w:val="6D97480B"/>
    <w:rsid w:val="6D9C67B8"/>
    <w:rsid w:val="6DAC5522"/>
    <w:rsid w:val="6DAE1443"/>
    <w:rsid w:val="6DB77E02"/>
    <w:rsid w:val="6DC00BC5"/>
    <w:rsid w:val="6DC72505"/>
    <w:rsid w:val="6DF07A27"/>
    <w:rsid w:val="6DFA13F2"/>
    <w:rsid w:val="6DFC59C3"/>
    <w:rsid w:val="6E0D718C"/>
    <w:rsid w:val="6E254C22"/>
    <w:rsid w:val="6E27117E"/>
    <w:rsid w:val="6E2A1DE1"/>
    <w:rsid w:val="6E3250BC"/>
    <w:rsid w:val="6E4432B9"/>
    <w:rsid w:val="6E4D210F"/>
    <w:rsid w:val="6E4E3BA1"/>
    <w:rsid w:val="6E4F4C73"/>
    <w:rsid w:val="6E500F89"/>
    <w:rsid w:val="6E5228CD"/>
    <w:rsid w:val="6E561108"/>
    <w:rsid w:val="6E580E85"/>
    <w:rsid w:val="6E627EB9"/>
    <w:rsid w:val="6E645FA5"/>
    <w:rsid w:val="6E6C6C08"/>
    <w:rsid w:val="6E895F0D"/>
    <w:rsid w:val="6E8B7F76"/>
    <w:rsid w:val="6E93206E"/>
    <w:rsid w:val="6E955400"/>
    <w:rsid w:val="6E984246"/>
    <w:rsid w:val="6EA5169A"/>
    <w:rsid w:val="6EB9510B"/>
    <w:rsid w:val="6EBE4A17"/>
    <w:rsid w:val="6EBF12FC"/>
    <w:rsid w:val="6EE13C7F"/>
    <w:rsid w:val="6EED0072"/>
    <w:rsid w:val="6EF34FC3"/>
    <w:rsid w:val="6EF821B1"/>
    <w:rsid w:val="6EFA4214"/>
    <w:rsid w:val="6EFB32ED"/>
    <w:rsid w:val="6F066C5C"/>
    <w:rsid w:val="6F084242"/>
    <w:rsid w:val="6F08544A"/>
    <w:rsid w:val="6F10248C"/>
    <w:rsid w:val="6F14777D"/>
    <w:rsid w:val="6F166F07"/>
    <w:rsid w:val="6F181317"/>
    <w:rsid w:val="6F1C1A76"/>
    <w:rsid w:val="6F366A0C"/>
    <w:rsid w:val="6F386200"/>
    <w:rsid w:val="6F395EA8"/>
    <w:rsid w:val="6F483571"/>
    <w:rsid w:val="6F51733B"/>
    <w:rsid w:val="6F541613"/>
    <w:rsid w:val="6F5543F9"/>
    <w:rsid w:val="6F5A05B1"/>
    <w:rsid w:val="6F5A4CB2"/>
    <w:rsid w:val="6F8D1E6B"/>
    <w:rsid w:val="6F911861"/>
    <w:rsid w:val="6F9C76F0"/>
    <w:rsid w:val="6F9D6C4D"/>
    <w:rsid w:val="6FA56A92"/>
    <w:rsid w:val="6FAD7D74"/>
    <w:rsid w:val="6FAF3431"/>
    <w:rsid w:val="6FBD1159"/>
    <w:rsid w:val="6FC959C2"/>
    <w:rsid w:val="6FD131FA"/>
    <w:rsid w:val="6FD62563"/>
    <w:rsid w:val="6FD81456"/>
    <w:rsid w:val="6FD85084"/>
    <w:rsid w:val="6FE05440"/>
    <w:rsid w:val="6FE729EA"/>
    <w:rsid w:val="6FE9062A"/>
    <w:rsid w:val="6FFA79CE"/>
    <w:rsid w:val="7004359C"/>
    <w:rsid w:val="7012150B"/>
    <w:rsid w:val="701423E3"/>
    <w:rsid w:val="701D465E"/>
    <w:rsid w:val="70260DBC"/>
    <w:rsid w:val="702E435D"/>
    <w:rsid w:val="7036571F"/>
    <w:rsid w:val="703A5210"/>
    <w:rsid w:val="7044114C"/>
    <w:rsid w:val="704D4C46"/>
    <w:rsid w:val="70545DA3"/>
    <w:rsid w:val="70666005"/>
    <w:rsid w:val="709A23D0"/>
    <w:rsid w:val="70B51C22"/>
    <w:rsid w:val="70BD5134"/>
    <w:rsid w:val="70BE6B78"/>
    <w:rsid w:val="70CF3233"/>
    <w:rsid w:val="70DA0065"/>
    <w:rsid w:val="70E066B6"/>
    <w:rsid w:val="70EE4A34"/>
    <w:rsid w:val="70FB675C"/>
    <w:rsid w:val="710E7E8B"/>
    <w:rsid w:val="711165DE"/>
    <w:rsid w:val="711E2A22"/>
    <w:rsid w:val="71244CD9"/>
    <w:rsid w:val="712D7A2E"/>
    <w:rsid w:val="713E3453"/>
    <w:rsid w:val="71427BB1"/>
    <w:rsid w:val="71454FF5"/>
    <w:rsid w:val="716243A1"/>
    <w:rsid w:val="716A7A35"/>
    <w:rsid w:val="717526F6"/>
    <w:rsid w:val="718815E5"/>
    <w:rsid w:val="71893F51"/>
    <w:rsid w:val="718F01F2"/>
    <w:rsid w:val="719426FE"/>
    <w:rsid w:val="719517B4"/>
    <w:rsid w:val="719D49DA"/>
    <w:rsid w:val="71B153CA"/>
    <w:rsid w:val="71B2536F"/>
    <w:rsid w:val="71C652F2"/>
    <w:rsid w:val="71CD08B5"/>
    <w:rsid w:val="71DB657E"/>
    <w:rsid w:val="71FF1DFD"/>
    <w:rsid w:val="71FF645F"/>
    <w:rsid w:val="72005FE5"/>
    <w:rsid w:val="72060E95"/>
    <w:rsid w:val="72086275"/>
    <w:rsid w:val="720D60D4"/>
    <w:rsid w:val="7217653E"/>
    <w:rsid w:val="721A4B2A"/>
    <w:rsid w:val="7223275E"/>
    <w:rsid w:val="72261F85"/>
    <w:rsid w:val="722D1DC5"/>
    <w:rsid w:val="723143F0"/>
    <w:rsid w:val="72316D4A"/>
    <w:rsid w:val="72340514"/>
    <w:rsid w:val="72344122"/>
    <w:rsid w:val="723A0AD5"/>
    <w:rsid w:val="7240630C"/>
    <w:rsid w:val="72421A40"/>
    <w:rsid w:val="7242215A"/>
    <w:rsid w:val="724A6552"/>
    <w:rsid w:val="724C6371"/>
    <w:rsid w:val="726372EE"/>
    <w:rsid w:val="726A6AE2"/>
    <w:rsid w:val="72715329"/>
    <w:rsid w:val="72822217"/>
    <w:rsid w:val="728C4B39"/>
    <w:rsid w:val="72904B34"/>
    <w:rsid w:val="72940B7D"/>
    <w:rsid w:val="72A229DA"/>
    <w:rsid w:val="72CB3752"/>
    <w:rsid w:val="72EC1984"/>
    <w:rsid w:val="72EE0827"/>
    <w:rsid w:val="72EF2DF1"/>
    <w:rsid w:val="72F07595"/>
    <w:rsid w:val="72F20F06"/>
    <w:rsid w:val="72FB3FF3"/>
    <w:rsid w:val="730269C9"/>
    <w:rsid w:val="730B2CEE"/>
    <w:rsid w:val="73111F2C"/>
    <w:rsid w:val="733B0B45"/>
    <w:rsid w:val="733C1B7F"/>
    <w:rsid w:val="73532D54"/>
    <w:rsid w:val="73595EBB"/>
    <w:rsid w:val="736A5E0C"/>
    <w:rsid w:val="73707775"/>
    <w:rsid w:val="737319B0"/>
    <w:rsid w:val="737B1804"/>
    <w:rsid w:val="738112D8"/>
    <w:rsid w:val="73890408"/>
    <w:rsid w:val="738D2089"/>
    <w:rsid w:val="73980266"/>
    <w:rsid w:val="739B17FF"/>
    <w:rsid w:val="739E1612"/>
    <w:rsid w:val="73AD014C"/>
    <w:rsid w:val="73AD30D1"/>
    <w:rsid w:val="73BA22EE"/>
    <w:rsid w:val="73BF6282"/>
    <w:rsid w:val="73C623BD"/>
    <w:rsid w:val="73C83E57"/>
    <w:rsid w:val="73D45E03"/>
    <w:rsid w:val="73D53852"/>
    <w:rsid w:val="73F34227"/>
    <w:rsid w:val="73F36852"/>
    <w:rsid w:val="740A4EF9"/>
    <w:rsid w:val="741555D7"/>
    <w:rsid w:val="742673CF"/>
    <w:rsid w:val="74351CA7"/>
    <w:rsid w:val="7440278C"/>
    <w:rsid w:val="7448031E"/>
    <w:rsid w:val="745030CE"/>
    <w:rsid w:val="74537185"/>
    <w:rsid w:val="745C24E7"/>
    <w:rsid w:val="745E7F49"/>
    <w:rsid w:val="74686FCB"/>
    <w:rsid w:val="746F39F6"/>
    <w:rsid w:val="747E57B0"/>
    <w:rsid w:val="748027B6"/>
    <w:rsid w:val="748051BB"/>
    <w:rsid w:val="74856DE5"/>
    <w:rsid w:val="748A3939"/>
    <w:rsid w:val="74947526"/>
    <w:rsid w:val="74A0585D"/>
    <w:rsid w:val="74A23383"/>
    <w:rsid w:val="74B43887"/>
    <w:rsid w:val="74BD01BD"/>
    <w:rsid w:val="74BE46B2"/>
    <w:rsid w:val="74C12FF8"/>
    <w:rsid w:val="74CD20FE"/>
    <w:rsid w:val="74D65E8B"/>
    <w:rsid w:val="74E80AD5"/>
    <w:rsid w:val="751C7EFA"/>
    <w:rsid w:val="751D19B3"/>
    <w:rsid w:val="752C5CA3"/>
    <w:rsid w:val="752E2E69"/>
    <w:rsid w:val="75324707"/>
    <w:rsid w:val="75335A20"/>
    <w:rsid w:val="75345FAE"/>
    <w:rsid w:val="7539248D"/>
    <w:rsid w:val="754809BC"/>
    <w:rsid w:val="755B09A7"/>
    <w:rsid w:val="756143FB"/>
    <w:rsid w:val="75720039"/>
    <w:rsid w:val="75762006"/>
    <w:rsid w:val="75765E4B"/>
    <w:rsid w:val="757E7D7F"/>
    <w:rsid w:val="758344F4"/>
    <w:rsid w:val="758F4DDA"/>
    <w:rsid w:val="75A36E24"/>
    <w:rsid w:val="75A6216F"/>
    <w:rsid w:val="75A66EA3"/>
    <w:rsid w:val="75AE60DA"/>
    <w:rsid w:val="75BB2559"/>
    <w:rsid w:val="75C17808"/>
    <w:rsid w:val="75C42D30"/>
    <w:rsid w:val="75EB67F7"/>
    <w:rsid w:val="76075541"/>
    <w:rsid w:val="76157B85"/>
    <w:rsid w:val="76174FB2"/>
    <w:rsid w:val="761B0B48"/>
    <w:rsid w:val="76376319"/>
    <w:rsid w:val="764058F2"/>
    <w:rsid w:val="765C0402"/>
    <w:rsid w:val="766236D9"/>
    <w:rsid w:val="766D0821"/>
    <w:rsid w:val="766D62C3"/>
    <w:rsid w:val="767123A0"/>
    <w:rsid w:val="76771E0A"/>
    <w:rsid w:val="767C3F4B"/>
    <w:rsid w:val="76875408"/>
    <w:rsid w:val="7688716A"/>
    <w:rsid w:val="768E2DAC"/>
    <w:rsid w:val="76965A64"/>
    <w:rsid w:val="769A7BC5"/>
    <w:rsid w:val="76AD198D"/>
    <w:rsid w:val="76B36579"/>
    <w:rsid w:val="76B57B6E"/>
    <w:rsid w:val="76B949B4"/>
    <w:rsid w:val="76CB697F"/>
    <w:rsid w:val="76D234CE"/>
    <w:rsid w:val="76DE43A6"/>
    <w:rsid w:val="76FB6D7B"/>
    <w:rsid w:val="771156CB"/>
    <w:rsid w:val="77293705"/>
    <w:rsid w:val="772E16BB"/>
    <w:rsid w:val="774442C4"/>
    <w:rsid w:val="77500133"/>
    <w:rsid w:val="77527828"/>
    <w:rsid w:val="776F7A6A"/>
    <w:rsid w:val="777F3F16"/>
    <w:rsid w:val="77800322"/>
    <w:rsid w:val="778620E7"/>
    <w:rsid w:val="778F4AE9"/>
    <w:rsid w:val="779438DB"/>
    <w:rsid w:val="779A126B"/>
    <w:rsid w:val="779D5A01"/>
    <w:rsid w:val="77B91110"/>
    <w:rsid w:val="77C2206D"/>
    <w:rsid w:val="77D677DB"/>
    <w:rsid w:val="77E26871"/>
    <w:rsid w:val="77E62D6B"/>
    <w:rsid w:val="77F27D3B"/>
    <w:rsid w:val="77FD2161"/>
    <w:rsid w:val="78014011"/>
    <w:rsid w:val="780E555F"/>
    <w:rsid w:val="78166104"/>
    <w:rsid w:val="78260C11"/>
    <w:rsid w:val="783B1B25"/>
    <w:rsid w:val="783C0878"/>
    <w:rsid w:val="783C6EEB"/>
    <w:rsid w:val="784178EE"/>
    <w:rsid w:val="78424F08"/>
    <w:rsid w:val="784443E4"/>
    <w:rsid w:val="786A35DE"/>
    <w:rsid w:val="786F5C73"/>
    <w:rsid w:val="78740DCB"/>
    <w:rsid w:val="787435E7"/>
    <w:rsid w:val="787B0173"/>
    <w:rsid w:val="787C2A12"/>
    <w:rsid w:val="788F2C7E"/>
    <w:rsid w:val="78955EC1"/>
    <w:rsid w:val="789C3905"/>
    <w:rsid w:val="78AE679B"/>
    <w:rsid w:val="78B02DD2"/>
    <w:rsid w:val="78BE61E0"/>
    <w:rsid w:val="78C24E18"/>
    <w:rsid w:val="78D72727"/>
    <w:rsid w:val="78E5527F"/>
    <w:rsid w:val="78E97D9D"/>
    <w:rsid w:val="78F11098"/>
    <w:rsid w:val="78F94DFD"/>
    <w:rsid w:val="78FD1924"/>
    <w:rsid w:val="795F258B"/>
    <w:rsid w:val="79677E82"/>
    <w:rsid w:val="79700E91"/>
    <w:rsid w:val="79714440"/>
    <w:rsid w:val="797C0522"/>
    <w:rsid w:val="797F58EA"/>
    <w:rsid w:val="798D131B"/>
    <w:rsid w:val="79A67F86"/>
    <w:rsid w:val="79AC70D3"/>
    <w:rsid w:val="79C03DB1"/>
    <w:rsid w:val="79C26956"/>
    <w:rsid w:val="79C55D35"/>
    <w:rsid w:val="79D37AD8"/>
    <w:rsid w:val="79E166FC"/>
    <w:rsid w:val="79E81021"/>
    <w:rsid w:val="79FE58B4"/>
    <w:rsid w:val="7A007DA5"/>
    <w:rsid w:val="7A016D9E"/>
    <w:rsid w:val="7A066163"/>
    <w:rsid w:val="7A0D16AE"/>
    <w:rsid w:val="7A202354"/>
    <w:rsid w:val="7A3C6904"/>
    <w:rsid w:val="7A4104F0"/>
    <w:rsid w:val="7A426777"/>
    <w:rsid w:val="7A443C3E"/>
    <w:rsid w:val="7A490D4E"/>
    <w:rsid w:val="7A5346D0"/>
    <w:rsid w:val="7A676AD2"/>
    <w:rsid w:val="7A6F1F5A"/>
    <w:rsid w:val="7A834D58"/>
    <w:rsid w:val="7A8B3CC1"/>
    <w:rsid w:val="7A944591"/>
    <w:rsid w:val="7A9C0875"/>
    <w:rsid w:val="7AA07552"/>
    <w:rsid w:val="7ABB0229"/>
    <w:rsid w:val="7ACA77FD"/>
    <w:rsid w:val="7ACF5021"/>
    <w:rsid w:val="7ADF61BB"/>
    <w:rsid w:val="7AE77503"/>
    <w:rsid w:val="7AEA6E4F"/>
    <w:rsid w:val="7AF13B33"/>
    <w:rsid w:val="7AF17463"/>
    <w:rsid w:val="7AF85B71"/>
    <w:rsid w:val="7B000415"/>
    <w:rsid w:val="7B011970"/>
    <w:rsid w:val="7B0139E3"/>
    <w:rsid w:val="7B087CB8"/>
    <w:rsid w:val="7B1265AF"/>
    <w:rsid w:val="7B1D080A"/>
    <w:rsid w:val="7B290844"/>
    <w:rsid w:val="7B2A0FE5"/>
    <w:rsid w:val="7B4539CB"/>
    <w:rsid w:val="7B4F3F53"/>
    <w:rsid w:val="7B5573A2"/>
    <w:rsid w:val="7B5E4B59"/>
    <w:rsid w:val="7B770CE3"/>
    <w:rsid w:val="7B773955"/>
    <w:rsid w:val="7B791A78"/>
    <w:rsid w:val="7B7D2454"/>
    <w:rsid w:val="7B854FAD"/>
    <w:rsid w:val="7B871525"/>
    <w:rsid w:val="7B8E3125"/>
    <w:rsid w:val="7B931C78"/>
    <w:rsid w:val="7BAC0AAC"/>
    <w:rsid w:val="7BBA4617"/>
    <w:rsid w:val="7BD8195C"/>
    <w:rsid w:val="7BDC07DF"/>
    <w:rsid w:val="7BF841EF"/>
    <w:rsid w:val="7BFE1CD7"/>
    <w:rsid w:val="7C01476A"/>
    <w:rsid w:val="7C0B3F04"/>
    <w:rsid w:val="7C1F4401"/>
    <w:rsid w:val="7C4F09CB"/>
    <w:rsid w:val="7C5C48A1"/>
    <w:rsid w:val="7C71401C"/>
    <w:rsid w:val="7C721AD5"/>
    <w:rsid w:val="7C7E46D6"/>
    <w:rsid w:val="7C800045"/>
    <w:rsid w:val="7C835849"/>
    <w:rsid w:val="7C880DB0"/>
    <w:rsid w:val="7C8F68E3"/>
    <w:rsid w:val="7C967DC0"/>
    <w:rsid w:val="7C9932BE"/>
    <w:rsid w:val="7CA73410"/>
    <w:rsid w:val="7CB80A49"/>
    <w:rsid w:val="7CC42EE0"/>
    <w:rsid w:val="7CC7607D"/>
    <w:rsid w:val="7CDB7465"/>
    <w:rsid w:val="7CE549B4"/>
    <w:rsid w:val="7D0066A6"/>
    <w:rsid w:val="7D007009"/>
    <w:rsid w:val="7D0D525E"/>
    <w:rsid w:val="7D1943FF"/>
    <w:rsid w:val="7D1C5444"/>
    <w:rsid w:val="7D2346A8"/>
    <w:rsid w:val="7D2E1262"/>
    <w:rsid w:val="7D2F76F7"/>
    <w:rsid w:val="7D311748"/>
    <w:rsid w:val="7D355BD8"/>
    <w:rsid w:val="7D38271F"/>
    <w:rsid w:val="7D3E74E7"/>
    <w:rsid w:val="7D4E3D38"/>
    <w:rsid w:val="7D4F169A"/>
    <w:rsid w:val="7D5E7E3F"/>
    <w:rsid w:val="7D761851"/>
    <w:rsid w:val="7D77329C"/>
    <w:rsid w:val="7D8C260C"/>
    <w:rsid w:val="7D8E0C93"/>
    <w:rsid w:val="7D945B08"/>
    <w:rsid w:val="7D9A1061"/>
    <w:rsid w:val="7D9E6A57"/>
    <w:rsid w:val="7DA37974"/>
    <w:rsid w:val="7DAF44D6"/>
    <w:rsid w:val="7DCF6B02"/>
    <w:rsid w:val="7DD56AAC"/>
    <w:rsid w:val="7DE11E59"/>
    <w:rsid w:val="7DE93DD1"/>
    <w:rsid w:val="7DEC04FB"/>
    <w:rsid w:val="7E1552B0"/>
    <w:rsid w:val="7E1E3299"/>
    <w:rsid w:val="7E23331F"/>
    <w:rsid w:val="7E233C0B"/>
    <w:rsid w:val="7E292420"/>
    <w:rsid w:val="7E3E7644"/>
    <w:rsid w:val="7E456851"/>
    <w:rsid w:val="7E597C9B"/>
    <w:rsid w:val="7E5D031B"/>
    <w:rsid w:val="7E5F1DC1"/>
    <w:rsid w:val="7E63450D"/>
    <w:rsid w:val="7E740C44"/>
    <w:rsid w:val="7E7B631E"/>
    <w:rsid w:val="7E7E1404"/>
    <w:rsid w:val="7E86734A"/>
    <w:rsid w:val="7E8C3D73"/>
    <w:rsid w:val="7EB50157"/>
    <w:rsid w:val="7EC32874"/>
    <w:rsid w:val="7EC9085D"/>
    <w:rsid w:val="7ED129EF"/>
    <w:rsid w:val="7ED44A81"/>
    <w:rsid w:val="7EDC1B88"/>
    <w:rsid w:val="7EDF0D5A"/>
    <w:rsid w:val="7EE07159"/>
    <w:rsid w:val="7EE074EE"/>
    <w:rsid w:val="7EE14E94"/>
    <w:rsid w:val="7EF66E55"/>
    <w:rsid w:val="7F0A04A3"/>
    <w:rsid w:val="7F0B4EC3"/>
    <w:rsid w:val="7F2143DB"/>
    <w:rsid w:val="7F2607E0"/>
    <w:rsid w:val="7F261E3D"/>
    <w:rsid w:val="7F283C3C"/>
    <w:rsid w:val="7F2C6B58"/>
    <w:rsid w:val="7F3B5F31"/>
    <w:rsid w:val="7F424ADF"/>
    <w:rsid w:val="7F4D7130"/>
    <w:rsid w:val="7F51522C"/>
    <w:rsid w:val="7F551693"/>
    <w:rsid w:val="7F583578"/>
    <w:rsid w:val="7F5E675F"/>
    <w:rsid w:val="7F652E0C"/>
    <w:rsid w:val="7F6F2809"/>
    <w:rsid w:val="7F773CEB"/>
    <w:rsid w:val="7F7C5E61"/>
    <w:rsid w:val="7F88368A"/>
    <w:rsid w:val="7F937796"/>
    <w:rsid w:val="7F9A2C69"/>
    <w:rsid w:val="7F9C412E"/>
    <w:rsid w:val="7FA041DD"/>
    <w:rsid w:val="7FA17ED2"/>
    <w:rsid w:val="7FAC155A"/>
    <w:rsid w:val="7FAE1EEA"/>
    <w:rsid w:val="7FBA7186"/>
    <w:rsid w:val="7FCF338B"/>
    <w:rsid w:val="7FD27921"/>
    <w:rsid w:val="7FD310BB"/>
    <w:rsid w:val="7FD91C23"/>
    <w:rsid w:val="7FDB7A66"/>
    <w:rsid w:val="7FDE0F47"/>
    <w:rsid w:val="7FE37A9C"/>
    <w:rsid w:val="7FE74DE9"/>
    <w:rsid w:val="7FF8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7"/>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8">
    <w:name w:val="heading 2"/>
    <w:basedOn w:val="1"/>
    <w:next w:val="1"/>
    <w:link w:val="74"/>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9">
    <w:name w:val="heading 3"/>
    <w:basedOn w:val="1"/>
    <w:next w:val="10"/>
    <w:link w:val="86"/>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11">
    <w:name w:val="heading 4"/>
    <w:basedOn w:val="1"/>
    <w:next w:val="1"/>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line="360" w:lineRule="auto"/>
      <w:ind w:firstLine="570"/>
    </w:pPr>
    <w:rPr>
      <w:sz w:val="24"/>
    </w:rPr>
  </w:style>
  <w:style w:type="paragraph" w:styleId="4">
    <w:name w:val="Body Text First Indent"/>
    <w:basedOn w:val="5"/>
    <w:next w:val="1"/>
    <w:qFormat/>
    <w:uiPriority w:val="0"/>
    <w:pPr>
      <w:tabs>
        <w:tab w:val="left" w:pos="567"/>
      </w:tabs>
      <w:ind w:firstLine="420" w:firstLineChars="100"/>
    </w:pPr>
  </w:style>
  <w:style w:type="paragraph" w:styleId="5">
    <w:name w:val="Body Text"/>
    <w:basedOn w:val="1"/>
    <w:next w:val="6"/>
    <w:link w:val="83"/>
    <w:qFormat/>
    <w:uiPriority w:val="0"/>
    <w:pPr>
      <w:tabs>
        <w:tab w:val="left" w:pos="567"/>
      </w:tabs>
      <w:spacing w:before="120" w:line="22" w:lineRule="atLeast"/>
    </w:pPr>
    <w:rPr>
      <w:rFonts w:ascii="宋体" w:hAnsi="宋体"/>
      <w:sz w:val="24"/>
    </w:rPr>
  </w:style>
  <w:style w:type="paragraph" w:customStyle="1" w:styleId="6">
    <w:name w:val="_Style 2"/>
    <w:basedOn w:val="1"/>
    <w:next w:val="1"/>
    <w:qFormat/>
    <w:uiPriority w:val="0"/>
    <w:pPr>
      <w:ind w:firstLine="200" w:firstLineChars="200"/>
    </w:pPr>
    <w:rPr>
      <w:rFonts w:ascii="Calibri" w:hAnsi="Calibri"/>
      <w:sz w:val="28"/>
      <w:szCs w:val="22"/>
    </w:rPr>
  </w:style>
  <w:style w:type="paragraph" w:styleId="10">
    <w:name w:val="Normal Indent"/>
    <w:basedOn w:val="1"/>
    <w:qFormat/>
    <w:uiPriority w:val="0"/>
    <w:pPr>
      <w:autoSpaceDE w:val="0"/>
      <w:autoSpaceDN w:val="0"/>
      <w:adjustRightInd w:val="0"/>
      <w:ind w:firstLine="420"/>
      <w:jc w:val="left"/>
    </w:pPr>
    <w:rPr>
      <w:rFonts w:ascii="宋体"/>
      <w:kern w:val="0"/>
      <w:sz w:val="24"/>
      <w:szCs w:val="20"/>
    </w:rPr>
  </w:style>
  <w:style w:type="paragraph" w:styleId="12">
    <w:name w:val="toc 7"/>
    <w:basedOn w:val="1"/>
    <w:next w:val="1"/>
    <w:qFormat/>
    <w:uiPriority w:val="39"/>
    <w:pPr>
      <w:ind w:left="2520" w:leftChars="1200"/>
    </w:pPr>
  </w:style>
  <w:style w:type="paragraph" w:styleId="13">
    <w:name w:val="Document Map"/>
    <w:basedOn w:val="1"/>
    <w:link w:val="78"/>
    <w:qFormat/>
    <w:uiPriority w:val="0"/>
    <w:rPr>
      <w:rFonts w:ascii="宋体"/>
      <w:sz w:val="18"/>
      <w:szCs w:val="18"/>
    </w:rPr>
  </w:style>
  <w:style w:type="paragraph" w:styleId="14">
    <w:name w:val="toa heading"/>
    <w:basedOn w:val="1"/>
    <w:next w:val="1"/>
    <w:qFormat/>
    <w:uiPriority w:val="0"/>
    <w:pPr>
      <w:spacing w:before="120"/>
    </w:pPr>
    <w:rPr>
      <w:rFonts w:ascii="Cambria" w:hAnsi="Cambria"/>
      <w:sz w:val="24"/>
    </w:rPr>
  </w:style>
  <w:style w:type="paragraph" w:styleId="15">
    <w:name w:val="annotation text"/>
    <w:basedOn w:val="1"/>
    <w:link w:val="84"/>
    <w:qFormat/>
    <w:uiPriority w:val="99"/>
    <w:pPr>
      <w:jc w:val="left"/>
    </w:pPr>
  </w:style>
  <w:style w:type="paragraph" w:styleId="16">
    <w:name w:val="Block Text"/>
    <w:basedOn w:val="1"/>
    <w:qFormat/>
    <w:uiPriority w:val="99"/>
    <w:pPr>
      <w:spacing w:after="120"/>
      <w:ind w:left="1440" w:leftChars="700" w:right="1440" w:rightChars="700"/>
    </w:pPr>
  </w:style>
  <w:style w:type="paragraph" w:styleId="17">
    <w:name w:val="toc 5"/>
    <w:basedOn w:val="1"/>
    <w:next w:val="1"/>
    <w:qFormat/>
    <w:uiPriority w:val="39"/>
    <w:pPr>
      <w:ind w:left="1680" w:leftChars="800"/>
    </w:pPr>
  </w:style>
  <w:style w:type="paragraph" w:styleId="18">
    <w:name w:val="toc 3"/>
    <w:basedOn w:val="1"/>
    <w:next w:val="1"/>
    <w:qFormat/>
    <w:uiPriority w:val="39"/>
    <w:pPr>
      <w:tabs>
        <w:tab w:val="left" w:pos="1260"/>
        <w:tab w:val="right" w:leader="dot" w:pos="8630"/>
      </w:tabs>
      <w:ind w:left="840" w:leftChars="400"/>
    </w:pPr>
  </w:style>
  <w:style w:type="paragraph" w:styleId="19">
    <w:name w:val="Plain Text"/>
    <w:basedOn w:val="1"/>
    <w:link w:val="82"/>
    <w:qFormat/>
    <w:uiPriority w:val="0"/>
    <w:rPr>
      <w:rFonts w:ascii="宋体" w:hAnsi="Courier New"/>
      <w:szCs w:val="20"/>
    </w:rPr>
  </w:style>
  <w:style w:type="paragraph" w:styleId="20">
    <w:name w:val="toc 8"/>
    <w:basedOn w:val="1"/>
    <w:next w:val="1"/>
    <w:qFormat/>
    <w:uiPriority w:val="39"/>
    <w:pPr>
      <w:ind w:left="2940" w:leftChars="1400"/>
    </w:pPr>
  </w:style>
  <w:style w:type="paragraph" w:styleId="21">
    <w:name w:val="Date"/>
    <w:basedOn w:val="1"/>
    <w:next w:val="1"/>
    <w:link w:val="79"/>
    <w:qFormat/>
    <w:uiPriority w:val="0"/>
    <w:pPr>
      <w:ind w:left="100" w:leftChars="2500"/>
    </w:pPr>
    <w:rPr>
      <w:rFonts w:ascii="仿宋_GB2312" w:hAnsi="宋体" w:eastAsia="仿宋_GB2312"/>
      <w:color w:val="000000"/>
      <w:sz w:val="24"/>
    </w:rPr>
  </w:style>
  <w:style w:type="paragraph" w:styleId="22">
    <w:name w:val="Body Text Indent 2"/>
    <w:basedOn w:val="1"/>
    <w:qFormat/>
    <w:uiPriority w:val="0"/>
    <w:pPr>
      <w:ind w:firstLine="480" w:firstLineChars="200"/>
    </w:pPr>
    <w:rPr>
      <w:rFonts w:ascii="仿宋_GB2312" w:eastAsia="仿宋_GB2312"/>
      <w:sz w:val="24"/>
    </w:rPr>
  </w:style>
  <w:style w:type="paragraph" w:styleId="23">
    <w:name w:val="Balloon Text"/>
    <w:basedOn w:val="1"/>
    <w:link w:val="75"/>
    <w:qFormat/>
    <w:uiPriority w:val="0"/>
    <w:rPr>
      <w:sz w:val="18"/>
      <w:szCs w:val="18"/>
    </w:rPr>
  </w:style>
  <w:style w:type="paragraph" w:styleId="24">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envelope return"/>
    <w:basedOn w:val="1"/>
    <w:qFormat/>
    <w:uiPriority w:val="0"/>
    <w:pPr>
      <w:snapToGrid w:val="0"/>
    </w:pPr>
    <w:rPr>
      <w:rFonts w:ascii="Arial" w:hAnsi="Arial"/>
    </w:rPr>
  </w:style>
  <w:style w:type="paragraph" w:styleId="26">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qFormat/>
    <w:uiPriority w:val="39"/>
    <w:pPr>
      <w:ind w:left="1260" w:leftChars="600"/>
    </w:pPr>
  </w:style>
  <w:style w:type="paragraph" w:styleId="29">
    <w:name w:val="footnote text"/>
    <w:basedOn w:val="1"/>
    <w:next w:val="5"/>
    <w:qFormat/>
    <w:uiPriority w:val="0"/>
    <w:pPr>
      <w:snapToGrid w:val="0"/>
      <w:jc w:val="left"/>
    </w:pPr>
    <w:rPr>
      <w:sz w:val="18"/>
    </w:rPr>
  </w:style>
  <w:style w:type="paragraph" w:styleId="30">
    <w:name w:val="toc 6"/>
    <w:basedOn w:val="1"/>
    <w:next w:val="1"/>
    <w:qFormat/>
    <w:uiPriority w:val="39"/>
    <w:pPr>
      <w:ind w:left="2100" w:leftChars="1000"/>
    </w:pPr>
  </w:style>
  <w:style w:type="paragraph" w:styleId="31">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2">
    <w:name w:val="index 7"/>
    <w:basedOn w:val="1"/>
    <w:next w:val="1"/>
    <w:qFormat/>
    <w:uiPriority w:val="0"/>
    <w:pPr>
      <w:ind w:left="1200" w:leftChars="1200"/>
    </w:p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style>
  <w:style w:type="paragraph" w:styleId="35">
    <w:name w:val="Body Text 2"/>
    <w:basedOn w:val="1"/>
    <w:qFormat/>
    <w:uiPriority w:val="0"/>
    <w:pPr>
      <w:adjustRightInd w:val="0"/>
      <w:snapToGrid w:val="0"/>
      <w:spacing w:line="480" w:lineRule="atLeast"/>
    </w:pPr>
    <w:rPr>
      <w:rFonts w:ascii="宋体" w:hAnsi="宋体"/>
      <w:sz w:val="28"/>
    </w:rPr>
  </w:style>
  <w:style w:type="paragraph" w:styleId="36">
    <w:name w:val="Normal (Web)"/>
    <w:basedOn w:val="1"/>
    <w:qFormat/>
    <w:uiPriority w:val="99"/>
    <w:pPr>
      <w:spacing w:before="75" w:after="75"/>
      <w:jc w:val="left"/>
    </w:pPr>
    <w:rPr>
      <w:kern w:val="0"/>
      <w:sz w:val="24"/>
    </w:rPr>
  </w:style>
  <w:style w:type="paragraph" w:styleId="37">
    <w:name w:val="index 1"/>
    <w:basedOn w:val="1"/>
    <w:next w:val="1"/>
    <w:qFormat/>
    <w:uiPriority w:val="0"/>
    <w:rPr>
      <w:szCs w:val="20"/>
    </w:rPr>
  </w:style>
  <w:style w:type="paragraph" w:styleId="38">
    <w:name w:val="Title"/>
    <w:basedOn w:val="1"/>
    <w:qFormat/>
    <w:uiPriority w:val="0"/>
    <w:pPr>
      <w:spacing w:before="240" w:after="60"/>
      <w:jc w:val="center"/>
      <w:outlineLvl w:val="0"/>
    </w:pPr>
    <w:rPr>
      <w:rFonts w:ascii="Arial" w:hAnsi="Arial" w:cs="Arial"/>
      <w:b/>
      <w:bCs/>
      <w:sz w:val="32"/>
      <w:szCs w:val="32"/>
    </w:rPr>
  </w:style>
  <w:style w:type="paragraph" w:styleId="39">
    <w:name w:val="annotation subject"/>
    <w:basedOn w:val="15"/>
    <w:next w:val="15"/>
    <w:link w:val="85"/>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9">
    <w:name w:val="Default"/>
    <w:next w:val="50"/>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0">
    <w:name w:val="大标题"/>
    <w:basedOn w:val="1"/>
    <w:next w:val="2"/>
    <w:qFormat/>
    <w:uiPriority w:val="0"/>
    <w:pPr>
      <w:jc w:val="center"/>
    </w:pPr>
    <w:rPr>
      <w:b/>
      <w:sz w:val="28"/>
    </w:rPr>
  </w:style>
  <w:style w:type="paragraph" w:customStyle="1" w:styleId="51">
    <w:name w:val="索引 11"/>
    <w:basedOn w:val="1"/>
    <w:next w:val="1"/>
    <w:qFormat/>
    <w:uiPriority w:val="0"/>
    <w:pPr>
      <w:spacing w:line="360" w:lineRule="auto"/>
    </w:pPr>
    <w:rPr>
      <w:rFonts w:ascii="仿宋_GB2312" w:eastAsia="仿宋_GB2312"/>
      <w:sz w:val="24"/>
      <w:szCs w:val="20"/>
    </w:rPr>
  </w:style>
  <w:style w:type="paragraph" w:customStyle="1" w:styleId="52">
    <w:name w:val="列出段落1"/>
    <w:basedOn w:val="1"/>
    <w:qFormat/>
    <w:uiPriority w:val="34"/>
    <w:pPr>
      <w:widowControl/>
      <w:ind w:firstLine="420" w:firstLineChars="200"/>
      <w:jc w:val="left"/>
    </w:pPr>
    <w:rPr>
      <w:kern w:val="0"/>
      <w:sz w:val="24"/>
    </w:rPr>
  </w:style>
  <w:style w:type="paragraph" w:customStyle="1" w:styleId="53">
    <w:name w:val="列出段落11"/>
    <w:basedOn w:val="1"/>
    <w:next w:val="52"/>
    <w:qFormat/>
    <w:uiPriority w:val="34"/>
    <w:pPr>
      <w:widowControl/>
      <w:ind w:firstLine="420" w:firstLineChars="200"/>
      <w:jc w:val="left"/>
    </w:pPr>
    <w:rPr>
      <w:rFonts w:ascii="宋体" w:hAnsi="宋体" w:cs="宋体"/>
      <w:kern w:val="0"/>
      <w:sz w:val="24"/>
    </w:rPr>
  </w:style>
  <w:style w:type="paragraph" w:customStyle="1" w:styleId="54">
    <w:name w:val="List Paragraph1"/>
    <w:basedOn w:val="1"/>
    <w:qFormat/>
    <w:uiPriority w:val="34"/>
    <w:pPr>
      <w:ind w:firstLine="420" w:firstLineChars="200"/>
    </w:pPr>
  </w:style>
  <w:style w:type="paragraph" w:customStyle="1" w:styleId="55">
    <w:name w:val="Table Paragraph"/>
    <w:basedOn w:val="1"/>
    <w:qFormat/>
    <w:uiPriority w:val="1"/>
    <w:pPr>
      <w:widowControl/>
      <w:jc w:val="left"/>
    </w:pPr>
    <w:rPr>
      <w:rFonts w:ascii="宋体" w:hAnsi="宋体" w:cs="宋体"/>
      <w:kern w:val="0"/>
      <w:szCs w:val="20"/>
      <w:lang w:val="zh-CN" w:bidi="zh-CN"/>
    </w:rPr>
  </w:style>
  <w:style w:type="paragraph" w:customStyle="1" w:styleId="56">
    <w:name w:val="p0"/>
    <w:basedOn w:val="1"/>
    <w:qFormat/>
    <w:uiPriority w:val="0"/>
    <w:pPr>
      <w:widowControl/>
    </w:pPr>
    <w:rPr>
      <w:kern w:val="0"/>
      <w:szCs w:val="21"/>
    </w:rPr>
  </w:style>
  <w:style w:type="paragraph" w:customStyle="1" w:styleId="57">
    <w:name w:val="图例"/>
    <w:basedOn w:val="1"/>
    <w:qFormat/>
    <w:uiPriority w:val="0"/>
    <w:pPr>
      <w:spacing w:before="120" w:after="120" w:line="360" w:lineRule="auto"/>
      <w:jc w:val="center"/>
    </w:pPr>
    <w:rPr>
      <w:rFonts w:eastAsia="仿宋_GB2312"/>
      <w:b/>
      <w:sz w:val="24"/>
    </w:rPr>
  </w:style>
  <w:style w:type="paragraph" w:customStyle="1" w:styleId="58">
    <w:name w:val="正文段"/>
    <w:basedOn w:val="1"/>
    <w:qFormat/>
    <w:uiPriority w:val="0"/>
    <w:pPr>
      <w:widowControl/>
      <w:snapToGrid w:val="0"/>
      <w:spacing w:afterLines="50"/>
      <w:ind w:firstLine="200" w:firstLineChars="200"/>
    </w:pPr>
    <w:rPr>
      <w:kern w:val="0"/>
      <w:sz w:val="24"/>
    </w:rPr>
  </w:style>
  <w:style w:type="paragraph" w:customStyle="1" w:styleId="59">
    <w:name w:val="首行缩进"/>
    <w:basedOn w:val="1"/>
    <w:qFormat/>
    <w:uiPriority w:val="0"/>
    <w:pPr>
      <w:ind w:firstLine="480" w:firstLineChars="200"/>
    </w:pPr>
    <w:rPr>
      <w:lang w:val="zh-CN"/>
    </w:rPr>
  </w:style>
  <w:style w:type="paragraph" w:customStyle="1" w:styleId="60">
    <w:name w:val="纯文本1"/>
    <w:basedOn w:val="1"/>
    <w:link w:val="76"/>
    <w:qFormat/>
    <w:uiPriority w:val="0"/>
    <w:rPr>
      <w:rFonts w:ascii="宋体" w:hAnsi="Courier New"/>
      <w:kern w:val="0"/>
      <w:sz w:val="20"/>
      <w:szCs w:val="20"/>
    </w:rPr>
  </w:style>
  <w:style w:type="paragraph" w:customStyle="1" w:styleId="61">
    <w:name w:val="Char"/>
    <w:basedOn w:val="1"/>
    <w:qFormat/>
    <w:uiPriority w:val="0"/>
    <w:pPr>
      <w:tabs>
        <w:tab w:val="left" w:pos="360"/>
      </w:tabs>
    </w:pPr>
    <w:rPr>
      <w:sz w:val="24"/>
    </w:rPr>
  </w:style>
  <w:style w:type="paragraph" w:customStyle="1" w:styleId="62">
    <w:name w:val="正文缩进1"/>
    <w:basedOn w:val="1"/>
    <w:link w:val="65"/>
    <w:qFormat/>
    <w:uiPriority w:val="0"/>
    <w:pPr>
      <w:autoSpaceDE w:val="0"/>
      <w:autoSpaceDN w:val="0"/>
      <w:adjustRightInd w:val="0"/>
      <w:ind w:firstLine="420"/>
      <w:jc w:val="left"/>
    </w:pPr>
    <w:rPr>
      <w:rFonts w:ascii="宋体"/>
      <w:kern w:val="0"/>
      <w:sz w:val="24"/>
      <w:szCs w:val="20"/>
    </w:rPr>
  </w:style>
  <w:style w:type="paragraph" w:customStyle="1" w:styleId="6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64">
    <w:name w:val="font91"/>
    <w:basedOn w:val="42"/>
    <w:qFormat/>
    <w:uiPriority w:val="0"/>
    <w:rPr>
      <w:rFonts w:hint="eastAsia" w:ascii="宋体" w:hAnsi="宋体" w:eastAsia="宋体" w:cs="宋体"/>
      <w:color w:val="000000"/>
      <w:sz w:val="20"/>
      <w:szCs w:val="20"/>
      <w:u w:val="none"/>
      <w:vertAlign w:val="subscript"/>
    </w:rPr>
  </w:style>
  <w:style w:type="character" w:customStyle="1" w:styleId="65">
    <w:name w:val="正文缩进 Char1"/>
    <w:link w:val="62"/>
    <w:qFormat/>
    <w:uiPriority w:val="0"/>
    <w:rPr>
      <w:rFonts w:ascii="宋体"/>
      <w:sz w:val="24"/>
    </w:rPr>
  </w:style>
  <w:style w:type="character" w:customStyle="1" w:styleId="66">
    <w:name w:val="批注主题 Char1"/>
    <w:qFormat/>
    <w:uiPriority w:val="99"/>
    <w:rPr>
      <w:b/>
      <w:bCs/>
      <w:kern w:val="2"/>
      <w:sz w:val="21"/>
      <w:szCs w:val="24"/>
    </w:rPr>
  </w:style>
  <w:style w:type="character" w:customStyle="1" w:styleId="67">
    <w:name w:val="font31"/>
    <w:basedOn w:val="42"/>
    <w:qFormat/>
    <w:uiPriority w:val="0"/>
    <w:rPr>
      <w:rFonts w:hint="eastAsia" w:ascii="宋体" w:hAnsi="宋体" w:eastAsia="宋体" w:cs="宋体"/>
      <w:color w:val="404040"/>
      <w:sz w:val="20"/>
      <w:szCs w:val="20"/>
      <w:u w:val="none"/>
    </w:rPr>
  </w:style>
  <w:style w:type="character" w:customStyle="1" w:styleId="68">
    <w:name w:val="font61"/>
    <w:basedOn w:val="42"/>
    <w:qFormat/>
    <w:uiPriority w:val="0"/>
    <w:rPr>
      <w:rFonts w:hint="eastAsia" w:ascii="宋体" w:hAnsi="宋体" w:eastAsia="宋体" w:cs="宋体"/>
      <w:color w:val="333333"/>
      <w:sz w:val="20"/>
      <w:szCs w:val="20"/>
      <w:u w:val="none"/>
    </w:rPr>
  </w:style>
  <w:style w:type="character" w:customStyle="1" w:styleId="69">
    <w:name w:val="页眉 Char"/>
    <w:link w:val="26"/>
    <w:qFormat/>
    <w:uiPriority w:val="99"/>
    <w:rPr>
      <w:kern w:val="2"/>
      <w:sz w:val="18"/>
      <w:szCs w:val="18"/>
    </w:rPr>
  </w:style>
  <w:style w:type="character" w:customStyle="1" w:styleId="70">
    <w:name w:val="批注文字 Char1"/>
    <w:qFormat/>
    <w:uiPriority w:val="99"/>
    <w:rPr>
      <w:kern w:val="2"/>
      <w:sz w:val="21"/>
      <w:szCs w:val="24"/>
    </w:rPr>
  </w:style>
  <w:style w:type="character" w:customStyle="1" w:styleId="71">
    <w:name w:val="font41"/>
    <w:basedOn w:val="42"/>
    <w:qFormat/>
    <w:uiPriority w:val="0"/>
    <w:rPr>
      <w:rFonts w:hint="eastAsia" w:ascii="宋体" w:hAnsi="宋体" w:eastAsia="宋体" w:cs="宋体"/>
      <w:color w:val="000000"/>
      <w:sz w:val="20"/>
      <w:szCs w:val="20"/>
      <w:u w:val="none"/>
    </w:rPr>
  </w:style>
  <w:style w:type="character" w:customStyle="1" w:styleId="72">
    <w:name w:val="页脚 Char"/>
    <w:link w:val="24"/>
    <w:qFormat/>
    <w:uiPriority w:val="99"/>
    <w:rPr>
      <w:rFonts w:ascii="宋体"/>
      <w:sz w:val="18"/>
    </w:rPr>
  </w:style>
  <w:style w:type="character" w:customStyle="1" w:styleId="73">
    <w:name w:val="font101"/>
    <w:basedOn w:val="42"/>
    <w:qFormat/>
    <w:uiPriority w:val="0"/>
    <w:rPr>
      <w:rFonts w:hint="eastAsia" w:ascii="宋体" w:hAnsi="宋体" w:eastAsia="宋体" w:cs="宋体"/>
      <w:color w:val="000000"/>
      <w:sz w:val="20"/>
      <w:szCs w:val="20"/>
      <w:u w:val="none"/>
    </w:rPr>
  </w:style>
  <w:style w:type="character" w:customStyle="1" w:styleId="74">
    <w:name w:val="标题 2 Char"/>
    <w:link w:val="8"/>
    <w:qFormat/>
    <w:uiPriority w:val="0"/>
    <w:rPr>
      <w:rFonts w:ascii="Arial" w:hAnsi="Arial" w:eastAsia="黑体"/>
      <w:b/>
      <w:sz w:val="30"/>
    </w:rPr>
  </w:style>
  <w:style w:type="character" w:customStyle="1" w:styleId="75">
    <w:name w:val="批注框文本 Char"/>
    <w:link w:val="23"/>
    <w:qFormat/>
    <w:uiPriority w:val="0"/>
    <w:rPr>
      <w:kern w:val="2"/>
      <w:sz w:val="18"/>
      <w:szCs w:val="18"/>
    </w:rPr>
  </w:style>
  <w:style w:type="character" w:customStyle="1" w:styleId="76">
    <w:name w:val="纯文本 Char1"/>
    <w:link w:val="60"/>
    <w:qFormat/>
    <w:uiPriority w:val="0"/>
    <w:rPr>
      <w:rFonts w:ascii="宋体" w:hAnsi="Courier New"/>
    </w:rPr>
  </w:style>
  <w:style w:type="character" w:customStyle="1" w:styleId="77">
    <w:name w:val="font81"/>
    <w:basedOn w:val="42"/>
    <w:qFormat/>
    <w:uiPriority w:val="0"/>
    <w:rPr>
      <w:rFonts w:hint="eastAsia" w:ascii="宋体" w:hAnsi="宋体" w:eastAsia="宋体" w:cs="宋体"/>
      <w:color w:val="404040"/>
      <w:sz w:val="20"/>
      <w:szCs w:val="20"/>
      <w:u w:val="none"/>
    </w:rPr>
  </w:style>
  <w:style w:type="character" w:customStyle="1" w:styleId="78">
    <w:name w:val="文档结构图 Char"/>
    <w:basedOn w:val="42"/>
    <w:link w:val="13"/>
    <w:qFormat/>
    <w:uiPriority w:val="0"/>
    <w:rPr>
      <w:rFonts w:ascii="宋体"/>
      <w:kern w:val="2"/>
      <w:sz w:val="18"/>
      <w:szCs w:val="18"/>
    </w:rPr>
  </w:style>
  <w:style w:type="character" w:customStyle="1" w:styleId="79">
    <w:name w:val="日期 Char"/>
    <w:link w:val="21"/>
    <w:qFormat/>
    <w:uiPriority w:val="0"/>
    <w:rPr>
      <w:rFonts w:ascii="仿宋_GB2312" w:hAnsi="宋体" w:eastAsia="仿宋_GB2312"/>
      <w:color w:val="000000"/>
      <w:kern w:val="2"/>
      <w:sz w:val="24"/>
      <w:szCs w:val="24"/>
    </w:rPr>
  </w:style>
  <w:style w:type="character" w:customStyle="1" w:styleId="80">
    <w:name w:val="页眉 Char1"/>
    <w:qFormat/>
    <w:uiPriority w:val="99"/>
    <w:rPr>
      <w:kern w:val="2"/>
      <w:sz w:val="18"/>
      <w:szCs w:val="18"/>
    </w:rPr>
  </w:style>
  <w:style w:type="character" w:customStyle="1" w:styleId="81">
    <w:name w:val="批注框文本 Char1"/>
    <w:qFormat/>
    <w:uiPriority w:val="99"/>
    <w:rPr>
      <w:kern w:val="2"/>
      <w:sz w:val="18"/>
      <w:szCs w:val="18"/>
    </w:rPr>
  </w:style>
  <w:style w:type="character" w:customStyle="1" w:styleId="82">
    <w:name w:val="纯文本 Char"/>
    <w:link w:val="19"/>
    <w:qFormat/>
    <w:uiPriority w:val="0"/>
    <w:rPr>
      <w:rFonts w:ascii="宋体" w:hAnsi="Courier New"/>
      <w:kern w:val="2"/>
      <w:sz w:val="21"/>
    </w:rPr>
  </w:style>
  <w:style w:type="character" w:customStyle="1" w:styleId="83">
    <w:name w:val="正文文本 Char"/>
    <w:link w:val="5"/>
    <w:qFormat/>
    <w:uiPriority w:val="0"/>
    <w:rPr>
      <w:rFonts w:ascii="宋体" w:hAnsi="宋体"/>
      <w:kern w:val="2"/>
      <w:sz w:val="24"/>
      <w:szCs w:val="24"/>
    </w:rPr>
  </w:style>
  <w:style w:type="character" w:customStyle="1" w:styleId="84">
    <w:name w:val="批注文字 Char"/>
    <w:link w:val="15"/>
    <w:qFormat/>
    <w:uiPriority w:val="99"/>
    <w:rPr>
      <w:kern w:val="2"/>
      <w:sz w:val="21"/>
      <w:szCs w:val="24"/>
    </w:rPr>
  </w:style>
  <w:style w:type="character" w:customStyle="1" w:styleId="85">
    <w:name w:val="批注主题 Char"/>
    <w:link w:val="39"/>
    <w:qFormat/>
    <w:uiPriority w:val="0"/>
    <w:rPr>
      <w:b/>
      <w:bCs/>
      <w:kern w:val="2"/>
      <w:sz w:val="21"/>
      <w:szCs w:val="24"/>
    </w:rPr>
  </w:style>
  <w:style w:type="character" w:customStyle="1" w:styleId="86">
    <w:name w:val="标题 3 Char"/>
    <w:link w:val="9"/>
    <w:qFormat/>
    <w:uiPriority w:val="0"/>
    <w:rPr>
      <w:rFonts w:ascii="宋体"/>
      <w:b/>
      <w:sz w:val="24"/>
      <w:u w:val="single"/>
    </w:rPr>
  </w:style>
  <w:style w:type="character" w:customStyle="1" w:styleId="87">
    <w:name w:val="标题 1 Char"/>
    <w:link w:val="7"/>
    <w:qFormat/>
    <w:uiPriority w:val="0"/>
    <w:rPr>
      <w:rFonts w:ascii="宋体"/>
      <w:b/>
      <w:kern w:val="44"/>
      <w:sz w:val="32"/>
    </w:rPr>
  </w:style>
  <w:style w:type="paragraph" w:styleId="88">
    <w:name w:val="List Paragraph"/>
    <w:basedOn w:val="1"/>
    <w:qFormat/>
    <w:uiPriority w:val="34"/>
    <w:pPr>
      <w:ind w:firstLine="420" w:firstLineChars="200"/>
    </w:pPr>
    <w:rPr>
      <w:rFonts w:ascii="Calibri" w:hAnsi="Calibri"/>
      <w:szCs w:val="22"/>
    </w:rPr>
  </w:style>
  <w:style w:type="paragraph" w:customStyle="1" w:styleId="89">
    <w:name w:val="样式 正文（首行缩进两字） + 首行缩进:  2 字符2"/>
    <w:basedOn w:val="10"/>
    <w:qFormat/>
    <w:uiPriority w:val="0"/>
    <w:pPr>
      <w:spacing w:line="360" w:lineRule="auto"/>
      <w:ind w:firstLine="0"/>
      <w:textAlignment w:val="baseline"/>
    </w:pPr>
    <w:rPr>
      <w:rFonts w:hAnsi="宋体" w:eastAsia="楷体_GB2312" w:cs="宋体"/>
      <w:bCs/>
      <w:kern w:val="2"/>
      <w:sz w:val="21"/>
      <w:szCs w:val="21"/>
    </w:rPr>
  </w:style>
  <w:style w:type="paragraph" w:customStyle="1" w:styleId="90">
    <w:name w:val="PlainText"/>
    <w:basedOn w:val="1"/>
    <w:qFormat/>
    <w:uiPriority w:val="0"/>
    <w:pPr>
      <w:textAlignment w:val="baseline"/>
    </w:pPr>
    <w:rPr>
      <w:rFonts w:ascii="宋体" w:hAnsi="Courier New"/>
      <w:szCs w:val="20"/>
    </w:rPr>
  </w:style>
  <w:style w:type="character" w:customStyle="1" w:styleId="91">
    <w:name w:val="NormalCharacter"/>
    <w:qFormat/>
    <w:uiPriority w:val="0"/>
    <w:rPr>
      <w:rFonts w:ascii="Times New Roman" w:hAnsi="Times New Roman" w:eastAsia="宋体" w:cs="Times New Roman"/>
      <w:kern w:val="2"/>
      <w:sz w:val="21"/>
      <w:szCs w:val="24"/>
      <w:lang w:val="en-US" w:eastAsia="zh-CN" w:bidi="ar-SA"/>
    </w:rPr>
  </w:style>
  <w:style w:type="character" w:customStyle="1" w:styleId="92">
    <w:name w:val="fontstyle01"/>
    <w:qFormat/>
    <w:uiPriority w:val="0"/>
    <w:rPr>
      <w:rFonts w:hint="eastAsia" w:ascii="宋体" w:hAnsi="宋体" w:eastAsia="宋体"/>
      <w:color w:val="000000"/>
      <w:sz w:val="22"/>
      <w:szCs w:val="22"/>
    </w:rPr>
  </w:style>
  <w:style w:type="paragraph" w:customStyle="1" w:styleId="93">
    <w:name w:val="正文1"/>
    <w:qFormat/>
    <w:uiPriority w:val="0"/>
    <w:pPr>
      <w:jc w:val="both"/>
    </w:pPr>
    <w:rPr>
      <w:rFonts w:ascii="Calibri" w:hAnsi="Calibri" w:eastAsia="宋体" w:cs="宋体"/>
      <w:kern w:val="2"/>
      <w:sz w:val="21"/>
      <w:szCs w:val="21"/>
      <w:lang w:val="en-US" w:eastAsia="zh-CN" w:bidi="ar-SA"/>
    </w:rPr>
  </w:style>
  <w:style w:type="character" w:customStyle="1" w:styleId="94">
    <w:name w:val="font11"/>
    <w:basedOn w:val="42"/>
    <w:qFormat/>
    <w:uiPriority w:val="0"/>
    <w:rPr>
      <w:rFonts w:hint="eastAsia" w:ascii="宋体" w:hAnsi="宋体" w:eastAsia="宋体" w:cs="宋体"/>
      <w:color w:val="000000"/>
      <w:sz w:val="18"/>
      <w:szCs w:val="18"/>
      <w:u w:val="none"/>
    </w:rPr>
  </w:style>
  <w:style w:type="character" w:customStyle="1" w:styleId="95">
    <w:name w:val="font71"/>
    <w:basedOn w:val="42"/>
    <w:qFormat/>
    <w:uiPriority w:val="0"/>
    <w:rPr>
      <w:rFonts w:hint="eastAsia" w:ascii="宋体" w:hAnsi="宋体" w:eastAsia="宋体" w:cs="宋体"/>
      <w:color w:val="000000"/>
      <w:sz w:val="18"/>
      <w:szCs w:val="18"/>
      <w:u w:val="none"/>
    </w:rPr>
  </w:style>
  <w:style w:type="character" w:customStyle="1" w:styleId="96">
    <w:name w:val="font112"/>
    <w:basedOn w:val="42"/>
    <w:qFormat/>
    <w:uiPriority w:val="0"/>
    <w:rPr>
      <w:rFonts w:hint="default" w:ascii="Calibri" w:hAnsi="Calibri" w:cs="Calibri"/>
      <w:color w:val="000000"/>
      <w:sz w:val="18"/>
      <w:szCs w:val="18"/>
      <w:u w:val="none"/>
    </w:rPr>
  </w:style>
  <w:style w:type="character" w:customStyle="1" w:styleId="97">
    <w:name w:val="font21"/>
    <w:basedOn w:val="42"/>
    <w:qFormat/>
    <w:uiPriority w:val="0"/>
    <w:rPr>
      <w:rFonts w:hint="eastAsia" w:ascii="宋体" w:hAnsi="宋体" w:eastAsia="宋体" w:cs="宋体"/>
      <w:color w:val="000000"/>
      <w:sz w:val="12"/>
      <w:szCs w:val="12"/>
      <w:u w:val="none"/>
    </w:rPr>
  </w:style>
  <w:style w:type="paragraph" w:customStyle="1" w:styleId="98">
    <w:name w:val="正文首行缩进1"/>
    <w:basedOn w:val="5"/>
    <w:qFormat/>
    <w:uiPriority w:val="0"/>
    <w:pPr>
      <w:ind w:right="-349" w:rightChars="-166" w:firstLine="420" w:firstLineChars="100"/>
    </w:pPr>
    <w:rPr>
      <w:rFonts w:eastAsia="仿宋_GB2312"/>
      <w:sz w:val="32"/>
    </w:rPr>
  </w:style>
  <w:style w:type="paragraph" w:customStyle="1" w:styleId="99">
    <w:name w:val="样式 样式 首行缩进:  2 字符 + 首行缩进:  2 字符"/>
    <w:basedOn w:val="1"/>
    <w:qFormat/>
    <w:uiPriority w:val="0"/>
    <w:pPr>
      <w:tabs>
        <w:tab w:val="left" w:pos="3731"/>
      </w:tabs>
      <w:autoSpaceDE w:val="0"/>
      <w:autoSpaceDN w:val="0"/>
      <w:spacing w:line="360" w:lineRule="auto"/>
      <w:jc w:val="left"/>
    </w:pPr>
    <w:rPr>
      <w:rFonts w:ascii="Arial" w:hAnsi="Arial"/>
    </w:rPr>
  </w:style>
  <w:style w:type="character" w:customStyle="1" w:styleId="100">
    <w:name w:val="font01"/>
    <w:basedOn w:val="42"/>
    <w:qFormat/>
    <w:uiPriority w:val="0"/>
    <w:rPr>
      <w:rFonts w:hint="eastAsia" w:ascii="宋体" w:hAnsi="宋体" w:eastAsia="宋体" w:cs="宋体"/>
      <w:color w:val="000000"/>
      <w:sz w:val="22"/>
      <w:szCs w:val="22"/>
      <w:u w:val="none"/>
    </w:rPr>
  </w:style>
  <w:style w:type="paragraph" w:customStyle="1" w:styleId="10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Table Text"/>
    <w:basedOn w:val="1"/>
    <w:semiHidden/>
    <w:qFormat/>
    <w:uiPriority w:val="0"/>
    <w:rPr>
      <w:rFonts w:ascii="仿宋" w:hAnsi="仿宋" w:eastAsia="仿宋" w:cs="仿宋"/>
      <w:sz w:val="24"/>
    </w:rPr>
  </w:style>
  <w:style w:type="table" w:customStyle="1" w:styleId="103">
    <w:name w:val="Table Normal"/>
    <w:semiHidden/>
    <w:unhideWhenUsed/>
    <w:qFormat/>
    <w:uiPriority w:val="0"/>
    <w:tblPr>
      <w:tblCellMar>
        <w:top w:w="0" w:type="dxa"/>
        <w:left w:w="0" w:type="dxa"/>
        <w:bottom w:w="0" w:type="dxa"/>
        <w:right w:w="0" w:type="dxa"/>
      </w:tblCellMar>
    </w:tblPr>
  </w:style>
  <w:style w:type="paragraph" w:customStyle="1" w:styleId="104">
    <w:name w:val="标题 61"/>
    <w:basedOn w:val="1"/>
    <w:qFormat/>
    <w:uiPriority w:val="1"/>
    <w:pPr>
      <w:ind w:left="950" w:hanging="363"/>
      <w:outlineLvl w:val="6"/>
    </w:pPr>
    <w:rPr>
      <w:b/>
      <w:bCs/>
      <w:sz w:val="24"/>
    </w:rPr>
  </w:style>
  <w:style w:type="paragraph" w:customStyle="1" w:styleId="105">
    <w:name w:val="_正文段落"/>
    <w:basedOn w:val="1"/>
    <w:qFormat/>
    <w:uiPriority w:val="0"/>
    <w:pPr>
      <w:spacing w:beforeLines="15" w:afterLines="15"/>
    </w:pPr>
    <w:rPr>
      <w:rFonts w:ascii="Calibri" w:hAnsi="Calibri"/>
      <w:color w:val="000000"/>
      <w:sz w:val="28"/>
    </w:rPr>
  </w:style>
  <w:style w:type="paragraph" w:customStyle="1" w:styleId="106">
    <w:name w:val="null3"/>
    <w:hidden/>
    <w:qFormat/>
    <w:uiPriority w:val="0"/>
    <w:rPr>
      <w:rFonts w:hint="eastAsia" w:asciiTheme="minorHAnsi" w:hAnsiTheme="minorHAnsi" w:eastAsiaTheme="minorEastAsia" w:cstheme="minorBidi"/>
      <w:lang w:val="en-US" w:eastAsia="zh-Hans" w:bidi="ar-SA"/>
    </w:rPr>
  </w:style>
  <w:style w:type="character" w:customStyle="1" w:styleId="107">
    <w:name w:val="font121"/>
    <w:basedOn w:val="4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22973</Words>
  <Characters>24297</Characters>
  <Lines>421</Lines>
  <Paragraphs>118</Paragraphs>
  <TotalTime>101</TotalTime>
  <ScaleCrop>false</ScaleCrop>
  <LinksUpToDate>false</LinksUpToDate>
  <CharactersWithSpaces>28239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批注</cp:lastModifiedBy>
  <cp:lastPrinted>2025-03-13T06:54:00Z</cp:lastPrinted>
  <dcterms:modified xsi:type="dcterms:W3CDTF">2025-07-17T03:22:49Z</dcterms:modified>
  <dc:title>02年杜范本稿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A1E4ED1D5C5E4078BF0731DD283C5868_13</vt:lpwstr>
  </property>
  <property fmtid="{D5CDD505-2E9C-101B-9397-08002B2CF9AE}" pid="4" name="KSOTemplateDocerSaveRecord">
    <vt:lpwstr>eyJoZGlkIjoiN2JiNjU5NTVhZDJmMmQ1MmVlYzk2MTkxYzdiY2E1OGQiLCJ1c2VySWQiOiI1NzM1ODc2NjYifQ==</vt:lpwstr>
  </property>
</Properties>
</file>