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93677">
      <w:pPr>
        <w:spacing w:line="760" w:lineRule="exact"/>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阿图什市第一中学2025年学生食堂后厨工作人员服务采购项目</w:t>
      </w:r>
    </w:p>
    <w:p w14:paraId="27B628CF">
      <w:pPr>
        <w:spacing w:line="760" w:lineRule="exact"/>
        <w:jc w:val="center"/>
        <w:rPr>
          <w:rFonts w:hint="default"/>
          <w:b/>
          <w:bCs/>
          <w:color w:val="auto"/>
          <w:sz w:val="21"/>
          <w:szCs w:val="21"/>
          <w:lang w:val="en-US"/>
        </w:rPr>
      </w:pPr>
      <w:r>
        <w:rPr>
          <w:rFonts w:hint="eastAsia" w:ascii="仿宋" w:hAnsi="仿宋" w:eastAsia="仿宋" w:cs="仿宋"/>
          <w:b/>
          <w:bCs/>
          <w:color w:val="auto"/>
          <w:sz w:val="32"/>
          <w:szCs w:val="32"/>
          <w:lang w:eastAsia="zh-CN"/>
        </w:rPr>
        <w:t>项目编号：</w:t>
      </w:r>
      <w:r>
        <w:rPr>
          <w:rFonts w:hint="eastAsia" w:ascii="仿宋" w:hAnsi="仿宋" w:eastAsia="仿宋" w:cs="仿宋"/>
          <w:b/>
          <w:bCs/>
          <w:color w:val="auto"/>
          <w:sz w:val="32"/>
          <w:szCs w:val="32"/>
          <w:lang w:val="en-US" w:eastAsia="zh-CN"/>
        </w:rPr>
        <w:t>ATSCG-2025064</w:t>
      </w:r>
    </w:p>
    <w:p w14:paraId="0A6434B8">
      <w:pPr>
        <w:pStyle w:val="32"/>
        <w:rPr>
          <w:rFonts w:ascii="仿宋" w:hAnsi="仿宋" w:eastAsia="仿宋" w:cs="仿宋"/>
          <w:color w:val="auto"/>
        </w:rPr>
      </w:pPr>
    </w:p>
    <w:p w14:paraId="71761E24">
      <w:pPr>
        <w:pStyle w:val="32"/>
        <w:jc w:val="center"/>
        <w:rPr>
          <w:rFonts w:hint="eastAsia" w:ascii="仿宋" w:hAnsi="仿宋" w:eastAsia="仿宋" w:cs="仿宋"/>
          <w:b/>
          <w:color w:val="auto"/>
          <w:sz w:val="96"/>
          <w:szCs w:val="96"/>
          <w:lang w:eastAsia="zh-CN"/>
        </w:rPr>
      </w:pPr>
      <w:r>
        <w:rPr>
          <w:rFonts w:hint="eastAsia" w:ascii="仿宋" w:hAnsi="仿宋" w:eastAsia="仿宋" w:cs="仿宋"/>
          <w:b/>
          <w:color w:val="auto"/>
          <w:sz w:val="96"/>
          <w:szCs w:val="96"/>
          <w:highlight w:val="none"/>
        </w:rPr>
        <w:drawing>
          <wp:anchor distT="0" distB="0" distL="114300" distR="114300" simplePos="0" relativeHeight="251667456" behindDoc="1" locked="0" layoutInCell="1" allowOverlap="1">
            <wp:simplePos x="0" y="0"/>
            <wp:positionH relativeFrom="column">
              <wp:posOffset>1601470</wp:posOffset>
            </wp:positionH>
            <wp:positionV relativeFrom="page">
              <wp:posOffset>2987675</wp:posOffset>
            </wp:positionV>
            <wp:extent cx="2440940" cy="2383155"/>
            <wp:effectExtent l="0" t="0" r="16510" b="1714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6" cstate="print"/>
                    <a:stretch>
                      <a:fillRect/>
                    </a:stretch>
                  </pic:blipFill>
                  <pic:spPr>
                    <a:xfrm>
                      <a:off x="0" y="0"/>
                      <a:ext cx="2440940" cy="2383155"/>
                    </a:xfrm>
                    <a:prstGeom prst="rect">
                      <a:avLst/>
                    </a:prstGeom>
                    <a:noFill/>
                    <a:ln>
                      <a:noFill/>
                    </a:ln>
                  </pic:spPr>
                </pic:pic>
              </a:graphicData>
            </a:graphic>
          </wp:anchor>
        </w:drawing>
      </w:r>
      <w:r>
        <w:rPr>
          <w:rFonts w:hint="eastAsia" w:ascii="仿宋" w:hAnsi="仿宋" w:eastAsia="仿宋" w:cs="仿宋"/>
          <w:b/>
          <w:color w:val="auto"/>
          <w:sz w:val="96"/>
          <w:szCs w:val="96"/>
          <w:lang w:eastAsia="zh-CN"/>
        </w:rPr>
        <w:t>磋</w:t>
      </w:r>
    </w:p>
    <w:p w14:paraId="0D6B88DE">
      <w:pPr>
        <w:pStyle w:val="32"/>
        <w:jc w:val="center"/>
        <w:rPr>
          <w:rFonts w:ascii="仿宋" w:hAnsi="仿宋" w:eastAsia="仿宋" w:cs="仿宋"/>
          <w:b/>
          <w:bCs/>
          <w:color w:val="auto"/>
          <w:sz w:val="96"/>
          <w:szCs w:val="96"/>
        </w:rPr>
      </w:pPr>
      <w:r>
        <w:rPr>
          <w:rFonts w:hint="eastAsia" w:ascii="仿宋" w:hAnsi="仿宋" w:eastAsia="仿宋" w:cs="仿宋"/>
          <w:b/>
          <w:color w:val="auto"/>
          <w:sz w:val="96"/>
          <w:szCs w:val="96"/>
          <w:lang w:eastAsia="zh-CN"/>
        </w:rPr>
        <w:t>商</w:t>
      </w:r>
    </w:p>
    <w:p w14:paraId="0E6DAA41">
      <w:pPr>
        <w:pStyle w:val="32"/>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5FBA4C54">
      <w:pPr>
        <w:pStyle w:val="32"/>
        <w:jc w:val="center"/>
        <w:rPr>
          <w:rFonts w:ascii="仿宋" w:hAnsi="仿宋" w:eastAsia="仿宋" w:cs="仿宋"/>
          <w:color w:val="auto"/>
          <w:sz w:val="96"/>
          <w:szCs w:val="96"/>
        </w:rPr>
      </w:pPr>
      <w:r>
        <w:rPr>
          <w:rFonts w:hint="eastAsia" w:ascii="仿宋" w:hAnsi="仿宋" w:eastAsia="仿宋" w:cs="仿宋"/>
          <w:b/>
          <w:bCs/>
          <w:color w:val="auto"/>
          <w:sz w:val="96"/>
          <w:szCs w:val="96"/>
        </w:rPr>
        <w:t>件</w:t>
      </w:r>
    </w:p>
    <w:p w14:paraId="1E47487D">
      <w:pPr>
        <w:pStyle w:val="32"/>
        <w:rPr>
          <w:rFonts w:ascii="仿宋" w:hAnsi="仿宋" w:eastAsia="仿宋" w:cs="仿宋"/>
          <w:color w:val="auto"/>
        </w:rPr>
      </w:pPr>
    </w:p>
    <w:p w14:paraId="2C27C06E">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采购单位：阿图什市第一中学</w:t>
      </w:r>
    </w:p>
    <w:p w14:paraId="299B1740">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lang w:val="en-US" w:eastAsia="zh-CN"/>
        </w:rPr>
        <w:t>王</w:t>
      </w:r>
      <w:r>
        <w:rPr>
          <w:rFonts w:hint="eastAsia" w:ascii="仿宋" w:hAnsi="仿宋" w:eastAsia="仿宋" w:cs="仿宋"/>
          <w:color w:val="auto"/>
          <w:sz w:val="32"/>
          <w:szCs w:val="32"/>
          <w:lang w:eastAsia="zh-CN"/>
        </w:rPr>
        <w:t xml:space="preserve">先生 </w:t>
      </w:r>
    </w:p>
    <w:p w14:paraId="47767E6B">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联系电话：15809081887</w:t>
      </w:r>
    </w:p>
    <w:p w14:paraId="5B106F42">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代理机构：鼎建项目管理有限公司</w:t>
      </w:r>
    </w:p>
    <w:p w14:paraId="434D21D2">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highlight w:val="none"/>
          <w:lang w:eastAsia="zh-CN"/>
        </w:rPr>
        <w:t>朱先生</w:t>
      </w:r>
    </w:p>
    <w:p w14:paraId="7CCDEA8F">
      <w:pPr>
        <w:spacing w:line="700" w:lineRule="exact"/>
        <w:rPr>
          <w:rFonts w:ascii="仿宋" w:hAnsi="仿宋" w:eastAsia="仿宋" w:cs="仿宋"/>
          <w:b/>
          <w:color w:val="auto"/>
          <w:sz w:val="32"/>
          <w:szCs w:val="32"/>
          <w:lang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highlight w:val="none"/>
          <w:lang w:val="en-US" w:eastAsia="zh-CN"/>
        </w:rPr>
        <w:t>18609088999</w:t>
      </w:r>
    </w:p>
    <w:p w14:paraId="563683B9">
      <w:pPr>
        <w:jc w:val="center"/>
        <w:rPr>
          <w:rFonts w:hint="eastAsia" w:ascii="仿宋" w:hAnsi="仿宋" w:eastAsia="仿宋" w:cs="仿宋"/>
          <w:b/>
          <w:color w:val="auto"/>
          <w:sz w:val="36"/>
          <w:szCs w:val="36"/>
          <w:lang w:eastAsia="zh-CN"/>
        </w:rPr>
      </w:pPr>
    </w:p>
    <w:p w14:paraId="0293D7DD">
      <w:pPr>
        <w:jc w:val="center"/>
        <w:rPr>
          <w:rFonts w:ascii="仿宋" w:hAnsi="仿宋" w:eastAsia="仿宋" w:cs="仿宋"/>
          <w:b/>
          <w:color w:val="auto"/>
          <w:sz w:val="36"/>
          <w:szCs w:val="36"/>
          <w:lang w:eastAsia="zh-CN"/>
        </w:rPr>
      </w:pPr>
      <w:r>
        <w:rPr>
          <w:rFonts w:hint="eastAsia" w:ascii="仿宋" w:hAnsi="仿宋" w:eastAsia="仿宋" w:cs="仿宋"/>
          <w:b/>
          <w:color w:val="auto"/>
          <w:sz w:val="36"/>
          <w:szCs w:val="36"/>
          <w:lang w:eastAsia="zh-CN"/>
        </w:rPr>
        <w:t>招投标监督管理机构备案登记栏</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14:paraId="695E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14:paraId="3B575E1C">
            <w:pPr>
              <w:spacing w:line="500" w:lineRule="exact"/>
              <w:jc w:val="both"/>
              <w:rPr>
                <w:rFonts w:ascii="仿宋" w:hAnsi="仿宋" w:eastAsia="仿宋" w:cs="仿宋"/>
                <w:color w:val="auto"/>
                <w:lang w:eastAsia="zh-CN"/>
              </w:rPr>
            </w:pPr>
          </w:p>
          <w:p w14:paraId="3194426C">
            <w:pPr>
              <w:spacing w:line="500" w:lineRule="exact"/>
              <w:jc w:val="both"/>
              <w:rPr>
                <w:rFonts w:ascii="仿宋" w:hAnsi="仿宋" w:eastAsia="仿宋" w:cs="仿宋"/>
                <w:color w:val="auto"/>
                <w:sz w:val="32"/>
                <w:szCs w:val="32"/>
                <w:lang w:eastAsia="zh-CN"/>
              </w:rPr>
            </w:pPr>
          </w:p>
          <w:p w14:paraId="3B460762">
            <w:pPr>
              <w:spacing w:line="500" w:lineRule="exact"/>
              <w:jc w:val="both"/>
              <w:rPr>
                <w:rFonts w:ascii="仿宋" w:hAnsi="仿宋" w:eastAsia="仿宋" w:cs="仿宋"/>
                <w:color w:val="auto"/>
                <w:sz w:val="32"/>
                <w:szCs w:val="32"/>
                <w:lang w:eastAsia="zh-CN"/>
              </w:rPr>
            </w:pPr>
          </w:p>
          <w:p w14:paraId="2D904011">
            <w:pPr>
              <w:spacing w:line="500" w:lineRule="exact"/>
              <w:jc w:val="both"/>
              <w:rPr>
                <w:rFonts w:ascii="仿宋" w:hAnsi="仿宋" w:eastAsia="仿宋" w:cs="仿宋"/>
                <w:color w:val="auto"/>
                <w:w w:val="95"/>
                <w:sz w:val="32"/>
                <w:szCs w:val="32"/>
                <w:lang w:eastAsia="zh-CN"/>
              </w:rPr>
            </w:pPr>
            <w:r>
              <w:rPr>
                <w:rFonts w:hint="eastAsia" w:ascii="仿宋" w:hAnsi="仿宋" w:eastAsia="仿宋" w:cs="仿宋"/>
                <w:color w:val="auto"/>
                <w:sz w:val="32"/>
                <w:szCs w:val="32"/>
                <w:lang w:eastAsia="zh-CN"/>
              </w:rPr>
              <w:t>采购单位：阿图什市第一中学</w:t>
            </w:r>
            <w:r>
              <w:rPr>
                <w:rFonts w:hint="eastAsia" w:ascii="仿宋" w:hAnsi="仿宋" w:eastAsia="仿宋" w:cs="仿宋"/>
                <w:color w:val="auto"/>
                <w:w w:val="95"/>
                <w:sz w:val="32"/>
                <w:szCs w:val="32"/>
                <w:lang w:eastAsia="zh-CN"/>
              </w:rPr>
              <w:t>（盖章）</w:t>
            </w:r>
          </w:p>
          <w:p w14:paraId="1549E6A2">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14329014">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631E22A5">
            <w:pPr>
              <w:spacing w:line="500" w:lineRule="exact"/>
              <w:jc w:val="both"/>
              <w:rPr>
                <w:rFonts w:ascii="仿宋" w:hAnsi="仿宋" w:eastAsia="仿宋" w:cs="仿宋"/>
                <w:color w:val="auto"/>
                <w:sz w:val="32"/>
                <w:szCs w:val="32"/>
                <w:lang w:eastAsia="zh-CN"/>
              </w:rPr>
            </w:pPr>
          </w:p>
          <w:p w14:paraId="678582D7">
            <w:pPr>
              <w:spacing w:line="500" w:lineRule="exact"/>
              <w:jc w:val="both"/>
              <w:rPr>
                <w:rFonts w:ascii="仿宋" w:hAnsi="仿宋" w:eastAsia="仿宋" w:cs="仿宋"/>
                <w:color w:val="auto"/>
                <w:sz w:val="32"/>
                <w:szCs w:val="32"/>
                <w:lang w:eastAsia="zh-CN"/>
              </w:rPr>
            </w:pPr>
          </w:p>
          <w:p w14:paraId="044427C1">
            <w:pPr>
              <w:spacing w:line="500" w:lineRule="exact"/>
              <w:ind w:left="3520" w:hanging="3520" w:hangingChars="1100"/>
              <w:jc w:val="both"/>
              <w:rPr>
                <w:rFonts w:ascii="仿宋" w:hAnsi="仿宋" w:eastAsia="仿宋" w:cs="仿宋"/>
                <w:color w:val="auto"/>
                <w:sz w:val="32"/>
                <w:szCs w:val="32"/>
                <w:lang w:eastAsia="zh-CN"/>
              </w:rPr>
            </w:pPr>
          </w:p>
          <w:p w14:paraId="4F869C06">
            <w:pPr>
              <w:spacing w:line="500" w:lineRule="exact"/>
              <w:ind w:left="3520" w:hanging="3520" w:hangingChars="1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采购项目名称：阿图什市第一中学2025年学生食堂后厨工作人员服务采购项目</w:t>
            </w:r>
          </w:p>
          <w:p w14:paraId="739E4934">
            <w:pPr>
              <w:spacing w:line="500" w:lineRule="exact"/>
              <w:ind w:left="3520" w:hanging="3520" w:hangingChars="1100"/>
              <w:jc w:val="both"/>
              <w:rPr>
                <w:rFonts w:hint="eastAsia" w:ascii="仿宋" w:hAnsi="仿宋" w:eastAsia="仿宋" w:cs="仿宋"/>
                <w:color w:val="auto"/>
                <w:sz w:val="32"/>
                <w:szCs w:val="32"/>
                <w:lang w:val="en-US" w:eastAsia="zh-CN"/>
              </w:rPr>
            </w:pPr>
          </w:p>
          <w:p w14:paraId="586821DF">
            <w:pPr>
              <w:spacing w:line="500" w:lineRule="exact"/>
              <w:jc w:val="both"/>
              <w:rPr>
                <w:rFonts w:ascii="仿宋" w:hAnsi="仿宋" w:eastAsia="仿宋" w:cs="仿宋"/>
                <w:color w:val="auto"/>
                <w:sz w:val="32"/>
                <w:szCs w:val="32"/>
                <w:lang w:eastAsia="zh-CN"/>
              </w:rPr>
            </w:pPr>
          </w:p>
          <w:p w14:paraId="02F660A7">
            <w:pPr>
              <w:pStyle w:val="34"/>
              <w:jc w:val="both"/>
              <w:rPr>
                <w:rFonts w:ascii="仿宋" w:hAnsi="仿宋" w:eastAsia="仿宋" w:cs="仿宋"/>
                <w:color w:val="auto"/>
                <w:sz w:val="32"/>
                <w:szCs w:val="32"/>
                <w:lang w:eastAsia="zh-CN"/>
              </w:rPr>
            </w:pPr>
          </w:p>
          <w:p w14:paraId="6CD3D8A3">
            <w:pPr>
              <w:pStyle w:val="34"/>
              <w:jc w:val="both"/>
              <w:rPr>
                <w:rFonts w:ascii="仿宋" w:hAnsi="仿宋" w:eastAsia="仿宋" w:cs="仿宋"/>
                <w:color w:val="auto"/>
                <w:sz w:val="32"/>
                <w:szCs w:val="32"/>
                <w:lang w:eastAsia="zh-CN"/>
              </w:rPr>
            </w:pPr>
          </w:p>
          <w:p w14:paraId="7D545908">
            <w:pPr>
              <w:pStyle w:val="34"/>
              <w:jc w:val="both"/>
              <w:rPr>
                <w:rFonts w:ascii="仿宋" w:hAnsi="仿宋" w:eastAsia="仿宋" w:cs="仿宋"/>
                <w:color w:val="auto"/>
                <w:sz w:val="32"/>
                <w:szCs w:val="32"/>
                <w:lang w:eastAsia="zh-CN"/>
              </w:rPr>
            </w:pPr>
          </w:p>
          <w:p w14:paraId="4A099C55">
            <w:pPr>
              <w:pStyle w:val="34"/>
              <w:jc w:val="both"/>
              <w:rPr>
                <w:rFonts w:ascii="仿宋" w:hAnsi="仿宋" w:eastAsia="仿宋" w:cs="仿宋"/>
                <w:color w:val="auto"/>
                <w:sz w:val="32"/>
                <w:szCs w:val="32"/>
                <w:lang w:eastAsia="zh-CN"/>
              </w:rPr>
            </w:pPr>
          </w:p>
          <w:p w14:paraId="71C0ADC4">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w:t>
            </w:r>
            <w:r>
              <w:rPr>
                <w:rFonts w:hint="eastAsia" w:ascii="仿宋" w:hAnsi="仿宋" w:eastAsia="仿宋" w:cs="仿宋"/>
                <w:color w:val="auto"/>
                <w:sz w:val="32"/>
                <w:szCs w:val="32"/>
                <w:highlight w:val="none"/>
                <w:lang w:eastAsia="zh-CN"/>
              </w:rPr>
              <w:t>鼎建项目管理有限公司</w:t>
            </w:r>
            <w:r>
              <w:rPr>
                <w:rFonts w:hint="eastAsia" w:ascii="仿宋" w:hAnsi="仿宋" w:eastAsia="仿宋" w:cs="仿宋"/>
                <w:color w:val="auto"/>
                <w:sz w:val="32"/>
                <w:szCs w:val="32"/>
                <w:lang w:eastAsia="zh-CN"/>
              </w:rPr>
              <w:t>（盖章）</w:t>
            </w:r>
          </w:p>
          <w:p w14:paraId="1F7B85A7">
            <w:pPr>
              <w:pStyle w:val="5"/>
              <w:jc w:val="both"/>
              <w:outlineLvl w:val="2"/>
              <w:rPr>
                <w:rFonts w:ascii="仿宋" w:hAnsi="仿宋" w:eastAsia="仿宋" w:cs="仿宋"/>
                <w:color w:val="auto"/>
                <w:lang w:eastAsia="zh-CN"/>
              </w:rPr>
            </w:pPr>
          </w:p>
          <w:p w14:paraId="55225B08">
            <w:pPr>
              <w:jc w:val="both"/>
              <w:rPr>
                <w:color w:val="auto"/>
                <w:lang w:eastAsia="zh-CN"/>
              </w:rPr>
            </w:pPr>
          </w:p>
          <w:p w14:paraId="48246E93">
            <w:pPr>
              <w:pStyle w:val="5"/>
              <w:jc w:val="center"/>
              <w:outlineLvl w:val="2"/>
              <w:rPr>
                <w:rFonts w:ascii="仿宋" w:hAnsi="仿宋" w:eastAsia="仿宋" w:cs="仿宋"/>
                <w:color w:val="auto"/>
              </w:rPr>
            </w:pPr>
            <w:r>
              <w:rPr>
                <w:rFonts w:hint="eastAsia" w:ascii="仿宋" w:hAnsi="仿宋" w:eastAsia="仿宋" w:cs="仿宋"/>
                <w:color w:val="auto"/>
              </w:rPr>
              <w:t>日  期：20</w:t>
            </w:r>
            <w:r>
              <w:rPr>
                <w:rFonts w:hint="eastAsia" w:ascii="仿宋" w:hAnsi="仿宋" w:eastAsia="仿宋" w:cs="仿宋"/>
                <w:color w:val="auto"/>
                <w:lang w:eastAsia="zh-CN"/>
              </w:rPr>
              <w:t>2</w:t>
            </w:r>
            <w:r>
              <w:rPr>
                <w:rFonts w:hint="eastAsia" w:ascii="仿宋" w:hAnsi="仿宋" w:eastAsia="仿宋" w:cs="仿宋"/>
                <w:color w:val="auto"/>
                <w:lang w:val="en-US" w:eastAsia="zh-CN"/>
              </w:rPr>
              <w:t>5</w:t>
            </w:r>
            <w:r>
              <w:rPr>
                <w:rFonts w:hint="eastAsia" w:ascii="仿宋" w:hAnsi="仿宋" w:eastAsia="仿宋" w:cs="仿宋"/>
                <w:color w:val="auto"/>
              </w:rPr>
              <w:t>年</w:t>
            </w:r>
            <w:r>
              <w:rPr>
                <w:rFonts w:hint="eastAsia" w:ascii="仿宋" w:hAnsi="仿宋" w:eastAsia="仿宋" w:cs="仿宋"/>
                <w:color w:val="auto"/>
                <w:lang w:val="en-US" w:eastAsia="zh-CN"/>
              </w:rPr>
              <w:t>7</w:t>
            </w:r>
            <w:r>
              <w:rPr>
                <w:rFonts w:hint="eastAsia" w:ascii="仿宋" w:hAnsi="仿宋" w:eastAsia="仿宋" w:cs="仿宋"/>
                <w:color w:val="auto"/>
              </w:rPr>
              <w:t>月</w:t>
            </w:r>
          </w:p>
          <w:p w14:paraId="2D033C2B">
            <w:pPr>
              <w:pStyle w:val="5"/>
              <w:jc w:val="both"/>
              <w:outlineLvl w:val="2"/>
              <w:rPr>
                <w:rFonts w:ascii="仿宋" w:hAnsi="仿宋" w:eastAsia="仿宋" w:cs="仿宋"/>
                <w:color w:val="auto"/>
              </w:rPr>
            </w:pPr>
          </w:p>
        </w:tc>
      </w:tr>
    </w:tbl>
    <w:p w14:paraId="1E7F68C1">
      <w:pPr>
        <w:spacing w:line="240" w:lineRule="exact"/>
        <w:rPr>
          <w:rFonts w:ascii="仿宋" w:hAnsi="仿宋" w:eastAsia="仿宋" w:cs="仿宋"/>
          <w:color w:val="auto"/>
          <w:sz w:val="44"/>
          <w:szCs w:val="44"/>
          <w:lang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14:paraId="17A65202">
      <w:pPr>
        <w:pStyle w:val="33"/>
        <w:spacing w:before="0" w:line="360" w:lineRule="auto"/>
        <w:jc w:val="both"/>
        <w:rPr>
          <w:rFonts w:ascii="仿宋" w:hAnsi="仿宋" w:eastAsia="仿宋" w:cs="仿宋"/>
          <w:color w:val="auto"/>
          <w:sz w:val="44"/>
          <w:szCs w:val="44"/>
          <w:lang w:val="zh-CN"/>
        </w:rPr>
      </w:pPr>
    </w:p>
    <w:p w14:paraId="51DF169C">
      <w:pPr>
        <w:pStyle w:val="33"/>
        <w:spacing w:before="0" w:line="360" w:lineRule="auto"/>
        <w:jc w:val="center"/>
        <w:rPr>
          <w:rFonts w:ascii="仿宋" w:hAnsi="仿宋" w:eastAsia="仿宋" w:cs="仿宋"/>
          <w:color w:val="auto"/>
          <w:sz w:val="30"/>
          <w:szCs w:val="30"/>
        </w:rPr>
      </w:pPr>
      <w:r>
        <w:rPr>
          <w:rFonts w:hint="eastAsia" w:ascii="仿宋" w:hAnsi="仿宋" w:eastAsia="仿宋" w:cs="仿宋"/>
          <w:color w:val="auto"/>
          <w:sz w:val="44"/>
          <w:szCs w:val="44"/>
          <w:lang w:val="zh-CN"/>
        </w:rPr>
        <w:t>目    录</w:t>
      </w:r>
    </w:p>
    <w:p w14:paraId="5B5B077D">
      <w:pPr>
        <w:widowControl/>
        <w:rPr>
          <w:rFonts w:ascii="仿宋" w:hAnsi="仿宋" w:eastAsia="仿宋" w:cs="仿宋"/>
          <w:color w:val="auto"/>
          <w:sz w:val="30"/>
          <w:szCs w:val="30"/>
        </w:rPr>
      </w:pPr>
    </w:p>
    <w:p w14:paraId="5C24A316">
      <w:pPr>
        <w:spacing w:line="360" w:lineRule="auto"/>
        <w:ind w:firstLine="1800"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第一</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招标</w:t>
      </w:r>
      <w:r>
        <w:rPr>
          <w:rFonts w:hint="eastAsia" w:ascii="仿宋" w:hAnsi="仿宋" w:eastAsia="仿宋" w:cs="仿宋"/>
          <w:b/>
          <w:color w:val="auto"/>
          <w:sz w:val="30"/>
          <w:szCs w:val="30"/>
        </w:rPr>
        <w:t>公告</w:t>
      </w:r>
    </w:p>
    <w:p w14:paraId="0C669CB5">
      <w:pPr>
        <w:spacing w:line="360" w:lineRule="auto"/>
        <w:ind w:firstLine="1800" w:firstLineChars="600"/>
        <w:rPr>
          <w:rFonts w:hint="eastAsia" w:ascii="仿宋" w:hAnsi="仿宋" w:eastAsia="仿宋" w:cs="仿宋"/>
          <w:color w:val="auto"/>
        </w:rPr>
      </w:pPr>
      <w:r>
        <w:rPr>
          <w:rFonts w:hint="eastAsia" w:ascii="仿宋" w:hAnsi="仿宋" w:eastAsia="仿宋" w:cs="仿宋"/>
          <w:b/>
          <w:color w:val="auto"/>
          <w:sz w:val="30"/>
          <w:szCs w:val="30"/>
        </w:rPr>
        <w:t>第二</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供应商须知</w:t>
      </w:r>
    </w:p>
    <w:p w14:paraId="6A6A0CE4">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第三</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评标办法</w:t>
      </w:r>
    </w:p>
    <w:p w14:paraId="23378F46">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第四</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采购内容及技术要求</w:t>
      </w:r>
    </w:p>
    <w:p w14:paraId="63CFD15B">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第五</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合同（参考）</w:t>
      </w:r>
    </w:p>
    <w:p w14:paraId="2F9F505A">
      <w:pPr>
        <w:pStyle w:val="34"/>
        <w:ind w:firstLine="1800" w:firstLineChars="600"/>
        <w:rPr>
          <w:rFonts w:hint="eastAsia" w:ascii="仿宋" w:hAnsi="仿宋" w:eastAsia="仿宋" w:cs="仿宋"/>
          <w:color w:val="auto"/>
          <w:lang w:val="en-US"/>
        </w:rPr>
      </w:pPr>
      <w:r>
        <w:rPr>
          <w:rFonts w:hint="eastAsia" w:ascii="仿宋" w:hAnsi="仿宋" w:eastAsia="仿宋" w:cs="仿宋"/>
          <w:b/>
          <w:color w:val="auto"/>
          <w:sz w:val="30"/>
          <w:szCs w:val="30"/>
          <w:lang w:eastAsia="zh-CN"/>
        </w:rPr>
        <w:t>第六</w:t>
      </w:r>
      <w:r>
        <w:rPr>
          <w:rFonts w:hint="eastAsia" w:ascii="仿宋" w:hAnsi="仿宋" w:eastAsia="仿宋" w:cs="仿宋"/>
          <w:b/>
          <w:color w:val="auto"/>
          <w:sz w:val="30"/>
          <w:szCs w:val="30"/>
          <w:lang w:val="en-US" w:eastAsia="zh-CN"/>
        </w:rPr>
        <w:t>章     投标文件格式</w:t>
      </w:r>
    </w:p>
    <w:p w14:paraId="3191EBA4">
      <w:pPr>
        <w:pStyle w:val="9"/>
        <w:numPr>
          <w:ilvl w:val="0"/>
          <w:numId w:val="0"/>
        </w:numPr>
        <w:spacing w:line="480" w:lineRule="auto"/>
        <w:rPr>
          <w:rFonts w:ascii="仿宋" w:hAnsi="仿宋" w:eastAsia="仿宋" w:cs="仿宋"/>
          <w:color w:val="auto"/>
          <w:lang w:eastAsia="zh-CN"/>
        </w:rPr>
      </w:pPr>
    </w:p>
    <w:p w14:paraId="60F76931">
      <w:pPr>
        <w:spacing w:line="480" w:lineRule="auto"/>
        <w:rPr>
          <w:rFonts w:ascii="仿宋" w:hAnsi="仿宋" w:eastAsia="仿宋" w:cs="仿宋"/>
          <w:color w:val="auto"/>
          <w:lang w:eastAsia="zh-CN"/>
        </w:rPr>
      </w:pPr>
    </w:p>
    <w:p w14:paraId="4700D9B1">
      <w:pPr>
        <w:pStyle w:val="5"/>
        <w:rPr>
          <w:rFonts w:ascii="仿宋" w:hAnsi="仿宋" w:eastAsia="仿宋" w:cs="仿宋"/>
          <w:color w:val="auto"/>
          <w:lang w:eastAsia="zh-CN"/>
        </w:rPr>
      </w:pPr>
    </w:p>
    <w:p w14:paraId="7BE6D503">
      <w:pPr>
        <w:rPr>
          <w:rFonts w:ascii="仿宋" w:hAnsi="仿宋" w:eastAsia="仿宋" w:cs="仿宋"/>
          <w:color w:val="auto"/>
          <w:lang w:eastAsia="zh-CN"/>
        </w:rPr>
      </w:pPr>
    </w:p>
    <w:p w14:paraId="1E583EC6">
      <w:pPr>
        <w:pStyle w:val="5"/>
        <w:rPr>
          <w:rFonts w:ascii="仿宋" w:hAnsi="仿宋" w:eastAsia="仿宋" w:cs="仿宋"/>
          <w:color w:val="auto"/>
          <w:lang w:eastAsia="zh-CN"/>
        </w:rPr>
      </w:pPr>
    </w:p>
    <w:p w14:paraId="24EDC41A">
      <w:pPr>
        <w:rPr>
          <w:rFonts w:ascii="仿宋" w:hAnsi="仿宋" w:eastAsia="仿宋" w:cs="仿宋"/>
          <w:color w:val="auto"/>
          <w:lang w:eastAsia="zh-CN"/>
        </w:rPr>
      </w:pPr>
    </w:p>
    <w:p w14:paraId="6790B1EE">
      <w:pPr>
        <w:pStyle w:val="5"/>
        <w:rPr>
          <w:rFonts w:ascii="仿宋" w:hAnsi="仿宋" w:eastAsia="仿宋" w:cs="仿宋"/>
          <w:color w:val="auto"/>
          <w:lang w:eastAsia="zh-CN"/>
        </w:rPr>
      </w:pPr>
    </w:p>
    <w:p w14:paraId="6F8BEA11">
      <w:pPr>
        <w:rPr>
          <w:rFonts w:ascii="仿宋" w:hAnsi="仿宋" w:eastAsia="仿宋" w:cs="仿宋"/>
          <w:color w:val="auto"/>
          <w:lang w:eastAsia="zh-CN"/>
        </w:rPr>
      </w:pPr>
    </w:p>
    <w:p w14:paraId="6D29C7F1">
      <w:pPr>
        <w:pStyle w:val="5"/>
        <w:rPr>
          <w:rFonts w:ascii="仿宋" w:hAnsi="仿宋" w:eastAsia="仿宋" w:cs="仿宋"/>
          <w:color w:val="auto"/>
          <w:lang w:eastAsia="zh-CN"/>
        </w:rPr>
      </w:pPr>
    </w:p>
    <w:p w14:paraId="26506ABD">
      <w:pPr>
        <w:pStyle w:val="36"/>
        <w:keepNext/>
        <w:keepLines/>
        <w:spacing w:before="120" w:after="300"/>
        <w:jc w:val="both"/>
        <w:rPr>
          <w:rFonts w:ascii="仿宋" w:hAnsi="仿宋" w:eastAsia="仿宋" w:cs="仿宋"/>
          <w:b/>
          <w:bCs/>
          <w:color w:val="auto"/>
        </w:rPr>
        <w:sectPr>
          <w:footerReference r:id="rId5" w:type="default"/>
          <w:pgSz w:w="11906" w:h="16838"/>
          <w:pgMar w:top="1440" w:right="1080" w:bottom="1440" w:left="1080" w:header="851" w:footer="992" w:gutter="0"/>
          <w:pgNumType w:start="1"/>
          <w:cols w:space="720" w:num="1"/>
          <w:docGrid w:type="linesAndChars" w:linePitch="312" w:charSpace="0"/>
        </w:sectPr>
      </w:pPr>
    </w:p>
    <w:p w14:paraId="46724370">
      <w:pPr>
        <w:pStyle w:val="36"/>
        <w:keepNext/>
        <w:keepLines/>
        <w:pageBreakBefore w:val="0"/>
        <w:widowControl w:val="0"/>
        <w:kinsoku/>
        <w:wordWrap/>
        <w:overflowPunct/>
        <w:topLinePunct w:val="0"/>
        <w:autoSpaceDE/>
        <w:autoSpaceDN/>
        <w:bidi w:val="0"/>
        <w:adjustRightInd/>
        <w:snapToGrid/>
        <w:spacing w:before="0" w:after="0" w:line="360" w:lineRule="auto"/>
        <w:textAlignment w:val="auto"/>
        <w:rPr>
          <w:rFonts w:ascii="仿宋" w:hAnsi="仿宋" w:eastAsia="仿宋" w:cs="仿宋"/>
          <w:b/>
          <w:bCs/>
          <w:color w:val="auto"/>
          <w:lang w:eastAsia="zh-CN"/>
        </w:rPr>
      </w:pPr>
      <w:r>
        <w:rPr>
          <w:rFonts w:hint="eastAsia" w:ascii="仿宋" w:hAnsi="仿宋" w:eastAsia="仿宋" w:cs="仿宋"/>
          <w:b/>
          <w:bCs/>
          <w:color w:val="auto"/>
        </w:rPr>
        <w:t>第一</w:t>
      </w:r>
      <w:r>
        <w:rPr>
          <w:rFonts w:hint="eastAsia" w:ascii="仿宋" w:hAnsi="仿宋" w:eastAsia="仿宋" w:cs="仿宋"/>
          <w:b/>
          <w:bCs/>
          <w:color w:val="auto"/>
          <w:lang w:eastAsia="zh-CN"/>
        </w:rPr>
        <w:t>章</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竞争性磋商公告</w:t>
      </w:r>
    </w:p>
    <w:p w14:paraId="71420DB9">
      <w:pPr>
        <w:pStyle w:val="3"/>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caps w:val="0"/>
          <w:color w:val="000000"/>
          <w:spacing w:val="0"/>
          <w:kern w:val="0"/>
          <w:sz w:val="32"/>
          <w:szCs w:val="32"/>
          <w:lang w:val="en-US" w:eastAsia="zh-CN" w:bidi="ar"/>
        </w:rPr>
      </w:pPr>
      <w:r>
        <w:rPr>
          <w:rFonts w:hint="eastAsia" w:ascii="仿宋" w:hAnsi="仿宋" w:eastAsia="仿宋" w:cs="仿宋"/>
          <w:b/>
          <w:bCs/>
          <w:i w:val="0"/>
          <w:iCs w:val="0"/>
          <w:caps w:val="0"/>
          <w:color w:val="000000"/>
          <w:spacing w:val="0"/>
          <w:kern w:val="0"/>
          <w:sz w:val="32"/>
          <w:szCs w:val="32"/>
          <w:lang w:val="en-US" w:eastAsia="zh-CN" w:bidi="ar"/>
        </w:rPr>
        <w:t>阿图什市第一中学2025年学生食堂后厨工作人员服务采购项目竞争性磋商公告</w:t>
      </w:r>
    </w:p>
    <w:tbl>
      <w:tblPr>
        <w:tblStyle w:val="26"/>
        <w:tblW w:w="10094"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4"/>
      </w:tblGrid>
      <w:tr w14:paraId="6DA2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094" w:type="dxa"/>
            <w:noWrap w:val="0"/>
            <w:vAlign w:val="top"/>
          </w:tcPr>
          <w:p w14:paraId="780758D4">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eastAsia="zh-CN"/>
              </w:rPr>
              <w:t>项目概况</w:t>
            </w:r>
          </w:p>
          <w:p w14:paraId="337F9D2C">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jc w:val="left"/>
              <w:textAlignment w:val="auto"/>
              <w:rPr>
                <w:b w:val="0"/>
                <w:bCs w:val="0"/>
                <w:color w:val="auto"/>
                <w:sz w:val="36"/>
                <w:szCs w:val="36"/>
                <w:vertAlign w:val="baseline"/>
              </w:rPr>
            </w:pPr>
            <w:r>
              <w:rPr>
                <w:rFonts w:hint="eastAsia" w:ascii="仿宋" w:hAnsi="仿宋" w:eastAsia="仿宋" w:cs="仿宋"/>
                <w:i w:val="0"/>
                <w:iCs w:val="0"/>
                <w:caps w:val="0"/>
                <w:color w:val="000000"/>
                <w:spacing w:val="0"/>
                <w:sz w:val="24"/>
                <w:szCs w:val="24"/>
                <w:lang w:val="en-US" w:eastAsia="zh-CN"/>
              </w:rPr>
              <w:t>阿图什市第一中学2025年学生食堂后厨工作人员服务采购项目采购项目</w:t>
            </w:r>
            <w:r>
              <w:rPr>
                <w:rFonts w:hint="eastAsia" w:ascii="仿宋" w:hAnsi="仿宋" w:eastAsia="仿宋" w:cs="仿宋"/>
                <w:i w:val="0"/>
                <w:iCs w:val="0"/>
                <w:caps w:val="0"/>
                <w:color w:val="000000"/>
                <w:spacing w:val="0"/>
                <w:sz w:val="24"/>
                <w:szCs w:val="24"/>
              </w:rPr>
              <w:t>的潜在供应商应在政采云平台线上获取采购文件，并于</w:t>
            </w:r>
            <w:r>
              <w:rPr>
                <w:rFonts w:hint="eastAsia" w:ascii="仿宋" w:hAnsi="仿宋" w:eastAsia="仿宋" w:cs="仿宋"/>
                <w:i w:val="0"/>
                <w:iCs w:val="0"/>
                <w:caps w:val="0"/>
                <w:color w:val="auto"/>
                <w:spacing w:val="0"/>
                <w:sz w:val="24"/>
                <w:szCs w:val="24"/>
              </w:rPr>
              <w:t>202</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7</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28</w:t>
            </w:r>
            <w:r>
              <w:rPr>
                <w:rFonts w:hint="eastAsia" w:ascii="仿宋" w:hAnsi="仿宋" w:eastAsia="仿宋" w:cs="仿宋"/>
                <w:i w:val="0"/>
                <w:iCs w:val="0"/>
                <w:caps w:val="0"/>
                <w:color w:val="auto"/>
                <w:spacing w:val="0"/>
                <w:sz w:val="24"/>
                <w:szCs w:val="24"/>
              </w:rPr>
              <w:t>日</w:t>
            </w:r>
            <w:r>
              <w:rPr>
                <w:rFonts w:hint="eastAsia" w:ascii="仿宋" w:hAnsi="仿宋" w:eastAsia="仿宋" w:cs="仿宋"/>
                <w:i w:val="0"/>
                <w:iCs w:val="0"/>
                <w:caps w:val="0"/>
                <w:color w:val="000000"/>
                <w:spacing w:val="0"/>
                <w:sz w:val="24"/>
                <w:szCs w:val="24"/>
              </w:rPr>
              <w:t xml:space="preserve"> 10:</w:t>
            </w:r>
            <w:r>
              <w:rPr>
                <w:rFonts w:hint="eastAsia" w:ascii="仿宋" w:hAnsi="仿宋" w:eastAsia="仿宋" w:cs="仿宋"/>
                <w:i w:val="0"/>
                <w:iCs w:val="0"/>
                <w:caps w:val="0"/>
                <w:color w:val="000000"/>
                <w:spacing w:val="0"/>
                <w:sz w:val="24"/>
                <w:szCs w:val="24"/>
                <w:lang w:val="en-US" w:eastAsia="zh-CN"/>
              </w:rPr>
              <w:t>15</w:t>
            </w:r>
            <w:r>
              <w:rPr>
                <w:rFonts w:hint="eastAsia" w:ascii="仿宋" w:hAnsi="仿宋" w:eastAsia="仿宋" w:cs="仿宋"/>
                <w:i w:val="0"/>
                <w:iCs w:val="0"/>
                <w:caps w:val="0"/>
                <w:color w:val="000000"/>
                <w:spacing w:val="0"/>
                <w:sz w:val="24"/>
                <w:szCs w:val="24"/>
              </w:rPr>
              <w:t>（北京时间）前提交响应文件。  </w:t>
            </w:r>
            <w:r>
              <w:rPr>
                <w:rFonts w:hint="eastAsia"/>
                <w:b w:val="0"/>
                <w:bCs w:val="0"/>
                <w:color w:val="auto"/>
                <w:sz w:val="36"/>
                <w:szCs w:val="36"/>
                <w:vertAlign w:val="baseline"/>
              </w:rPr>
              <w:t> </w:t>
            </w:r>
          </w:p>
        </w:tc>
      </w:tr>
    </w:tbl>
    <w:p w14:paraId="4AEC2008">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14:paraId="18018D0D">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b w:val="0"/>
          <w:bCs w:val="0"/>
          <w:i w:val="0"/>
          <w:iCs w:val="0"/>
          <w:caps w:val="0"/>
          <w:color w:val="auto"/>
          <w:spacing w:val="0"/>
          <w:sz w:val="24"/>
          <w:szCs w:val="24"/>
        </w:rPr>
        <w:t>项目编号：</w:t>
      </w:r>
      <w:r>
        <w:rPr>
          <w:rFonts w:hint="eastAsia" w:ascii="仿宋" w:hAnsi="仿宋" w:eastAsia="仿宋" w:cs="仿宋"/>
          <w:b w:val="0"/>
          <w:bCs w:val="0"/>
          <w:i w:val="0"/>
          <w:iCs w:val="0"/>
          <w:caps w:val="0"/>
          <w:color w:val="auto"/>
          <w:spacing w:val="0"/>
          <w:sz w:val="24"/>
          <w:szCs w:val="24"/>
          <w:lang w:val="en-US" w:eastAsia="zh-CN"/>
        </w:rPr>
        <w:t>ATSCG-2025064</w:t>
      </w:r>
    </w:p>
    <w:p w14:paraId="64E30E62">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项目名称：阿图什市第一中学2025年学生食堂后厨工作人员服务采购项目</w:t>
      </w:r>
    </w:p>
    <w:p w14:paraId="22F216D5">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000000"/>
          <w:spacing w:val="0"/>
          <w:sz w:val="24"/>
          <w:szCs w:val="24"/>
        </w:rPr>
        <w:t>采购方式：竞争性磋商 </w:t>
      </w:r>
    </w:p>
    <w:p w14:paraId="6466C454">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w:t>
      </w:r>
      <w:r>
        <w:rPr>
          <w:rFonts w:hint="eastAsia" w:ascii="仿宋" w:hAnsi="仿宋" w:eastAsia="仿宋" w:cs="仿宋"/>
          <w:i w:val="0"/>
          <w:iCs w:val="0"/>
          <w:caps w:val="0"/>
          <w:color w:val="auto"/>
          <w:spacing w:val="0"/>
          <w:sz w:val="24"/>
          <w:szCs w:val="24"/>
          <w:lang w:val="en-US" w:eastAsia="zh-CN"/>
        </w:rPr>
        <w:t>1815000</w:t>
      </w:r>
    </w:p>
    <w:p w14:paraId="51B7E76B">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最高限价（元）：</w:t>
      </w:r>
      <w:r>
        <w:rPr>
          <w:rFonts w:hint="eastAsia" w:ascii="仿宋" w:hAnsi="仿宋" w:eastAsia="仿宋" w:cs="仿宋"/>
          <w:i w:val="0"/>
          <w:iCs w:val="0"/>
          <w:caps w:val="0"/>
          <w:color w:val="auto"/>
          <w:spacing w:val="0"/>
          <w:sz w:val="24"/>
          <w:szCs w:val="24"/>
          <w:lang w:val="en-US" w:eastAsia="zh-CN"/>
        </w:rPr>
        <w:t>1815000</w:t>
      </w:r>
    </w:p>
    <w:p w14:paraId="6BE0E337">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14:paraId="5BA1A28E">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标项名称:阿图什市第一中学2025年学生食堂后厨工作人员服务采购项目</w:t>
      </w:r>
    </w:p>
    <w:p w14:paraId="568248FA">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xml:space="preserve">  </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数量</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1</w:t>
      </w:r>
    </w:p>
    <w:p w14:paraId="735DF7A0">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auto"/>
          <w:spacing w:val="0"/>
          <w:sz w:val="24"/>
          <w:szCs w:val="24"/>
          <w:lang w:val="en-US" w:eastAsia="zh-CN"/>
        </w:rPr>
        <w:t>1815000</w:t>
      </w:r>
    </w:p>
    <w:p w14:paraId="317AB833">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lang w:eastAsia="zh-CN"/>
        </w:rPr>
        <w:t>单位：</w:t>
      </w:r>
      <w:r>
        <w:rPr>
          <w:rFonts w:hint="eastAsia" w:ascii="仿宋" w:hAnsi="仿宋" w:eastAsia="仿宋" w:cs="仿宋"/>
          <w:i w:val="0"/>
          <w:iCs w:val="0"/>
          <w:caps w:val="0"/>
          <w:color w:val="000000"/>
          <w:spacing w:val="0"/>
          <w:sz w:val="24"/>
          <w:szCs w:val="24"/>
          <w:lang w:val="en-US" w:eastAsia="zh-CN"/>
        </w:rPr>
        <w:t>批</w:t>
      </w:r>
    </w:p>
    <w:p w14:paraId="234D3378">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240" w:firstLineChars="1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简要规格描述或项目基本概况介绍、</w:t>
      </w:r>
      <w:r>
        <w:rPr>
          <w:rFonts w:hint="eastAsia" w:ascii="仿宋" w:hAnsi="仿宋" w:eastAsia="仿宋" w:cs="仿宋"/>
          <w:b w:val="0"/>
          <w:bCs w:val="0"/>
          <w:i w:val="0"/>
          <w:iCs w:val="0"/>
          <w:caps w:val="0"/>
          <w:color w:val="000000"/>
          <w:spacing w:val="0"/>
          <w:sz w:val="24"/>
          <w:szCs w:val="24"/>
        </w:rPr>
        <w:t>用途：服务人员33人（食堂经理1人、主厨2人、副厨6人、面点师2人、帮厨10人、勤杂工12人） </w:t>
      </w:r>
      <w:r>
        <w:rPr>
          <w:rFonts w:hint="eastAsia" w:ascii="仿宋" w:hAnsi="仿宋" w:eastAsia="仿宋" w:cs="仿宋"/>
          <w:i w:val="0"/>
          <w:iCs w:val="0"/>
          <w:caps w:val="0"/>
          <w:color w:val="000000"/>
          <w:spacing w:val="0"/>
          <w:sz w:val="24"/>
          <w:szCs w:val="24"/>
        </w:rPr>
        <w:t>   </w:t>
      </w:r>
    </w:p>
    <w:p w14:paraId="42E94FE7">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240" w:firstLineChars="1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备注：</w:t>
      </w:r>
    </w:p>
    <w:p w14:paraId="5E083EAB">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240" w:firstLineChars="10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合同履约期限：</w:t>
      </w:r>
      <w:r>
        <w:rPr>
          <w:rFonts w:hint="eastAsia" w:ascii="仿宋" w:hAnsi="仿宋" w:eastAsia="仿宋" w:cs="仿宋"/>
          <w:i w:val="0"/>
          <w:iCs w:val="0"/>
          <w:caps w:val="0"/>
          <w:color w:val="auto"/>
          <w:spacing w:val="0"/>
          <w:sz w:val="24"/>
          <w:szCs w:val="24"/>
          <w:lang w:val="en-US" w:eastAsia="zh-CN"/>
        </w:rPr>
        <w:t>1年（自合同之日起算）。</w:t>
      </w:r>
    </w:p>
    <w:p w14:paraId="02EBC89A">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240" w:firstLineChars="10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本项目</w:t>
      </w:r>
      <w:r>
        <w:rPr>
          <w:rFonts w:hint="eastAsia" w:ascii="仿宋" w:hAnsi="仿宋" w:eastAsia="仿宋" w:cs="仿宋"/>
          <w:b w:val="0"/>
          <w:bCs w:val="0"/>
          <w:i w:val="0"/>
          <w:iCs w:val="0"/>
          <w:caps w:val="0"/>
          <w:color w:val="000000"/>
          <w:spacing w:val="0"/>
          <w:sz w:val="24"/>
          <w:szCs w:val="24"/>
          <w:lang w:eastAsia="zh-CN"/>
        </w:rPr>
        <w:t>不</w:t>
      </w:r>
      <w:r>
        <w:rPr>
          <w:rFonts w:hint="eastAsia" w:ascii="仿宋" w:hAnsi="仿宋" w:eastAsia="仿宋" w:cs="仿宋"/>
          <w:b w:val="0"/>
          <w:bCs w:val="0"/>
          <w:i w:val="0"/>
          <w:iCs w:val="0"/>
          <w:caps w:val="0"/>
          <w:color w:val="000000"/>
          <w:spacing w:val="0"/>
          <w:sz w:val="24"/>
          <w:szCs w:val="24"/>
        </w:rPr>
        <w:t>接受联合体投标。</w:t>
      </w:r>
    </w:p>
    <w:p w14:paraId="3BBC5FDC">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14:paraId="24DA4E0B">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1.满足《中华人民共和国政府采购法》第二十二条规定；</w:t>
      </w:r>
    </w:p>
    <w:p w14:paraId="11102377">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rPr>
        <w:t>2.落实政府采购政策需满足的资格要求：</w:t>
      </w:r>
      <w:r>
        <w:rPr>
          <w:rFonts w:hint="eastAsia" w:ascii="仿宋" w:hAnsi="仿宋" w:eastAsia="仿宋" w:cs="仿宋"/>
          <w:b w:val="0"/>
          <w:bCs w:val="0"/>
          <w:i w:val="0"/>
          <w:iCs w:val="0"/>
          <w:caps w:val="0"/>
          <w:color w:val="000000"/>
          <w:spacing w:val="0"/>
          <w:sz w:val="24"/>
          <w:szCs w:val="24"/>
          <w:highlight w:val="none"/>
          <w:lang w:val="en-US" w:eastAsia="zh-CN"/>
        </w:rPr>
        <w:t>供应商为中小微企业</w:t>
      </w:r>
      <w:r>
        <w:rPr>
          <w:rFonts w:hint="eastAsia" w:ascii="仿宋" w:hAnsi="仿宋" w:eastAsia="仿宋" w:cs="仿宋"/>
          <w:b w:val="0"/>
          <w:bCs w:val="0"/>
          <w:i w:val="0"/>
          <w:iCs w:val="0"/>
          <w:caps w:val="0"/>
          <w:color w:val="000000"/>
          <w:spacing w:val="0"/>
          <w:sz w:val="24"/>
          <w:szCs w:val="24"/>
          <w:highlight w:val="none"/>
          <w:lang w:eastAsia="zh-CN"/>
        </w:rPr>
        <w:t>。</w:t>
      </w:r>
    </w:p>
    <w:p w14:paraId="04BB824E">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 3.本项目的特定资格要求：</w:t>
      </w:r>
    </w:p>
    <w:p w14:paraId="65B7AD99">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（1</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具备三证合一营业执照副本；</w:t>
      </w:r>
    </w:p>
    <w:p w14:paraId="423A65E6">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（2</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法定代表人投标需提供法定代表人资格证明书，委托代理人投标需提供法定代表人授权委托书；</w:t>
      </w:r>
    </w:p>
    <w:p w14:paraId="0A536867">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3</w:t>
      </w:r>
      <w:r>
        <w:rPr>
          <w:rFonts w:hint="eastAsia" w:ascii="仿宋" w:hAnsi="仿宋" w:eastAsia="仿宋" w:cs="仿宋"/>
          <w:b w:val="0"/>
          <w:bCs w:val="0"/>
          <w:i w:val="0"/>
          <w:iCs w:val="0"/>
          <w:caps w:val="0"/>
          <w:color w:val="000000"/>
          <w:spacing w:val="0"/>
          <w:sz w:val="24"/>
          <w:szCs w:val="24"/>
          <w:lang w:eastAsia="zh-CN"/>
        </w:rPr>
        <w:t>）投标企业须提供投标人（被授权在职人员）近6个月内任意一个月有效的社保证明；</w:t>
      </w:r>
    </w:p>
    <w:p w14:paraId="1F671B48">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4"/>
          <w:szCs w:val="24"/>
          <w:lang w:val="en-US" w:eastAsia="zh-CN"/>
        </w:rPr>
        <w:t>（4）参加政府采购活动前三年内，在经营活动中没有重大违法记录；未被“信用中国”（www.creditchina.gov.cn）、中国政府采购网（www.ccgp.gov.cn）列入失信被执行人、税收违法黑名单、政府采购严重违法失信行为记录名单。</w:t>
      </w:r>
    </w:p>
    <w:p w14:paraId="2CC1AD70">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三、获取</w:t>
      </w:r>
      <w:r>
        <w:rPr>
          <w:rFonts w:hint="eastAsia" w:ascii="仿宋" w:hAnsi="仿宋" w:eastAsia="仿宋" w:cs="仿宋"/>
          <w:b/>
          <w:bCs/>
          <w:i w:val="0"/>
          <w:iCs w:val="0"/>
          <w:caps w:val="0"/>
          <w:color w:val="000000"/>
          <w:spacing w:val="0"/>
          <w:sz w:val="24"/>
          <w:szCs w:val="24"/>
          <w:lang w:eastAsia="zh-CN"/>
        </w:rPr>
        <w:t>采购</w:t>
      </w:r>
      <w:r>
        <w:rPr>
          <w:rFonts w:hint="eastAsia" w:ascii="仿宋" w:hAnsi="仿宋" w:eastAsia="仿宋" w:cs="仿宋"/>
          <w:b/>
          <w:bCs/>
          <w:i w:val="0"/>
          <w:iCs w:val="0"/>
          <w:caps w:val="0"/>
          <w:color w:val="000000"/>
          <w:spacing w:val="0"/>
          <w:sz w:val="24"/>
          <w:szCs w:val="24"/>
        </w:rPr>
        <w:t>文件</w:t>
      </w:r>
    </w:p>
    <w:p w14:paraId="068E57FF">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时间：20</w:t>
      </w:r>
      <w:r>
        <w:rPr>
          <w:rFonts w:hint="eastAsia" w:ascii="仿宋" w:hAnsi="仿宋" w:eastAsia="仿宋" w:cs="仿宋"/>
          <w:i w:val="0"/>
          <w:iCs w:val="0"/>
          <w:caps w:val="0"/>
          <w:color w:val="auto"/>
          <w:spacing w:val="0"/>
          <w:sz w:val="24"/>
          <w:szCs w:val="24"/>
          <w:lang w:val="en-US" w:eastAsia="zh-CN"/>
        </w:rPr>
        <w:t>25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 xml:space="preserve"> 7</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 xml:space="preserve">14 </w:t>
      </w:r>
      <w:r>
        <w:rPr>
          <w:rFonts w:hint="eastAsia" w:ascii="仿宋" w:hAnsi="仿宋" w:eastAsia="仿宋" w:cs="仿宋"/>
          <w:i w:val="0"/>
          <w:iCs w:val="0"/>
          <w:caps w:val="0"/>
          <w:color w:val="auto"/>
          <w:spacing w:val="0"/>
          <w:sz w:val="24"/>
          <w:szCs w:val="24"/>
        </w:rPr>
        <w:t>日至202</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 xml:space="preserve"> 7</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 xml:space="preserve"> 21</w:t>
      </w:r>
      <w:r>
        <w:rPr>
          <w:rFonts w:hint="eastAsia" w:ascii="仿宋" w:hAnsi="仿宋" w:eastAsia="仿宋" w:cs="仿宋"/>
          <w:i w:val="0"/>
          <w:iCs w:val="0"/>
          <w:caps w:val="0"/>
          <w:color w:val="auto"/>
          <w:spacing w:val="0"/>
          <w:sz w:val="24"/>
          <w:szCs w:val="24"/>
        </w:rPr>
        <w:t>日，每天上午10:00至</w:t>
      </w:r>
      <w:r>
        <w:rPr>
          <w:rFonts w:hint="eastAsia" w:ascii="仿宋" w:hAnsi="仿宋" w:eastAsia="仿宋" w:cs="仿宋"/>
          <w:i w:val="0"/>
          <w:iCs w:val="0"/>
          <w:caps w:val="0"/>
          <w:color w:val="auto"/>
          <w:spacing w:val="0"/>
          <w:sz w:val="24"/>
          <w:szCs w:val="24"/>
          <w:lang w:val="en-US" w:eastAsia="zh-CN"/>
        </w:rPr>
        <w:t>14</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，下午16:</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至</w:t>
      </w:r>
      <w:r>
        <w:rPr>
          <w:rFonts w:hint="eastAsia" w:ascii="仿宋" w:hAnsi="仿宋" w:eastAsia="仿宋" w:cs="仿宋"/>
          <w:i w:val="0"/>
          <w:iCs w:val="0"/>
          <w:caps w:val="0"/>
          <w:color w:val="auto"/>
          <w:spacing w:val="0"/>
          <w:sz w:val="24"/>
          <w:szCs w:val="24"/>
          <w:lang w:val="en-US" w:eastAsia="zh-CN"/>
        </w:rPr>
        <w:t>20</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（北京时间，法定节假日除外）</w:t>
      </w:r>
    </w:p>
    <w:p w14:paraId="2C7185E0">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xml:space="preserve">地点：政采云平台线上 </w:t>
      </w:r>
    </w:p>
    <w:p w14:paraId="45B91F4F">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6C4A436">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售价（元）：0</w:t>
      </w:r>
    </w:p>
    <w:p w14:paraId="0E42BAA1">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四、响应文件提交</w:t>
      </w:r>
    </w:p>
    <w:p w14:paraId="5F1BDD39">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lang w:val="en-US" w:eastAsia="zh-CN"/>
        </w:rPr>
        <w:t>截止时间：</w:t>
      </w:r>
      <w:r>
        <w:rPr>
          <w:rFonts w:hint="eastAsia" w:ascii="仿宋" w:hAnsi="仿宋" w:eastAsia="仿宋" w:cs="仿宋"/>
          <w:b w:val="0"/>
          <w:bCs w:val="0"/>
          <w:i w:val="0"/>
          <w:iCs w:val="0"/>
          <w:caps w:val="0"/>
          <w:color w:val="auto"/>
          <w:spacing w:val="0"/>
          <w:sz w:val="24"/>
          <w:szCs w:val="24"/>
          <w:lang w:val="en-US" w:eastAsia="zh-CN"/>
        </w:rPr>
        <w:t>2025年 7月 28日 10：15（北京时间）</w:t>
      </w:r>
    </w:p>
    <w:p w14:paraId="1D8D780C">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b w:val="0"/>
          <w:bCs w:val="0"/>
          <w:i w:val="0"/>
          <w:iCs w:val="0"/>
          <w:caps w:val="0"/>
          <w:color w:val="000000"/>
          <w:spacing w:val="0"/>
          <w:sz w:val="24"/>
          <w:szCs w:val="24"/>
          <w:lang w:val="en-US" w:eastAsia="zh-CN"/>
        </w:rPr>
      </w:pPr>
      <w:bookmarkStart w:id="0" w:name="_Toc35393794"/>
      <w:bookmarkEnd w:id="0"/>
      <w:bookmarkStart w:id="1" w:name="_Toc28359084"/>
      <w:bookmarkEnd w:id="1"/>
      <w:bookmarkStart w:id="2" w:name="_Toc35393625"/>
      <w:bookmarkEnd w:id="2"/>
      <w:bookmarkStart w:id="3" w:name="_Toc28359007"/>
      <w:r>
        <w:rPr>
          <w:rFonts w:hint="eastAsia" w:ascii="仿宋" w:hAnsi="仿宋" w:eastAsia="仿宋" w:cs="仿宋"/>
          <w:b w:val="0"/>
          <w:bCs w:val="0"/>
          <w:i w:val="0"/>
          <w:iCs w:val="0"/>
          <w:caps w:val="0"/>
          <w:color w:val="000000"/>
          <w:spacing w:val="0"/>
          <w:sz w:val="24"/>
          <w:szCs w:val="24"/>
          <w:lang w:val="en-US" w:eastAsia="zh-CN"/>
        </w:rPr>
        <w:t>地    点：</w:t>
      </w:r>
      <w:bookmarkEnd w:id="3"/>
      <w:r>
        <w:rPr>
          <w:rFonts w:hint="eastAsia" w:ascii="仿宋" w:hAnsi="仿宋" w:eastAsia="仿宋" w:cs="仿宋"/>
          <w:b w:val="0"/>
          <w:bCs w:val="0"/>
          <w:i w:val="0"/>
          <w:iCs w:val="0"/>
          <w:caps w:val="0"/>
          <w:color w:val="000000"/>
          <w:spacing w:val="0"/>
          <w:sz w:val="24"/>
          <w:szCs w:val="24"/>
          <w:lang w:val="en-US" w:eastAsia="zh-CN"/>
        </w:rPr>
        <w:t>政府采购云平台（www.zcygov.cn）供应商应于递交投标文件截止时间之前将电子投标文件上传到“政采云”平台。</w:t>
      </w:r>
    </w:p>
    <w:p w14:paraId="29217DE3">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000000"/>
          <w:spacing w:val="0"/>
          <w:sz w:val="24"/>
          <w:szCs w:val="24"/>
          <w:lang w:eastAsia="zh-CN"/>
        </w:rPr>
      </w:pPr>
      <w:r>
        <w:rPr>
          <w:rFonts w:hint="eastAsia" w:ascii="仿宋" w:hAnsi="仿宋" w:eastAsia="仿宋" w:cs="仿宋"/>
          <w:b/>
          <w:bCs/>
          <w:i w:val="0"/>
          <w:iCs w:val="0"/>
          <w:caps w:val="0"/>
          <w:color w:val="000000"/>
          <w:spacing w:val="0"/>
          <w:sz w:val="24"/>
          <w:szCs w:val="24"/>
          <w:lang w:eastAsia="zh-CN"/>
        </w:rPr>
        <w:t>五、响应文件开启</w:t>
      </w:r>
    </w:p>
    <w:p w14:paraId="653B818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20" w:leftChars="0" w:right="0" w:rightChars="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lang w:val="en-US" w:eastAsia="zh-CN" w:bidi="ar"/>
        </w:rPr>
        <w:t>开启时间：</w:t>
      </w:r>
      <w:r>
        <w:rPr>
          <w:rFonts w:hint="eastAsia" w:ascii="仿宋" w:hAnsi="仿宋" w:eastAsia="仿宋" w:cs="仿宋"/>
          <w:i w:val="0"/>
          <w:iCs w:val="0"/>
          <w:caps w:val="0"/>
          <w:color w:val="auto"/>
          <w:spacing w:val="0"/>
          <w:kern w:val="0"/>
          <w:sz w:val="24"/>
          <w:szCs w:val="24"/>
          <w:lang w:val="en-US" w:eastAsia="zh-CN" w:bidi="ar"/>
        </w:rPr>
        <w:t>2025年 7 月28 日 10：15（北京时间）</w:t>
      </w:r>
    </w:p>
    <w:p w14:paraId="5D9AE098">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地   点：</w:t>
      </w:r>
      <w:r>
        <w:rPr>
          <w:rFonts w:hint="eastAsia" w:ascii="仿宋" w:hAnsi="仿宋" w:eastAsia="仿宋" w:cs="仿宋"/>
          <w:color w:val="auto"/>
          <w:kern w:val="2"/>
          <w:sz w:val="24"/>
          <w:szCs w:val="24"/>
          <w:lang w:eastAsia="zh-CN" w:bidi="ar-SA"/>
        </w:rPr>
        <w:t>投标人登录政采云平台https://www.zcygov.cn/，进入“项目采购-开标评标-右边选择对应项目点击“进入项目”进入开标大厅。</w:t>
      </w:r>
    </w:p>
    <w:p w14:paraId="727118B3">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eastAsia="zh-CN"/>
        </w:rPr>
        <w:t>六</w:t>
      </w:r>
      <w:r>
        <w:rPr>
          <w:rFonts w:hint="eastAsia" w:ascii="仿宋" w:hAnsi="仿宋" w:eastAsia="仿宋" w:cs="仿宋"/>
          <w:b/>
          <w:bCs/>
          <w:i w:val="0"/>
          <w:iCs w:val="0"/>
          <w:caps w:val="0"/>
          <w:color w:val="000000"/>
          <w:spacing w:val="0"/>
          <w:sz w:val="24"/>
          <w:szCs w:val="24"/>
        </w:rPr>
        <w:t>、公告期限</w:t>
      </w:r>
    </w:p>
    <w:p w14:paraId="41EA8E42">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自本公告发布之日起</w:t>
      </w:r>
      <w:r>
        <w:rPr>
          <w:rFonts w:hint="eastAsia" w:ascii="仿宋" w:hAnsi="仿宋" w:eastAsia="仿宋" w:cs="仿宋"/>
          <w:i w:val="0"/>
          <w:iCs w:val="0"/>
          <w:caps w:val="0"/>
          <w:color w:val="000000"/>
          <w:spacing w:val="0"/>
          <w:sz w:val="24"/>
          <w:szCs w:val="24"/>
          <w:lang w:val="en-US" w:eastAsia="zh-CN"/>
        </w:rPr>
        <w:t>3</w:t>
      </w:r>
      <w:r>
        <w:rPr>
          <w:rFonts w:hint="eastAsia" w:ascii="仿宋" w:hAnsi="仿宋" w:eastAsia="仿宋" w:cs="仿宋"/>
          <w:i w:val="0"/>
          <w:iCs w:val="0"/>
          <w:caps w:val="0"/>
          <w:color w:val="000000"/>
          <w:spacing w:val="0"/>
          <w:sz w:val="24"/>
          <w:szCs w:val="24"/>
        </w:rPr>
        <w:t>个工作日。</w:t>
      </w:r>
    </w:p>
    <w:p w14:paraId="64B4818F">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eastAsia="zh-CN"/>
        </w:rPr>
        <w:t>七</w:t>
      </w:r>
      <w:r>
        <w:rPr>
          <w:rFonts w:hint="eastAsia" w:ascii="仿宋" w:hAnsi="仿宋" w:eastAsia="仿宋" w:cs="仿宋"/>
          <w:b/>
          <w:bCs/>
          <w:i w:val="0"/>
          <w:iCs w:val="0"/>
          <w:caps w:val="0"/>
          <w:color w:val="000000"/>
          <w:spacing w:val="0"/>
          <w:sz w:val="24"/>
          <w:szCs w:val="24"/>
        </w:rPr>
        <w:t>、其他补充事宜</w:t>
      </w:r>
    </w:p>
    <w:p w14:paraId="30123E20">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firstLine="480" w:firstLineChars="20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1、本项目实行网上投标，采用电子投标文件。</w:t>
      </w:r>
    </w:p>
    <w:p w14:paraId="325BCD4F">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 </w:t>
      </w:r>
      <w:r>
        <w:rPr>
          <w:rFonts w:hint="eastAsia" w:ascii="仿宋" w:hAnsi="仿宋" w:eastAsia="仿宋" w:cs="仿宋"/>
          <w:b w:val="0"/>
          <w:bCs w:val="0"/>
          <w:i w:val="0"/>
          <w:iCs w:val="0"/>
          <w:caps w:val="0"/>
          <w:color w:val="000000"/>
          <w:spacing w:val="0"/>
          <w:sz w:val="24"/>
          <w:szCs w:val="24"/>
          <w:lang w:val="en-US" w:eastAsia="zh-CN"/>
        </w:rPr>
        <w:t xml:space="preserve"> </w:t>
      </w:r>
      <w:r>
        <w:rPr>
          <w:rFonts w:hint="eastAsia" w:ascii="仿宋" w:hAnsi="仿宋" w:eastAsia="仿宋" w:cs="仿宋"/>
          <w:b w:val="0"/>
          <w:bCs w:val="0"/>
          <w:i w:val="0"/>
          <w:iCs w:val="0"/>
          <w:caps w:val="0"/>
          <w:color w:val="000000"/>
          <w:spacing w:val="0"/>
          <w:sz w:val="24"/>
          <w:szCs w:val="24"/>
          <w:lang w:eastAsia="zh-CN"/>
        </w:rPr>
        <w:t>   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41D75173">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   </w:t>
      </w:r>
      <w:r>
        <w:rPr>
          <w:rFonts w:hint="eastAsia" w:ascii="仿宋" w:hAnsi="仿宋" w:eastAsia="仿宋" w:cs="仿宋"/>
          <w:b w:val="0"/>
          <w:bCs w:val="0"/>
          <w:i w:val="0"/>
          <w:iCs w:val="0"/>
          <w:caps w:val="0"/>
          <w:color w:val="000000"/>
          <w:spacing w:val="0"/>
          <w:sz w:val="24"/>
          <w:szCs w:val="24"/>
          <w:lang w:val="en-US" w:eastAsia="zh-CN"/>
        </w:rPr>
        <w:t xml:space="preserve"> </w:t>
      </w:r>
      <w:r>
        <w:rPr>
          <w:rFonts w:hint="eastAsia" w:ascii="仿宋" w:hAnsi="仿宋" w:eastAsia="仿宋" w:cs="仿宋"/>
          <w:b w:val="0"/>
          <w:bCs w:val="0"/>
          <w:i w:val="0"/>
          <w:iCs w:val="0"/>
          <w:caps w:val="0"/>
          <w:color w:val="000000"/>
          <w:spacing w:val="0"/>
          <w:sz w:val="24"/>
          <w:szCs w:val="24"/>
          <w:lang w:eastAsia="zh-CN"/>
        </w:rPr>
        <w:t> 3、供应商将政采云电子交易客户端下载、安装完成后，可通过账号密码或CA登录客户端进行投标文件的制作。在使用政采云投标客户端时，建议使用WIN7及以上操作系统。</w:t>
      </w:r>
    </w:p>
    <w:p w14:paraId="678FB871">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bCs/>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  </w:t>
      </w:r>
      <w:r>
        <w:rPr>
          <w:rFonts w:hint="eastAsia" w:ascii="仿宋" w:hAnsi="仿宋" w:eastAsia="仿宋" w:cs="仿宋"/>
          <w:b w:val="0"/>
          <w:bCs w:val="0"/>
          <w:i w:val="0"/>
          <w:iCs w:val="0"/>
          <w:caps w:val="0"/>
          <w:color w:val="000000"/>
          <w:spacing w:val="0"/>
          <w:sz w:val="24"/>
          <w:szCs w:val="24"/>
          <w:lang w:val="en-US" w:eastAsia="zh-CN"/>
        </w:rPr>
        <w:t xml:space="preserve"> </w:t>
      </w:r>
      <w:r>
        <w:rPr>
          <w:rFonts w:hint="eastAsia" w:ascii="仿宋" w:hAnsi="仿宋" w:eastAsia="仿宋" w:cs="仿宋"/>
          <w:b w:val="0"/>
          <w:bCs w:val="0"/>
          <w:i w:val="0"/>
          <w:iCs w:val="0"/>
          <w:caps w:val="0"/>
          <w:color w:val="000000"/>
          <w:spacing w:val="0"/>
          <w:sz w:val="24"/>
          <w:szCs w:val="24"/>
          <w:lang w:eastAsia="zh-CN"/>
        </w:rPr>
        <w:t>  4、其他事项：</w:t>
      </w:r>
      <w:r>
        <w:rPr>
          <w:rFonts w:hint="eastAsia" w:ascii="仿宋" w:hAnsi="仿宋" w:eastAsia="仿宋" w:cs="仿宋"/>
          <w:b w:val="0"/>
          <w:bCs w:val="0"/>
          <w:i w:val="0"/>
          <w:iCs w:val="0"/>
          <w:caps w:val="0"/>
          <w:color w:val="000000"/>
          <w:spacing w:val="0"/>
          <w:sz w:val="24"/>
          <w:szCs w:val="24"/>
          <w:lang w:val="en-US" w:eastAsia="zh-CN"/>
        </w:rPr>
        <w:t>/</w:t>
      </w:r>
      <w:r>
        <w:rPr>
          <w:rFonts w:hint="eastAsia" w:ascii="仿宋" w:hAnsi="仿宋" w:eastAsia="仿宋" w:cs="仿宋"/>
          <w:b w:val="0"/>
          <w:bCs w:val="0"/>
          <w:i w:val="0"/>
          <w:iCs w:val="0"/>
          <w:caps w:val="0"/>
          <w:color w:val="000000"/>
          <w:spacing w:val="0"/>
          <w:sz w:val="24"/>
          <w:szCs w:val="24"/>
          <w:lang w:eastAsia="zh-CN"/>
        </w:rPr>
        <w:t> </w:t>
      </w:r>
      <w:r>
        <w:rPr>
          <w:rFonts w:hint="eastAsia" w:ascii="仿宋" w:hAnsi="仿宋" w:eastAsia="仿宋" w:cs="仿宋"/>
          <w:b/>
          <w:bCs/>
          <w:i w:val="0"/>
          <w:iCs w:val="0"/>
          <w:caps w:val="0"/>
          <w:color w:val="000000"/>
          <w:spacing w:val="0"/>
          <w:sz w:val="24"/>
          <w:szCs w:val="24"/>
          <w:lang w:eastAsia="zh-CN"/>
        </w:rPr>
        <w:t> </w:t>
      </w:r>
    </w:p>
    <w:p w14:paraId="2462DC13">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eastAsia="zh-CN"/>
        </w:rPr>
        <w:t>八</w:t>
      </w:r>
      <w:r>
        <w:rPr>
          <w:rFonts w:hint="eastAsia" w:ascii="仿宋" w:hAnsi="仿宋" w:eastAsia="仿宋" w:cs="仿宋"/>
          <w:b/>
          <w:bCs/>
          <w:i w:val="0"/>
          <w:iCs w:val="0"/>
          <w:caps w:val="0"/>
          <w:color w:val="000000"/>
          <w:spacing w:val="0"/>
          <w:sz w:val="24"/>
          <w:szCs w:val="24"/>
        </w:rPr>
        <w:t>、对本次采购提出询问，请按以下方式联系</w:t>
      </w:r>
    </w:p>
    <w:p w14:paraId="58DCC7D4">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1.采购人信息</w:t>
      </w:r>
    </w:p>
    <w:p w14:paraId="70917522">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名 称：阿图什市第一中学</w:t>
      </w:r>
    </w:p>
    <w:p w14:paraId="02D62594">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地 址：阿图什市</w:t>
      </w:r>
    </w:p>
    <w:p w14:paraId="4922D3A9">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联系方式：</w:t>
      </w:r>
      <w:r>
        <w:rPr>
          <w:rFonts w:hint="eastAsia" w:ascii="仿宋" w:hAnsi="仿宋" w:eastAsia="仿宋" w:cs="仿宋"/>
          <w:i w:val="0"/>
          <w:iCs w:val="0"/>
          <w:caps w:val="0"/>
          <w:color w:val="000000"/>
          <w:spacing w:val="0"/>
          <w:sz w:val="24"/>
          <w:szCs w:val="24"/>
          <w:lang w:val="en-US" w:eastAsia="zh-CN"/>
        </w:rPr>
        <w:t>15809081887</w:t>
      </w:r>
    </w:p>
    <w:p w14:paraId="4C5ECF29">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2.采购代理机构信息</w:t>
      </w:r>
    </w:p>
    <w:p w14:paraId="48BFEF90">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名 称：鼎建项目管理有限公司　　　　　　　　   　</w:t>
      </w:r>
    </w:p>
    <w:p w14:paraId="255CCC74">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地 址：阿图什市光明北路12号博格拉A座四楼　  　</w:t>
      </w:r>
    </w:p>
    <w:p w14:paraId="00B04C3A">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项目联系人：朱先生</w:t>
      </w:r>
    </w:p>
    <w:p w14:paraId="1BA10B2C">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电  话：18609088999</w:t>
      </w:r>
    </w:p>
    <w:p w14:paraId="719065A6">
      <w:pPr>
        <w:spacing w:line="360" w:lineRule="auto"/>
        <w:jc w:val="center"/>
        <w:rPr>
          <w:rFonts w:hint="eastAsia" w:ascii="仿宋" w:hAnsi="仿宋" w:eastAsia="仿宋" w:cs="仿宋"/>
          <w:b/>
          <w:bCs/>
          <w:color w:val="auto"/>
          <w:sz w:val="36"/>
          <w:szCs w:val="36"/>
        </w:rPr>
      </w:pPr>
    </w:p>
    <w:p w14:paraId="617FCE3C">
      <w:pPr>
        <w:spacing w:line="360" w:lineRule="auto"/>
        <w:jc w:val="center"/>
        <w:rPr>
          <w:rFonts w:hint="eastAsia" w:ascii="仿宋" w:hAnsi="仿宋" w:eastAsia="仿宋" w:cs="仿宋"/>
          <w:b/>
          <w:bCs/>
          <w:color w:val="auto"/>
          <w:sz w:val="36"/>
          <w:szCs w:val="36"/>
        </w:rPr>
      </w:pPr>
    </w:p>
    <w:p w14:paraId="45E5BB96">
      <w:pPr>
        <w:spacing w:line="360" w:lineRule="auto"/>
        <w:jc w:val="center"/>
        <w:rPr>
          <w:rFonts w:hint="eastAsia" w:ascii="仿宋" w:hAnsi="仿宋" w:eastAsia="仿宋" w:cs="仿宋"/>
          <w:b/>
          <w:bCs/>
          <w:color w:val="auto"/>
          <w:sz w:val="36"/>
          <w:szCs w:val="36"/>
        </w:rPr>
      </w:pPr>
    </w:p>
    <w:p w14:paraId="7E7BF4BF">
      <w:pPr>
        <w:spacing w:line="360" w:lineRule="auto"/>
        <w:jc w:val="center"/>
        <w:rPr>
          <w:rFonts w:hint="eastAsia" w:ascii="仿宋" w:hAnsi="仿宋" w:eastAsia="仿宋" w:cs="仿宋"/>
          <w:b/>
          <w:bCs/>
          <w:color w:val="auto"/>
          <w:sz w:val="36"/>
          <w:szCs w:val="36"/>
        </w:rPr>
      </w:pPr>
    </w:p>
    <w:p w14:paraId="6ACEBE47">
      <w:pPr>
        <w:spacing w:line="360" w:lineRule="auto"/>
        <w:jc w:val="center"/>
        <w:rPr>
          <w:rFonts w:hint="eastAsia" w:ascii="仿宋" w:hAnsi="仿宋" w:eastAsia="仿宋" w:cs="仿宋"/>
          <w:b/>
          <w:bCs/>
          <w:color w:val="auto"/>
          <w:sz w:val="36"/>
          <w:szCs w:val="36"/>
        </w:rPr>
      </w:pPr>
    </w:p>
    <w:p w14:paraId="53DADF96">
      <w:pPr>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第二</w:t>
      </w:r>
      <w:r>
        <w:rPr>
          <w:rFonts w:hint="eastAsia" w:ascii="仿宋" w:hAnsi="仿宋" w:eastAsia="仿宋" w:cs="仿宋"/>
          <w:b/>
          <w:bCs/>
          <w:color w:val="auto"/>
          <w:sz w:val="36"/>
          <w:szCs w:val="36"/>
          <w:lang w:eastAsia="zh-CN"/>
        </w:rPr>
        <w:t>章</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供应商须知</w:t>
      </w:r>
    </w:p>
    <w:p w14:paraId="5F9502DE">
      <w:pPr>
        <w:spacing w:line="400" w:lineRule="exact"/>
        <w:ind w:firstLine="562" w:firstLineChars="200"/>
        <w:jc w:val="center"/>
        <w:rPr>
          <w:rFonts w:ascii="仿宋" w:hAnsi="仿宋" w:eastAsia="仿宋" w:cs="仿宋"/>
          <w:color w:val="auto"/>
          <w:sz w:val="28"/>
          <w:szCs w:val="28"/>
        </w:rPr>
      </w:pP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须知前附表</w:t>
      </w:r>
    </w:p>
    <w:tbl>
      <w:tblPr>
        <w:tblStyle w:val="25"/>
        <w:tblW w:w="10352" w:type="dxa"/>
        <w:jc w:val="center"/>
        <w:tblLayout w:type="fixed"/>
        <w:tblCellMar>
          <w:top w:w="0" w:type="dxa"/>
          <w:left w:w="108" w:type="dxa"/>
          <w:bottom w:w="0" w:type="dxa"/>
          <w:right w:w="108" w:type="dxa"/>
        </w:tblCellMar>
      </w:tblPr>
      <w:tblGrid>
        <w:gridCol w:w="789"/>
        <w:gridCol w:w="1694"/>
        <w:gridCol w:w="7869"/>
      </w:tblGrid>
      <w:tr w14:paraId="1AFC6AC8">
        <w:tblPrEx>
          <w:tblCellMar>
            <w:top w:w="0" w:type="dxa"/>
            <w:left w:w="108" w:type="dxa"/>
            <w:bottom w:w="0" w:type="dxa"/>
            <w:right w:w="108" w:type="dxa"/>
          </w:tblCellMar>
        </w:tblPrEx>
        <w:trPr>
          <w:trHeight w:val="563"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1D0A610">
            <w:pPr>
              <w:widowControl/>
              <w:spacing w:line="334" w:lineRule="exact"/>
              <w:jc w:val="center"/>
              <w:rPr>
                <w:rFonts w:ascii="仿宋" w:hAnsi="仿宋" w:eastAsia="仿宋" w:cs="仿宋"/>
                <w:b/>
                <w:color w:val="auto"/>
              </w:rPr>
            </w:pPr>
            <w:r>
              <w:rPr>
                <w:rFonts w:hint="eastAsia" w:ascii="仿宋" w:hAnsi="仿宋" w:eastAsia="仿宋" w:cs="仿宋"/>
                <w:b/>
                <w:color w:val="auto"/>
              </w:rPr>
              <w:t>序号</w:t>
            </w:r>
          </w:p>
        </w:tc>
        <w:tc>
          <w:tcPr>
            <w:tcW w:w="1694" w:type="dxa"/>
            <w:tcBorders>
              <w:top w:val="single" w:color="auto" w:sz="4" w:space="0"/>
              <w:left w:val="single" w:color="auto" w:sz="4" w:space="0"/>
              <w:bottom w:val="single" w:color="auto" w:sz="4" w:space="0"/>
              <w:right w:val="single" w:color="auto" w:sz="4" w:space="0"/>
            </w:tcBorders>
            <w:vAlign w:val="center"/>
          </w:tcPr>
          <w:p w14:paraId="4E08BF05">
            <w:pPr>
              <w:widowControl/>
              <w:spacing w:line="334" w:lineRule="exact"/>
              <w:jc w:val="center"/>
              <w:rPr>
                <w:rFonts w:ascii="仿宋" w:hAnsi="仿宋" w:eastAsia="仿宋" w:cs="仿宋"/>
                <w:b/>
                <w:color w:val="auto"/>
              </w:rPr>
            </w:pPr>
            <w:r>
              <w:rPr>
                <w:rFonts w:hint="eastAsia" w:ascii="仿宋" w:hAnsi="仿宋" w:eastAsia="仿宋" w:cs="仿宋"/>
                <w:b/>
                <w:color w:val="auto"/>
              </w:rPr>
              <w:t>名  称</w:t>
            </w:r>
          </w:p>
        </w:tc>
        <w:tc>
          <w:tcPr>
            <w:tcW w:w="7869" w:type="dxa"/>
            <w:tcBorders>
              <w:top w:val="single" w:color="auto" w:sz="4" w:space="0"/>
              <w:left w:val="single" w:color="auto" w:sz="4" w:space="0"/>
              <w:bottom w:val="single" w:color="auto" w:sz="4" w:space="0"/>
              <w:right w:val="single" w:color="auto" w:sz="4" w:space="0"/>
            </w:tcBorders>
            <w:vAlign w:val="center"/>
          </w:tcPr>
          <w:p w14:paraId="325A4000">
            <w:pPr>
              <w:widowControl/>
              <w:spacing w:line="334" w:lineRule="exact"/>
              <w:jc w:val="center"/>
              <w:rPr>
                <w:rFonts w:ascii="仿宋" w:hAnsi="仿宋" w:eastAsia="仿宋" w:cs="仿宋"/>
                <w:b/>
                <w:color w:val="auto"/>
              </w:rPr>
            </w:pPr>
            <w:r>
              <w:rPr>
                <w:rFonts w:hint="eastAsia" w:ascii="仿宋" w:hAnsi="仿宋" w:eastAsia="仿宋" w:cs="仿宋"/>
                <w:b/>
                <w:color w:val="auto"/>
              </w:rPr>
              <w:t>编  列  内  容</w:t>
            </w:r>
          </w:p>
        </w:tc>
      </w:tr>
      <w:tr w14:paraId="57439FDB">
        <w:tblPrEx>
          <w:tblCellMar>
            <w:top w:w="0" w:type="dxa"/>
            <w:left w:w="108" w:type="dxa"/>
            <w:bottom w:w="0" w:type="dxa"/>
            <w:right w:w="108" w:type="dxa"/>
          </w:tblCellMar>
        </w:tblPrEx>
        <w:trPr>
          <w:trHeight w:val="2098"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61950F8">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w:t>
            </w:r>
          </w:p>
        </w:tc>
        <w:tc>
          <w:tcPr>
            <w:tcW w:w="1694" w:type="dxa"/>
            <w:tcBorders>
              <w:top w:val="single" w:color="auto" w:sz="4" w:space="0"/>
              <w:left w:val="single" w:color="auto" w:sz="4" w:space="0"/>
              <w:bottom w:val="single" w:color="auto" w:sz="4" w:space="0"/>
              <w:right w:val="single" w:color="auto" w:sz="4" w:space="0"/>
            </w:tcBorders>
            <w:vAlign w:val="center"/>
          </w:tcPr>
          <w:p w14:paraId="00659CB4">
            <w:pPr>
              <w:pStyle w:val="34"/>
              <w:ind w:firstLine="0"/>
              <w:jc w:val="center"/>
              <w:rPr>
                <w:rFonts w:ascii="仿宋" w:hAnsi="仿宋" w:eastAsia="仿宋" w:cs="仿宋"/>
                <w:color w:val="auto"/>
                <w:lang w:eastAsia="zh-CN"/>
              </w:rPr>
            </w:pPr>
            <w:r>
              <w:rPr>
                <w:rFonts w:hint="eastAsia" w:ascii="仿宋" w:hAnsi="仿宋" w:eastAsia="仿宋" w:cs="仿宋"/>
                <w:color w:val="auto"/>
                <w:lang w:eastAsia="zh-CN"/>
              </w:rPr>
              <w:t>项目名称：</w:t>
            </w:r>
          </w:p>
          <w:p w14:paraId="5507A9FD">
            <w:pPr>
              <w:pStyle w:val="34"/>
              <w:ind w:firstLine="0"/>
              <w:jc w:val="center"/>
              <w:rPr>
                <w:rFonts w:ascii="仿宋" w:hAnsi="仿宋" w:eastAsia="仿宋" w:cs="仿宋"/>
                <w:color w:val="auto"/>
                <w:lang w:eastAsia="zh-CN"/>
              </w:rPr>
            </w:pPr>
            <w:r>
              <w:rPr>
                <w:rFonts w:hint="eastAsia" w:ascii="仿宋" w:hAnsi="仿宋" w:eastAsia="仿宋" w:cs="仿宋"/>
                <w:color w:val="auto"/>
                <w:lang w:eastAsia="zh-CN"/>
              </w:rPr>
              <w:t>项目编号：</w:t>
            </w:r>
          </w:p>
          <w:p w14:paraId="485C3473">
            <w:pPr>
              <w:pStyle w:val="34"/>
              <w:ind w:firstLine="0"/>
              <w:jc w:val="center"/>
              <w:rPr>
                <w:rFonts w:ascii="仿宋" w:hAnsi="仿宋" w:eastAsia="仿宋" w:cs="仿宋"/>
                <w:color w:val="auto"/>
                <w:lang w:eastAsia="zh-CN"/>
              </w:rPr>
            </w:pPr>
            <w:r>
              <w:rPr>
                <w:rFonts w:hint="eastAsia" w:ascii="仿宋" w:hAnsi="仿宋" w:eastAsia="仿宋" w:cs="仿宋"/>
                <w:color w:val="auto"/>
                <w:lang w:eastAsia="zh-CN"/>
              </w:rPr>
              <w:t>采购内容：</w:t>
            </w:r>
          </w:p>
          <w:p w14:paraId="3E5B9CD7">
            <w:pPr>
              <w:pStyle w:val="34"/>
              <w:ind w:firstLine="0"/>
              <w:jc w:val="center"/>
              <w:rPr>
                <w:rFonts w:ascii="仿宋" w:hAnsi="仿宋" w:eastAsia="仿宋" w:cs="仿宋"/>
                <w:color w:val="auto"/>
                <w:lang w:eastAsia="zh-CN"/>
              </w:rPr>
            </w:pPr>
            <w:r>
              <w:rPr>
                <w:rFonts w:hint="eastAsia" w:ascii="仿宋" w:hAnsi="仿宋" w:eastAsia="仿宋" w:cs="仿宋"/>
                <w:color w:val="auto"/>
                <w:lang w:eastAsia="zh-CN"/>
              </w:rPr>
              <w:t>履约期限：</w:t>
            </w:r>
          </w:p>
        </w:tc>
        <w:tc>
          <w:tcPr>
            <w:tcW w:w="7869" w:type="dxa"/>
            <w:tcBorders>
              <w:top w:val="single" w:color="auto" w:sz="4" w:space="0"/>
              <w:left w:val="single" w:color="auto" w:sz="4" w:space="0"/>
              <w:bottom w:val="single" w:color="auto" w:sz="4" w:space="0"/>
              <w:right w:val="single" w:color="auto" w:sz="4" w:space="0"/>
            </w:tcBorders>
            <w:vAlign w:val="center"/>
          </w:tcPr>
          <w:p w14:paraId="2874C535">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项目名称：阿图什市第一中学2025年学生食堂后厨工作人员服务采购项目</w:t>
            </w:r>
          </w:p>
          <w:p w14:paraId="0DEF4035">
            <w:pPr>
              <w:spacing w:line="400" w:lineRule="exact"/>
              <w:rPr>
                <w:rFonts w:hint="default" w:ascii="仿宋" w:hAnsi="仿宋" w:eastAsia="仿宋" w:cs="仿宋"/>
                <w:color w:val="auto"/>
                <w:lang w:val="en-US" w:eastAsia="zh-CN"/>
              </w:rPr>
            </w:pPr>
            <w:r>
              <w:rPr>
                <w:rFonts w:hint="eastAsia" w:ascii="仿宋" w:hAnsi="仿宋" w:eastAsia="仿宋" w:cs="仿宋"/>
                <w:color w:val="auto"/>
                <w:lang w:eastAsia="zh-CN"/>
              </w:rPr>
              <w:t>项目编号：ATSCG-2025064</w:t>
            </w:r>
          </w:p>
          <w:p w14:paraId="181C4677">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采购内容：服务人员33人（食堂经理1人、主厨2人、副厨6人、面点师2人、帮厨10人、勤杂工12人）</w:t>
            </w:r>
          </w:p>
          <w:p w14:paraId="276464D1">
            <w:pPr>
              <w:spacing w:line="360" w:lineRule="auto"/>
              <w:rPr>
                <w:rFonts w:hint="default" w:ascii="仿宋" w:hAnsi="仿宋" w:eastAsia="仿宋" w:cs="仿宋"/>
                <w:color w:val="auto"/>
                <w:lang w:val="en-US" w:eastAsia="zh-CN"/>
              </w:rPr>
            </w:pPr>
            <w:r>
              <w:rPr>
                <w:rFonts w:hint="eastAsia" w:ascii="仿宋" w:hAnsi="仿宋" w:eastAsia="仿宋" w:cs="仿宋"/>
                <w:color w:val="auto"/>
                <w:highlight w:val="none"/>
                <w:lang w:eastAsia="zh-CN"/>
              </w:rPr>
              <w:t>履约期限：</w:t>
            </w:r>
            <w:r>
              <w:rPr>
                <w:rFonts w:hint="eastAsia" w:ascii="仿宋" w:hAnsi="仿宋" w:eastAsia="仿宋" w:cs="仿宋"/>
                <w:b w:val="0"/>
                <w:bCs w:val="0"/>
                <w:color w:val="auto"/>
                <w:sz w:val="24"/>
                <w:szCs w:val="24"/>
                <w:highlight w:val="none"/>
                <w:lang w:val="en-US" w:eastAsia="zh-CN"/>
              </w:rPr>
              <w:t>1年（自合同之日起算）。</w:t>
            </w:r>
          </w:p>
        </w:tc>
      </w:tr>
      <w:tr w14:paraId="1A5D5314">
        <w:tblPrEx>
          <w:tblCellMar>
            <w:top w:w="0" w:type="dxa"/>
            <w:left w:w="108" w:type="dxa"/>
            <w:bottom w:w="0" w:type="dxa"/>
            <w:right w:w="108" w:type="dxa"/>
          </w:tblCellMar>
        </w:tblPrEx>
        <w:trPr>
          <w:trHeight w:val="85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7F16D03">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2</w:t>
            </w:r>
          </w:p>
        </w:tc>
        <w:tc>
          <w:tcPr>
            <w:tcW w:w="1694" w:type="dxa"/>
            <w:tcBorders>
              <w:top w:val="single" w:color="auto" w:sz="4" w:space="0"/>
              <w:left w:val="single" w:color="auto" w:sz="4" w:space="0"/>
              <w:bottom w:val="single" w:color="auto" w:sz="4" w:space="0"/>
              <w:right w:val="single" w:color="auto" w:sz="4" w:space="0"/>
            </w:tcBorders>
            <w:vAlign w:val="center"/>
          </w:tcPr>
          <w:p w14:paraId="5DB9F4EB">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69" w:type="dxa"/>
            <w:tcBorders>
              <w:top w:val="single" w:color="auto" w:sz="4" w:space="0"/>
              <w:left w:val="single" w:color="auto" w:sz="4" w:space="0"/>
              <w:bottom w:val="single" w:color="auto" w:sz="4" w:space="0"/>
              <w:right w:val="single" w:color="auto" w:sz="4" w:space="0"/>
            </w:tcBorders>
            <w:vAlign w:val="center"/>
          </w:tcPr>
          <w:p w14:paraId="7D505315">
            <w:pPr>
              <w:spacing w:line="360" w:lineRule="auto"/>
              <w:rPr>
                <w:rFonts w:ascii="仿宋" w:hAnsi="仿宋" w:eastAsia="仿宋" w:cs="仿宋"/>
                <w:color w:val="auto"/>
                <w:lang w:eastAsia="zh-CN"/>
              </w:rPr>
            </w:pPr>
            <w:r>
              <w:rPr>
                <w:rFonts w:hint="eastAsia" w:ascii="仿宋" w:hAnsi="仿宋" w:eastAsia="仿宋" w:cs="仿宋"/>
                <w:color w:val="auto"/>
                <w:lang w:eastAsia="zh-CN"/>
              </w:rPr>
              <w:t>名  称： 阿图什市第一中学</w:t>
            </w:r>
          </w:p>
          <w:p w14:paraId="2D3CE790">
            <w:p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联系人：王</w:t>
            </w:r>
            <w:r>
              <w:rPr>
                <w:rFonts w:hint="eastAsia" w:ascii="仿宋" w:hAnsi="仿宋" w:eastAsia="仿宋" w:cs="仿宋"/>
                <w:color w:val="auto"/>
                <w:lang w:val="en-US" w:eastAsia="zh-CN"/>
              </w:rPr>
              <w:t xml:space="preserve">先生   </w:t>
            </w:r>
            <w:r>
              <w:rPr>
                <w:rFonts w:hint="eastAsia" w:ascii="仿宋" w:hAnsi="仿宋" w:eastAsia="仿宋" w:cs="仿宋"/>
                <w:color w:val="auto"/>
                <w:lang w:eastAsia="zh-CN"/>
              </w:rPr>
              <w:t xml:space="preserve">  电  话：</w:t>
            </w:r>
            <w:r>
              <w:rPr>
                <w:rFonts w:hint="eastAsia" w:ascii="仿宋" w:hAnsi="仿宋" w:eastAsia="仿宋" w:cs="仿宋"/>
                <w:color w:val="auto"/>
                <w:lang w:val="en-US" w:eastAsia="zh-CN"/>
              </w:rPr>
              <w:t>15809081887</w:t>
            </w:r>
          </w:p>
        </w:tc>
      </w:tr>
      <w:tr w14:paraId="59F01E98">
        <w:tblPrEx>
          <w:tblCellMar>
            <w:top w:w="0" w:type="dxa"/>
            <w:left w:w="108" w:type="dxa"/>
            <w:bottom w:w="0" w:type="dxa"/>
            <w:right w:w="108" w:type="dxa"/>
          </w:tblCellMar>
        </w:tblPrEx>
        <w:trPr>
          <w:trHeight w:val="1242"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6CA8B3D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3</w:t>
            </w:r>
          </w:p>
        </w:tc>
        <w:tc>
          <w:tcPr>
            <w:tcW w:w="1694" w:type="dxa"/>
            <w:tcBorders>
              <w:top w:val="single" w:color="auto" w:sz="4" w:space="0"/>
              <w:left w:val="single" w:color="auto" w:sz="4" w:space="0"/>
              <w:bottom w:val="single" w:color="auto" w:sz="4" w:space="0"/>
              <w:right w:val="single" w:color="auto" w:sz="4" w:space="0"/>
            </w:tcBorders>
            <w:vAlign w:val="center"/>
          </w:tcPr>
          <w:p w14:paraId="33E0BD83">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采购代理机构</w:t>
            </w:r>
          </w:p>
        </w:tc>
        <w:tc>
          <w:tcPr>
            <w:tcW w:w="7869" w:type="dxa"/>
            <w:tcBorders>
              <w:top w:val="single" w:color="auto" w:sz="4" w:space="0"/>
              <w:left w:val="single" w:color="auto" w:sz="4" w:space="0"/>
              <w:bottom w:val="single" w:color="auto" w:sz="4" w:space="0"/>
              <w:right w:val="single" w:color="auto" w:sz="4" w:space="0"/>
            </w:tcBorders>
            <w:vAlign w:val="center"/>
          </w:tcPr>
          <w:p w14:paraId="7BA98276">
            <w:pPr>
              <w:spacing w:line="360" w:lineRule="auto"/>
              <w:rPr>
                <w:rFonts w:ascii="仿宋" w:hAnsi="仿宋" w:eastAsia="仿宋" w:cs="仿宋"/>
                <w:color w:val="auto"/>
                <w:lang w:eastAsia="zh-CN"/>
              </w:rPr>
            </w:pPr>
            <w:r>
              <w:rPr>
                <w:rFonts w:hint="eastAsia" w:ascii="仿宋" w:hAnsi="仿宋" w:eastAsia="仿宋" w:cs="仿宋"/>
                <w:color w:val="auto"/>
                <w:lang w:eastAsia="zh-CN"/>
              </w:rPr>
              <w:t>名  称：</w:t>
            </w:r>
            <w:r>
              <w:rPr>
                <w:rFonts w:hint="eastAsia" w:ascii="仿宋" w:hAnsi="仿宋" w:eastAsia="仿宋" w:cs="仿宋"/>
                <w:color w:val="auto"/>
                <w:highlight w:val="none"/>
                <w:lang w:eastAsia="zh-CN"/>
              </w:rPr>
              <w:t>鼎建项目管理有限公司</w:t>
            </w:r>
          </w:p>
          <w:p w14:paraId="654B4581">
            <w:pPr>
              <w:spacing w:line="360" w:lineRule="auto"/>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highlight w:val="none"/>
                <w:lang w:eastAsia="zh-CN"/>
              </w:rPr>
              <w:t>阿图什市光明北路12号博格拉A座四楼</w:t>
            </w:r>
          </w:p>
          <w:p w14:paraId="100A6FE1">
            <w:pPr>
              <w:spacing w:line="360" w:lineRule="auto"/>
              <w:rPr>
                <w:rFonts w:ascii="仿宋" w:hAnsi="仿宋" w:eastAsia="仿宋" w:cs="仿宋"/>
                <w:color w:val="auto"/>
                <w:lang w:eastAsia="zh-CN"/>
              </w:rPr>
            </w:pPr>
            <w:r>
              <w:rPr>
                <w:rFonts w:hint="eastAsia" w:ascii="仿宋" w:hAnsi="仿宋" w:eastAsia="仿宋" w:cs="仿宋"/>
                <w:color w:val="auto"/>
                <w:lang w:eastAsia="zh-CN"/>
              </w:rPr>
              <w:t>联系人：</w:t>
            </w:r>
            <w:r>
              <w:rPr>
                <w:rFonts w:hint="eastAsia" w:ascii="仿宋" w:hAnsi="仿宋" w:eastAsia="仿宋" w:cs="仿宋"/>
                <w:color w:val="auto"/>
                <w:highlight w:val="none"/>
                <w:lang w:eastAsia="zh-CN"/>
              </w:rPr>
              <w:t>朱先生</w:t>
            </w:r>
            <w:r>
              <w:rPr>
                <w:rFonts w:hint="eastAsia" w:ascii="仿宋" w:hAnsi="仿宋" w:eastAsia="仿宋" w:cs="仿宋"/>
                <w:color w:val="auto"/>
                <w:lang w:eastAsia="zh-CN"/>
              </w:rPr>
              <w:t xml:space="preserve">    电  话：</w:t>
            </w:r>
            <w:r>
              <w:rPr>
                <w:rFonts w:hint="eastAsia" w:ascii="仿宋" w:hAnsi="仿宋" w:eastAsia="仿宋" w:cs="仿宋"/>
                <w:color w:val="auto"/>
                <w:highlight w:val="none"/>
                <w:lang w:val="en-US" w:eastAsia="zh-CN"/>
              </w:rPr>
              <w:t>18609088999</w:t>
            </w:r>
          </w:p>
        </w:tc>
      </w:tr>
      <w:tr w14:paraId="25095000">
        <w:tblPrEx>
          <w:tblCellMar>
            <w:top w:w="0" w:type="dxa"/>
            <w:left w:w="108" w:type="dxa"/>
            <w:bottom w:w="0" w:type="dxa"/>
            <w:right w:w="108" w:type="dxa"/>
          </w:tblCellMar>
        </w:tblPrEx>
        <w:trPr>
          <w:trHeight w:val="29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893F59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4</w:t>
            </w:r>
          </w:p>
        </w:tc>
        <w:tc>
          <w:tcPr>
            <w:tcW w:w="1694" w:type="dxa"/>
            <w:tcBorders>
              <w:top w:val="single" w:color="auto" w:sz="4" w:space="0"/>
              <w:left w:val="single" w:color="auto" w:sz="4" w:space="0"/>
              <w:bottom w:val="single" w:color="auto" w:sz="4" w:space="0"/>
              <w:right w:val="single" w:color="auto" w:sz="4" w:space="0"/>
            </w:tcBorders>
            <w:vAlign w:val="center"/>
          </w:tcPr>
          <w:p w14:paraId="0AF6C4A6">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最终</w:t>
            </w:r>
            <w:r>
              <w:rPr>
                <w:rFonts w:hint="eastAsia" w:ascii="仿宋" w:hAnsi="仿宋" w:eastAsia="仿宋" w:cs="仿宋"/>
                <w:color w:val="auto"/>
                <w:highlight w:val="none"/>
                <w:lang w:eastAsia="zh-CN"/>
              </w:rPr>
              <w:t>服务地点</w:t>
            </w:r>
          </w:p>
        </w:tc>
        <w:tc>
          <w:tcPr>
            <w:tcW w:w="7869" w:type="dxa"/>
            <w:tcBorders>
              <w:top w:val="single" w:color="auto" w:sz="4" w:space="0"/>
              <w:left w:val="single" w:color="auto" w:sz="4" w:space="0"/>
              <w:bottom w:val="single" w:color="auto" w:sz="4" w:space="0"/>
              <w:right w:val="single" w:color="auto" w:sz="4" w:space="0"/>
            </w:tcBorders>
            <w:vAlign w:val="center"/>
          </w:tcPr>
          <w:p w14:paraId="2E563F77">
            <w:pPr>
              <w:spacing w:line="360" w:lineRule="auto"/>
              <w:rPr>
                <w:rFonts w:ascii="仿宋" w:hAnsi="仿宋" w:eastAsia="仿宋" w:cs="仿宋"/>
                <w:color w:val="auto"/>
                <w:lang w:eastAsia="zh-CN"/>
              </w:rPr>
            </w:pPr>
            <w:r>
              <w:rPr>
                <w:rFonts w:hint="eastAsia" w:ascii="仿宋" w:hAnsi="仿宋" w:eastAsia="仿宋" w:cs="仿宋"/>
                <w:color w:val="auto"/>
                <w:lang w:eastAsia="zh-CN"/>
              </w:rPr>
              <w:t>采购单位指定地点</w:t>
            </w:r>
          </w:p>
        </w:tc>
      </w:tr>
      <w:tr w14:paraId="55D9C4EF">
        <w:tblPrEx>
          <w:tblCellMar>
            <w:top w:w="0" w:type="dxa"/>
            <w:left w:w="108" w:type="dxa"/>
            <w:bottom w:w="0" w:type="dxa"/>
            <w:right w:w="108" w:type="dxa"/>
          </w:tblCellMar>
        </w:tblPrEx>
        <w:trPr>
          <w:trHeight w:val="45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571DCD9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5</w:t>
            </w:r>
          </w:p>
        </w:tc>
        <w:tc>
          <w:tcPr>
            <w:tcW w:w="1694" w:type="dxa"/>
            <w:tcBorders>
              <w:top w:val="single" w:color="auto" w:sz="4" w:space="0"/>
              <w:left w:val="single" w:color="auto" w:sz="4" w:space="0"/>
              <w:bottom w:val="single" w:color="auto" w:sz="4" w:space="0"/>
              <w:right w:val="single" w:color="auto" w:sz="4" w:space="0"/>
            </w:tcBorders>
            <w:vAlign w:val="center"/>
          </w:tcPr>
          <w:p w14:paraId="6118D12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资格要求</w:t>
            </w:r>
          </w:p>
        </w:tc>
        <w:tc>
          <w:tcPr>
            <w:tcW w:w="7869" w:type="dxa"/>
            <w:tcBorders>
              <w:top w:val="single" w:color="auto" w:sz="4" w:space="0"/>
              <w:left w:val="single" w:color="auto" w:sz="4" w:space="0"/>
              <w:bottom w:val="single" w:color="auto" w:sz="4" w:space="0"/>
              <w:right w:val="single" w:color="auto" w:sz="4" w:space="0"/>
            </w:tcBorders>
            <w:vAlign w:val="center"/>
          </w:tcPr>
          <w:p w14:paraId="3C6920BD">
            <w:pPr>
              <w:spacing w:line="360" w:lineRule="auto"/>
              <w:rPr>
                <w:rFonts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14:paraId="5CBF30FA">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lang w:eastAsia="zh-CN"/>
              </w:rPr>
              <w:t>2.落实政府采购政策需满足的资格要求：</w:t>
            </w:r>
            <w:r>
              <w:rPr>
                <w:rFonts w:hint="eastAsia" w:ascii="仿宋" w:hAnsi="仿宋" w:eastAsia="仿宋" w:cs="仿宋"/>
                <w:color w:val="auto"/>
                <w:highlight w:val="none"/>
                <w:lang w:val="en-US" w:eastAsia="zh-CN"/>
              </w:rPr>
              <w:t>供应商为中小微企业。</w:t>
            </w:r>
          </w:p>
          <w:p w14:paraId="0D7B3706">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3.本项目的特定资格要求：</w:t>
            </w:r>
          </w:p>
          <w:p w14:paraId="4087BADC">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（1）具备三证合一营业执照副本；</w:t>
            </w:r>
          </w:p>
          <w:p w14:paraId="1FD8492E">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（2）法定代表人投标需提供法定代表人资格证明书，委托代理人投标需提供法定代表人授权委托书；</w:t>
            </w:r>
          </w:p>
          <w:p w14:paraId="307A8183">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（3）投标企业须提供投标人（被授权在职人员）近6个月内任意一个月有效的社保证明；</w:t>
            </w:r>
          </w:p>
          <w:p w14:paraId="11F051CF">
            <w:pPr>
              <w:spacing w:line="360" w:lineRule="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color w:val="auto"/>
                <w:lang w:val="en-US" w:eastAsia="zh-CN"/>
              </w:rPr>
              <w:t>（4）参加政府采购</w:t>
            </w:r>
            <w:r>
              <w:rPr>
                <w:rFonts w:hint="eastAsia" w:ascii="仿宋" w:hAnsi="仿宋" w:eastAsia="仿宋" w:cs="仿宋"/>
                <w:b w:val="0"/>
                <w:bCs w:val="0"/>
                <w:i w:val="0"/>
                <w:iCs w:val="0"/>
                <w:caps w:val="0"/>
                <w:color w:val="000000"/>
                <w:spacing w:val="0"/>
                <w:sz w:val="24"/>
                <w:szCs w:val="24"/>
                <w:lang w:val="en-US" w:eastAsia="zh-CN"/>
              </w:rPr>
              <w:t>活动前三年内，在经营活动中没有重大违法记录；未被“信用中国”（www.creditchina.gov.cn）、中国政府采购网（www.ccgp.gov.cn）列入失信被执行人、税收违法黑名单、政府采购严重违法失信行为记录名单。</w:t>
            </w:r>
          </w:p>
          <w:p w14:paraId="4436ED81">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0"/>
              <w:jc w:val="left"/>
              <w:textAlignment w:val="auto"/>
              <w:rPr>
                <w:rFonts w:ascii="仿宋" w:hAnsi="仿宋" w:eastAsia="仿宋" w:cs="仿宋"/>
                <w:color w:val="auto"/>
                <w:lang w:eastAsia="zh-CN"/>
              </w:rPr>
            </w:pPr>
            <w:r>
              <w:rPr>
                <w:rFonts w:hint="eastAsia" w:ascii="仿宋" w:hAnsi="仿宋" w:eastAsia="仿宋" w:cs="仿宋"/>
                <w:color w:val="auto"/>
                <w:lang w:eastAsia="zh-CN"/>
              </w:rPr>
              <w:t>4.本项目不接受联合体投标。</w:t>
            </w:r>
          </w:p>
        </w:tc>
      </w:tr>
      <w:tr w14:paraId="31821FF2">
        <w:tblPrEx>
          <w:tblCellMar>
            <w:top w:w="0" w:type="dxa"/>
            <w:left w:w="108" w:type="dxa"/>
            <w:bottom w:w="0" w:type="dxa"/>
            <w:right w:w="108" w:type="dxa"/>
          </w:tblCellMar>
        </w:tblPrEx>
        <w:trPr>
          <w:trHeight w:val="9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60D57965">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6</w:t>
            </w:r>
          </w:p>
        </w:tc>
        <w:tc>
          <w:tcPr>
            <w:tcW w:w="1694" w:type="dxa"/>
            <w:tcBorders>
              <w:top w:val="single" w:color="auto" w:sz="4" w:space="0"/>
              <w:left w:val="single" w:color="auto" w:sz="4" w:space="0"/>
              <w:bottom w:val="single" w:color="auto" w:sz="4" w:space="0"/>
              <w:right w:val="single" w:color="auto" w:sz="4" w:space="0"/>
            </w:tcBorders>
            <w:vAlign w:val="center"/>
          </w:tcPr>
          <w:p w14:paraId="1C17F10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资金来源</w:t>
            </w:r>
          </w:p>
        </w:tc>
        <w:tc>
          <w:tcPr>
            <w:tcW w:w="7869" w:type="dxa"/>
            <w:tcBorders>
              <w:top w:val="single" w:color="auto" w:sz="4" w:space="0"/>
              <w:left w:val="single" w:color="auto" w:sz="4" w:space="0"/>
              <w:bottom w:val="single" w:color="auto" w:sz="4" w:space="0"/>
              <w:right w:val="single" w:color="auto" w:sz="4" w:space="0"/>
            </w:tcBorders>
            <w:vAlign w:val="center"/>
          </w:tcPr>
          <w:p w14:paraId="6FF0D5D9">
            <w:pPr>
              <w:spacing w:line="360" w:lineRule="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自筹资金</w:t>
            </w:r>
          </w:p>
        </w:tc>
      </w:tr>
      <w:tr w14:paraId="67EBF243">
        <w:tblPrEx>
          <w:tblCellMar>
            <w:top w:w="0" w:type="dxa"/>
            <w:left w:w="108" w:type="dxa"/>
            <w:bottom w:w="0" w:type="dxa"/>
            <w:right w:w="108" w:type="dxa"/>
          </w:tblCellMar>
        </w:tblPrEx>
        <w:trPr>
          <w:trHeight w:val="9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57A88CC3">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7</w:t>
            </w:r>
          </w:p>
        </w:tc>
        <w:tc>
          <w:tcPr>
            <w:tcW w:w="1694" w:type="dxa"/>
            <w:tcBorders>
              <w:top w:val="single" w:color="auto" w:sz="4" w:space="0"/>
              <w:left w:val="single" w:color="auto" w:sz="4" w:space="0"/>
              <w:bottom w:val="single" w:color="auto" w:sz="4" w:space="0"/>
              <w:right w:val="single" w:color="auto" w:sz="4" w:space="0"/>
            </w:tcBorders>
            <w:vAlign w:val="center"/>
          </w:tcPr>
          <w:p w14:paraId="4C745E1B">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付款方式</w:t>
            </w:r>
          </w:p>
        </w:tc>
        <w:tc>
          <w:tcPr>
            <w:tcW w:w="7869" w:type="dxa"/>
            <w:tcBorders>
              <w:top w:val="single" w:color="auto" w:sz="4" w:space="0"/>
              <w:left w:val="single" w:color="auto" w:sz="4" w:space="0"/>
              <w:bottom w:val="single" w:color="auto" w:sz="4" w:space="0"/>
              <w:right w:val="single" w:color="auto" w:sz="4" w:space="0"/>
            </w:tcBorders>
            <w:vAlign w:val="center"/>
          </w:tcPr>
          <w:p w14:paraId="12F755AD">
            <w:pPr>
              <w:spacing w:line="360" w:lineRule="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甲乙双方签订合同约定。</w:t>
            </w:r>
          </w:p>
        </w:tc>
      </w:tr>
      <w:tr w14:paraId="73802A96">
        <w:tblPrEx>
          <w:tblCellMar>
            <w:top w:w="0" w:type="dxa"/>
            <w:left w:w="108" w:type="dxa"/>
            <w:bottom w:w="0" w:type="dxa"/>
            <w:right w:w="108" w:type="dxa"/>
          </w:tblCellMar>
        </w:tblPrEx>
        <w:trPr>
          <w:trHeight w:val="52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7F287AA">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8</w:t>
            </w:r>
          </w:p>
        </w:tc>
        <w:tc>
          <w:tcPr>
            <w:tcW w:w="1694" w:type="dxa"/>
            <w:tcBorders>
              <w:top w:val="single" w:color="auto" w:sz="4" w:space="0"/>
              <w:left w:val="single" w:color="auto" w:sz="4" w:space="0"/>
              <w:bottom w:val="single" w:color="auto" w:sz="4" w:space="0"/>
              <w:right w:val="single" w:color="auto" w:sz="4" w:space="0"/>
            </w:tcBorders>
            <w:vAlign w:val="center"/>
          </w:tcPr>
          <w:p w14:paraId="77F9F8F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招标方式</w:t>
            </w:r>
          </w:p>
        </w:tc>
        <w:tc>
          <w:tcPr>
            <w:tcW w:w="7869" w:type="dxa"/>
            <w:tcBorders>
              <w:top w:val="single" w:color="auto" w:sz="4" w:space="0"/>
              <w:left w:val="single" w:color="auto" w:sz="4" w:space="0"/>
              <w:bottom w:val="single" w:color="auto" w:sz="4" w:space="0"/>
              <w:right w:val="single" w:color="auto" w:sz="4" w:space="0"/>
            </w:tcBorders>
            <w:vAlign w:val="center"/>
          </w:tcPr>
          <w:p w14:paraId="288B20DC">
            <w:pPr>
              <w:spacing w:line="360" w:lineRule="auto"/>
              <w:rPr>
                <w:rFonts w:ascii="仿宋" w:hAnsi="仿宋" w:eastAsia="仿宋" w:cs="仿宋"/>
                <w:color w:val="auto"/>
                <w:lang w:eastAsia="zh-CN"/>
              </w:rPr>
            </w:pPr>
            <w:r>
              <w:rPr>
                <w:rFonts w:hint="eastAsia" w:ascii="仿宋" w:hAnsi="仿宋" w:eastAsia="仿宋" w:cs="仿宋"/>
                <w:color w:val="auto"/>
                <w:lang w:val="en-US" w:eastAsia="zh-CN"/>
              </w:rPr>
              <w:t>竞争性磋商</w:t>
            </w:r>
            <w:r>
              <w:rPr>
                <w:rFonts w:hint="eastAsia" w:ascii="仿宋" w:hAnsi="仿宋" w:eastAsia="仿宋" w:cs="仿宋"/>
                <w:color w:val="auto"/>
                <w:lang w:eastAsia="zh-CN"/>
              </w:rPr>
              <w:t xml:space="preserve">(本项目采用网上电子招投标)  </w:t>
            </w:r>
          </w:p>
        </w:tc>
      </w:tr>
      <w:tr w14:paraId="7751FF0E">
        <w:tblPrEx>
          <w:tblCellMar>
            <w:top w:w="0" w:type="dxa"/>
            <w:left w:w="108" w:type="dxa"/>
            <w:bottom w:w="0" w:type="dxa"/>
            <w:right w:w="108" w:type="dxa"/>
          </w:tblCellMar>
        </w:tblPrEx>
        <w:trPr>
          <w:trHeight w:val="401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81FFC5C">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9</w:t>
            </w:r>
          </w:p>
        </w:tc>
        <w:tc>
          <w:tcPr>
            <w:tcW w:w="1694" w:type="dxa"/>
            <w:tcBorders>
              <w:top w:val="single" w:color="auto" w:sz="4" w:space="0"/>
              <w:left w:val="single" w:color="auto" w:sz="4" w:space="0"/>
              <w:bottom w:val="single" w:color="auto" w:sz="4" w:space="0"/>
              <w:right w:val="single" w:color="auto" w:sz="4" w:space="0"/>
            </w:tcBorders>
            <w:vAlign w:val="center"/>
          </w:tcPr>
          <w:p w14:paraId="20D90F3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供应商信用查询</w:t>
            </w:r>
          </w:p>
        </w:tc>
        <w:tc>
          <w:tcPr>
            <w:tcW w:w="7869" w:type="dxa"/>
            <w:tcBorders>
              <w:top w:val="single" w:color="auto" w:sz="4" w:space="0"/>
              <w:left w:val="single" w:color="auto" w:sz="4" w:space="0"/>
              <w:bottom w:val="single" w:color="auto" w:sz="4" w:space="0"/>
              <w:right w:val="single" w:color="auto" w:sz="4" w:space="0"/>
            </w:tcBorders>
            <w:vAlign w:val="center"/>
          </w:tcPr>
          <w:p w14:paraId="40A010D5">
            <w:pPr>
              <w:spacing w:line="360" w:lineRule="auto"/>
              <w:rPr>
                <w:rFonts w:ascii="仿宋" w:hAnsi="仿宋" w:eastAsia="仿宋" w:cs="仿宋"/>
                <w:color w:val="auto"/>
                <w:lang w:eastAsia="zh-CN"/>
              </w:rPr>
            </w:pPr>
            <w:r>
              <w:rPr>
                <w:rFonts w:hint="eastAsia" w:ascii="仿宋" w:hAnsi="仿宋" w:eastAsia="仿宋" w:cs="仿宋"/>
                <w:color w:val="auto"/>
                <w:lang w:eastAsia="zh-CN"/>
              </w:rPr>
              <w:t>1、查询渠道：信用中国（网址：http://www.creditchina.gov.cn）、中国政府采购网(网址：http://www.ccgp.gov.cn）。</w:t>
            </w:r>
          </w:p>
          <w:p w14:paraId="3A323F2D">
            <w:pPr>
              <w:spacing w:line="360" w:lineRule="auto"/>
              <w:rPr>
                <w:rFonts w:ascii="仿宋" w:hAnsi="仿宋" w:eastAsia="仿宋" w:cs="仿宋"/>
                <w:color w:val="auto"/>
                <w:lang w:eastAsia="zh-CN"/>
              </w:rPr>
            </w:pPr>
            <w:r>
              <w:rPr>
                <w:rFonts w:hint="eastAsia" w:ascii="仿宋" w:hAnsi="仿宋" w:eastAsia="仿宋" w:cs="仿宋"/>
                <w:color w:val="auto"/>
                <w:lang w:eastAsia="zh-CN"/>
              </w:rPr>
              <w:t>2、截止时点：开标后评标前。</w:t>
            </w:r>
          </w:p>
          <w:p w14:paraId="0F5AD5CC">
            <w:pPr>
              <w:spacing w:line="360" w:lineRule="auto"/>
              <w:rPr>
                <w:rFonts w:ascii="仿宋" w:hAnsi="仿宋" w:eastAsia="仿宋" w:cs="仿宋"/>
                <w:color w:val="auto"/>
                <w:lang w:eastAsia="zh-CN"/>
              </w:rPr>
            </w:pPr>
            <w:r>
              <w:rPr>
                <w:rFonts w:hint="eastAsia" w:ascii="仿宋" w:hAnsi="仿宋" w:eastAsia="仿宋" w:cs="仿宋"/>
                <w:color w:val="auto"/>
                <w:lang w:eastAsia="zh-CN"/>
              </w:rPr>
              <w:t>3、信用信息查询记录和证据留存的具体方式：由采购组织机构在规定查询时间内打印信用信息查询记录并归入项目档案。</w:t>
            </w:r>
          </w:p>
          <w:p w14:paraId="486028ED">
            <w:pPr>
              <w:spacing w:line="360" w:lineRule="auto"/>
              <w:rPr>
                <w:rFonts w:ascii="仿宋" w:hAnsi="仿宋" w:eastAsia="仿宋" w:cs="仿宋"/>
                <w:color w:val="auto"/>
                <w:lang w:eastAsia="zh-CN"/>
              </w:rPr>
            </w:pPr>
            <w:r>
              <w:rPr>
                <w:rFonts w:hint="eastAsia" w:ascii="仿宋" w:hAnsi="仿宋" w:eastAsia="仿宋" w:cs="仿宋"/>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4F7C33B6">
        <w:tblPrEx>
          <w:tblCellMar>
            <w:top w:w="0" w:type="dxa"/>
            <w:left w:w="108" w:type="dxa"/>
            <w:bottom w:w="0" w:type="dxa"/>
            <w:right w:w="108" w:type="dxa"/>
          </w:tblCellMar>
        </w:tblPrEx>
        <w:trPr>
          <w:trHeight w:val="725"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1FA03B0E">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10</w:t>
            </w:r>
          </w:p>
        </w:tc>
        <w:tc>
          <w:tcPr>
            <w:tcW w:w="1694" w:type="dxa"/>
            <w:tcBorders>
              <w:top w:val="single" w:color="auto" w:sz="4" w:space="0"/>
              <w:left w:val="single" w:color="auto" w:sz="4" w:space="0"/>
              <w:bottom w:val="single" w:color="auto" w:sz="4" w:space="0"/>
              <w:right w:val="single" w:color="auto" w:sz="4" w:space="0"/>
            </w:tcBorders>
            <w:vAlign w:val="center"/>
          </w:tcPr>
          <w:p w14:paraId="05B03860">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869" w:type="dxa"/>
            <w:tcBorders>
              <w:top w:val="single" w:color="auto" w:sz="4" w:space="0"/>
              <w:left w:val="single" w:color="auto" w:sz="4" w:space="0"/>
              <w:bottom w:val="single" w:color="auto" w:sz="4" w:space="0"/>
              <w:right w:val="single" w:color="auto" w:sz="4" w:space="0"/>
            </w:tcBorders>
            <w:vAlign w:val="center"/>
          </w:tcPr>
          <w:p w14:paraId="03C12FDE">
            <w:pPr>
              <w:spacing w:line="360" w:lineRule="auto"/>
              <w:rPr>
                <w:rFonts w:ascii="仿宋" w:hAnsi="仿宋" w:eastAsia="仿宋" w:cs="仿宋"/>
                <w:color w:val="auto"/>
                <w:lang w:eastAsia="zh-CN"/>
              </w:rPr>
            </w:pPr>
            <w:r>
              <w:rPr>
                <w:rFonts w:hint="eastAsia" w:ascii="仿宋" w:hAnsi="仿宋" w:eastAsia="仿宋" w:cs="仿宋"/>
                <w:color w:val="auto"/>
                <w:lang w:eastAsia="zh-CN"/>
              </w:rPr>
              <w:t>■不接受</w:t>
            </w:r>
          </w:p>
          <w:p w14:paraId="187959D0">
            <w:pPr>
              <w:spacing w:line="360" w:lineRule="auto"/>
              <w:rPr>
                <w:rFonts w:ascii="仿宋" w:hAnsi="仿宋" w:eastAsia="仿宋" w:cs="仿宋"/>
                <w:color w:val="auto"/>
                <w:lang w:eastAsia="zh-CN"/>
              </w:rPr>
            </w:pPr>
            <w:r>
              <w:rPr>
                <w:rFonts w:hint="eastAsia" w:ascii="仿宋" w:hAnsi="仿宋" w:eastAsia="仿宋" w:cs="仿宋"/>
                <w:color w:val="auto"/>
                <w:lang w:eastAsia="zh-CN"/>
              </w:rPr>
              <w:t>□接  受</w:t>
            </w:r>
          </w:p>
        </w:tc>
      </w:tr>
      <w:tr w14:paraId="1BF641B7">
        <w:tblPrEx>
          <w:tblCellMar>
            <w:top w:w="0" w:type="dxa"/>
            <w:left w:w="108" w:type="dxa"/>
            <w:bottom w:w="0" w:type="dxa"/>
            <w:right w:w="108" w:type="dxa"/>
          </w:tblCellMar>
        </w:tblPrEx>
        <w:trPr>
          <w:trHeight w:val="868"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B613FD6">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11</w:t>
            </w:r>
          </w:p>
        </w:tc>
        <w:tc>
          <w:tcPr>
            <w:tcW w:w="1694" w:type="dxa"/>
            <w:tcBorders>
              <w:top w:val="single" w:color="auto" w:sz="4" w:space="0"/>
              <w:left w:val="single" w:color="auto" w:sz="4" w:space="0"/>
              <w:bottom w:val="single" w:color="auto" w:sz="4" w:space="0"/>
              <w:right w:val="single" w:color="auto" w:sz="4" w:space="0"/>
            </w:tcBorders>
            <w:vAlign w:val="center"/>
          </w:tcPr>
          <w:p w14:paraId="4C009DA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869" w:type="dxa"/>
            <w:tcBorders>
              <w:top w:val="single" w:color="auto" w:sz="4" w:space="0"/>
              <w:left w:val="single" w:color="auto" w:sz="4" w:space="0"/>
              <w:bottom w:val="single" w:color="auto" w:sz="4" w:space="0"/>
              <w:right w:val="single" w:color="auto" w:sz="4" w:space="0"/>
            </w:tcBorders>
            <w:vAlign w:val="center"/>
          </w:tcPr>
          <w:p w14:paraId="4CE02B4F">
            <w:pPr>
              <w:spacing w:line="360" w:lineRule="auto"/>
              <w:rPr>
                <w:rFonts w:ascii="仿宋" w:hAnsi="仿宋" w:eastAsia="仿宋" w:cs="仿宋"/>
                <w:color w:val="auto"/>
                <w:lang w:eastAsia="zh-CN"/>
              </w:rPr>
            </w:pPr>
            <w:r>
              <w:rPr>
                <w:rFonts w:hint="eastAsia" w:ascii="仿宋" w:hAnsi="仿宋" w:eastAsia="仿宋" w:cs="仿宋"/>
                <w:color w:val="auto"/>
                <w:lang w:eastAsia="zh-CN"/>
              </w:rPr>
              <w:t>截止时间：</w:t>
            </w:r>
            <w:r>
              <w:rPr>
                <w:rFonts w:hint="eastAsia" w:ascii="仿宋" w:hAnsi="仿宋" w:eastAsia="仿宋" w:cs="仿宋"/>
                <w:color w:val="auto"/>
                <w:kern w:val="2"/>
                <w:lang w:eastAsia="zh-CN" w:bidi="ar-SA"/>
              </w:rPr>
              <w:t>2</w:t>
            </w:r>
            <w:r>
              <w:rPr>
                <w:rFonts w:hint="eastAsia" w:ascii="仿宋" w:hAnsi="仿宋" w:eastAsia="仿宋" w:cs="仿宋"/>
                <w:color w:val="auto"/>
                <w:kern w:val="2"/>
                <w:lang w:eastAsia="zh-CN" w:bidi="ar-SA"/>
              </w:rPr>
              <w:t>02</w:t>
            </w:r>
            <w:r>
              <w:rPr>
                <w:rFonts w:hint="eastAsia" w:ascii="仿宋" w:hAnsi="仿宋" w:eastAsia="仿宋" w:cs="仿宋"/>
                <w:color w:val="auto"/>
                <w:kern w:val="2"/>
                <w:lang w:val="en-US" w:eastAsia="zh-CN" w:bidi="ar-SA"/>
              </w:rPr>
              <w:t>5</w:t>
            </w:r>
            <w:r>
              <w:rPr>
                <w:rFonts w:hint="eastAsia" w:ascii="仿宋" w:hAnsi="仿宋" w:eastAsia="仿宋" w:cs="仿宋"/>
                <w:color w:val="auto"/>
                <w:kern w:val="2"/>
                <w:lang w:eastAsia="zh-CN" w:bidi="ar-SA"/>
              </w:rPr>
              <w:t>年</w:t>
            </w:r>
            <w:r>
              <w:rPr>
                <w:rFonts w:hint="eastAsia" w:ascii="仿宋" w:hAnsi="仿宋" w:eastAsia="仿宋" w:cs="仿宋"/>
                <w:color w:val="auto"/>
                <w:kern w:val="2"/>
                <w:lang w:val="en-US" w:eastAsia="zh-CN" w:bidi="ar-SA"/>
              </w:rPr>
              <w:t>7</w:t>
            </w:r>
            <w:r>
              <w:rPr>
                <w:rFonts w:hint="eastAsia" w:ascii="仿宋" w:hAnsi="仿宋" w:eastAsia="仿宋" w:cs="仿宋"/>
                <w:color w:val="auto"/>
                <w:kern w:val="2"/>
                <w:u w:val="none"/>
                <w:lang w:val="en-US" w:eastAsia="zh-CN" w:bidi="ar-SA"/>
              </w:rPr>
              <w:t xml:space="preserve"> </w:t>
            </w:r>
            <w:r>
              <w:rPr>
                <w:rFonts w:hint="eastAsia" w:ascii="仿宋" w:hAnsi="仿宋" w:eastAsia="仿宋" w:cs="仿宋"/>
                <w:color w:val="auto"/>
                <w:kern w:val="2"/>
                <w:lang w:eastAsia="zh-CN" w:bidi="ar-SA"/>
              </w:rPr>
              <w:t>月</w:t>
            </w:r>
            <w:r>
              <w:rPr>
                <w:rFonts w:hint="eastAsia" w:ascii="仿宋" w:hAnsi="仿宋" w:eastAsia="仿宋" w:cs="仿宋"/>
                <w:color w:val="auto"/>
                <w:kern w:val="2"/>
                <w:lang w:val="en-US" w:eastAsia="zh-CN" w:bidi="ar-SA"/>
              </w:rPr>
              <w:t>28</w:t>
            </w:r>
            <w:r>
              <w:rPr>
                <w:rFonts w:hint="eastAsia" w:ascii="仿宋" w:hAnsi="仿宋" w:eastAsia="仿宋" w:cs="仿宋"/>
                <w:color w:val="auto"/>
                <w:kern w:val="2"/>
                <w:lang w:eastAsia="zh-CN" w:bidi="ar-SA"/>
              </w:rPr>
              <w:t>日</w:t>
            </w:r>
            <w:r>
              <w:rPr>
                <w:rFonts w:hint="eastAsia" w:ascii="仿宋" w:hAnsi="仿宋" w:eastAsia="仿宋" w:cs="仿宋"/>
                <w:color w:val="auto"/>
                <w:lang w:eastAsia="zh-CN"/>
              </w:rPr>
              <w:t>上午</w:t>
            </w:r>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15</w:t>
            </w:r>
            <w:r>
              <w:rPr>
                <w:rFonts w:hint="eastAsia" w:ascii="仿宋" w:hAnsi="仿宋" w:eastAsia="仿宋" w:cs="仿宋"/>
                <w:color w:val="auto"/>
                <w:lang w:eastAsia="zh-CN"/>
              </w:rPr>
              <w:t>分（北京时间）</w:t>
            </w:r>
          </w:p>
        </w:tc>
      </w:tr>
      <w:tr w14:paraId="52A75899">
        <w:tblPrEx>
          <w:tblCellMar>
            <w:top w:w="0" w:type="dxa"/>
            <w:left w:w="108" w:type="dxa"/>
            <w:bottom w:w="0" w:type="dxa"/>
            <w:right w:w="108" w:type="dxa"/>
          </w:tblCellMar>
        </w:tblPrEx>
        <w:trPr>
          <w:trHeight w:val="42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49AE841B">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12</w:t>
            </w:r>
          </w:p>
        </w:tc>
        <w:tc>
          <w:tcPr>
            <w:tcW w:w="1694" w:type="dxa"/>
            <w:tcBorders>
              <w:top w:val="single" w:color="auto" w:sz="4" w:space="0"/>
              <w:left w:val="single" w:color="auto" w:sz="4" w:space="0"/>
              <w:bottom w:val="single" w:color="auto" w:sz="4" w:space="0"/>
              <w:right w:val="single" w:color="auto" w:sz="4" w:space="0"/>
            </w:tcBorders>
            <w:vAlign w:val="center"/>
          </w:tcPr>
          <w:p w14:paraId="7AF3107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投标有效期</w:t>
            </w:r>
          </w:p>
        </w:tc>
        <w:tc>
          <w:tcPr>
            <w:tcW w:w="7869" w:type="dxa"/>
            <w:tcBorders>
              <w:top w:val="single" w:color="auto" w:sz="4" w:space="0"/>
              <w:left w:val="single" w:color="auto" w:sz="4" w:space="0"/>
              <w:bottom w:val="single" w:color="auto" w:sz="4" w:space="0"/>
              <w:right w:val="single" w:color="auto" w:sz="4" w:space="0"/>
            </w:tcBorders>
            <w:vAlign w:val="center"/>
          </w:tcPr>
          <w:p w14:paraId="20DCD1F2">
            <w:pPr>
              <w:spacing w:line="360" w:lineRule="auto"/>
              <w:rPr>
                <w:rFonts w:ascii="仿宋" w:hAnsi="仿宋" w:eastAsia="仿宋" w:cs="仿宋"/>
                <w:color w:val="auto"/>
                <w:lang w:eastAsia="zh-CN"/>
              </w:rPr>
            </w:pPr>
            <w:r>
              <w:rPr>
                <w:rFonts w:hint="eastAsia" w:ascii="仿宋" w:hAnsi="仿宋" w:eastAsia="仿宋" w:cs="仿宋"/>
                <w:color w:val="auto"/>
                <w:sz w:val="24"/>
                <w:szCs w:val="24"/>
                <w:highlight w:val="none"/>
                <w:lang w:val="en-US" w:eastAsia="zh-CN"/>
              </w:rPr>
              <w:t>投标有效期为</w:t>
            </w:r>
            <w:r>
              <w:rPr>
                <w:rFonts w:hint="eastAsia" w:ascii="仿宋" w:hAnsi="仿宋" w:eastAsia="仿宋" w:cs="仿宋"/>
                <w:color w:val="auto"/>
                <w:sz w:val="24"/>
                <w:szCs w:val="24"/>
                <w:highlight w:val="none"/>
                <w:u w:val="single"/>
                <w:lang w:val="en-US" w:eastAsia="zh-CN"/>
              </w:rPr>
              <w:t xml:space="preserve"> 60 日历</w:t>
            </w:r>
            <w:r>
              <w:rPr>
                <w:rFonts w:hint="eastAsia" w:ascii="仿宋" w:hAnsi="仿宋" w:eastAsia="仿宋" w:cs="仿宋"/>
                <w:color w:val="auto"/>
                <w:sz w:val="24"/>
                <w:szCs w:val="24"/>
                <w:highlight w:val="none"/>
                <w:lang w:val="en-US" w:eastAsia="zh-CN"/>
              </w:rPr>
              <w:t>天（从投标截止之日算起）。在此期限内，凡符合本竞争性磋商文件要求的投标文件均保持有效。</w:t>
            </w:r>
          </w:p>
        </w:tc>
      </w:tr>
      <w:tr w14:paraId="4EAC856C">
        <w:tblPrEx>
          <w:tblCellMar>
            <w:top w:w="0" w:type="dxa"/>
            <w:left w:w="108" w:type="dxa"/>
            <w:bottom w:w="0" w:type="dxa"/>
            <w:right w:w="108" w:type="dxa"/>
          </w:tblCellMar>
        </w:tblPrEx>
        <w:trPr>
          <w:trHeight w:val="638"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19DCA82A">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13</w:t>
            </w:r>
          </w:p>
        </w:tc>
        <w:tc>
          <w:tcPr>
            <w:tcW w:w="1694" w:type="dxa"/>
            <w:tcBorders>
              <w:top w:val="single" w:color="auto" w:sz="4" w:space="0"/>
              <w:left w:val="single" w:color="auto" w:sz="4" w:space="0"/>
              <w:bottom w:val="single" w:color="auto" w:sz="4" w:space="0"/>
              <w:right w:val="single" w:color="auto" w:sz="4" w:space="0"/>
            </w:tcBorders>
            <w:vAlign w:val="center"/>
          </w:tcPr>
          <w:p w14:paraId="64315B9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投标保证金</w:t>
            </w:r>
          </w:p>
        </w:tc>
        <w:tc>
          <w:tcPr>
            <w:tcW w:w="7869" w:type="dxa"/>
            <w:tcBorders>
              <w:top w:val="single" w:color="auto" w:sz="4" w:space="0"/>
              <w:left w:val="single" w:color="auto" w:sz="4" w:space="0"/>
              <w:bottom w:val="single" w:color="auto" w:sz="4" w:space="0"/>
              <w:right w:val="single" w:color="auto" w:sz="4" w:space="0"/>
            </w:tcBorders>
            <w:vAlign w:val="center"/>
          </w:tcPr>
          <w:p w14:paraId="0EC87926">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一、投标保证金交纳要求：</w:t>
            </w:r>
          </w:p>
          <w:p w14:paraId="38B9F5E6">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投标保证金应当以支票、汇票、本票、网上银行支付等方式，优先推荐金融机构、担保机构出具的保函等非现金形式缴纳。</w:t>
            </w:r>
          </w:p>
          <w:p w14:paraId="4B34B998">
            <w:pPr>
              <w:numPr>
                <w:ilvl w:val="0"/>
                <w:numId w:val="0"/>
              </w:numPr>
              <w:shd w:val="clear" w:color="auto" w:fill="auto"/>
              <w:spacing w:line="360" w:lineRule="auto"/>
              <w:jc w:val="left"/>
              <w:rPr>
                <w:rFonts w:hint="eastAsia" w:ascii="仿宋" w:hAnsi="仿宋" w:eastAsia="仿宋" w:cs="仿宋"/>
                <w:color w:val="auto"/>
                <w:w w:val="90"/>
                <w:lang w:val="en-US" w:eastAsia="zh-CN"/>
              </w:rPr>
            </w:pPr>
            <w:r>
              <w:rPr>
                <w:rFonts w:hint="eastAsia" w:ascii="仿宋" w:hAnsi="仿宋" w:eastAsia="仿宋" w:cs="仿宋"/>
                <w:color w:val="auto"/>
                <w:lang w:eastAsia="zh-CN"/>
              </w:rPr>
              <w:t>投标保证金金额</w:t>
            </w:r>
            <w:r>
              <w:rPr>
                <w:rFonts w:hint="eastAsia" w:ascii="仿宋" w:hAnsi="仿宋" w:eastAsia="仿宋" w:cs="仿宋"/>
                <w:color w:val="auto"/>
                <w:lang w:val="en-US" w:eastAsia="zh-CN"/>
              </w:rPr>
              <w:t>：30000.00元（叁万元整）</w:t>
            </w:r>
          </w:p>
          <w:p w14:paraId="783EC490">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00DDF131">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67AD8B19">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户名：阿图什市政务服务和公共资源交易中心</w:t>
            </w:r>
          </w:p>
          <w:p w14:paraId="360DA5A1">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账号：30456301040005267</w:t>
            </w:r>
          </w:p>
          <w:p w14:paraId="30954B5B">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行名：中国农业银行阿图什市天山分理处</w:t>
            </w:r>
          </w:p>
          <w:p w14:paraId="69AD22B0">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行号：103893045636</w:t>
            </w:r>
          </w:p>
          <w:p w14:paraId="08620EC3">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联系人：古女士</w:t>
            </w:r>
          </w:p>
          <w:p w14:paraId="77E08371">
            <w:pPr>
              <w:numPr>
                <w:ilvl w:val="0"/>
                <w:numId w:val="0"/>
              </w:numPr>
              <w:shd w:val="clear" w:color="auto" w:fill="auto"/>
              <w:spacing w:line="360" w:lineRule="auto"/>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 电话：0908-4222076</w:t>
            </w:r>
          </w:p>
          <w:p w14:paraId="2151E565">
            <w:pPr>
              <w:numPr>
                <w:ilvl w:val="0"/>
                <w:numId w:val="0"/>
              </w:numPr>
              <w:shd w:val="clear" w:color="auto" w:fill="auto"/>
              <w:spacing w:line="360" w:lineRule="auto"/>
              <w:jc w:val="left"/>
              <w:rPr>
                <w:rFonts w:hint="eastAsia" w:ascii="仿宋" w:hAnsi="仿宋" w:eastAsia="仿宋" w:cs="仿宋"/>
                <w:b/>
                <w:bCs/>
                <w:color w:val="FF0000"/>
                <w:lang w:eastAsia="zh-CN"/>
              </w:rPr>
            </w:pPr>
            <w:r>
              <w:rPr>
                <w:rFonts w:hint="eastAsia" w:ascii="仿宋" w:hAnsi="仿宋" w:eastAsia="仿宋" w:cs="仿宋"/>
                <w:b/>
                <w:bCs/>
                <w:color w:val="FF0000"/>
                <w:lang w:eastAsia="zh-CN"/>
              </w:rPr>
              <w:t>（备注：必须写清楚xx项目保证金）</w:t>
            </w:r>
          </w:p>
          <w:p w14:paraId="6E24ED59">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0CD9099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w:t>
            </w:r>
            <w:r>
              <w:rPr>
                <w:rFonts w:hint="eastAsia" w:ascii="仿宋" w:hAnsi="仿宋" w:eastAsia="仿宋" w:cs="仿宋"/>
                <w:color w:val="auto"/>
                <w:lang w:val="en-US" w:eastAsia="zh-CN"/>
              </w:rPr>
              <w:t>-5</w:t>
            </w:r>
            <w:r>
              <w:rPr>
                <w:rFonts w:hint="eastAsia" w:ascii="仿宋" w:hAnsi="仿宋" w:eastAsia="仿宋" w:cs="仿宋"/>
                <w:color w:val="auto"/>
                <w:lang w:eastAsia="zh-CN"/>
              </w:rPr>
              <w:t>个工作日内政资中心将收取的项目投标保证金按投标企业基本户退回。</w:t>
            </w:r>
          </w:p>
          <w:p w14:paraId="6EEE349C">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2、中标企业：合同签订后携带打款凭证、中标通知书及合同（所有复印件需加盖鲜章）前往交易中心由财务人员核对后退还。</w:t>
            </w:r>
          </w:p>
          <w:p w14:paraId="33AC4B68">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4B6761A5">
            <w:pPr>
              <w:spacing w:line="360" w:lineRule="auto"/>
              <w:rPr>
                <w:color w:val="auto"/>
                <w:lang w:eastAsia="zh-CN"/>
              </w:rPr>
            </w:pPr>
            <w:r>
              <w:rPr>
                <w:rFonts w:hint="eastAsia" w:ascii="仿宋" w:hAnsi="仿宋" w:eastAsia="仿宋" w:cs="仿宋"/>
                <w:color w:val="auto"/>
                <w:lang w:eastAsia="zh-CN"/>
              </w:rPr>
              <w:t>1、按照招标文件要求规定：投标企业无正当理由不参加该项目投标且在规定开标时间前不递交弃标函，投标保证金不予退还。</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color w:val="auto"/>
                <w:lang w:eastAsia="zh-CN"/>
              </w:rPr>
              <w:t xml:space="preserve"> </w:t>
            </w:r>
          </w:p>
        </w:tc>
      </w:tr>
      <w:tr w14:paraId="5AF42332">
        <w:tblPrEx>
          <w:tblCellMar>
            <w:top w:w="0" w:type="dxa"/>
            <w:left w:w="108" w:type="dxa"/>
            <w:bottom w:w="0" w:type="dxa"/>
            <w:right w:w="108" w:type="dxa"/>
          </w:tblCellMar>
        </w:tblPrEx>
        <w:trPr>
          <w:trHeight w:val="140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3E2795C">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14</w:t>
            </w:r>
          </w:p>
        </w:tc>
        <w:tc>
          <w:tcPr>
            <w:tcW w:w="1694" w:type="dxa"/>
            <w:tcBorders>
              <w:top w:val="single" w:color="auto" w:sz="4" w:space="0"/>
              <w:left w:val="single" w:color="auto" w:sz="4" w:space="0"/>
              <w:bottom w:val="single" w:color="auto" w:sz="4" w:space="0"/>
              <w:right w:val="single" w:color="auto" w:sz="4" w:space="0"/>
            </w:tcBorders>
            <w:vAlign w:val="center"/>
          </w:tcPr>
          <w:p w14:paraId="1D7B331B">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是否允许递交备选  投标方案</w:t>
            </w:r>
          </w:p>
        </w:tc>
        <w:tc>
          <w:tcPr>
            <w:tcW w:w="7869" w:type="dxa"/>
            <w:tcBorders>
              <w:top w:val="single" w:color="auto" w:sz="4" w:space="0"/>
              <w:left w:val="single" w:color="auto" w:sz="4" w:space="0"/>
              <w:bottom w:val="single" w:color="auto" w:sz="4" w:space="0"/>
              <w:right w:val="single" w:color="auto" w:sz="4" w:space="0"/>
            </w:tcBorders>
            <w:vAlign w:val="center"/>
          </w:tcPr>
          <w:p w14:paraId="1B0DDB1D">
            <w:pPr>
              <w:spacing w:line="360" w:lineRule="auto"/>
              <w:rPr>
                <w:rFonts w:ascii="仿宋" w:hAnsi="仿宋" w:eastAsia="仿宋" w:cs="仿宋"/>
                <w:color w:val="auto"/>
                <w:lang w:eastAsia="zh-CN"/>
              </w:rPr>
            </w:pPr>
            <w:r>
              <w:rPr>
                <w:rFonts w:hint="eastAsia" w:ascii="仿宋" w:hAnsi="仿宋" w:eastAsia="仿宋" w:cs="仿宋"/>
                <w:color w:val="auto"/>
                <w:lang w:eastAsia="zh-CN"/>
              </w:rPr>
              <w:t>■不允许</w:t>
            </w:r>
          </w:p>
          <w:p w14:paraId="0EFAD46B">
            <w:pPr>
              <w:spacing w:line="360" w:lineRule="auto"/>
              <w:rPr>
                <w:rFonts w:ascii="仿宋" w:hAnsi="仿宋" w:eastAsia="仿宋" w:cs="仿宋"/>
                <w:color w:val="auto"/>
                <w:lang w:eastAsia="zh-CN"/>
              </w:rPr>
            </w:pPr>
            <w:r>
              <w:rPr>
                <w:rFonts w:hint="eastAsia" w:ascii="仿宋" w:hAnsi="仿宋" w:eastAsia="仿宋" w:cs="仿宋"/>
                <w:color w:val="auto"/>
                <w:lang w:eastAsia="zh-CN"/>
              </w:rPr>
              <w:sym w:font="Wingdings 2" w:char="00A3"/>
            </w:r>
            <w:r>
              <w:rPr>
                <w:rFonts w:hint="eastAsia" w:ascii="仿宋" w:hAnsi="仿宋" w:eastAsia="仿宋" w:cs="仿宋"/>
                <w:color w:val="auto"/>
                <w:lang w:eastAsia="zh-CN"/>
              </w:rPr>
              <w:t>允  许</w:t>
            </w:r>
          </w:p>
        </w:tc>
      </w:tr>
      <w:tr w14:paraId="1152244C">
        <w:tblPrEx>
          <w:tblCellMar>
            <w:top w:w="0" w:type="dxa"/>
            <w:left w:w="108" w:type="dxa"/>
            <w:bottom w:w="0" w:type="dxa"/>
            <w:right w:w="108" w:type="dxa"/>
          </w:tblCellMar>
        </w:tblPrEx>
        <w:trPr>
          <w:trHeight w:val="67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127C23ED">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15</w:t>
            </w:r>
          </w:p>
        </w:tc>
        <w:tc>
          <w:tcPr>
            <w:tcW w:w="1694" w:type="dxa"/>
            <w:tcBorders>
              <w:top w:val="single" w:color="auto" w:sz="4" w:space="0"/>
              <w:left w:val="single" w:color="auto" w:sz="4" w:space="0"/>
              <w:bottom w:val="single" w:color="auto" w:sz="4" w:space="0"/>
              <w:right w:val="single" w:color="auto" w:sz="4" w:space="0"/>
            </w:tcBorders>
            <w:vAlign w:val="center"/>
          </w:tcPr>
          <w:p w14:paraId="3CD7F1D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磋商文件领取</w:t>
            </w:r>
          </w:p>
        </w:tc>
        <w:tc>
          <w:tcPr>
            <w:tcW w:w="7869" w:type="dxa"/>
            <w:tcBorders>
              <w:top w:val="single" w:color="auto" w:sz="4" w:space="0"/>
              <w:left w:val="single" w:color="auto" w:sz="4" w:space="0"/>
              <w:bottom w:val="single" w:color="auto" w:sz="4" w:space="0"/>
              <w:right w:val="single" w:color="auto" w:sz="4" w:space="0"/>
            </w:tcBorders>
            <w:vAlign w:val="center"/>
          </w:tcPr>
          <w:p w14:paraId="48804E4E">
            <w:pPr>
              <w:spacing w:line="360" w:lineRule="auto"/>
              <w:rPr>
                <w:rFonts w:ascii="仿宋" w:hAnsi="仿宋" w:eastAsia="仿宋" w:cs="仿宋"/>
                <w:color w:val="auto"/>
                <w:lang w:eastAsia="zh-CN"/>
              </w:rPr>
            </w:pPr>
            <w:r>
              <w:rPr>
                <w:rFonts w:hint="eastAsia" w:ascii="仿宋" w:hAnsi="仿宋" w:eastAsia="仿宋" w:cs="仿宋"/>
                <w:color w:val="auto"/>
                <w:u w:val="none"/>
                <w:lang w:eastAsia="zh-CN"/>
              </w:rPr>
              <w:t>时间：</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7 </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 xml:space="preserve">14 </w:t>
            </w:r>
            <w:r>
              <w:rPr>
                <w:rFonts w:hint="eastAsia" w:ascii="仿宋" w:hAnsi="仿宋" w:eastAsia="仿宋" w:cs="仿宋"/>
                <w:color w:val="auto"/>
                <w:u w:val="single"/>
                <w:lang w:eastAsia="zh-CN"/>
              </w:rPr>
              <w:t>日至202</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7 </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21</w:t>
            </w:r>
            <w:r>
              <w:rPr>
                <w:rFonts w:hint="eastAsia" w:ascii="仿宋" w:hAnsi="仿宋" w:eastAsia="仿宋" w:cs="仿宋"/>
                <w:color w:val="auto"/>
                <w:u w:val="single"/>
                <w:lang w:eastAsia="zh-CN"/>
              </w:rPr>
              <w:t>日</w:t>
            </w:r>
            <w:r>
              <w:rPr>
                <w:rFonts w:hint="eastAsia" w:ascii="仿宋" w:hAnsi="仿宋" w:eastAsia="仿宋" w:cs="仿宋"/>
                <w:color w:val="auto"/>
                <w:lang w:eastAsia="zh-CN"/>
              </w:rPr>
              <w:t>，每天上午10:00至</w:t>
            </w:r>
            <w:r>
              <w:rPr>
                <w:rFonts w:hint="eastAsia" w:ascii="仿宋" w:hAnsi="仿宋" w:eastAsia="仿宋" w:cs="仿宋"/>
                <w:color w:val="auto"/>
                <w:lang w:val="en-US" w:eastAsia="zh-CN"/>
              </w:rPr>
              <w:t>14</w:t>
            </w:r>
            <w:r>
              <w:rPr>
                <w:rFonts w:hint="eastAsia" w:ascii="仿宋" w:hAnsi="仿宋" w:eastAsia="仿宋" w:cs="仿宋"/>
                <w:color w:val="auto"/>
                <w:lang w:eastAsia="zh-CN"/>
              </w:rPr>
              <w:t>:</w:t>
            </w:r>
            <w:r>
              <w:rPr>
                <w:rFonts w:hint="eastAsia" w:ascii="仿宋" w:hAnsi="仿宋" w:eastAsia="仿宋" w:cs="仿宋"/>
                <w:color w:val="auto"/>
                <w:lang w:val="en-US" w:eastAsia="zh-CN"/>
              </w:rPr>
              <w:t>00</w:t>
            </w:r>
            <w:r>
              <w:rPr>
                <w:rFonts w:hint="eastAsia" w:ascii="仿宋" w:hAnsi="仿宋" w:eastAsia="仿宋" w:cs="仿宋"/>
                <w:color w:val="auto"/>
                <w:lang w:eastAsia="zh-CN"/>
              </w:rPr>
              <w:t>，下午16:</w:t>
            </w:r>
            <w:r>
              <w:rPr>
                <w:rFonts w:hint="eastAsia" w:ascii="仿宋" w:hAnsi="仿宋" w:eastAsia="仿宋" w:cs="仿宋"/>
                <w:color w:val="auto"/>
                <w:lang w:val="en-US" w:eastAsia="zh-CN"/>
              </w:rPr>
              <w:t>00</w:t>
            </w:r>
            <w:r>
              <w:rPr>
                <w:rFonts w:hint="eastAsia" w:ascii="仿宋" w:hAnsi="仿宋" w:eastAsia="仿宋" w:cs="仿宋"/>
                <w:color w:val="auto"/>
                <w:lang w:eastAsia="zh-CN"/>
              </w:rPr>
              <w:t>至</w:t>
            </w:r>
            <w:r>
              <w:rPr>
                <w:rFonts w:hint="eastAsia" w:ascii="仿宋" w:hAnsi="仿宋" w:eastAsia="仿宋" w:cs="仿宋"/>
                <w:color w:val="auto"/>
                <w:lang w:val="en-US" w:eastAsia="zh-CN"/>
              </w:rPr>
              <w:t>20</w:t>
            </w:r>
            <w:r>
              <w:rPr>
                <w:rFonts w:hint="eastAsia" w:ascii="仿宋" w:hAnsi="仿宋" w:eastAsia="仿宋" w:cs="仿宋"/>
                <w:color w:val="auto"/>
                <w:lang w:eastAsia="zh-CN"/>
              </w:rPr>
              <w:t>：</w:t>
            </w:r>
            <w:r>
              <w:rPr>
                <w:rFonts w:hint="eastAsia" w:ascii="仿宋" w:hAnsi="仿宋" w:eastAsia="仿宋" w:cs="仿宋"/>
                <w:color w:val="auto"/>
                <w:lang w:val="en-US" w:eastAsia="zh-CN"/>
              </w:rPr>
              <w:t>00</w:t>
            </w:r>
            <w:r>
              <w:rPr>
                <w:rFonts w:hint="eastAsia" w:ascii="仿宋" w:hAnsi="仿宋" w:eastAsia="仿宋" w:cs="仿宋"/>
                <w:color w:val="auto"/>
                <w:lang w:eastAsia="zh-CN"/>
              </w:rPr>
              <w:t>（北京时间，节假日除外）</w:t>
            </w:r>
          </w:p>
          <w:p w14:paraId="33CF0CCC">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地点：供应商登陆政采云平台http://www.zcygov.cn/，在线申请获取磋商文件（登录政府采购云平台 → 项目采购 → 获取磋商文件→申请，审核通过后可下载磋商文件，如有操作性问题，可与政采云在线客服进行咨询，咨询电话：95763）。</w:t>
            </w:r>
          </w:p>
          <w:p w14:paraId="53F98B3D">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方式：（</w:t>
            </w:r>
            <w:r>
              <w:rPr>
                <w:rFonts w:hint="eastAsia" w:ascii="仿宋" w:hAnsi="仿宋" w:eastAsia="仿宋" w:cs="仿宋"/>
                <w:color w:val="auto"/>
                <w:lang w:val="en-US" w:eastAsia="zh-CN"/>
              </w:rPr>
              <w:t>1</w:t>
            </w:r>
            <w:r>
              <w:rPr>
                <w:rFonts w:hint="eastAsia" w:ascii="仿宋" w:hAnsi="仿宋" w:eastAsia="仿宋" w:cs="仿宋"/>
                <w:color w:val="auto"/>
                <w:lang w:eastAsia="zh-CN"/>
              </w:rPr>
              <w:t>）线上获取（登录政府采购云平台 → 项目采购 → 获取磋商文件→ 申请，审核通过后可下载磋商文件）。</w:t>
            </w:r>
          </w:p>
          <w:p w14:paraId="6CDDC391">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（2）供应商获取磋商文件前应注册成为政府采购云平台正式供应商。</w:t>
            </w:r>
          </w:p>
        </w:tc>
      </w:tr>
      <w:tr w14:paraId="7E09EEBA">
        <w:tblPrEx>
          <w:tblCellMar>
            <w:top w:w="0" w:type="dxa"/>
            <w:left w:w="108" w:type="dxa"/>
            <w:bottom w:w="0" w:type="dxa"/>
            <w:right w:w="108" w:type="dxa"/>
          </w:tblCellMar>
        </w:tblPrEx>
        <w:trPr>
          <w:trHeight w:val="502"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D359149">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16</w:t>
            </w:r>
          </w:p>
        </w:tc>
        <w:tc>
          <w:tcPr>
            <w:tcW w:w="1694" w:type="dxa"/>
            <w:tcBorders>
              <w:top w:val="single" w:color="auto" w:sz="4" w:space="0"/>
              <w:left w:val="single" w:color="auto" w:sz="4" w:space="0"/>
              <w:bottom w:val="single" w:color="auto" w:sz="4" w:space="0"/>
              <w:right w:val="single" w:color="auto" w:sz="4" w:space="0"/>
            </w:tcBorders>
            <w:vAlign w:val="center"/>
          </w:tcPr>
          <w:p w14:paraId="7CAD4927">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投标文件形式</w:t>
            </w:r>
          </w:p>
        </w:tc>
        <w:tc>
          <w:tcPr>
            <w:tcW w:w="7869" w:type="dxa"/>
            <w:tcBorders>
              <w:top w:val="single" w:color="auto" w:sz="4" w:space="0"/>
              <w:left w:val="single" w:color="auto" w:sz="4" w:space="0"/>
              <w:bottom w:val="single" w:color="auto" w:sz="4" w:space="0"/>
              <w:right w:val="single" w:color="auto" w:sz="4" w:space="0"/>
            </w:tcBorders>
            <w:vAlign w:val="center"/>
          </w:tcPr>
          <w:p w14:paraId="7B9B64A7">
            <w:pPr>
              <w:spacing w:line="360" w:lineRule="auto"/>
              <w:rPr>
                <w:rFonts w:ascii="仿宋" w:hAnsi="仿宋" w:eastAsia="仿宋" w:cs="仿宋"/>
                <w:color w:val="auto"/>
                <w:lang w:eastAsia="zh-CN"/>
              </w:rPr>
            </w:pPr>
            <w:r>
              <w:rPr>
                <w:rFonts w:hint="eastAsia" w:ascii="仿宋" w:hAnsi="仿宋" w:eastAsia="仿宋" w:cs="仿宋"/>
                <w:color w:val="auto"/>
                <w:lang w:eastAsia="zh-CN"/>
              </w:rPr>
              <w:t>电子投标文件包括“电子加密投标文件”和“备份投标文件”，在投标文件编制完成后同时生成。</w:t>
            </w:r>
          </w:p>
          <w:p w14:paraId="1B3E3457">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1、“电子加密投标文件”是指通过“政采云电子交易客户端”完成投标文件编制后生成并加密的数据电文形式的投标文件。</w:t>
            </w:r>
          </w:p>
          <w:p w14:paraId="2CBD5D36">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5A15B87A">
        <w:tblPrEx>
          <w:tblCellMar>
            <w:top w:w="0" w:type="dxa"/>
            <w:left w:w="108" w:type="dxa"/>
            <w:bottom w:w="0" w:type="dxa"/>
            <w:right w:w="108" w:type="dxa"/>
          </w:tblCellMar>
        </w:tblPrEx>
        <w:trPr>
          <w:trHeight w:val="731"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66A3C23A">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17</w:t>
            </w:r>
          </w:p>
        </w:tc>
        <w:tc>
          <w:tcPr>
            <w:tcW w:w="1694" w:type="dxa"/>
            <w:tcBorders>
              <w:top w:val="single" w:color="auto" w:sz="4" w:space="0"/>
              <w:left w:val="single" w:color="auto" w:sz="4" w:space="0"/>
              <w:bottom w:val="single" w:color="auto" w:sz="4" w:space="0"/>
              <w:right w:val="single" w:color="auto" w:sz="4" w:space="0"/>
            </w:tcBorders>
            <w:vAlign w:val="center"/>
          </w:tcPr>
          <w:p w14:paraId="3819E3C8">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投标文件要求</w:t>
            </w:r>
          </w:p>
        </w:tc>
        <w:tc>
          <w:tcPr>
            <w:tcW w:w="7869" w:type="dxa"/>
            <w:tcBorders>
              <w:top w:val="single" w:color="auto" w:sz="4" w:space="0"/>
              <w:left w:val="single" w:color="auto" w:sz="4" w:space="0"/>
              <w:bottom w:val="single" w:color="auto" w:sz="4" w:space="0"/>
              <w:right w:val="single" w:color="auto" w:sz="4" w:space="0"/>
            </w:tcBorders>
            <w:vAlign w:val="center"/>
          </w:tcPr>
          <w:p w14:paraId="696468F2">
            <w:pPr>
              <w:spacing w:line="360" w:lineRule="auto"/>
              <w:rPr>
                <w:rFonts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14:paraId="4FD61DDE">
            <w:pPr>
              <w:spacing w:line="360" w:lineRule="auto"/>
              <w:rPr>
                <w:rFonts w:ascii="仿宋" w:hAnsi="仿宋" w:eastAsia="仿宋" w:cs="仿宋"/>
                <w:color w:val="auto"/>
                <w:lang w:eastAsia="zh-CN"/>
              </w:rPr>
            </w:pPr>
            <w:r>
              <w:rPr>
                <w:rFonts w:hint="eastAsia" w:ascii="仿宋" w:hAnsi="仿宋" w:eastAsia="仿宋" w:cs="仿宋"/>
                <w:color w:val="auto"/>
                <w:lang w:eastAsia="zh-CN"/>
              </w:rPr>
              <w:t>2、每份电子投标文件应包括资格证明文件和商务及技术文件两部分。</w:t>
            </w:r>
          </w:p>
        </w:tc>
      </w:tr>
      <w:tr w14:paraId="26CF2678">
        <w:tblPrEx>
          <w:tblCellMar>
            <w:top w:w="0" w:type="dxa"/>
            <w:left w:w="108" w:type="dxa"/>
            <w:bottom w:w="0" w:type="dxa"/>
            <w:right w:w="108" w:type="dxa"/>
          </w:tblCellMar>
        </w:tblPrEx>
        <w:trPr>
          <w:trHeight w:val="2041" w:hRule="atLeast"/>
          <w:jc w:val="center"/>
        </w:trPr>
        <w:tc>
          <w:tcPr>
            <w:tcW w:w="789" w:type="dxa"/>
            <w:vMerge w:val="restart"/>
            <w:tcBorders>
              <w:top w:val="single" w:color="auto" w:sz="4" w:space="0"/>
              <w:left w:val="single" w:color="auto" w:sz="4" w:space="0"/>
              <w:right w:val="single" w:color="auto" w:sz="4" w:space="0"/>
            </w:tcBorders>
            <w:vAlign w:val="center"/>
          </w:tcPr>
          <w:p w14:paraId="4FD4E4AE">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18</w:t>
            </w:r>
          </w:p>
        </w:tc>
        <w:tc>
          <w:tcPr>
            <w:tcW w:w="1694" w:type="dxa"/>
            <w:vMerge w:val="restart"/>
            <w:tcBorders>
              <w:top w:val="single" w:color="auto" w:sz="4" w:space="0"/>
              <w:left w:val="single" w:color="auto" w:sz="4" w:space="0"/>
              <w:right w:val="single" w:color="auto" w:sz="4" w:space="0"/>
            </w:tcBorders>
            <w:vAlign w:val="center"/>
          </w:tcPr>
          <w:p w14:paraId="17BE7F9E">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投标文件的上传和递交</w:t>
            </w:r>
          </w:p>
        </w:tc>
        <w:tc>
          <w:tcPr>
            <w:tcW w:w="7869" w:type="dxa"/>
            <w:tcBorders>
              <w:top w:val="single" w:color="auto" w:sz="4" w:space="0"/>
              <w:left w:val="single" w:color="auto" w:sz="4" w:space="0"/>
              <w:bottom w:val="single" w:color="auto" w:sz="4" w:space="0"/>
              <w:right w:val="single" w:color="auto" w:sz="4" w:space="0"/>
            </w:tcBorders>
            <w:vAlign w:val="center"/>
          </w:tcPr>
          <w:p w14:paraId="0F48EB5F">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6295539D">
            <w:pPr>
              <w:spacing w:line="360" w:lineRule="auto"/>
              <w:rPr>
                <w:rFonts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a.供应商未能在投标截止时间前成功上传电子加密投标文件的投标无效。</w:t>
            </w:r>
          </w:p>
          <w:p w14:paraId="537E6F90">
            <w:pPr>
              <w:spacing w:line="360" w:lineRule="auto"/>
              <w:rPr>
                <w:rFonts w:ascii="仿宋" w:hAnsi="仿宋" w:eastAsia="仿宋" w:cs="仿宋"/>
                <w:color w:val="auto"/>
                <w:lang w:eastAsia="zh-CN"/>
              </w:rPr>
            </w:pPr>
            <w:r>
              <w:rPr>
                <w:rFonts w:hint="eastAsia" w:ascii="仿宋" w:hAnsi="仿宋" w:eastAsia="仿宋" w:cs="仿宋"/>
                <w:color w:val="auto"/>
                <w:lang w:eastAsia="zh-CN"/>
              </w:rPr>
              <w:t>b.供应商成功上传电子加密投标文件后，可自行打印投标文件接收回执。</w:t>
            </w:r>
          </w:p>
        </w:tc>
      </w:tr>
      <w:tr w14:paraId="2F994C0E">
        <w:tblPrEx>
          <w:tblCellMar>
            <w:top w:w="0" w:type="dxa"/>
            <w:left w:w="108" w:type="dxa"/>
            <w:bottom w:w="0" w:type="dxa"/>
            <w:right w:w="108" w:type="dxa"/>
          </w:tblCellMar>
        </w:tblPrEx>
        <w:trPr>
          <w:trHeight w:val="410" w:hRule="atLeast"/>
          <w:jc w:val="center"/>
        </w:trPr>
        <w:tc>
          <w:tcPr>
            <w:tcW w:w="789" w:type="dxa"/>
            <w:vMerge w:val="continue"/>
            <w:tcBorders>
              <w:left w:val="single" w:color="auto" w:sz="4" w:space="0"/>
              <w:bottom w:val="single" w:color="auto" w:sz="4" w:space="0"/>
              <w:right w:val="single" w:color="auto" w:sz="4" w:space="0"/>
            </w:tcBorders>
            <w:vAlign w:val="center"/>
          </w:tcPr>
          <w:p w14:paraId="1D0427C9">
            <w:pPr>
              <w:spacing w:line="360" w:lineRule="auto"/>
              <w:jc w:val="center"/>
              <w:rPr>
                <w:rFonts w:ascii="仿宋" w:hAnsi="仿宋" w:eastAsia="仿宋" w:cs="仿宋"/>
                <w:color w:val="auto"/>
                <w:lang w:eastAsia="zh-CN"/>
              </w:rPr>
            </w:pPr>
          </w:p>
        </w:tc>
        <w:tc>
          <w:tcPr>
            <w:tcW w:w="1694" w:type="dxa"/>
            <w:vMerge w:val="continue"/>
            <w:tcBorders>
              <w:left w:val="single" w:color="auto" w:sz="4" w:space="0"/>
              <w:bottom w:val="single" w:color="auto" w:sz="4" w:space="0"/>
              <w:right w:val="single" w:color="auto" w:sz="4" w:space="0"/>
            </w:tcBorders>
            <w:vAlign w:val="center"/>
          </w:tcPr>
          <w:p w14:paraId="4A91CC62">
            <w:pPr>
              <w:spacing w:line="360" w:lineRule="auto"/>
              <w:rPr>
                <w:rFonts w:ascii="仿宋" w:hAnsi="仿宋" w:eastAsia="仿宋" w:cs="仿宋"/>
                <w:color w:val="auto"/>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293F771C">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lang w:val="en-US" w:eastAsia="zh-CN"/>
              </w:rPr>
              <w:t>3265613387</w:t>
            </w:r>
            <w:r>
              <w:rPr>
                <w:rFonts w:hint="eastAsia" w:ascii="仿宋" w:hAnsi="仿宋" w:eastAsia="仿宋" w:cs="仿宋"/>
                <w:color w:val="auto"/>
                <w:lang w:eastAsia="zh-CN"/>
              </w:rPr>
              <w:t>@qq.com，接收人：朱先生，电话：</w:t>
            </w:r>
            <w:r>
              <w:rPr>
                <w:rFonts w:hint="eastAsia" w:ascii="仿宋" w:hAnsi="仿宋" w:eastAsia="仿宋" w:cs="仿宋"/>
                <w:color w:val="auto"/>
                <w:lang w:val="en-US" w:eastAsia="zh-CN"/>
              </w:rPr>
              <w:t>18609088999</w:t>
            </w:r>
            <w:r>
              <w:rPr>
                <w:rFonts w:hint="eastAsia" w:ascii="仿宋" w:hAnsi="仿宋" w:eastAsia="仿宋" w:cs="仿宋"/>
                <w:color w:val="auto"/>
                <w:lang w:eastAsia="zh-CN"/>
              </w:rPr>
              <w:t>），“备份投标文件”由供应商提供；如不提供或未按要求提供的，当电子投标文件无法解密时，将导致无备份投标文件而失去投标资格。</w:t>
            </w:r>
          </w:p>
          <w:p w14:paraId="78F3F4E1">
            <w:pPr>
              <w:spacing w:line="360" w:lineRule="auto"/>
              <w:rPr>
                <w:rFonts w:ascii="仿宋" w:hAnsi="仿宋" w:eastAsia="仿宋" w:cs="仿宋"/>
                <w:color w:val="auto"/>
                <w:lang w:eastAsia="zh-CN"/>
              </w:rPr>
            </w:pPr>
            <w:r>
              <w:rPr>
                <w:rFonts w:hint="eastAsia" w:ascii="仿宋" w:hAnsi="仿宋" w:eastAsia="仿宋" w:cs="仿宋"/>
                <w:color w:val="auto"/>
                <w:lang w:eastAsia="zh-CN"/>
              </w:rPr>
              <w:t>a.备份投标文件提供要求：供应商可以将备份投标文件打包压缩，压缩包命名为“XX单位备份投标文件”；送达时间以采购代理机构实际接收时间为准。“备份投标文件”逾期或未按要求提供的视为未提供，建议供应商提前1日办理邮件提供事宜。</w:t>
            </w:r>
          </w:p>
          <w:p w14:paraId="12DF0425">
            <w:pPr>
              <w:spacing w:line="360" w:lineRule="auto"/>
              <w:rPr>
                <w:rFonts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734FDDEE">
        <w:tblPrEx>
          <w:tblCellMar>
            <w:top w:w="0" w:type="dxa"/>
            <w:left w:w="108" w:type="dxa"/>
            <w:bottom w:w="0" w:type="dxa"/>
            <w:right w:w="108" w:type="dxa"/>
          </w:tblCellMar>
        </w:tblPrEx>
        <w:trPr>
          <w:trHeight w:val="352"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38A24CDF">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19</w:t>
            </w:r>
          </w:p>
        </w:tc>
        <w:tc>
          <w:tcPr>
            <w:tcW w:w="1694" w:type="dxa"/>
            <w:tcBorders>
              <w:top w:val="single" w:color="auto" w:sz="4" w:space="0"/>
              <w:left w:val="single" w:color="auto" w:sz="4" w:space="0"/>
              <w:bottom w:val="single" w:color="auto" w:sz="4" w:space="0"/>
              <w:right w:val="single" w:color="auto" w:sz="4" w:space="0"/>
            </w:tcBorders>
            <w:vAlign w:val="center"/>
          </w:tcPr>
          <w:p w14:paraId="2A8F1C5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评标委员会的组建</w:t>
            </w:r>
          </w:p>
        </w:tc>
        <w:tc>
          <w:tcPr>
            <w:tcW w:w="7869" w:type="dxa"/>
            <w:tcBorders>
              <w:top w:val="single" w:color="auto" w:sz="4" w:space="0"/>
              <w:left w:val="single" w:color="auto" w:sz="4" w:space="0"/>
              <w:bottom w:val="single" w:color="auto" w:sz="4" w:space="0"/>
              <w:right w:val="single" w:color="auto" w:sz="4" w:space="0"/>
            </w:tcBorders>
            <w:vAlign w:val="center"/>
          </w:tcPr>
          <w:p w14:paraId="3B3F3950">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评标委员会由招标人依法组建；采购人代表1人，评审专家</w:t>
            </w:r>
            <w:r>
              <w:rPr>
                <w:rFonts w:hint="eastAsia" w:ascii="仿宋" w:hAnsi="仿宋" w:eastAsia="仿宋" w:cs="仿宋"/>
                <w:color w:val="auto"/>
                <w:lang w:val="en-US" w:eastAsia="zh-CN"/>
              </w:rPr>
              <w:t>2</w:t>
            </w:r>
            <w:r>
              <w:rPr>
                <w:rFonts w:hint="eastAsia" w:ascii="仿宋" w:hAnsi="仿宋" w:eastAsia="仿宋" w:cs="仿宋"/>
                <w:color w:val="auto"/>
                <w:lang w:val="zh-CN" w:eastAsia="zh-CN"/>
              </w:rPr>
              <w:t>人，共</w:t>
            </w:r>
            <w:r>
              <w:rPr>
                <w:rFonts w:hint="eastAsia" w:ascii="仿宋" w:hAnsi="仿宋" w:eastAsia="仿宋" w:cs="仿宋"/>
                <w:color w:val="auto"/>
                <w:lang w:val="en-US" w:eastAsia="zh-CN"/>
              </w:rPr>
              <w:t>3</w:t>
            </w:r>
            <w:r>
              <w:rPr>
                <w:rFonts w:hint="eastAsia" w:ascii="仿宋" w:hAnsi="仿宋" w:eastAsia="仿宋" w:cs="仿宋"/>
                <w:color w:val="auto"/>
                <w:lang w:val="zh-CN" w:eastAsia="zh-CN"/>
              </w:rPr>
              <w:t>人。</w:t>
            </w:r>
          </w:p>
          <w:p w14:paraId="3E5D48EC">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14:paraId="0D9097ED">
        <w:tblPrEx>
          <w:tblCellMar>
            <w:top w:w="0" w:type="dxa"/>
            <w:left w:w="108" w:type="dxa"/>
            <w:bottom w:w="0" w:type="dxa"/>
            <w:right w:w="108" w:type="dxa"/>
          </w:tblCellMar>
        </w:tblPrEx>
        <w:trPr>
          <w:trHeight w:val="4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15B86CF">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20</w:t>
            </w:r>
          </w:p>
        </w:tc>
        <w:tc>
          <w:tcPr>
            <w:tcW w:w="1694" w:type="dxa"/>
            <w:tcBorders>
              <w:top w:val="single" w:color="auto" w:sz="4" w:space="0"/>
              <w:left w:val="single" w:color="auto" w:sz="4" w:space="0"/>
              <w:bottom w:val="single" w:color="auto" w:sz="4" w:space="0"/>
              <w:right w:val="single" w:color="auto" w:sz="4" w:space="0"/>
            </w:tcBorders>
            <w:vAlign w:val="center"/>
          </w:tcPr>
          <w:p w14:paraId="5E9D3F8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869" w:type="dxa"/>
            <w:tcBorders>
              <w:top w:val="single" w:color="auto" w:sz="4" w:space="0"/>
              <w:left w:val="single" w:color="auto" w:sz="4" w:space="0"/>
              <w:bottom w:val="single" w:color="auto" w:sz="4" w:space="0"/>
              <w:right w:val="single" w:color="auto" w:sz="4" w:space="0"/>
            </w:tcBorders>
            <w:vAlign w:val="center"/>
          </w:tcPr>
          <w:p w14:paraId="7F2B48DC">
            <w:pPr>
              <w:spacing w:line="360" w:lineRule="auto"/>
              <w:rPr>
                <w:rFonts w:ascii="仿宋" w:hAnsi="仿宋" w:eastAsia="仿宋" w:cs="仿宋"/>
                <w:color w:val="auto"/>
                <w:lang w:val="zh-CN" w:eastAsia="zh-CN"/>
              </w:rPr>
            </w:pPr>
            <w:r>
              <w:rPr>
                <w:rFonts w:hint="eastAsia" w:ascii="仿宋" w:hAnsi="仿宋" w:eastAsia="仿宋" w:cs="仿宋"/>
                <w:color w:val="auto"/>
                <w:sz w:val="24"/>
                <w:szCs w:val="24"/>
                <w:lang w:eastAsia="zh-CN"/>
              </w:rPr>
              <w:t>是，评标委员会推荐3名中标候选人。</w:t>
            </w:r>
            <w:r>
              <w:rPr>
                <w:rFonts w:hint="eastAsia" w:ascii="仿宋" w:hAnsi="仿宋" w:eastAsia="仿宋" w:cs="仿宋"/>
                <w:color w:val="auto"/>
                <w:sz w:val="24"/>
                <w:szCs w:val="24"/>
                <w:lang w:eastAsia="zh-CN"/>
              </w:rPr>
              <w:tab/>
            </w:r>
          </w:p>
        </w:tc>
      </w:tr>
      <w:tr w14:paraId="57183B45">
        <w:tblPrEx>
          <w:tblCellMar>
            <w:top w:w="0" w:type="dxa"/>
            <w:left w:w="108" w:type="dxa"/>
            <w:bottom w:w="0" w:type="dxa"/>
            <w:right w:w="108" w:type="dxa"/>
          </w:tblCellMar>
        </w:tblPrEx>
        <w:trPr>
          <w:trHeight w:val="86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5B886B32">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21</w:t>
            </w:r>
          </w:p>
        </w:tc>
        <w:tc>
          <w:tcPr>
            <w:tcW w:w="1694" w:type="dxa"/>
            <w:tcBorders>
              <w:top w:val="single" w:color="auto" w:sz="4" w:space="0"/>
              <w:left w:val="single" w:color="auto" w:sz="4" w:space="0"/>
              <w:bottom w:val="single" w:color="auto" w:sz="4" w:space="0"/>
              <w:right w:val="single" w:color="auto" w:sz="4" w:space="0"/>
            </w:tcBorders>
            <w:vAlign w:val="center"/>
          </w:tcPr>
          <w:p w14:paraId="6BE14223">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递交投标文件地点</w:t>
            </w:r>
          </w:p>
        </w:tc>
        <w:tc>
          <w:tcPr>
            <w:tcW w:w="7869" w:type="dxa"/>
            <w:tcBorders>
              <w:top w:val="single" w:color="auto" w:sz="4" w:space="0"/>
              <w:left w:val="single" w:color="auto" w:sz="4" w:space="0"/>
              <w:bottom w:val="single" w:color="auto" w:sz="4" w:space="0"/>
              <w:right w:val="single" w:color="auto" w:sz="4" w:space="0"/>
            </w:tcBorders>
            <w:vAlign w:val="center"/>
          </w:tcPr>
          <w:p w14:paraId="6BE976D8">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投标截止时间：</w:t>
            </w:r>
            <w:r>
              <w:rPr>
                <w:rFonts w:hint="eastAsia" w:ascii="仿宋" w:hAnsi="仿宋" w:eastAsia="仿宋" w:cs="仿宋"/>
                <w:color w:val="auto"/>
                <w:kern w:val="2"/>
                <w:lang w:eastAsia="zh-CN" w:bidi="ar-SA"/>
              </w:rPr>
              <w:t>202</w:t>
            </w:r>
            <w:r>
              <w:rPr>
                <w:rFonts w:hint="eastAsia" w:ascii="仿宋" w:hAnsi="仿宋" w:eastAsia="仿宋" w:cs="仿宋"/>
                <w:color w:val="auto"/>
                <w:kern w:val="2"/>
                <w:lang w:val="en-US" w:eastAsia="zh-CN" w:bidi="ar-SA"/>
              </w:rPr>
              <w:t>5</w:t>
            </w:r>
            <w:r>
              <w:rPr>
                <w:rFonts w:hint="eastAsia" w:ascii="仿宋" w:hAnsi="仿宋" w:eastAsia="仿宋" w:cs="仿宋"/>
                <w:color w:val="auto"/>
                <w:kern w:val="2"/>
                <w:lang w:eastAsia="zh-CN" w:bidi="ar-SA"/>
              </w:rPr>
              <w:t>年</w:t>
            </w:r>
            <w:r>
              <w:rPr>
                <w:rFonts w:hint="eastAsia" w:ascii="仿宋" w:hAnsi="仿宋" w:eastAsia="仿宋" w:cs="仿宋"/>
                <w:color w:val="auto"/>
                <w:kern w:val="2"/>
                <w:lang w:val="en-US" w:eastAsia="zh-CN" w:bidi="ar-SA"/>
              </w:rPr>
              <w:t xml:space="preserve">7 </w:t>
            </w:r>
            <w:r>
              <w:rPr>
                <w:rFonts w:hint="eastAsia" w:ascii="仿宋" w:hAnsi="仿宋" w:eastAsia="仿宋" w:cs="仿宋"/>
                <w:color w:val="auto"/>
                <w:kern w:val="2"/>
                <w:lang w:eastAsia="zh-CN" w:bidi="ar-SA"/>
              </w:rPr>
              <w:t>月</w:t>
            </w:r>
            <w:r>
              <w:rPr>
                <w:rFonts w:hint="eastAsia" w:ascii="仿宋" w:hAnsi="仿宋" w:eastAsia="仿宋" w:cs="仿宋"/>
                <w:color w:val="auto"/>
                <w:kern w:val="2"/>
                <w:lang w:val="en-US" w:eastAsia="zh-CN" w:bidi="ar-SA"/>
              </w:rPr>
              <w:t>28</w:t>
            </w:r>
            <w:r>
              <w:rPr>
                <w:rFonts w:hint="eastAsia" w:ascii="仿宋" w:hAnsi="仿宋" w:eastAsia="仿宋" w:cs="仿宋"/>
                <w:color w:val="auto"/>
                <w:kern w:val="2"/>
                <w:lang w:eastAsia="zh-CN" w:bidi="ar-SA"/>
              </w:rPr>
              <w:t>日</w:t>
            </w:r>
            <w:r>
              <w:rPr>
                <w:rFonts w:hint="eastAsia" w:ascii="仿宋" w:hAnsi="仿宋" w:eastAsia="仿宋" w:cs="仿宋"/>
                <w:color w:val="auto"/>
                <w:lang w:eastAsia="zh-CN"/>
              </w:rPr>
              <w:t>上午</w:t>
            </w:r>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15</w:t>
            </w:r>
            <w:r>
              <w:rPr>
                <w:rFonts w:hint="eastAsia" w:ascii="仿宋" w:hAnsi="仿宋" w:eastAsia="仿宋" w:cs="仿宋"/>
                <w:color w:val="auto"/>
                <w:lang w:eastAsia="zh-CN"/>
              </w:rPr>
              <w:t>分（北京时间）</w:t>
            </w:r>
          </w:p>
          <w:p w14:paraId="72F59053">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投标地点：新疆政府采购云平台（www.zcygov.cn）</w:t>
            </w:r>
          </w:p>
        </w:tc>
      </w:tr>
      <w:tr w14:paraId="1BE94B65">
        <w:tblPrEx>
          <w:tblCellMar>
            <w:top w:w="0" w:type="dxa"/>
            <w:left w:w="108" w:type="dxa"/>
            <w:bottom w:w="0" w:type="dxa"/>
            <w:right w:w="108" w:type="dxa"/>
          </w:tblCellMar>
        </w:tblPrEx>
        <w:trPr>
          <w:trHeight w:val="866" w:hRule="atLeast"/>
          <w:jc w:val="center"/>
        </w:trPr>
        <w:tc>
          <w:tcPr>
            <w:tcW w:w="789" w:type="dxa"/>
            <w:tcBorders>
              <w:top w:val="single" w:color="auto" w:sz="4" w:space="0"/>
              <w:left w:val="single" w:color="auto" w:sz="4" w:space="0"/>
              <w:right w:val="single" w:color="auto" w:sz="4" w:space="0"/>
            </w:tcBorders>
            <w:vAlign w:val="center"/>
          </w:tcPr>
          <w:p w14:paraId="27B18AD8">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22</w:t>
            </w:r>
          </w:p>
        </w:tc>
        <w:tc>
          <w:tcPr>
            <w:tcW w:w="1694" w:type="dxa"/>
            <w:tcBorders>
              <w:top w:val="single" w:color="auto" w:sz="4" w:space="0"/>
              <w:left w:val="single" w:color="auto" w:sz="4" w:space="0"/>
              <w:right w:val="single" w:color="auto" w:sz="4" w:space="0"/>
            </w:tcBorders>
            <w:vAlign w:val="center"/>
          </w:tcPr>
          <w:p w14:paraId="50625DF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开标时间和地点</w:t>
            </w:r>
          </w:p>
        </w:tc>
        <w:tc>
          <w:tcPr>
            <w:tcW w:w="7869" w:type="dxa"/>
            <w:tcBorders>
              <w:top w:val="single" w:color="auto" w:sz="4" w:space="0"/>
              <w:left w:val="single" w:color="auto" w:sz="4" w:space="0"/>
              <w:right w:val="single" w:color="auto" w:sz="4" w:space="0"/>
            </w:tcBorders>
            <w:vAlign w:val="center"/>
          </w:tcPr>
          <w:p w14:paraId="7FB90D1A">
            <w:pPr>
              <w:spacing w:line="360" w:lineRule="auto"/>
              <w:rPr>
                <w:rFonts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color w:val="auto"/>
                <w:kern w:val="2"/>
                <w:u w:val="none"/>
                <w:lang w:eastAsia="zh-CN" w:bidi="ar-SA"/>
              </w:rPr>
              <w:t>202</w:t>
            </w:r>
            <w:r>
              <w:rPr>
                <w:rFonts w:hint="eastAsia" w:ascii="仿宋" w:hAnsi="仿宋" w:eastAsia="仿宋" w:cs="仿宋"/>
                <w:color w:val="auto"/>
                <w:kern w:val="2"/>
                <w:u w:val="none"/>
                <w:lang w:val="en-US" w:eastAsia="zh-CN" w:bidi="ar-SA"/>
              </w:rPr>
              <w:t>5</w:t>
            </w:r>
            <w:r>
              <w:rPr>
                <w:rFonts w:hint="eastAsia" w:ascii="仿宋" w:hAnsi="仿宋" w:eastAsia="仿宋" w:cs="仿宋"/>
                <w:color w:val="auto"/>
                <w:kern w:val="2"/>
                <w:u w:val="none"/>
                <w:lang w:eastAsia="zh-CN" w:bidi="ar-SA"/>
              </w:rPr>
              <w:t>年</w:t>
            </w:r>
            <w:r>
              <w:rPr>
                <w:rFonts w:hint="eastAsia" w:ascii="仿宋" w:hAnsi="仿宋" w:eastAsia="仿宋" w:cs="仿宋"/>
                <w:color w:val="auto"/>
                <w:kern w:val="2"/>
                <w:u w:val="none"/>
                <w:lang w:val="en-US" w:eastAsia="zh-CN" w:bidi="ar-SA"/>
              </w:rPr>
              <w:t xml:space="preserve">7 </w:t>
            </w:r>
            <w:r>
              <w:rPr>
                <w:rFonts w:hint="eastAsia" w:ascii="仿宋" w:hAnsi="仿宋" w:eastAsia="仿宋" w:cs="仿宋"/>
                <w:color w:val="auto"/>
                <w:kern w:val="2"/>
                <w:u w:val="none"/>
                <w:lang w:eastAsia="zh-CN" w:bidi="ar-SA"/>
              </w:rPr>
              <w:t>月</w:t>
            </w:r>
            <w:r>
              <w:rPr>
                <w:rFonts w:hint="eastAsia" w:ascii="仿宋" w:hAnsi="仿宋" w:eastAsia="仿宋" w:cs="仿宋"/>
                <w:color w:val="auto"/>
                <w:kern w:val="2"/>
                <w:u w:val="none"/>
                <w:lang w:val="en-US" w:eastAsia="zh-CN" w:bidi="ar-SA"/>
              </w:rPr>
              <w:t xml:space="preserve"> 28</w:t>
            </w:r>
            <w:r>
              <w:rPr>
                <w:rFonts w:hint="eastAsia" w:ascii="仿宋" w:hAnsi="仿宋" w:eastAsia="仿宋" w:cs="仿宋"/>
                <w:color w:val="auto"/>
                <w:kern w:val="2"/>
                <w:lang w:eastAsia="zh-CN" w:bidi="ar-SA"/>
              </w:rPr>
              <w:t>日</w:t>
            </w:r>
            <w:r>
              <w:rPr>
                <w:rFonts w:hint="eastAsia" w:ascii="仿宋" w:hAnsi="仿宋" w:eastAsia="仿宋" w:cs="仿宋"/>
                <w:color w:val="auto"/>
                <w:lang w:eastAsia="zh-CN"/>
              </w:rPr>
              <w:t>上午</w:t>
            </w:r>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15</w:t>
            </w:r>
            <w:r>
              <w:rPr>
                <w:rFonts w:hint="eastAsia" w:ascii="仿宋" w:hAnsi="仿宋" w:eastAsia="仿宋" w:cs="仿宋"/>
                <w:color w:val="auto"/>
                <w:lang w:eastAsia="zh-CN"/>
              </w:rPr>
              <w:t>分（北京时间）</w:t>
            </w:r>
          </w:p>
          <w:p w14:paraId="2674A93A">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开标地点：新疆政府采购云平台（www.zcygov.cn）         </w:t>
            </w:r>
          </w:p>
        </w:tc>
      </w:tr>
      <w:tr w14:paraId="630D6078">
        <w:tblPrEx>
          <w:tblCellMar>
            <w:top w:w="0" w:type="dxa"/>
            <w:left w:w="108" w:type="dxa"/>
            <w:bottom w:w="0" w:type="dxa"/>
            <w:right w:w="108" w:type="dxa"/>
          </w:tblCellMar>
        </w:tblPrEx>
        <w:trPr>
          <w:trHeight w:val="710" w:hRule="atLeast"/>
          <w:jc w:val="center"/>
        </w:trPr>
        <w:tc>
          <w:tcPr>
            <w:tcW w:w="789" w:type="dxa"/>
            <w:vMerge w:val="restart"/>
            <w:tcBorders>
              <w:top w:val="single" w:color="auto" w:sz="4" w:space="0"/>
              <w:left w:val="single" w:color="auto" w:sz="4" w:space="0"/>
              <w:right w:val="single" w:color="auto" w:sz="4" w:space="0"/>
            </w:tcBorders>
            <w:vAlign w:val="center"/>
          </w:tcPr>
          <w:p w14:paraId="6BABD6A8">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23</w:t>
            </w:r>
          </w:p>
        </w:tc>
        <w:tc>
          <w:tcPr>
            <w:tcW w:w="1694" w:type="dxa"/>
            <w:vMerge w:val="restart"/>
            <w:tcBorders>
              <w:top w:val="single" w:color="auto" w:sz="4" w:space="0"/>
              <w:left w:val="single" w:color="auto" w:sz="4" w:space="0"/>
              <w:right w:val="single" w:color="auto" w:sz="4" w:space="0"/>
            </w:tcBorders>
            <w:vAlign w:val="center"/>
          </w:tcPr>
          <w:p w14:paraId="1F6253E0">
            <w:pPr>
              <w:spacing w:line="360" w:lineRule="auto"/>
              <w:jc w:val="center"/>
              <w:rPr>
                <w:rFonts w:ascii="仿宋" w:hAnsi="仿宋" w:eastAsia="仿宋" w:cs="仿宋"/>
                <w:color w:val="auto"/>
                <w:sz w:val="21"/>
                <w:szCs w:val="21"/>
                <w:lang w:eastAsia="zh-CN"/>
              </w:rPr>
            </w:pPr>
            <w:r>
              <w:rPr>
                <w:rFonts w:hint="eastAsia" w:ascii="仿宋" w:hAnsi="仿宋" w:eastAsia="仿宋" w:cs="仿宋"/>
                <w:color w:val="auto"/>
                <w:lang w:eastAsia="zh-CN"/>
              </w:rPr>
              <w:t>重要说明</w:t>
            </w:r>
          </w:p>
        </w:tc>
        <w:tc>
          <w:tcPr>
            <w:tcW w:w="7869" w:type="dxa"/>
            <w:tcBorders>
              <w:top w:val="single" w:color="auto" w:sz="4" w:space="0"/>
              <w:left w:val="single" w:color="auto" w:sz="4" w:space="0"/>
              <w:right w:val="single" w:color="auto" w:sz="4" w:space="0"/>
            </w:tcBorders>
            <w:vAlign w:val="center"/>
          </w:tcPr>
          <w:p w14:paraId="780C0B97">
            <w:pPr>
              <w:spacing w:line="360" w:lineRule="auto"/>
              <w:rPr>
                <w:rFonts w:ascii="仿宋" w:hAnsi="仿宋" w:eastAsia="仿宋" w:cs="仿宋"/>
                <w:color w:val="auto"/>
                <w:lang w:eastAsia="zh-CN"/>
              </w:rPr>
            </w:pPr>
            <w:r>
              <w:rPr>
                <w:rFonts w:hint="eastAsia" w:ascii="仿宋" w:hAnsi="仿宋" w:eastAsia="仿宋" w:cs="仿宋"/>
                <w:color w:val="auto"/>
                <w:lang w:eastAsia="zh-CN"/>
              </w:rPr>
              <w:t>1.本项目采用全流程不见面电子开评标，投标供应商需要使用CA加密设备，供应商可通过新疆数字证书认证中心官网（https://www.xjca.com.cn/）或下载“新疆政务通”APP自行进行申领。</w:t>
            </w:r>
          </w:p>
          <w:p w14:paraId="1E44FF41">
            <w:pPr>
              <w:spacing w:line="360" w:lineRule="auto"/>
              <w:rPr>
                <w:rFonts w:ascii="仿宋" w:hAnsi="仿宋" w:eastAsia="仿宋" w:cs="仿宋"/>
                <w:color w:val="auto"/>
                <w:lang w:eastAsia="zh-CN"/>
              </w:rPr>
            </w:pPr>
            <w:r>
              <w:rPr>
                <w:rFonts w:hint="eastAsia" w:ascii="仿宋" w:hAnsi="仿宋" w:eastAsia="仿宋" w:cs="仿宋"/>
                <w:color w:val="auto"/>
                <w:lang w:eastAsia="zh-CN"/>
              </w:rPr>
              <w:t>2.本项目实行网上投标，采用加密电子投标文件(供应商须使用CA加密设备通过政采云电子投标客户端制作投标文件)。若供应商参与投标，自行承担投标一切费用。</w:t>
            </w:r>
          </w:p>
          <w:p w14:paraId="43ACF3CA">
            <w:pPr>
              <w:spacing w:line="360" w:lineRule="auto"/>
              <w:rPr>
                <w:rFonts w:ascii="仿宋" w:hAnsi="仿宋" w:eastAsia="仿宋" w:cs="仿宋"/>
                <w:color w:val="auto"/>
                <w:lang w:eastAsia="zh-CN"/>
              </w:rPr>
            </w:pPr>
            <w:r>
              <w:rPr>
                <w:rFonts w:hint="eastAsia" w:ascii="仿宋" w:hAnsi="仿宋" w:eastAsia="仿宋" w:cs="仿宋"/>
                <w:color w:val="auto"/>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02FC98D8">
            <w:pPr>
              <w:spacing w:line="360" w:lineRule="auto"/>
              <w:rPr>
                <w:rFonts w:ascii="仿宋" w:hAnsi="仿宋" w:eastAsia="仿宋" w:cs="仿宋"/>
                <w:color w:val="auto"/>
                <w:lang w:eastAsia="zh-CN"/>
              </w:rPr>
            </w:pPr>
            <w:r>
              <w:rPr>
                <w:rFonts w:hint="eastAsia" w:ascii="仿宋" w:hAnsi="仿宋" w:eastAsia="仿宋" w:cs="仿宋"/>
                <w:color w:val="auto"/>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07F93BF0">
            <w:pPr>
              <w:spacing w:line="360" w:lineRule="auto"/>
              <w:rPr>
                <w:rFonts w:ascii="仿宋" w:hAnsi="仿宋" w:eastAsia="仿宋" w:cs="仿宋"/>
                <w:color w:val="auto"/>
                <w:lang w:eastAsia="zh-CN"/>
              </w:rPr>
            </w:pPr>
            <w:r>
              <w:rPr>
                <w:rFonts w:hint="eastAsia" w:ascii="仿宋" w:hAnsi="仿宋" w:eastAsia="仿宋" w:cs="仿宋"/>
                <w:color w:val="auto"/>
                <w:lang w:eastAsia="zh-CN"/>
              </w:rPr>
              <w:t>5.供应商在开标时须使用制作加密电子投标文件所使用的CA锁及电脑，电脑须提前配置好浏览器（建议使用谷歌浏览器），以便开标时解锁。</w:t>
            </w:r>
          </w:p>
          <w:p w14:paraId="7DF34416">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https://service.zcygov.cn/#/help，“项目采购”—“操作流程-电子招投标”—“政府采购项目电子交易管理操作指南-供应商”版面获取操作指南。</w:t>
            </w:r>
            <w:r>
              <w:rPr>
                <w:rFonts w:hint="eastAsia" w:ascii="仿宋" w:hAnsi="仿宋" w:eastAsia="仿宋" w:cs="仿宋"/>
                <w:color w:val="auto"/>
                <w:lang w:eastAsia="zh-CN"/>
              </w:rPr>
              <w:fldChar w:fldCharType="end"/>
            </w:r>
          </w:p>
          <w:p w14:paraId="4D50FE89">
            <w:pPr>
              <w:spacing w:line="360" w:lineRule="auto"/>
              <w:rPr>
                <w:rFonts w:ascii="仿宋" w:hAnsi="仿宋" w:eastAsia="仿宋" w:cs="仿宋"/>
                <w:color w:val="auto"/>
                <w:lang w:eastAsia="zh-CN"/>
              </w:rPr>
            </w:pPr>
            <w:r>
              <w:rPr>
                <w:rFonts w:hint="eastAsia" w:ascii="仿宋" w:hAnsi="仿宋" w:eastAsia="仿宋" w:cs="仿宋"/>
                <w:color w:val="auto"/>
                <w:lang w:eastAsia="zh-CN"/>
              </w:rPr>
              <w:t>7.为了保证开评标顺利进行，政采云线上开标功能完全实现，供应商开标所使用的电脑设备须具有视频及语音功能。</w:t>
            </w:r>
          </w:p>
        </w:tc>
      </w:tr>
      <w:tr w14:paraId="5CB9624A">
        <w:tblPrEx>
          <w:tblCellMar>
            <w:top w:w="0" w:type="dxa"/>
            <w:left w:w="108" w:type="dxa"/>
            <w:bottom w:w="0" w:type="dxa"/>
            <w:right w:w="108" w:type="dxa"/>
          </w:tblCellMar>
        </w:tblPrEx>
        <w:trPr>
          <w:trHeight w:val="710" w:hRule="atLeast"/>
          <w:jc w:val="center"/>
        </w:trPr>
        <w:tc>
          <w:tcPr>
            <w:tcW w:w="789" w:type="dxa"/>
            <w:vMerge w:val="continue"/>
            <w:tcBorders>
              <w:left w:val="single" w:color="auto" w:sz="4" w:space="0"/>
              <w:bottom w:val="single" w:color="auto" w:sz="4" w:space="0"/>
              <w:right w:val="single" w:color="auto" w:sz="4" w:space="0"/>
            </w:tcBorders>
            <w:vAlign w:val="center"/>
          </w:tcPr>
          <w:p w14:paraId="09028469">
            <w:pPr>
              <w:spacing w:line="360" w:lineRule="auto"/>
              <w:rPr>
                <w:rFonts w:ascii="仿宋" w:hAnsi="仿宋" w:eastAsia="仿宋" w:cs="仿宋"/>
                <w:color w:val="auto"/>
                <w:sz w:val="21"/>
                <w:szCs w:val="21"/>
                <w:lang w:eastAsia="zh-CN"/>
              </w:rPr>
            </w:pPr>
          </w:p>
        </w:tc>
        <w:tc>
          <w:tcPr>
            <w:tcW w:w="1694" w:type="dxa"/>
            <w:vMerge w:val="continue"/>
            <w:tcBorders>
              <w:left w:val="single" w:color="auto" w:sz="4" w:space="0"/>
              <w:bottom w:val="single" w:color="auto" w:sz="4" w:space="0"/>
              <w:right w:val="single" w:color="auto" w:sz="4" w:space="0"/>
            </w:tcBorders>
            <w:vAlign w:val="center"/>
          </w:tcPr>
          <w:p w14:paraId="5FF8EDA5">
            <w:pPr>
              <w:spacing w:line="360" w:lineRule="auto"/>
              <w:rPr>
                <w:rFonts w:ascii="仿宋" w:hAnsi="仿宋" w:eastAsia="仿宋" w:cs="仿宋"/>
                <w:color w:val="auto"/>
                <w:sz w:val="21"/>
                <w:szCs w:val="21"/>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7E353D48">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1、电子招投标情况说明：</w:t>
            </w:r>
          </w:p>
          <w:p w14:paraId="157ADD0D">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（1）电子招投标：本项目以数据电文形式，依托“政府采购云平台（www.zcygov.cn）”进行招投标活动。</w:t>
            </w:r>
          </w:p>
          <w:p w14:paraId="5FCAB12F">
            <w:pPr>
              <w:spacing w:line="360" w:lineRule="auto"/>
              <w:rPr>
                <w:rFonts w:ascii="仿宋" w:hAnsi="仿宋" w:eastAsia="仿宋" w:cs="仿宋"/>
                <w:color w:val="auto"/>
                <w:lang w:eastAsia="zh-CN"/>
              </w:rPr>
            </w:pPr>
            <w:r>
              <w:rPr>
                <w:rFonts w:hint="eastAsia" w:ascii="仿宋" w:hAnsi="仿宋" w:eastAsia="仿宋" w:cs="仿宋"/>
                <w:color w:val="auto"/>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213BAE9">
            <w:pPr>
              <w:spacing w:line="360" w:lineRule="auto"/>
              <w:rPr>
                <w:rFonts w:ascii="仿宋" w:hAnsi="仿宋" w:eastAsia="仿宋" w:cs="仿宋"/>
                <w:color w:val="auto"/>
                <w:lang w:eastAsia="zh-CN"/>
              </w:rPr>
            </w:pPr>
            <w:r>
              <w:rPr>
                <w:rFonts w:hint="eastAsia" w:ascii="仿宋" w:hAnsi="仿宋" w:eastAsia="仿宋" w:cs="仿宋"/>
                <w:color w:val="auto"/>
                <w:lang w:eastAsia="zh-CN"/>
              </w:rPr>
              <w:t>（3）磋商文件的获取：使用账号登录或者短信验证码或者使用CA登录政采云平台；进入“项目采购”应用，在获取采购文件菜单中选择项目，申请获取磋商文件。</w:t>
            </w:r>
          </w:p>
          <w:p w14:paraId="3191F050">
            <w:pPr>
              <w:spacing w:line="360" w:lineRule="auto"/>
              <w:rPr>
                <w:rFonts w:ascii="仿宋" w:hAnsi="仿宋" w:eastAsia="仿宋" w:cs="仿宋"/>
                <w:color w:val="auto"/>
                <w:lang w:eastAsia="zh-CN"/>
              </w:rPr>
            </w:pPr>
            <w:r>
              <w:rPr>
                <w:rFonts w:hint="eastAsia" w:ascii="仿宋" w:hAnsi="仿宋" w:eastAsia="仿宋" w:cs="仿宋"/>
                <w:color w:val="auto"/>
                <w:lang w:eastAsia="zh-CN"/>
              </w:rPr>
              <w:t>（4）投标文件的制作：在“政采云电子交易客户端”中完成“填写基本信息”、“导入投标文件”、“标书关联”、“标书检查”、“电子签名”、“生成电子标书”等操作。</w:t>
            </w:r>
          </w:p>
          <w:p w14:paraId="088371FB">
            <w:pPr>
              <w:spacing w:line="360" w:lineRule="auto"/>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5</w:t>
            </w:r>
            <w:r>
              <w:rPr>
                <w:rFonts w:hint="eastAsia" w:ascii="仿宋" w:hAnsi="仿宋" w:eastAsia="仿宋" w:cs="仿宋"/>
                <w:color w:val="auto"/>
                <w:lang w:eastAsia="zh-CN"/>
              </w:rPr>
              <w:t>）投标文件的解密：供应商按照平台提示和磋商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1E545803">
            <w:pPr>
              <w:spacing w:line="360" w:lineRule="auto"/>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6</w:t>
            </w:r>
            <w:r>
              <w:rPr>
                <w:rFonts w:hint="eastAsia" w:ascii="仿宋" w:hAnsi="仿宋" w:eastAsia="仿宋" w:cs="仿宋"/>
                <w:color w:val="auto"/>
                <w:lang w:eastAsia="zh-CN"/>
              </w:rPr>
              <w:t>）具体操作指南：详见政采云平台“服务中心-帮助文档-项目采购-操作流程-电子招投标-政府采购项目电子交易管理操作指南-供应商”。</w:t>
            </w:r>
          </w:p>
          <w:p w14:paraId="2DA3E9DE">
            <w:pPr>
              <w:spacing w:line="360" w:lineRule="auto"/>
              <w:rPr>
                <w:rFonts w:ascii="仿宋" w:hAnsi="仿宋" w:eastAsia="仿宋" w:cs="仿宋"/>
                <w:color w:val="auto"/>
                <w:lang w:eastAsia="zh-CN"/>
              </w:rPr>
            </w:pPr>
            <w:r>
              <w:rPr>
                <w:rFonts w:hint="eastAsia" w:ascii="仿宋" w:hAnsi="仿宋" w:eastAsia="仿宋" w:cs="仿宋"/>
                <w:color w:val="auto"/>
                <w:lang w:eastAsia="zh-CN"/>
              </w:rPr>
              <w:t>（8）供应商在进行上述操作时，如遇技术问题可登录政采云（https://</w:t>
            </w:r>
            <w:r>
              <w:rPr>
                <w:color w:val="auto"/>
              </w:rPr>
              <w:fldChar w:fldCharType="begin"/>
            </w:r>
            <w:r>
              <w:rPr>
                <w:color w:val="auto"/>
              </w:rPr>
              <w:instrText xml:space="preserve"> HYPERLINK "http://www.zcygov.cn/" \h </w:instrText>
            </w:r>
            <w:r>
              <w:rPr>
                <w:color w:val="auto"/>
              </w:rPr>
              <w:fldChar w:fldCharType="separate"/>
            </w:r>
            <w:r>
              <w:rPr>
                <w:rFonts w:hint="eastAsia" w:ascii="仿宋" w:hAnsi="仿宋" w:eastAsia="仿宋" w:cs="仿宋"/>
                <w:color w:val="auto"/>
                <w:lang w:eastAsia="zh-CN"/>
              </w:rPr>
              <w:t>www.zcygov.cn/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），点击右侧咨询小采，获取采小蜜智能服务管家帮助，或拨打政采云服务热线 95763 获取热线服务帮助。</w:t>
            </w:r>
          </w:p>
          <w:p w14:paraId="5FC019F7">
            <w:pPr>
              <w:spacing w:line="360" w:lineRule="auto"/>
              <w:rPr>
                <w:rFonts w:ascii="仿宋" w:hAnsi="仿宋" w:eastAsia="仿宋" w:cs="仿宋"/>
                <w:color w:val="auto"/>
                <w:lang w:eastAsia="zh-CN"/>
              </w:rPr>
            </w:pPr>
            <w:r>
              <w:rPr>
                <w:rFonts w:hint="eastAsia" w:ascii="仿宋" w:hAnsi="仿宋" w:eastAsia="仿宋" w:cs="仿宋"/>
                <w:color w:val="auto"/>
                <w:lang w:eastAsia="zh-CN"/>
              </w:rPr>
              <w:t>温馨提醒：供应商应提前上传，以便在上传时遇到技术问题，有充足的时间请教平台的技术人员。</w:t>
            </w:r>
          </w:p>
          <w:p w14:paraId="0C5D951A">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认为磋商文件使自己的权益受到损害的，可以自收到磋商文件之日（磋商文件公告期限届满之前收到磋商文件的，以完成获取磋商文件申请后下载磋商文件的时间为准）或者磋商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磋商文件或逾期提出的不予受理、答复。</w:t>
            </w:r>
          </w:p>
        </w:tc>
      </w:tr>
      <w:tr w14:paraId="0D1EDBA7">
        <w:tblPrEx>
          <w:tblCellMar>
            <w:top w:w="0" w:type="dxa"/>
            <w:left w:w="108" w:type="dxa"/>
            <w:bottom w:w="0" w:type="dxa"/>
            <w:right w:w="108" w:type="dxa"/>
          </w:tblCellMar>
        </w:tblPrEx>
        <w:trPr>
          <w:trHeight w:val="915"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BD6FEB3">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24</w:t>
            </w:r>
          </w:p>
        </w:tc>
        <w:tc>
          <w:tcPr>
            <w:tcW w:w="1694" w:type="dxa"/>
            <w:tcBorders>
              <w:top w:val="single" w:color="auto" w:sz="4" w:space="0"/>
              <w:left w:val="single" w:color="auto" w:sz="4" w:space="0"/>
              <w:bottom w:val="single" w:color="auto" w:sz="4" w:space="0"/>
              <w:right w:val="single" w:color="auto" w:sz="4" w:space="0"/>
            </w:tcBorders>
            <w:vAlign w:val="center"/>
          </w:tcPr>
          <w:p w14:paraId="31485156">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869" w:type="dxa"/>
            <w:tcBorders>
              <w:top w:val="single" w:color="auto" w:sz="4" w:space="0"/>
              <w:left w:val="single" w:color="auto" w:sz="4" w:space="0"/>
              <w:bottom w:val="single" w:color="auto" w:sz="4" w:space="0"/>
              <w:right w:val="single" w:color="auto" w:sz="4" w:space="0"/>
            </w:tcBorders>
            <w:vAlign w:val="center"/>
          </w:tcPr>
          <w:p w14:paraId="1CA45954">
            <w:pPr>
              <w:spacing w:line="360" w:lineRule="auto"/>
              <w:rPr>
                <w:rFonts w:ascii="仿宋" w:hAnsi="仿宋" w:eastAsia="仿宋" w:cs="仿宋"/>
                <w:color w:val="auto"/>
                <w:lang w:eastAsia="zh-CN"/>
              </w:rPr>
            </w:pPr>
            <w:r>
              <w:rPr>
                <w:rFonts w:hint="eastAsia" w:ascii="仿宋" w:hAnsi="仿宋" w:eastAsia="仿宋" w:cs="仿宋"/>
                <w:color w:val="auto"/>
                <w:lang w:eastAsia="zh-CN"/>
              </w:rPr>
              <w:t>新疆政府采购网、克州公共资源交易中心网，公示期为一个工作日。</w:t>
            </w:r>
          </w:p>
        </w:tc>
      </w:tr>
      <w:tr w14:paraId="3CC2EB69">
        <w:tblPrEx>
          <w:tblCellMar>
            <w:top w:w="0" w:type="dxa"/>
            <w:left w:w="108" w:type="dxa"/>
            <w:bottom w:w="0" w:type="dxa"/>
            <w:right w:w="108" w:type="dxa"/>
          </w:tblCellMar>
        </w:tblPrEx>
        <w:trPr>
          <w:trHeight w:val="41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4ECCA03">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25</w:t>
            </w:r>
          </w:p>
        </w:tc>
        <w:tc>
          <w:tcPr>
            <w:tcW w:w="9563" w:type="dxa"/>
            <w:gridSpan w:val="2"/>
            <w:tcBorders>
              <w:top w:val="single" w:color="auto" w:sz="4" w:space="0"/>
              <w:left w:val="single" w:color="auto" w:sz="4" w:space="0"/>
              <w:bottom w:val="single" w:color="auto" w:sz="4" w:space="0"/>
              <w:right w:val="single" w:color="auto" w:sz="4" w:space="0"/>
            </w:tcBorders>
            <w:vAlign w:val="center"/>
          </w:tcPr>
          <w:p w14:paraId="45F95F96">
            <w:pPr>
              <w:spacing w:line="360" w:lineRule="auto"/>
              <w:rPr>
                <w:rFonts w:ascii="仿宋" w:hAnsi="仿宋" w:eastAsia="仿宋" w:cs="仿宋"/>
                <w:color w:val="auto"/>
                <w:lang w:eastAsia="zh-CN"/>
              </w:rPr>
            </w:pPr>
            <w:r>
              <w:rPr>
                <w:rFonts w:hint="eastAsia" w:ascii="仿宋" w:hAnsi="仿宋" w:eastAsia="仿宋" w:cs="仿宋"/>
                <w:color w:val="auto"/>
                <w:lang w:eastAsia="zh-CN"/>
              </w:rPr>
              <w:t>招标代理服务费</w:t>
            </w:r>
          </w:p>
        </w:tc>
      </w:tr>
      <w:tr w14:paraId="5B5B4789">
        <w:tblPrEx>
          <w:tblCellMar>
            <w:top w:w="0" w:type="dxa"/>
            <w:left w:w="108" w:type="dxa"/>
            <w:bottom w:w="0" w:type="dxa"/>
            <w:right w:w="108" w:type="dxa"/>
          </w:tblCellMar>
        </w:tblPrEx>
        <w:trPr>
          <w:trHeight w:val="1613"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B390C31">
            <w:pPr>
              <w:spacing w:line="360" w:lineRule="auto"/>
              <w:rPr>
                <w:rFonts w:ascii="仿宋" w:hAnsi="仿宋" w:eastAsia="仿宋" w:cs="仿宋"/>
                <w:color w:val="auto"/>
                <w:sz w:val="21"/>
                <w:szCs w:val="21"/>
                <w:lang w:eastAsia="zh-CN"/>
              </w:rPr>
            </w:pPr>
          </w:p>
        </w:tc>
        <w:tc>
          <w:tcPr>
            <w:tcW w:w="9563" w:type="dxa"/>
            <w:gridSpan w:val="2"/>
            <w:tcBorders>
              <w:top w:val="single" w:color="auto" w:sz="4" w:space="0"/>
              <w:left w:val="single" w:color="auto" w:sz="4" w:space="0"/>
              <w:bottom w:val="single" w:color="auto" w:sz="4" w:space="0"/>
              <w:right w:val="single" w:color="auto" w:sz="4" w:space="0"/>
            </w:tcBorders>
            <w:vAlign w:val="center"/>
          </w:tcPr>
          <w:p w14:paraId="1A615CDC">
            <w:pPr>
              <w:spacing w:line="360" w:lineRule="auto"/>
              <w:rPr>
                <w:rFonts w:hint="eastAsia" w:ascii="仿宋" w:hAnsi="仿宋" w:eastAsia="仿宋" w:cs="仿宋"/>
                <w:color w:val="auto"/>
                <w:lang w:eastAsia="zh-CN"/>
              </w:rPr>
            </w:pPr>
            <w:r>
              <w:rPr>
                <w:rFonts w:hint="eastAsia" w:ascii="仿宋" w:hAnsi="仿宋" w:eastAsia="仿宋" w:cs="仿宋"/>
                <w:color w:val="auto"/>
                <w:lang w:val="en-US" w:eastAsia="zh-CN"/>
              </w:rPr>
              <w:t>招标代理费根据《中华人民共和国招标投标法》、《中华人民共和国招标投标法实施条</w:t>
            </w:r>
            <w:r>
              <w:rPr>
                <w:rFonts w:hint="default" w:ascii="仿宋" w:hAnsi="仿宋" w:eastAsia="仿宋" w:cs="仿宋"/>
                <w:color w:val="auto"/>
                <w:lang w:val="en-US" w:eastAsia="zh-CN"/>
              </w:rPr>
              <w:t>例》</w:t>
            </w:r>
            <w:r>
              <w:rPr>
                <w:rFonts w:hint="eastAsia" w:ascii="仿宋" w:hAnsi="仿宋" w:eastAsia="仿宋" w:cs="仿宋"/>
                <w:color w:val="auto"/>
                <w:lang w:val="en-US" w:eastAsia="zh-CN"/>
              </w:rPr>
              <w:t>、</w:t>
            </w:r>
            <w:r>
              <w:rPr>
                <w:rFonts w:hint="default" w:ascii="仿宋" w:hAnsi="仿宋" w:eastAsia="仿宋" w:cs="仿宋"/>
                <w:color w:val="auto"/>
                <w:lang w:val="en-US" w:eastAsia="zh-CN"/>
              </w:rPr>
              <w:t xml:space="preserve">《国家发展改革委关于进一步放开建设项目专业服务价格的通知》（发改价格 </w:t>
            </w:r>
          </w:p>
          <w:p w14:paraId="54C1115C">
            <w:pPr>
              <w:spacing w:line="360" w:lineRule="auto"/>
              <w:rPr>
                <w:rFonts w:ascii="仿宋" w:hAnsi="仿宋" w:eastAsia="仿宋" w:cs="仿宋"/>
                <w:color w:val="auto"/>
                <w:sz w:val="21"/>
                <w:szCs w:val="21"/>
                <w:lang w:eastAsia="zh-CN"/>
              </w:rPr>
            </w:pPr>
            <w:r>
              <w:rPr>
                <w:rFonts w:hint="default" w:ascii="仿宋" w:hAnsi="仿宋" w:eastAsia="仿宋" w:cs="仿宋"/>
                <w:color w:val="auto"/>
                <w:lang w:val="en-US" w:eastAsia="zh-CN"/>
              </w:rPr>
              <w:t>【2015】299 号）文件等规定收费基准价格计取。本项目招标代理费：</w:t>
            </w:r>
            <w:r>
              <w:rPr>
                <w:rFonts w:hint="eastAsia" w:ascii="仿宋" w:hAnsi="仿宋" w:eastAsia="仿宋" w:cs="仿宋"/>
                <w:color w:val="auto"/>
                <w:lang w:val="en-US" w:eastAsia="zh-CN"/>
              </w:rPr>
              <w:t>22646</w:t>
            </w:r>
            <w:r>
              <w:rPr>
                <w:rFonts w:hint="default" w:ascii="仿宋" w:hAnsi="仿宋" w:eastAsia="仿宋" w:cs="仿宋"/>
                <w:color w:val="auto"/>
                <w:lang w:val="en-US" w:eastAsia="zh-CN"/>
              </w:rPr>
              <w:t>元。招标代理费在中标通知书发放之日前由中标人缴纳。</w:t>
            </w:r>
          </w:p>
        </w:tc>
      </w:tr>
      <w:tr w14:paraId="6189E116">
        <w:tblPrEx>
          <w:tblCellMar>
            <w:top w:w="0" w:type="dxa"/>
            <w:left w:w="108" w:type="dxa"/>
            <w:bottom w:w="0" w:type="dxa"/>
            <w:right w:w="108" w:type="dxa"/>
          </w:tblCellMar>
        </w:tblPrEx>
        <w:trPr>
          <w:trHeight w:val="8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A50C2EB">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26</w:t>
            </w:r>
          </w:p>
        </w:tc>
        <w:tc>
          <w:tcPr>
            <w:tcW w:w="9563" w:type="dxa"/>
            <w:gridSpan w:val="2"/>
            <w:tcBorders>
              <w:top w:val="single" w:color="auto" w:sz="4" w:space="0"/>
              <w:left w:val="single" w:color="auto" w:sz="4" w:space="0"/>
              <w:bottom w:val="single" w:color="auto" w:sz="4" w:space="0"/>
              <w:right w:val="single" w:color="auto" w:sz="4" w:space="0"/>
            </w:tcBorders>
            <w:vAlign w:val="center"/>
          </w:tcPr>
          <w:p w14:paraId="72E9ED30">
            <w:pPr>
              <w:spacing w:line="360" w:lineRule="auto"/>
              <w:rPr>
                <w:rFonts w:ascii="仿宋" w:hAnsi="仿宋" w:eastAsia="仿宋" w:cs="仿宋"/>
                <w:color w:val="auto"/>
                <w:lang w:eastAsia="zh-CN"/>
              </w:rPr>
            </w:pPr>
            <w:r>
              <w:rPr>
                <w:rFonts w:hint="eastAsia" w:ascii="仿宋" w:hAnsi="仿宋" w:eastAsia="仿宋" w:cs="仿宋"/>
                <w:color w:val="auto"/>
                <w:lang w:eastAsia="zh-CN"/>
              </w:rPr>
              <w:t>评标办法：本项目采用综合评分法</w:t>
            </w:r>
          </w:p>
        </w:tc>
      </w:tr>
      <w:tr w14:paraId="7FC3FBDA">
        <w:tblPrEx>
          <w:tblCellMar>
            <w:top w:w="0" w:type="dxa"/>
            <w:left w:w="108" w:type="dxa"/>
            <w:bottom w:w="0" w:type="dxa"/>
            <w:right w:w="108" w:type="dxa"/>
          </w:tblCellMar>
        </w:tblPrEx>
        <w:trPr>
          <w:trHeight w:val="8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4C02034D">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27</w:t>
            </w:r>
          </w:p>
        </w:tc>
        <w:tc>
          <w:tcPr>
            <w:tcW w:w="9563" w:type="dxa"/>
            <w:gridSpan w:val="2"/>
            <w:tcBorders>
              <w:top w:val="single" w:color="auto" w:sz="4" w:space="0"/>
              <w:left w:val="single" w:color="auto" w:sz="4" w:space="0"/>
              <w:bottom w:val="single" w:color="auto" w:sz="4" w:space="0"/>
              <w:right w:val="single" w:color="auto" w:sz="4" w:space="0"/>
            </w:tcBorders>
            <w:vAlign w:val="center"/>
          </w:tcPr>
          <w:p w14:paraId="58AF4DE1">
            <w:pPr>
              <w:spacing w:line="360" w:lineRule="auto"/>
              <w:rPr>
                <w:rFonts w:ascii="仿宋" w:hAnsi="仿宋" w:eastAsia="仿宋" w:cs="仿宋"/>
                <w:color w:val="auto"/>
                <w:lang w:eastAsia="zh-CN"/>
              </w:rPr>
            </w:pPr>
            <w:r>
              <w:rPr>
                <w:rFonts w:hint="eastAsia" w:ascii="仿宋" w:hAnsi="仿宋" w:eastAsia="仿宋" w:cs="仿宋"/>
                <w:color w:val="auto"/>
                <w:lang w:eastAsia="zh-CN"/>
              </w:rPr>
              <w:t>不管投标结果如何，供应商均应承担自己投标所需一切费用。</w:t>
            </w:r>
          </w:p>
        </w:tc>
      </w:tr>
      <w:tr w14:paraId="27F97819">
        <w:tblPrEx>
          <w:tblCellMar>
            <w:top w:w="0" w:type="dxa"/>
            <w:left w:w="108" w:type="dxa"/>
            <w:bottom w:w="0" w:type="dxa"/>
            <w:right w:w="108" w:type="dxa"/>
          </w:tblCellMar>
        </w:tblPrEx>
        <w:trPr>
          <w:trHeight w:val="8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D5033F1">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28</w:t>
            </w:r>
          </w:p>
        </w:tc>
        <w:tc>
          <w:tcPr>
            <w:tcW w:w="9563" w:type="dxa"/>
            <w:gridSpan w:val="2"/>
            <w:tcBorders>
              <w:top w:val="single" w:color="auto" w:sz="4" w:space="0"/>
              <w:left w:val="single" w:color="auto" w:sz="4" w:space="0"/>
              <w:bottom w:val="single" w:color="auto" w:sz="4" w:space="0"/>
              <w:right w:val="single" w:color="auto" w:sz="4" w:space="0"/>
            </w:tcBorders>
            <w:vAlign w:val="center"/>
          </w:tcPr>
          <w:p w14:paraId="59477A6A">
            <w:pPr>
              <w:spacing w:line="360" w:lineRule="auto"/>
              <w:rPr>
                <w:rFonts w:ascii="仿宋" w:hAnsi="仿宋" w:eastAsia="仿宋" w:cs="仿宋"/>
                <w:color w:val="auto"/>
                <w:lang w:eastAsia="zh-CN"/>
              </w:rPr>
            </w:pPr>
            <w:r>
              <w:rPr>
                <w:rFonts w:hint="eastAsia" w:ascii="仿宋" w:hAnsi="仿宋" w:eastAsia="仿宋" w:cs="仿宋"/>
                <w:b/>
                <w:bCs/>
                <w:color w:val="auto"/>
                <w:lang w:eastAsia="zh-CN"/>
              </w:rPr>
              <w:t>本次招标预算价：</w:t>
            </w:r>
            <w:r>
              <w:rPr>
                <w:rFonts w:hint="eastAsia" w:ascii="仿宋" w:hAnsi="仿宋" w:eastAsia="仿宋" w:cs="仿宋"/>
                <w:b/>
                <w:bCs/>
                <w:color w:val="auto"/>
                <w:lang w:val="en-US" w:eastAsia="zh-CN"/>
              </w:rPr>
              <w:t>1815000.00</w:t>
            </w:r>
            <w:r>
              <w:rPr>
                <w:rFonts w:hint="eastAsia" w:ascii="仿宋" w:hAnsi="仿宋" w:eastAsia="仿宋" w:cs="仿宋"/>
                <w:b/>
                <w:bCs/>
                <w:color w:val="auto"/>
                <w:lang w:eastAsia="zh-CN"/>
              </w:rPr>
              <w:t>元，投标总报价超过招标预算价的按废标处理。</w:t>
            </w:r>
          </w:p>
        </w:tc>
      </w:tr>
      <w:tr w14:paraId="730F23D2">
        <w:tblPrEx>
          <w:tblCellMar>
            <w:top w:w="0" w:type="dxa"/>
            <w:left w:w="108" w:type="dxa"/>
            <w:bottom w:w="0" w:type="dxa"/>
            <w:right w:w="108" w:type="dxa"/>
          </w:tblCellMar>
        </w:tblPrEx>
        <w:trPr>
          <w:trHeight w:val="84" w:hRule="atLeast"/>
          <w:jc w:val="center"/>
        </w:trPr>
        <w:tc>
          <w:tcPr>
            <w:tcW w:w="789" w:type="dxa"/>
            <w:vMerge w:val="restart"/>
            <w:tcBorders>
              <w:top w:val="single" w:color="auto" w:sz="4" w:space="0"/>
              <w:left w:val="single" w:color="auto" w:sz="4" w:space="0"/>
              <w:bottom w:val="single" w:color="auto" w:sz="4" w:space="0"/>
              <w:right w:val="single" w:color="auto" w:sz="4" w:space="0"/>
            </w:tcBorders>
            <w:vAlign w:val="center"/>
          </w:tcPr>
          <w:p w14:paraId="792A73A2">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29</w:t>
            </w:r>
          </w:p>
        </w:tc>
        <w:tc>
          <w:tcPr>
            <w:tcW w:w="1694" w:type="dxa"/>
            <w:vMerge w:val="restart"/>
            <w:tcBorders>
              <w:top w:val="single" w:color="auto" w:sz="4" w:space="0"/>
              <w:left w:val="single" w:color="auto" w:sz="4" w:space="0"/>
              <w:bottom w:val="single" w:color="auto" w:sz="4" w:space="0"/>
              <w:right w:val="single" w:color="auto" w:sz="4" w:space="0"/>
            </w:tcBorders>
            <w:vAlign w:val="center"/>
          </w:tcPr>
          <w:p w14:paraId="4679317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869" w:type="dxa"/>
            <w:tcBorders>
              <w:top w:val="single" w:color="auto" w:sz="4" w:space="0"/>
              <w:left w:val="single" w:color="auto" w:sz="4" w:space="0"/>
              <w:bottom w:val="single" w:color="auto" w:sz="4" w:space="0"/>
              <w:right w:val="single" w:color="auto" w:sz="4" w:space="0"/>
            </w:tcBorders>
            <w:vAlign w:val="center"/>
          </w:tcPr>
          <w:p w14:paraId="7C397B72">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根据财政部、工业和信息化部关于印发《政府采购促进中小企业发展管理办法》的通知（财库[2020]46号）和（财库[2022]19号），供应商所投产品的制造商属于《工业和信息化部、国家统计局、国家发展和改革委员会、财政部关于印发中小企业划型标准规定的通知》（工信部联企业[2011]300号）中规定的小型、微型企业标准的，按磋商文件格式提供《中小企业声明函》。</w:t>
            </w:r>
          </w:p>
        </w:tc>
      </w:tr>
      <w:tr w14:paraId="22178ED2">
        <w:tblPrEx>
          <w:tblCellMar>
            <w:top w:w="0" w:type="dxa"/>
            <w:left w:w="108" w:type="dxa"/>
            <w:bottom w:w="0" w:type="dxa"/>
            <w:right w:w="108" w:type="dxa"/>
          </w:tblCellMar>
        </w:tblPrEx>
        <w:trPr>
          <w:trHeight w:val="84"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14:paraId="0FEAD008">
            <w:pPr>
              <w:spacing w:line="360" w:lineRule="auto"/>
              <w:rPr>
                <w:rFonts w:ascii="仿宋" w:hAnsi="仿宋" w:eastAsia="仿宋" w:cs="仿宋"/>
                <w:color w:val="auto"/>
                <w:lang w:eastAsia="zh-CN"/>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14:paraId="1987A20A">
            <w:pPr>
              <w:spacing w:line="360" w:lineRule="auto"/>
              <w:rPr>
                <w:rFonts w:ascii="仿宋" w:hAnsi="仿宋" w:eastAsia="仿宋" w:cs="仿宋"/>
                <w:color w:val="auto"/>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64526F82">
            <w:pPr>
              <w:spacing w:line="360" w:lineRule="auto"/>
              <w:rPr>
                <w:rFonts w:ascii="仿宋" w:hAnsi="仿宋" w:eastAsia="仿宋" w:cs="仿宋"/>
                <w:color w:val="auto"/>
                <w:lang w:eastAsia="zh-CN"/>
              </w:rPr>
            </w:pPr>
            <w:r>
              <w:rPr>
                <w:rFonts w:hint="eastAsia" w:ascii="仿宋" w:hAnsi="仿宋" w:eastAsia="仿宋" w:cs="仿宋"/>
                <w:color w:val="auto"/>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0C380E1B">
        <w:tblPrEx>
          <w:tblCellMar>
            <w:top w:w="0" w:type="dxa"/>
            <w:left w:w="108" w:type="dxa"/>
            <w:bottom w:w="0" w:type="dxa"/>
            <w:right w:w="108" w:type="dxa"/>
          </w:tblCellMar>
        </w:tblPrEx>
        <w:trPr>
          <w:trHeight w:val="84"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14:paraId="26529EDC">
            <w:pPr>
              <w:spacing w:line="360" w:lineRule="auto"/>
              <w:rPr>
                <w:rFonts w:ascii="仿宋" w:hAnsi="仿宋" w:eastAsia="仿宋" w:cs="仿宋"/>
                <w:color w:val="auto"/>
                <w:lang w:eastAsia="zh-CN"/>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14:paraId="683638B0">
            <w:pPr>
              <w:spacing w:line="360" w:lineRule="auto"/>
              <w:rPr>
                <w:rFonts w:ascii="仿宋" w:hAnsi="仿宋" w:eastAsia="仿宋" w:cs="仿宋"/>
                <w:color w:val="auto"/>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20AF100D">
            <w:pPr>
              <w:spacing w:line="360" w:lineRule="auto"/>
              <w:rPr>
                <w:rFonts w:ascii="仿宋" w:hAnsi="仿宋" w:eastAsia="仿宋" w:cs="仿宋"/>
                <w:color w:val="auto"/>
                <w:lang w:eastAsia="zh-CN"/>
              </w:rPr>
            </w:pPr>
            <w:r>
              <w:rPr>
                <w:rFonts w:hint="eastAsia" w:ascii="仿宋" w:hAnsi="仿宋" w:eastAsia="仿宋" w:cs="仿宋"/>
                <w:color w:val="auto"/>
                <w:lang w:eastAsia="zh-CN"/>
              </w:rPr>
              <w:t>（3）根据财政部、民政部、中国残疾人联合会《关于促进残疾人就业政府采购政策的通知》（财库[2017]141号），在政府采购活动中，残疾人福利性单位视同小型、微型企业。供应商属于残疾人福利性单位的，按照磋商文件格式提供残疾人福利性单位声明函。</w:t>
            </w:r>
          </w:p>
        </w:tc>
      </w:tr>
      <w:tr w14:paraId="1C728750">
        <w:tblPrEx>
          <w:tblCellMar>
            <w:top w:w="0" w:type="dxa"/>
            <w:left w:w="108" w:type="dxa"/>
            <w:bottom w:w="0" w:type="dxa"/>
            <w:right w:w="108" w:type="dxa"/>
          </w:tblCellMar>
        </w:tblPrEx>
        <w:trPr>
          <w:trHeight w:val="90" w:hRule="atLeast"/>
          <w:jc w:val="center"/>
        </w:trPr>
        <w:tc>
          <w:tcPr>
            <w:tcW w:w="789" w:type="dxa"/>
            <w:vMerge w:val="restart"/>
            <w:tcBorders>
              <w:top w:val="single" w:color="auto" w:sz="4" w:space="0"/>
              <w:left w:val="single" w:color="auto" w:sz="4" w:space="0"/>
              <w:right w:val="single" w:color="auto" w:sz="4" w:space="0"/>
            </w:tcBorders>
            <w:vAlign w:val="center"/>
          </w:tcPr>
          <w:p w14:paraId="6C0C4508">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30</w:t>
            </w:r>
          </w:p>
        </w:tc>
        <w:tc>
          <w:tcPr>
            <w:tcW w:w="1694" w:type="dxa"/>
            <w:vMerge w:val="restart"/>
            <w:tcBorders>
              <w:top w:val="single" w:color="auto" w:sz="4" w:space="0"/>
              <w:left w:val="single" w:color="auto" w:sz="4" w:space="0"/>
              <w:right w:val="single" w:color="auto" w:sz="4" w:space="0"/>
            </w:tcBorders>
            <w:vAlign w:val="center"/>
          </w:tcPr>
          <w:p w14:paraId="1D37AA7D">
            <w:pPr>
              <w:spacing w:line="360" w:lineRule="auto"/>
              <w:jc w:val="center"/>
              <w:rPr>
                <w:rFonts w:ascii="仿宋" w:hAnsi="仿宋" w:eastAsia="仿宋" w:cs="仿宋"/>
                <w:color w:val="auto"/>
                <w:lang w:eastAsia="zh-CN"/>
              </w:rPr>
            </w:pPr>
            <w:r>
              <w:rPr>
                <w:rFonts w:hint="eastAsia" w:ascii="仿宋" w:hAnsi="仿宋" w:eastAsia="仿宋" w:cs="仿宋"/>
                <w:color w:val="auto"/>
                <w:highlight w:val="none"/>
                <w:lang w:eastAsia="zh-CN"/>
              </w:rPr>
              <w:t>中小微企业政策文件说明</w:t>
            </w:r>
          </w:p>
        </w:tc>
        <w:tc>
          <w:tcPr>
            <w:tcW w:w="7869" w:type="dxa"/>
            <w:tcBorders>
              <w:top w:val="single" w:color="auto" w:sz="4" w:space="0"/>
              <w:left w:val="single" w:color="auto" w:sz="4" w:space="0"/>
              <w:bottom w:val="single" w:color="auto" w:sz="4" w:space="0"/>
              <w:right w:val="single" w:color="auto" w:sz="4" w:space="0"/>
            </w:tcBorders>
            <w:vAlign w:val="center"/>
          </w:tcPr>
          <w:p w14:paraId="1FC39AFA">
            <w:pPr>
              <w:spacing w:line="360" w:lineRule="auto"/>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）本项目专门面向中小企业，资金为全部预留。必须提供上述《中小企业声明函》，不再执行价格评审优惠扶持政策。</w:t>
            </w:r>
          </w:p>
        </w:tc>
      </w:tr>
      <w:tr w14:paraId="341F6DE1">
        <w:tblPrEx>
          <w:tblCellMar>
            <w:top w:w="0" w:type="dxa"/>
            <w:left w:w="108" w:type="dxa"/>
            <w:bottom w:w="0" w:type="dxa"/>
            <w:right w:w="108" w:type="dxa"/>
          </w:tblCellMar>
        </w:tblPrEx>
        <w:trPr>
          <w:trHeight w:val="459" w:hRule="atLeast"/>
          <w:jc w:val="center"/>
        </w:trPr>
        <w:tc>
          <w:tcPr>
            <w:tcW w:w="789" w:type="dxa"/>
            <w:vMerge w:val="continue"/>
            <w:tcBorders>
              <w:left w:val="single" w:color="auto" w:sz="4" w:space="0"/>
              <w:right w:val="single" w:color="auto" w:sz="4" w:space="0"/>
            </w:tcBorders>
            <w:vAlign w:val="center"/>
          </w:tcPr>
          <w:p w14:paraId="25E9E57D">
            <w:pPr>
              <w:spacing w:line="360" w:lineRule="auto"/>
              <w:jc w:val="center"/>
              <w:rPr>
                <w:rFonts w:ascii="仿宋" w:hAnsi="仿宋" w:eastAsia="仿宋" w:cs="仿宋"/>
                <w:color w:val="auto"/>
                <w:sz w:val="21"/>
                <w:szCs w:val="21"/>
                <w:lang w:eastAsia="zh-CN"/>
              </w:rPr>
            </w:pPr>
          </w:p>
        </w:tc>
        <w:tc>
          <w:tcPr>
            <w:tcW w:w="1694" w:type="dxa"/>
            <w:vMerge w:val="continue"/>
            <w:tcBorders>
              <w:left w:val="single" w:color="auto" w:sz="4" w:space="0"/>
              <w:right w:val="single" w:color="auto" w:sz="4" w:space="0"/>
            </w:tcBorders>
            <w:vAlign w:val="center"/>
          </w:tcPr>
          <w:p w14:paraId="3D12AAEF">
            <w:pPr>
              <w:spacing w:line="360" w:lineRule="auto"/>
              <w:rPr>
                <w:rFonts w:ascii="仿宋" w:hAnsi="仿宋" w:eastAsia="仿宋" w:cs="仿宋"/>
                <w:color w:val="auto"/>
                <w:sz w:val="21"/>
                <w:szCs w:val="21"/>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66293F63">
            <w:pPr>
              <w:numPr>
                <w:ilvl w:val="0"/>
                <w:numId w:val="0"/>
              </w:num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2</w:t>
            </w:r>
            <w:r>
              <w:rPr>
                <w:rFonts w:hint="eastAsia" w:ascii="仿宋" w:hAnsi="仿宋" w:eastAsia="仿宋" w:cs="仿宋"/>
                <w:color w:val="auto"/>
                <w:lang w:eastAsia="zh-CN"/>
              </w:rPr>
              <w:t>）本项目所属行业：</w:t>
            </w:r>
            <w:r>
              <w:rPr>
                <w:rFonts w:hint="eastAsia" w:ascii="仿宋" w:hAnsi="仿宋" w:eastAsia="仿宋" w:cs="仿宋"/>
                <w:b/>
                <w:bCs/>
                <w:color w:val="auto"/>
                <w:lang w:val="en-US" w:eastAsia="zh-CN"/>
              </w:rPr>
              <w:t>其他未列明行业</w:t>
            </w:r>
            <w:r>
              <w:rPr>
                <w:rFonts w:hint="eastAsia" w:ascii="仿宋" w:hAnsi="仿宋" w:eastAsia="仿宋" w:cs="仿宋"/>
                <w:b w:val="0"/>
                <w:bCs w:val="0"/>
                <w:color w:val="auto"/>
                <w:lang w:val="en-US" w:eastAsia="zh-CN"/>
              </w:rPr>
              <w:t>。</w:t>
            </w:r>
          </w:p>
        </w:tc>
      </w:tr>
      <w:tr w14:paraId="72109828">
        <w:tblPrEx>
          <w:tblCellMar>
            <w:top w:w="0" w:type="dxa"/>
            <w:left w:w="108" w:type="dxa"/>
            <w:bottom w:w="0" w:type="dxa"/>
            <w:right w:w="108" w:type="dxa"/>
          </w:tblCellMar>
        </w:tblPrEx>
        <w:trPr>
          <w:trHeight w:val="459" w:hRule="atLeast"/>
          <w:jc w:val="center"/>
        </w:trPr>
        <w:tc>
          <w:tcPr>
            <w:tcW w:w="789" w:type="dxa"/>
            <w:vMerge w:val="continue"/>
            <w:tcBorders>
              <w:left w:val="single" w:color="auto" w:sz="4" w:space="0"/>
              <w:bottom w:val="single" w:color="auto" w:sz="4" w:space="0"/>
              <w:right w:val="single" w:color="auto" w:sz="4" w:space="0"/>
            </w:tcBorders>
            <w:vAlign w:val="center"/>
          </w:tcPr>
          <w:p w14:paraId="5BC14202">
            <w:pPr>
              <w:spacing w:line="360" w:lineRule="auto"/>
              <w:jc w:val="center"/>
              <w:rPr>
                <w:rFonts w:ascii="仿宋" w:hAnsi="仿宋" w:eastAsia="仿宋" w:cs="仿宋"/>
                <w:color w:val="auto"/>
                <w:sz w:val="21"/>
                <w:szCs w:val="21"/>
                <w:lang w:eastAsia="zh-CN"/>
              </w:rPr>
            </w:pPr>
          </w:p>
        </w:tc>
        <w:tc>
          <w:tcPr>
            <w:tcW w:w="1694" w:type="dxa"/>
            <w:vMerge w:val="continue"/>
            <w:tcBorders>
              <w:left w:val="single" w:color="auto" w:sz="4" w:space="0"/>
              <w:bottom w:val="single" w:color="auto" w:sz="4" w:space="0"/>
              <w:right w:val="single" w:color="auto" w:sz="4" w:space="0"/>
            </w:tcBorders>
            <w:vAlign w:val="center"/>
          </w:tcPr>
          <w:p w14:paraId="278A3074">
            <w:pPr>
              <w:spacing w:line="360" w:lineRule="auto"/>
              <w:rPr>
                <w:rFonts w:ascii="仿宋" w:hAnsi="仿宋" w:eastAsia="仿宋" w:cs="仿宋"/>
                <w:color w:val="auto"/>
                <w:sz w:val="21"/>
                <w:szCs w:val="21"/>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7C524B7E">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着重提醒：投标供应商在提供《中小企业声明函》时，必须将</w:t>
            </w:r>
            <w:r>
              <w:rPr>
                <w:rFonts w:hint="eastAsia" w:ascii="仿宋" w:hAnsi="仿宋" w:eastAsia="仿宋" w:cs="仿宋"/>
                <w:b/>
                <w:color w:val="auto"/>
                <w:sz w:val="24"/>
                <w:szCs w:val="24"/>
                <w:highlight w:val="none"/>
                <w:lang w:val="en-US" w:eastAsia="zh-CN"/>
              </w:rPr>
              <w:t>磋商</w:t>
            </w:r>
            <w:r>
              <w:rPr>
                <w:rFonts w:hint="eastAsia" w:ascii="仿宋" w:hAnsi="仿宋" w:eastAsia="仿宋" w:cs="仿宋"/>
                <w:b/>
                <w:color w:val="auto"/>
                <w:sz w:val="24"/>
                <w:szCs w:val="24"/>
                <w:highlight w:val="none"/>
                <w:lang w:eastAsia="zh-CN"/>
              </w:rPr>
              <w:t>文件采购标的物全部列入《中小企业声明函》，</w:t>
            </w:r>
            <w:r>
              <w:rPr>
                <w:rFonts w:hint="eastAsia" w:ascii="仿宋" w:hAnsi="仿宋" w:eastAsia="仿宋" w:cs="仿宋"/>
                <w:b/>
                <w:bCs/>
                <w:color w:val="auto"/>
                <w:highlight w:val="none"/>
                <w:lang w:val="zh-CN" w:eastAsia="zh-CN"/>
              </w:rPr>
              <w:t>未提供《中小企业声明函》的作废标处理。</w:t>
            </w:r>
          </w:p>
        </w:tc>
      </w:tr>
      <w:tr w14:paraId="4A023568">
        <w:tblPrEx>
          <w:tblCellMar>
            <w:top w:w="0" w:type="dxa"/>
            <w:left w:w="108" w:type="dxa"/>
            <w:bottom w:w="0" w:type="dxa"/>
            <w:right w:w="108" w:type="dxa"/>
          </w:tblCellMar>
        </w:tblPrEx>
        <w:trPr>
          <w:trHeight w:val="9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33E25F12">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31</w:t>
            </w:r>
          </w:p>
        </w:tc>
        <w:tc>
          <w:tcPr>
            <w:tcW w:w="1694" w:type="dxa"/>
            <w:tcBorders>
              <w:top w:val="single" w:color="auto" w:sz="4" w:space="0"/>
              <w:left w:val="single" w:color="auto" w:sz="4" w:space="0"/>
              <w:bottom w:val="single" w:color="auto" w:sz="4" w:space="0"/>
              <w:right w:val="single" w:color="auto" w:sz="4" w:space="0"/>
            </w:tcBorders>
            <w:vAlign w:val="center"/>
          </w:tcPr>
          <w:p w14:paraId="4BA1B643">
            <w:pPr>
              <w:spacing w:line="360" w:lineRule="auto"/>
              <w:jc w:val="center"/>
              <w:rPr>
                <w:rFonts w:ascii="仿宋" w:hAnsi="仿宋" w:eastAsia="仿宋" w:cs="仿宋"/>
                <w:color w:val="auto"/>
                <w:lang w:val="zh-CN" w:eastAsia="zh-CN"/>
              </w:rPr>
            </w:pPr>
          </w:p>
          <w:p w14:paraId="4CE811FF">
            <w:pPr>
              <w:spacing w:line="360" w:lineRule="auto"/>
              <w:jc w:val="center"/>
              <w:rPr>
                <w:rFonts w:ascii="仿宋" w:hAnsi="仿宋" w:eastAsia="仿宋" w:cs="仿宋"/>
                <w:color w:val="auto"/>
                <w:lang w:val="zh-CN" w:eastAsia="zh-CN"/>
              </w:rPr>
            </w:pPr>
            <w:r>
              <w:rPr>
                <w:rFonts w:hint="eastAsia" w:ascii="仿宋" w:hAnsi="仿宋" w:eastAsia="仿宋" w:cs="仿宋"/>
                <w:color w:val="auto"/>
                <w:lang w:val="zh-CN" w:eastAsia="zh-CN"/>
              </w:rPr>
              <w:t>履约保证金</w:t>
            </w:r>
          </w:p>
          <w:p w14:paraId="62812AA4">
            <w:pPr>
              <w:spacing w:line="360" w:lineRule="auto"/>
              <w:jc w:val="center"/>
              <w:rPr>
                <w:rFonts w:ascii="仿宋" w:hAnsi="仿宋" w:eastAsia="仿宋" w:cs="仿宋"/>
                <w:color w:val="auto"/>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2A72662D">
            <w:pPr>
              <w:spacing w:line="360" w:lineRule="auto"/>
              <w:rPr>
                <w:rFonts w:ascii="仿宋" w:hAnsi="仿宋" w:eastAsia="仿宋" w:cs="仿宋"/>
                <w:color w:val="auto"/>
                <w:lang w:eastAsia="zh-CN"/>
              </w:rPr>
            </w:pPr>
            <w:r>
              <w:rPr>
                <w:rFonts w:hint="eastAsia" w:ascii="仿宋" w:hAnsi="仿宋" w:eastAsia="仿宋" w:cs="仿宋"/>
                <w:color w:val="auto"/>
                <w:lang w:val="zh-CN" w:eastAsia="zh-CN"/>
              </w:rPr>
              <w:t>中标人</w:t>
            </w:r>
            <w:r>
              <w:rPr>
                <w:rFonts w:hint="eastAsia" w:ascii="仿宋" w:hAnsi="仿宋" w:eastAsia="仿宋" w:cs="仿宋"/>
                <w:color w:val="auto"/>
                <w:lang w:eastAsia="zh-CN"/>
              </w:rPr>
              <w:t>应在领取《中标通知书》后的十个日历日内，办理履约保证金，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lang w:eastAsia="zh-CN"/>
              </w:rPr>
              <w:t>否则招标人可取消</w:t>
            </w:r>
            <w:r>
              <w:rPr>
                <w:rFonts w:hint="eastAsia" w:ascii="仿宋" w:hAnsi="仿宋" w:eastAsia="仿宋" w:cs="仿宋"/>
                <w:color w:val="auto"/>
                <w:lang w:val="zh-CN" w:eastAsia="zh-CN"/>
              </w:rPr>
              <w:t>成交人</w:t>
            </w:r>
            <w:r>
              <w:rPr>
                <w:rFonts w:hint="eastAsia" w:ascii="仿宋" w:hAnsi="仿宋" w:eastAsia="仿宋" w:cs="仿宋"/>
                <w:color w:val="auto"/>
                <w:lang w:eastAsia="zh-CN"/>
              </w:rPr>
              <w:t>的</w:t>
            </w:r>
            <w:r>
              <w:rPr>
                <w:rFonts w:hint="eastAsia" w:ascii="仿宋" w:hAnsi="仿宋" w:eastAsia="仿宋" w:cs="仿宋"/>
                <w:color w:val="auto"/>
                <w:lang w:val="zh-CN" w:eastAsia="zh-CN"/>
              </w:rPr>
              <w:t>成交</w:t>
            </w:r>
            <w:r>
              <w:rPr>
                <w:rFonts w:hint="eastAsia" w:ascii="仿宋" w:hAnsi="仿宋" w:eastAsia="仿宋" w:cs="仿宋"/>
                <w:color w:val="auto"/>
                <w:lang w:eastAsia="zh-CN"/>
              </w:rPr>
              <w:t>资格，并没收其投标保证金。</w:t>
            </w:r>
          </w:p>
        </w:tc>
      </w:tr>
      <w:tr w14:paraId="478B587D">
        <w:tblPrEx>
          <w:tblCellMar>
            <w:top w:w="0" w:type="dxa"/>
            <w:left w:w="108" w:type="dxa"/>
            <w:bottom w:w="0" w:type="dxa"/>
            <w:right w:w="108" w:type="dxa"/>
          </w:tblCellMar>
        </w:tblPrEx>
        <w:trPr>
          <w:trHeight w:val="1723" w:hRule="atLeast"/>
          <w:jc w:val="center"/>
        </w:trPr>
        <w:tc>
          <w:tcPr>
            <w:tcW w:w="2483" w:type="dxa"/>
            <w:gridSpan w:val="2"/>
            <w:tcBorders>
              <w:top w:val="single" w:color="auto" w:sz="4" w:space="0"/>
              <w:left w:val="single" w:color="auto" w:sz="4" w:space="0"/>
              <w:bottom w:val="single" w:color="auto" w:sz="4" w:space="0"/>
              <w:right w:val="single" w:color="auto" w:sz="4" w:space="0"/>
            </w:tcBorders>
            <w:vAlign w:val="center"/>
          </w:tcPr>
          <w:p w14:paraId="03B7EFA3">
            <w:pPr>
              <w:spacing w:line="360" w:lineRule="auto"/>
              <w:ind w:firstLine="720" w:firstLineChars="300"/>
              <w:rPr>
                <w:rFonts w:ascii="仿宋" w:hAnsi="仿宋" w:eastAsia="仿宋" w:cs="仿宋"/>
                <w:color w:val="auto"/>
                <w:lang w:eastAsia="zh-CN"/>
              </w:rPr>
            </w:pPr>
            <w:r>
              <w:rPr>
                <w:rFonts w:hint="eastAsia" w:ascii="仿宋" w:hAnsi="仿宋" w:eastAsia="仿宋" w:cs="仿宋"/>
                <w:color w:val="auto"/>
                <w:lang w:eastAsia="zh-CN"/>
              </w:rPr>
              <w:t>备注</w:t>
            </w:r>
          </w:p>
        </w:tc>
        <w:tc>
          <w:tcPr>
            <w:tcW w:w="7869" w:type="dxa"/>
            <w:tcBorders>
              <w:top w:val="single" w:color="auto" w:sz="4" w:space="0"/>
              <w:left w:val="single" w:color="auto" w:sz="4" w:space="0"/>
              <w:bottom w:val="single" w:color="auto" w:sz="4" w:space="0"/>
              <w:right w:val="single" w:color="auto" w:sz="4" w:space="0"/>
            </w:tcBorders>
            <w:vAlign w:val="center"/>
          </w:tcPr>
          <w:p w14:paraId="4289F1D3">
            <w:pPr>
              <w:spacing w:line="360" w:lineRule="auto"/>
              <w:rPr>
                <w:rFonts w:ascii="仿宋" w:hAnsi="仿宋" w:eastAsia="仿宋" w:cs="仿宋"/>
                <w:color w:val="auto"/>
                <w:lang w:eastAsia="zh-CN"/>
              </w:rPr>
            </w:pPr>
            <w:r>
              <w:rPr>
                <w:rFonts w:hint="eastAsia" w:ascii="仿宋" w:hAnsi="仿宋" w:eastAsia="仿宋" w:cs="仿宋"/>
                <w:color w:val="auto"/>
                <w:lang w:eastAsia="zh-CN"/>
              </w:rPr>
              <w:t>1、着重提醒各供应商注意，并认真查看磋商文件中的每一个条款及要求，因误读磋商文件而造成的后果，招标人概不负责。</w:t>
            </w:r>
          </w:p>
          <w:p w14:paraId="59E4AB67">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2、供应商使用相同IP地址的，一经发现，相关部门将进一步核实，查实后按串通投标处理。</w:t>
            </w:r>
          </w:p>
          <w:p w14:paraId="7726B216">
            <w:pPr>
              <w:spacing w:line="360" w:lineRule="auto"/>
              <w:rPr>
                <w:rFonts w:ascii="仿宋" w:hAnsi="仿宋" w:eastAsia="仿宋" w:cs="仿宋"/>
                <w:color w:val="auto"/>
                <w:lang w:eastAsia="zh-CN"/>
              </w:rPr>
            </w:pPr>
            <w:r>
              <w:rPr>
                <w:rFonts w:hint="eastAsia" w:ascii="仿宋" w:hAnsi="仿宋" w:eastAsia="仿宋" w:cs="仿宋"/>
                <w:color w:val="auto"/>
                <w:lang w:eastAsia="zh-CN"/>
              </w:rPr>
              <w:t>3、为保证本项目质量，良好的售后服务，最低报价不作为中标的唯一依据。</w:t>
            </w:r>
          </w:p>
          <w:p w14:paraId="3F777779">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7E6B3850">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5、如为信息系统采购项目，供应商不得为该整体项目或其中分项目前期工作提供过设计、编制、管理等服务的法人及附属单位。</w:t>
            </w:r>
          </w:p>
          <w:p w14:paraId="08241B27">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330FAA3D">
            <w:pPr>
              <w:spacing w:line="360" w:lineRule="auto"/>
              <w:rPr>
                <w:rFonts w:ascii="仿宋" w:hAnsi="仿宋" w:eastAsia="仿宋" w:cs="仿宋"/>
                <w:color w:val="auto"/>
                <w:lang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、其它：</w:t>
            </w:r>
          </w:p>
          <w:p w14:paraId="4BC22D67">
            <w:pPr>
              <w:spacing w:line="360" w:lineRule="auto"/>
              <w:rPr>
                <w:rFonts w:ascii="仿宋" w:hAnsi="仿宋" w:eastAsia="仿宋" w:cs="仿宋"/>
                <w:color w:val="auto"/>
                <w:lang w:eastAsia="zh-CN"/>
              </w:rPr>
            </w:pPr>
            <w:r>
              <w:rPr>
                <w:rFonts w:hint="eastAsia" w:ascii="仿宋" w:hAnsi="仿宋" w:eastAsia="仿宋" w:cs="仿宋"/>
                <w:color w:val="auto"/>
                <w:lang w:eastAsia="zh-CN"/>
              </w:rPr>
              <w:t>（1）投标企业严格遵守国家的法律法规及招标纪律，无违法违纪及商业贿赂行为。</w:t>
            </w:r>
          </w:p>
          <w:p w14:paraId="5E2C46CF">
            <w:pPr>
              <w:spacing w:line="360" w:lineRule="auto"/>
              <w:rPr>
                <w:rFonts w:ascii="仿宋" w:hAnsi="仿宋" w:eastAsia="仿宋" w:cs="仿宋"/>
                <w:color w:val="auto"/>
                <w:lang w:eastAsia="zh-CN"/>
              </w:rPr>
            </w:pPr>
            <w:r>
              <w:rPr>
                <w:rFonts w:hint="eastAsia" w:ascii="仿宋" w:hAnsi="仿宋" w:eastAsia="仿宋" w:cs="仿宋"/>
                <w:color w:val="auto"/>
                <w:lang w:eastAsia="zh-CN"/>
              </w:rPr>
              <w:t>（2）不管投标结果如何，供应商均应自行承担投标所需一切费用。</w:t>
            </w:r>
          </w:p>
          <w:p w14:paraId="000545A0">
            <w:pPr>
              <w:spacing w:line="360" w:lineRule="auto"/>
              <w:rPr>
                <w:rFonts w:eastAsia="仿宋"/>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）磋商</w:t>
            </w:r>
            <w:r>
              <w:rPr>
                <w:rFonts w:hint="eastAsia" w:ascii="仿宋" w:hAnsi="仿宋" w:eastAsia="仿宋" w:cs="仿宋"/>
                <w:b/>
                <w:bCs/>
                <w:color w:val="auto"/>
                <w:sz w:val="24"/>
                <w:szCs w:val="24"/>
                <w:highlight w:val="none"/>
              </w:rPr>
              <w:t>响应文件中的报价为一次报价，各投标单位进行二次报价（磋商），采购人也可以根据磋商情况进行多轮报价，投标报价评审以最终报价为准</w:t>
            </w:r>
            <w:r>
              <w:rPr>
                <w:rFonts w:hint="eastAsia" w:ascii="仿宋" w:hAnsi="仿宋" w:eastAsia="仿宋" w:cs="仿宋"/>
                <w:color w:val="auto"/>
                <w:sz w:val="24"/>
                <w:szCs w:val="24"/>
                <w:highlight w:val="none"/>
                <w:lang w:eastAsia="zh-CN"/>
              </w:rPr>
              <w:t>。</w:t>
            </w:r>
          </w:p>
          <w:p w14:paraId="7EBD4DC9">
            <w:pPr>
              <w:spacing w:line="360" w:lineRule="auto"/>
              <w:rPr>
                <w:rFonts w:ascii="仿宋" w:hAnsi="仿宋" w:eastAsia="仿宋" w:cs="仿宋"/>
                <w:color w:val="auto"/>
                <w:lang w:eastAsia="zh-CN"/>
              </w:rPr>
            </w:pPr>
            <w:r>
              <w:rPr>
                <w:rFonts w:hint="eastAsia" w:ascii="仿宋" w:hAnsi="仿宋" w:eastAsia="仿宋" w:cs="仿宋"/>
                <w:b w:val="0"/>
                <w:bCs w:val="0"/>
                <w:color w:val="auto"/>
                <w:lang w:eastAsia="zh-CN"/>
              </w:rPr>
              <w:t>（</w:t>
            </w:r>
            <w:r>
              <w:rPr>
                <w:rFonts w:hint="eastAsia" w:ascii="仿宋" w:hAnsi="仿宋" w:eastAsia="仿宋" w:cs="仿宋"/>
                <w:b w:val="0"/>
                <w:bCs w:val="0"/>
                <w:color w:val="auto"/>
                <w:lang w:val="en-US" w:eastAsia="zh-CN"/>
              </w:rPr>
              <w:t>4</w:t>
            </w:r>
            <w:r>
              <w:rPr>
                <w:rFonts w:hint="eastAsia" w:ascii="仿宋" w:hAnsi="仿宋" w:eastAsia="仿宋" w:cs="仿宋"/>
                <w:b w:val="0"/>
                <w:bCs w:val="0"/>
                <w:color w:val="auto"/>
                <w:lang w:eastAsia="zh-CN"/>
              </w:rPr>
              <w:t>）磋商文件中如出现前后不一致情况，均以前附表内容为准。</w:t>
            </w:r>
          </w:p>
        </w:tc>
      </w:tr>
    </w:tbl>
    <w:p w14:paraId="4663C47C">
      <w:pPr>
        <w:pageBreakBefore/>
        <w:spacing w:beforeLines="100" w:afterLines="100" w:line="340" w:lineRule="exact"/>
        <w:jc w:val="center"/>
        <w:outlineLvl w:val="1"/>
        <w:rPr>
          <w:rFonts w:ascii="仿宋" w:hAnsi="仿宋" w:eastAsia="仿宋" w:cs="仿宋"/>
          <w:b/>
          <w:color w:val="auto"/>
          <w:sz w:val="28"/>
          <w:szCs w:val="32"/>
          <w:lang w:eastAsia="zh-CN"/>
        </w:rPr>
      </w:pPr>
      <w:r>
        <w:rPr>
          <w:rFonts w:hint="eastAsia" w:ascii="仿宋" w:hAnsi="仿宋" w:eastAsia="仿宋" w:cs="仿宋"/>
          <w:b/>
          <w:color w:val="auto"/>
          <w:sz w:val="28"/>
          <w:szCs w:val="28"/>
          <w:lang w:eastAsia="zh-CN"/>
        </w:rPr>
        <w:t>二、供应商须知</w:t>
      </w:r>
    </w:p>
    <w:p w14:paraId="2E25181E">
      <w:pPr>
        <w:spacing w:line="340" w:lineRule="exact"/>
        <w:jc w:val="center"/>
        <w:outlineLvl w:val="2"/>
        <w:rPr>
          <w:rFonts w:ascii="仿宋" w:hAnsi="仿宋" w:eastAsia="仿宋" w:cs="仿宋"/>
          <w:color w:val="auto"/>
          <w:sz w:val="28"/>
          <w:szCs w:val="28"/>
          <w:lang w:eastAsia="zh-CN"/>
        </w:rPr>
      </w:pPr>
      <w:bookmarkStart w:id="4" w:name="_Toc469495724"/>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32"/>
          <w:lang w:eastAsia="zh-CN"/>
        </w:rPr>
        <w:t>总  则</w:t>
      </w:r>
      <w:bookmarkEnd w:id="4"/>
    </w:p>
    <w:p w14:paraId="4C872868">
      <w:pPr>
        <w:snapToGrid w:val="0"/>
        <w:spacing w:line="3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1.项目概况</w:t>
      </w:r>
    </w:p>
    <w:p w14:paraId="04A64CF1">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1.1本次招标采购项目名称：见供应商须知前附表。</w:t>
      </w:r>
    </w:p>
    <w:p w14:paraId="1249B1CC">
      <w:pPr>
        <w:snapToGrid w:val="0"/>
        <w:spacing w:line="440" w:lineRule="exact"/>
        <w:ind w:firstLine="2400" w:firstLineChars="1000"/>
        <w:rPr>
          <w:rFonts w:ascii="仿宋" w:hAnsi="仿宋" w:eastAsia="仿宋" w:cs="仿宋"/>
          <w:color w:val="auto"/>
          <w:szCs w:val="21"/>
          <w:u w:val="single"/>
          <w:lang w:eastAsia="zh-CN"/>
        </w:rPr>
      </w:pPr>
      <w:r>
        <w:rPr>
          <w:rFonts w:hint="eastAsia" w:ascii="仿宋" w:hAnsi="仿宋" w:eastAsia="仿宋" w:cs="仿宋"/>
          <w:color w:val="auto"/>
          <w:szCs w:val="21"/>
          <w:lang w:eastAsia="zh-CN"/>
        </w:rPr>
        <w:t>项目编号：见供应商须知前附表。</w:t>
      </w:r>
    </w:p>
    <w:p w14:paraId="2281F7D8">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招标人：见供应商须知前附表。</w:t>
      </w:r>
    </w:p>
    <w:p w14:paraId="5ECAB006">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服务期：见供应商须知前附表。</w:t>
      </w:r>
    </w:p>
    <w:p w14:paraId="6764324A">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供货地点：见供应商须知前附表。</w:t>
      </w:r>
    </w:p>
    <w:p w14:paraId="3E53C76D">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1.2招标人及联系人: 见供应商须知前附表。</w:t>
      </w:r>
    </w:p>
    <w:p w14:paraId="72F5A6AC">
      <w:pPr>
        <w:snapToGrid w:val="0"/>
        <w:spacing w:line="440" w:lineRule="exact"/>
        <w:ind w:firstLine="600" w:firstLineChars="25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代理机构及联系人: 见供应商须知前附表。</w:t>
      </w:r>
    </w:p>
    <w:p w14:paraId="4B196DE0">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1.3资金来源：见供应商须知前附表。</w:t>
      </w:r>
    </w:p>
    <w:p w14:paraId="4D99D798">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1.4本项目预算：见供应商须知前附表。</w:t>
      </w:r>
    </w:p>
    <w:p w14:paraId="4075D05A">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1.5本项目控制价：见供应商须知前附表。</w:t>
      </w:r>
    </w:p>
    <w:p w14:paraId="4B28FC54">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2.招标范围</w:t>
      </w:r>
    </w:p>
    <w:p w14:paraId="268A51A2">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2.1 采购内容：见供应商须知前附表。</w:t>
      </w:r>
    </w:p>
    <w:p w14:paraId="55611C27">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 技术要求：详见采购文件第四章技术参数及服务要求。</w:t>
      </w:r>
    </w:p>
    <w:p w14:paraId="1D5F71BC">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3.标包划分</w:t>
      </w:r>
    </w:p>
    <w:p w14:paraId="2981A54B">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3.1本项目划分：</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u w:val="single"/>
          <w:lang w:val="en-US" w:eastAsia="zh-CN"/>
        </w:rPr>
        <w:t>1</w:t>
      </w:r>
      <w:r>
        <w:rPr>
          <w:rFonts w:hint="eastAsia" w:ascii="仿宋" w:hAnsi="仿宋" w:eastAsia="仿宋" w:cs="仿宋"/>
          <w:color w:val="auto"/>
          <w:szCs w:val="21"/>
          <w:lang w:eastAsia="zh-CN"/>
        </w:rPr>
        <w:t>个包。</w:t>
      </w:r>
    </w:p>
    <w:p w14:paraId="79BBF6A6">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4.招标方式</w:t>
      </w:r>
    </w:p>
    <w:p w14:paraId="5CA37A51">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4.1本项目招标方式：</w:t>
      </w:r>
      <w:r>
        <w:rPr>
          <w:rFonts w:hint="eastAsia" w:ascii="仿宋" w:hAnsi="仿宋" w:eastAsia="仿宋" w:cs="仿宋"/>
          <w:color w:val="auto"/>
          <w:szCs w:val="21"/>
          <w:u w:val="single"/>
          <w:lang w:eastAsia="zh-CN"/>
        </w:rPr>
        <w:t>竞争性磋商</w:t>
      </w:r>
      <w:r>
        <w:rPr>
          <w:rFonts w:hint="eastAsia" w:ascii="仿宋" w:hAnsi="仿宋" w:eastAsia="仿宋" w:cs="仿宋"/>
          <w:color w:val="auto"/>
          <w:szCs w:val="21"/>
          <w:lang w:eastAsia="zh-CN"/>
        </w:rPr>
        <w:t>。</w:t>
      </w:r>
    </w:p>
    <w:p w14:paraId="33767EE7">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5.计价方式</w:t>
      </w:r>
    </w:p>
    <w:p w14:paraId="52EEC12B">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5.1本次招标项目合同采用</w:t>
      </w:r>
      <w:r>
        <w:rPr>
          <w:rFonts w:hint="eastAsia" w:ascii="仿宋" w:hAnsi="仿宋" w:eastAsia="仿宋" w:cs="仿宋"/>
          <w:color w:val="auto"/>
          <w:szCs w:val="21"/>
          <w:u w:val="single"/>
          <w:lang w:eastAsia="zh-CN"/>
        </w:rPr>
        <w:t xml:space="preserve">   固定总价 。</w:t>
      </w:r>
    </w:p>
    <w:p w14:paraId="74CA3519">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6.评标办法</w:t>
      </w:r>
    </w:p>
    <w:p w14:paraId="5B987461">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6.1本次招标评标采用</w:t>
      </w:r>
      <w:r>
        <w:rPr>
          <w:rFonts w:hint="eastAsia" w:ascii="仿宋" w:hAnsi="仿宋" w:eastAsia="仿宋" w:cs="仿宋"/>
          <w:color w:val="auto"/>
          <w:szCs w:val="21"/>
          <w:u w:val="single"/>
          <w:lang w:eastAsia="zh-CN"/>
        </w:rPr>
        <w:t xml:space="preserve">  综合评分法 </w:t>
      </w:r>
      <w:r>
        <w:rPr>
          <w:rFonts w:hint="eastAsia" w:ascii="仿宋" w:hAnsi="仿宋" w:eastAsia="仿宋" w:cs="仿宋"/>
          <w:color w:val="auto"/>
          <w:szCs w:val="21"/>
          <w:lang w:eastAsia="zh-CN"/>
        </w:rPr>
        <w:t>（详见第三章评标办法）</w:t>
      </w:r>
    </w:p>
    <w:p w14:paraId="4C18EF06">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7.供应商资格</w:t>
      </w:r>
    </w:p>
    <w:p w14:paraId="3C57ABD2">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7.1参与采购活动的供应商必须是满足《中华人民共和国政府采购法》规定条件的法人、其他组织或者自然人。</w:t>
      </w:r>
    </w:p>
    <w:p w14:paraId="47B0647E">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7.2由于政府采购项目的差异性，供应商在参与具体政府采购项目活动时，应仔细阅读该项目的资质要求,具体见供应商须知前附表。</w:t>
      </w:r>
    </w:p>
    <w:p w14:paraId="11448F43">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lang w:eastAsia="zh-CN" w:bidi="ar-SA"/>
        </w:rPr>
        <w:t>(已在政采云平台其他省份入驻的供应商无须重复注册），</w:t>
      </w:r>
      <w:r>
        <w:rPr>
          <w:rFonts w:hint="eastAsia" w:ascii="仿宋" w:hAnsi="仿宋" w:eastAsia="仿宋" w:cs="仿宋"/>
          <w:color w:val="auto"/>
          <w:szCs w:val="21"/>
          <w:lang w:eastAsia="zh-CN"/>
        </w:rPr>
        <w:t>并完成CA数字证书申领。因未注册入库、未办理CA数字证书等原因造成无法投标或投标失败等后果由供应商自行承担。</w:t>
      </w:r>
    </w:p>
    <w:p w14:paraId="358CF9B6">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7.4供应商必须确保自己在信息库中注册的信息真实、准确，并保证投标文件中的有关信息与库中的信息相一致。否则，供应商因此蒙受损失，招标人概不负责。</w:t>
      </w:r>
    </w:p>
    <w:p w14:paraId="748C9E09">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8. 投标费用</w:t>
      </w:r>
    </w:p>
    <w:p w14:paraId="1564081C">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8.1供应商准备和参加投标活动发生的费用自理。</w:t>
      </w:r>
    </w:p>
    <w:p w14:paraId="3A9CF71C">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9.</w:t>
      </w:r>
      <w:bookmarkStart w:id="5" w:name="_Toc247592876"/>
      <w:bookmarkStart w:id="6" w:name="_Toc144974507"/>
      <w:bookmarkStart w:id="7" w:name="_Toc247527563"/>
      <w:bookmarkStart w:id="8" w:name="_Toc296602429"/>
      <w:bookmarkStart w:id="9" w:name="_Toc247513962"/>
      <w:bookmarkStart w:id="10" w:name="_Toc152042315"/>
      <w:bookmarkStart w:id="11" w:name="_Toc152045539"/>
      <w:r>
        <w:rPr>
          <w:rFonts w:hint="eastAsia" w:ascii="仿宋" w:hAnsi="仿宋" w:eastAsia="仿宋" w:cs="仿宋"/>
          <w:b/>
          <w:color w:val="auto"/>
          <w:szCs w:val="21"/>
          <w:lang w:eastAsia="zh-CN"/>
        </w:rPr>
        <w:t xml:space="preserve"> 踏勘现场</w:t>
      </w:r>
      <w:bookmarkEnd w:id="5"/>
      <w:bookmarkEnd w:id="6"/>
      <w:bookmarkEnd w:id="7"/>
      <w:bookmarkEnd w:id="8"/>
      <w:bookmarkEnd w:id="9"/>
      <w:bookmarkEnd w:id="10"/>
      <w:bookmarkEnd w:id="11"/>
    </w:p>
    <w:p w14:paraId="38EC42DB">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lang w:eastAsia="zh-CN"/>
        </w:rPr>
        <w:t>供应商自行踏勘现场的，可咨询本项目采购人或采购代理机构联系人</w:t>
      </w:r>
      <w:r>
        <w:rPr>
          <w:rFonts w:hint="eastAsia" w:ascii="仿宋" w:hAnsi="仿宋" w:eastAsia="仿宋" w:cs="仿宋"/>
          <w:b w:val="0"/>
          <w:bCs w:val="0"/>
          <w:color w:val="auto"/>
          <w:lang w:eastAsia="zh-CN"/>
        </w:rPr>
        <w:t>；</w:t>
      </w:r>
      <w:r>
        <w:rPr>
          <w:rFonts w:hint="eastAsia" w:ascii="仿宋" w:hAnsi="仿宋" w:eastAsia="仿宋" w:cs="仿宋"/>
          <w:b/>
          <w:bCs/>
          <w:color w:val="auto"/>
          <w:lang w:eastAsia="zh-CN"/>
        </w:rPr>
        <w:t>供应商自行踏勘现场的，可咨询本项目采购人或采购代理机构联系人。</w:t>
      </w:r>
      <w:r>
        <w:rPr>
          <w:rFonts w:hint="eastAsia" w:ascii="仿宋" w:hAnsi="仿宋" w:eastAsia="仿宋" w:cs="仿宋"/>
          <w:b/>
          <w:bCs/>
          <w:color w:val="auto"/>
          <w:szCs w:val="21"/>
          <w:lang w:eastAsia="zh-CN"/>
        </w:rPr>
        <w:t xml:space="preserve"> </w:t>
      </w:r>
    </w:p>
    <w:p w14:paraId="443D746B">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9.2 供应商踏勘现场发生的费用自理。</w:t>
      </w:r>
    </w:p>
    <w:p w14:paraId="5773ECCB">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9.3 除招标人的原因外，供应商自行负责在踏勘现场中所发生的人员伤亡和财产损失。</w:t>
      </w:r>
    </w:p>
    <w:p w14:paraId="75D004EE">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9.4 招标人在踏勘现场中介绍的场地和相关的周边环境情况，供供应商在编制投标文件时参考，招标人不对供应商据此作出的判断和决策负责。</w:t>
      </w:r>
      <w:bookmarkStart w:id="12" w:name="_Toc144974508"/>
      <w:bookmarkStart w:id="13" w:name="_Toc296602430"/>
      <w:bookmarkStart w:id="14" w:name="_Toc247592877"/>
      <w:bookmarkStart w:id="15" w:name="_Toc247527564"/>
      <w:bookmarkStart w:id="16" w:name="_Toc247513963"/>
      <w:bookmarkStart w:id="17" w:name="_Toc152042316"/>
      <w:bookmarkStart w:id="18" w:name="_Toc152045540"/>
    </w:p>
    <w:p w14:paraId="76C2D306">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10. 投标预备会</w:t>
      </w:r>
      <w:bookmarkEnd w:id="12"/>
      <w:bookmarkEnd w:id="13"/>
      <w:bookmarkEnd w:id="14"/>
      <w:bookmarkEnd w:id="15"/>
      <w:bookmarkEnd w:id="16"/>
      <w:bookmarkEnd w:id="17"/>
      <w:bookmarkEnd w:id="18"/>
    </w:p>
    <w:p w14:paraId="1F794772">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10.1供应商须知前附表规定召开投标预备会的，招标人按供应商须知前附表规定的时间和地点召开投标预备会，澄清供应商提出的问题。</w:t>
      </w:r>
    </w:p>
    <w:p w14:paraId="21C70290">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10.2供应商应在供应商须知前附表规定的时间前，将提出的问题送达招标人，以便招标人澄清。</w:t>
      </w:r>
    </w:p>
    <w:p w14:paraId="74A688D7">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10.3招标人在供应商须知前附表规定的时间，将对供应商所提的问题进行澄清。该澄清内容为采购文件的组成部分。</w:t>
      </w:r>
    </w:p>
    <w:p w14:paraId="605DF37A">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11. 联合投标</w:t>
      </w:r>
    </w:p>
    <w:p w14:paraId="49E0DBE8">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16AC7579">
      <w:pPr>
        <w:spacing w:line="40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1F323D38">
      <w:pPr>
        <w:spacing w:line="400" w:lineRule="exact"/>
        <w:ind w:firstLine="470"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11.3 联合体应当确定其中一个单位为投标的全权代表，负责参加投标的一切事务，并承担投标及履约中应承担的全部责任与义务。</w:t>
      </w:r>
    </w:p>
    <w:p w14:paraId="42E35D08">
      <w:pPr>
        <w:pStyle w:val="10"/>
        <w:spacing w:after="0" w:line="400" w:lineRule="exact"/>
        <w:ind w:left="0" w:leftChars="0" w:firstLine="484" w:firstLineChars="202"/>
        <w:rPr>
          <w:rFonts w:ascii="仿宋" w:hAnsi="仿宋" w:eastAsia="仿宋" w:cs="仿宋"/>
          <w:color w:val="auto"/>
          <w:szCs w:val="21"/>
          <w:lang w:eastAsia="zh-CN"/>
        </w:rPr>
      </w:pPr>
      <w:r>
        <w:rPr>
          <w:rFonts w:hint="eastAsia" w:ascii="仿宋" w:hAnsi="仿宋" w:eastAsia="仿宋" w:cs="仿宋"/>
          <w:color w:val="auto"/>
          <w:szCs w:val="21"/>
          <w:lang w:eastAsia="zh-CN"/>
        </w:rPr>
        <w:t>11.4 联合体各方应当共同与招标人签订采购合同，就采购合同约定的事项对招标人承担连带责任。</w:t>
      </w:r>
    </w:p>
    <w:p w14:paraId="0D1E0050">
      <w:pPr>
        <w:spacing w:line="440" w:lineRule="exact"/>
        <w:ind w:firstLine="472" w:firstLineChars="196"/>
        <w:rPr>
          <w:rFonts w:ascii="仿宋" w:hAnsi="仿宋" w:eastAsia="仿宋" w:cs="仿宋"/>
          <w:b/>
          <w:color w:val="auto"/>
          <w:szCs w:val="21"/>
          <w:lang w:eastAsia="zh-CN"/>
        </w:rPr>
      </w:pPr>
      <w:r>
        <w:rPr>
          <w:rFonts w:hint="eastAsia" w:ascii="仿宋" w:hAnsi="仿宋" w:eastAsia="仿宋" w:cs="仿宋"/>
          <w:b/>
          <w:color w:val="auto"/>
          <w:szCs w:val="21"/>
          <w:lang w:eastAsia="zh-CN"/>
        </w:rPr>
        <w:t>12.招标代理费:</w:t>
      </w:r>
      <w:r>
        <w:rPr>
          <w:rFonts w:hint="eastAsia" w:ascii="仿宋" w:hAnsi="仿宋" w:eastAsia="仿宋" w:cs="仿宋"/>
          <w:color w:val="auto"/>
          <w:szCs w:val="21"/>
          <w:lang w:eastAsia="zh-CN"/>
        </w:rPr>
        <w:t xml:space="preserve"> 见供应商须知前附表。</w:t>
      </w:r>
    </w:p>
    <w:p w14:paraId="4203556F">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13.供应商应注意的事项</w:t>
      </w:r>
    </w:p>
    <w:p w14:paraId="3533FEEA">
      <w:pPr>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color w:val="auto"/>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4E0015C6">
      <w:pPr>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13.2 供应商对采购内容中规定的技术参数、规格等要求必须完全响应或优于采购文件中的要求。</w:t>
      </w:r>
    </w:p>
    <w:p w14:paraId="280051CA">
      <w:pPr>
        <w:spacing w:line="440" w:lineRule="exact"/>
        <w:ind w:firstLine="470"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13.3所有供应商的投标保证金都应在采购文件规定的投标保证金缴纳截止日期前缴纳。</w:t>
      </w:r>
    </w:p>
    <w:p w14:paraId="04C42942">
      <w:pPr>
        <w:spacing w:line="440" w:lineRule="exact"/>
        <w:ind w:firstLine="470"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lang w:eastAsia="zh-CN"/>
        </w:rPr>
        <w:t>为采购项目提供整体设计、规范编制或者项目管理、监理、检测等服务的供应商，不得再参加该采购项目的其他采购活动。</w:t>
      </w:r>
    </w:p>
    <w:p w14:paraId="42D35C61">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bCs/>
          <w:color w:val="auto"/>
          <w:szCs w:val="21"/>
          <w:lang w:eastAsia="zh-CN"/>
        </w:rPr>
        <w:t>13.5本项目只接受</w:t>
      </w:r>
      <w:r>
        <w:rPr>
          <w:rFonts w:hint="eastAsia" w:ascii="仿宋" w:hAnsi="仿宋" w:eastAsia="仿宋" w:cs="仿宋"/>
          <w:color w:val="auto"/>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14:paraId="2AF91DB9">
      <w:pPr>
        <w:wordWrap w:val="0"/>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13.6  供应商被视为充分熟悉本招标项目所在地的与履行合同有关的各种情况，包括但不限于：</w:t>
      </w:r>
    </w:p>
    <w:p w14:paraId="35A594C1">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（1）国家对本次投标货物和服务的生产、安装调试、验收、维修等有关法律、法规及行业管理标准；</w:t>
      </w:r>
    </w:p>
    <w:p w14:paraId="401ECB5A">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（2）本地区有关管理部门的相关规定；</w:t>
      </w:r>
    </w:p>
    <w:p w14:paraId="7A2D6395">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（3）招标人的相关场地情况、基础建设、电力供应情况及相关设计标准。</w:t>
      </w:r>
    </w:p>
    <w:p w14:paraId="449E100D">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本采购文件不再对上述情况进行描述。</w:t>
      </w:r>
      <w:bookmarkStart w:id="19" w:name="_Toc469495725"/>
    </w:p>
    <w:p w14:paraId="21D7F4A7">
      <w:pPr>
        <w:spacing w:line="400" w:lineRule="exact"/>
        <w:ind w:firstLine="422" w:firstLineChars="150"/>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w:t>
      </w:r>
      <w:bookmarkEnd w:id="19"/>
      <w:r>
        <w:rPr>
          <w:rFonts w:hint="eastAsia" w:ascii="仿宋" w:hAnsi="仿宋" w:eastAsia="仿宋" w:cs="仿宋"/>
          <w:b/>
          <w:color w:val="auto"/>
          <w:sz w:val="28"/>
          <w:szCs w:val="28"/>
          <w:lang w:eastAsia="zh-CN"/>
        </w:rPr>
        <w:t>磋商文件</w:t>
      </w:r>
    </w:p>
    <w:p w14:paraId="316681E5">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15. 采购文件的编制依据</w:t>
      </w:r>
    </w:p>
    <w:p w14:paraId="29B652C4">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根据《中华人民共和国政府采购法》、《政府采购货物和服务招标投标管理办法》、《政府采购竞争性磋商采购方式管理暂行办法》和《</w:t>
      </w:r>
      <w:r>
        <w:rPr>
          <w:rFonts w:hint="eastAsia" w:ascii="仿宋" w:hAnsi="仿宋" w:eastAsia="仿宋" w:cs="仿宋"/>
          <w:color w:val="auto"/>
          <w:highlight w:val="none"/>
          <w:lang w:eastAsia="zh-CN"/>
        </w:rPr>
        <w:t>中华人民共和国民法典</w:t>
      </w:r>
      <w:r>
        <w:rPr>
          <w:rFonts w:hint="eastAsia" w:ascii="仿宋" w:hAnsi="仿宋" w:eastAsia="仿宋" w:cs="仿宋"/>
          <w:color w:val="auto"/>
          <w:szCs w:val="21"/>
          <w:lang w:eastAsia="zh-CN"/>
        </w:rPr>
        <w:t>》</w:t>
      </w:r>
      <w:r>
        <w:rPr>
          <w:rFonts w:hint="eastAsia" w:ascii="仿宋" w:hAnsi="仿宋" w:eastAsia="仿宋" w:cs="仿宋"/>
          <w:color w:val="auto"/>
          <w:spacing w:val="-2"/>
          <w:szCs w:val="21"/>
          <w:lang w:eastAsia="zh-CN"/>
        </w:rPr>
        <w:t>等相关法律法规和规章及部、省、市级规范性文件的规定，编制本采购文件。</w:t>
      </w:r>
    </w:p>
    <w:p w14:paraId="2B75AC13">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16. </w:t>
      </w:r>
      <w:r>
        <w:rPr>
          <w:rFonts w:hint="eastAsia" w:ascii="仿宋" w:hAnsi="仿宋" w:eastAsia="仿宋" w:cs="仿宋"/>
          <w:b/>
          <w:bCs/>
          <w:color w:val="auto"/>
          <w:szCs w:val="21"/>
          <w:lang w:eastAsia="zh-CN"/>
        </w:rPr>
        <w:t>磋商文件的组成</w:t>
      </w:r>
    </w:p>
    <w:p w14:paraId="190C8593">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16.1 磋商文件包括内容：</w:t>
      </w:r>
    </w:p>
    <w:p w14:paraId="3C5CA261">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第一章  竞争性磋商公告</w:t>
      </w:r>
    </w:p>
    <w:p w14:paraId="6B27C809">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第二章  投标须知</w:t>
      </w:r>
    </w:p>
    <w:p w14:paraId="66A607C8">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第三章  评标办法</w:t>
      </w:r>
    </w:p>
    <w:p w14:paraId="12FDB5B4">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第四章  技术参数及服务要求</w:t>
      </w:r>
    </w:p>
    <w:p w14:paraId="675B49ED">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第五章  合同条款及格式</w:t>
      </w:r>
    </w:p>
    <w:p w14:paraId="22A79F04">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第六章  投标文件格式文本</w:t>
      </w:r>
    </w:p>
    <w:p w14:paraId="2409EFED">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16.2 除16.1内容外，招标答疑亦为采购文件的组成部分，对招标人和供应商起约束作用。</w:t>
      </w:r>
    </w:p>
    <w:p w14:paraId="1C86CA25">
      <w:pPr>
        <w:pStyle w:val="12"/>
        <w:wordWrap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2C6069BF">
      <w:pPr>
        <w:wordWrap w:val="0"/>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克州政府采购网下载专区下载。采购文件的澄清将在政采云平台“更正公告”栏目予以公告，但不指明澄清问题的来源。如果澄清内容影响投标文件编制的，将相应延长投标截止时间。</w:t>
      </w:r>
    </w:p>
    <w:p w14:paraId="67D9D24E">
      <w:pPr>
        <w:spacing w:line="440" w:lineRule="exact"/>
        <w:rPr>
          <w:rFonts w:ascii="仿宋" w:hAnsi="仿宋" w:eastAsia="仿宋" w:cs="仿宋"/>
          <w:b/>
          <w:bCs/>
          <w:color w:val="auto"/>
          <w:szCs w:val="21"/>
          <w:lang w:eastAsia="zh-CN"/>
        </w:rPr>
      </w:pPr>
      <w:r>
        <w:rPr>
          <w:rFonts w:hint="eastAsia" w:ascii="仿宋" w:hAnsi="仿宋" w:eastAsia="仿宋" w:cs="仿宋"/>
          <w:b/>
          <w:bCs/>
          <w:color w:val="auto"/>
          <w:szCs w:val="21"/>
          <w:lang w:eastAsia="zh-CN"/>
        </w:rPr>
        <w:t>17. 磋商文件的修改、补充、解释</w:t>
      </w:r>
    </w:p>
    <w:p w14:paraId="38900097">
      <w:pPr>
        <w:wordWrap w:val="0"/>
        <w:spacing w:line="400" w:lineRule="exact"/>
        <w:ind w:firstLine="360"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1075DFD7">
      <w:pPr>
        <w:wordWrap w:val="0"/>
        <w:spacing w:line="400" w:lineRule="exact"/>
        <w:ind w:firstLine="360"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17.2 采购代理机构可视采购具体情况对已发出的采购文件进行必要的澄清、修改或者补充。澄清、修改或者补充的内容可能影响投标文件编制的，应当在投标截止时间至少</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日前，在原公告发布媒体上发布澄清公告，澄清或者修改的内容为采购文件的组成部分；不足</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 xml:space="preserve">日的，应当顺延提交投标文件的截止时间。 </w:t>
      </w:r>
    </w:p>
    <w:p w14:paraId="3D623347">
      <w:pPr>
        <w:wordWrap w:val="0"/>
        <w:spacing w:line="400" w:lineRule="exact"/>
        <w:ind w:firstLine="360" w:firstLineChars="150"/>
        <w:rPr>
          <w:rFonts w:ascii="仿宋" w:hAnsi="仿宋" w:eastAsia="仿宋" w:cs="仿宋"/>
          <w:color w:val="auto"/>
          <w:szCs w:val="21"/>
          <w:lang w:eastAsia="zh-CN"/>
        </w:rPr>
      </w:pPr>
      <w:r>
        <w:rPr>
          <w:rFonts w:hint="eastAsia" w:ascii="仿宋" w:hAnsi="仿宋" w:eastAsia="仿宋" w:cs="仿宋"/>
          <w:bCs/>
          <w:color w:val="auto"/>
          <w:szCs w:val="21"/>
          <w:lang w:eastAsia="zh-CN"/>
        </w:rPr>
        <w:t xml:space="preserve">17.3 </w:t>
      </w:r>
      <w:r>
        <w:rPr>
          <w:rFonts w:hint="eastAsia" w:ascii="仿宋" w:hAnsi="仿宋" w:eastAsia="仿宋" w:cs="仿宋"/>
          <w:color w:val="auto"/>
          <w:szCs w:val="21"/>
          <w:lang w:eastAsia="zh-CN"/>
        </w:rPr>
        <w:t>供应商在规定的时间内未对采购文件提出疑问、质疑或要求澄清的，将视其为无异议。</w:t>
      </w:r>
    </w:p>
    <w:p w14:paraId="7772C347">
      <w:pPr>
        <w:spacing w:line="400" w:lineRule="exact"/>
        <w:ind w:firstLine="240" w:firstLineChars="100"/>
        <w:rPr>
          <w:rFonts w:ascii="仿宋" w:hAnsi="仿宋" w:eastAsia="仿宋" w:cs="仿宋"/>
          <w:bCs/>
          <w:color w:val="auto"/>
          <w:szCs w:val="21"/>
          <w:lang w:eastAsia="zh-CN"/>
        </w:rPr>
      </w:pPr>
      <w:r>
        <w:rPr>
          <w:rFonts w:hint="eastAsia" w:ascii="仿宋" w:hAnsi="仿宋" w:eastAsia="仿宋" w:cs="仿宋"/>
          <w:bCs/>
          <w:color w:val="auto"/>
          <w:szCs w:val="21"/>
          <w:lang w:eastAsia="zh-CN"/>
        </w:rPr>
        <w:t>17.4 磋商文件的解释</w:t>
      </w:r>
    </w:p>
    <w:p w14:paraId="4FA55525">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本采购文件由招标人（或其委托的招标代理机构）负责解释。</w:t>
      </w:r>
    </w:p>
    <w:p w14:paraId="1222BEA7">
      <w:pPr>
        <w:spacing w:line="400" w:lineRule="exact"/>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 18. 磋商文件的发出</w:t>
      </w:r>
    </w:p>
    <w:p w14:paraId="197242E8">
      <w:pPr>
        <w:spacing w:line="400" w:lineRule="exact"/>
        <w:ind w:firstLine="360"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18.1 磋商文件、磋商文件的澄清、修改、补充及招标答疑等均应报相关部门备案后，方可发出。</w:t>
      </w:r>
    </w:p>
    <w:p w14:paraId="7FCBDA6C">
      <w:pPr>
        <w:spacing w:line="440" w:lineRule="exact"/>
        <w:ind w:firstLine="241" w:firstLineChars="100"/>
        <w:rPr>
          <w:rFonts w:ascii="仿宋" w:hAnsi="仿宋" w:eastAsia="仿宋" w:cs="仿宋"/>
          <w:color w:val="auto"/>
          <w:szCs w:val="21"/>
          <w:lang w:eastAsia="zh-CN"/>
        </w:rPr>
      </w:pPr>
      <w:bookmarkStart w:id="20" w:name="_Toc469495726"/>
      <w:r>
        <w:rPr>
          <w:rFonts w:hint="eastAsia" w:ascii="仿宋" w:hAnsi="仿宋" w:eastAsia="仿宋" w:cs="仿宋"/>
          <w:b/>
          <w:color w:val="auto"/>
          <w:szCs w:val="21"/>
          <w:lang w:eastAsia="zh-CN"/>
        </w:rPr>
        <w:t xml:space="preserve">19. </w:t>
      </w:r>
      <w:r>
        <w:rPr>
          <w:rFonts w:hint="eastAsia" w:ascii="仿宋" w:hAnsi="仿宋" w:eastAsia="仿宋" w:cs="仿宋"/>
          <w:color w:val="auto"/>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5BB4667A">
      <w:pPr>
        <w:spacing w:line="440" w:lineRule="exact"/>
        <w:ind w:firstLine="420"/>
        <w:rPr>
          <w:rFonts w:ascii="仿宋" w:hAnsi="仿宋" w:eastAsia="仿宋" w:cs="仿宋"/>
          <w:color w:val="auto"/>
          <w:szCs w:val="21"/>
          <w:lang w:eastAsia="zh-CN"/>
        </w:rPr>
      </w:pPr>
      <w:r>
        <w:rPr>
          <w:rFonts w:hint="eastAsia" w:ascii="仿宋" w:hAnsi="仿宋" w:eastAsia="仿宋" w:cs="仿宋"/>
          <w:color w:val="auto"/>
          <w:szCs w:val="21"/>
          <w:lang w:eastAsia="zh-CN"/>
        </w:rPr>
        <w:t>磋商文件中应明确样品送检方式、检测费用支付方法、供应商在规定时间内无法提供第三方权威检测机构检测报告的处理方式。（采购人根据项目需求按上述要求自行描述）</w:t>
      </w:r>
    </w:p>
    <w:p w14:paraId="0A517AC4">
      <w:pPr>
        <w:spacing w:beforeLines="100" w:afterLines="100" w:line="440" w:lineRule="exact"/>
        <w:jc w:val="center"/>
        <w:outlineLvl w:val="2"/>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（三）投标文件的编制</w:t>
      </w:r>
      <w:bookmarkEnd w:id="20"/>
    </w:p>
    <w:p w14:paraId="310D4F61">
      <w:pPr>
        <w:spacing w:line="440" w:lineRule="exact"/>
        <w:ind w:firstLine="349" w:firstLineChars="145"/>
        <w:rPr>
          <w:rFonts w:ascii="仿宋" w:hAnsi="仿宋" w:eastAsia="仿宋" w:cs="仿宋"/>
          <w:b/>
          <w:color w:val="auto"/>
          <w:szCs w:val="21"/>
          <w:lang w:eastAsia="zh-CN"/>
        </w:rPr>
      </w:pPr>
      <w:r>
        <w:rPr>
          <w:rFonts w:hint="eastAsia" w:ascii="仿宋" w:hAnsi="仿宋" w:eastAsia="仿宋" w:cs="仿宋"/>
          <w:b/>
          <w:color w:val="auto"/>
          <w:szCs w:val="21"/>
          <w:lang w:eastAsia="zh-CN"/>
        </w:rPr>
        <w:t>20. 投标的语言及度量衡单位</w:t>
      </w:r>
    </w:p>
    <w:p w14:paraId="5EE9C2EE">
      <w:pPr>
        <w:spacing w:line="440" w:lineRule="exact"/>
        <w:ind w:firstLine="324" w:firstLineChars="135"/>
        <w:rPr>
          <w:rFonts w:ascii="仿宋" w:hAnsi="仿宋" w:eastAsia="仿宋" w:cs="仿宋"/>
          <w:color w:val="auto"/>
          <w:szCs w:val="21"/>
          <w:lang w:eastAsia="zh-CN"/>
        </w:rPr>
      </w:pPr>
      <w:r>
        <w:rPr>
          <w:rFonts w:hint="eastAsia" w:ascii="仿宋" w:hAnsi="仿宋" w:eastAsia="仿宋" w:cs="仿宋"/>
          <w:color w:val="auto"/>
          <w:szCs w:val="21"/>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3D6DB2B6">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20.2除采购文件中另有规定外，投标书所使用的度量衡均须采用法定计量单位。</w:t>
      </w:r>
    </w:p>
    <w:p w14:paraId="5CAE72AE">
      <w:pPr>
        <w:spacing w:line="400" w:lineRule="exact"/>
        <w:ind w:firstLine="236" w:firstLineChars="98"/>
        <w:rPr>
          <w:rFonts w:ascii="仿宋" w:hAnsi="仿宋" w:eastAsia="仿宋" w:cs="仿宋"/>
          <w:b/>
          <w:color w:val="auto"/>
          <w:szCs w:val="21"/>
          <w:lang w:eastAsia="zh-CN"/>
        </w:rPr>
      </w:pPr>
      <w:r>
        <w:rPr>
          <w:rFonts w:hint="eastAsia" w:ascii="仿宋" w:hAnsi="仿宋" w:eastAsia="仿宋" w:cs="仿宋"/>
          <w:b/>
          <w:color w:val="auto"/>
          <w:szCs w:val="21"/>
          <w:lang w:eastAsia="zh-CN"/>
        </w:rPr>
        <w:t>21. 投标文件的组成</w:t>
      </w:r>
    </w:p>
    <w:p w14:paraId="606B29A2">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资格证明文件和商务及技术文件两部分。</w:t>
      </w:r>
    </w:p>
    <w:p w14:paraId="48825A4A">
      <w:pPr>
        <w:spacing w:line="440" w:lineRule="exact"/>
        <w:ind w:firstLine="354"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21.1资格证明文件（包括但不限于）</w:t>
      </w:r>
    </w:p>
    <w:p w14:paraId="13AFA168">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资格证明文件是证明供应商有资格参加投标和中标后有能力履行合同的文件，这些文件应能满足招标的要求，否则作无效投标处理。</w:t>
      </w:r>
    </w:p>
    <w:p w14:paraId="19C9D682">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1、法人或者非法人组织的营业执照等证明文件复印件（须加盖本单位章）或自然人的身份证明复印件;</w:t>
      </w:r>
    </w:p>
    <w:p w14:paraId="36F5CAF6">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2、法定代表人资格证明书；</w:t>
      </w:r>
    </w:p>
    <w:p w14:paraId="0A3E2470">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3、法定代表人授权书；</w:t>
      </w:r>
    </w:p>
    <w:p w14:paraId="67C93E74">
      <w:pPr>
        <w:spacing w:line="440" w:lineRule="exact"/>
        <w:ind w:firstLine="352" w:firstLineChars="147"/>
        <w:rPr>
          <w:rFonts w:hint="eastAsia"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r>
        <w:rPr>
          <w:rFonts w:hint="eastAsia" w:ascii="仿宋" w:hAnsi="仿宋" w:eastAsia="仿宋" w:cs="仿宋"/>
          <w:color w:val="auto"/>
          <w:lang w:val="en-US" w:eastAsia="zh-CN"/>
        </w:rPr>
        <w:t>;</w:t>
      </w:r>
    </w:p>
    <w:p w14:paraId="33FF79E7">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w:t>
      </w:r>
      <w:r>
        <w:rPr>
          <w:rFonts w:hint="eastAsia" w:ascii="仿宋" w:hAnsi="仿宋" w:eastAsia="仿宋" w:cs="仿宋"/>
          <w:color w:val="auto"/>
          <w:szCs w:val="21"/>
          <w:highlight w:val="none"/>
          <w:lang w:eastAsia="zh-CN"/>
        </w:rPr>
        <w:t>投标保证金缴纳凭证或投标担保函；</w:t>
      </w:r>
    </w:p>
    <w:p w14:paraId="00FA8212">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6、投标企业须提供投标人（被授权在职人员）近6个月内任意一个月有效的社保证明；</w:t>
      </w:r>
    </w:p>
    <w:p w14:paraId="07543F08">
      <w:pPr>
        <w:spacing w:line="440" w:lineRule="exact"/>
        <w:ind w:firstLine="352" w:firstLineChars="147"/>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color w:val="auto"/>
          <w:szCs w:val="21"/>
          <w:lang w:val="en-US" w:eastAsia="zh-CN"/>
        </w:rPr>
        <w:t>7</w:t>
      </w:r>
      <w:r>
        <w:rPr>
          <w:rFonts w:hint="eastAsia" w:ascii="仿宋" w:hAnsi="仿宋" w:eastAsia="仿宋" w:cs="仿宋"/>
          <w:color w:val="auto"/>
          <w:szCs w:val="21"/>
          <w:lang w:eastAsia="zh-CN"/>
        </w:rPr>
        <w:t>、</w:t>
      </w:r>
      <w:r>
        <w:rPr>
          <w:rFonts w:hint="eastAsia" w:ascii="仿宋" w:hAnsi="仿宋" w:eastAsia="仿宋" w:cs="仿宋"/>
          <w:b w:val="0"/>
          <w:bCs w:val="0"/>
          <w:i w:val="0"/>
          <w:iCs w:val="0"/>
          <w:caps w:val="0"/>
          <w:color w:val="000000"/>
          <w:spacing w:val="0"/>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112E0A7B">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b w:val="0"/>
          <w:bCs w:val="0"/>
          <w:i w:val="0"/>
          <w:iCs w:val="0"/>
          <w:caps w:val="0"/>
          <w:color w:val="000000"/>
          <w:spacing w:val="0"/>
          <w:sz w:val="24"/>
          <w:szCs w:val="24"/>
          <w:lang w:val="en-US" w:eastAsia="zh-CN"/>
        </w:rPr>
        <w:t>8、</w:t>
      </w:r>
      <w:r>
        <w:rPr>
          <w:rFonts w:hint="eastAsia" w:ascii="仿宋" w:hAnsi="仿宋" w:eastAsia="仿宋" w:cs="仿宋"/>
          <w:color w:val="auto"/>
          <w:szCs w:val="21"/>
          <w:lang w:eastAsia="zh-CN"/>
        </w:rPr>
        <w:t>供应商须知资料表要求的其他资格证明文件。</w:t>
      </w:r>
    </w:p>
    <w:p w14:paraId="7B75916A">
      <w:pPr>
        <w:spacing w:line="440" w:lineRule="exact"/>
        <w:ind w:firstLine="354" w:firstLineChars="147"/>
        <w:rPr>
          <w:rFonts w:ascii="仿宋" w:hAnsi="仿宋" w:eastAsia="仿宋" w:cs="仿宋"/>
          <w:color w:val="auto"/>
          <w:szCs w:val="21"/>
          <w:lang w:eastAsia="zh-CN"/>
        </w:rPr>
      </w:pPr>
      <w:r>
        <w:rPr>
          <w:rFonts w:hint="eastAsia" w:ascii="仿宋" w:hAnsi="仿宋" w:eastAsia="仿宋" w:cs="仿宋"/>
          <w:b/>
          <w:color w:val="auto"/>
          <w:szCs w:val="21"/>
          <w:lang w:eastAsia="zh-CN"/>
        </w:rPr>
        <w:t>21.2 商务及技术文件（包括但不限于）</w:t>
      </w:r>
    </w:p>
    <w:p w14:paraId="53612BB1">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14:paraId="57FED234">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14:paraId="203DB1F9">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3、服务说明一览表</w:t>
      </w:r>
    </w:p>
    <w:p w14:paraId="588A0092">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4、投标分项报价明细表</w:t>
      </w:r>
    </w:p>
    <w:p w14:paraId="4EECB3AC">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5、技术规格偏离表</w:t>
      </w:r>
    </w:p>
    <w:p w14:paraId="319CD174">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14:paraId="2DD49991">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14:paraId="30B16D57">
      <w:pPr>
        <w:spacing w:line="400" w:lineRule="exact"/>
        <w:ind w:firstLine="477" w:firstLineChars="199"/>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8、中标服务费支付承诺书</w:t>
      </w:r>
    </w:p>
    <w:p w14:paraId="01AE0F65">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lang w:eastAsia="zh-CN"/>
        </w:rPr>
        <w:t>、中小企业声明函（服务）</w:t>
      </w:r>
    </w:p>
    <w:p w14:paraId="597412A4">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、残疾人福利性单位声明函</w:t>
      </w:r>
    </w:p>
    <w:p w14:paraId="4A59605E">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、评分标准和细则中技术部分证明材料</w:t>
      </w:r>
    </w:p>
    <w:p w14:paraId="4E49E1D4">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12</w:t>
      </w:r>
      <w:r>
        <w:rPr>
          <w:rFonts w:hint="eastAsia" w:ascii="仿宋" w:hAnsi="仿宋" w:eastAsia="仿宋" w:cs="仿宋"/>
          <w:bCs/>
          <w:color w:val="auto"/>
          <w:szCs w:val="21"/>
          <w:highlight w:val="none"/>
          <w:lang w:eastAsia="zh-CN"/>
        </w:rPr>
        <w:t>、评分标准和细则中商务部分证明材料（格式自拟）</w:t>
      </w:r>
    </w:p>
    <w:p w14:paraId="5E28D281">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13</w:t>
      </w:r>
      <w:r>
        <w:rPr>
          <w:rFonts w:hint="eastAsia" w:ascii="仿宋" w:hAnsi="仿宋" w:eastAsia="仿宋" w:cs="仿宋"/>
          <w:bCs/>
          <w:color w:val="auto"/>
          <w:szCs w:val="21"/>
          <w:highlight w:val="none"/>
          <w:lang w:eastAsia="zh-CN"/>
        </w:rPr>
        <w:t>、供应商认为有必要提供的其他证明材料（格式自拟）</w:t>
      </w:r>
    </w:p>
    <w:p w14:paraId="2E815F09">
      <w:pPr>
        <w:spacing w:line="400" w:lineRule="exact"/>
        <w:ind w:firstLine="479" w:firstLineChars="199"/>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u w:val="single"/>
          <w:lang w:eastAsia="zh-CN"/>
        </w:rPr>
        <w:t>注：以上材料须逐页加盖单位公章。</w:t>
      </w:r>
    </w:p>
    <w:p w14:paraId="60A71AFB">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21.3投标文件的要求</w:t>
      </w:r>
    </w:p>
    <w:p w14:paraId="298269D9">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79AFCA7D">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（2）投标文件格式应按本采购文件第六章格式要求编制，不得对采购文件格式进行增删更改，否则按无效标处理。</w:t>
      </w:r>
    </w:p>
    <w:p w14:paraId="68CA3766">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（3）对采购文件格式可更改的例外情况：采购文件第六章附件格式要求中明确规定表格中行数不够用时可按相同格式增加行数，其他一切内容和格式不得更改。 </w:t>
      </w:r>
    </w:p>
    <w:p w14:paraId="708E6624">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（4）投标文件为电子投标文件，电子投标文件按“政采云供应商项目采购-电子招投标操作指南”及本采购文件要求制作、加密传输。</w:t>
      </w:r>
    </w:p>
    <w:p w14:paraId="6B4319F2">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（5）投标文件未在投标截止时间前完成传输的，视为投标文件撤回；投标文件未按时解密也未提供备份投标文件的，亦视为投标文件撤回。</w:t>
      </w:r>
    </w:p>
    <w:p w14:paraId="69AD225A">
      <w:pPr>
        <w:spacing w:line="440" w:lineRule="exact"/>
        <w:ind w:firstLine="482" w:firstLineChars="200"/>
        <w:rPr>
          <w:rFonts w:ascii="仿宋" w:hAnsi="仿宋" w:eastAsia="仿宋" w:cs="仿宋"/>
          <w:color w:val="auto"/>
          <w:szCs w:val="21"/>
          <w:lang w:eastAsia="zh-CN"/>
        </w:rPr>
      </w:pPr>
      <w:r>
        <w:rPr>
          <w:rFonts w:hint="eastAsia" w:ascii="仿宋" w:hAnsi="仿宋" w:eastAsia="仿宋" w:cs="仿宋"/>
          <w:b/>
          <w:color w:val="auto"/>
          <w:szCs w:val="21"/>
          <w:lang w:eastAsia="zh-CN"/>
        </w:rPr>
        <w:t>22</w:t>
      </w:r>
      <w:r>
        <w:rPr>
          <w:rFonts w:hint="eastAsia" w:ascii="仿宋" w:hAnsi="仿宋" w:eastAsia="仿宋" w:cs="仿宋"/>
          <w:color w:val="auto"/>
          <w:szCs w:val="21"/>
          <w:lang w:eastAsia="zh-CN"/>
        </w:rPr>
        <w:t>.</w:t>
      </w:r>
      <w:r>
        <w:rPr>
          <w:rFonts w:hint="eastAsia" w:ascii="仿宋" w:hAnsi="仿宋" w:eastAsia="仿宋" w:cs="仿宋"/>
          <w:b/>
          <w:color w:val="auto"/>
          <w:szCs w:val="21"/>
          <w:lang w:eastAsia="zh-CN"/>
        </w:rPr>
        <w:t>投标报价</w:t>
      </w:r>
    </w:p>
    <w:p w14:paraId="0E8CE0C8">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22.1投标报价文件中的单价和总价全部采用人民币表示。</w:t>
      </w:r>
    </w:p>
    <w:p w14:paraId="6CE0DAB1">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22.2投标报价表上应清楚地标明供应商拟提供服务名称、服务要求、数量、单价和总价。</w:t>
      </w:r>
    </w:p>
    <w:p w14:paraId="711FF054">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22.3</w:t>
      </w:r>
      <w:r>
        <w:rPr>
          <w:rFonts w:hint="eastAsia" w:ascii="仿宋" w:hAnsi="仿宋" w:eastAsia="仿宋" w:cs="仿宋"/>
          <w:color w:val="auto"/>
          <w:szCs w:val="21"/>
          <w:lang w:val="en-US" w:eastAsia="zh-CN"/>
        </w:rPr>
        <w:t>磋商文件中</w:t>
      </w:r>
      <w:r>
        <w:rPr>
          <w:rFonts w:hint="eastAsia" w:ascii="仿宋" w:hAnsi="仿宋" w:eastAsia="仿宋" w:cs="仿宋"/>
          <w:color w:val="auto"/>
          <w:szCs w:val="21"/>
          <w:lang w:eastAsia="zh-CN"/>
        </w:rPr>
        <w:t>供应商只允许有一个方案、一个报价。</w:t>
      </w:r>
    </w:p>
    <w:p w14:paraId="4D18B11C">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22.4供应商应按“技术参数及服务要求”所列服务逐项进行报总价。综合单价包括：设备费、安装费、材料费、辅材费、运输费、管理费、利润、风险费用、代理费、调试、验收、培训及后期服务及国家对中标单位征收的各种税费等所有一切费用，综合单价今后将不作任何调整。</w:t>
      </w:r>
    </w:p>
    <w:p w14:paraId="5BD4F000">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22.5投标报价的价格是服务价格，其总价即为履行合同的固定总价。</w:t>
      </w:r>
    </w:p>
    <w:p w14:paraId="2C844C9F">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22.6技术要求中规定的服务内容在投标价格中。</w:t>
      </w:r>
      <w:r>
        <w:rPr>
          <w:rFonts w:hint="eastAsia" w:ascii="仿宋" w:hAnsi="仿宋" w:eastAsia="仿宋" w:cs="仿宋"/>
          <w:color w:val="auto"/>
          <w:szCs w:val="21"/>
          <w:highlight w:val="none"/>
          <w:lang w:eastAsia="zh-CN"/>
        </w:rPr>
        <w:t>投标文件报价为含税价，招标人不再为此次招标支付任何费用。</w:t>
      </w:r>
    </w:p>
    <w:p w14:paraId="6268CA4B">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22.7投标报价应由法定代表人或被授权人签署。</w:t>
      </w:r>
    </w:p>
    <w:p w14:paraId="48049D66">
      <w:pPr>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22.8</w:t>
      </w:r>
      <w:r>
        <w:rPr>
          <w:rFonts w:hint="eastAsia" w:ascii="仿宋" w:hAnsi="仿宋" w:eastAsia="仿宋" w:cs="仿宋"/>
          <w:b/>
          <w:color w:val="auto"/>
          <w:szCs w:val="21"/>
          <w:lang w:eastAsia="zh-CN"/>
        </w:rPr>
        <w:t>供应商投标总报价，不得高于本次招标设置的最高限价，</w:t>
      </w:r>
      <w:r>
        <w:rPr>
          <w:rFonts w:hint="eastAsia" w:ascii="仿宋" w:hAnsi="仿宋" w:eastAsia="仿宋" w:cs="仿宋"/>
          <w:b/>
          <w:bCs/>
          <w:color w:val="auto"/>
          <w:szCs w:val="21"/>
          <w:lang w:eastAsia="zh-CN"/>
        </w:rPr>
        <w:t>否则将作为无效投标处理。</w:t>
      </w:r>
    </w:p>
    <w:p w14:paraId="466F5D57">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22.9如投标文件中未列明全面实现投标货物功能而必须配置的配套或辅助设施及相应技术措施的费用，这些费用将被视为已包含在总投标价中。</w:t>
      </w:r>
    </w:p>
    <w:p w14:paraId="04F4105B">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22.10总投标价中不得包含采购文件要求以外的内容，否则，在评标时不予核减，但在授予合同时，招标人有权将这部分价格从其中标价格中扣除。</w:t>
      </w:r>
    </w:p>
    <w:p w14:paraId="75D2B2DB">
      <w:pPr>
        <w:spacing w:line="440" w:lineRule="exact"/>
        <w:ind w:firstLine="460"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33B00273">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23. 投标有效期</w:t>
      </w:r>
    </w:p>
    <w:p w14:paraId="6A5441AB">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23.1 除供应商须知前附表另有规定外，投标有效期为60天。</w:t>
      </w:r>
    </w:p>
    <w:p w14:paraId="4CF98535">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23.2在投标有效期内，供应商撤销或修改其投标文件的，应承担采购文件和法律规定的责任。</w:t>
      </w:r>
    </w:p>
    <w:p w14:paraId="02BE0D46">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0BD29F26">
      <w:pPr>
        <w:spacing w:line="440" w:lineRule="exact"/>
        <w:ind w:firstLine="463" w:firstLineChars="192"/>
        <w:rPr>
          <w:rFonts w:ascii="仿宋" w:hAnsi="仿宋" w:eastAsia="仿宋" w:cs="仿宋"/>
          <w:b/>
          <w:color w:val="auto"/>
          <w:szCs w:val="21"/>
          <w:lang w:eastAsia="zh-CN"/>
        </w:rPr>
      </w:pPr>
      <w:r>
        <w:rPr>
          <w:rFonts w:hint="eastAsia" w:ascii="仿宋" w:hAnsi="仿宋" w:eastAsia="仿宋" w:cs="仿宋"/>
          <w:b/>
          <w:color w:val="auto"/>
          <w:szCs w:val="21"/>
          <w:lang w:eastAsia="zh-CN"/>
        </w:rPr>
        <w:t>24. 投标保证金</w:t>
      </w:r>
    </w:p>
    <w:p w14:paraId="06097EC5">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24.1供应商须知前附表规定递交投标保证金的，供应商在递交投标文件的同时，应按供应商须知前附表规定的金额、担保形式和第六章“投标文件格式”规定的投标保证金格式递交投标保证金，并作为其投标文件的组成部分。供应商不按要求提交投标保证金的，评标委员会将否决其投标。</w:t>
      </w:r>
    </w:p>
    <w:p w14:paraId="5DA70415">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24.2自中标通知书发出之日起5个工作日内退还未中标供应商的投标保证金，自政府采购合同签订之日起5个工作日内退还中标人的投标保证金。</w:t>
      </w:r>
    </w:p>
    <w:p w14:paraId="2D8474B0">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24.3有下列情形之一的，投标保证金将不予退还： </w:t>
      </w:r>
    </w:p>
    <w:p w14:paraId="594D6748">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（1）供应商在规定的投标有效期内撤回或修改其投标文件；</w:t>
      </w:r>
    </w:p>
    <w:p w14:paraId="513EF61A">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（2）中标通知书发出后三十天内，中标人无正当理由拒签合同协议书或未按采购文件规定提交履约担保。</w:t>
      </w:r>
    </w:p>
    <w:p w14:paraId="69536F0E">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（3）提供虚假材料谋取中标的；</w:t>
      </w:r>
    </w:p>
    <w:p w14:paraId="65486A48">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（4）经查实属于陪标、串通投标的等。</w:t>
      </w:r>
    </w:p>
    <w:p w14:paraId="0EA05FFB">
      <w:pPr>
        <w:spacing w:line="400" w:lineRule="exact"/>
        <w:ind w:firstLine="480" w:firstLineChars="200"/>
        <w:rPr>
          <w:rFonts w:ascii="仿宋" w:hAnsi="仿宋" w:eastAsia="仿宋" w:cs="仿宋"/>
          <w:color w:val="auto"/>
          <w:szCs w:val="21"/>
          <w:highlight w:val="none"/>
          <w:lang w:eastAsia="zh-CN"/>
        </w:rPr>
      </w:pPr>
      <w:bookmarkStart w:id="21" w:name="_Toc469495727"/>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14:paraId="192B1E4E">
      <w:pPr>
        <w:pStyle w:val="3"/>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（四）</w:t>
      </w:r>
      <w:bookmarkEnd w:id="21"/>
      <w:r>
        <w:rPr>
          <w:rFonts w:hint="eastAsia" w:ascii="仿宋" w:hAnsi="仿宋" w:eastAsia="仿宋" w:cs="仿宋"/>
          <w:color w:val="auto"/>
          <w:sz w:val="28"/>
          <w:szCs w:val="28"/>
          <w:lang w:eastAsia="zh-CN"/>
        </w:rPr>
        <w:t>投标文件的制作、上传及递交要求</w:t>
      </w:r>
    </w:p>
    <w:p w14:paraId="292FC5B3">
      <w:pPr>
        <w:snapToGrid w:val="0"/>
        <w:spacing w:line="360" w:lineRule="auto"/>
        <w:ind w:firstLine="482" w:firstLineChars="200"/>
        <w:rPr>
          <w:rFonts w:ascii="仿宋" w:hAnsi="仿宋" w:eastAsia="仿宋" w:cs="仿宋"/>
          <w:b/>
          <w:color w:val="auto"/>
          <w:lang w:eastAsia="zh-CN"/>
        </w:rPr>
      </w:pPr>
      <w:r>
        <w:rPr>
          <w:rFonts w:hint="eastAsia" w:ascii="仿宋" w:hAnsi="仿宋" w:eastAsia="仿宋" w:cs="仿宋"/>
          <w:b/>
          <w:bCs/>
          <w:color w:val="auto"/>
          <w:lang w:eastAsia="zh-CN"/>
        </w:rPr>
        <w:t>25.投标文件的制作要求</w:t>
      </w:r>
    </w:p>
    <w:p w14:paraId="31C1450C">
      <w:pPr>
        <w:pStyle w:val="6"/>
        <w:snapToGrid w:val="0"/>
        <w:spacing w:line="360" w:lineRule="auto"/>
        <w:rPr>
          <w:rFonts w:ascii="仿宋" w:hAnsi="仿宋" w:eastAsia="仿宋" w:cs="仿宋"/>
          <w:color w:val="auto"/>
          <w:szCs w:val="24"/>
          <w:lang w:eastAsia="zh-CN"/>
        </w:rPr>
      </w:pPr>
      <w:r>
        <w:rPr>
          <w:rFonts w:hint="eastAsia" w:ascii="仿宋" w:hAnsi="仿宋" w:eastAsia="仿宋" w:cs="仿宋"/>
          <w:bCs/>
          <w:color w:val="auto"/>
          <w:szCs w:val="24"/>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03780AA5">
      <w:pPr>
        <w:pStyle w:val="6"/>
        <w:snapToGrid w:val="0"/>
        <w:spacing w:line="360" w:lineRule="auto"/>
        <w:ind w:firstLine="480" w:firstLineChars="200"/>
        <w:rPr>
          <w:rFonts w:ascii="仿宋" w:hAnsi="仿宋" w:eastAsia="仿宋" w:cs="仿宋"/>
          <w:color w:val="auto"/>
          <w:szCs w:val="24"/>
          <w:lang w:eastAsia="zh-CN"/>
        </w:rPr>
      </w:pPr>
      <w:r>
        <w:rPr>
          <w:rFonts w:hint="eastAsia" w:ascii="仿宋" w:hAnsi="仿宋" w:eastAsia="仿宋" w:cs="仿宋"/>
          <w:bCs/>
          <w:color w:val="auto"/>
          <w:szCs w:val="24"/>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53FA9B3A">
      <w:pPr>
        <w:pStyle w:val="6"/>
        <w:snapToGrid w:val="0"/>
        <w:spacing w:line="360" w:lineRule="auto"/>
        <w:ind w:firstLine="480"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备份电子投标文件：通过“政采云”平台电子投标工具制作投标文件所产生的备份文件。</w:t>
      </w:r>
    </w:p>
    <w:p w14:paraId="6B2A2330">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（2）供应商应对所提供的全部资料的真实性、有效性承担法律责任，电子投标文件中所须加盖公章部分均采用CA签章。</w:t>
      </w:r>
    </w:p>
    <w:p w14:paraId="140147D3">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（3）投标文件以及供应商与采购组织机构就有关投标事宜的所有来往函电，均应以中文汉语书写。除签章、盖章、专用名称等特殊情形外，以中文汉语以外的文字表述的投标文件视同未提供。</w:t>
      </w:r>
    </w:p>
    <w:p w14:paraId="0F7E6F85">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（4）投标计量单位，采购文件已有明确规定的，使用采购文件规定的计量单位；采购文件没有规定的，应采用中华人民共和国法定计量单位（货币单位：人民币元）。</w:t>
      </w:r>
    </w:p>
    <w:p w14:paraId="74EF3199">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（5）若供应商不按采购文件的要求提供资格审查材料，其风险由供应商自行承担。</w:t>
      </w:r>
    </w:p>
    <w:p w14:paraId="2153DD94">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（6）与本次投标无关的内容请不要制作在内，确保投标文件有针对性、简洁明了。</w:t>
      </w:r>
    </w:p>
    <w:p w14:paraId="62E24797">
      <w:pPr>
        <w:snapToGrid w:val="0"/>
        <w:spacing w:line="360" w:lineRule="auto"/>
        <w:ind w:firstLine="482" w:firstLineChars="200"/>
        <w:rPr>
          <w:rFonts w:ascii="仿宋" w:hAnsi="仿宋" w:eastAsia="仿宋" w:cs="仿宋"/>
          <w:b/>
          <w:color w:val="auto"/>
          <w:lang w:eastAsia="zh-CN"/>
        </w:rPr>
      </w:pPr>
      <w:r>
        <w:rPr>
          <w:rFonts w:hint="eastAsia" w:ascii="仿宋" w:hAnsi="仿宋" w:eastAsia="仿宋" w:cs="仿宋"/>
          <w:b/>
          <w:bCs/>
          <w:color w:val="auto"/>
          <w:lang w:eastAsia="zh-CN"/>
        </w:rPr>
        <w:t>26.投标文件的上传</w:t>
      </w:r>
    </w:p>
    <w:p w14:paraId="41DFD6A8">
      <w:pPr>
        <w:pStyle w:val="6"/>
        <w:snapToGrid w:val="0"/>
        <w:spacing w:line="360" w:lineRule="auto"/>
        <w:rPr>
          <w:rFonts w:ascii="仿宋" w:hAnsi="仿宋" w:eastAsia="仿宋" w:cs="仿宋"/>
          <w:b/>
          <w:bCs/>
          <w:color w:val="auto"/>
          <w:szCs w:val="24"/>
          <w:lang w:eastAsia="zh-CN"/>
        </w:rPr>
      </w:pPr>
      <w:r>
        <w:rPr>
          <w:rFonts w:hint="eastAsia" w:ascii="仿宋" w:hAnsi="仿宋" w:eastAsia="仿宋" w:cs="仿宋"/>
          <w:b/>
          <w:bCs/>
          <w:color w:val="auto"/>
          <w:szCs w:val="24"/>
          <w:lang w:eastAsia="zh-CN"/>
        </w:rPr>
        <w:t>（1）</w:t>
      </w:r>
      <w:r>
        <w:rPr>
          <w:rFonts w:hint="eastAsia" w:ascii="仿宋" w:hAnsi="仿宋" w:eastAsia="仿宋" w:cs="仿宋"/>
          <w:b/>
          <w:bCs/>
          <w:color w:val="auto"/>
          <w:szCs w:val="24"/>
          <w:lang w:eastAsia="zh-CN" w:bidi="zh-CN"/>
        </w:rPr>
        <w:t>电子加密投标文件（“.jmbs”格式）</w:t>
      </w:r>
      <w:r>
        <w:rPr>
          <w:rFonts w:hint="eastAsia" w:ascii="仿宋" w:hAnsi="仿宋" w:eastAsia="仿宋" w:cs="仿宋"/>
          <w:b/>
          <w:bCs/>
          <w:color w:val="auto"/>
          <w:szCs w:val="24"/>
          <w:lang w:eastAsia="zh-CN"/>
        </w:rPr>
        <w:t>：</w:t>
      </w:r>
    </w:p>
    <w:p w14:paraId="7EC5D8E5">
      <w:pPr>
        <w:pStyle w:val="6"/>
        <w:snapToGrid w:val="0"/>
        <w:spacing w:line="360" w:lineRule="auto"/>
        <w:ind w:firstLine="600"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a.</w:t>
      </w:r>
      <w:r>
        <w:rPr>
          <w:rFonts w:hint="eastAsia" w:ascii="仿宋" w:hAnsi="仿宋" w:eastAsia="仿宋" w:cs="仿宋"/>
          <w:bCs/>
          <w:color w:val="auto"/>
          <w:szCs w:val="24"/>
          <w:lang w:eastAsia="zh-CN"/>
        </w:rPr>
        <w:t xml:space="preserve"> </w:t>
      </w:r>
      <w:r>
        <w:rPr>
          <w:rFonts w:hint="eastAsia" w:ascii="仿宋" w:hAnsi="仿宋" w:eastAsia="仿宋" w:cs="仿宋"/>
          <w:bCs/>
          <w:color w:val="auto"/>
          <w:szCs w:val="24"/>
          <w:lang w:eastAsia="zh-CN" w:bidi="zh-CN"/>
        </w:rPr>
        <w:t>供应商应在投标截止时间前将电子加密投标文件成功上传递交至新疆政府采购云平台，否则投标无效；</w:t>
      </w:r>
    </w:p>
    <w:p w14:paraId="4AFAEE0D">
      <w:pPr>
        <w:pStyle w:val="6"/>
        <w:snapToGrid w:val="0"/>
        <w:spacing w:line="360" w:lineRule="auto"/>
        <w:ind w:firstLine="600" w:firstLineChars="250"/>
        <w:rPr>
          <w:rFonts w:ascii="仿宋" w:hAnsi="仿宋" w:eastAsia="仿宋" w:cs="仿宋"/>
          <w:bCs/>
          <w:color w:val="auto"/>
          <w:szCs w:val="24"/>
          <w:lang w:eastAsia="zh-CN"/>
        </w:rPr>
      </w:pPr>
      <w:r>
        <w:rPr>
          <w:rFonts w:hint="eastAsia" w:ascii="仿宋" w:hAnsi="仿宋" w:eastAsia="仿宋" w:cs="仿宋"/>
          <w:bCs/>
          <w:color w:val="auto"/>
          <w:szCs w:val="24"/>
          <w:lang w:eastAsia="zh-CN" w:bidi="zh-CN"/>
        </w:rPr>
        <w:t>b.供应商成功上传电子加密投标文件后，可自行打印投标文件接收回执。</w:t>
      </w:r>
    </w:p>
    <w:p w14:paraId="7904B894">
      <w:pPr>
        <w:pStyle w:val="6"/>
        <w:snapToGrid w:val="0"/>
        <w:spacing w:line="360" w:lineRule="auto"/>
        <w:rPr>
          <w:rFonts w:ascii="仿宋" w:hAnsi="仿宋" w:eastAsia="仿宋" w:cs="仿宋"/>
          <w:b/>
          <w:bCs/>
          <w:color w:val="auto"/>
          <w:szCs w:val="24"/>
          <w:lang w:eastAsia="zh-CN" w:bidi="zh-CN"/>
        </w:rPr>
      </w:pPr>
      <w:r>
        <w:rPr>
          <w:rFonts w:hint="eastAsia" w:ascii="仿宋" w:hAnsi="仿宋" w:eastAsia="仿宋" w:cs="仿宋"/>
          <w:b/>
          <w:bCs/>
          <w:color w:val="auto"/>
          <w:szCs w:val="24"/>
          <w:lang w:eastAsia="zh-CN"/>
        </w:rPr>
        <w:t>（2）</w:t>
      </w:r>
      <w:r>
        <w:rPr>
          <w:rFonts w:hint="eastAsia" w:ascii="仿宋" w:hAnsi="仿宋" w:eastAsia="仿宋" w:cs="仿宋"/>
          <w:b/>
          <w:bCs/>
          <w:color w:val="auto"/>
          <w:szCs w:val="24"/>
          <w:lang w:eastAsia="zh-CN" w:bidi="zh-CN"/>
        </w:rPr>
        <w:t>备份投标文件（“.bfbs”格式）：</w:t>
      </w:r>
    </w:p>
    <w:p w14:paraId="01B48982">
      <w:pPr>
        <w:pStyle w:val="6"/>
        <w:snapToGrid w:val="0"/>
        <w:spacing w:line="360" w:lineRule="auto"/>
        <w:ind w:firstLine="600" w:firstLineChars="250"/>
        <w:rPr>
          <w:rFonts w:ascii="仿宋" w:hAnsi="仿宋" w:eastAsia="仿宋" w:cs="仿宋"/>
          <w:color w:val="auto"/>
          <w:szCs w:val="24"/>
          <w:lang w:eastAsia="zh-CN" w:bidi="zh-CN"/>
        </w:rPr>
      </w:pPr>
      <w:r>
        <w:rPr>
          <w:rFonts w:hint="eastAsia" w:ascii="仿宋" w:hAnsi="仿宋" w:eastAsia="仿宋" w:cs="仿宋"/>
          <w:bCs/>
          <w:color w:val="auto"/>
          <w:szCs w:val="24"/>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lang w:eastAsia="zh-CN" w:bidi="zh-CN"/>
        </w:rPr>
        <w:t>“备份投标文件”以投标截止时间前指定接收邮箱最终收到的文件为准，逾期或未按要求提供的视为未提供，建议供应商提前1日办理邮件提供事宜（</w:t>
      </w:r>
      <w:r>
        <w:rPr>
          <w:rFonts w:hint="eastAsia" w:ascii="仿宋" w:hAnsi="仿宋" w:eastAsia="仿宋" w:cs="仿宋"/>
          <w:color w:val="auto"/>
          <w:szCs w:val="24"/>
          <w:highlight w:val="none"/>
          <w:lang w:eastAsia="zh-CN" w:bidi="zh-CN"/>
        </w:rPr>
        <w:t>接收人邮箱：</w:t>
      </w:r>
      <w:r>
        <w:rPr>
          <w:color w:val="auto"/>
          <w:highlight w:val="none"/>
        </w:rPr>
        <w:fldChar w:fldCharType="begin"/>
      </w:r>
      <w:r>
        <w:rPr>
          <w:color w:val="auto"/>
          <w:highlight w:val="none"/>
        </w:rPr>
        <w:instrText xml:space="preserve"> HYPERLINK "mailto:1207446769@qq.com，接收人：陈加轲，电话：15157655122" </w:instrText>
      </w:r>
      <w:r>
        <w:rPr>
          <w:color w:val="auto"/>
          <w:highlight w:val="none"/>
        </w:rPr>
        <w:fldChar w:fldCharType="separate"/>
      </w:r>
      <w:r>
        <w:rPr>
          <w:rFonts w:hint="eastAsia" w:ascii="仿宋" w:hAnsi="仿宋" w:eastAsia="仿宋" w:cs="仿宋"/>
          <w:color w:val="auto"/>
          <w:szCs w:val="24"/>
          <w:highlight w:val="none"/>
          <w:u w:val="single"/>
          <w:lang w:val="en-US" w:eastAsia="zh-CN" w:bidi="zh-CN"/>
        </w:rPr>
        <w:t>3265613387</w:t>
      </w:r>
      <w:r>
        <w:rPr>
          <w:rFonts w:hint="eastAsia" w:ascii="仿宋" w:hAnsi="仿宋" w:eastAsia="仿宋" w:cs="仿宋"/>
          <w:color w:val="auto"/>
          <w:szCs w:val="24"/>
          <w:highlight w:val="none"/>
          <w:u w:val="single"/>
          <w:lang w:eastAsia="zh-CN" w:bidi="zh-CN"/>
        </w:rPr>
        <w:t>@qq.com</w:t>
      </w:r>
      <w:r>
        <w:rPr>
          <w:rStyle w:val="29"/>
          <w:rFonts w:hint="eastAsia" w:ascii="仿宋" w:hAnsi="仿宋" w:eastAsia="仿宋" w:cs="仿宋"/>
          <w:color w:val="auto"/>
          <w:szCs w:val="24"/>
          <w:highlight w:val="none"/>
          <w:lang w:eastAsia="zh-CN" w:bidi="zh-CN"/>
        </w:rPr>
        <w:t>，接收人：</w:t>
      </w:r>
      <w:r>
        <w:rPr>
          <w:rFonts w:hint="eastAsia" w:ascii="仿宋" w:hAnsi="仿宋" w:eastAsia="仿宋" w:cs="仿宋"/>
          <w:color w:val="auto"/>
          <w:szCs w:val="24"/>
          <w:highlight w:val="none"/>
          <w:u w:val="single"/>
          <w:lang w:eastAsia="zh-CN" w:bidi="zh-CN"/>
        </w:rPr>
        <w:t>朱先生</w:t>
      </w:r>
      <w:r>
        <w:rPr>
          <w:rStyle w:val="29"/>
          <w:rFonts w:hint="eastAsia" w:ascii="仿宋" w:hAnsi="仿宋" w:eastAsia="仿宋" w:cs="仿宋"/>
          <w:color w:val="auto"/>
          <w:szCs w:val="24"/>
          <w:highlight w:val="none"/>
          <w:lang w:eastAsia="zh-CN" w:bidi="zh-CN"/>
        </w:rPr>
        <w:t>，电话：</w:t>
      </w:r>
      <w:r>
        <w:rPr>
          <w:rFonts w:hint="eastAsia" w:ascii="仿宋" w:hAnsi="仿宋" w:eastAsia="仿宋" w:cs="仿宋"/>
          <w:color w:val="auto"/>
          <w:szCs w:val="24"/>
          <w:highlight w:val="none"/>
          <w:u w:val="single"/>
          <w:lang w:eastAsia="zh-CN" w:bidi="zh-CN"/>
        </w:rPr>
        <w:t>1</w:t>
      </w:r>
      <w:r>
        <w:rPr>
          <w:rFonts w:hint="eastAsia" w:ascii="仿宋" w:hAnsi="仿宋" w:eastAsia="仿宋" w:cs="仿宋"/>
          <w:color w:val="auto"/>
          <w:szCs w:val="24"/>
          <w:highlight w:val="none"/>
          <w:u w:val="single"/>
          <w:lang w:eastAsia="zh-CN" w:bidi="zh-CN"/>
        </w:rPr>
        <w:fldChar w:fldCharType="end"/>
      </w:r>
      <w:r>
        <w:rPr>
          <w:rFonts w:hint="eastAsia" w:ascii="仿宋" w:hAnsi="仿宋" w:eastAsia="仿宋" w:cs="仿宋"/>
          <w:color w:val="auto"/>
          <w:szCs w:val="24"/>
          <w:highlight w:val="none"/>
          <w:u w:val="single"/>
          <w:lang w:eastAsia="zh-CN" w:bidi="zh-CN"/>
        </w:rPr>
        <w:t>8609088999</w:t>
      </w:r>
      <w:r>
        <w:rPr>
          <w:rFonts w:hint="eastAsia" w:ascii="仿宋" w:hAnsi="仿宋" w:eastAsia="仿宋" w:cs="仿宋"/>
          <w:color w:val="auto"/>
          <w:szCs w:val="24"/>
          <w:lang w:eastAsia="zh-CN" w:bidi="zh-CN"/>
        </w:rPr>
        <w:t>）；</w:t>
      </w:r>
    </w:p>
    <w:p w14:paraId="6ABA9D45">
      <w:pPr>
        <w:pStyle w:val="6"/>
        <w:snapToGrid w:val="0"/>
        <w:spacing w:line="360" w:lineRule="auto"/>
        <w:ind w:firstLine="600"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5A627D3">
      <w:pPr>
        <w:snapToGrid w:val="0"/>
        <w:spacing w:line="360" w:lineRule="auto"/>
        <w:ind w:firstLine="482" w:firstLineChars="200"/>
        <w:rPr>
          <w:rFonts w:ascii="仿宋" w:hAnsi="仿宋" w:eastAsia="仿宋" w:cs="仿宋"/>
          <w:b/>
          <w:color w:val="auto"/>
          <w:lang w:eastAsia="zh-CN"/>
        </w:rPr>
      </w:pPr>
      <w:r>
        <w:rPr>
          <w:rFonts w:hint="eastAsia" w:ascii="仿宋" w:hAnsi="仿宋" w:eastAsia="仿宋" w:cs="仿宋"/>
          <w:b/>
          <w:bCs/>
          <w:color w:val="auto"/>
          <w:lang w:eastAsia="zh-CN"/>
        </w:rPr>
        <w:t>27.</w:t>
      </w:r>
      <w:r>
        <w:rPr>
          <w:rFonts w:hint="eastAsia" w:ascii="仿宋" w:hAnsi="仿宋" w:eastAsia="仿宋" w:cs="仿宋"/>
          <w:b/>
          <w:color w:val="auto"/>
          <w:lang w:eastAsia="zh-CN"/>
        </w:rPr>
        <w:t>投标文件的递交要求</w:t>
      </w:r>
    </w:p>
    <w:p w14:paraId="38495E91">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（1）供应商须按照采购文件和政采云平台的要求编制并加密投标文件。在投标文件递交截止时间以前完成投标文件的传输递交，截止时间后递交的投标文件，将被拒收。</w:t>
      </w:r>
    </w:p>
    <w:p w14:paraId="7A8805A4">
      <w:pPr>
        <w:tabs>
          <w:tab w:val="left" w:pos="1418"/>
        </w:tabs>
        <w:autoSpaceDE w:val="0"/>
        <w:autoSpaceDN w:val="0"/>
        <w:adjustRightInd w:val="0"/>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（2）备份电子投标文件必须在投标截止时间前送达指定的投标地点。备份电子投标文件在截止时间后提交，采购组织机构将拒绝接收。</w:t>
      </w:r>
    </w:p>
    <w:p w14:paraId="36745038">
      <w:pPr>
        <w:tabs>
          <w:tab w:val="left" w:pos="1418"/>
        </w:tabs>
        <w:autoSpaceDE w:val="0"/>
        <w:autoSpaceDN w:val="0"/>
        <w:adjustRightInd w:val="0"/>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（3）如有特殊情况，采购组织机构延长截止时间和开标时间，采购组织机构和供应商的权利和义务将受到新的截止时间和开标时间的约束。</w:t>
      </w:r>
    </w:p>
    <w:p w14:paraId="62664409">
      <w:pPr>
        <w:snapToGrid w:val="0"/>
        <w:spacing w:line="360" w:lineRule="auto"/>
        <w:ind w:firstLine="482" w:firstLineChars="200"/>
        <w:rPr>
          <w:rFonts w:ascii="仿宋" w:hAnsi="仿宋" w:eastAsia="仿宋" w:cs="仿宋"/>
          <w:b/>
          <w:bCs/>
          <w:color w:val="auto"/>
          <w:lang w:eastAsia="zh-CN"/>
        </w:rPr>
      </w:pPr>
      <w:r>
        <w:rPr>
          <w:rFonts w:hint="eastAsia" w:ascii="仿宋" w:hAnsi="仿宋" w:eastAsia="仿宋" w:cs="仿宋"/>
          <w:b/>
          <w:bCs/>
          <w:color w:val="auto"/>
          <w:lang w:eastAsia="zh-CN"/>
        </w:rPr>
        <w:t>28．投标文件的补充、修改与撤回</w:t>
      </w:r>
    </w:p>
    <w:p w14:paraId="7ABB146C">
      <w:pPr>
        <w:tabs>
          <w:tab w:val="left" w:pos="960"/>
          <w:tab w:val="left" w:pos="1418"/>
        </w:tabs>
        <w:autoSpaceDE w:val="0"/>
        <w:autoSpaceDN w:val="0"/>
        <w:adjustRightInd w:val="0"/>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22" w:name="_Toc469495728"/>
    </w:p>
    <w:p w14:paraId="36FEA209">
      <w:pPr>
        <w:tabs>
          <w:tab w:val="left" w:pos="960"/>
          <w:tab w:val="left" w:pos="1418"/>
        </w:tabs>
        <w:autoSpaceDE w:val="0"/>
        <w:autoSpaceDN w:val="0"/>
        <w:adjustRightInd w:val="0"/>
        <w:snapToGrid w:val="0"/>
        <w:spacing w:line="360" w:lineRule="auto"/>
        <w:ind w:firstLine="562" w:firstLineChars="200"/>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（五）开标、评标和定标</w:t>
      </w:r>
      <w:bookmarkEnd w:id="22"/>
    </w:p>
    <w:p w14:paraId="339F9209">
      <w:pPr>
        <w:snapToGrid w:val="0"/>
        <w:spacing w:line="360" w:lineRule="auto"/>
        <w:ind w:firstLine="482" w:firstLineChars="200"/>
        <w:rPr>
          <w:rFonts w:ascii="仿宋" w:hAnsi="仿宋" w:eastAsia="仿宋" w:cs="仿宋"/>
          <w:b/>
          <w:bCs/>
          <w:color w:val="auto"/>
          <w:lang w:eastAsia="zh-CN"/>
        </w:rPr>
      </w:pPr>
      <w:r>
        <w:rPr>
          <w:rFonts w:hint="eastAsia" w:ascii="仿宋" w:hAnsi="仿宋" w:eastAsia="仿宋" w:cs="仿宋"/>
          <w:b/>
          <w:bCs/>
          <w:color w:val="auto"/>
          <w:lang w:eastAsia="zh-CN"/>
        </w:rPr>
        <w:t>29. 开标</w:t>
      </w:r>
    </w:p>
    <w:p w14:paraId="3E339C05">
      <w:pPr>
        <w:snapToGrid w:val="0"/>
        <w:spacing w:line="360" w:lineRule="auto"/>
        <w:ind w:firstLine="482" w:firstLineChars="200"/>
        <w:rPr>
          <w:rFonts w:ascii="仿宋" w:hAnsi="仿宋" w:eastAsia="仿宋" w:cs="仿宋"/>
          <w:b/>
          <w:bCs/>
          <w:color w:val="auto"/>
          <w:lang w:eastAsia="zh-CN"/>
        </w:rPr>
      </w:pPr>
      <w:bookmarkStart w:id="23" w:name="_Toc73975822"/>
      <w:r>
        <w:rPr>
          <w:rFonts w:hint="eastAsia" w:ascii="仿宋" w:hAnsi="仿宋" w:eastAsia="仿宋" w:cs="仿宋"/>
          <w:b/>
          <w:bCs/>
          <w:color w:val="auto"/>
          <w:lang w:eastAsia="zh-CN"/>
        </w:rPr>
        <w:t>29.1开标邀请</w:t>
      </w:r>
      <w:bookmarkEnd w:id="23"/>
    </w:p>
    <w:p w14:paraId="591F74DF">
      <w:pPr>
        <w:pStyle w:val="12"/>
        <w:snapToGrid w:val="0"/>
        <w:spacing w:line="360" w:lineRule="auto"/>
        <w:ind w:firstLine="480"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（1）开标准备：本项目开标的准备工作由采购组织机构负责落实，开标过程由采购组织机构负责记录；</w:t>
      </w:r>
    </w:p>
    <w:p w14:paraId="647D873B">
      <w:pPr>
        <w:pStyle w:val="12"/>
        <w:snapToGrid w:val="0"/>
        <w:spacing w:line="360" w:lineRule="auto"/>
        <w:ind w:firstLine="480"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（2）开标主持:本项目开标由采购人或者采购代理机构主持；</w:t>
      </w:r>
    </w:p>
    <w:p w14:paraId="604CBF67">
      <w:pPr>
        <w:pStyle w:val="12"/>
        <w:snapToGrid w:val="0"/>
        <w:spacing w:line="360" w:lineRule="auto"/>
        <w:ind w:firstLine="480" w:firstLineChars="200"/>
        <w:rPr>
          <w:rFonts w:ascii="仿宋" w:hAnsi="仿宋" w:eastAsia="仿宋" w:cs="仿宋"/>
          <w:color w:val="auto"/>
          <w:szCs w:val="24"/>
        </w:rPr>
      </w:pPr>
      <w:r>
        <w:rPr>
          <w:rFonts w:hint="eastAsia" w:ascii="仿宋" w:hAnsi="仿宋" w:eastAsia="仿宋" w:cs="仿宋"/>
          <w:color w:val="auto"/>
          <w:szCs w:val="24"/>
          <w:lang w:eastAsia="zh-CN"/>
        </w:rPr>
        <w:t>（3）</w:t>
      </w:r>
      <w:r>
        <w:rPr>
          <w:rFonts w:hint="eastAsia" w:ascii="仿宋" w:hAnsi="仿宋" w:eastAsia="仿宋" w:cs="仿宋"/>
          <w:color w:val="auto"/>
          <w:szCs w:val="24"/>
        </w:rPr>
        <w:t>开标邀请：本项目采用电子交易，采购组织机构将按照采购文件规定的时间通过“</w:t>
      </w:r>
      <w:r>
        <w:rPr>
          <w:rFonts w:hint="eastAsia" w:ascii="仿宋" w:hAnsi="仿宋" w:eastAsia="仿宋" w:cs="仿宋"/>
          <w:color w:val="auto"/>
          <w:szCs w:val="24"/>
          <w:lang w:eastAsia="zh-CN"/>
        </w:rPr>
        <w:t>新疆</w:t>
      </w:r>
      <w:r>
        <w:rPr>
          <w:rFonts w:hint="eastAsia" w:ascii="仿宋" w:hAnsi="仿宋" w:eastAsia="仿宋" w:cs="仿宋"/>
          <w:color w:val="auto"/>
          <w:szCs w:val="24"/>
        </w:rPr>
        <w:t>政府采购云平台，网址：</w:t>
      </w:r>
      <w:r>
        <w:rPr>
          <w:color w:val="auto"/>
        </w:rPr>
        <w:fldChar w:fldCharType="begin"/>
      </w:r>
      <w:r>
        <w:rPr>
          <w:color w:val="auto"/>
        </w:rPr>
        <w:instrText xml:space="preserve"> HYPERLINK "http://www.zcygov.cn" </w:instrText>
      </w:r>
      <w:r>
        <w:rPr>
          <w:color w:val="auto"/>
        </w:rPr>
        <w:fldChar w:fldCharType="separate"/>
      </w:r>
      <w:r>
        <w:rPr>
          <w:rStyle w:val="29"/>
          <w:rFonts w:hint="eastAsia" w:ascii="仿宋" w:hAnsi="仿宋" w:eastAsia="仿宋" w:cs="仿宋"/>
          <w:color w:val="auto"/>
          <w:szCs w:val="24"/>
          <w:u w:val="none"/>
        </w:rPr>
        <w:t>www.zcygov.cn</w:t>
      </w:r>
      <w:r>
        <w:rPr>
          <w:rStyle w:val="29"/>
          <w:rFonts w:hint="eastAsia" w:ascii="仿宋" w:hAnsi="仿宋" w:eastAsia="仿宋" w:cs="仿宋"/>
          <w:color w:val="auto"/>
          <w:szCs w:val="24"/>
          <w:u w:val="none"/>
        </w:rPr>
        <w:fldChar w:fldCharType="end"/>
      </w:r>
      <w:r>
        <w:rPr>
          <w:rFonts w:hint="eastAsia" w:ascii="仿宋" w:hAnsi="仿宋" w:eastAsia="仿宋" w:cs="仿宋"/>
          <w:color w:val="auto"/>
          <w:szCs w:val="24"/>
        </w:rPr>
        <w:t>”组织开标、开启投标响应文件，所有供应商均应当准时在线参加。</w:t>
      </w:r>
    </w:p>
    <w:p w14:paraId="192CC712">
      <w:pPr>
        <w:pStyle w:val="12"/>
        <w:snapToGrid w:val="0"/>
        <w:spacing w:line="360" w:lineRule="auto"/>
        <w:ind w:firstLine="480" w:firstLineChars="200"/>
        <w:rPr>
          <w:rFonts w:ascii="仿宋" w:hAnsi="仿宋" w:eastAsia="仿宋" w:cs="仿宋"/>
          <w:color w:val="auto"/>
          <w:szCs w:val="24"/>
          <w:lang w:eastAsia="zh-CN"/>
        </w:rPr>
      </w:pPr>
      <w:r>
        <w:rPr>
          <w:rFonts w:hint="eastAsia" w:ascii="仿宋" w:hAnsi="仿宋" w:eastAsia="仿宋" w:cs="仿宋"/>
          <w:color w:val="auto"/>
          <w:szCs w:val="24"/>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2FCE51E2">
      <w:pPr>
        <w:snapToGrid w:val="0"/>
        <w:spacing w:line="360" w:lineRule="auto"/>
        <w:ind w:firstLine="482" w:firstLineChars="200"/>
        <w:outlineLvl w:val="2"/>
        <w:rPr>
          <w:rFonts w:ascii="仿宋" w:hAnsi="仿宋" w:eastAsia="仿宋" w:cs="仿宋"/>
          <w:b/>
          <w:color w:val="auto"/>
          <w:lang w:eastAsia="zh-CN"/>
        </w:rPr>
      </w:pPr>
      <w:bookmarkStart w:id="24" w:name="_Toc73975823"/>
      <w:r>
        <w:rPr>
          <w:rFonts w:hint="eastAsia" w:ascii="仿宋" w:hAnsi="仿宋" w:eastAsia="仿宋" w:cs="仿宋"/>
          <w:b/>
          <w:color w:val="auto"/>
          <w:lang w:eastAsia="zh-CN"/>
        </w:rPr>
        <w:t>29.2</w:t>
      </w:r>
      <w:r>
        <w:rPr>
          <w:rFonts w:hint="eastAsia" w:ascii="仿宋" w:hAnsi="仿宋" w:eastAsia="仿宋" w:cs="仿宋"/>
          <w:b/>
          <w:bCs/>
          <w:color w:val="auto"/>
          <w:lang w:eastAsia="zh-CN"/>
        </w:rPr>
        <w:t>开标程序</w:t>
      </w:r>
      <w:bookmarkEnd w:id="24"/>
    </w:p>
    <w:p w14:paraId="6B7AB6C4">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（1）开标时间到后，主持人宣布开标会议开始。</w:t>
      </w:r>
    </w:p>
    <w:p w14:paraId="123F8E22">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（2）投标文件解密（</w:t>
      </w:r>
      <w:r>
        <w:rPr>
          <w:rFonts w:hint="eastAsia" w:ascii="仿宋" w:hAnsi="仿宋" w:eastAsia="仿宋" w:cs="仿宋"/>
          <w:b/>
          <w:color w:val="auto"/>
          <w:lang w:eastAsia="zh-CN"/>
        </w:rPr>
        <w:t>解密规定见《供应商须知前附表》</w:t>
      </w:r>
      <w:r>
        <w:rPr>
          <w:rFonts w:hint="eastAsia" w:ascii="仿宋" w:hAnsi="仿宋" w:eastAsia="仿宋" w:cs="仿宋"/>
          <w:color w:val="auto"/>
          <w:lang w:eastAsia="zh-CN"/>
        </w:rPr>
        <w:t>）。</w:t>
      </w:r>
    </w:p>
    <w:p w14:paraId="49DA69AF">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（3）投标文件解密异常情况处理（</w:t>
      </w:r>
      <w:r>
        <w:rPr>
          <w:rFonts w:hint="eastAsia" w:ascii="仿宋" w:hAnsi="仿宋" w:eastAsia="仿宋" w:cs="仿宋"/>
          <w:b/>
          <w:color w:val="auto"/>
          <w:lang w:eastAsia="zh-CN"/>
        </w:rPr>
        <w:t>处理办法见《供应商须知前附表》</w:t>
      </w:r>
      <w:r>
        <w:rPr>
          <w:rFonts w:hint="eastAsia" w:ascii="仿宋" w:hAnsi="仿宋" w:eastAsia="仿宋" w:cs="仿宋"/>
          <w:color w:val="auto"/>
          <w:lang w:eastAsia="zh-CN"/>
        </w:rPr>
        <w:t>）。</w:t>
      </w:r>
    </w:p>
    <w:p w14:paraId="7BF0DBC3">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（4）公布投标文件解密情况（投标文件成功解密的供应商名单等信息），组织签署</w:t>
      </w:r>
      <w:r>
        <w:rPr>
          <w:rFonts w:hint="eastAsia" w:ascii="仿宋" w:hAnsi="仿宋" w:eastAsia="仿宋" w:cs="仿宋"/>
          <w:b/>
          <w:bCs/>
          <w:color w:val="auto"/>
          <w:lang w:eastAsia="zh-CN"/>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lang w:val="en-US" w:eastAsia="zh-CN"/>
        </w:rPr>
        <w:t>3265613387</w:t>
      </w:r>
      <w:r>
        <w:rPr>
          <w:rFonts w:hint="eastAsia" w:ascii="仿宋" w:hAnsi="仿宋" w:eastAsia="仿宋" w:cs="仿宋"/>
          <w:b/>
          <w:bCs/>
          <w:color w:val="auto"/>
          <w:lang w:eastAsia="zh-CN"/>
        </w:rPr>
        <w:t>@qq.com ，逾期发送或未发送的视为无异议</w:t>
      </w:r>
      <w:r>
        <w:rPr>
          <w:rFonts w:hint="eastAsia" w:ascii="仿宋" w:hAnsi="仿宋" w:eastAsia="仿宋" w:cs="仿宋"/>
          <w:color w:val="auto"/>
          <w:lang w:eastAsia="zh-CN"/>
        </w:rPr>
        <w:t>。</w:t>
      </w:r>
    </w:p>
    <w:p w14:paraId="423FA856">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（5）开启标书信息（资格证明文件、商务技术文件）。标书信息开启后，首先由采购人或采购代理机构或评审小组依法对投标供应商的资格证明文件进行审查（具体见本章</w:t>
      </w:r>
      <w:r>
        <w:rPr>
          <w:rFonts w:hint="eastAsia" w:ascii="仿宋" w:hAnsi="仿宋" w:eastAsia="仿宋" w:cs="仿宋"/>
          <w:color w:val="auto"/>
          <w:highlight w:val="none"/>
          <w:lang w:eastAsia="zh-CN"/>
        </w:rPr>
        <w:t>“29.3 投标供</w:t>
      </w:r>
      <w:r>
        <w:rPr>
          <w:rFonts w:hint="eastAsia" w:ascii="仿宋" w:hAnsi="仿宋" w:eastAsia="仿宋" w:cs="仿宋"/>
          <w:color w:val="auto"/>
          <w:lang w:eastAsia="zh-CN"/>
        </w:rPr>
        <w:t>应商资格审查”）， 审查结束公布投标供应商的资格符合情况。资格审查未获通过的供应商，其商务技术文件及报价文件不再进入评审。</w:t>
      </w:r>
    </w:p>
    <w:p w14:paraId="36360609">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（6）商务技术评审结束后，主持人公布商务技术评审无效投标供应商名单和商务技术评审有效投标供应商名单及其商务技术得分情况。商务技术评审无效的供应商，其报价不再进入评审。</w:t>
      </w:r>
    </w:p>
    <w:p w14:paraId="447D1B00">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52A5CD2D">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14:paraId="6F5E84BB">
      <w:pPr>
        <w:snapToGrid w:val="0"/>
        <w:spacing w:line="360" w:lineRule="auto"/>
        <w:ind w:left="480"/>
        <w:rPr>
          <w:rFonts w:ascii="仿宋" w:hAnsi="仿宋" w:eastAsia="仿宋" w:cs="仿宋"/>
          <w:b/>
          <w:color w:val="auto"/>
          <w:lang w:eastAsia="zh-CN"/>
        </w:rPr>
      </w:pPr>
      <w:r>
        <w:rPr>
          <w:rFonts w:hint="eastAsia" w:ascii="仿宋" w:hAnsi="仿宋" w:eastAsia="仿宋" w:cs="仿宋"/>
          <w:b/>
          <w:color w:val="auto"/>
          <w:lang w:eastAsia="zh-CN"/>
        </w:rPr>
        <w:t>特别情况说明：</w:t>
      </w:r>
    </w:p>
    <w:p w14:paraId="57D1FE84">
      <w:pPr>
        <w:snapToGrid w:val="0"/>
        <w:spacing w:line="360" w:lineRule="auto"/>
        <w:ind w:firstLine="426" w:firstLineChars="177"/>
        <w:rPr>
          <w:rFonts w:ascii="仿宋" w:hAnsi="仿宋" w:eastAsia="仿宋" w:cs="仿宋"/>
          <w:b/>
          <w:color w:val="auto"/>
          <w:lang w:eastAsia="zh-CN"/>
        </w:rPr>
      </w:pPr>
      <w:r>
        <w:rPr>
          <w:rFonts w:hint="eastAsia" w:ascii="仿宋" w:hAnsi="仿宋" w:eastAsia="仿宋" w:cs="仿宋"/>
          <w:b/>
          <w:color w:val="auto"/>
          <w:lang w:eastAsia="zh-CN"/>
        </w:rPr>
        <w:t>（1）本项目采用电子交易，如遇“新疆政府采购云平台”电子化开标或评审程序调整的，按调整后程序执行。</w:t>
      </w:r>
    </w:p>
    <w:p w14:paraId="0A6310DC">
      <w:pPr>
        <w:snapToGrid w:val="0"/>
        <w:spacing w:line="360" w:lineRule="auto"/>
        <w:ind w:firstLine="426" w:firstLineChars="177"/>
        <w:rPr>
          <w:rFonts w:ascii="仿宋" w:hAnsi="仿宋" w:eastAsia="仿宋" w:cs="仿宋"/>
          <w:b/>
          <w:color w:val="auto"/>
          <w:lang w:eastAsia="zh-CN"/>
        </w:rPr>
      </w:pPr>
      <w:r>
        <w:rPr>
          <w:rFonts w:hint="eastAsia" w:ascii="仿宋" w:hAnsi="仿宋" w:eastAsia="仿宋" w:cs="仿宋"/>
          <w:b/>
          <w:color w:val="auto"/>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lang w:eastAsia="zh-CN"/>
        </w:rPr>
        <w:t>。</w:t>
      </w:r>
    </w:p>
    <w:p w14:paraId="1271DABF">
      <w:pPr>
        <w:snapToGrid w:val="0"/>
        <w:spacing w:line="360" w:lineRule="auto"/>
        <w:ind w:firstLine="482" w:firstLineChars="200"/>
        <w:rPr>
          <w:rFonts w:ascii="仿宋" w:hAnsi="仿宋" w:eastAsia="仿宋" w:cs="仿宋"/>
          <w:b/>
          <w:color w:val="auto"/>
          <w:lang w:eastAsia="zh-CN"/>
        </w:rPr>
      </w:pPr>
      <w:r>
        <w:rPr>
          <w:rFonts w:hint="eastAsia" w:ascii="仿宋" w:hAnsi="仿宋" w:eastAsia="仿宋" w:cs="仿宋"/>
          <w:b/>
          <w:color w:val="auto"/>
          <w:lang w:eastAsia="zh-CN"/>
        </w:rPr>
        <w:t>29.3 投标供应商资格审查：</w:t>
      </w:r>
    </w:p>
    <w:p w14:paraId="36AA1F14">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bCs/>
          <w:color w:val="auto"/>
          <w:lang w:eastAsia="zh-CN"/>
        </w:rPr>
        <w:t>开标（标书信息开启）后，采购人或采购代理机构或</w:t>
      </w:r>
      <w:r>
        <w:rPr>
          <w:rFonts w:hint="eastAsia" w:ascii="仿宋" w:hAnsi="仿宋" w:eastAsia="仿宋" w:cs="仿宋"/>
          <w:color w:val="auto"/>
          <w:lang w:eastAsia="zh-CN"/>
        </w:rPr>
        <w:t>评审小组</w:t>
      </w:r>
      <w:r>
        <w:rPr>
          <w:rFonts w:hint="eastAsia" w:ascii="仿宋" w:hAnsi="仿宋" w:eastAsia="仿宋" w:cs="仿宋"/>
          <w:bCs/>
          <w:color w:val="auto"/>
          <w:lang w:eastAsia="zh-CN"/>
        </w:rPr>
        <w:t>首先依法对投标供应商的资格文件进行审查，审查各投标供应商的资格符合情况。</w:t>
      </w:r>
      <w:r>
        <w:rPr>
          <w:rFonts w:hint="eastAsia" w:ascii="仿宋" w:hAnsi="仿宋" w:eastAsia="仿宋" w:cs="仿宋"/>
          <w:color w:val="auto"/>
          <w:lang w:eastAsia="zh-CN"/>
        </w:rPr>
        <w:t>采购人或采购代理机构</w:t>
      </w:r>
      <w:r>
        <w:rPr>
          <w:rFonts w:hint="eastAsia" w:ascii="仿宋" w:hAnsi="仿宋" w:eastAsia="仿宋" w:cs="仿宋"/>
          <w:bCs/>
          <w:color w:val="auto"/>
          <w:lang w:eastAsia="zh-CN"/>
        </w:rPr>
        <w:t>或</w:t>
      </w:r>
      <w:r>
        <w:rPr>
          <w:rFonts w:hint="eastAsia" w:ascii="仿宋" w:hAnsi="仿宋" w:eastAsia="仿宋" w:cs="仿宋"/>
          <w:color w:val="auto"/>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3F788D60">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143B9F93">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（3）供应商信用记录查询与使用：见《供应商须知前附表》。</w:t>
      </w:r>
    </w:p>
    <w:p w14:paraId="30ACF2AE">
      <w:pPr>
        <w:snapToGrid w:val="0"/>
        <w:spacing w:line="360" w:lineRule="auto"/>
        <w:ind w:firstLine="354" w:firstLineChars="147"/>
        <w:rPr>
          <w:rFonts w:hint="eastAsia" w:ascii="仿宋" w:hAnsi="仿宋" w:eastAsia="仿宋" w:cs="仿宋"/>
          <w:b/>
          <w:color w:val="auto"/>
          <w:lang w:val="en-US" w:eastAsia="zh-CN"/>
        </w:rPr>
      </w:pPr>
      <w:r>
        <w:rPr>
          <w:rFonts w:hint="eastAsia" w:ascii="仿宋" w:hAnsi="仿宋" w:eastAsia="仿宋" w:cs="仿宋"/>
          <w:b/>
          <w:color w:val="auto"/>
          <w:lang w:val="en-US" w:eastAsia="zh-CN"/>
        </w:rPr>
        <w:t>29.4</w:t>
      </w:r>
      <w:r>
        <w:rPr>
          <w:rFonts w:hint="eastAsia" w:ascii="仿宋" w:hAnsi="仿宋" w:eastAsia="仿宋" w:cs="仿宋"/>
          <w:b/>
          <w:color w:val="auto"/>
        </w:rPr>
        <w:t>磋商报价方式</w:t>
      </w:r>
    </w:p>
    <w:p w14:paraId="45A3B127">
      <w:pPr>
        <w:snapToGrid w:val="0"/>
        <w:spacing w:line="360" w:lineRule="auto"/>
        <w:ind w:firstLine="352" w:firstLineChars="147"/>
        <w:rPr>
          <w:rFonts w:ascii="仿宋" w:hAnsi="仿宋" w:eastAsia="仿宋" w:cs="仿宋"/>
          <w:color w:val="auto"/>
        </w:rPr>
      </w:pPr>
      <w:r>
        <w:rPr>
          <w:rFonts w:hint="eastAsia" w:ascii="仿宋" w:hAnsi="仿宋" w:eastAsia="仿宋" w:cs="仿宋"/>
          <w:color w:val="auto"/>
        </w:rPr>
        <w:t>1、供应商提交的响应性文件中的报价，该报价只允许有一个报价，任何有选择性的报价将不予接受。</w:t>
      </w:r>
    </w:p>
    <w:p w14:paraId="3D4A5946">
      <w:pPr>
        <w:snapToGrid w:val="0"/>
        <w:spacing w:line="360" w:lineRule="auto"/>
        <w:ind w:firstLine="352" w:firstLineChars="147"/>
        <w:rPr>
          <w:rFonts w:ascii="仿宋" w:hAnsi="仿宋" w:eastAsia="仿宋" w:cs="仿宋"/>
          <w:color w:val="auto"/>
        </w:rPr>
      </w:pPr>
      <w:r>
        <w:rPr>
          <w:rFonts w:hint="eastAsia" w:ascii="仿宋" w:hAnsi="仿宋" w:eastAsia="仿宋" w:cs="仿宋"/>
          <w:color w:val="auto"/>
        </w:rPr>
        <w:t>2、 磋商小组所有成员与供应商进行单独磋商。在磋商中，磋商的任何一方不得透露与磋商有关的其他供应商的技术资料、价格和其他信息。磋商文件有实质性变动的，磋商小组应以书面形式通知所有参加磋商的供应商。</w:t>
      </w:r>
    </w:p>
    <w:p w14:paraId="6704874D">
      <w:pPr>
        <w:snapToGrid w:val="0"/>
        <w:spacing w:line="440" w:lineRule="exact"/>
        <w:ind w:firstLine="352" w:firstLineChars="147"/>
        <w:rPr>
          <w:rFonts w:ascii="仿宋" w:hAnsi="仿宋" w:eastAsia="仿宋" w:cs="仿宋"/>
          <w:color w:val="auto"/>
          <w:highlight w:val="none"/>
          <w:lang w:eastAsia="zh-CN"/>
        </w:rPr>
      </w:pPr>
      <w:r>
        <w:rPr>
          <w:rFonts w:hint="eastAsia" w:ascii="仿宋" w:hAnsi="仿宋" w:eastAsia="仿宋" w:cs="仿宋"/>
          <w:color w:val="auto"/>
          <w:highlight w:val="none"/>
        </w:rPr>
        <w:t>3、磋商结束后，供应商可根据磋商情况，进行第二次报价</w:t>
      </w:r>
      <w:r>
        <w:rPr>
          <w:rFonts w:hint="eastAsia" w:ascii="仿宋" w:hAnsi="仿宋" w:eastAsia="仿宋" w:cs="仿宋"/>
          <w:color w:val="auto"/>
          <w:highlight w:val="none"/>
          <w:lang w:eastAsia="zh-CN"/>
        </w:rPr>
        <w:t>，采购人也可以根据磋商情况开启多轮报价，</w:t>
      </w:r>
      <w:r>
        <w:rPr>
          <w:rFonts w:hint="eastAsia" w:ascii="仿宋" w:hAnsi="仿宋" w:eastAsia="仿宋" w:cs="仿宋"/>
          <w:color w:val="auto"/>
          <w:highlight w:val="none"/>
        </w:rPr>
        <w:t>该报价为磋商的最终报价。</w:t>
      </w:r>
    </w:p>
    <w:p w14:paraId="742BFDF3">
      <w:pPr>
        <w:snapToGrid w:val="0"/>
        <w:spacing w:line="440" w:lineRule="exact"/>
        <w:ind w:firstLine="352" w:firstLineChars="147"/>
        <w:rPr>
          <w:rFonts w:ascii="仿宋" w:hAnsi="仿宋" w:eastAsia="仿宋" w:cs="仿宋"/>
          <w:color w:val="auto"/>
          <w:highlight w:val="none"/>
          <w:lang w:eastAsia="zh-CN"/>
        </w:rPr>
      </w:pPr>
      <w:r>
        <w:rPr>
          <w:rFonts w:hint="eastAsia" w:ascii="仿宋" w:hAnsi="仿宋" w:eastAsia="仿宋" w:cs="仿宋"/>
          <w:color w:val="auto"/>
          <w:highlight w:val="none"/>
        </w:rPr>
        <w:t>4、第二次报价</w:t>
      </w:r>
      <w:r>
        <w:rPr>
          <w:rFonts w:hint="eastAsia" w:ascii="仿宋" w:hAnsi="仿宋" w:eastAsia="仿宋" w:cs="仿宋"/>
          <w:color w:val="auto"/>
          <w:highlight w:val="none"/>
          <w:lang w:eastAsia="zh-CN"/>
        </w:rPr>
        <w:t>在政采云不见面开评标系统</w:t>
      </w:r>
      <w:r>
        <w:rPr>
          <w:rFonts w:hint="eastAsia" w:ascii="仿宋" w:hAnsi="仿宋" w:eastAsia="仿宋" w:cs="仿宋"/>
          <w:color w:val="auto"/>
          <w:highlight w:val="none"/>
        </w:rPr>
        <w:t>填写提交。所有供应商的二次报价收集齐全后，二次报价不进行公开唱标</w:t>
      </w:r>
      <w:r>
        <w:rPr>
          <w:rFonts w:hint="eastAsia" w:ascii="仿宋" w:hAnsi="仿宋" w:eastAsia="仿宋" w:cs="仿宋"/>
          <w:color w:val="auto"/>
          <w:highlight w:val="none"/>
          <w:lang w:eastAsia="zh-CN"/>
        </w:rPr>
        <w:t>，依次类推。</w:t>
      </w:r>
    </w:p>
    <w:p w14:paraId="647F30E5">
      <w:pPr>
        <w:snapToGrid w:val="0"/>
        <w:spacing w:line="440" w:lineRule="exact"/>
        <w:ind w:firstLine="352" w:firstLineChars="147"/>
        <w:rPr>
          <w:rFonts w:ascii="仿宋" w:hAnsi="仿宋" w:eastAsia="仿宋" w:cs="仿宋"/>
          <w:color w:val="auto"/>
        </w:rPr>
      </w:pPr>
      <w:r>
        <w:rPr>
          <w:rFonts w:hint="eastAsia" w:ascii="仿宋" w:hAnsi="仿宋" w:eastAsia="仿宋" w:cs="仿宋"/>
          <w:color w:val="auto"/>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p>
    <w:p w14:paraId="0B386A5F">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30.评审工作的组织</w:t>
      </w:r>
    </w:p>
    <w:p w14:paraId="0DFF8A68">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采购人或采购代理机构负责组织本项目的评审工作，并依据《政府采购货物和服务招标投标管理办法（财政部第87号令）》第四十五条的相关规定履行职责。</w:t>
      </w:r>
    </w:p>
    <w:p w14:paraId="404BCCFD">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 评标委员会的组建</w:t>
      </w:r>
    </w:p>
    <w:p w14:paraId="1436CB1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31.1评标委员会由采购人或采购代理机构依法组建，成员由采购人代表1人和评审专家</w:t>
      </w: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人，成员人数为</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人，其中评审专家不少于成员总数的三分之二。</w:t>
      </w:r>
    </w:p>
    <w:p w14:paraId="29FE0A75">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31.2评审专家从新疆政府采购云平台专家库中通过随机方式抽取产生。评标委员会成员名单在采购结果公告前保密。</w:t>
      </w:r>
    </w:p>
    <w:p w14:paraId="6B15F9B1">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32.评标委员会的职责</w:t>
      </w:r>
    </w:p>
    <w:p w14:paraId="3D3B1914">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32.1审查、评价投标文件是否符合采购文件的商务、技术等实质性要求。</w:t>
      </w:r>
    </w:p>
    <w:p w14:paraId="59CF4EB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32.2要求供应商对投标文件有关事项作出澄清或者说明。</w:t>
      </w:r>
    </w:p>
    <w:p w14:paraId="6CCF2862">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32.3对投标文件进行比较和评价。</w:t>
      </w:r>
    </w:p>
    <w:p w14:paraId="138A5973">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32.4确定中标候选人名单，以及根据采购人委托直接确定中标人。</w:t>
      </w:r>
    </w:p>
    <w:p w14:paraId="73F1F22D">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32.5向采购人、采购代理机构或者有关部门报告评审中发现的违法行为。</w:t>
      </w:r>
    </w:p>
    <w:p w14:paraId="4A3F22FA">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 评标原则</w:t>
      </w:r>
    </w:p>
    <w:p w14:paraId="083EC938">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33.1评标委员会将遵循公平、公正、科学的原则，对供应商提交的投标文件进行综合评审，评标委员会按照采购文件规定的评标细则进行评分。</w:t>
      </w:r>
    </w:p>
    <w:p w14:paraId="451CD372">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33.2客观公正对待所有供应商，对所有投标评价均采用相同的程序和标准。 </w:t>
      </w:r>
    </w:p>
    <w:p w14:paraId="2BA85ECD">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33.3评标委员会成员对需要共同认定的事项存在争议的，按照少数服从多数的原则作出结论。持不同意见的评标委员会成员应当在评审报告上签署不同意见及理由，否则视为同意评审报告。</w:t>
      </w:r>
    </w:p>
    <w:p w14:paraId="6E19C609">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5679239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非单一产品采购项目，采购人应当根据采购项目技术构成、产品价格比重等合理确定核心产品，并在采购文件中载明。多家供应商提供的核心产品品牌相同的，按前款规定处理。      </w:t>
      </w:r>
    </w:p>
    <w:p w14:paraId="580EC32B">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34. 评委纪律</w:t>
      </w:r>
    </w:p>
    <w:p w14:paraId="18A55AF7">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委员会成员必须严格遵守保密规定，不得泄露评审的有关情况，任何单位和个人不得干扰、影响评标的正常进行，评标委员会成员不得私下与投标供应商接触，不得出现克州省政府采购活动现场组织管理办法中规定的其他禁止行为。</w:t>
      </w:r>
    </w:p>
    <w:p w14:paraId="1C906ABD">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35.评标程序</w:t>
      </w:r>
    </w:p>
    <w:p w14:paraId="200D2C1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 在评审专家中推选评标委员会组长，采购人代表不得担任评标委员会组长。</w:t>
      </w:r>
    </w:p>
    <w:p w14:paraId="2C86405D">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FEF63F6">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35.3 评审人员对符合资格的供应商的投标文件的有效性、符合性、完整性和响应程度进行审查，确定是否对采购文件作出实质性响应。</w:t>
      </w:r>
    </w:p>
    <w:p w14:paraId="4D71DAA2">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35.4 评审人员按采购文件规定的评审方法和评审标准，依法独立对供应商投标文件进行评估、比较，并给予评价或打分，不受任何单位和个人的干预。</w:t>
      </w:r>
    </w:p>
    <w:p w14:paraId="41DFE896">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74FDFD5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lang w:val="en-US" w:eastAsia="zh-CN"/>
        </w:rPr>
        <w:t>35</w:t>
      </w:r>
      <w:r>
        <w:rPr>
          <w:rFonts w:hint="eastAsia" w:ascii="仿宋" w:hAnsi="仿宋" w:eastAsia="仿宋" w:cs="仿宋"/>
          <w:color w:val="auto"/>
          <w:szCs w:val="21"/>
          <w:lang w:eastAsia="zh-CN"/>
        </w:rPr>
        <w:t>%以上的）情形的，应由相关人员当场改正或作出书面说明；拒不改正又不作书面说明的，由现场监督员如实记载后存入项目档案资料。</w:t>
      </w:r>
    </w:p>
    <w:p w14:paraId="2C5C3F33">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35.7 评标委员会根据评审汇总情况和采购文件规定确定中标候选供应商排序名单。</w:t>
      </w:r>
    </w:p>
    <w:p w14:paraId="5BA6842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35.8 起草评审报告，所有评审人员须在评审报告上签章确认，对自己的评审意见承担法律责任。 </w:t>
      </w:r>
    </w:p>
    <w:p w14:paraId="473F19D4">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35.9 采购组织机构对评标委员会评审专家进行评价。</w:t>
      </w:r>
    </w:p>
    <w:p w14:paraId="173E891A">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35.10 修改评审结果</w:t>
      </w:r>
    </w:p>
    <w:p w14:paraId="710E76A3">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评标结果汇总完成后，除下列情形外，任何人不得修改评标结果：</w:t>
      </w:r>
    </w:p>
    <w:p w14:paraId="331C8B5A">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（1）分值汇总计算错误的；</w:t>
      </w:r>
    </w:p>
    <w:p w14:paraId="0956274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（2）分项评分超出评分标准范围的；</w:t>
      </w:r>
    </w:p>
    <w:p w14:paraId="5EE400FC">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（3）评标委员会成员对客观评审因素评分不一致的；</w:t>
      </w:r>
    </w:p>
    <w:p w14:paraId="49AA2FB9">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（4）经评标委员会认定评分畸高、畸低的。</w:t>
      </w:r>
    </w:p>
    <w:p w14:paraId="5E1B9217">
      <w:pPr>
        <w:widowControl/>
        <w:spacing w:line="440" w:lineRule="exact"/>
        <w:ind w:firstLine="720" w:firstLineChars="300"/>
        <w:rPr>
          <w:rFonts w:ascii="仿宋" w:hAnsi="仿宋" w:eastAsia="仿宋" w:cs="仿宋"/>
          <w:color w:val="auto"/>
          <w:szCs w:val="21"/>
          <w:lang w:eastAsia="zh-CN"/>
        </w:rPr>
      </w:pPr>
      <w:r>
        <w:rPr>
          <w:rFonts w:hint="eastAsia" w:ascii="仿宋" w:hAnsi="仿宋" w:eastAsia="仿宋" w:cs="仿宋"/>
          <w:color w:val="auto"/>
          <w:szCs w:val="21"/>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C7A6B60">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36．澄清、说明或补正的形式</w:t>
      </w:r>
    </w:p>
    <w:p w14:paraId="738BC91F">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lang w:eastAsia="zh-CN"/>
        </w:rPr>
        <w:t>投标供应商澄清、说明或补正时间为20分钟</w:t>
      </w:r>
      <w:r>
        <w:rPr>
          <w:rFonts w:hint="eastAsia" w:ascii="仿宋" w:hAnsi="仿宋" w:eastAsia="仿宋" w:cs="仿宋"/>
          <w:color w:val="auto"/>
          <w:szCs w:val="21"/>
          <w:lang w:eastAsia="zh-CN"/>
        </w:rPr>
        <w:t>。</w:t>
      </w:r>
    </w:p>
    <w:p w14:paraId="65827974">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7668E684">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C8FD7F8">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37．错误修正的原则</w:t>
      </w:r>
    </w:p>
    <w:p w14:paraId="1450C20B">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14:paraId="463C5A57">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14:paraId="1D3E7069">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37.1 投标函中表述的内容与报价表中不一致的，以报价表为准；报价表中的内容与报价明细表不一致的，以报价表为准；</w:t>
      </w:r>
    </w:p>
    <w:p w14:paraId="04ABE00E">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37.2 投标文件中的大写金额和小写金额不一致的，以大写金额为准；</w:t>
      </w:r>
    </w:p>
    <w:p w14:paraId="385FE938">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37.3 单价金额小数点或者百分比有明显错位的，以开标一览表的总价为准，并修改单价；</w:t>
      </w:r>
    </w:p>
    <w:p w14:paraId="3648F7A5">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37.4 总价金额与按单价汇总金额不一致的，以单价金额计算结果为准；</w:t>
      </w:r>
    </w:p>
    <w:p w14:paraId="09EE1389">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37.5 若用文字表示的数值与用数字表示的数值不一致，以文字表示的数值为准；</w:t>
      </w:r>
    </w:p>
    <w:p w14:paraId="45F219A4">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37.6 如有多报（指数量超出采购文件需求）、重报（指同一货物重复报价），其投标总价在评标过程中不予调整，如其中标，其合同价按其投标单价予以调整；</w:t>
      </w:r>
    </w:p>
    <w:p w14:paraId="5D4862D6">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37.7 对不同文字文本投标文件的解释发生异议的，以中文文本为准；</w:t>
      </w:r>
    </w:p>
    <w:p w14:paraId="08AA86E5">
      <w:pPr>
        <w:spacing w:line="440" w:lineRule="exact"/>
        <w:ind w:firstLine="240" w:firstLineChars="100"/>
        <w:rPr>
          <w:rFonts w:ascii="仿宋" w:hAnsi="仿宋" w:eastAsia="仿宋" w:cs="仿宋"/>
          <w:b/>
          <w:bCs/>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lang w:eastAsia="zh-CN"/>
        </w:rPr>
        <w:t>修正应当采用电子询标的形式，并加盖公章（电子印章）。</w:t>
      </w:r>
    </w:p>
    <w:p w14:paraId="198D4C33">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38．无效投标文件</w:t>
      </w:r>
    </w:p>
    <w:p w14:paraId="55BDCB84">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有下列情形之一的，投标文件按无效标处理：</w:t>
      </w:r>
    </w:p>
    <w:p w14:paraId="32C0CC36">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 报名的供应商与参加投标的供应商发生实质性变更的且未提供有效证明的；</w:t>
      </w:r>
    </w:p>
    <w:p w14:paraId="06EB3B32">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38.2 供应商提交两份或两份以上内容不同的投标文件，未声明哪一份有效的；</w:t>
      </w:r>
    </w:p>
    <w:p w14:paraId="70ECCDD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38.3 投标文件非供应商法定代表人签署的，未提供或提供无效的法定代表人授权书；</w:t>
      </w:r>
    </w:p>
    <w:p w14:paraId="110027A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38.4 未按磋商文件规定装订；</w:t>
      </w:r>
    </w:p>
    <w:p w14:paraId="41124D5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38.5 投标文件内容未按磋商文件规定签章或盖章的；</w:t>
      </w:r>
    </w:p>
    <w:p w14:paraId="658176C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38.6 投标文件组成漏项或未按规定的格式编制或投标文件正、副本份数不足或内容不全或内容字迹模糊辨认不清的等而导致评标活动无法正常进行；</w:t>
      </w:r>
    </w:p>
    <w:p w14:paraId="7F8CB714">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38.7 供应商未按磋商文件变更通知更改投标文件的；</w:t>
      </w:r>
    </w:p>
    <w:p w14:paraId="281FD0B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38.8 《开标一览表》和《投标分项报价表》内容不完整且不接受修正意见或字迹不能辨认的或未提供；</w:t>
      </w:r>
    </w:p>
    <w:p w14:paraId="60E62AF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38.9 标项投标报价超过磋商文件规定的预算金额或最高限价</w:t>
      </w:r>
    </w:p>
    <w:p w14:paraId="7A6718BF">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38.10 因供应商原因编制错误造成经评标委员会修正后的报价达到或超过投标报价的0.5%；</w:t>
      </w:r>
    </w:p>
    <w:p w14:paraId="6529ADC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38.11 供应商的报价明显低于其他通过符合性审查供应商的报价，有可能影响产品质量或者不能诚信履约的，且在规定时间内不能合理说明原因并提供证明材料的；</w:t>
      </w:r>
    </w:p>
    <w:p w14:paraId="7A91282E">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38.12 未实质性响应磋商文件中条款要求的投标文件；</w:t>
      </w:r>
    </w:p>
    <w:p w14:paraId="3435162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38.13 不符合招标范围、技术规格、技术标准的要求无法满足采购人使用要求；</w:t>
      </w:r>
    </w:p>
    <w:p w14:paraId="293A4CC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38.14 投标文件附有采购人不能接受的条款；</w:t>
      </w:r>
    </w:p>
    <w:p w14:paraId="524CFD1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38.15 投标文件中提供了赠品或者与本项目采购无关的其他商品、服务；</w:t>
      </w:r>
    </w:p>
    <w:p w14:paraId="19DBD59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38.16 投标文件中承诺的投标有效期少于磋商文件中载明的投标有效期；</w:t>
      </w:r>
    </w:p>
    <w:p w14:paraId="0FC0420B">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38.17供应商串通投标，妨碍其他供应商的竞争行为，损害采购人或者其他供应商的合法权益；</w:t>
      </w:r>
    </w:p>
    <w:p w14:paraId="64D8CFF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38.18违反国家及政府部门相关法律、法规、文件规定或经评标委员会认定的其他属于重大偏离；</w:t>
      </w:r>
    </w:p>
    <w:p w14:paraId="70E21C9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39．废标</w:t>
      </w:r>
    </w:p>
    <w:p w14:paraId="0F21587B">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39.1 符合磋商文件规定废标情形的；</w:t>
      </w:r>
    </w:p>
    <w:p w14:paraId="04FF2BCF">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39.2 出现影响采购公正的违法、违规行为的；</w:t>
      </w:r>
    </w:p>
    <w:p w14:paraId="45FDF07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39.3 供应商的报价均超过了采购预算（或最高限价），采购人不能支付的;</w:t>
      </w:r>
    </w:p>
    <w:p w14:paraId="012CF464">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39.4 因重大变故，采购任务取消的。</w:t>
      </w:r>
    </w:p>
    <w:p w14:paraId="556423B0">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40．突发情况处理</w:t>
      </w:r>
    </w:p>
    <w:p w14:paraId="7ACFCF4B">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40.1 采购过程中出现以下情形，导致电子交易平台无法正常运行，或者无法保证电子交易的公平、公正和安全时，采购组织机构可中止电子交易活动：</w:t>
      </w:r>
    </w:p>
    <w:p w14:paraId="01F4E79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（1）电子交易平台发生故障而无法登录访问的； </w:t>
      </w:r>
    </w:p>
    <w:p w14:paraId="2D0DEC30">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（2）电子交易平台应用或数据库出现错误，不能进行正常操作的；</w:t>
      </w:r>
    </w:p>
    <w:p w14:paraId="0262B5C3">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（3）电子交易平台发现严重安全漏洞，有潜在泄密危险的；</w:t>
      </w:r>
    </w:p>
    <w:p w14:paraId="123E1220">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（4）病毒发作导致不能进行正常操作的； </w:t>
      </w:r>
    </w:p>
    <w:p w14:paraId="0B4098B9">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（5）其他无法保证电子交易的公平、公正和安全的情况。</w:t>
      </w:r>
    </w:p>
    <w:p w14:paraId="72541861">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75B53D8">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40.2 采购代理机构或评审小组因不可抗力（不可抗力包括但不限于自然灾害、断电、传播疫病等）原因造成电子交易活动无法正常运行的，将采取以下措施：</w:t>
      </w:r>
    </w:p>
    <w:p w14:paraId="5C9A49D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（1）短时间内能消除不可抗力因素的，采购代理机构或评审小组在消除不可抗力因素后继续组织电子交易活动； </w:t>
      </w:r>
    </w:p>
    <w:p w14:paraId="56D5B31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（2）长时间内无法消除不可抗力因素的，采购代理机构或评审小组将中止电子交易活动。中止电子交易活动的，采购人应当重新组织政府采购活动。</w:t>
      </w:r>
    </w:p>
    <w:p w14:paraId="1384C522">
      <w:pPr>
        <w:keepNext w:val="0"/>
        <w:keepLines w:val="0"/>
        <w:pageBreakBefore w:val="0"/>
        <w:widowControl w:val="0"/>
        <w:kinsoku/>
        <w:wordWrap/>
        <w:overflowPunct/>
        <w:topLinePunct w:val="0"/>
        <w:autoSpaceDE/>
        <w:autoSpaceDN/>
        <w:bidi w:val="0"/>
        <w:snapToGrid w:val="0"/>
        <w:spacing w:line="380" w:lineRule="exact"/>
        <w:ind w:firstLine="421"/>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41. 定标</w:t>
      </w:r>
    </w:p>
    <w:p w14:paraId="128B9E8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bookmarkStart w:id="25" w:name="_Toc469495729"/>
      <w:r>
        <w:rPr>
          <w:rFonts w:hint="eastAsia" w:ascii="仿宋" w:hAnsi="仿宋" w:eastAsia="仿宋" w:cs="仿宋"/>
          <w:color w:val="auto"/>
          <w:szCs w:val="21"/>
          <w:lang w:eastAsia="zh-CN"/>
        </w:rPr>
        <w:t>41.1采购结果确认（确定中标供应商）</w:t>
      </w:r>
    </w:p>
    <w:p w14:paraId="13BD63D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采购结果确认（确定中标供应商）：本项目由采购人根据评标委员会提交的《评审报告》，通过“政府采购云平台”依法确认采购结果、确定中标供应商。具体流程如下：</w:t>
      </w:r>
    </w:p>
    <w:p w14:paraId="68EF974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（1）采购代理机构将在评审结束后2个工作日内将评审报告送采购人。</w:t>
      </w:r>
    </w:p>
    <w:p w14:paraId="70735ED4">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（2）采购人将在收到评审报告之日起5个工作日内，在评审报告推荐的中标候选供应商名单中按顺序确定中标供应商，并将确认意见以书面形式回复采购代理机构。 </w:t>
      </w:r>
    </w:p>
    <w:p w14:paraId="4C21E29F">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b/>
          <w:bCs/>
          <w:color w:val="auto"/>
          <w:szCs w:val="21"/>
          <w:lang w:eastAsia="zh-CN"/>
        </w:rPr>
      </w:pPr>
      <w:r>
        <w:rPr>
          <w:rFonts w:hint="eastAsia" w:ascii="仿宋" w:hAnsi="仿宋" w:eastAsia="仿宋" w:cs="仿宋"/>
          <w:color w:val="auto"/>
          <w:szCs w:val="21"/>
          <w:lang w:eastAsia="zh-CN"/>
        </w:rPr>
        <w:t>41.2采购结果经采购人确认后2个工作日内，采购代理机构将在</w:t>
      </w:r>
      <w:r>
        <w:rPr>
          <w:rFonts w:hint="eastAsia" w:ascii="仿宋" w:hAnsi="仿宋" w:eastAsia="仿宋" w:cs="仿宋"/>
          <w:b/>
          <w:bCs/>
          <w:color w:val="auto"/>
          <w:szCs w:val="21"/>
          <w:lang w:eastAsia="zh-CN"/>
        </w:rPr>
        <w:t>新疆政府采购网、克州公共资源交易中心网上公告采购结果，中标公告期限为1个工作日。</w:t>
      </w:r>
    </w:p>
    <w:p w14:paraId="675F868D">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 中标通知书</w:t>
      </w:r>
    </w:p>
    <w:p w14:paraId="71F254A2">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lang w:eastAsia="zh-CN"/>
        </w:rPr>
        <w:t>公示期为一个工作日。待公示期结束后，</w:t>
      </w:r>
      <w:r>
        <w:rPr>
          <w:rFonts w:hint="eastAsia" w:ascii="仿宋" w:hAnsi="仿宋" w:eastAsia="仿宋" w:cs="仿宋"/>
          <w:color w:val="auto"/>
          <w:szCs w:val="21"/>
          <w:lang w:eastAsia="zh-CN"/>
        </w:rPr>
        <w:t>采购组织机构向中标人发出中标通知书。</w:t>
      </w:r>
    </w:p>
    <w:p w14:paraId="200F62A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2944FBC8">
      <w:pPr>
        <w:keepNext w:val="0"/>
        <w:keepLines w:val="0"/>
        <w:pageBreakBefore w:val="0"/>
        <w:widowControl w:val="0"/>
        <w:kinsoku/>
        <w:wordWrap/>
        <w:overflowPunct/>
        <w:topLinePunct w:val="0"/>
        <w:autoSpaceDE/>
        <w:autoSpaceDN/>
        <w:bidi w:val="0"/>
        <w:spacing w:beforeLines="50" w:line="380" w:lineRule="exact"/>
        <w:jc w:val="center"/>
        <w:textAlignment w:val="auto"/>
        <w:outlineLvl w:val="2"/>
        <w:rPr>
          <w:rFonts w:ascii="仿宋" w:hAnsi="仿宋" w:eastAsia="仿宋" w:cs="仿宋"/>
          <w:b/>
          <w:bCs/>
          <w:color w:val="auto"/>
          <w:lang w:eastAsia="zh-CN"/>
        </w:rPr>
      </w:pPr>
      <w:r>
        <w:rPr>
          <w:rFonts w:hint="eastAsia" w:ascii="仿宋" w:hAnsi="仿宋" w:eastAsia="仿宋" w:cs="仿宋"/>
          <w:b/>
          <w:bCs/>
          <w:color w:val="auto"/>
          <w:sz w:val="28"/>
          <w:szCs w:val="28"/>
          <w:lang w:eastAsia="zh-CN"/>
        </w:rPr>
        <w:t>（六）合同的授予</w:t>
      </w:r>
      <w:bookmarkEnd w:id="25"/>
    </w:p>
    <w:p w14:paraId="27B536E9">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bookmarkStart w:id="26" w:name="_Toc73975842"/>
      <w:bookmarkStart w:id="27" w:name="_Toc469495730"/>
      <w:r>
        <w:rPr>
          <w:rFonts w:hint="eastAsia" w:ascii="仿宋" w:hAnsi="仿宋" w:eastAsia="仿宋" w:cs="仿宋"/>
          <w:color w:val="auto"/>
          <w:szCs w:val="21"/>
          <w:lang w:eastAsia="zh-CN"/>
        </w:rPr>
        <w:t>43．履约保证金</w:t>
      </w:r>
      <w:bookmarkEnd w:id="26"/>
    </w:p>
    <w:p w14:paraId="6AC0EA9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43.1 </w:t>
      </w:r>
      <w:r>
        <w:rPr>
          <w:rFonts w:hint="eastAsia" w:ascii="仿宋" w:hAnsi="仿宋" w:eastAsia="仿宋" w:cs="仿宋"/>
          <w:color w:val="auto"/>
          <w:szCs w:val="21"/>
          <w:highlight w:val="none"/>
          <w:lang w:eastAsia="zh-CN"/>
        </w:rPr>
        <w:t>中标供应商在签订合同后10个工作日内向采购人缴纳中标价</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eastAsia="zh-CN"/>
        </w:rPr>
        <w:t>的履约保证金</w:t>
      </w:r>
      <w:r>
        <w:rPr>
          <w:rFonts w:hint="eastAsia" w:ascii="仿宋" w:hAnsi="仿宋" w:eastAsia="仿宋" w:cs="仿宋"/>
          <w:color w:val="auto"/>
          <w:szCs w:val="21"/>
          <w:lang w:eastAsia="zh-CN"/>
        </w:rPr>
        <w:t>（鼓励以银行、保险公司出具的履约保函形式提交；若以电汇、银行转账方式提交的，必须转到采购人的指定账户）。</w:t>
      </w:r>
    </w:p>
    <w:p w14:paraId="79C88F6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43.2 签订合同后，如中标供应商不按合同约定履约的，履约保证金不予退还，履约保证金不足以赔偿损失的，按实际损失赔偿。</w:t>
      </w:r>
    </w:p>
    <w:p w14:paraId="4C760719">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43.3 如果中标供应商在建设期内没有涉及采购人的应付而未付金额或违约行为，采购人在项目验收合格后或提前终止合同后全额无息退还履约保证金。</w:t>
      </w:r>
    </w:p>
    <w:p w14:paraId="6FC94830">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bookmarkStart w:id="28" w:name="_Toc73975843"/>
      <w:r>
        <w:rPr>
          <w:rFonts w:hint="eastAsia" w:ascii="仿宋" w:hAnsi="仿宋" w:eastAsia="仿宋" w:cs="仿宋"/>
          <w:color w:val="auto"/>
          <w:szCs w:val="21"/>
          <w:lang w:eastAsia="zh-CN"/>
        </w:rPr>
        <w:t>44．签订合同及公告</w:t>
      </w:r>
      <w:bookmarkEnd w:id="28"/>
    </w:p>
    <w:p w14:paraId="55BAC47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44.1采购人在中标通知书发出之日起30日内与中标供应商签订合同。</w:t>
      </w:r>
    </w:p>
    <w:p w14:paraId="547C8EA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44.2中标供应商拖延、拒签合同的,取消中标资格。</w:t>
      </w:r>
    </w:p>
    <w:p w14:paraId="37D1F99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44.3 采购文件、中标供应商的投标文件及评标过程中有关澄清文件等均作为签订合同的依据。所签订的合同不得对采购文件和中标供应商的投标文件的内容作实质性修改。</w:t>
      </w:r>
    </w:p>
    <w:p w14:paraId="3B76A4B0">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44.4采购人应当自政府采购合同签订之日起2个工作日内，在省级以上财政部门指定的政府采购信息发布媒体及相关网站上公告。</w:t>
      </w:r>
    </w:p>
    <w:p w14:paraId="053A61D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44.5采购人应当自政府采购合同签订之日起7个工作日内，将政府采购合同副本报同级人民政府财政部门备案以及采购代理机构存档。</w:t>
      </w:r>
    </w:p>
    <w:p w14:paraId="0893ADA2">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2"/>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（七）纪律和监督</w:t>
      </w:r>
      <w:bookmarkEnd w:id="27"/>
    </w:p>
    <w:p w14:paraId="4B64C83F">
      <w:pPr>
        <w:keepNext w:val="0"/>
        <w:keepLines w:val="0"/>
        <w:pageBreakBefore w:val="0"/>
        <w:widowControl w:val="0"/>
        <w:kinsoku/>
        <w:wordWrap/>
        <w:overflowPunct/>
        <w:topLinePunct w:val="0"/>
        <w:autoSpaceDE/>
        <w:autoSpaceDN/>
        <w:bidi w:val="0"/>
        <w:spacing w:line="380" w:lineRule="exact"/>
        <w:ind w:firstLine="354"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45. 对招标人的纪律要求 </w:t>
      </w:r>
    </w:p>
    <w:p w14:paraId="60EA7A22">
      <w:pPr>
        <w:keepNext w:val="0"/>
        <w:keepLines w:val="0"/>
        <w:pageBreakBefore w:val="0"/>
        <w:widowControl w:val="0"/>
        <w:kinsoku/>
        <w:wordWrap/>
        <w:overflowPunct/>
        <w:topLinePunct w:val="0"/>
        <w:autoSpaceDE/>
        <w:autoSpaceDN/>
        <w:bidi w:val="0"/>
        <w:adjustRightInd w:val="0"/>
        <w:snapToGrid w:val="0"/>
        <w:spacing w:line="380" w:lineRule="exact"/>
        <w:ind w:firstLine="360"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45.1招标人不得泄漏招标投标活动中应当保密的情况和资料，不得与供应商串通损害国家利益，社会公共利益或者他人合法权益。 </w:t>
      </w:r>
    </w:p>
    <w:p w14:paraId="4C564E91">
      <w:pPr>
        <w:keepNext w:val="0"/>
        <w:keepLines w:val="0"/>
        <w:pageBreakBefore w:val="0"/>
        <w:widowControl w:val="0"/>
        <w:kinsoku/>
        <w:wordWrap/>
        <w:overflowPunct/>
        <w:topLinePunct w:val="0"/>
        <w:autoSpaceDE/>
        <w:autoSpaceDN/>
        <w:bidi w:val="0"/>
        <w:spacing w:line="380" w:lineRule="exact"/>
        <w:ind w:firstLine="354"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46. 对供应商的纪律要求 </w:t>
      </w:r>
    </w:p>
    <w:p w14:paraId="011348C5">
      <w:pPr>
        <w:keepNext w:val="0"/>
        <w:keepLines w:val="0"/>
        <w:pageBreakBefore w:val="0"/>
        <w:widowControl w:val="0"/>
        <w:kinsoku/>
        <w:wordWrap/>
        <w:overflowPunct/>
        <w:topLinePunct w:val="0"/>
        <w:autoSpaceDE/>
        <w:autoSpaceDN/>
        <w:bidi w:val="0"/>
        <w:adjustRightInd w:val="0"/>
        <w:snapToGrid w:val="0"/>
        <w:spacing w:line="380" w:lineRule="exact"/>
        <w:ind w:firstLine="360"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61AE31C9">
      <w:pPr>
        <w:keepNext w:val="0"/>
        <w:keepLines w:val="0"/>
        <w:pageBreakBefore w:val="0"/>
        <w:widowControl w:val="0"/>
        <w:kinsoku/>
        <w:wordWrap/>
        <w:overflowPunct/>
        <w:topLinePunct w:val="0"/>
        <w:autoSpaceDE/>
        <w:autoSpaceDN/>
        <w:bidi w:val="0"/>
        <w:spacing w:line="380" w:lineRule="exact"/>
        <w:ind w:firstLine="354"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47. 对评标委员会成员的纪律要求 </w:t>
      </w:r>
    </w:p>
    <w:p w14:paraId="5B7BE242">
      <w:pPr>
        <w:keepNext w:val="0"/>
        <w:keepLines w:val="0"/>
        <w:pageBreakBefore w:val="0"/>
        <w:widowControl w:val="0"/>
        <w:kinsoku/>
        <w:wordWrap/>
        <w:overflowPunct/>
        <w:topLinePunct w:val="0"/>
        <w:autoSpaceDE/>
        <w:autoSpaceDN/>
        <w:bidi w:val="0"/>
        <w:adjustRightInd w:val="0"/>
        <w:snapToGrid w:val="0"/>
        <w:spacing w:line="380" w:lineRule="exact"/>
        <w:ind w:firstLine="360"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47.1评标委员会成员不得收受他人的财物或者其他好处，不得向他人透漏对投标文件的评审和比较、中标候选人的推荐情况以及评标有关的其他情况。</w:t>
      </w:r>
    </w:p>
    <w:p w14:paraId="5D0853A3">
      <w:pPr>
        <w:keepNext w:val="0"/>
        <w:keepLines w:val="0"/>
        <w:pageBreakBefore w:val="0"/>
        <w:widowControl w:val="0"/>
        <w:kinsoku/>
        <w:wordWrap/>
        <w:overflowPunct/>
        <w:topLinePunct w:val="0"/>
        <w:autoSpaceDE/>
        <w:autoSpaceDN/>
        <w:bidi w:val="0"/>
        <w:adjustRightInd w:val="0"/>
        <w:snapToGrid w:val="0"/>
        <w:spacing w:line="380" w:lineRule="exact"/>
        <w:ind w:firstLine="360"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47.2在评标活动中，评标委员会成员不得擅离职守，影响评标程序正常进行，不得使用第三章“评标办法”没有规定的评审因素和标准进行评标。 </w:t>
      </w:r>
    </w:p>
    <w:p w14:paraId="66A06742">
      <w:pPr>
        <w:keepNext w:val="0"/>
        <w:keepLines w:val="0"/>
        <w:pageBreakBefore w:val="0"/>
        <w:widowControl w:val="0"/>
        <w:kinsoku/>
        <w:wordWrap/>
        <w:overflowPunct/>
        <w:topLinePunct w:val="0"/>
        <w:autoSpaceDE/>
        <w:autoSpaceDN/>
        <w:bidi w:val="0"/>
        <w:spacing w:line="380" w:lineRule="exact"/>
        <w:ind w:firstLine="354"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48. 对与评标活动有关的工作人员的纪律要求 </w:t>
      </w:r>
    </w:p>
    <w:p w14:paraId="27F749E7">
      <w:pPr>
        <w:keepNext w:val="0"/>
        <w:keepLines w:val="0"/>
        <w:pageBreakBefore w:val="0"/>
        <w:widowControl w:val="0"/>
        <w:kinsoku/>
        <w:wordWrap/>
        <w:overflowPunct/>
        <w:topLinePunct w:val="0"/>
        <w:autoSpaceDE/>
        <w:autoSpaceDN/>
        <w:bidi w:val="0"/>
        <w:adjustRightInd w:val="0"/>
        <w:snapToGrid w:val="0"/>
        <w:spacing w:line="380" w:lineRule="exact"/>
        <w:ind w:firstLine="360"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9AB15DE">
      <w:pPr>
        <w:keepNext w:val="0"/>
        <w:keepLines w:val="0"/>
        <w:pageBreakBefore w:val="0"/>
        <w:widowControl w:val="0"/>
        <w:kinsoku/>
        <w:wordWrap/>
        <w:overflowPunct/>
        <w:topLinePunct w:val="0"/>
        <w:autoSpaceDE/>
        <w:autoSpaceDN/>
        <w:bidi w:val="0"/>
        <w:spacing w:beforeLines="50" w:afterLines="50" w:line="380" w:lineRule="exact"/>
        <w:jc w:val="center"/>
        <w:textAlignment w:val="auto"/>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（八）质疑与投诉</w:t>
      </w:r>
    </w:p>
    <w:p w14:paraId="0091C401">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49．质疑和投诉</w:t>
      </w:r>
    </w:p>
    <w:p w14:paraId="60CE9E9B">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59415494">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（一）对可以质疑的采购文件提出质疑的，为收到采购文件之日或者采购文件公告期限届满之日；</w:t>
      </w:r>
    </w:p>
    <w:p w14:paraId="1CA287E2">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（二）对采购过程提出质疑的，为各采购程序环节结束之日；</w:t>
      </w:r>
    </w:p>
    <w:p w14:paraId="3F7EBB9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（三）对中标或者成交结果提出质疑的，为中标或者成交结果公告期限届满之日。</w:t>
      </w:r>
    </w:p>
    <w:p w14:paraId="1C5DAF8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46EC2152">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供应商为自然人的，应当由本人签章；供应商为法人或者其他组织的，应当由法定代表人、主要负责人，或者其授权代表签章或者盖章，并加盖公章。</w:t>
      </w:r>
    </w:p>
    <w:p w14:paraId="31D30C89">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70DA51BF">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49.4质疑供应商对采购人、采购代理机构的质疑答复不满意，或者采购人、采购代理机构未在规定期限内作出答复的，供应商可以在答复期满后15个工作日内向同级财政部门提起投诉。</w:t>
      </w:r>
    </w:p>
    <w:p w14:paraId="5C6C70C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49.5供应商有下列情形之一的，采购代理机构将报告克州财政局，将其列入不良行为记录名单：</w:t>
      </w:r>
    </w:p>
    <w:p w14:paraId="5C9926D6">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（一）一年内三次以上质疑均查无实据的；</w:t>
      </w:r>
    </w:p>
    <w:p w14:paraId="7E7C62E1">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（二）捏造事实或者提供虚假质疑材料的。</w:t>
      </w:r>
    </w:p>
    <w:p w14:paraId="01AEC5D2">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（三）以非法手段取得证明材料。证据来源的合法性存在明显疑问，质疑人无法证明其取得方式合法的，视为以非法手段取得证明材料。</w:t>
      </w:r>
    </w:p>
    <w:p w14:paraId="2E951982">
      <w:pPr>
        <w:spacing w:line="360" w:lineRule="exact"/>
        <w:jc w:val="center"/>
        <w:rPr>
          <w:rFonts w:ascii="仿宋" w:hAnsi="仿宋" w:eastAsia="仿宋" w:cs="仿宋"/>
          <w:color w:val="auto"/>
          <w:sz w:val="30"/>
          <w:szCs w:val="30"/>
          <w:lang w:eastAsia="zh-CN"/>
        </w:rPr>
      </w:pPr>
    </w:p>
    <w:p w14:paraId="53F20FFA">
      <w:pPr>
        <w:rPr>
          <w:rFonts w:hint="eastAsia" w:ascii="仿宋" w:hAnsi="仿宋" w:eastAsia="仿宋" w:cs="仿宋"/>
          <w:b/>
          <w:bCs/>
          <w:color w:val="auto"/>
          <w:lang w:eastAsia="zh-CN"/>
        </w:rPr>
      </w:pPr>
    </w:p>
    <w:p w14:paraId="3D5CB6EE">
      <w:pPr>
        <w:rPr>
          <w:rFonts w:hint="eastAsia" w:ascii="仿宋" w:hAnsi="仿宋" w:eastAsia="仿宋" w:cs="仿宋"/>
          <w:b/>
          <w:bCs/>
          <w:color w:val="auto"/>
          <w:lang w:eastAsia="zh-CN"/>
        </w:rPr>
      </w:pPr>
    </w:p>
    <w:p w14:paraId="6EDE5979">
      <w:pPr>
        <w:rPr>
          <w:rFonts w:ascii="仿宋" w:hAnsi="仿宋" w:eastAsia="仿宋" w:cs="仿宋"/>
          <w:b/>
          <w:bCs/>
          <w:color w:val="auto"/>
          <w:lang w:eastAsia="zh-CN"/>
        </w:rPr>
      </w:pPr>
      <w:r>
        <w:rPr>
          <w:rFonts w:hint="eastAsia" w:ascii="仿宋" w:hAnsi="仿宋" w:eastAsia="仿宋" w:cs="仿宋"/>
          <w:b/>
          <w:bCs/>
          <w:color w:val="auto"/>
          <w:lang w:eastAsia="zh-CN"/>
        </w:rPr>
        <w:t>附件：</w:t>
      </w:r>
    </w:p>
    <w:p w14:paraId="792E5B1C">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1B5B8EC4">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1213DBAA">
      <w:pPr>
        <w:spacing w:line="400" w:lineRule="exact"/>
        <w:rPr>
          <w:rFonts w:ascii="仿宋" w:hAnsi="仿宋" w:eastAsia="仿宋" w:cs="仿宋"/>
          <w:color w:val="auto"/>
          <w:highlight w:val="none"/>
          <w:lang w:eastAsia="zh-CN"/>
        </w:rPr>
      </w:pPr>
    </w:p>
    <w:p w14:paraId="229540F5">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5D2C1467">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E820F61">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0B8B4411">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13620E85">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3335D69D">
      <w:pPr>
        <w:spacing w:line="400" w:lineRule="exact"/>
        <w:ind w:firstLine="48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p>
    <w:p w14:paraId="035A0760">
      <w:pPr>
        <w:spacing w:line="400" w:lineRule="exact"/>
        <w:ind w:firstLine="480" w:firstLineChars="200"/>
        <w:rPr>
          <w:rFonts w:ascii="仿宋" w:hAnsi="仿宋" w:eastAsia="仿宋" w:cs="仿宋"/>
          <w:color w:val="auto"/>
          <w:highlight w:val="none"/>
          <w:lang w:eastAsia="zh-CN"/>
        </w:rPr>
      </w:pPr>
    </w:p>
    <w:p w14:paraId="2BBD4A1D">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（采购文件/采购过程/中标（中标）结果）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50C5DA86">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3C7995F6">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2160A972">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12E8E91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30C2B88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56A01B6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4192450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71BDA94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5FC37D9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5EDF5913">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4488EEA3">
      <w:pPr>
        <w:spacing w:line="400" w:lineRule="exact"/>
        <w:jc w:val="center"/>
        <w:rPr>
          <w:rFonts w:ascii="仿宋" w:hAnsi="仿宋" w:eastAsia="仿宋" w:cs="仿宋"/>
          <w:color w:val="auto"/>
          <w:highlight w:val="none"/>
          <w:lang w:eastAsia="zh-CN"/>
        </w:rPr>
      </w:pPr>
    </w:p>
    <w:p w14:paraId="46A8E0C2">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投诉供应商：（盖章）</w:t>
      </w:r>
    </w:p>
    <w:p w14:paraId="7FA2E5DE">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5F3602D5">
      <w:pPr>
        <w:spacing w:line="400" w:lineRule="exact"/>
        <w:ind w:firstLine="3600" w:firstLineChars="15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15C7DB63">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1F52D901">
      <w:pPr>
        <w:ind w:left="5783" w:hanging="5783" w:hangingChars="1800"/>
        <w:jc w:val="center"/>
        <w:outlineLvl w:val="0"/>
        <w:rPr>
          <w:rFonts w:ascii="仿宋" w:hAnsi="仿宋" w:eastAsia="仿宋" w:cs="仿宋"/>
          <w:color w:val="auto"/>
          <w:sz w:val="32"/>
          <w:szCs w:val="32"/>
          <w:highlight w:val="none"/>
          <w:lang w:eastAsia="zh-CN"/>
        </w:rPr>
      </w:pPr>
      <w:bookmarkStart w:id="29" w:name="_Toc17515"/>
      <w:r>
        <w:rPr>
          <w:rFonts w:hint="eastAsia" w:ascii="仿宋" w:hAnsi="仿宋" w:eastAsia="仿宋" w:cs="仿宋"/>
          <w:b/>
          <w:bCs/>
          <w:color w:val="auto"/>
          <w:sz w:val="32"/>
          <w:szCs w:val="32"/>
          <w:highlight w:val="none"/>
          <w:lang w:eastAsia="zh-CN"/>
        </w:rPr>
        <w:t>投诉相关说明</w:t>
      </w:r>
      <w:bookmarkEnd w:id="29"/>
    </w:p>
    <w:p w14:paraId="17A6F2EC">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06541A2B">
      <w:pPr>
        <w:numPr>
          <w:ilvl w:val="0"/>
          <w:numId w:val="3"/>
        </w:numPr>
        <w:spacing w:line="400" w:lineRule="exact"/>
        <w:ind w:left="4585" w:leftChars="304" w:hanging="3855" w:hangingChars="1600"/>
        <w:outlineLvl w:val="0"/>
        <w:rPr>
          <w:rFonts w:ascii="仿宋" w:hAnsi="仿宋" w:eastAsia="仿宋" w:cs="仿宋"/>
          <w:b/>
          <w:bCs/>
          <w:color w:val="auto"/>
          <w:sz w:val="24"/>
          <w:szCs w:val="24"/>
          <w:highlight w:val="none"/>
        </w:rPr>
      </w:pPr>
      <w:bookmarkStart w:id="30" w:name="_Toc11499"/>
      <w:r>
        <w:rPr>
          <w:rFonts w:hint="eastAsia" w:ascii="仿宋" w:hAnsi="仿宋" w:eastAsia="仿宋" w:cs="仿宋"/>
          <w:b/>
          <w:bCs/>
          <w:color w:val="auto"/>
          <w:sz w:val="24"/>
          <w:szCs w:val="24"/>
          <w:highlight w:val="none"/>
        </w:rPr>
        <w:t>质疑前置及时间要求</w:t>
      </w:r>
      <w:bookmarkEnd w:id="30"/>
    </w:p>
    <w:p w14:paraId="074B4956">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4B955774">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164A05F3">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3DF1ED07">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12D7C83E">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0E238935">
      <w:pPr>
        <w:spacing w:line="400" w:lineRule="exact"/>
        <w:ind w:left="3780" w:hanging="378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31" w:name="_Toc13508"/>
      <w:r>
        <w:rPr>
          <w:rFonts w:hint="eastAsia" w:ascii="仿宋" w:hAnsi="仿宋" w:eastAsia="仿宋" w:cs="仿宋"/>
          <w:b/>
          <w:bCs/>
          <w:color w:val="auto"/>
          <w:sz w:val="21"/>
          <w:szCs w:val="21"/>
          <w:highlight w:val="none"/>
          <w:lang w:eastAsia="zh-CN"/>
        </w:rPr>
        <w:t>二、书面方式</w:t>
      </w:r>
      <w:bookmarkEnd w:id="31"/>
    </w:p>
    <w:p w14:paraId="2A55A2A6">
      <w:pPr>
        <w:spacing w:line="400" w:lineRule="exact"/>
        <w:ind w:left="3780" w:hanging="378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2AC5E646">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1B60A3FA">
      <w:pPr>
        <w:spacing w:line="400" w:lineRule="exact"/>
        <w:ind w:left="4320" w:hanging="432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28A0F0FC">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5611CB05">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39103BEB">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6808DEF9">
      <w:pPr>
        <w:numPr>
          <w:ilvl w:val="0"/>
          <w:numId w:val="4"/>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202914B2">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3B142D81">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FDDFB7D">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3C07B8E7">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3485E7C4">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3A10B0CF">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2B5E5791">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69BDCB73">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5891201C">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59AFD2E">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56C6483C">
      <w:pPr>
        <w:spacing w:line="400" w:lineRule="exact"/>
        <w:ind w:left="4320" w:hanging="432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12759BFC">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32" w:name="_Toc5978"/>
      <w:r>
        <w:rPr>
          <w:rFonts w:hint="eastAsia" w:ascii="仿宋" w:hAnsi="仿宋" w:eastAsia="仿宋" w:cs="仿宋"/>
          <w:b/>
          <w:bCs/>
          <w:color w:val="auto"/>
          <w:highlight w:val="none"/>
          <w:lang w:eastAsia="zh-CN"/>
        </w:rPr>
        <w:t>三、虚假、恶意投诉法律责任</w:t>
      </w:r>
      <w:bookmarkEnd w:id="32"/>
    </w:p>
    <w:p w14:paraId="5FFC46A7">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50492EA7">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331B1582">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5933E8DE">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7499D3C3">
      <w:pPr>
        <w:spacing w:line="400" w:lineRule="exact"/>
        <w:rPr>
          <w:rFonts w:ascii="仿宋" w:hAnsi="仿宋" w:eastAsia="仿宋" w:cs="仿宋"/>
          <w:color w:val="auto"/>
          <w:sz w:val="21"/>
          <w:szCs w:val="21"/>
          <w:highlight w:val="none"/>
          <w:lang w:eastAsia="zh-CN"/>
        </w:rPr>
      </w:pPr>
    </w:p>
    <w:p w14:paraId="2D47E448">
      <w:pPr>
        <w:spacing w:line="400" w:lineRule="exact"/>
        <w:rPr>
          <w:rFonts w:ascii="仿宋" w:hAnsi="仿宋" w:eastAsia="仿宋" w:cs="仿宋"/>
          <w:color w:val="auto"/>
          <w:sz w:val="21"/>
          <w:szCs w:val="21"/>
          <w:highlight w:val="none"/>
          <w:lang w:eastAsia="zh-CN"/>
        </w:rPr>
      </w:pPr>
    </w:p>
    <w:p w14:paraId="3E1017D4">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递交投诉书地址：阿图什市政府采购办监管办公室</w:t>
      </w:r>
    </w:p>
    <w:p w14:paraId="50258DF0">
      <w:pPr>
        <w:jc w:val="right"/>
        <w:rPr>
          <w:rFonts w:ascii="仿宋" w:hAnsi="仿宋" w:eastAsia="仿宋" w:cs="仿宋"/>
          <w:color w:val="auto"/>
          <w:sz w:val="32"/>
          <w:szCs w:val="32"/>
          <w:highlight w:val="none"/>
          <w:lang w:eastAsia="zh-CN"/>
        </w:rPr>
      </w:pPr>
    </w:p>
    <w:p w14:paraId="42B82376">
      <w:pPr>
        <w:spacing w:line="540" w:lineRule="exact"/>
        <w:jc w:val="center"/>
        <w:rPr>
          <w:rFonts w:ascii="仿宋" w:hAnsi="仿宋" w:eastAsia="仿宋" w:cs="仿宋"/>
          <w:b/>
          <w:bCs/>
          <w:color w:val="auto"/>
          <w:sz w:val="44"/>
          <w:szCs w:val="44"/>
          <w:highlight w:val="none"/>
          <w:lang w:eastAsia="zh-CN"/>
        </w:rPr>
      </w:pPr>
    </w:p>
    <w:p w14:paraId="21036070">
      <w:pPr>
        <w:spacing w:line="540" w:lineRule="exact"/>
        <w:jc w:val="center"/>
        <w:rPr>
          <w:rFonts w:ascii="仿宋" w:hAnsi="仿宋" w:eastAsia="仿宋" w:cs="仿宋"/>
          <w:b/>
          <w:bCs/>
          <w:color w:val="auto"/>
          <w:sz w:val="44"/>
          <w:szCs w:val="44"/>
          <w:highlight w:val="none"/>
          <w:lang w:eastAsia="zh-CN"/>
        </w:rPr>
      </w:pPr>
    </w:p>
    <w:p w14:paraId="149EF7D4">
      <w:pPr>
        <w:spacing w:line="540" w:lineRule="exact"/>
        <w:jc w:val="center"/>
        <w:rPr>
          <w:rFonts w:ascii="仿宋" w:hAnsi="仿宋" w:eastAsia="仿宋" w:cs="仿宋"/>
          <w:b/>
          <w:bCs/>
          <w:color w:val="auto"/>
          <w:sz w:val="44"/>
          <w:szCs w:val="44"/>
          <w:highlight w:val="none"/>
          <w:lang w:eastAsia="zh-CN"/>
        </w:rPr>
      </w:pPr>
    </w:p>
    <w:p w14:paraId="2AD8423E">
      <w:pPr>
        <w:spacing w:line="540" w:lineRule="exact"/>
        <w:jc w:val="center"/>
        <w:rPr>
          <w:rFonts w:ascii="仿宋" w:hAnsi="仿宋" w:eastAsia="仿宋" w:cs="仿宋"/>
          <w:b/>
          <w:bCs/>
          <w:color w:val="auto"/>
          <w:sz w:val="44"/>
          <w:szCs w:val="44"/>
          <w:highlight w:val="none"/>
          <w:lang w:eastAsia="zh-CN"/>
        </w:rPr>
      </w:pPr>
    </w:p>
    <w:p w14:paraId="0ECB3D4F">
      <w:pPr>
        <w:spacing w:line="540" w:lineRule="exact"/>
        <w:jc w:val="center"/>
        <w:rPr>
          <w:rFonts w:ascii="仿宋" w:hAnsi="仿宋" w:eastAsia="仿宋" w:cs="仿宋"/>
          <w:b/>
          <w:bCs/>
          <w:color w:val="auto"/>
          <w:sz w:val="44"/>
          <w:szCs w:val="44"/>
          <w:highlight w:val="none"/>
          <w:lang w:eastAsia="zh-CN"/>
        </w:rPr>
      </w:pPr>
    </w:p>
    <w:p w14:paraId="37C367E5">
      <w:pPr>
        <w:spacing w:line="540" w:lineRule="exact"/>
        <w:jc w:val="center"/>
        <w:rPr>
          <w:rFonts w:ascii="仿宋" w:hAnsi="仿宋" w:eastAsia="仿宋" w:cs="仿宋"/>
          <w:b/>
          <w:bCs/>
          <w:color w:val="auto"/>
          <w:sz w:val="44"/>
          <w:szCs w:val="44"/>
          <w:highlight w:val="none"/>
          <w:lang w:eastAsia="zh-CN"/>
        </w:rPr>
      </w:pPr>
    </w:p>
    <w:p w14:paraId="002A9979">
      <w:pPr>
        <w:spacing w:line="540" w:lineRule="exact"/>
        <w:jc w:val="center"/>
        <w:rPr>
          <w:rFonts w:ascii="仿宋" w:hAnsi="仿宋" w:eastAsia="仿宋" w:cs="仿宋"/>
          <w:b/>
          <w:bCs/>
          <w:color w:val="auto"/>
          <w:sz w:val="44"/>
          <w:szCs w:val="44"/>
          <w:highlight w:val="none"/>
          <w:lang w:eastAsia="zh-CN"/>
        </w:rPr>
      </w:pPr>
    </w:p>
    <w:p w14:paraId="07F57EE2">
      <w:pPr>
        <w:spacing w:line="540" w:lineRule="exact"/>
        <w:jc w:val="center"/>
        <w:rPr>
          <w:rFonts w:ascii="仿宋" w:hAnsi="仿宋" w:eastAsia="仿宋" w:cs="仿宋"/>
          <w:b/>
          <w:bCs/>
          <w:color w:val="auto"/>
          <w:sz w:val="44"/>
          <w:szCs w:val="44"/>
          <w:highlight w:val="none"/>
          <w:lang w:eastAsia="zh-CN"/>
        </w:rPr>
      </w:pPr>
    </w:p>
    <w:p w14:paraId="55BE5F43">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p>
    <w:p w14:paraId="51F8A3EE">
      <w:pPr>
        <w:adjustRightInd w:val="0"/>
        <w:snapToGrid w:val="0"/>
        <w:spacing w:beforeLines="100" w:line="540" w:lineRule="exact"/>
        <w:ind w:firstLine="480"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一、质疑供应商基本信息</w:t>
      </w:r>
    </w:p>
    <w:p w14:paraId="25940242">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6609D53E">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4937A0E9">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0F4AD85D">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700E2D1B">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36225243">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756F9DDE">
      <w:pPr>
        <w:adjustRightInd w:val="0"/>
        <w:snapToGrid w:val="0"/>
        <w:spacing w:line="540" w:lineRule="exact"/>
        <w:ind w:firstLine="480"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二、质疑项目基本情况</w:t>
      </w:r>
    </w:p>
    <w:p w14:paraId="058A30EC">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2348B5C0">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22866429">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598D09C6">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44C3692F">
      <w:pPr>
        <w:adjustRightInd w:val="0"/>
        <w:snapToGrid w:val="0"/>
        <w:spacing w:line="540" w:lineRule="exact"/>
        <w:ind w:firstLine="480"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三、质疑事项具体内容</w:t>
      </w:r>
    </w:p>
    <w:p w14:paraId="47A54299">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4F94B9B7">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5F89674C">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5A711B6C">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160C125D">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4549388F">
      <w:pPr>
        <w:adjustRightInd w:val="0"/>
        <w:snapToGrid w:val="0"/>
        <w:spacing w:line="540" w:lineRule="exact"/>
        <w:ind w:firstLine="480"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四、与质疑事项相关的质疑请求</w:t>
      </w:r>
    </w:p>
    <w:p w14:paraId="7AC1A23F">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71FE2FD6">
      <w:pPr>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2A053C32">
      <w:pPr>
        <w:spacing w:line="5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日期：    </w:t>
      </w:r>
      <w:bookmarkStart w:id="33" w:name="_Toc469495731"/>
    </w:p>
    <w:p w14:paraId="0705EB9B">
      <w:pPr>
        <w:spacing w:line="540" w:lineRule="exact"/>
        <w:ind w:firstLine="602" w:firstLineChars="200"/>
        <w:jc w:val="center"/>
        <w:rPr>
          <w:rFonts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第三部分  评标办法</w:t>
      </w:r>
      <w:bookmarkEnd w:id="33"/>
    </w:p>
    <w:p w14:paraId="75795C1D">
      <w:pPr>
        <w:jc w:val="center"/>
        <w:outlineLvl w:val="1"/>
        <w:rPr>
          <w:rFonts w:ascii="仿宋" w:hAnsi="仿宋" w:eastAsia="仿宋" w:cs="仿宋"/>
          <w:b/>
          <w:color w:val="auto"/>
          <w:sz w:val="28"/>
          <w:szCs w:val="28"/>
          <w:lang w:eastAsia="zh-CN"/>
        </w:rPr>
      </w:pPr>
      <w:bookmarkStart w:id="34" w:name="_Toc362983802"/>
      <w:bookmarkStart w:id="35" w:name="_Toc469495733"/>
      <w:bookmarkStart w:id="36" w:name="_Toc267320058"/>
      <w:bookmarkStart w:id="37" w:name="_Toc363135205"/>
      <w:r>
        <w:rPr>
          <w:rFonts w:hint="eastAsia" w:ascii="仿宋" w:hAnsi="仿宋" w:eastAsia="仿宋" w:cs="仿宋"/>
          <w:b/>
          <w:color w:val="auto"/>
          <w:sz w:val="28"/>
          <w:szCs w:val="28"/>
          <w:lang w:eastAsia="zh-CN"/>
        </w:rPr>
        <w:t>一  总  则</w:t>
      </w:r>
    </w:p>
    <w:p w14:paraId="212FC09F">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1、一般规定</w:t>
      </w:r>
    </w:p>
    <w:p w14:paraId="70D4177E">
      <w:pPr>
        <w:keepNext w:val="0"/>
        <w:keepLines w:val="0"/>
        <w:pageBreakBefore w:val="0"/>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1.1本项目的招标按照《中华人民共和国政府采购法》、《政府采购货物和服务招标投标管理办法》及政府采购的有关规定进行。</w:t>
      </w:r>
    </w:p>
    <w:p w14:paraId="5C7E399A">
      <w:pPr>
        <w:keepNext w:val="0"/>
        <w:keepLines w:val="0"/>
        <w:pageBreakBefore w:val="0"/>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1.2评标必须遵循邀请、公平、公正、诚实信用的原则。</w:t>
      </w:r>
    </w:p>
    <w:p w14:paraId="093A7735">
      <w:pPr>
        <w:keepNext w:val="0"/>
        <w:keepLines w:val="0"/>
        <w:pageBreakBefore w:val="0"/>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1.3招标代理机构组织招标、开标、评标工作，全过程接受政府采购有关部门的监督、管理和指导。</w:t>
      </w:r>
    </w:p>
    <w:p w14:paraId="675BF0B5">
      <w:pPr>
        <w:keepNext w:val="0"/>
        <w:keepLines w:val="0"/>
        <w:pageBreakBefore w:val="0"/>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1.4评标按照磋商文件规定的内容进行，采取综合比较和分项打分相结合的评标方法（综合评分法）， 避免纯技术或纯经济的倾向。</w:t>
      </w:r>
    </w:p>
    <w:p w14:paraId="0DBF02BC">
      <w:pPr>
        <w:keepNext w:val="0"/>
        <w:keepLines w:val="0"/>
        <w:pageBreakBefore w:val="0"/>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1.5本办法的评标对象是指供应商按照磋商文件要求提供的有效投标文件，包括供应商应评标委员会要求对原投标文件作出的正式书面澄清文件。</w:t>
      </w:r>
    </w:p>
    <w:p w14:paraId="6CD30A4F">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2、磋商组织机构的组成</w:t>
      </w:r>
    </w:p>
    <w:p w14:paraId="233ECF02">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2.1</w:t>
      </w:r>
      <w:r>
        <w:rPr>
          <w:rFonts w:hint="eastAsia" w:ascii="仿宋" w:hAnsi="仿宋" w:eastAsia="仿宋" w:cs="仿宋"/>
          <w:color w:val="auto"/>
          <w:spacing w:val="-2"/>
          <w:lang w:eastAsia="zh-CN"/>
        </w:rPr>
        <w:t xml:space="preserve"> 商小组成员由招标人的代表</w:t>
      </w:r>
      <w:r>
        <w:rPr>
          <w:rFonts w:hint="default" w:ascii="仿宋" w:hAnsi="仿宋" w:eastAsia="仿宋" w:cs="仿宋"/>
          <w:color w:val="auto"/>
          <w:spacing w:val="-2"/>
          <w:lang w:eastAsia="zh-CN"/>
        </w:rPr>
        <w:t>1人</w:t>
      </w:r>
      <w:r>
        <w:rPr>
          <w:rFonts w:hint="eastAsia" w:ascii="仿宋" w:hAnsi="仿宋" w:eastAsia="仿宋" w:cs="仿宋"/>
          <w:color w:val="auto"/>
          <w:spacing w:val="-2"/>
          <w:lang w:eastAsia="zh-CN"/>
        </w:rPr>
        <w:t>和随机抽取的有关方面的专家</w:t>
      </w:r>
      <w:r>
        <w:rPr>
          <w:rFonts w:hint="default" w:ascii="仿宋" w:hAnsi="仿宋" w:eastAsia="仿宋" w:cs="仿宋"/>
          <w:color w:val="auto"/>
          <w:spacing w:val="-2"/>
          <w:lang w:eastAsia="zh-CN"/>
        </w:rPr>
        <w:t>2名，共</w:t>
      </w:r>
      <w:r>
        <w:rPr>
          <w:rFonts w:hint="eastAsia" w:ascii="仿宋" w:hAnsi="仿宋" w:eastAsia="仿宋" w:cs="仿宋"/>
          <w:color w:val="auto"/>
          <w:spacing w:val="-2"/>
          <w:lang w:eastAsia="zh-CN"/>
        </w:rPr>
        <w:t xml:space="preserve"> 3名</w:t>
      </w:r>
      <w:r>
        <w:rPr>
          <w:rFonts w:hint="default" w:ascii="仿宋" w:hAnsi="仿宋" w:eastAsia="仿宋" w:cs="仿宋"/>
          <w:color w:val="auto"/>
          <w:spacing w:val="-2"/>
          <w:lang w:eastAsia="zh-CN"/>
        </w:rPr>
        <w:t>专家</w:t>
      </w:r>
      <w:r>
        <w:rPr>
          <w:rFonts w:hint="eastAsia" w:ascii="仿宋" w:hAnsi="仿宋" w:eastAsia="仿宋" w:cs="仿宋"/>
          <w:color w:val="auto"/>
          <w:spacing w:val="-2"/>
          <w:lang w:eastAsia="zh-CN"/>
        </w:rPr>
        <w:t>组成或以上的单数组成，磋商小组的成员在评标过程中必须严格遵守政府采购的有关规定。专家从当地专家库中随机抽取产生。</w:t>
      </w:r>
    </w:p>
    <w:p w14:paraId="4C86C263">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2.2评标工作组由招标人及有关专家组成，由评标委员会确认，并接受其领导。</w:t>
      </w:r>
    </w:p>
    <w:p w14:paraId="66F1279C">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2.3评标委员会应相对独立工作，负责评标、撰写技术、商务评标报告。采购代理机构负责评标过程中资料的保管、发放、回收，整理、汇总评标资料。</w:t>
      </w:r>
    </w:p>
    <w:p w14:paraId="72A273BA">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3、磋商小组职责</w:t>
      </w:r>
    </w:p>
    <w:p w14:paraId="69931B4F">
      <w:pPr>
        <w:pStyle w:val="4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2"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3.1审查投标文件是否符合磋商文件要求，并作出评价；</w:t>
      </w:r>
    </w:p>
    <w:p w14:paraId="304C1FF8">
      <w:pPr>
        <w:pStyle w:val="4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2"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3.2要求供应商对投标文件有关事项作出解释或者澄清；</w:t>
      </w:r>
    </w:p>
    <w:p w14:paraId="05916D85">
      <w:pPr>
        <w:pStyle w:val="4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2"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3.3推荐中标候选人名单；</w:t>
      </w:r>
    </w:p>
    <w:p w14:paraId="271CE0A7">
      <w:pPr>
        <w:pStyle w:val="4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2"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3.4向招标人、招标代理机构或者有关部门报告非法干预评标工作的行为。</w:t>
      </w:r>
    </w:p>
    <w:p w14:paraId="682A51E1">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4、磋商小组义务</w:t>
      </w:r>
    </w:p>
    <w:p w14:paraId="7A894632">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4.1遵纪守法，客观、公正、廉洁地履行职责；</w:t>
      </w:r>
    </w:p>
    <w:p w14:paraId="24B8A105">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4.2按照磋商文件规定的评标方法和评标标准进行评标，对评审意见承担个人责任；</w:t>
      </w:r>
    </w:p>
    <w:p w14:paraId="4B48414A">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4.3对评标过程和结果，以及供应商的商业秘密保密；</w:t>
      </w:r>
    </w:p>
    <w:p w14:paraId="11C39676">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4.4参与评标报告的起草；</w:t>
      </w:r>
    </w:p>
    <w:p w14:paraId="304529A4">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4.5配合有关部门的投诉处理工作；</w:t>
      </w:r>
    </w:p>
    <w:p w14:paraId="50FC3E6B">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4.6配合招标人、招标代理机构答复投标供应商提出的质疑。</w:t>
      </w:r>
    </w:p>
    <w:p w14:paraId="1D6F46B6">
      <w:pPr>
        <w:keepNext w:val="0"/>
        <w:keepLines w:val="0"/>
        <w:pageBreakBefore w:val="0"/>
        <w:tabs>
          <w:tab w:val="left" w:pos="1547"/>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 评标程序</w:t>
      </w:r>
    </w:p>
    <w:p w14:paraId="111A17C5">
      <w:pPr>
        <w:pStyle w:val="20"/>
        <w:keepNext w:val="0"/>
        <w:keepLines w:val="0"/>
        <w:pageBreakBefore w:val="0"/>
        <w:tabs>
          <w:tab w:val="left" w:pos="720"/>
          <w:tab w:val="clear" w:pos="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bCs/>
          <w:color w:val="auto"/>
          <w:szCs w:val="21"/>
          <w:lang w:eastAsia="zh-CN" w:bidi="ar-SA"/>
        </w:rPr>
      </w:pPr>
      <w:r>
        <w:rPr>
          <w:rFonts w:hint="eastAsia" w:ascii="仿宋" w:hAnsi="仿宋" w:eastAsia="仿宋" w:cs="仿宋"/>
          <w:bCs/>
          <w:color w:val="auto"/>
          <w:szCs w:val="21"/>
          <w:lang w:eastAsia="zh-CN" w:bidi="ar-SA"/>
        </w:rPr>
        <w:t>5.1本次评标首先由评标委员会对供应商的投标文件进行初审，对未能通过初审的投标文件作无效标处理；</w:t>
      </w:r>
    </w:p>
    <w:p w14:paraId="56AC87AB">
      <w:pPr>
        <w:keepNext w:val="0"/>
        <w:keepLines w:val="0"/>
        <w:pageBreakBefore w:val="0"/>
        <w:tabs>
          <w:tab w:val="left" w:pos="72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5.2对通过初审的供应商的投标文件进行详细的比较和评价。如需要，进行必要的澄清工作；</w:t>
      </w:r>
    </w:p>
    <w:p w14:paraId="3E39A218">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default" w:ascii="仿宋" w:hAnsi="仿宋" w:eastAsia="仿宋" w:cs="仿宋"/>
          <w:color w:val="auto"/>
          <w:szCs w:val="21"/>
          <w:lang w:eastAsia="zh-CN" w:bidi="ar-SA"/>
        </w:rPr>
      </w:pPr>
      <w:r>
        <w:rPr>
          <w:rFonts w:hint="default" w:ascii="仿宋" w:hAnsi="仿宋" w:eastAsia="仿宋" w:cs="仿宋"/>
          <w:color w:val="auto"/>
          <w:szCs w:val="21"/>
          <w:lang w:eastAsia="zh-CN" w:bidi="ar-SA"/>
        </w:rPr>
        <w:t>5.3评标报告与推荐成交候选人；</w:t>
      </w:r>
    </w:p>
    <w:p w14:paraId="31160D8A">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default" w:ascii="仿宋" w:hAnsi="仿宋" w:eastAsia="仿宋" w:cs="仿宋"/>
          <w:color w:val="auto"/>
          <w:szCs w:val="21"/>
          <w:lang w:eastAsia="zh-CN" w:bidi="ar-SA"/>
        </w:rPr>
      </w:pPr>
      <w:r>
        <w:rPr>
          <w:rFonts w:hint="default" w:ascii="仿宋" w:hAnsi="仿宋" w:eastAsia="仿宋" w:cs="仿宋"/>
          <w:color w:val="auto"/>
          <w:szCs w:val="21"/>
          <w:lang w:eastAsia="zh-CN" w:bidi="ar-SA"/>
        </w:rPr>
        <w:t>5.4磋商小组各成员应当独立对每个有效响应的文件进行评价、打分，然后汇总每个供应商每项评分因素的得分。</w:t>
      </w:r>
    </w:p>
    <w:p w14:paraId="50CE8AB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综合评分法服务项目的价格分值占总分值的比重(即权值)为</w:t>
      </w:r>
      <w:r>
        <w:rPr>
          <w:rFonts w:hint="eastAsia" w:ascii="仿宋" w:hAnsi="仿宋" w:eastAsia="仿宋" w:cs="仿宋"/>
          <w:color w:val="auto"/>
          <w:szCs w:val="21"/>
          <w:lang w:val="en-US" w:eastAsia="zh-CN" w:bidi="ar-SA"/>
        </w:rPr>
        <w:t>20</w:t>
      </w:r>
      <w:r>
        <w:rPr>
          <w:rFonts w:hint="eastAsia" w:ascii="仿宋" w:hAnsi="仿宋" w:eastAsia="仿宋" w:cs="仿宋"/>
          <w:color w:val="auto"/>
          <w:szCs w:val="21"/>
          <w:lang w:eastAsia="zh-CN" w:bidi="ar-SA"/>
        </w:rPr>
        <w:t>％，采购项目中含不同采购对象的，以占项目资金比例最高的采购对象确定其项目属性。其价格不列为评分因素，有特殊情况需要在上述规定范围 外设定价格分权重的。</w:t>
      </w:r>
    </w:p>
    <w:p w14:paraId="48179EF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综合评分法中的价格分统一采用低价优先法计算，即满足磋商文件要求且最后报价最低的供应商的价格为磋商基准价，其价格分为满分。其他供应商的价格分统一按照下列公式计算：</w:t>
      </w:r>
    </w:p>
    <w:p w14:paraId="586E631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报价得分=（</w:t>
      </w: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基准价/最后</w:t>
      </w: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 xml:space="preserve">报价） ×价格权值×100 </w:t>
      </w:r>
    </w:p>
    <w:p w14:paraId="4DD8FFDB">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项目评审过程中，不得去掉最后报价中的最高报价和最低报价。</w:t>
      </w:r>
    </w:p>
    <w:p w14:paraId="02CF4C52">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磋商小组应当根据综合评分情况，按照评审得分由高到低顺序推荐3名以上成交候选供应商符合《政府采购竞争性磋商采购方式管理暂行办法》法第二十五条招标小组应当根据综合评分情况，按照评审得分由高到低顺序推荐 3 名以上成交候选供应商。符合本办法第二十一条第三款情形的，可以推荐 2 家成交候选供应商。评审得分相同的，按照最后报价由低到高的顺序推荐。评审得分且最后报价相同的，按照技术指标优劣顺序推荐。</w:t>
      </w:r>
    </w:p>
    <w:p w14:paraId="4627B2BF">
      <w:pPr>
        <w:keepNext w:val="0"/>
        <w:keepLines w:val="0"/>
        <w:pageBreakBefore w:val="0"/>
        <w:widowControl/>
        <w:kinsoku/>
        <w:wordWrap/>
        <w:overflowPunct/>
        <w:topLinePunct w:val="0"/>
        <w:autoSpaceDE/>
        <w:autoSpaceDN/>
        <w:bidi w:val="0"/>
        <w:adjustRightInd/>
        <w:snapToGrid/>
        <w:spacing w:line="400" w:lineRule="exact"/>
        <w:ind w:firstLine="482"/>
        <w:jc w:val="center"/>
        <w:textAlignment w:val="auto"/>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  投标文件初审</w:t>
      </w:r>
      <w:bookmarkEnd w:id="34"/>
      <w:bookmarkEnd w:id="35"/>
    </w:p>
    <w:p w14:paraId="6F2FC6BC">
      <w:pPr>
        <w:spacing w:line="400" w:lineRule="exact"/>
        <w:ind w:firstLine="354"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6.资格性审查:</w:t>
      </w:r>
    </w:p>
    <w:p w14:paraId="53B0318C">
      <w:pPr>
        <w:spacing w:line="400" w:lineRule="exact"/>
        <w:ind w:firstLine="352" w:firstLineChars="147"/>
        <w:rPr>
          <w:rFonts w:ascii="仿宋" w:hAnsi="仿宋" w:eastAsia="仿宋" w:cs="仿宋"/>
          <w:color w:val="auto"/>
          <w:szCs w:val="21"/>
        </w:rPr>
      </w:pPr>
      <w:r>
        <w:rPr>
          <w:rFonts w:hint="eastAsia" w:ascii="仿宋" w:hAnsi="仿宋" w:eastAsia="仿宋" w:cs="仿宋"/>
          <w:color w:val="auto"/>
          <w:szCs w:val="21"/>
          <w:lang w:eastAsia="zh-CN"/>
        </w:rPr>
        <w:t>6</w:t>
      </w:r>
      <w:r>
        <w:rPr>
          <w:rFonts w:hint="eastAsia" w:ascii="仿宋" w:hAnsi="仿宋" w:eastAsia="仿宋" w:cs="仿宋"/>
          <w:color w:val="auto"/>
          <w:szCs w:val="21"/>
        </w:rPr>
        <w:t>.1评审细则</w:t>
      </w:r>
    </w:p>
    <w:tbl>
      <w:tblPr>
        <w:tblStyle w:val="25"/>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95"/>
        <w:gridCol w:w="7662"/>
        <w:gridCol w:w="525"/>
        <w:gridCol w:w="568"/>
      </w:tblGrid>
      <w:tr w14:paraId="7508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Merge w:val="restart"/>
            <w:vAlign w:val="center"/>
          </w:tcPr>
          <w:p w14:paraId="4E13FECD">
            <w:pPr>
              <w:jc w:val="center"/>
              <w:rPr>
                <w:rFonts w:ascii="仿宋" w:hAnsi="仿宋" w:eastAsia="仿宋" w:cs="仿宋"/>
                <w:b/>
                <w:color w:val="auto"/>
                <w:sz w:val="21"/>
                <w:szCs w:val="21"/>
              </w:rPr>
            </w:pPr>
            <w:r>
              <w:rPr>
                <w:rFonts w:hint="eastAsia" w:ascii="仿宋" w:hAnsi="仿宋" w:eastAsia="仿宋" w:cs="仿宋"/>
                <w:b/>
                <w:color w:val="auto"/>
                <w:sz w:val="21"/>
                <w:szCs w:val="21"/>
              </w:rPr>
              <w:t>项目</w:t>
            </w:r>
          </w:p>
        </w:tc>
        <w:tc>
          <w:tcPr>
            <w:tcW w:w="8157" w:type="dxa"/>
            <w:gridSpan w:val="2"/>
            <w:vMerge w:val="restart"/>
            <w:vAlign w:val="center"/>
          </w:tcPr>
          <w:p w14:paraId="1DC5000C">
            <w:pPr>
              <w:jc w:val="center"/>
              <w:rPr>
                <w:rFonts w:ascii="仿宋" w:hAnsi="仿宋" w:eastAsia="仿宋" w:cs="仿宋"/>
                <w:b/>
                <w:color w:val="auto"/>
                <w:sz w:val="21"/>
                <w:szCs w:val="21"/>
              </w:rPr>
            </w:pPr>
            <w:r>
              <w:rPr>
                <w:rFonts w:hint="eastAsia" w:ascii="仿宋" w:hAnsi="仿宋" w:eastAsia="仿宋" w:cs="仿宋"/>
                <w:b/>
                <w:color w:val="auto"/>
                <w:sz w:val="21"/>
                <w:szCs w:val="21"/>
              </w:rPr>
              <w:t>评审内容</w:t>
            </w:r>
          </w:p>
        </w:tc>
        <w:tc>
          <w:tcPr>
            <w:tcW w:w="1093" w:type="dxa"/>
            <w:gridSpan w:val="2"/>
            <w:vAlign w:val="center"/>
          </w:tcPr>
          <w:p w14:paraId="43BAE270">
            <w:pPr>
              <w:jc w:val="center"/>
              <w:rPr>
                <w:rFonts w:ascii="仿宋" w:hAnsi="仿宋" w:eastAsia="仿宋" w:cs="仿宋"/>
                <w:b/>
                <w:color w:val="auto"/>
                <w:sz w:val="21"/>
                <w:szCs w:val="21"/>
              </w:rPr>
            </w:pPr>
            <w:r>
              <w:rPr>
                <w:rFonts w:hint="eastAsia" w:ascii="仿宋" w:hAnsi="仿宋" w:eastAsia="仿宋" w:cs="仿宋"/>
                <w:b/>
                <w:color w:val="auto"/>
                <w:sz w:val="21"/>
                <w:szCs w:val="21"/>
              </w:rPr>
              <w:t>评审意见</w:t>
            </w:r>
          </w:p>
        </w:tc>
      </w:tr>
      <w:tr w14:paraId="6E77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6" w:type="dxa"/>
            <w:vMerge w:val="continue"/>
            <w:vAlign w:val="center"/>
          </w:tcPr>
          <w:p w14:paraId="708FD2BF">
            <w:pPr>
              <w:rPr>
                <w:rFonts w:ascii="仿宋" w:hAnsi="仿宋" w:eastAsia="仿宋" w:cs="仿宋"/>
                <w:color w:val="auto"/>
                <w:sz w:val="18"/>
                <w:szCs w:val="21"/>
              </w:rPr>
            </w:pPr>
          </w:p>
        </w:tc>
        <w:tc>
          <w:tcPr>
            <w:tcW w:w="8157" w:type="dxa"/>
            <w:gridSpan w:val="2"/>
            <w:vMerge w:val="continue"/>
          </w:tcPr>
          <w:p w14:paraId="4884E922">
            <w:pPr>
              <w:rPr>
                <w:rFonts w:ascii="仿宋" w:hAnsi="仿宋" w:eastAsia="仿宋" w:cs="仿宋"/>
                <w:color w:val="auto"/>
                <w:sz w:val="18"/>
                <w:szCs w:val="21"/>
              </w:rPr>
            </w:pPr>
          </w:p>
        </w:tc>
        <w:tc>
          <w:tcPr>
            <w:tcW w:w="525" w:type="dxa"/>
            <w:vAlign w:val="center"/>
          </w:tcPr>
          <w:p w14:paraId="42E79587">
            <w:pPr>
              <w:jc w:val="center"/>
              <w:rPr>
                <w:rFonts w:ascii="仿宋" w:hAnsi="仿宋" w:eastAsia="仿宋" w:cs="仿宋"/>
                <w:b/>
                <w:color w:val="auto"/>
                <w:sz w:val="21"/>
                <w:szCs w:val="21"/>
              </w:rPr>
            </w:pPr>
            <w:r>
              <w:rPr>
                <w:rFonts w:hint="eastAsia" w:ascii="仿宋" w:hAnsi="仿宋" w:eastAsia="仿宋" w:cs="仿宋"/>
                <w:b/>
                <w:color w:val="auto"/>
                <w:sz w:val="21"/>
                <w:szCs w:val="21"/>
              </w:rPr>
              <w:t>是</w:t>
            </w:r>
          </w:p>
        </w:tc>
        <w:tc>
          <w:tcPr>
            <w:tcW w:w="568" w:type="dxa"/>
            <w:vAlign w:val="center"/>
          </w:tcPr>
          <w:p w14:paraId="50BA6558">
            <w:pPr>
              <w:jc w:val="center"/>
              <w:rPr>
                <w:rFonts w:ascii="仿宋" w:hAnsi="仿宋" w:eastAsia="仿宋" w:cs="仿宋"/>
                <w:b/>
                <w:color w:val="auto"/>
                <w:sz w:val="21"/>
                <w:szCs w:val="21"/>
              </w:rPr>
            </w:pPr>
            <w:r>
              <w:rPr>
                <w:rFonts w:hint="eastAsia" w:ascii="仿宋" w:hAnsi="仿宋" w:eastAsia="仿宋" w:cs="仿宋"/>
                <w:b/>
                <w:color w:val="auto"/>
                <w:sz w:val="21"/>
                <w:szCs w:val="21"/>
              </w:rPr>
              <w:t>否</w:t>
            </w:r>
          </w:p>
        </w:tc>
      </w:tr>
      <w:tr w14:paraId="0442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14:paraId="34A6BA69">
            <w:pPr>
              <w:jc w:val="center"/>
              <w:rPr>
                <w:rFonts w:ascii="仿宋" w:hAnsi="仿宋" w:eastAsia="仿宋" w:cs="仿宋"/>
                <w:color w:val="auto"/>
                <w:szCs w:val="21"/>
                <w:lang w:eastAsia="zh-CN"/>
              </w:rPr>
            </w:pPr>
          </w:p>
        </w:tc>
        <w:tc>
          <w:tcPr>
            <w:tcW w:w="495" w:type="dxa"/>
            <w:vAlign w:val="center"/>
          </w:tcPr>
          <w:p w14:paraId="24371AFF">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7662" w:type="dxa"/>
            <w:vAlign w:val="center"/>
          </w:tcPr>
          <w:p w14:paraId="2E1ABEB0">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rPr>
              <w:t xml:space="preserve">供应商为中小微企业 </w:t>
            </w:r>
          </w:p>
        </w:tc>
        <w:tc>
          <w:tcPr>
            <w:tcW w:w="525" w:type="dxa"/>
          </w:tcPr>
          <w:p w14:paraId="0CB4868E">
            <w:pPr>
              <w:rPr>
                <w:rFonts w:ascii="仿宋" w:hAnsi="仿宋" w:eastAsia="仿宋" w:cs="仿宋"/>
                <w:color w:val="auto"/>
                <w:szCs w:val="21"/>
                <w:lang w:eastAsia="zh-CN"/>
              </w:rPr>
            </w:pPr>
          </w:p>
        </w:tc>
        <w:tc>
          <w:tcPr>
            <w:tcW w:w="568" w:type="dxa"/>
          </w:tcPr>
          <w:p w14:paraId="43666D08">
            <w:pPr>
              <w:rPr>
                <w:rFonts w:ascii="仿宋" w:hAnsi="仿宋" w:eastAsia="仿宋" w:cs="仿宋"/>
                <w:color w:val="auto"/>
                <w:szCs w:val="21"/>
                <w:lang w:eastAsia="zh-CN"/>
              </w:rPr>
            </w:pPr>
          </w:p>
        </w:tc>
      </w:tr>
      <w:tr w14:paraId="7700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14:paraId="14C94B59">
            <w:pPr>
              <w:jc w:val="center"/>
              <w:rPr>
                <w:rFonts w:ascii="仿宋" w:hAnsi="仿宋" w:eastAsia="仿宋" w:cs="仿宋"/>
                <w:color w:val="auto"/>
                <w:szCs w:val="21"/>
                <w:lang w:eastAsia="zh-CN"/>
              </w:rPr>
            </w:pPr>
          </w:p>
        </w:tc>
        <w:tc>
          <w:tcPr>
            <w:tcW w:w="495" w:type="dxa"/>
            <w:vAlign w:val="center"/>
          </w:tcPr>
          <w:p w14:paraId="69336710">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2</w:t>
            </w:r>
          </w:p>
        </w:tc>
        <w:tc>
          <w:tcPr>
            <w:tcW w:w="7662" w:type="dxa"/>
            <w:vAlign w:val="center"/>
          </w:tcPr>
          <w:p w14:paraId="3BFCE457">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（三证合一）营业执照</w:t>
            </w:r>
          </w:p>
        </w:tc>
        <w:tc>
          <w:tcPr>
            <w:tcW w:w="525" w:type="dxa"/>
          </w:tcPr>
          <w:p w14:paraId="6655E31E">
            <w:pPr>
              <w:rPr>
                <w:rFonts w:ascii="仿宋" w:hAnsi="仿宋" w:eastAsia="仿宋" w:cs="仿宋"/>
                <w:color w:val="auto"/>
                <w:szCs w:val="21"/>
                <w:lang w:eastAsia="zh-CN"/>
              </w:rPr>
            </w:pPr>
          </w:p>
        </w:tc>
        <w:tc>
          <w:tcPr>
            <w:tcW w:w="568" w:type="dxa"/>
          </w:tcPr>
          <w:p w14:paraId="36C75181">
            <w:pPr>
              <w:rPr>
                <w:rFonts w:ascii="仿宋" w:hAnsi="仿宋" w:eastAsia="仿宋" w:cs="仿宋"/>
                <w:color w:val="auto"/>
                <w:szCs w:val="21"/>
                <w:lang w:eastAsia="zh-CN"/>
              </w:rPr>
            </w:pPr>
          </w:p>
        </w:tc>
      </w:tr>
      <w:tr w14:paraId="5651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6" w:type="dxa"/>
            <w:vMerge w:val="continue"/>
            <w:vAlign w:val="center"/>
          </w:tcPr>
          <w:p w14:paraId="48C83B59">
            <w:pPr>
              <w:rPr>
                <w:rFonts w:ascii="仿宋" w:hAnsi="仿宋" w:eastAsia="仿宋" w:cs="仿宋"/>
                <w:color w:val="auto"/>
                <w:lang w:eastAsia="zh-CN"/>
              </w:rPr>
            </w:pPr>
          </w:p>
        </w:tc>
        <w:tc>
          <w:tcPr>
            <w:tcW w:w="495" w:type="dxa"/>
            <w:vAlign w:val="center"/>
          </w:tcPr>
          <w:p w14:paraId="1092E803">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7662" w:type="dxa"/>
            <w:vAlign w:val="center"/>
          </w:tcPr>
          <w:p w14:paraId="44012F65">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法定代表人投标需提供法定代表人资格证明书，委托代理人投标需提供法定代表人授权委托书</w:t>
            </w:r>
          </w:p>
        </w:tc>
        <w:tc>
          <w:tcPr>
            <w:tcW w:w="525" w:type="dxa"/>
          </w:tcPr>
          <w:p w14:paraId="67934208">
            <w:pPr>
              <w:rPr>
                <w:rFonts w:ascii="仿宋" w:hAnsi="仿宋" w:eastAsia="仿宋" w:cs="仿宋"/>
                <w:color w:val="auto"/>
                <w:szCs w:val="21"/>
                <w:lang w:eastAsia="zh-CN"/>
              </w:rPr>
            </w:pPr>
          </w:p>
        </w:tc>
        <w:tc>
          <w:tcPr>
            <w:tcW w:w="568" w:type="dxa"/>
          </w:tcPr>
          <w:p w14:paraId="7958548F">
            <w:pPr>
              <w:rPr>
                <w:rFonts w:ascii="仿宋" w:hAnsi="仿宋" w:eastAsia="仿宋" w:cs="仿宋"/>
                <w:color w:val="auto"/>
                <w:szCs w:val="21"/>
                <w:lang w:eastAsia="zh-CN"/>
              </w:rPr>
            </w:pPr>
          </w:p>
        </w:tc>
      </w:tr>
      <w:tr w14:paraId="6D32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936" w:type="dxa"/>
            <w:vMerge w:val="continue"/>
            <w:vAlign w:val="center"/>
          </w:tcPr>
          <w:p w14:paraId="2D3441A4">
            <w:pPr>
              <w:rPr>
                <w:rFonts w:ascii="仿宋" w:hAnsi="仿宋" w:eastAsia="仿宋" w:cs="仿宋"/>
                <w:color w:val="auto"/>
                <w:lang w:eastAsia="zh-CN"/>
              </w:rPr>
            </w:pPr>
          </w:p>
        </w:tc>
        <w:tc>
          <w:tcPr>
            <w:tcW w:w="495" w:type="dxa"/>
            <w:vAlign w:val="center"/>
          </w:tcPr>
          <w:p w14:paraId="70B0C0EC">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7662" w:type="dxa"/>
            <w:vAlign w:val="center"/>
          </w:tcPr>
          <w:p w14:paraId="1442963E">
            <w:pPr>
              <w:widowControl/>
              <w:textAlignment w:val="center"/>
              <w:rPr>
                <w:rFonts w:ascii="仿宋" w:hAnsi="仿宋" w:eastAsia="仿宋" w:cs="仿宋"/>
                <w:color w:val="auto"/>
                <w:lang w:eastAsia="zh-CN"/>
              </w:rPr>
            </w:pPr>
            <w:r>
              <w:rPr>
                <w:rFonts w:hint="eastAsia" w:ascii="仿宋" w:hAnsi="仿宋" w:eastAsia="仿宋" w:cs="仿宋"/>
                <w:color w:val="auto"/>
                <w:highlight w:val="none"/>
                <w:lang w:eastAsia="zh-CN"/>
              </w:rPr>
              <w:t>加政府采购活动前三年内，在经营活动中没有重大违法记录；未被“信用中国”（www.creditchina.gov.cn）、中国政府采购网（www.ccgp.gov.cn）列入失信被执行人、税收违法黑名单、政府采购严重违法失信行为记录名单。</w:t>
            </w:r>
          </w:p>
        </w:tc>
        <w:tc>
          <w:tcPr>
            <w:tcW w:w="525" w:type="dxa"/>
          </w:tcPr>
          <w:p w14:paraId="4C6EA9A9">
            <w:pPr>
              <w:rPr>
                <w:rFonts w:ascii="仿宋" w:hAnsi="仿宋" w:eastAsia="仿宋" w:cs="仿宋"/>
                <w:color w:val="auto"/>
                <w:szCs w:val="21"/>
                <w:lang w:eastAsia="zh-CN"/>
              </w:rPr>
            </w:pPr>
          </w:p>
        </w:tc>
        <w:tc>
          <w:tcPr>
            <w:tcW w:w="568" w:type="dxa"/>
          </w:tcPr>
          <w:p w14:paraId="583EBCB6">
            <w:pPr>
              <w:rPr>
                <w:rFonts w:ascii="仿宋" w:hAnsi="仿宋" w:eastAsia="仿宋" w:cs="仿宋"/>
                <w:color w:val="auto"/>
                <w:szCs w:val="21"/>
                <w:lang w:eastAsia="zh-CN"/>
              </w:rPr>
            </w:pPr>
          </w:p>
        </w:tc>
      </w:tr>
      <w:tr w14:paraId="1506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6" w:type="dxa"/>
            <w:vMerge w:val="continue"/>
            <w:vAlign w:val="center"/>
          </w:tcPr>
          <w:p w14:paraId="1AEB29D8">
            <w:pPr>
              <w:rPr>
                <w:rFonts w:ascii="仿宋" w:hAnsi="仿宋" w:eastAsia="仿宋" w:cs="仿宋"/>
                <w:color w:val="auto"/>
                <w:lang w:eastAsia="zh-CN"/>
              </w:rPr>
            </w:pPr>
          </w:p>
        </w:tc>
        <w:tc>
          <w:tcPr>
            <w:tcW w:w="495" w:type="dxa"/>
            <w:vAlign w:val="center"/>
          </w:tcPr>
          <w:p w14:paraId="101103AB">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7662" w:type="dxa"/>
            <w:vAlign w:val="center"/>
          </w:tcPr>
          <w:p w14:paraId="42EE4680">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投标保证金缴纳凭证或投标担保函</w:t>
            </w:r>
          </w:p>
        </w:tc>
        <w:tc>
          <w:tcPr>
            <w:tcW w:w="525" w:type="dxa"/>
          </w:tcPr>
          <w:p w14:paraId="7D34F3D8">
            <w:pPr>
              <w:rPr>
                <w:rFonts w:ascii="仿宋" w:hAnsi="仿宋" w:eastAsia="仿宋" w:cs="仿宋"/>
                <w:color w:val="auto"/>
                <w:szCs w:val="21"/>
                <w:lang w:eastAsia="zh-CN"/>
              </w:rPr>
            </w:pPr>
          </w:p>
        </w:tc>
        <w:tc>
          <w:tcPr>
            <w:tcW w:w="568" w:type="dxa"/>
          </w:tcPr>
          <w:p w14:paraId="0E89A870">
            <w:pPr>
              <w:rPr>
                <w:rFonts w:ascii="仿宋" w:hAnsi="仿宋" w:eastAsia="仿宋" w:cs="仿宋"/>
                <w:color w:val="auto"/>
                <w:szCs w:val="21"/>
                <w:lang w:eastAsia="zh-CN"/>
              </w:rPr>
            </w:pPr>
          </w:p>
        </w:tc>
      </w:tr>
      <w:tr w14:paraId="6CF0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14:paraId="4A4D6CF3">
            <w:pPr>
              <w:rPr>
                <w:rFonts w:ascii="仿宋" w:hAnsi="仿宋" w:eastAsia="仿宋" w:cs="仿宋"/>
                <w:color w:val="auto"/>
                <w:lang w:eastAsia="zh-CN"/>
              </w:rPr>
            </w:pPr>
          </w:p>
        </w:tc>
        <w:tc>
          <w:tcPr>
            <w:tcW w:w="495" w:type="dxa"/>
            <w:vAlign w:val="center"/>
          </w:tcPr>
          <w:p w14:paraId="2CFF9FFE">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6</w:t>
            </w:r>
          </w:p>
        </w:tc>
        <w:tc>
          <w:tcPr>
            <w:tcW w:w="7662" w:type="dxa"/>
            <w:vAlign w:val="center"/>
          </w:tcPr>
          <w:p w14:paraId="01FA7968">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投标企业须提供投标人（被授权在职人员）近6个月内任意一个月有效的社保证明；</w:t>
            </w:r>
          </w:p>
        </w:tc>
        <w:tc>
          <w:tcPr>
            <w:tcW w:w="525" w:type="dxa"/>
          </w:tcPr>
          <w:p w14:paraId="4A3A1C16">
            <w:pPr>
              <w:rPr>
                <w:rFonts w:ascii="仿宋" w:hAnsi="仿宋" w:eastAsia="仿宋" w:cs="仿宋"/>
                <w:color w:val="auto"/>
                <w:szCs w:val="21"/>
                <w:lang w:eastAsia="zh-CN"/>
              </w:rPr>
            </w:pPr>
          </w:p>
        </w:tc>
        <w:tc>
          <w:tcPr>
            <w:tcW w:w="568" w:type="dxa"/>
          </w:tcPr>
          <w:p w14:paraId="11290DF0">
            <w:pPr>
              <w:rPr>
                <w:rFonts w:ascii="仿宋" w:hAnsi="仿宋" w:eastAsia="仿宋" w:cs="仿宋"/>
                <w:color w:val="auto"/>
                <w:szCs w:val="21"/>
                <w:lang w:eastAsia="zh-CN"/>
              </w:rPr>
            </w:pPr>
          </w:p>
        </w:tc>
      </w:tr>
      <w:tr w14:paraId="7A29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Merge w:val="continue"/>
            <w:vAlign w:val="center"/>
          </w:tcPr>
          <w:p w14:paraId="4303F568">
            <w:pPr>
              <w:jc w:val="center"/>
              <w:rPr>
                <w:rFonts w:ascii="仿宋" w:hAnsi="仿宋" w:eastAsia="仿宋" w:cs="仿宋"/>
                <w:color w:val="auto"/>
                <w:szCs w:val="21"/>
                <w:lang w:eastAsia="zh-CN"/>
              </w:rPr>
            </w:pPr>
          </w:p>
        </w:tc>
        <w:tc>
          <w:tcPr>
            <w:tcW w:w="495" w:type="dxa"/>
          </w:tcPr>
          <w:p w14:paraId="2D69FFAC">
            <w:pPr>
              <w:spacing w:line="440" w:lineRule="exact"/>
              <w:rPr>
                <w:rFonts w:ascii="仿宋" w:hAnsi="仿宋" w:eastAsia="仿宋" w:cs="仿宋"/>
                <w:color w:val="auto"/>
                <w:szCs w:val="21"/>
                <w:lang w:eastAsia="zh-CN"/>
              </w:rPr>
            </w:pPr>
          </w:p>
        </w:tc>
        <w:tc>
          <w:tcPr>
            <w:tcW w:w="7662" w:type="dxa"/>
          </w:tcPr>
          <w:p w14:paraId="708FF5C6">
            <w:pPr>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14:paraId="199A72A2">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093" w:type="dxa"/>
            <w:gridSpan w:val="2"/>
          </w:tcPr>
          <w:p w14:paraId="773F4BD4">
            <w:pPr>
              <w:rPr>
                <w:rFonts w:ascii="仿宋" w:hAnsi="仿宋" w:eastAsia="仿宋" w:cs="仿宋"/>
                <w:color w:val="auto"/>
                <w:szCs w:val="21"/>
                <w:lang w:eastAsia="zh-CN"/>
              </w:rPr>
            </w:pPr>
          </w:p>
        </w:tc>
      </w:tr>
    </w:tbl>
    <w:p w14:paraId="6C20A225">
      <w:pPr>
        <w:spacing w:line="400" w:lineRule="exact"/>
        <w:ind w:firstLine="581" w:firstLineChars="241"/>
        <w:rPr>
          <w:rFonts w:ascii="仿宋" w:hAnsi="仿宋" w:eastAsia="仿宋" w:cs="仿宋"/>
          <w:b/>
          <w:color w:val="auto"/>
          <w:szCs w:val="21"/>
          <w:lang w:eastAsia="zh-CN"/>
        </w:rPr>
      </w:pPr>
      <w:r>
        <w:rPr>
          <w:rFonts w:hint="eastAsia" w:ascii="仿宋" w:hAnsi="仿宋" w:eastAsia="仿宋" w:cs="仿宋"/>
          <w:b/>
          <w:color w:val="auto"/>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1B55EB25">
      <w:pPr>
        <w:spacing w:beforeLines="50" w:line="440" w:lineRule="exact"/>
        <w:ind w:firstLine="354" w:firstLineChars="147"/>
        <w:rPr>
          <w:rFonts w:ascii="仿宋" w:hAnsi="仿宋" w:eastAsia="仿宋" w:cs="仿宋"/>
          <w:b/>
          <w:color w:val="auto"/>
          <w:szCs w:val="21"/>
        </w:rPr>
      </w:pPr>
      <w:r>
        <w:rPr>
          <w:rFonts w:hint="eastAsia" w:ascii="仿宋" w:hAnsi="仿宋" w:eastAsia="仿宋" w:cs="仿宋"/>
          <w:b/>
          <w:color w:val="auto"/>
          <w:szCs w:val="21"/>
          <w:lang w:eastAsia="zh-CN"/>
        </w:rPr>
        <w:t>7</w:t>
      </w:r>
      <w:r>
        <w:rPr>
          <w:rFonts w:hint="eastAsia" w:ascii="仿宋" w:hAnsi="仿宋" w:eastAsia="仿宋" w:cs="仿宋"/>
          <w:b/>
          <w:color w:val="auto"/>
          <w:szCs w:val="21"/>
        </w:rPr>
        <w:t>.符合性审查</w:t>
      </w:r>
    </w:p>
    <w:p w14:paraId="3007AAD0">
      <w:pPr>
        <w:spacing w:line="440" w:lineRule="exact"/>
        <w:ind w:firstLine="360" w:firstLineChars="150"/>
        <w:rPr>
          <w:rFonts w:ascii="仿宋" w:hAnsi="仿宋" w:eastAsia="仿宋" w:cs="仿宋"/>
          <w:color w:val="auto"/>
          <w:szCs w:val="21"/>
        </w:rPr>
      </w:pPr>
      <w:r>
        <w:rPr>
          <w:rFonts w:hint="eastAsia" w:ascii="仿宋" w:hAnsi="仿宋" w:eastAsia="仿宋" w:cs="仿宋"/>
          <w:color w:val="auto"/>
          <w:szCs w:val="21"/>
          <w:lang w:eastAsia="zh-CN"/>
        </w:rPr>
        <w:t>7</w:t>
      </w:r>
      <w:r>
        <w:rPr>
          <w:rFonts w:hint="eastAsia" w:ascii="仿宋" w:hAnsi="仿宋" w:eastAsia="仿宋" w:cs="仿宋"/>
          <w:color w:val="auto"/>
          <w:szCs w:val="21"/>
        </w:rPr>
        <w:t>．1评审细则</w:t>
      </w:r>
    </w:p>
    <w:tbl>
      <w:tblPr>
        <w:tblStyle w:val="25"/>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7"/>
        <w:gridCol w:w="525"/>
        <w:gridCol w:w="6787"/>
        <w:gridCol w:w="749"/>
        <w:gridCol w:w="617"/>
      </w:tblGrid>
      <w:tr w14:paraId="168B2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757" w:type="dxa"/>
            <w:vMerge w:val="restart"/>
            <w:tcBorders>
              <w:top w:val="single" w:color="auto" w:sz="4" w:space="0"/>
              <w:left w:val="single" w:color="auto" w:sz="4" w:space="0"/>
            </w:tcBorders>
            <w:vAlign w:val="center"/>
          </w:tcPr>
          <w:p w14:paraId="282437C2">
            <w:pPr>
              <w:jc w:val="center"/>
              <w:rPr>
                <w:rFonts w:ascii="仿宋" w:hAnsi="仿宋" w:eastAsia="仿宋" w:cs="仿宋"/>
                <w:b/>
                <w:color w:val="auto"/>
              </w:rPr>
            </w:pPr>
            <w:r>
              <w:rPr>
                <w:rFonts w:hint="eastAsia" w:ascii="仿宋" w:hAnsi="仿宋" w:eastAsia="仿宋" w:cs="仿宋"/>
                <w:b/>
                <w:color w:val="auto"/>
              </w:rPr>
              <w:t>项目</w:t>
            </w:r>
          </w:p>
        </w:tc>
        <w:tc>
          <w:tcPr>
            <w:tcW w:w="7312" w:type="dxa"/>
            <w:gridSpan w:val="2"/>
            <w:vMerge w:val="restart"/>
            <w:tcBorders>
              <w:top w:val="single" w:color="auto" w:sz="4" w:space="0"/>
            </w:tcBorders>
            <w:vAlign w:val="center"/>
          </w:tcPr>
          <w:p w14:paraId="1D815A15">
            <w:pPr>
              <w:jc w:val="center"/>
              <w:rPr>
                <w:rFonts w:ascii="仿宋" w:hAnsi="仿宋" w:eastAsia="仿宋" w:cs="仿宋"/>
                <w:b/>
                <w:color w:val="auto"/>
              </w:rPr>
            </w:pPr>
            <w:r>
              <w:rPr>
                <w:rFonts w:hint="eastAsia" w:ascii="仿宋" w:hAnsi="仿宋" w:eastAsia="仿宋" w:cs="仿宋"/>
                <w:b/>
                <w:color w:val="auto"/>
              </w:rPr>
              <w:t>评审内容</w:t>
            </w:r>
          </w:p>
        </w:tc>
        <w:tc>
          <w:tcPr>
            <w:tcW w:w="1366" w:type="dxa"/>
            <w:gridSpan w:val="2"/>
            <w:tcBorders>
              <w:top w:val="single" w:color="auto" w:sz="4" w:space="0"/>
              <w:right w:val="single" w:color="auto" w:sz="4" w:space="0"/>
            </w:tcBorders>
            <w:vAlign w:val="center"/>
          </w:tcPr>
          <w:p w14:paraId="26629D1E">
            <w:pPr>
              <w:jc w:val="center"/>
              <w:rPr>
                <w:rFonts w:ascii="仿宋" w:hAnsi="仿宋" w:eastAsia="仿宋" w:cs="仿宋"/>
                <w:b/>
                <w:color w:val="auto"/>
              </w:rPr>
            </w:pPr>
            <w:r>
              <w:rPr>
                <w:rFonts w:hint="eastAsia" w:ascii="仿宋" w:hAnsi="仿宋" w:eastAsia="仿宋" w:cs="仿宋"/>
                <w:b/>
                <w:color w:val="auto"/>
              </w:rPr>
              <w:t>评审意见</w:t>
            </w:r>
          </w:p>
        </w:tc>
      </w:tr>
      <w:tr w14:paraId="69477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57" w:type="dxa"/>
            <w:vMerge w:val="continue"/>
            <w:tcBorders>
              <w:left w:val="single" w:color="auto" w:sz="4" w:space="0"/>
              <w:bottom w:val="single" w:color="auto" w:sz="4" w:space="0"/>
            </w:tcBorders>
            <w:vAlign w:val="center"/>
          </w:tcPr>
          <w:p w14:paraId="6E062DAB">
            <w:pPr>
              <w:rPr>
                <w:rFonts w:ascii="仿宋" w:hAnsi="仿宋" w:eastAsia="仿宋" w:cs="仿宋"/>
                <w:color w:val="auto"/>
              </w:rPr>
            </w:pPr>
          </w:p>
        </w:tc>
        <w:tc>
          <w:tcPr>
            <w:tcW w:w="7312" w:type="dxa"/>
            <w:gridSpan w:val="2"/>
            <w:vMerge w:val="continue"/>
            <w:tcBorders>
              <w:bottom w:val="single" w:color="auto" w:sz="4" w:space="0"/>
            </w:tcBorders>
          </w:tcPr>
          <w:p w14:paraId="2E6E1ED1">
            <w:pPr>
              <w:rPr>
                <w:rFonts w:ascii="仿宋" w:hAnsi="仿宋" w:eastAsia="仿宋" w:cs="仿宋"/>
                <w:color w:val="auto"/>
              </w:rPr>
            </w:pPr>
          </w:p>
        </w:tc>
        <w:tc>
          <w:tcPr>
            <w:tcW w:w="749" w:type="dxa"/>
            <w:vAlign w:val="center"/>
          </w:tcPr>
          <w:p w14:paraId="40E2E7A0">
            <w:pPr>
              <w:jc w:val="center"/>
              <w:rPr>
                <w:rFonts w:ascii="仿宋" w:hAnsi="仿宋" w:eastAsia="仿宋" w:cs="仿宋"/>
                <w:b/>
                <w:color w:val="auto"/>
              </w:rPr>
            </w:pPr>
            <w:r>
              <w:rPr>
                <w:rFonts w:hint="eastAsia" w:ascii="仿宋" w:hAnsi="仿宋" w:eastAsia="仿宋" w:cs="仿宋"/>
                <w:b/>
                <w:color w:val="auto"/>
              </w:rPr>
              <w:t>是</w:t>
            </w:r>
          </w:p>
        </w:tc>
        <w:tc>
          <w:tcPr>
            <w:tcW w:w="617" w:type="dxa"/>
            <w:tcBorders>
              <w:right w:val="single" w:color="auto" w:sz="4" w:space="0"/>
            </w:tcBorders>
            <w:vAlign w:val="center"/>
          </w:tcPr>
          <w:p w14:paraId="38FAAFDF">
            <w:pPr>
              <w:jc w:val="center"/>
              <w:rPr>
                <w:rFonts w:ascii="仿宋" w:hAnsi="仿宋" w:eastAsia="仿宋" w:cs="仿宋"/>
                <w:b/>
                <w:color w:val="auto"/>
              </w:rPr>
            </w:pPr>
            <w:r>
              <w:rPr>
                <w:rFonts w:hint="eastAsia" w:ascii="仿宋" w:hAnsi="仿宋" w:eastAsia="仿宋" w:cs="仿宋"/>
                <w:b/>
                <w:color w:val="auto"/>
              </w:rPr>
              <w:t>否</w:t>
            </w:r>
          </w:p>
        </w:tc>
      </w:tr>
      <w:tr w14:paraId="2648D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757" w:type="dxa"/>
            <w:vMerge w:val="restart"/>
            <w:tcBorders>
              <w:top w:val="single" w:color="auto" w:sz="4" w:space="0"/>
              <w:left w:val="single" w:color="auto" w:sz="4" w:space="0"/>
              <w:right w:val="single" w:color="auto" w:sz="4" w:space="0"/>
            </w:tcBorders>
            <w:vAlign w:val="center"/>
          </w:tcPr>
          <w:p w14:paraId="1A9BCA4A">
            <w:pPr>
              <w:jc w:val="center"/>
              <w:rPr>
                <w:rFonts w:ascii="仿宋" w:hAnsi="仿宋" w:eastAsia="仿宋" w:cs="仿宋"/>
                <w:color w:val="auto"/>
                <w:szCs w:val="21"/>
              </w:rPr>
            </w:pPr>
            <w:r>
              <w:rPr>
                <w:rFonts w:hint="eastAsia" w:ascii="仿宋" w:hAnsi="仿宋" w:eastAsia="仿宋" w:cs="仿宋"/>
                <w:color w:val="auto"/>
                <w:szCs w:val="21"/>
              </w:rPr>
              <w:t>审</w:t>
            </w:r>
          </w:p>
          <w:p w14:paraId="7C0FDA09">
            <w:pPr>
              <w:jc w:val="center"/>
              <w:rPr>
                <w:rFonts w:ascii="仿宋" w:hAnsi="仿宋" w:eastAsia="仿宋" w:cs="仿宋"/>
                <w:color w:val="auto"/>
                <w:szCs w:val="21"/>
              </w:rPr>
            </w:pPr>
            <w:r>
              <w:rPr>
                <w:rFonts w:hint="eastAsia" w:ascii="仿宋" w:hAnsi="仿宋" w:eastAsia="仿宋" w:cs="仿宋"/>
                <w:color w:val="auto"/>
                <w:szCs w:val="21"/>
              </w:rPr>
              <w:t>查</w:t>
            </w:r>
          </w:p>
          <w:p w14:paraId="675A0494">
            <w:pPr>
              <w:jc w:val="center"/>
              <w:rPr>
                <w:rFonts w:ascii="仿宋" w:hAnsi="仿宋" w:eastAsia="仿宋" w:cs="仿宋"/>
                <w:color w:val="auto"/>
                <w:szCs w:val="21"/>
              </w:rPr>
            </w:pPr>
            <w:r>
              <w:rPr>
                <w:rFonts w:hint="eastAsia" w:ascii="仿宋" w:hAnsi="仿宋" w:eastAsia="仿宋" w:cs="仿宋"/>
                <w:color w:val="auto"/>
                <w:szCs w:val="21"/>
              </w:rPr>
              <w:t>标</w:t>
            </w:r>
          </w:p>
          <w:p w14:paraId="26A1F245">
            <w:pPr>
              <w:jc w:val="center"/>
              <w:rPr>
                <w:rFonts w:ascii="仿宋" w:hAnsi="仿宋" w:eastAsia="仿宋" w:cs="仿宋"/>
                <w:color w:val="auto"/>
                <w:szCs w:val="21"/>
              </w:rPr>
            </w:pPr>
            <w:r>
              <w:rPr>
                <w:rFonts w:hint="eastAsia" w:ascii="仿宋" w:hAnsi="仿宋" w:eastAsia="仿宋" w:cs="仿宋"/>
                <w:color w:val="auto"/>
                <w:szCs w:val="21"/>
              </w:rPr>
              <w:t>准</w:t>
            </w:r>
          </w:p>
        </w:tc>
        <w:tc>
          <w:tcPr>
            <w:tcW w:w="525" w:type="dxa"/>
            <w:tcBorders>
              <w:top w:val="single" w:color="auto" w:sz="4" w:space="0"/>
              <w:left w:val="single" w:color="auto" w:sz="4" w:space="0"/>
              <w:right w:val="single" w:color="auto" w:sz="4" w:space="0"/>
            </w:tcBorders>
            <w:vAlign w:val="center"/>
          </w:tcPr>
          <w:p w14:paraId="104129FC">
            <w:pPr>
              <w:jc w:val="center"/>
              <w:rPr>
                <w:rFonts w:ascii="仿宋" w:hAnsi="仿宋" w:eastAsia="仿宋" w:cs="仿宋"/>
                <w:color w:val="auto"/>
              </w:rPr>
            </w:pPr>
            <w:r>
              <w:rPr>
                <w:rFonts w:hint="eastAsia" w:ascii="仿宋" w:hAnsi="仿宋" w:eastAsia="仿宋" w:cs="仿宋"/>
                <w:color w:val="auto"/>
              </w:rPr>
              <w:t>1</w:t>
            </w:r>
          </w:p>
        </w:tc>
        <w:tc>
          <w:tcPr>
            <w:tcW w:w="6787" w:type="dxa"/>
            <w:tcBorders>
              <w:top w:val="single" w:color="auto" w:sz="4" w:space="0"/>
              <w:left w:val="single" w:color="auto" w:sz="4" w:space="0"/>
              <w:right w:val="single" w:color="auto" w:sz="4" w:space="0"/>
            </w:tcBorders>
            <w:vAlign w:val="center"/>
          </w:tcPr>
          <w:p w14:paraId="49414CDD">
            <w:pPr>
              <w:widowControl/>
              <w:ind w:left="240" w:hanging="240" w:hangingChars="100"/>
              <w:textAlignment w:val="center"/>
              <w:rPr>
                <w:rFonts w:ascii="仿宋" w:hAnsi="仿宋" w:eastAsia="仿宋" w:cs="仿宋"/>
                <w:color w:val="auto"/>
                <w:lang w:eastAsia="zh-CN"/>
              </w:rPr>
            </w:pPr>
            <w:r>
              <w:rPr>
                <w:rFonts w:hint="eastAsia" w:ascii="仿宋" w:hAnsi="仿宋" w:eastAsia="仿宋" w:cs="仿宋"/>
                <w:color w:val="auto"/>
                <w:lang w:eastAsia="zh-CN"/>
              </w:rPr>
              <w:t>由政府立项核准、审批的采购项目, 报价高于设定的采购预算价的</w:t>
            </w:r>
            <w:r>
              <w:rPr>
                <w:rFonts w:hint="eastAsia" w:ascii="仿宋" w:hAnsi="仿宋" w:eastAsia="仿宋" w:cs="仿宋"/>
                <w:color w:val="auto"/>
                <w:lang w:val="en-US" w:eastAsia="zh-CN"/>
              </w:rPr>
              <w:t>。</w:t>
            </w:r>
          </w:p>
        </w:tc>
        <w:tc>
          <w:tcPr>
            <w:tcW w:w="749" w:type="dxa"/>
            <w:tcBorders>
              <w:left w:val="single" w:color="auto" w:sz="4" w:space="0"/>
              <w:right w:val="single" w:color="auto" w:sz="4" w:space="0"/>
            </w:tcBorders>
          </w:tcPr>
          <w:p w14:paraId="350DD3D2">
            <w:pPr>
              <w:jc w:val="center"/>
              <w:rPr>
                <w:rFonts w:ascii="仿宋" w:hAnsi="仿宋" w:eastAsia="仿宋" w:cs="仿宋"/>
                <w:b/>
                <w:color w:val="auto"/>
                <w:szCs w:val="21"/>
                <w:lang w:eastAsia="zh-CN"/>
              </w:rPr>
            </w:pPr>
          </w:p>
        </w:tc>
        <w:tc>
          <w:tcPr>
            <w:tcW w:w="617" w:type="dxa"/>
            <w:tcBorders>
              <w:left w:val="single" w:color="auto" w:sz="4" w:space="0"/>
              <w:right w:val="single" w:color="auto" w:sz="4" w:space="0"/>
            </w:tcBorders>
          </w:tcPr>
          <w:p w14:paraId="172658A2">
            <w:pPr>
              <w:jc w:val="center"/>
              <w:rPr>
                <w:rFonts w:ascii="仿宋" w:hAnsi="仿宋" w:eastAsia="仿宋" w:cs="仿宋"/>
                <w:b/>
                <w:color w:val="auto"/>
                <w:szCs w:val="21"/>
                <w:lang w:eastAsia="zh-CN"/>
              </w:rPr>
            </w:pPr>
          </w:p>
        </w:tc>
      </w:tr>
      <w:tr w14:paraId="7F7B5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57" w:type="dxa"/>
            <w:vMerge w:val="continue"/>
            <w:tcBorders>
              <w:left w:val="single" w:color="auto" w:sz="4" w:space="0"/>
              <w:right w:val="single" w:color="auto" w:sz="4" w:space="0"/>
            </w:tcBorders>
            <w:vAlign w:val="center"/>
          </w:tcPr>
          <w:p w14:paraId="6EC0C25E">
            <w:pPr>
              <w:rPr>
                <w:rFonts w:ascii="仿宋" w:hAnsi="仿宋" w:eastAsia="仿宋" w:cs="仿宋"/>
                <w:color w:val="auto"/>
                <w:lang w:eastAsia="zh-CN"/>
              </w:rPr>
            </w:pPr>
          </w:p>
        </w:tc>
        <w:tc>
          <w:tcPr>
            <w:tcW w:w="525" w:type="dxa"/>
            <w:tcBorders>
              <w:top w:val="single" w:color="auto" w:sz="4" w:space="0"/>
              <w:left w:val="single" w:color="auto" w:sz="4" w:space="0"/>
              <w:bottom w:val="single" w:color="auto" w:sz="4" w:space="0"/>
              <w:right w:val="single" w:color="auto" w:sz="4" w:space="0"/>
            </w:tcBorders>
            <w:vAlign w:val="center"/>
          </w:tcPr>
          <w:p w14:paraId="764AB092">
            <w:pPr>
              <w:jc w:val="center"/>
              <w:rPr>
                <w:rFonts w:ascii="仿宋" w:hAnsi="仿宋" w:eastAsia="仿宋" w:cs="仿宋"/>
                <w:color w:val="auto"/>
              </w:rPr>
            </w:pPr>
            <w:r>
              <w:rPr>
                <w:rFonts w:hint="eastAsia" w:ascii="仿宋" w:hAnsi="仿宋" w:eastAsia="仿宋" w:cs="仿宋"/>
                <w:color w:val="auto"/>
              </w:rPr>
              <w:t>2</w:t>
            </w:r>
          </w:p>
        </w:tc>
        <w:tc>
          <w:tcPr>
            <w:tcW w:w="6787" w:type="dxa"/>
            <w:tcBorders>
              <w:top w:val="single" w:color="auto" w:sz="4" w:space="0"/>
              <w:left w:val="single" w:color="auto" w:sz="4" w:space="0"/>
              <w:bottom w:val="single" w:color="auto" w:sz="4" w:space="0"/>
              <w:right w:val="single" w:color="auto" w:sz="4" w:space="0"/>
            </w:tcBorders>
            <w:vAlign w:val="center"/>
          </w:tcPr>
          <w:p w14:paraId="4E35496B">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法定代表人身份证明及授权委托书有效，且符合磋商文件规定的格式。</w:t>
            </w:r>
            <w:bookmarkStart w:id="67" w:name="_GoBack"/>
            <w:bookmarkEnd w:id="67"/>
          </w:p>
        </w:tc>
        <w:tc>
          <w:tcPr>
            <w:tcW w:w="749" w:type="dxa"/>
            <w:tcBorders>
              <w:left w:val="single" w:color="auto" w:sz="4" w:space="0"/>
            </w:tcBorders>
          </w:tcPr>
          <w:p w14:paraId="2C4AC001">
            <w:pPr>
              <w:rPr>
                <w:rFonts w:ascii="仿宋" w:hAnsi="仿宋" w:eastAsia="仿宋" w:cs="仿宋"/>
                <w:color w:val="auto"/>
                <w:szCs w:val="21"/>
                <w:lang w:eastAsia="zh-CN"/>
              </w:rPr>
            </w:pPr>
          </w:p>
        </w:tc>
        <w:tc>
          <w:tcPr>
            <w:tcW w:w="617" w:type="dxa"/>
            <w:tcBorders>
              <w:right w:val="single" w:color="auto" w:sz="4" w:space="0"/>
            </w:tcBorders>
          </w:tcPr>
          <w:p w14:paraId="473E2861">
            <w:pPr>
              <w:rPr>
                <w:rFonts w:ascii="仿宋" w:hAnsi="仿宋" w:eastAsia="仿宋" w:cs="仿宋"/>
                <w:color w:val="auto"/>
                <w:szCs w:val="21"/>
                <w:lang w:eastAsia="zh-CN"/>
              </w:rPr>
            </w:pPr>
          </w:p>
        </w:tc>
      </w:tr>
      <w:tr w14:paraId="1991A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757" w:type="dxa"/>
            <w:vMerge w:val="continue"/>
            <w:tcBorders>
              <w:left w:val="single" w:color="auto" w:sz="4" w:space="0"/>
              <w:right w:val="single" w:color="auto" w:sz="4" w:space="0"/>
            </w:tcBorders>
            <w:vAlign w:val="center"/>
          </w:tcPr>
          <w:p w14:paraId="4CF1A243">
            <w:pPr>
              <w:rPr>
                <w:rFonts w:ascii="仿宋" w:hAnsi="仿宋" w:eastAsia="仿宋" w:cs="仿宋"/>
                <w:color w:val="auto"/>
                <w:lang w:eastAsia="zh-CN"/>
              </w:rPr>
            </w:pPr>
          </w:p>
        </w:tc>
        <w:tc>
          <w:tcPr>
            <w:tcW w:w="525" w:type="dxa"/>
            <w:tcBorders>
              <w:top w:val="single" w:color="auto" w:sz="4" w:space="0"/>
              <w:left w:val="single" w:color="auto" w:sz="4" w:space="0"/>
              <w:right w:val="single" w:color="auto" w:sz="4" w:space="0"/>
            </w:tcBorders>
            <w:vAlign w:val="center"/>
          </w:tcPr>
          <w:p w14:paraId="631F8102">
            <w:pPr>
              <w:jc w:val="center"/>
              <w:rPr>
                <w:rFonts w:ascii="仿宋" w:hAnsi="仿宋" w:eastAsia="仿宋" w:cs="仿宋"/>
                <w:color w:val="auto"/>
              </w:rPr>
            </w:pPr>
            <w:r>
              <w:rPr>
                <w:rFonts w:hint="eastAsia" w:ascii="仿宋" w:hAnsi="仿宋" w:eastAsia="仿宋" w:cs="仿宋"/>
                <w:color w:val="auto"/>
              </w:rPr>
              <w:t>3</w:t>
            </w:r>
          </w:p>
        </w:tc>
        <w:tc>
          <w:tcPr>
            <w:tcW w:w="6787" w:type="dxa"/>
            <w:tcBorders>
              <w:top w:val="single" w:color="auto" w:sz="4" w:space="0"/>
              <w:left w:val="single" w:color="auto" w:sz="4" w:space="0"/>
              <w:right w:val="single" w:color="auto" w:sz="4" w:space="0"/>
            </w:tcBorders>
            <w:vAlign w:val="center"/>
          </w:tcPr>
          <w:p w14:paraId="4BC8BDEF">
            <w:pPr>
              <w:widowControl/>
              <w:textAlignment w:val="center"/>
              <w:rPr>
                <w:rFonts w:ascii="仿宋" w:hAnsi="仿宋" w:eastAsia="仿宋" w:cs="仿宋"/>
                <w:color w:val="auto"/>
              </w:rPr>
            </w:pPr>
            <w:r>
              <w:rPr>
                <w:rFonts w:hint="eastAsia" w:ascii="仿宋" w:hAnsi="仿宋" w:eastAsia="仿宋" w:cs="仿宋"/>
                <w:color w:val="auto"/>
              </w:rPr>
              <w:t>只有一个方案投标。</w:t>
            </w:r>
          </w:p>
        </w:tc>
        <w:tc>
          <w:tcPr>
            <w:tcW w:w="749" w:type="dxa"/>
            <w:tcBorders>
              <w:left w:val="single" w:color="auto" w:sz="4" w:space="0"/>
            </w:tcBorders>
          </w:tcPr>
          <w:p w14:paraId="18232BC7">
            <w:pPr>
              <w:rPr>
                <w:rFonts w:ascii="仿宋" w:hAnsi="仿宋" w:eastAsia="仿宋" w:cs="仿宋"/>
                <w:color w:val="auto"/>
                <w:szCs w:val="21"/>
              </w:rPr>
            </w:pPr>
          </w:p>
        </w:tc>
        <w:tc>
          <w:tcPr>
            <w:tcW w:w="617" w:type="dxa"/>
            <w:tcBorders>
              <w:right w:val="single" w:color="auto" w:sz="4" w:space="0"/>
            </w:tcBorders>
          </w:tcPr>
          <w:p w14:paraId="494D6236">
            <w:pPr>
              <w:rPr>
                <w:rFonts w:ascii="仿宋" w:hAnsi="仿宋" w:eastAsia="仿宋" w:cs="仿宋"/>
                <w:color w:val="auto"/>
                <w:szCs w:val="21"/>
              </w:rPr>
            </w:pPr>
          </w:p>
        </w:tc>
      </w:tr>
      <w:tr w14:paraId="65482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757" w:type="dxa"/>
            <w:vMerge w:val="continue"/>
            <w:tcBorders>
              <w:left w:val="single" w:color="auto" w:sz="4" w:space="0"/>
              <w:right w:val="single" w:color="auto" w:sz="4" w:space="0"/>
            </w:tcBorders>
            <w:vAlign w:val="center"/>
          </w:tcPr>
          <w:p w14:paraId="690A0277">
            <w:pPr>
              <w:rPr>
                <w:rFonts w:ascii="仿宋" w:hAnsi="仿宋" w:eastAsia="仿宋" w:cs="仿宋"/>
                <w:color w:val="auto"/>
              </w:rPr>
            </w:pPr>
          </w:p>
        </w:tc>
        <w:tc>
          <w:tcPr>
            <w:tcW w:w="525" w:type="dxa"/>
            <w:tcBorders>
              <w:left w:val="single" w:color="auto" w:sz="4" w:space="0"/>
            </w:tcBorders>
            <w:vAlign w:val="center"/>
          </w:tcPr>
          <w:p w14:paraId="3DE854DE">
            <w:pPr>
              <w:jc w:val="center"/>
              <w:rPr>
                <w:rFonts w:ascii="仿宋" w:hAnsi="仿宋" w:eastAsia="仿宋" w:cs="仿宋"/>
                <w:color w:val="auto"/>
              </w:rPr>
            </w:pPr>
            <w:r>
              <w:rPr>
                <w:rFonts w:hint="eastAsia" w:ascii="仿宋" w:hAnsi="仿宋" w:eastAsia="仿宋" w:cs="仿宋"/>
                <w:color w:val="auto"/>
                <w:lang w:eastAsia="zh-CN"/>
              </w:rPr>
              <w:t>4</w:t>
            </w:r>
          </w:p>
        </w:tc>
        <w:tc>
          <w:tcPr>
            <w:tcW w:w="6787" w:type="dxa"/>
            <w:tcBorders>
              <w:right w:val="single" w:color="auto" w:sz="4" w:space="0"/>
            </w:tcBorders>
            <w:vAlign w:val="center"/>
          </w:tcPr>
          <w:p w14:paraId="730EEDDE">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投标文件内容齐全、无遗漏。</w:t>
            </w:r>
          </w:p>
        </w:tc>
        <w:tc>
          <w:tcPr>
            <w:tcW w:w="749" w:type="dxa"/>
            <w:tcBorders>
              <w:left w:val="single" w:color="auto" w:sz="4" w:space="0"/>
            </w:tcBorders>
          </w:tcPr>
          <w:p w14:paraId="1FFAE8AD">
            <w:pPr>
              <w:rPr>
                <w:rFonts w:ascii="仿宋" w:hAnsi="仿宋" w:eastAsia="仿宋" w:cs="仿宋"/>
                <w:color w:val="auto"/>
                <w:szCs w:val="21"/>
                <w:lang w:eastAsia="zh-CN"/>
              </w:rPr>
            </w:pPr>
          </w:p>
        </w:tc>
        <w:tc>
          <w:tcPr>
            <w:tcW w:w="617" w:type="dxa"/>
            <w:tcBorders>
              <w:right w:val="single" w:color="auto" w:sz="4" w:space="0"/>
            </w:tcBorders>
          </w:tcPr>
          <w:p w14:paraId="116C3A99">
            <w:pPr>
              <w:rPr>
                <w:rFonts w:ascii="仿宋" w:hAnsi="仿宋" w:eastAsia="仿宋" w:cs="仿宋"/>
                <w:color w:val="auto"/>
                <w:szCs w:val="21"/>
                <w:lang w:eastAsia="zh-CN"/>
              </w:rPr>
            </w:pPr>
          </w:p>
        </w:tc>
      </w:tr>
      <w:tr w14:paraId="43824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757" w:type="dxa"/>
            <w:vMerge w:val="continue"/>
            <w:tcBorders>
              <w:left w:val="single" w:color="auto" w:sz="4" w:space="0"/>
              <w:right w:val="single" w:color="auto" w:sz="4" w:space="0"/>
            </w:tcBorders>
            <w:vAlign w:val="center"/>
          </w:tcPr>
          <w:p w14:paraId="74953C74">
            <w:pPr>
              <w:rPr>
                <w:rFonts w:ascii="仿宋" w:hAnsi="仿宋" w:eastAsia="仿宋" w:cs="仿宋"/>
                <w:color w:val="auto"/>
                <w:lang w:eastAsia="zh-CN"/>
              </w:rPr>
            </w:pPr>
          </w:p>
        </w:tc>
        <w:tc>
          <w:tcPr>
            <w:tcW w:w="525" w:type="dxa"/>
            <w:tcBorders>
              <w:left w:val="single" w:color="auto" w:sz="4" w:space="0"/>
              <w:bottom w:val="single" w:color="auto" w:sz="4" w:space="0"/>
            </w:tcBorders>
            <w:vAlign w:val="center"/>
          </w:tcPr>
          <w:p w14:paraId="3BA59E4D">
            <w:pPr>
              <w:jc w:val="center"/>
              <w:rPr>
                <w:rFonts w:ascii="仿宋" w:hAnsi="仿宋" w:eastAsia="仿宋" w:cs="仿宋"/>
                <w:color w:val="auto"/>
              </w:rPr>
            </w:pPr>
            <w:r>
              <w:rPr>
                <w:rFonts w:hint="eastAsia" w:ascii="仿宋" w:hAnsi="仿宋" w:eastAsia="仿宋" w:cs="仿宋"/>
                <w:color w:val="auto"/>
              </w:rPr>
              <w:t>5</w:t>
            </w:r>
          </w:p>
        </w:tc>
        <w:tc>
          <w:tcPr>
            <w:tcW w:w="6787" w:type="dxa"/>
            <w:tcBorders>
              <w:bottom w:val="single" w:color="auto" w:sz="4" w:space="0"/>
              <w:right w:val="single" w:color="auto" w:sz="4" w:space="0"/>
            </w:tcBorders>
            <w:vAlign w:val="center"/>
          </w:tcPr>
          <w:p w14:paraId="166F2EF6">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对磋商文件规定的招标内容全部作出响应。</w:t>
            </w:r>
          </w:p>
        </w:tc>
        <w:tc>
          <w:tcPr>
            <w:tcW w:w="749" w:type="dxa"/>
            <w:tcBorders>
              <w:left w:val="single" w:color="auto" w:sz="4" w:space="0"/>
              <w:bottom w:val="single" w:color="auto" w:sz="4" w:space="0"/>
            </w:tcBorders>
          </w:tcPr>
          <w:p w14:paraId="6EC62288">
            <w:pPr>
              <w:rPr>
                <w:rFonts w:ascii="仿宋" w:hAnsi="仿宋" w:eastAsia="仿宋" w:cs="仿宋"/>
                <w:color w:val="auto"/>
                <w:szCs w:val="21"/>
                <w:lang w:eastAsia="zh-CN"/>
              </w:rPr>
            </w:pPr>
          </w:p>
        </w:tc>
        <w:tc>
          <w:tcPr>
            <w:tcW w:w="617" w:type="dxa"/>
            <w:tcBorders>
              <w:bottom w:val="single" w:color="auto" w:sz="4" w:space="0"/>
              <w:right w:val="single" w:color="auto" w:sz="4" w:space="0"/>
            </w:tcBorders>
          </w:tcPr>
          <w:p w14:paraId="096EDE6A">
            <w:pPr>
              <w:rPr>
                <w:rFonts w:ascii="仿宋" w:hAnsi="仿宋" w:eastAsia="仿宋" w:cs="仿宋"/>
                <w:color w:val="auto"/>
                <w:szCs w:val="21"/>
                <w:lang w:eastAsia="zh-CN"/>
              </w:rPr>
            </w:pPr>
          </w:p>
        </w:tc>
      </w:tr>
      <w:tr w14:paraId="1DB9B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757" w:type="dxa"/>
            <w:vMerge w:val="continue"/>
            <w:tcBorders>
              <w:left w:val="single" w:color="auto" w:sz="4" w:space="0"/>
              <w:right w:val="single" w:color="auto" w:sz="4" w:space="0"/>
            </w:tcBorders>
            <w:vAlign w:val="center"/>
          </w:tcPr>
          <w:p w14:paraId="46B71245">
            <w:pPr>
              <w:rPr>
                <w:rFonts w:ascii="仿宋" w:hAnsi="仿宋" w:eastAsia="仿宋" w:cs="仿宋"/>
                <w:color w:val="auto"/>
                <w:lang w:eastAsia="zh-CN"/>
              </w:rPr>
            </w:pPr>
          </w:p>
        </w:tc>
        <w:tc>
          <w:tcPr>
            <w:tcW w:w="525" w:type="dxa"/>
            <w:tcBorders>
              <w:top w:val="single" w:color="auto" w:sz="4" w:space="0"/>
              <w:left w:val="single" w:color="auto" w:sz="4" w:space="0"/>
              <w:bottom w:val="single" w:color="auto" w:sz="4" w:space="0"/>
              <w:right w:val="single" w:color="auto" w:sz="4" w:space="0"/>
            </w:tcBorders>
            <w:vAlign w:val="center"/>
          </w:tcPr>
          <w:p w14:paraId="63DC7E23">
            <w:pPr>
              <w:jc w:val="center"/>
              <w:rPr>
                <w:rFonts w:ascii="仿宋" w:hAnsi="仿宋" w:eastAsia="仿宋" w:cs="仿宋"/>
                <w:color w:val="auto"/>
              </w:rPr>
            </w:pPr>
            <w:r>
              <w:rPr>
                <w:rFonts w:hint="eastAsia" w:ascii="仿宋" w:hAnsi="仿宋" w:eastAsia="仿宋" w:cs="仿宋"/>
                <w:color w:val="auto"/>
              </w:rPr>
              <w:t>6</w:t>
            </w:r>
          </w:p>
        </w:tc>
        <w:tc>
          <w:tcPr>
            <w:tcW w:w="6787" w:type="dxa"/>
            <w:tcBorders>
              <w:top w:val="single" w:color="auto" w:sz="4" w:space="0"/>
              <w:left w:val="single" w:color="auto" w:sz="4" w:space="0"/>
              <w:bottom w:val="single" w:color="auto" w:sz="4" w:space="0"/>
              <w:right w:val="single" w:color="auto" w:sz="4" w:space="0"/>
            </w:tcBorders>
            <w:vAlign w:val="center"/>
          </w:tcPr>
          <w:p w14:paraId="02091743">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满足磋商文件提出的技术和质量要求。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6DBD4DC1">
            <w:pPr>
              <w:rPr>
                <w:rFonts w:ascii="仿宋" w:hAnsi="仿宋" w:eastAsia="仿宋" w:cs="仿宋"/>
                <w:color w:val="auto"/>
                <w:szCs w:val="21"/>
                <w:lang w:eastAsia="zh-CN"/>
              </w:rPr>
            </w:pPr>
          </w:p>
        </w:tc>
        <w:tc>
          <w:tcPr>
            <w:tcW w:w="617" w:type="dxa"/>
            <w:tcBorders>
              <w:top w:val="single" w:color="auto" w:sz="4" w:space="0"/>
              <w:left w:val="single" w:color="auto" w:sz="4" w:space="0"/>
              <w:bottom w:val="single" w:color="auto" w:sz="4" w:space="0"/>
              <w:right w:val="single" w:color="auto" w:sz="4" w:space="0"/>
            </w:tcBorders>
          </w:tcPr>
          <w:p w14:paraId="116C83D9">
            <w:pPr>
              <w:rPr>
                <w:rFonts w:ascii="仿宋" w:hAnsi="仿宋" w:eastAsia="仿宋" w:cs="仿宋"/>
                <w:color w:val="auto"/>
                <w:szCs w:val="21"/>
                <w:lang w:eastAsia="zh-CN"/>
              </w:rPr>
            </w:pPr>
          </w:p>
        </w:tc>
      </w:tr>
      <w:tr w14:paraId="01E1E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757" w:type="dxa"/>
            <w:vMerge w:val="continue"/>
            <w:tcBorders>
              <w:left w:val="single" w:color="auto" w:sz="4" w:space="0"/>
              <w:right w:val="single" w:color="auto" w:sz="4" w:space="0"/>
            </w:tcBorders>
            <w:vAlign w:val="center"/>
          </w:tcPr>
          <w:p w14:paraId="2D239D4A">
            <w:pPr>
              <w:rPr>
                <w:rFonts w:ascii="仿宋" w:hAnsi="仿宋" w:eastAsia="仿宋" w:cs="仿宋"/>
                <w:color w:val="auto"/>
                <w:lang w:eastAsia="zh-CN"/>
              </w:rPr>
            </w:pPr>
          </w:p>
        </w:tc>
        <w:tc>
          <w:tcPr>
            <w:tcW w:w="525" w:type="dxa"/>
            <w:tcBorders>
              <w:top w:val="single" w:color="auto" w:sz="4" w:space="0"/>
              <w:left w:val="single" w:color="auto" w:sz="4" w:space="0"/>
            </w:tcBorders>
            <w:vAlign w:val="center"/>
          </w:tcPr>
          <w:p w14:paraId="5D89467A">
            <w:pPr>
              <w:jc w:val="center"/>
              <w:rPr>
                <w:rFonts w:ascii="仿宋" w:hAnsi="仿宋" w:eastAsia="仿宋" w:cs="仿宋"/>
                <w:color w:val="auto"/>
              </w:rPr>
            </w:pPr>
            <w:r>
              <w:rPr>
                <w:rFonts w:hint="eastAsia" w:ascii="仿宋" w:hAnsi="仿宋" w:eastAsia="仿宋" w:cs="仿宋"/>
                <w:color w:val="auto"/>
              </w:rPr>
              <w:t>7</w:t>
            </w:r>
          </w:p>
        </w:tc>
        <w:tc>
          <w:tcPr>
            <w:tcW w:w="6787" w:type="dxa"/>
            <w:tcBorders>
              <w:top w:val="single" w:color="auto" w:sz="4" w:space="0"/>
              <w:right w:val="single" w:color="auto" w:sz="4" w:space="0"/>
            </w:tcBorders>
            <w:vAlign w:val="center"/>
          </w:tcPr>
          <w:p w14:paraId="54548AAC">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完成期限满足磋商文件要求。</w:t>
            </w:r>
          </w:p>
        </w:tc>
        <w:tc>
          <w:tcPr>
            <w:tcW w:w="749" w:type="dxa"/>
            <w:tcBorders>
              <w:top w:val="single" w:color="auto" w:sz="4" w:space="0"/>
              <w:left w:val="single" w:color="auto" w:sz="4" w:space="0"/>
            </w:tcBorders>
          </w:tcPr>
          <w:p w14:paraId="154AE69E">
            <w:pPr>
              <w:rPr>
                <w:rFonts w:ascii="仿宋" w:hAnsi="仿宋" w:eastAsia="仿宋" w:cs="仿宋"/>
                <w:color w:val="auto"/>
                <w:szCs w:val="21"/>
                <w:lang w:eastAsia="zh-CN"/>
              </w:rPr>
            </w:pPr>
          </w:p>
        </w:tc>
        <w:tc>
          <w:tcPr>
            <w:tcW w:w="617" w:type="dxa"/>
            <w:tcBorders>
              <w:top w:val="single" w:color="auto" w:sz="4" w:space="0"/>
              <w:right w:val="single" w:color="auto" w:sz="4" w:space="0"/>
            </w:tcBorders>
          </w:tcPr>
          <w:p w14:paraId="5473813E">
            <w:pPr>
              <w:rPr>
                <w:rFonts w:ascii="仿宋" w:hAnsi="仿宋" w:eastAsia="仿宋" w:cs="仿宋"/>
                <w:color w:val="auto"/>
                <w:szCs w:val="21"/>
                <w:lang w:eastAsia="zh-CN"/>
              </w:rPr>
            </w:pPr>
          </w:p>
        </w:tc>
      </w:tr>
      <w:tr w14:paraId="75062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757" w:type="dxa"/>
            <w:vMerge w:val="continue"/>
            <w:tcBorders>
              <w:left w:val="single" w:color="auto" w:sz="4" w:space="0"/>
              <w:right w:val="single" w:color="auto" w:sz="4" w:space="0"/>
            </w:tcBorders>
            <w:vAlign w:val="center"/>
          </w:tcPr>
          <w:p w14:paraId="4BC5F9D3">
            <w:pPr>
              <w:rPr>
                <w:rFonts w:ascii="仿宋" w:hAnsi="仿宋" w:eastAsia="仿宋" w:cs="仿宋"/>
                <w:color w:val="auto"/>
                <w:lang w:eastAsia="zh-CN"/>
              </w:rPr>
            </w:pPr>
          </w:p>
        </w:tc>
        <w:tc>
          <w:tcPr>
            <w:tcW w:w="525" w:type="dxa"/>
            <w:tcBorders>
              <w:left w:val="single" w:color="auto" w:sz="4" w:space="0"/>
            </w:tcBorders>
            <w:vAlign w:val="center"/>
          </w:tcPr>
          <w:p w14:paraId="3EBAF87E">
            <w:pPr>
              <w:jc w:val="center"/>
              <w:rPr>
                <w:rFonts w:ascii="仿宋" w:hAnsi="仿宋" w:eastAsia="仿宋" w:cs="仿宋"/>
                <w:color w:val="auto"/>
              </w:rPr>
            </w:pPr>
            <w:r>
              <w:rPr>
                <w:rFonts w:hint="eastAsia" w:ascii="仿宋" w:hAnsi="仿宋" w:eastAsia="仿宋" w:cs="仿宋"/>
                <w:color w:val="auto"/>
              </w:rPr>
              <w:t>8</w:t>
            </w:r>
          </w:p>
        </w:tc>
        <w:tc>
          <w:tcPr>
            <w:tcW w:w="6787" w:type="dxa"/>
            <w:tcBorders>
              <w:right w:val="single" w:color="auto" w:sz="4" w:space="0"/>
            </w:tcBorders>
            <w:vAlign w:val="center"/>
          </w:tcPr>
          <w:p w14:paraId="7E2C5DE9">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售后服务满足磋商文件要求。</w:t>
            </w:r>
          </w:p>
        </w:tc>
        <w:tc>
          <w:tcPr>
            <w:tcW w:w="749" w:type="dxa"/>
            <w:tcBorders>
              <w:left w:val="single" w:color="auto" w:sz="4" w:space="0"/>
            </w:tcBorders>
          </w:tcPr>
          <w:p w14:paraId="459CFE9F">
            <w:pPr>
              <w:rPr>
                <w:rFonts w:ascii="仿宋" w:hAnsi="仿宋" w:eastAsia="仿宋" w:cs="仿宋"/>
                <w:color w:val="auto"/>
                <w:szCs w:val="21"/>
                <w:lang w:eastAsia="zh-CN"/>
              </w:rPr>
            </w:pPr>
          </w:p>
        </w:tc>
        <w:tc>
          <w:tcPr>
            <w:tcW w:w="617" w:type="dxa"/>
            <w:tcBorders>
              <w:right w:val="single" w:color="auto" w:sz="4" w:space="0"/>
            </w:tcBorders>
          </w:tcPr>
          <w:p w14:paraId="4F4E82E6">
            <w:pPr>
              <w:rPr>
                <w:rFonts w:ascii="仿宋" w:hAnsi="仿宋" w:eastAsia="仿宋" w:cs="仿宋"/>
                <w:color w:val="auto"/>
                <w:szCs w:val="21"/>
                <w:lang w:eastAsia="zh-CN"/>
              </w:rPr>
            </w:pPr>
          </w:p>
        </w:tc>
      </w:tr>
      <w:tr w14:paraId="316A7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757" w:type="dxa"/>
            <w:vMerge w:val="continue"/>
            <w:tcBorders>
              <w:left w:val="single" w:color="auto" w:sz="4" w:space="0"/>
              <w:right w:val="single" w:color="auto" w:sz="4" w:space="0"/>
            </w:tcBorders>
            <w:vAlign w:val="center"/>
          </w:tcPr>
          <w:p w14:paraId="78F16FD6">
            <w:pPr>
              <w:rPr>
                <w:rFonts w:ascii="仿宋" w:hAnsi="仿宋" w:eastAsia="仿宋" w:cs="仿宋"/>
                <w:color w:val="auto"/>
                <w:lang w:eastAsia="zh-CN"/>
              </w:rPr>
            </w:pPr>
          </w:p>
        </w:tc>
        <w:tc>
          <w:tcPr>
            <w:tcW w:w="525" w:type="dxa"/>
            <w:tcBorders>
              <w:left w:val="single" w:color="auto" w:sz="4" w:space="0"/>
            </w:tcBorders>
            <w:vAlign w:val="center"/>
          </w:tcPr>
          <w:p w14:paraId="1CF6823D">
            <w:pPr>
              <w:jc w:val="center"/>
              <w:rPr>
                <w:rFonts w:ascii="仿宋" w:hAnsi="仿宋" w:eastAsia="仿宋" w:cs="仿宋"/>
                <w:color w:val="auto"/>
              </w:rPr>
            </w:pPr>
            <w:r>
              <w:rPr>
                <w:rFonts w:hint="eastAsia" w:ascii="仿宋" w:hAnsi="仿宋" w:eastAsia="仿宋" w:cs="仿宋"/>
                <w:color w:val="auto"/>
              </w:rPr>
              <w:t>9</w:t>
            </w:r>
          </w:p>
        </w:tc>
        <w:tc>
          <w:tcPr>
            <w:tcW w:w="6787" w:type="dxa"/>
            <w:tcBorders>
              <w:right w:val="single" w:color="auto" w:sz="4" w:space="0"/>
            </w:tcBorders>
            <w:vAlign w:val="center"/>
          </w:tcPr>
          <w:p w14:paraId="2F05C0D9">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投标有效期满足磋商文件要求。</w:t>
            </w:r>
          </w:p>
        </w:tc>
        <w:tc>
          <w:tcPr>
            <w:tcW w:w="749" w:type="dxa"/>
            <w:tcBorders>
              <w:left w:val="single" w:color="auto" w:sz="4" w:space="0"/>
            </w:tcBorders>
          </w:tcPr>
          <w:p w14:paraId="0BD9AB8D">
            <w:pPr>
              <w:rPr>
                <w:rFonts w:ascii="仿宋" w:hAnsi="仿宋" w:eastAsia="仿宋" w:cs="仿宋"/>
                <w:color w:val="auto"/>
                <w:szCs w:val="21"/>
                <w:lang w:eastAsia="zh-CN"/>
              </w:rPr>
            </w:pPr>
          </w:p>
        </w:tc>
        <w:tc>
          <w:tcPr>
            <w:tcW w:w="617" w:type="dxa"/>
            <w:tcBorders>
              <w:right w:val="single" w:color="auto" w:sz="4" w:space="0"/>
            </w:tcBorders>
          </w:tcPr>
          <w:p w14:paraId="37D10678">
            <w:pPr>
              <w:rPr>
                <w:rFonts w:ascii="仿宋" w:hAnsi="仿宋" w:eastAsia="仿宋" w:cs="仿宋"/>
                <w:color w:val="auto"/>
                <w:szCs w:val="21"/>
                <w:lang w:eastAsia="zh-CN"/>
              </w:rPr>
            </w:pPr>
          </w:p>
        </w:tc>
      </w:tr>
      <w:tr w14:paraId="7D1D1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57" w:type="dxa"/>
            <w:vMerge w:val="continue"/>
            <w:tcBorders>
              <w:left w:val="single" w:color="auto" w:sz="4" w:space="0"/>
              <w:right w:val="single" w:color="auto" w:sz="4" w:space="0"/>
            </w:tcBorders>
            <w:vAlign w:val="center"/>
          </w:tcPr>
          <w:p w14:paraId="68D5874B">
            <w:pPr>
              <w:rPr>
                <w:rFonts w:ascii="仿宋" w:hAnsi="仿宋" w:eastAsia="仿宋" w:cs="仿宋"/>
                <w:color w:val="auto"/>
                <w:lang w:eastAsia="zh-CN"/>
              </w:rPr>
            </w:pPr>
          </w:p>
        </w:tc>
        <w:tc>
          <w:tcPr>
            <w:tcW w:w="525" w:type="dxa"/>
            <w:tcBorders>
              <w:left w:val="single" w:color="auto" w:sz="4" w:space="0"/>
            </w:tcBorders>
            <w:vAlign w:val="center"/>
          </w:tcPr>
          <w:p w14:paraId="0DA0522F">
            <w:pPr>
              <w:jc w:val="center"/>
              <w:rPr>
                <w:rFonts w:ascii="仿宋" w:hAnsi="仿宋" w:eastAsia="仿宋" w:cs="仿宋"/>
                <w:color w:val="auto"/>
              </w:rPr>
            </w:pPr>
            <w:r>
              <w:rPr>
                <w:rFonts w:hint="eastAsia" w:ascii="仿宋" w:hAnsi="仿宋" w:eastAsia="仿宋" w:cs="仿宋"/>
                <w:color w:val="auto"/>
              </w:rPr>
              <w:t>10</w:t>
            </w:r>
          </w:p>
        </w:tc>
        <w:tc>
          <w:tcPr>
            <w:tcW w:w="6787" w:type="dxa"/>
            <w:tcBorders>
              <w:right w:val="single" w:color="auto" w:sz="4" w:space="0"/>
            </w:tcBorders>
            <w:vAlign w:val="center"/>
          </w:tcPr>
          <w:p w14:paraId="48A84BAF">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供应商详细地址、联系人、电话。</w:t>
            </w:r>
          </w:p>
        </w:tc>
        <w:tc>
          <w:tcPr>
            <w:tcW w:w="749" w:type="dxa"/>
            <w:tcBorders>
              <w:left w:val="single" w:color="auto" w:sz="4" w:space="0"/>
            </w:tcBorders>
          </w:tcPr>
          <w:p w14:paraId="28A8D9BB">
            <w:pPr>
              <w:rPr>
                <w:rFonts w:ascii="仿宋" w:hAnsi="仿宋" w:eastAsia="仿宋" w:cs="仿宋"/>
                <w:color w:val="auto"/>
                <w:szCs w:val="21"/>
                <w:lang w:eastAsia="zh-CN"/>
              </w:rPr>
            </w:pPr>
          </w:p>
        </w:tc>
        <w:tc>
          <w:tcPr>
            <w:tcW w:w="617" w:type="dxa"/>
            <w:tcBorders>
              <w:right w:val="single" w:color="auto" w:sz="4" w:space="0"/>
            </w:tcBorders>
          </w:tcPr>
          <w:p w14:paraId="75877244">
            <w:pPr>
              <w:rPr>
                <w:rFonts w:ascii="仿宋" w:hAnsi="仿宋" w:eastAsia="仿宋" w:cs="仿宋"/>
                <w:color w:val="auto"/>
                <w:szCs w:val="21"/>
                <w:lang w:eastAsia="zh-CN"/>
              </w:rPr>
            </w:pPr>
          </w:p>
        </w:tc>
      </w:tr>
      <w:tr w14:paraId="09A09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757" w:type="dxa"/>
            <w:tcBorders>
              <w:left w:val="single" w:color="auto" w:sz="4" w:space="0"/>
              <w:bottom w:val="single" w:color="auto" w:sz="4" w:space="0"/>
              <w:right w:val="single" w:color="auto" w:sz="4" w:space="0"/>
            </w:tcBorders>
            <w:vAlign w:val="center"/>
          </w:tcPr>
          <w:p w14:paraId="5F3FED0C">
            <w:pPr>
              <w:jc w:val="center"/>
              <w:rPr>
                <w:rFonts w:ascii="仿宋" w:hAnsi="仿宋" w:eastAsia="仿宋" w:cs="仿宋"/>
                <w:color w:val="auto"/>
                <w:szCs w:val="21"/>
                <w:lang w:eastAsia="zh-CN"/>
              </w:rPr>
            </w:pPr>
          </w:p>
        </w:tc>
        <w:tc>
          <w:tcPr>
            <w:tcW w:w="7312" w:type="dxa"/>
            <w:gridSpan w:val="2"/>
            <w:tcBorders>
              <w:left w:val="single" w:color="auto" w:sz="4" w:space="0"/>
              <w:bottom w:val="single" w:color="auto" w:sz="4" w:space="0"/>
              <w:right w:val="single" w:color="auto" w:sz="4" w:space="0"/>
            </w:tcBorders>
          </w:tcPr>
          <w:p w14:paraId="4683AAFC">
            <w:pPr>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14:paraId="665E0EA4">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0B242D92">
            <w:pPr>
              <w:rPr>
                <w:rFonts w:ascii="仿宋" w:hAnsi="仿宋" w:eastAsia="仿宋" w:cs="仿宋"/>
                <w:color w:val="auto"/>
                <w:szCs w:val="21"/>
                <w:lang w:eastAsia="zh-CN"/>
              </w:rPr>
            </w:pPr>
          </w:p>
        </w:tc>
      </w:tr>
    </w:tbl>
    <w:p w14:paraId="247C3FCE">
      <w:pPr>
        <w:rPr>
          <w:rFonts w:ascii="仿宋" w:hAnsi="仿宋" w:eastAsia="仿宋" w:cs="仿宋"/>
          <w:color w:val="auto"/>
          <w:lang w:eastAsia="zh-CN"/>
        </w:rPr>
      </w:pPr>
    </w:p>
    <w:p w14:paraId="0676CDFD">
      <w:pPr>
        <w:keepNext w:val="0"/>
        <w:keepLines w:val="0"/>
        <w:pageBreakBefore w:val="0"/>
        <w:widowControl w:val="0"/>
        <w:kinsoku/>
        <w:wordWrap/>
        <w:overflowPunct/>
        <w:topLinePunct w:val="0"/>
        <w:bidi w:val="0"/>
        <w:snapToGrid/>
        <w:spacing w:line="400" w:lineRule="exact"/>
        <w:ind w:firstLine="578" w:firstLineChars="241"/>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7.2评委会判定投标文件的响应性只根据投标文件本身的内容，而不寻求外部的证据，但投标有不真实不正确的内容时除外。</w:t>
      </w:r>
    </w:p>
    <w:p w14:paraId="308B91F4">
      <w:pPr>
        <w:keepNext w:val="0"/>
        <w:keepLines w:val="0"/>
        <w:pageBreakBefore w:val="0"/>
        <w:widowControl w:val="0"/>
        <w:kinsoku/>
        <w:wordWrap/>
        <w:overflowPunct/>
        <w:topLinePunct w:val="0"/>
        <w:bidi w:val="0"/>
        <w:snapToGrid/>
        <w:spacing w:line="400" w:lineRule="exact"/>
        <w:ind w:firstLine="578" w:firstLineChars="241"/>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7.3如果投标文件实质上没有响应采购文件的要求，评委会将予以拒绝，供应商不得通过修正或撤销不符合要求的偏离或保留，而使其投标成为实质上响应的投标。</w:t>
      </w:r>
    </w:p>
    <w:p w14:paraId="3FFF4A65">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7.4供应商可在现场20分钟内对评标委员会的评审结论提出异议，评标委员会根据采购文件及有关规定对供应商的异议进行复议</w:t>
      </w:r>
    </w:p>
    <w:p w14:paraId="7F1B4CA8">
      <w:pPr>
        <w:keepNext w:val="0"/>
        <w:keepLines w:val="0"/>
        <w:pageBreakBefore w:val="0"/>
        <w:widowControl w:val="0"/>
        <w:kinsoku/>
        <w:wordWrap/>
        <w:overflowPunct/>
        <w:topLinePunct w:val="0"/>
        <w:bidi w:val="0"/>
        <w:snapToGrid/>
        <w:spacing w:line="400" w:lineRule="exact"/>
        <w:ind w:firstLine="600" w:firstLineChars="2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7.5只有通过初审的供应商才能进入下一步评标程序。</w:t>
      </w:r>
    </w:p>
    <w:p w14:paraId="6764E7D9">
      <w:pPr>
        <w:keepNext w:val="0"/>
        <w:keepLines w:val="0"/>
        <w:pageBreakBefore w:val="0"/>
        <w:widowControl w:val="0"/>
        <w:kinsoku/>
        <w:wordWrap/>
        <w:overflowPunct/>
        <w:topLinePunct w:val="0"/>
        <w:bidi w:val="0"/>
        <w:snapToGrid/>
        <w:spacing w:line="400" w:lineRule="exact"/>
        <w:ind w:firstLine="482" w:firstLineChars="200"/>
        <w:textAlignment w:val="auto"/>
        <w:rPr>
          <w:rFonts w:ascii="仿宋" w:hAnsi="仿宋" w:eastAsia="仿宋" w:cs="仿宋"/>
          <w:color w:val="auto"/>
          <w:szCs w:val="21"/>
          <w:lang w:eastAsia="zh-CN"/>
        </w:rPr>
      </w:pPr>
      <w:r>
        <w:rPr>
          <w:rFonts w:hint="eastAsia" w:ascii="仿宋" w:hAnsi="仿宋" w:eastAsia="仿宋" w:cs="仿宋"/>
          <w:b/>
          <w:color w:val="auto"/>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2112074C">
      <w:pPr>
        <w:keepNext w:val="0"/>
        <w:keepLines w:val="0"/>
        <w:pageBreakBefore w:val="0"/>
        <w:widowControl w:val="0"/>
        <w:kinsoku/>
        <w:wordWrap/>
        <w:overflowPunct/>
        <w:topLinePunct w:val="0"/>
        <w:bidi w:val="0"/>
        <w:snapToGrid/>
        <w:spacing w:beforeLines="50" w:line="400" w:lineRule="exact"/>
        <w:jc w:val="center"/>
        <w:textAlignment w:val="auto"/>
        <w:outlineLvl w:val="1"/>
        <w:rPr>
          <w:rFonts w:hint="eastAsia" w:ascii="仿宋" w:hAnsi="仿宋" w:eastAsia="仿宋" w:cs="仿宋"/>
          <w:b/>
          <w:color w:val="auto"/>
          <w:lang w:eastAsia="zh-CN"/>
        </w:rPr>
      </w:pPr>
      <w:bookmarkStart w:id="38" w:name="_Toc362983803"/>
      <w:bookmarkStart w:id="39" w:name="_Toc469495734"/>
    </w:p>
    <w:p w14:paraId="64D73938">
      <w:pPr>
        <w:keepNext w:val="0"/>
        <w:keepLines w:val="0"/>
        <w:pageBreakBefore w:val="0"/>
        <w:widowControl w:val="0"/>
        <w:kinsoku/>
        <w:wordWrap/>
        <w:overflowPunct/>
        <w:topLinePunct w:val="0"/>
        <w:bidi w:val="0"/>
        <w:snapToGrid/>
        <w:spacing w:beforeLines="50" w:line="400" w:lineRule="exact"/>
        <w:jc w:val="center"/>
        <w:textAlignment w:val="auto"/>
        <w:outlineLvl w:val="1"/>
        <w:rPr>
          <w:rFonts w:ascii="仿宋" w:hAnsi="仿宋" w:eastAsia="仿宋" w:cs="仿宋"/>
          <w:b/>
          <w:color w:val="auto"/>
          <w:lang w:eastAsia="zh-CN"/>
        </w:rPr>
      </w:pPr>
      <w:r>
        <w:rPr>
          <w:rFonts w:hint="eastAsia" w:ascii="仿宋" w:hAnsi="仿宋" w:eastAsia="仿宋" w:cs="仿宋"/>
          <w:b/>
          <w:color w:val="auto"/>
          <w:lang w:eastAsia="zh-CN"/>
        </w:rPr>
        <w:t xml:space="preserve">三 </w:t>
      </w:r>
      <w:r>
        <w:rPr>
          <w:rFonts w:hint="eastAsia" w:ascii="仿宋" w:hAnsi="仿宋" w:eastAsia="仿宋" w:cs="仿宋"/>
          <w:b/>
          <w:color w:val="auto"/>
          <w:sz w:val="28"/>
          <w:szCs w:val="28"/>
          <w:lang w:eastAsia="zh-CN"/>
        </w:rPr>
        <w:t xml:space="preserve"> </w:t>
      </w:r>
      <w:r>
        <w:rPr>
          <w:rFonts w:hint="eastAsia" w:ascii="仿宋" w:hAnsi="仿宋" w:eastAsia="仿宋" w:cs="仿宋"/>
          <w:b/>
          <w:color w:val="auto"/>
          <w:lang w:eastAsia="zh-CN"/>
        </w:rPr>
        <w:t>投标文件的澄清和补正</w:t>
      </w:r>
      <w:bookmarkEnd w:id="38"/>
      <w:bookmarkEnd w:id="39"/>
    </w:p>
    <w:p w14:paraId="10BF3630">
      <w:pPr>
        <w:keepNext w:val="0"/>
        <w:keepLines w:val="0"/>
        <w:pageBreakBefore w:val="0"/>
        <w:widowControl w:val="0"/>
        <w:kinsoku/>
        <w:wordWrap/>
        <w:overflowPunct/>
        <w:topLinePunct w:val="0"/>
        <w:bidi w:val="0"/>
        <w:snapToGrid/>
        <w:spacing w:line="40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8．澄清、说明或补正的形式</w:t>
      </w:r>
    </w:p>
    <w:p w14:paraId="35E263BD">
      <w:pPr>
        <w:keepNext w:val="0"/>
        <w:keepLines w:val="0"/>
        <w:pageBreakBefore w:val="0"/>
        <w:widowControl w:val="0"/>
        <w:kinsoku/>
        <w:wordWrap/>
        <w:overflowPunct/>
        <w:topLinePunct w:val="0"/>
        <w:bidi w:val="0"/>
        <w:snapToGrid/>
        <w:spacing w:line="40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2BE6F981">
      <w:pPr>
        <w:keepNext w:val="0"/>
        <w:keepLines w:val="0"/>
        <w:pageBreakBefore w:val="0"/>
        <w:widowControl w:val="0"/>
        <w:kinsoku/>
        <w:wordWrap/>
        <w:overflowPunct/>
        <w:topLinePunct w:val="0"/>
        <w:bidi w:val="0"/>
        <w:snapToGrid/>
        <w:spacing w:line="40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4030E3CC">
      <w:pPr>
        <w:keepNext w:val="0"/>
        <w:keepLines w:val="0"/>
        <w:pageBreakBefore w:val="0"/>
        <w:widowControl w:val="0"/>
        <w:kinsoku/>
        <w:wordWrap/>
        <w:overflowPunct/>
        <w:topLinePunct w:val="0"/>
        <w:bidi w:val="0"/>
        <w:snapToGrid/>
        <w:spacing w:line="40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F26836D">
      <w:pPr>
        <w:keepNext w:val="0"/>
        <w:keepLines w:val="0"/>
        <w:pageBreakBefore w:val="0"/>
        <w:widowControl w:val="0"/>
        <w:kinsoku/>
        <w:wordWrap/>
        <w:overflowPunct/>
        <w:topLinePunct w:val="0"/>
        <w:bidi w:val="0"/>
        <w:snapToGrid/>
        <w:spacing w:line="40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9．错误修正的原则</w:t>
      </w:r>
    </w:p>
    <w:p w14:paraId="15FB0B48">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14:paraId="29F73760">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14:paraId="3AE5EFB0">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9.1 投标函中表述的内容与报价表中不一致的，以报价表为准；报价表中的内容与报价明细表不一致的，以报价表为准；</w:t>
      </w:r>
    </w:p>
    <w:p w14:paraId="26C67956">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9.2 投标文件中的大写金额和小写金额不一致的，以大写金额为准；</w:t>
      </w:r>
    </w:p>
    <w:p w14:paraId="351A17B3">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9.3 单价金额小数点或者百分比有明显错位的，以开标一览表的总价为准，并修改单价；</w:t>
      </w:r>
    </w:p>
    <w:p w14:paraId="3025394C">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9.4 总价金额与按单价汇总金额不一致的，以单价金额计算结果为准；</w:t>
      </w:r>
    </w:p>
    <w:p w14:paraId="727F196D">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9.5 若用文字表示的数值与用数字表示的数值不一致，以文字表示的数值为准；</w:t>
      </w:r>
    </w:p>
    <w:p w14:paraId="3CCFC33E">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9.6 如有多报（指数量超出采购文件需求）、重报（指同一货物重复报价），其投标总价在评标过程中不予调整，如其中标，其合同价按其投标单价予以调整；</w:t>
      </w:r>
    </w:p>
    <w:p w14:paraId="3427CC03">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9.7 对不同文字文本投标文件的解释发生异议的，以中文文本为准；</w:t>
      </w:r>
    </w:p>
    <w:p w14:paraId="0354432C">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4514D740">
      <w:pPr>
        <w:keepNext w:val="0"/>
        <w:keepLines w:val="0"/>
        <w:pageBreakBefore w:val="0"/>
        <w:widowControl w:val="0"/>
        <w:kinsoku/>
        <w:wordWrap/>
        <w:overflowPunct/>
        <w:topLinePunct w:val="0"/>
        <w:bidi w:val="0"/>
        <w:snapToGrid/>
        <w:spacing w:line="400" w:lineRule="exact"/>
        <w:jc w:val="center"/>
        <w:textAlignment w:val="auto"/>
        <w:outlineLvl w:val="1"/>
        <w:rPr>
          <w:rFonts w:ascii="仿宋" w:hAnsi="仿宋" w:eastAsia="仿宋" w:cs="仿宋"/>
          <w:b/>
          <w:color w:val="auto"/>
          <w:lang w:eastAsia="zh-CN"/>
        </w:rPr>
      </w:pPr>
      <w:bookmarkStart w:id="40" w:name="_Toc469495735"/>
      <w:r>
        <w:rPr>
          <w:rFonts w:hint="eastAsia" w:ascii="仿宋" w:hAnsi="仿宋" w:eastAsia="仿宋" w:cs="仿宋"/>
          <w:b/>
          <w:color w:val="auto"/>
          <w:lang w:eastAsia="zh-CN"/>
        </w:rPr>
        <w:t>四 比较与评价</w:t>
      </w:r>
      <w:bookmarkEnd w:id="40"/>
    </w:p>
    <w:p w14:paraId="56C7F583">
      <w:pPr>
        <w:keepNext w:val="0"/>
        <w:keepLines w:val="0"/>
        <w:pageBreakBefore w:val="0"/>
        <w:widowControl w:val="0"/>
        <w:tabs>
          <w:tab w:val="left" w:pos="720"/>
        </w:tabs>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bookmarkStart w:id="41" w:name="_Toc362983805"/>
      <w:bookmarkStart w:id="42" w:name="_Toc469495736"/>
      <w:r>
        <w:rPr>
          <w:rFonts w:hint="eastAsia" w:ascii="仿宋" w:hAnsi="仿宋" w:eastAsia="仿宋" w:cs="仿宋"/>
          <w:color w:val="auto"/>
          <w:szCs w:val="21"/>
          <w:lang w:eastAsia="zh-CN" w:bidi="ar-SA"/>
        </w:rPr>
        <w:t>10.1评标委员会按磋商文件中规定的评标方法和标准，对资格性检查和符合性检查合格的投标文件进行商务和技术评估、综合比较与评价。</w:t>
      </w:r>
    </w:p>
    <w:p w14:paraId="211355B5">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10.2评标委员会根据商务和技术评估的结果，采用综合评分法，分别对投标文件的商务、技术、价格等内容进行打分。其中，商务评估、技术评估、价格评估的评分权值（详见附件1）。</w:t>
      </w:r>
    </w:p>
    <w:p w14:paraId="32ACB09B">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bCs/>
          <w:color w:val="auto"/>
          <w:szCs w:val="21"/>
          <w:lang w:eastAsia="zh-CN" w:bidi="ar-SA"/>
        </w:rPr>
      </w:pPr>
      <w:r>
        <w:rPr>
          <w:rFonts w:hint="eastAsia" w:ascii="仿宋" w:hAnsi="仿宋" w:eastAsia="仿宋" w:cs="仿宋"/>
          <w:color w:val="auto"/>
          <w:szCs w:val="21"/>
          <w:lang w:eastAsia="zh-CN" w:bidi="ar-SA"/>
        </w:rPr>
        <w:t>10.</w:t>
      </w:r>
      <w:r>
        <w:rPr>
          <w:rFonts w:hint="eastAsia" w:ascii="仿宋" w:hAnsi="仿宋" w:eastAsia="仿宋" w:cs="仿宋"/>
          <w:bCs/>
          <w:color w:val="auto"/>
          <w:szCs w:val="21"/>
          <w:lang w:eastAsia="zh-CN" w:bidi="ar-SA"/>
        </w:rPr>
        <w:t>2.1评委打分办法</w:t>
      </w:r>
    </w:p>
    <w:p w14:paraId="5313086C">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bCs/>
          <w:color w:val="auto"/>
          <w:szCs w:val="21"/>
          <w:lang w:eastAsia="zh-CN" w:bidi="ar-SA"/>
        </w:rPr>
        <w:t>（1）</w:t>
      </w:r>
      <w:r>
        <w:rPr>
          <w:rFonts w:hint="eastAsia" w:ascii="仿宋" w:hAnsi="仿宋" w:eastAsia="仿宋" w:cs="仿宋"/>
          <w:color w:val="auto"/>
          <w:szCs w:val="21"/>
          <w:lang w:eastAsia="zh-CN" w:bidi="ar-SA"/>
        </w:rPr>
        <w:t>参加评分的评委应尽力体现客观、实事求是，避免学派偏见和个人偏好。</w:t>
      </w:r>
    </w:p>
    <w:p w14:paraId="0C86290B">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（2）衡量、对比的依据，应以磋商文件、投标文件、提供的正式试验数据、质询澄清中的文字为准，口头回答和收集的资料只作为参考。</w:t>
      </w:r>
    </w:p>
    <w:p w14:paraId="194AE7F5">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（3）评分主要是为比较各供应商的价格、商务和技术综合排序。</w:t>
      </w:r>
    </w:p>
    <w:p w14:paraId="2DDE21BF">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（4）评委打分采取记名形式。</w:t>
      </w:r>
    </w:p>
    <w:p w14:paraId="0429B0E9">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（5）各评委根据提供的技术打分表独立自主打分，任何人不得要求评委统一打分或统一确定等次顺序。</w:t>
      </w:r>
    </w:p>
    <w:p w14:paraId="0A2FD516">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（6）对打分表中的每项条款，各评委应根据投标文件、澄清材料、磋商文件要求，按满足的程度给供应商打分。</w:t>
      </w:r>
    </w:p>
    <w:p w14:paraId="5F3865DE">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（7）评分程序</w:t>
      </w:r>
    </w:p>
    <w:p w14:paraId="310319C6">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1)就供应商的投标文件对照整理出商务、技术评标因素对比表、偏差表，并在经过校核的基础上逐项打分。</w:t>
      </w:r>
    </w:p>
    <w:p w14:paraId="30EE77BF">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2)各评委独立完成打分后，将评分表交给代理机构，由代理机构组织进行分数统计。</w:t>
      </w:r>
    </w:p>
    <w:p w14:paraId="202282AC">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3)最终汇总表中各供应商得分应为评委打分的算术平均值。</w:t>
      </w:r>
    </w:p>
    <w:p w14:paraId="2F36E629">
      <w:pPr>
        <w:pStyle w:val="6"/>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（8）评分标准和细则（综合评分法评分标准）</w:t>
      </w:r>
    </w:p>
    <w:p w14:paraId="69BF48DD">
      <w:pPr>
        <w:pStyle w:val="6"/>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评分标准</w:t>
      </w:r>
    </w:p>
    <w:tbl>
      <w:tblPr>
        <w:tblStyle w:val="2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272"/>
        <w:gridCol w:w="7176"/>
      </w:tblGrid>
      <w:tr w14:paraId="5268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30" w:type="dxa"/>
            <w:noWrap w:val="0"/>
            <w:vAlign w:val="center"/>
          </w:tcPr>
          <w:p w14:paraId="2A7DBCD2">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评分因素</w:t>
            </w:r>
          </w:p>
        </w:tc>
        <w:tc>
          <w:tcPr>
            <w:tcW w:w="1272" w:type="dxa"/>
            <w:noWrap w:val="0"/>
            <w:vAlign w:val="center"/>
          </w:tcPr>
          <w:p w14:paraId="1890C6D6">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分值</w:t>
            </w:r>
          </w:p>
        </w:tc>
        <w:tc>
          <w:tcPr>
            <w:tcW w:w="7176" w:type="dxa"/>
            <w:noWrap w:val="0"/>
            <w:vAlign w:val="center"/>
          </w:tcPr>
          <w:p w14:paraId="681FC152">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说明</w:t>
            </w:r>
          </w:p>
        </w:tc>
      </w:tr>
      <w:tr w14:paraId="4826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30" w:type="dxa"/>
            <w:noWrap w:val="0"/>
            <w:vAlign w:val="center"/>
          </w:tcPr>
          <w:p w14:paraId="54A2CB98">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报价得分</w:t>
            </w:r>
          </w:p>
          <w:p w14:paraId="1FF150A7">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20</w:t>
            </w:r>
            <w:r>
              <w:rPr>
                <w:rFonts w:hint="eastAsia" w:ascii="仿宋" w:hAnsi="仿宋" w:eastAsia="仿宋" w:cs="仿宋"/>
                <w:color w:val="auto"/>
                <w:sz w:val="24"/>
                <w:szCs w:val="24"/>
                <w:lang w:eastAsia="zh-CN" w:bidi="ar-SA"/>
              </w:rPr>
              <w:t>分）</w:t>
            </w:r>
          </w:p>
        </w:tc>
        <w:tc>
          <w:tcPr>
            <w:tcW w:w="1272" w:type="dxa"/>
            <w:noWrap w:val="0"/>
            <w:vAlign w:val="center"/>
          </w:tcPr>
          <w:p w14:paraId="600CF972">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val="en-US" w:eastAsia="zh-CN" w:bidi="ar-SA"/>
              </w:rPr>
              <w:t>20</w:t>
            </w:r>
            <w:r>
              <w:rPr>
                <w:rFonts w:hint="eastAsia" w:ascii="仿宋" w:hAnsi="仿宋" w:eastAsia="仿宋" w:cs="仿宋"/>
                <w:color w:val="auto"/>
                <w:sz w:val="24"/>
                <w:szCs w:val="24"/>
                <w:lang w:eastAsia="zh-CN" w:bidi="ar-SA"/>
              </w:rPr>
              <w:t>分</w:t>
            </w:r>
          </w:p>
        </w:tc>
        <w:tc>
          <w:tcPr>
            <w:tcW w:w="7176" w:type="dxa"/>
            <w:noWrap w:val="0"/>
            <w:vAlign w:val="top"/>
          </w:tcPr>
          <w:p w14:paraId="27A2AE47">
            <w:pPr>
              <w:widowControl/>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满足招标文件要求且报价最低的供应商的价格为评标基准价，其价格分为满分。其他供应商的价格分统一按照下列公式计算：</w:t>
            </w:r>
          </w:p>
          <w:p w14:paraId="787AFC0B">
            <w:pPr>
              <w:spacing w:line="44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磋商报价得分=</w:t>
            </w:r>
            <w:r>
              <w:rPr>
                <w:rFonts w:hint="eastAsia" w:ascii="仿宋" w:hAnsi="仿宋" w:eastAsia="仿宋" w:cs="仿宋"/>
                <w:color w:val="auto"/>
                <w:szCs w:val="21"/>
                <w:highlight w:val="none"/>
                <w:lang w:val="en-US" w:eastAsia="zh-CN"/>
              </w:rPr>
              <w:t xml:space="preserve">（磋商基准价/最后磋商报价）×20×100% </w:t>
            </w:r>
          </w:p>
          <w:p w14:paraId="1A46A511">
            <w:pPr>
              <w:spacing w:line="440" w:lineRule="exact"/>
              <w:rPr>
                <w:rFonts w:hint="default" w:ascii="仿宋" w:hAnsi="仿宋" w:eastAsia="仿宋" w:cs="仿宋"/>
                <w:color w:val="auto"/>
                <w:sz w:val="24"/>
                <w:szCs w:val="24"/>
                <w:lang w:val="en-US" w:eastAsia="zh-CN" w:bidi="ar-SA"/>
              </w:rPr>
            </w:pPr>
            <w:r>
              <w:rPr>
                <w:rFonts w:hint="eastAsia" w:ascii="仿宋" w:hAnsi="仿宋" w:eastAsia="仿宋" w:cs="仿宋"/>
                <w:b/>
                <w:bCs/>
                <w:color w:val="auto"/>
                <w:sz w:val="24"/>
                <w:szCs w:val="24"/>
                <w:lang w:val="en-US" w:eastAsia="zh-CN" w:bidi="ar-SA"/>
              </w:rPr>
              <w:t>注：投标报价超过采购预算价的按废标处理。</w:t>
            </w:r>
          </w:p>
        </w:tc>
      </w:tr>
      <w:tr w14:paraId="6829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jc w:val="center"/>
        </w:trPr>
        <w:tc>
          <w:tcPr>
            <w:tcW w:w="1230" w:type="dxa"/>
            <w:vMerge w:val="restart"/>
            <w:noWrap w:val="0"/>
            <w:vAlign w:val="center"/>
          </w:tcPr>
          <w:p w14:paraId="1B6D44EE">
            <w:pPr>
              <w:spacing w:line="440" w:lineRule="exact"/>
              <w:jc w:val="center"/>
              <w:rPr>
                <w:rFonts w:hint="eastAsia"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商务技术部分</w:t>
            </w:r>
          </w:p>
          <w:p w14:paraId="345C992A">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80分</w:t>
            </w:r>
            <w:r>
              <w:rPr>
                <w:rFonts w:hint="eastAsia" w:ascii="仿宋" w:hAnsi="仿宋" w:eastAsia="仿宋" w:cs="仿宋"/>
                <w:color w:val="auto"/>
                <w:sz w:val="24"/>
                <w:szCs w:val="24"/>
                <w:lang w:eastAsia="zh-CN" w:bidi="ar-SA"/>
              </w:rPr>
              <w:t>）</w:t>
            </w:r>
          </w:p>
        </w:tc>
        <w:tc>
          <w:tcPr>
            <w:tcW w:w="1272" w:type="dxa"/>
            <w:noWrap w:val="0"/>
            <w:vAlign w:val="center"/>
          </w:tcPr>
          <w:p w14:paraId="68730FD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服务及人员配置方案</w:t>
            </w:r>
          </w:p>
          <w:p w14:paraId="22B0C41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(19分)</w:t>
            </w:r>
          </w:p>
        </w:tc>
        <w:tc>
          <w:tcPr>
            <w:tcW w:w="7176" w:type="dxa"/>
            <w:noWrap w:val="0"/>
            <w:vAlign w:val="top"/>
          </w:tcPr>
          <w:p w14:paraId="64269A43">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投标单位</w:t>
            </w:r>
            <w:r>
              <w:rPr>
                <w:rFonts w:hint="default" w:ascii="仿宋" w:hAnsi="仿宋" w:eastAsia="仿宋" w:cs="仿宋"/>
                <w:b w:val="0"/>
                <w:bCs w:val="0"/>
                <w:color w:val="auto"/>
                <w:sz w:val="24"/>
                <w:szCs w:val="24"/>
                <w:highlight w:val="none"/>
                <w:lang w:val="en-US" w:eastAsia="zh-CN"/>
              </w:rPr>
              <w:t>根据本项目的采购内容和需求编制服务方案，包含①服务标准②人员调整规范③人员流动及岗位增</w:t>
            </w:r>
            <w:r>
              <w:rPr>
                <w:rFonts w:hint="eastAsia" w:ascii="仿宋" w:hAnsi="仿宋" w:eastAsia="仿宋" w:cs="仿宋"/>
                <w:b w:val="0"/>
                <w:bCs w:val="0"/>
                <w:color w:val="auto"/>
                <w:sz w:val="24"/>
                <w:szCs w:val="24"/>
                <w:highlight w:val="none"/>
                <w:lang w:val="en-US" w:eastAsia="zh-CN"/>
              </w:rPr>
              <w:t>扣</w:t>
            </w:r>
            <w:r>
              <w:rPr>
                <w:rFonts w:hint="default" w:ascii="仿宋" w:hAnsi="仿宋" w:eastAsia="仿宋" w:cs="仿宋"/>
                <w:b w:val="0"/>
                <w:bCs w:val="0"/>
                <w:color w:val="auto"/>
                <w:sz w:val="24"/>
                <w:szCs w:val="24"/>
                <w:highlight w:val="none"/>
                <w:lang w:val="en-US" w:eastAsia="zh-CN"/>
              </w:rPr>
              <w:t>程序④服务重点及难点分析⑤合理化建议等内容。服务方案详尽、细致、全面，满足采购人的需求，得1</w:t>
            </w:r>
            <w:r>
              <w:rPr>
                <w:rFonts w:hint="eastAsia" w:ascii="仿宋" w:hAnsi="仿宋" w:eastAsia="仿宋" w:cs="仿宋"/>
                <w:b w:val="0"/>
                <w:bCs w:val="0"/>
                <w:color w:val="auto"/>
                <w:sz w:val="24"/>
                <w:szCs w:val="24"/>
                <w:highlight w:val="none"/>
                <w:lang w:val="en-US" w:eastAsia="zh-CN"/>
              </w:rPr>
              <w:t>0</w:t>
            </w:r>
            <w:r>
              <w:rPr>
                <w:rFonts w:hint="default" w:ascii="仿宋" w:hAnsi="仿宋" w:eastAsia="仿宋" w:cs="仿宋"/>
                <w:b w:val="0"/>
                <w:bCs w:val="0"/>
                <w:color w:val="auto"/>
                <w:sz w:val="24"/>
                <w:szCs w:val="24"/>
                <w:highlight w:val="none"/>
                <w:lang w:val="en-US" w:eastAsia="zh-CN"/>
              </w:rPr>
              <w:t>分；每缺一项内容</w:t>
            </w:r>
            <w:r>
              <w:rPr>
                <w:rFonts w:hint="eastAsia" w:ascii="仿宋" w:hAnsi="仿宋" w:eastAsia="仿宋" w:cs="仿宋"/>
                <w:b w:val="0"/>
                <w:bCs w:val="0"/>
                <w:color w:val="auto"/>
                <w:sz w:val="24"/>
                <w:szCs w:val="24"/>
                <w:highlight w:val="none"/>
                <w:lang w:val="en-US" w:eastAsia="zh-CN"/>
              </w:rPr>
              <w:t>扣2</w:t>
            </w:r>
            <w:r>
              <w:rPr>
                <w:rFonts w:hint="default" w:ascii="仿宋" w:hAnsi="仿宋" w:eastAsia="仿宋" w:cs="仿宋"/>
                <w:b w:val="0"/>
                <w:bCs w:val="0"/>
                <w:color w:val="auto"/>
                <w:sz w:val="24"/>
                <w:szCs w:val="24"/>
                <w:highlight w:val="none"/>
                <w:lang w:val="en-US" w:eastAsia="zh-CN"/>
              </w:rPr>
              <w:t>分，每一项内容</w:t>
            </w:r>
            <w:r>
              <w:rPr>
                <w:rFonts w:hint="eastAsia" w:ascii="仿宋" w:hAnsi="仿宋" w:eastAsia="仿宋" w:cs="仿宋"/>
                <w:b w:val="0"/>
                <w:bCs w:val="0"/>
                <w:color w:val="auto"/>
                <w:sz w:val="24"/>
                <w:szCs w:val="24"/>
                <w:highlight w:val="none"/>
                <w:lang w:val="en-US" w:eastAsia="zh-CN"/>
              </w:rPr>
              <w:t>中</w:t>
            </w:r>
            <w:r>
              <w:rPr>
                <w:rFonts w:hint="default" w:ascii="仿宋" w:hAnsi="仿宋" w:eastAsia="仿宋" w:cs="仿宋"/>
                <w:b w:val="0"/>
                <w:bCs w:val="0"/>
                <w:color w:val="auto"/>
                <w:sz w:val="24"/>
                <w:szCs w:val="24"/>
                <w:highlight w:val="none"/>
                <w:lang w:val="en-US" w:eastAsia="zh-CN"/>
              </w:rPr>
              <w:t>存在缺陷（缺陷指内容阐述不清晰，存在偏差或过于简略）的</w:t>
            </w:r>
            <w:r>
              <w:rPr>
                <w:rFonts w:hint="eastAsia" w:ascii="仿宋" w:hAnsi="仿宋" w:eastAsia="仿宋" w:cs="仿宋"/>
                <w:b w:val="0"/>
                <w:bCs w:val="0"/>
                <w:color w:val="auto"/>
                <w:sz w:val="24"/>
                <w:szCs w:val="24"/>
                <w:highlight w:val="none"/>
                <w:lang w:val="en-US" w:eastAsia="zh-CN"/>
              </w:rPr>
              <w:t>扣</w:t>
            </w:r>
            <w:r>
              <w:rPr>
                <w:rFonts w:hint="default"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lang w:val="en-US" w:eastAsia="zh-CN"/>
              </w:rPr>
              <w:t>扣</w:t>
            </w:r>
            <w:r>
              <w:rPr>
                <w:rFonts w:hint="default" w:ascii="仿宋" w:hAnsi="仿宋" w:eastAsia="仿宋" w:cs="仿宋"/>
                <w:b w:val="0"/>
                <w:bCs w:val="0"/>
                <w:color w:val="auto"/>
                <w:sz w:val="24"/>
                <w:szCs w:val="24"/>
                <w:highlight w:val="none"/>
                <w:lang w:val="en-US" w:eastAsia="zh-CN"/>
              </w:rPr>
              <w:t>完为止。未提供方案得0分。</w:t>
            </w:r>
          </w:p>
          <w:p w14:paraId="281436AB">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lang w:val="en-US" w:eastAsia="zh-CN"/>
              </w:rPr>
              <w:t>投标单位根据本项目的采购内容和需求编制人员配置方案，包含①岗位设置及人数分配</w:t>
            </w:r>
            <w:r>
              <w:rPr>
                <w:rFonts w:hint="eastAsia" w:ascii="仿宋" w:hAnsi="仿宋" w:eastAsia="仿宋" w:cs="仿宋"/>
                <w:color w:val="auto"/>
                <w:highlight w:val="none"/>
                <w:lang w:val="en-US" w:eastAsia="zh-CN"/>
              </w:rPr>
              <w:t>②</w:t>
            </w:r>
            <w:r>
              <w:rPr>
                <w:rFonts w:hint="eastAsia" w:ascii="仿宋" w:hAnsi="仿宋" w:eastAsia="仿宋" w:cs="仿宋"/>
                <w:color w:val="auto"/>
                <w:lang w:val="en-US" w:eastAsia="zh-CN"/>
              </w:rPr>
              <w:t>岗位职责</w:t>
            </w:r>
            <w:r>
              <w:rPr>
                <w:rFonts w:hint="default" w:ascii="仿宋" w:hAnsi="仿宋" w:eastAsia="仿宋" w:cs="仿宋"/>
                <w:b w:val="0"/>
                <w:bCs w:val="0"/>
                <w:color w:val="auto"/>
                <w:sz w:val="24"/>
                <w:szCs w:val="24"/>
                <w:highlight w:val="none"/>
                <w:lang w:val="en-US" w:eastAsia="zh-CN"/>
              </w:rPr>
              <w:t>③</w:t>
            </w:r>
            <w:r>
              <w:rPr>
                <w:rFonts w:hint="eastAsia" w:ascii="仿宋" w:hAnsi="仿宋" w:eastAsia="仿宋" w:cs="仿宋"/>
                <w:color w:val="auto"/>
                <w:lang w:val="en-US" w:eastAsia="zh-CN"/>
              </w:rPr>
              <w:t>人员稳定措施等内容。人员配置详尽、细致、 全面，满足采购人的需求，得9分；每缺一项内容扣3分，每一项内容中存在缺陷（缺陷指内容阐述不清晰，存在偏差或过于简略）的扣2 分，扣完为止。未提供方案得0分。</w:t>
            </w:r>
          </w:p>
        </w:tc>
      </w:tr>
      <w:tr w14:paraId="2D78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230" w:type="dxa"/>
            <w:vMerge w:val="continue"/>
            <w:noWrap w:val="0"/>
            <w:vAlign w:val="center"/>
          </w:tcPr>
          <w:p w14:paraId="03A9ED77">
            <w:pPr>
              <w:spacing w:line="440" w:lineRule="exact"/>
              <w:ind w:firstLine="616" w:firstLineChars="257"/>
              <w:rPr>
                <w:rFonts w:ascii="仿宋" w:hAnsi="仿宋" w:eastAsia="仿宋" w:cs="仿宋"/>
                <w:color w:val="auto"/>
                <w:sz w:val="24"/>
                <w:szCs w:val="24"/>
                <w:lang w:eastAsia="zh-CN" w:bidi="ar-SA"/>
              </w:rPr>
            </w:pPr>
          </w:p>
        </w:tc>
        <w:tc>
          <w:tcPr>
            <w:tcW w:w="1272" w:type="dxa"/>
            <w:noWrap w:val="0"/>
            <w:vAlign w:val="center"/>
          </w:tcPr>
          <w:p w14:paraId="22BBDFD6">
            <w:pPr>
              <w:spacing w:line="240" w:lineRule="auto"/>
              <w:jc w:val="center"/>
              <w:rPr>
                <w:rFonts w:hint="eastAsia" w:ascii="仿宋" w:hAnsi="仿宋" w:eastAsia="仿宋" w:cs="仿宋"/>
                <w:color w:val="auto"/>
                <w:sz w:val="24"/>
                <w:szCs w:val="24"/>
                <w:lang w:eastAsia="zh-CN" w:bidi="ar-SA"/>
              </w:rPr>
            </w:pPr>
            <w:r>
              <w:rPr>
                <w:rFonts w:hint="eastAsia" w:ascii="仿宋" w:hAnsi="仿宋" w:eastAsia="仿宋"/>
                <w:b w:val="0"/>
                <w:color w:val="auto"/>
                <w:sz w:val="24"/>
                <w:szCs w:val="24"/>
                <w:highlight w:val="none"/>
                <w:lang w:eastAsia="zh-CN"/>
              </w:rPr>
              <w:t>企业实力（</w:t>
            </w:r>
            <w:r>
              <w:rPr>
                <w:rFonts w:hint="eastAsia" w:ascii="仿宋" w:hAnsi="仿宋" w:eastAsia="仿宋"/>
                <w:b w:val="0"/>
                <w:color w:val="auto"/>
                <w:sz w:val="24"/>
                <w:szCs w:val="24"/>
                <w:highlight w:val="none"/>
                <w:lang w:val="en-US" w:eastAsia="zh-CN"/>
              </w:rPr>
              <w:t>10</w:t>
            </w:r>
            <w:r>
              <w:rPr>
                <w:rFonts w:hint="eastAsia" w:ascii="仿宋" w:hAnsi="仿宋" w:eastAsia="仿宋"/>
                <w:b w:val="0"/>
                <w:color w:val="auto"/>
                <w:sz w:val="24"/>
                <w:szCs w:val="24"/>
                <w:highlight w:val="none"/>
                <w:lang w:eastAsia="zh-CN"/>
              </w:rPr>
              <w:t>分）</w:t>
            </w:r>
          </w:p>
        </w:tc>
        <w:tc>
          <w:tcPr>
            <w:tcW w:w="7176" w:type="dxa"/>
            <w:noWrap w:val="0"/>
            <w:vAlign w:val="top"/>
          </w:tcPr>
          <w:p w14:paraId="3BB1DD1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投标单位拟投入本项目服务人员的职业资格证书（等级厨师或面点等相关专业），每提供1人得0.5分，最多得10分。</w:t>
            </w:r>
          </w:p>
          <w:p w14:paraId="4F2A2F11">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lang w:val="en-US" w:eastAsia="zh-CN"/>
              </w:rPr>
              <w:t>注：提供相关证明材料加盖公章（工作人员花名册及其简历基本信息、职业资格证明材料、健康证、提供劳动合同或社保证明）。</w:t>
            </w:r>
          </w:p>
        </w:tc>
      </w:tr>
      <w:tr w14:paraId="1F4A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230" w:type="dxa"/>
            <w:vMerge w:val="continue"/>
            <w:noWrap w:val="0"/>
            <w:vAlign w:val="center"/>
          </w:tcPr>
          <w:p w14:paraId="4DD6494C">
            <w:pPr>
              <w:spacing w:line="440" w:lineRule="exact"/>
              <w:ind w:firstLine="616" w:firstLineChars="257"/>
              <w:rPr>
                <w:rFonts w:ascii="仿宋" w:hAnsi="仿宋" w:eastAsia="仿宋" w:cs="仿宋"/>
                <w:color w:val="auto"/>
                <w:sz w:val="24"/>
                <w:szCs w:val="24"/>
                <w:lang w:eastAsia="zh-CN" w:bidi="ar-SA"/>
              </w:rPr>
            </w:pPr>
          </w:p>
        </w:tc>
        <w:tc>
          <w:tcPr>
            <w:tcW w:w="1272" w:type="dxa"/>
            <w:noWrap w:val="0"/>
            <w:vAlign w:val="center"/>
          </w:tcPr>
          <w:p w14:paraId="04D96BEF">
            <w:pPr>
              <w:spacing w:line="440" w:lineRule="exact"/>
              <w:jc w:val="center"/>
              <w:rPr>
                <w:rFonts w:hint="eastAsia"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应急预案</w:t>
            </w:r>
          </w:p>
          <w:p w14:paraId="5CC44FE8">
            <w:pPr>
              <w:spacing w:line="440" w:lineRule="exact"/>
              <w:jc w:val="center"/>
              <w:rPr>
                <w:rFonts w:hint="eastAsia"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（12 分)</w:t>
            </w:r>
          </w:p>
        </w:tc>
        <w:tc>
          <w:tcPr>
            <w:tcW w:w="7176" w:type="dxa"/>
            <w:noWrap w:val="0"/>
            <w:vAlign w:val="top"/>
          </w:tcPr>
          <w:p w14:paraId="5DA9355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color w:val="auto"/>
                <w:sz w:val="24"/>
                <w:szCs w:val="24"/>
                <w:lang w:eastAsia="zh-CN"/>
              </w:rPr>
            </w:pPr>
            <w:r>
              <w:rPr>
                <w:rFonts w:hint="eastAsia" w:ascii="仿宋" w:hAnsi="仿宋" w:eastAsia="仿宋" w:cs="仿宋"/>
                <w:color w:val="auto"/>
                <w:sz w:val="24"/>
                <w:szCs w:val="24"/>
                <w:highlight w:val="none"/>
                <w:lang w:val="en-US" w:eastAsia="zh-CN" w:bidi="ar-SA"/>
              </w:rPr>
              <w:t>供应商根据本项目的采购内容和需求编制应急预案，包含①应急准备 ②应急响应③应急处置④应急恢复等内容。应急预案详尽、细致、全面，满足采购人的需求，得12分；每缺一项内容扣3分，每一项内容中存在缺陷（缺陷指内容阐述不清晰，存在偏差或过于简略）的扣2分，扣完为止。未提供方案得0分。</w:t>
            </w:r>
          </w:p>
        </w:tc>
      </w:tr>
      <w:tr w14:paraId="0290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1230" w:type="dxa"/>
            <w:vMerge w:val="continue"/>
            <w:noWrap w:val="0"/>
            <w:vAlign w:val="center"/>
          </w:tcPr>
          <w:p w14:paraId="0C48FC03">
            <w:pPr>
              <w:spacing w:line="440" w:lineRule="exact"/>
              <w:ind w:firstLine="616" w:firstLineChars="257"/>
              <w:rPr>
                <w:rFonts w:ascii="仿宋" w:hAnsi="仿宋" w:eastAsia="仿宋" w:cs="仿宋"/>
                <w:color w:val="auto"/>
                <w:sz w:val="24"/>
                <w:szCs w:val="24"/>
                <w:lang w:eastAsia="zh-CN" w:bidi="ar-SA"/>
              </w:rPr>
            </w:pPr>
          </w:p>
        </w:tc>
        <w:tc>
          <w:tcPr>
            <w:tcW w:w="1272" w:type="dxa"/>
            <w:noWrap w:val="0"/>
            <w:vAlign w:val="center"/>
          </w:tcPr>
          <w:p w14:paraId="486929F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培训方案</w:t>
            </w:r>
          </w:p>
          <w:p w14:paraId="5C4182F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（12分）</w:t>
            </w:r>
          </w:p>
        </w:tc>
        <w:tc>
          <w:tcPr>
            <w:tcW w:w="7176" w:type="dxa"/>
            <w:noWrap w:val="0"/>
            <w:vAlign w:val="top"/>
          </w:tcPr>
          <w:p w14:paraId="35BFFA5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宋体" w:hAnsi="宋体" w:eastAsia="宋体" w:cs="宋体"/>
                <w:color w:val="000000"/>
                <w:kern w:val="0"/>
                <w:sz w:val="22"/>
                <w:szCs w:val="22"/>
                <w:lang w:val="en-US" w:eastAsia="zh-CN" w:bidi="ar"/>
              </w:rPr>
              <w:t>为</w:t>
            </w:r>
            <w:r>
              <w:rPr>
                <w:rFonts w:hint="eastAsia" w:ascii="仿宋" w:hAnsi="仿宋" w:eastAsia="仿宋" w:cs="仿宋"/>
                <w:b w:val="0"/>
                <w:bCs w:val="0"/>
                <w:color w:val="auto"/>
                <w:kern w:val="2"/>
                <w:sz w:val="24"/>
                <w:szCs w:val="24"/>
                <w:highlight w:val="none"/>
                <w:lang w:val="en-US" w:eastAsia="zh-CN" w:bidi="ar-SA"/>
              </w:rPr>
              <w:t>确保服务质量，制定服务期内对相关人员的培训方案，包括①职业道德②相关劳动政策③安全服务④各岗位职责及单位的规章制度等方面的培训方案完整，逻辑清晰，培训团队组成科学、时间地点组织者、目的清晰明确，可行性高的得12分；</w:t>
            </w:r>
            <w:r>
              <w:rPr>
                <w:rFonts w:hint="eastAsia" w:ascii="仿宋" w:hAnsi="仿宋" w:eastAsia="仿宋" w:cs="Times New Roman"/>
                <w:color w:val="auto"/>
                <w:szCs w:val="24"/>
                <w:highlight w:val="none"/>
                <w:lang w:val="en-US" w:eastAsia="zh-CN"/>
              </w:rPr>
              <w:t>每缺一项内容扣3分，</w:t>
            </w:r>
            <w:r>
              <w:rPr>
                <w:rFonts w:hint="eastAsia" w:ascii="仿宋" w:hAnsi="仿宋" w:eastAsia="仿宋" w:cs="仿宋"/>
                <w:color w:val="auto"/>
                <w:sz w:val="24"/>
                <w:szCs w:val="24"/>
                <w:highlight w:val="none"/>
                <w:lang w:val="en-US" w:eastAsia="zh-CN" w:bidi="ar-SA"/>
              </w:rPr>
              <w:t>每一项内容中存在缺陷</w:t>
            </w:r>
            <w:r>
              <w:rPr>
                <w:rFonts w:hint="eastAsia" w:ascii="仿宋" w:hAnsi="仿宋" w:eastAsia="仿宋" w:cs="Times New Roman"/>
                <w:color w:val="auto"/>
                <w:szCs w:val="24"/>
                <w:highlight w:val="none"/>
                <w:lang w:val="en-US" w:eastAsia="zh-CN"/>
              </w:rPr>
              <w:t>（缺陷指内容阐述不清晰，存在偏差或过于简略）的扣2分，扣完为止。未提供方案得0分。</w:t>
            </w:r>
          </w:p>
        </w:tc>
      </w:tr>
      <w:tr w14:paraId="0875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230" w:type="dxa"/>
            <w:vMerge w:val="continue"/>
            <w:noWrap w:val="0"/>
            <w:vAlign w:val="center"/>
          </w:tcPr>
          <w:p w14:paraId="4E0A99D6">
            <w:pPr>
              <w:spacing w:line="440" w:lineRule="exact"/>
              <w:ind w:firstLine="616" w:firstLineChars="257"/>
              <w:rPr>
                <w:rFonts w:ascii="仿宋" w:hAnsi="仿宋" w:eastAsia="仿宋" w:cs="仿宋"/>
                <w:color w:val="auto"/>
                <w:sz w:val="24"/>
                <w:szCs w:val="24"/>
                <w:lang w:eastAsia="zh-CN" w:bidi="ar-SA"/>
              </w:rPr>
            </w:pPr>
          </w:p>
        </w:tc>
        <w:tc>
          <w:tcPr>
            <w:tcW w:w="1272" w:type="dxa"/>
            <w:noWrap w:val="0"/>
            <w:vAlign w:val="center"/>
          </w:tcPr>
          <w:p w14:paraId="4264065A">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服务计划及保障措施</w:t>
            </w:r>
          </w:p>
          <w:p w14:paraId="5830A418">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（12分）</w:t>
            </w:r>
          </w:p>
        </w:tc>
        <w:tc>
          <w:tcPr>
            <w:tcW w:w="7176" w:type="dxa"/>
            <w:noWrap w:val="0"/>
            <w:vAlign w:val="top"/>
          </w:tcPr>
          <w:p w14:paraId="76F8457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default"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服务计划需要详尽列明：①人员管理办法；②服务承诺</w:t>
            </w:r>
            <w:r>
              <w:rPr>
                <w:rFonts w:hint="eastAsia" w:ascii="仿宋" w:hAnsi="仿宋" w:eastAsia="仿宋" w:cs="仿宋"/>
                <w:b w:val="0"/>
                <w:bCs w:val="0"/>
                <w:color w:val="auto"/>
                <w:kern w:val="2"/>
                <w:sz w:val="24"/>
                <w:szCs w:val="24"/>
                <w:highlight w:val="none"/>
                <w:lang w:val="en-US" w:eastAsia="zh-CN" w:bidi="ar-SA"/>
              </w:rPr>
              <w:t>、</w:t>
            </w:r>
            <w:r>
              <w:rPr>
                <w:rFonts w:hint="default" w:ascii="仿宋" w:hAnsi="仿宋" w:eastAsia="仿宋" w:cs="仿宋"/>
                <w:b w:val="0"/>
                <w:bCs w:val="0"/>
                <w:color w:val="auto"/>
                <w:kern w:val="2"/>
                <w:sz w:val="24"/>
                <w:szCs w:val="24"/>
                <w:highlight w:val="none"/>
                <w:lang w:val="en-US" w:eastAsia="zh-CN" w:bidi="ar-SA"/>
              </w:rPr>
              <w:t>质量标准；③考核目标等</w:t>
            </w:r>
            <w:r>
              <w:rPr>
                <w:rFonts w:hint="eastAsia" w:ascii="仿宋" w:hAnsi="仿宋" w:eastAsia="仿宋" w:cs="仿宋"/>
                <w:b w:val="0"/>
                <w:bCs w:val="0"/>
                <w:color w:val="auto"/>
                <w:kern w:val="2"/>
                <w:sz w:val="24"/>
                <w:szCs w:val="24"/>
                <w:highlight w:val="none"/>
                <w:lang w:val="en-US" w:eastAsia="zh-CN" w:bidi="ar-SA"/>
              </w:rPr>
              <w:t>；④</w:t>
            </w:r>
            <w:r>
              <w:rPr>
                <w:rFonts w:hint="eastAsia" w:ascii="仿宋" w:hAnsi="仿宋" w:eastAsia="仿宋" w:cs="仿宋"/>
                <w:color w:val="auto"/>
                <w:sz w:val="24"/>
                <w:szCs w:val="24"/>
                <w:highlight w:val="none"/>
                <w:lang w:val="en-US" w:eastAsia="zh-CN" w:bidi="ar-SA"/>
              </w:rPr>
              <w:t>服务过程中的风险防范（包括食物中毒、急救措施、用水电气保障措施等）；</w:t>
            </w:r>
            <w:r>
              <w:rPr>
                <w:rFonts w:hint="default" w:ascii="仿宋" w:hAnsi="仿宋" w:eastAsia="仿宋" w:cs="仿宋"/>
                <w:b w:val="0"/>
                <w:bCs w:val="0"/>
                <w:color w:val="auto"/>
                <w:kern w:val="2"/>
                <w:sz w:val="24"/>
                <w:szCs w:val="24"/>
                <w:highlight w:val="none"/>
                <w:lang w:val="en-US" w:eastAsia="zh-CN" w:bidi="ar-SA"/>
              </w:rPr>
              <w:t>提供方案包含以上</w:t>
            </w:r>
            <w:r>
              <w:rPr>
                <w:rFonts w:hint="eastAsia" w:ascii="仿宋" w:hAnsi="仿宋" w:eastAsia="仿宋" w:cs="仿宋"/>
                <w:b w:val="0"/>
                <w:bCs w:val="0"/>
                <w:color w:val="auto"/>
                <w:kern w:val="2"/>
                <w:sz w:val="24"/>
                <w:szCs w:val="24"/>
                <w:highlight w:val="none"/>
                <w:lang w:val="en-US" w:eastAsia="zh-CN" w:bidi="ar-SA"/>
              </w:rPr>
              <w:t>四</w:t>
            </w:r>
            <w:r>
              <w:rPr>
                <w:rFonts w:hint="default" w:ascii="仿宋" w:hAnsi="仿宋" w:eastAsia="仿宋" w:cs="仿宋"/>
                <w:b w:val="0"/>
                <w:bCs w:val="0"/>
                <w:color w:val="auto"/>
                <w:kern w:val="2"/>
                <w:sz w:val="24"/>
                <w:szCs w:val="24"/>
                <w:highlight w:val="none"/>
                <w:lang w:val="en-US" w:eastAsia="zh-CN" w:bidi="ar-SA"/>
              </w:rPr>
              <w:t>项内容，方案完整，逻辑清晰，贴合采购需求，得</w:t>
            </w:r>
            <w:r>
              <w:rPr>
                <w:rFonts w:hint="eastAsia" w:ascii="仿宋" w:hAnsi="仿宋" w:eastAsia="仿宋" w:cs="仿宋"/>
                <w:b w:val="0"/>
                <w:bCs w:val="0"/>
                <w:color w:val="auto"/>
                <w:kern w:val="2"/>
                <w:sz w:val="24"/>
                <w:szCs w:val="24"/>
                <w:highlight w:val="none"/>
                <w:lang w:val="en-US" w:eastAsia="zh-CN" w:bidi="ar-SA"/>
              </w:rPr>
              <w:t>12</w:t>
            </w:r>
            <w:r>
              <w:rPr>
                <w:rFonts w:hint="default" w:ascii="仿宋" w:hAnsi="仿宋" w:eastAsia="仿宋" w:cs="仿宋"/>
                <w:b w:val="0"/>
                <w:bCs w:val="0"/>
                <w:color w:val="auto"/>
                <w:kern w:val="2"/>
                <w:sz w:val="24"/>
                <w:szCs w:val="24"/>
                <w:highlight w:val="none"/>
                <w:lang w:val="en-US" w:eastAsia="zh-CN" w:bidi="ar-SA"/>
              </w:rPr>
              <w:t>分；</w:t>
            </w:r>
            <w:r>
              <w:rPr>
                <w:rFonts w:hint="eastAsia" w:ascii="仿宋" w:hAnsi="仿宋" w:eastAsia="仿宋" w:cs="Times New Roman"/>
                <w:color w:val="auto"/>
                <w:szCs w:val="24"/>
                <w:highlight w:val="none"/>
                <w:lang w:val="en-US" w:eastAsia="zh-CN"/>
              </w:rPr>
              <w:t>每缺一项内容扣3分，</w:t>
            </w:r>
            <w:r>
              <w:rPr>
                <w:rFonts w:hint="eastAsia" w:ascii="仿宋" w:hAnsi="仿宋" w:eastAsia="仿宋" w:cs="仿宋"/>
                <w:color w:val="auto"/>
                <w:sz w:val="24"/>
                <w:szCs w:val="24"/>
                <w:highlight w:val="none"/>
                <w:lang w:val="en-US" w:eastAsia="zh-CN" w:bidi="ar-SA"/>
              </w:rPr>
              <w:t>每一项内容中存在缺陷</w:t>
            </w:r>
            <w:r>
              <w:rPr>
                <w:rFonts w:hint="eastAsia" w:ascii="仿宋" w:hAnsi="仿宋" w:eastAsia="仿宋" w:cs="Times New Roman"/>
                <w:color w:val="auto"/>
                <w:szCs w:val="24"/>
                <w:highlight w:val="none"/>
                <w:lang w:val="en-US" w:eastAsia="zh-CN"/>
              </w:rPr>
              <w:t>（</w:t>
            </w:r>
            <w:r>
              <w:rPr>
                <w:rFonts w:hint="default" w:ascii="仿宋" w:hAnsi="仿宋" w:eastAsia="仿宋" w:cs="仿宋"/>
                <w:b w:val="0"/>
                <w:bCs w:val="0"/>
                <w:color w:val="auto"/>
                <w:kern w:val="2"/>
                <w:sz w:val="24"/>
                <w:szCs w:val="24"/>
                <w:highlight w:val="none"/>
                <w:lang w:val="en-US" w:eastAsia="zh-CN" w:bidi="ar-SA"/>
              </w:rPr>
              <w:t>方案结构混乱，不贴合本项目的采购需求</w:t>
            </w:r>
            <w:r>
              <w:rPr>
                <w:rFonts w:hint="eastAsia" w:ascii="仿宋" w:hAnsi="仿宋" w:eastAsia="仿宋" w:cs="Times New Roman"/>
                <w:color w:val="auto"/>
                <w:szCs w:val="24"/>
                <w:highlight w:val="none"/>
                <w:lang w:val="en-US" w:eastAsia="zh-CN"/>
              </w:rPr>
              <w:t>）的扣2分，</w:t>
            </w:r>
            <w:r>
              <w:rPr>
                <w:rFonts w:hint="eastAsia" w:ascii="仿宋" w:hAnsi="仿宋" w:eastAsia="仿宋" w:cs="仿宋"/>
                <w:b w:val="0"/>
                <w:bCs w:val="0"/>
                <w:color w:val="auto"/>
                <w:kern w:val="2"/>
                <w:sz w:val="24"/>
                <w:szCs w:val="24"/>
                <w:highlight w:val="none"/>
                <w:lang w:val="en-US" w:eastAsia="zh-CN" w:bidi="ar-SA"/>
              </w:rPr>
              <w:t>扣完为止；</w:t>
            </w:r>
            <w:r>
              <w:rPr>
                <w:rFonts w:hint="eastAsia" w:ascii="仿宋" w:hAnsi="仿宋" w:eastAsia="仿宋" w:cs="Times New Roman"/>
                <w:color w:val="auto"/>
                <w:szCs w:val="24"/>
                <w:highlight w:val="none"/>
                <w:lang w:val="en-US" w:eastAsia="zh-CN"/>
              </w:rPr>
              <w:t>未提供方案得0分</w:t>
            </w:r>
            <w:r>
              <w:rPr>
                <w:rFonts w:hint="default" w:ascii="仿宋" w:hAnsi="仿宋" w:eastAsia="仿宋" w:cs="仿宋"/>
                <w:b w:val="0"/>
                <w:bCs w:val="0"/>
                <w:color w:val="auto"/>
                <w:kern w:val="2"/>
                <w:sz w:val="24"/>
                <w:szCs w:val="24"/>
                <w:highlight w:val="none"/>
                <w:lang w:val="en-US" w:eastAsia="zh-CN" w:bidi="ar-SA"/>
              </w:rPr>
              <w:t>。</w:t>
            </w:r>
          </w:p>
        </w:tc>
      </w:tr>
      <w:tr w14:paraId="7AFE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1230" w:type="dxa"/>
            <w:vMerge w:val="continue"/>
            <w:noWrap w:val="0"/>
            <w:vAlign w:val="center"/>
          </w:tcPr>
          <w:p w14:paraId="63683B4D">
            <w:pPr>
              <w:spacing w:line="440" w:lineRule="exact"/>
              <w:ind w:firstLine="616" w:firstLineChars="257"/>
              <w:rPr>
                <w:rFonts w:ascii="仿宋" w:hAnsi="仿宋" w:eastAsia="仿宋" w:cs="仿宋"/>
                <w:color w:val="auto"/>
                <w:sz w:val="24"/>
                <w:szCs w:val="24"/>
                <w:lang w:eastAsia="zh-CN" w:bidi="ar-SA"/>
              </w:rPr>
            </w:pPr>
          </w:p>
        </w:tc>
        <w:tc>
          <w:tcPr>
            <w:tcW w:w="1272" w:type="dxa"/>
            <w:noWrap w:val="0"/>
            <w:vAlign w:val="center"/>
          </w:tcPr>
          <w:p w14:paraId="45CFF08C">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规章管理制度</w:t>
            </w:r>
          </w:p>
          <w:p w14:paraId="13616E94">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（6分）</w:t>
            </w:r>
          </w:p>
        </w:tc>
        <w:tc>
          <w:tcPr>
            <w:tcW w:w="7176" w:type="dxa"/>
            <w:noWrap w:val="0"/>
            <w:vAlign w:val="top"/>
          </w:tcPr>
          <w:p w14:paraId="22A3BA6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规章管理制度：应包含管理组织架构，人员分工，管理制度等。有完善的派遣服务人员薪资酬管理体系和财务管理等制度保障，能保证薪酬安全可靠，及时发放，并承诺不拖欠劳务人员薪酬。根据保障制度完善程度评分：①有开展服务工作的基本组织机构；②有人事（含招聘、薪酬、考勤、奖惩、辞退等主要内容）管理制度健全；</w:t>
            </w:r>
            <w:r>
              <w:rPr>
                <w:rFonts w:hint="default" w:ascii="仿宋" w:hAnsi="仿宋" w:eastAsia="仿宋" w:cs="仿宋"/>
                <w:b w:val="0"/>
                <w:bCs w:val="0"/>
                <w:color w:val="auto"/>
                <w:kern w:val="2"/>
                <w:sz w:val="24"/>
                <w:szCs w:val="24"/>
                <w:highlight w:val="none"/>
                <w:lang w:val="en-US" w:eastAsia="zh-CN" w:bidi="ar-SA"/>
              </w:rPr>
              <w:t>③</w:t>
            </w:r>
            <w:r>
              <w:rPr>
                <w:rFonts w:hint="eastAsia" w:ascii="仿宋" w:hAnsi="仿宋" w:eastAsia="仿宋" w:cs="仿宋"/>
                <w:b w:val="0"/>
                <w:bCs w:val="0"/>
                <w:color w:val="auto"/>
                <w:kern w:val="2"/>
                <w:sz w:val="24"/>
                <w:szCs w:val="24"/>
                <w:highlight w:val="none"/>
                <w:lang w:val="en-US" w:eastAsia="zh-CN" w:bidi="ar-SA"/>
              </w:rPr>
              <w:t>财务（含收支、预算等主要内容）内容完整，逻辑清晰；组织构架、人事、财务健全全面的得6分；每缺一项内容扣2分，每一项内容中存在缺陷或不足（制度不健全、分工不明、表述不清等）的扣1分，扣完为止。</w:t>
            </w:r>
          </w:p>
        </w:tc>
      </w:tr>
      <w:tr w14:paraId="729A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230" w:type="dxa"/>
            <w:vMerge w:val="continue"/>
            <w:noWrap w:val="0"/>
            <w:vAlign w:val="center"/>
          </w:tcPr>
          <w:p w14:paraId="79BD6F1B">
            <w:pPr>
              <w:spacing w:line="440" w:lineRule="exact"/>
              <w:ind w:firstLine="616" w:firstLineChars="257"/>
              <w:rPr>
                <w:rFonts w:ascii="仿宋" w:hAnsi="仿宋" w:eastAsia="仿宋" w:cs="仿宋"/>
                <w:color w:val="auto"/>
                <w:sz w:val="24"/>
                <w:szCs w:val="24"/>
                <w:lang w:eastAsia="zh-CN" w:bidi="ar-SA"/>
              </w:rPr>
            </w:pPr>
          </w:p>
        </w:tc>
        <w:tc>
          <w:tcPr>
            <w:tcW w:w="1272" w:type="dxa"/>
            <w:shd w:val="clear" w:color="auto" w:fill="auto"/>
            <w:noWrap w:val="0"/>
            <w:vAlign w:val="center"/>
          </w:tcPr>
          <w:p w14:paraId="1C22D47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卫生保洁及日常维护方案</w:t>
            </w:r>
          </w:p>
          <w:p w14:paraId="0429282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Times New Roman"/>
                <w:color w:val="auto"/>
                <w:sz w:val="24"/>
                <w:szCs w:val="24"/>
                <w:highlight w:val="none"/>
                <w:lang w:val="en-US" w:eastAsia="zh-CN" w:bidi="en-US"/>
              </w:rPr>
            </w:pPr>
            <w:r>
              <w:rPr>
                <w:rFonts w:hint="eastAsia" w:ascii="仿宋" w:hAnsi="仿宋" w:eastAsia="仿宋" w:cs="Times New Roman"/>
                <w:color w:val="auto"/>
                <w:highlight w:val="none"/>
                <w:lang w:val="en-US" w:eastAsia="zh-CN"/>
              </w:rPr>
              <w:t>（4分）</w:t>
            </w:r>
          </w:p>
        </w:tc>
        <w:tc>
          <w:tcPr>
            <w:tcW w:w="7176" w:type="dxa"/>
            <w:shd w:val="clear" w:color="auto" w:fill="auto"/>
            <w:noWrap w:val="0"/>
            <w:vAlign w:val="top"/>
          </w:tcPr>
          <w:p w14:paraId="5AAB8772">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根据投标单位拟定的针对本项目食堂的日常卫生保洁及虫、鼠、蟑螂等的消杀方案和对现有设施设备的维护保养及损耗率的承诺方案进行评价，方案较优的得4分；方案一般的得2分；未提供不得分。</w:t>
            </w:r>
          </w:p>
        </w:tc>
      </w:tr>
      <w:tr w14:paraId="3878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230" w:type="dxa"/>
            <w:vMerge w:val="continue"/>
            <w:noWrap w:val="0"/>
            <w:vAlign w:val="center"/>
          </w:tcPr>
          <w:p w14:paraId="63F5D23B">
            <w:pPr>
              <w:spacing w:line="440" w:lineRule="exact"/>
              <w:ind w:firstLine="616" w:firstLineChars="257"/>
              <w:rPr>
                <w:rFonts w:ascii="仿宋" w:hAnsi="仿宋" w:eastAsia="仿宋" w:cs="仿宋"/>
                <w:color w:val="auto"/>
                <w:sz w:val="24"/>
                <w:szCs w:val="24"/>
                <w:lang w:eastAsia="zh-CN" w:bidi="ar-SA"/>
              </w:rPr>
            </w:pPr>
          </w:p>
        </w:tc>
        <w:tc>
          <w:tcPr>
            <w:tcW w:w="1272" w:type="dxa"/>
            <w:noWrap w:val="0"/>
            <w:vAlign w:val="center"/>
          </w:tcPr>
          <w:p w14:paraId="00D2AD96">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类似业绩 （5分）</w:t>
            </w:r>
          </w:p>
        </w:tc>
        <w:tc>
          <w:tcPr>
            <w:tcW w:w="7176" w:type="dxa"/>
            <w:noWrap w:val="0"/>
            <w:vAlign w:val="top"/>
          </w:tcPr>
          <w:p w14:paraId="6E6CFFC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投标单位提供(2022年1月1日至今）类似业绩，每提供一项业绩得 1 分，最多得 5 分。 </w:t>
            </w:r>
          </w:p>
          <w:p w14:paraId="4B37466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注：需同时提供合同协议和中标（成交）通知书，业绩证明材料需清晰可辨认，否则视为无效业绩。未提供不得分。</w:t>
            </w:r>
          </w:p>
          <w:p w14:paraId="5C05521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val="0"/>
                <w:bCs w:val="0"/>
                <w:color w:val="auto"/>
                <w:kern w:val="2"/>
                <w:sz w:val="24"/>
                <w:szCs w:val="24"/>
                <w:highlight w:val="none"/>
                <w:lang w:val="en-US" w:eastAsia="zh-CN" w:bidi="ar-SA"/>
              </w:rPr>
            </w:pPr>
          </w:p>
        </w:tc>
      </w:tr>
    </w:tbl>
    <w:p w14:paraId="3E8F726B">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3DD26F19">
      <w:pPr>
        <w:pStyle w:val="45"/>
        <w:keepNext w:val="0"/>
        <w:keepLines w:val="0"/>
        <w:pageBreakBefore w:val="0"/>
        <w:tabs>
          <w:tab w:val="left" w:pos="1701"/>
        </w:tabs>
        <w:kinsoku/>
        <w:wordWrap/>
        <w:overflowPunct/>
        <w:topLinePunct w:val="0"/>
        <w:autoSpaceDE/>
        <w:autoSpaceDN/>
        <w:bidi w:val="0"/>
        <w:adjustRightInd/>
        <w:spacing w:line="400" w:lineRule="exact"/>
        <w:ind w:left="0"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10.2.2价格评分方法</w:t>
      </w:r>
    </w:p>
    <w:p w14:paraId="41262F20">
      <w:pPr>
        <w:keepNext w:val="0"/>
        <w:keepLines w:val="0"/>
        <w:pageBreakBefore w:val="0"/>
        <w:kinsoku/>
        <w:wordWrap/>
        <w:overflowPunct/>
        <w:topLinePunct w:val="0"/>
        <w:autoSpaceDE/>
        <w:autoSpaceDN/>
        <w:bidi w:val="0"/>
        <w:adjustRightInd/>
        <w:spacing w:beforeLines="50" w:line="400" w:lineRule="exact"/>
        <w:jc w:val="left"/>
        <w:textAlignment w:val="auto"/>
        <w:outlineLvl w:val="1"/>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满足磋商文件技术要求且投标价格最低的投标报价为评标基准价，其价格分为满分。其他供应商的价格分别按照下列公式计算： 磋商报价得分=（磋商基准价/最后磋商报价）×价格权值。</w:t>
      </w:r>
    </w:p>
    <w:p w14:paraId="1D17883D">
      <w:pPr>
        <w:keepNext w:val="0"/>
        <w:keepLines w:val="0"/>
        <w:pageBreakBefore w:val="0"/>
        <w:kinsoku/>
        <w:wordWrap/>
        <w:overflowPunct/>
        <w:topLinePunct w:val="0"/>
        <w:autoSpaceDE/>
        <w:autoSpaceDN/>
        <w:bidi w:val="0"/>
        <w:adjustRightInd/>
        <w:spacing w:beforeLines="50" w:line="400" w:lineRule="exact"/>
        <w:jc w:val="center"/>
        <w:textAlignment w:val="auto"/>
        <w:outlineLvl w:val="1"/>
        <w:rPr>
          <w:rFonts w:ascii="仿宋" w:hAnsi="仿宋" w:eastAsia="仿宋" w:cs="仿宋"/>
          <w:b/>
          <w:color w:val="auto"/>
          <w:lang w:eastAsia="zh-CN"/>
        </w:rPr>
      </w:pPr>
      <w:r>
        <w:rPr>
          <w:rFonts w:hint="eastAsia" w:ascii="仿宋" w:hAnsi="仿宋" w:eastAsia="仿宋" w:cs="仿宋"/>
          <w:b/>
          <w:color w:val="auto"/>
          <w:lang w:eastAsia="zh-CN"/>
        </w:rPr>
        <w:t>五  推荐中标候选人</w:t>
      </w:r>
      <w:bookmarkEnd w:id="41"/>
      <w:bookmarkEnd w:id="42"/>
    </w:p>
    <w:p w14:paraId="261594B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11.1评标委员会推荐3名中标候选人，并标明排序。</w:t>
      </w:r>
    </w:p>
    <w:p w14:paraId="1A1BD1BE">
      <w:pPr>
        <w:keepNext w:val="0"/>
        <w:keepLines w:val="0"/>
        <w:pageBreakBefore w:val="0"/>
        <w:kinsoku/>
        <w:wordWrap/>
        <w:overflowPunct/>
        <w:topLinePunct w:val="0"/>
        <w:autoSpaceDE/>
        <w:autoSpaceDN/>
        <w:bidi w:val="0"/>
        <w:adjustRightInd/>
        <w:spacing w:line="400" w:lineRule="exact"/>
        <w:ind w:firstLine="470" w:firstLineChars="196"/>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11.2如出现报价相同情况，则由招标人现场抽签确定中标候选人排名顺序。</w:t>
      </w:r>
    </w:p>
    <w:bookmarkEnd w:id="36"/>
    <w:p w14:paraId="05D994A9">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12.无效投标条款</w:t>
      </w:r>
    </w:p>
    <w:p w14:paraId="7E580B3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12.1投标文件有下列情形之一的,其投标文件拒收:</w:t>
      </w:r>
    </w:p>
    <w:p w14:paraId="415443C9">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b/>
          <w:bCs/>
          <w:color w:val="auto"/>
          <w:szCs w:val="21"/>
          <w:lang w:eastAsia="zh-CN"/>
        </w:rPr>
      </w:pPr>
      <w:r>
        <w:rPr>
          <w:rFonts w:hint="eastAsia" w:ascii="仿宋" w:hAnsi="仿宋" w:eastAsia="仿宋" w:cs="仿宋"/>
          <w:color w:val="auto"/>
          <w:szCs w:val="21"/>
          <w:lang w:eastAsia="zh-CN"/>
        </w:rPr>
        <w:t xml:space="preserve">   </w:t>
      </w:r>
      <w:r>
        <w:rPr>
          <w:rFonts w:hint="eastAsia" w:ascii="仿宋" w:hAnsi="仿宋" w:eastAsia="仿宋" w:cs="仿宋"/>
          <w:b/>
          <w:bCs/>
          <w:color w:val="auto"/>
          <w:szCs w:val="21"/>
          <w:lang w:eastAsia="zh-CN"/>
        </w:rPr>
        <w:t xml:space="preserve"> (1) 未在开标截止时间前通过网上招标投标系统递交有效电子投标文件的，开标系统不予接收。</w:t>
      </w:r>
    </w:p>
    <w:p w14:paraId="68736DF1">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w:t>
      </w:r>
      <w:r>
        <w:rPr>
          <w:rFonts w:hint="eastAsia" w:ascii="仿宋" w:hAnsi="仿宋" w:eastAsia="仿宋" w:cs="仿宋"/>
          <w:b/>
          <w:color w:val="auto"/>
          <w:szCs w:val="21"/>
          <w:lang w:eastAsia="zh-CN"/>
        </w:rPr>
        <w:t>所有供应商应在规定时间里完成投标文件的解密工作</w:t>
      </w:r>
      <w:r>
        <w:rPr>
          <w:rFonts w:hint="eastAsia" w:ascii="仿宋" w:hAnsi="仿宋" w:eastAsia="仿宋" w:cs="仿宋"/>
          <w:b/>
          <w:bCs/>
          <w:color w:val="auto"/>
          <w:szCs w:val="21"/>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lang w:eastAsia="zh-CN"/>
        </w:rPr>
        <w:t>，因系统原因未能成功解密的投标文件，可导入备份投标文件。备份投标文件也无法导入的，则投标文件被否决。</w:t>
      </w:r>
    </w:p>
    <w:p w14:paraId="2C9AF4AA">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12.2供应商有下列情形之一的,资格审查后其投标作无效投标处理：</w:t>
      </w:r>
    </w:p>
    <w:p w14:paraId="3F3FAC6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(1)法定代表人参加开标会议未携带有效的法定代表人身份证明原件和本人身份证的；委托代理人参加开标会议未携带有效的法定代表人授权书和本人身份证；</w:t>
      </w:r>
    </w:p>
    <w:p w14:paraId="14CAE21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(2)供应商为本项目提供招标代理服务的；</w:t>
      </w:r>
    </w:p>
    <w:p w14:paraId="74DC348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(3)供应商与在本项目代理机构存在相互任职或工作的；</w:t>
      </w:r>
    </w:p>
    <w:p w14:paraId="0A81A40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(4)投标保证金未按规定要求缴纳的；</w:t>
      </w:r>
    </w:p>
    <w:p w14:paraId="34FCD0E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(5)评标专家无法查看并检验电子标书中相关资料的；</w:t>
      </w:r>
    </w:p>
    <w:p w14:paraId="0A415E2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(6)供应商超出营业范围投标的；</w:t>
      </w:r>
    </w:p>
    <w:p w14:paraId="0F11CB5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(7)联合体投标未提交联合体协议的；</w:t>
      </w:r>
    </w:p>
    <w:p w14:paraId="687F71D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(8)被暂停营业的；</w:t>
      </w:r>
    </w:p>
    <w:p w14:paraId="62CD49A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(9)被暂停或取消投标资格的；</w:t>
      </w:r>
    </w:p>
    <w:p w14:paraId="5557E9B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(10)财产被接管或冻结的；</w:t>
      </w:r>
    </w:p>
    <w:p w14:paraId="0D7954F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(11)供应商单位负责人为同一人或者存在控股、管理关系的不同单位的；</w:t>
      </w:r>
    </w:p>
    <w:p w14:paraId="6EE3C8B3">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（12）供应商基本资格条件和特定资格条件中有一项及以上不符合要求的；</w:t>
      </w:r>
    </w:p>
    <w:p w14:paraId="12BD7CE8">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（13）供应商使用相同的MAC地址进行报名的；</w:t>
      </w:r>
    </w:p>
    <w:p w14:paraId="16D75D68">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（14）其它情形，经评标委员会委提出按无效投标处理，并经公共资源交易监督部门核准的；</w:t>
      </w:r>
    </w:p>
    <w:p w14:paraId="48D55E4E">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（15）供应商使用相同IP地址报名的，一经发现，监管部门将进一步核实，查实后按串通投标处理；</w:t>
      </w:r>
    </w:p>
    <w:p w14:paraId="6D3D23BE">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（16）采购文件规定的其它无效投标情形。</w:t>
      </w:r>
    </w:p>
    <w:p w14:paraId="2CB100BB">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12.3 供应商有下列情形之一的,符合性审查后其投标按无效投标处理：</w:t>
      </w:r>
    </w:p>
    <w:p w14:paraId="39CF912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 投标文件签章、盖章不全，经评标委员会一致认定对开评标内容有实质性影响并经监督部门核准的；</w:t>
      </w:r>
    </w:p>
    <w:p w14:paraId="31278F9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(2)未按规定的格式填写，实质性内容不全或关键字迹模糊、无法辨认; 经监督部门核准的；</w:t>
      </w:r>
    </w:p>
    <w:p w14:paraId="4003D43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(4)同一供应商提交两个以上不同的投标文件或者投标报价，但采购文件规定提交备选方案的除外；</w:t>
      </w:r>
    </w:p>
    <w:p w14:paraId="053B0C3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(3)投标文件没有对采购文件的实质性要求和条件作出响应;（注：参数允许出现负偏离，具体详见评分标准）</w:t>
      </w:r>
    </w:p>
    <w:p w14:paraId="56F7A12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(4)投标报价超出规定的投标限价或公布的采购预算的；</w:t>
      </w:r>
    </w:p>
    <w:p w14:paraId="3D55498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(5)不按评标委员会要求澄清、说明或补正的，或者评标委员会根据采购文件的规定对采购文件的计算错误进行修正后，供应商不接受修正的投标报价的。</w:t>
      </w:r>
    </w:p>
    <w:p w14:paraId="69074EC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（6）其它情形，经评标委员会委提出按无效投标处理，并经公共资源交易监督部门核准的；</w:t>
      </w:r>
    </w:p>
    <w:p w14:paraId="7B385EA3">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w:t>
      </w:r>
      <w:r>
        <w:rPr>
          <w:rFonts w:hint="eastAsia" w:ascii="仿宋" w:hAnsi="仿宋" w:eastAsia="仿宋" w:cs="仿宋"/>
          <w:color w:val="auto"/>
          <w:szCs w:val="21"/>
          <w:shd w:val="clear" w:color="auto" w:fill="FFFFFF"/>
          <w:lang w:eastAsia="zh-CN"/>
        </w:rPr>
        <w:t>未按照磋商文件的规定提交投标保证金的；</w:t>
      </w:r>
    </w:p>
    <w:p w14:paraId="341598E3">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w:t>
      </w:r>
      <w:r>
        <w:rPr>
          <w:rFonts w:hint="eastAsia" w:ascii="仿宋" w:hAnsi="仿宋" w:eastAsia="仿宋" w:cs="仿宋"/>
          <w:color w:val="auto"/>
          <w:szCs w:val="21"/>
          <w:shd w:val="clear" w:color="auto" w:fill="FFFFFF"/>
          <w:lang w:eastAsia="zh-CN"/>
        </w:rPr>
        <w:t>投标文件含有采购人不能接受的附加条件的;</w:t>
      </w:r>
    </w:p>
    <w:p w14:paraId="4052E8C1">
      <w:pPr>
        <w:keepNext w:val="0"/>
        <w:keepLines w:val="0"/>
        <w:pageBreakBefore w:val="0"/>
        <w:tabs>
          <w:tab w:val="left" w:pos="1123"/>
        </w:tabs>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（9）采购文件规定的其它无效投标情形。</w:t>
      </w:r>
    </w:p>
    <w:p w14:paraId="18EC914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12.4 供应商有下列情形之一的, 详细评审后其投标按无效投标处理：</w:t>
      </w:r>
    </w:p>
    <w:p w14:paraId="0F554C0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(1)投标产品不符合必须强制执行的国家标准的；</w:t>
      </w:r>
    </w:p>
    <w:p w14:paraId="69C97A7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(2)供应商有串通投标、弄虚作假、行贿等违法行为；</w:t>
      </w:r>
    </w:p>
    <w:p w14:paraId="5B5DE41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(3)投标文件含有违反国家法律、法规的内容，或附有招标人不能接受的条件的；</w:t>
      </w:r>
    </w:p>
    <w:p w14:paraId="0A2C68B7">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（4）在同一项目（或同一标段）中有多个供应商有效投标报价接近最高限价，且评标委员会认为报价出现异常的，可以宣布其投标无效；</w:t>
      </w:r>
    </w:p>
    <w:p w14:paraId="7FE5D732">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（5）报价明显低于其他供应商，且不能证明报价合理性的投标无效；</w:t>
      </w:r>
    </w:p>
    <w:p w14:paraId="656330B7">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（6）拒不确认评标委员会评审修正的投标无效；</w:t>
      </w:r>
    </w:p>
    <w:p w14:paraId="3B737B0B">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（7）其它情形，经评标委员会委提出按无效投标处理，并经公共资源交易监督部门核准的；</w:t>
      </w:r>
    </w:p>
    <w:p w14:paraId="12951437">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（8）采购文件规定的其它无效投标情形。</w:t>
      </w:r>
    </w:p>
    <w:p w14:paraId="0603FDC1">
      <w:pPr>
        <w:jc w:val="center"/>
        <w:rPr>
          <w:rFonts w:hint="eastAsia" w:ascii="仿宋" w:hAnsi="仿宋" w:eastAsia="仿宋" w:cs="仿宋"/>
          <w:b/>
          <w:bCs/>
          <w:color w:val="auto"/>
          <w:sz w:val="36"/>
          <w:szCs w:val="36"/>
        </w:rPr>
      </w:pPr>
      <w:bookmarkStart w:id="43" w:name="_Toc469495737"/>
      <w:bookmarkStart w:id="44" w:name="OLE_LINK4"/>
    </w:p>
    <w:p w14:paraId="396C25AE">
      <w:pPr>
        <w:jc w:val="center"/>
        <w:rPr>
          <w:rFonts w:hint="eastAsia" w:ascii="仿宋" w:hAnsi="仿宋" w:eastAsia="仿宋" w:cs="仿宋"/>
          <w:b/>
          <w:bCs/>
          <w:color w:val="auto"/>
          <w:sz w:val="36"/>
          <w:szCs w:val="36"/>
        </w:rPr>
      </w:pPr>
    </w:p>
    <w:p w14:paraId="71451126">
      <w:pPr>
        <w:jc w:val="center"/>
        <w:rPr>
          <w:rFonts w:hint="eastAsia" w:ascii="仿宋" w:hAnsi="仿宋" w:eastAsia="仿宋" w:cs="仿宋"/>
          <w:b/>
          <w:bCs/>
          <w:color w:val="auto"/>
          <w:sz w:val="36"/>
          <w:szCs w:val="36"/>
        </w:rPr>
      </w:pPr>
    </w:p>
    <w:p w14:paraId="5B8992A9">
      <w:pPr>
        <w:jc w:val="center"/>
        <w:rPr>
          <w:rFonts w:hint="eastAsia" w:ascii="仿宋" w:hAnsi="仿宋" w:eastAsia="仿宋" w:cs="仿宋"/>
          <w:b/>
          <w:bCs/>
          <w:color w:val="auto"/>
          <w:sz w:val="36"/>
          <w:szCs w:val="36"/>
        </w:rPr>
      </w:pPr>
    </w:p>
    <w:p w14:paraId="5350D8A4">
      <w:pPr>
        <w:jc w:val="center"/>
        <w:rPr>
          <w:rFonts w:hint="eastAsia" w:ascii="仿宋" w:hAnsi="仿宋" w:eastAsia="仿宋" w:cs="仿宋"/>
          <w:b/>
          <w:bCs/>
          <w:color w:val="auto"/>
          <w:sz w:val="36"/>
          <w:szCs w:val="36"/>
        </w:rPr>
      </w:pPr>
    </w:p>
    <w:p w14:paraId="716B75B7">
      <w:pPr>
        <w:jc w:val="center"/>
        <w:rPr>
          <w:rFonts w:hint="eastAsia" w:ascii="仿宋" w:hAnsi="仿宋" w:eastAsia="仿宋" w:cs="仿宋"/>
          <w:b/>
          <w:bCs/>
          <w:color w:val="auto"/>
          <w:sz w:val="36"/>
          <w:szCs w:val="36"/>
        </w:rPr>
      </w:pPr>
    </w:p>
    <w:p w14:paraId="0E271FA7">
      <w:pPr>
        <w:jc w:val="center"/>
        <w:rPr>
          <w:rFonts w:ascii="仿宋" w:hAnsi="仿宋" w:eastAsia="仿宋" w:cs="仿宋"/>
          <w:b/>
          <w:bCs/>
          <w:color w:val="auto"/>
          <w:lang w:eastAsia="zh-CN"/>
        </w:rPr>
      </w:pPr>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eastAsia="zh-CN"/>
        </w:rPr>
        <w:t>四章</w:t>
      </w:r>
      <w:r>
        <w:rPr>
          <w:rFonts w:hint="eastAsia" w:ascii="仿宋" w:hAnsi="仿宋" w:eastAsia="仿宋" w:cs="仿宋"/>
          <w:b/>
          <w:bCs/>
          <w:color w:val="auto"/>
          <w:sz w:val="36"/>
          <w:szCs w:val="36"/>
        </w:rPr>
        <w:t xml:space="preserve"> </w:t>
      </w:r>
      <w:r>
        <w:rPr>
          <w:rFonts w:hint="eastAsia" w:ascii="仿宋" w:hAnsi="仿宋" w:eastAsia="仿宋" w:cs="仿宋"/>
          <w:b/>
          <w:bCs/>
          <w:color w:val="auto"/>
          <w:sz w:val="36"/>
          <w:szCs w:val="36"/>
          <w:lang w:eastAsia="zh-CN"/>
        </w:rPr>
        <w:t>技术参数及服务要求</w:t>
      </w:r>
    </w:p>
    <w:bookmarkEnd w:id="37"/>
    <w:bookmarkEnd w:id="43"/>
    <w:bookmarkEnd w:id="44"/>
    <w:p w14:paraId="6CE90F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一、项目基本情况</w:t>
      </w:r>
    </w:p>
    <w:p w14:paraId="6C2CB44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1、项目名称：阿图什市第一中学2025年学生食堂后厨工作人员服务采购项目</w:t>
      </w:r>
    </w:p>
    <w:p w14:paraId="6C9196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2、采购内容：服务人员33人（食堂经理1人、主厨2人、副厨6人、面点师2人、帮厨10人、勤杂工12人）</w:t>
      </w:r>
    </w:p>
    <w:p w14:paraId="065B9FC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3、采购金额：165000元/月（按11个月计），计：1815000元。</w:t>
      </w:r>
    </w:p>
    <w:p w14:paraId="244CF6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4、实施方法：学校自营</w:t>
      </w:r>
    </w:p>
    <w:p w14:paraId="1293B17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bookmarkStart w:id="45" w:name="_Toc340225293"/>
      <w:bookmarkStart w:id="46" w:name="_Toc267320051"/>
      <w:r>
        <w:rPr>
          <w:rFonts w:hint="eastAsia" w:ascii="仿宋" w:hAnsi="仿宋" w:eastAsia="仿宋" w:cs="仿宋"/>
          <w:b w:val="0"/>
          <w:bCs w:val="0"/>
          <w:color w:val="auto"/>
          <w:sz w:val="28"/>
          <w:szCs w:val="28"/>
          <w:highlight w:val="none"/>
          <w:lang w:val="en-US" w:eastAsia="zh-CN"/>
        </w:rPr>
        <w:t>5、履约期限：1年（自合同之日起算）</w:t>
      </w:r>
    </w:p>
    <w:p w14:paraId="020F7A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6、就餐形式：刷脸式点餐；</w:t>
      </w:r>
    </w:p>
    <w:p w14:paraId="0A7667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7、就餐天数：根据学校教学工作实际确定；</w:t>
      </w:r>
    </w:p>
    <w:p w14:paraId="65FB33C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8、就餐人数：约 1700 人；</w:t>
      </w:r>
    </w:p>
    <w:p w14:paraId="60E555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二、项目具体需求及要求</w:t>
      </w:r>
    </w:p>
    <w:p w14:paraId="11E902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1、服务人员要求：</w:t>
      </w:r>
    </w:p>
    <w:p w14:paraId="664E603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lang w:eastAsia="zh-CN"/>
        </w:rPr>
        <w:t>乙方按国家法律、法规，以及相关政策，与员工签订劳动合同，依法依规为在职员工缴纳社会保险（含养老、失业、医疗、工伤保险、大病保险）及员工意外保险，员工年龄必须符合国家法定用工规定。</w:t>
      </w:r>
    </w:p>
    <w:p w14:paraId="423415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lang w:eastAsia="zh-CN"/>
        </w:rPr>
        <w:t>所有服务人员上岗时应提供有效的《健康证》，身体健康、五官端正，体检报告和无违法犯罪记录。</w:t>
      </w:r>
      <w:r>
        <w:rPr>
          <w:rFonts w:hint="eastAsia" w:ascii="仿宋" w:hAnsi="仿宋" w:eastAsia="仿宋" w:cs="仿宋"/>
          <w:b w:val="0"/>
          <w:bCs w:val="0"/>
          <w:color w:val="auto"/>
          <w:sz w:val="28"/>
          <w:szCs w:val="28"/>
          <w:highlight w:val="none"/>
          <w:lang w:val="en-US" w:eastAsia="zh-CN"/>
        </w:rPr>
        <w:t>身心健康、政审合格，须具有一定的烹饪能力，有较好的国语沟通能力，熟悉食品安全相关卫生知识；能够在食堂管理员的指挥下，负责对各种饭菜的加工制作，保证食品质量和安全。大厨应要</w:t>
      </w:r>
      <w:r>
        <w:rPr>
          <w:rFonts w:hint="eastAsia" w:ascii="仿宋" w:hAnsi="仿宋" w:eastAsia="仿宋" w:cs="仿宋"/>
          <w:i w:val="0"/>
          <w:iCs w:val="0"/>
          <w:caps w:val="0"/>
          <w:spacing w:val="0"/>
          <w:sz w:val="28"/>
          <w:szCs w:val="28"/>
          <w:shd w:val="clear" w:fill="FFFFFF"/>
        </w:rPr>
        <w:t>熟悉各类食材（蔬菜、肉类、海鲜、香料等）的季节、口感、营养成分及搭配禁忌</w:t>
      </w:r>
      <w:r>
        <w:rPr>
          <w:rFonts w:hint="eastAsia" w:ascii="仿宋" w:hAnsi="仿宋" w:eastAsia="仿宋" w:cs="仿宋"/>
          <w:i w:val="0"/>
          <w:iCs w:val="0"/>
          <w:caps w:val="0"/>
          <w:spacing w:val="0"/>
          <w:sz w:val="28"/>
          <w:szCs w:val="28"/>
          <w:shd w:val="clear" w:fill="FFFFFF"/>
          <w:lang w:eastAsia="zh-CN"/>
        </w:rPr>
        <w:t>，</w:t>
      </w:r>
      <w:r>
        <w:rPr>
          <w:rFonts w:hint="eastAsia" w:ascii="仿宋" w:hAnsi="仿宋" w:eastAsia="仿宋" w:cs="仿宋"/>
          <w:i w:val="0"/>
          <w:iCs w:val="0"/>
          <w:caps w:val="0"/>
          <w:spacing w:val="0"/>
          <w:sz w:val="28"/>
          <w:szCs w:val="28"/>
          <w:shd w:val="clear" w:fill="FFFFFF"/>
        </w:rPr>
        <w:t>精通煎、炒、炸、蒸、煮、炖、烤、焖等多种烹饪方式</w:t>
      </w:r>
      <w:r>
        <w:rPr>
          <w:rFonts w:hint="eastAsia" w:ascii="仿宋" w:hAnsi="仿宋" w:eastAsia="仿宋" w:cs="仿宋"/>
          <w:i w:val="0"/>
          <w:iCs w:val="0"/>
          <w:caps w:val="0"/>
          <w:spacing w:val="0"/>
          <w:sz w:val="28"/>
          <w:szCs w:val="28"/>
          <w:shd w:val="clear" w:fill="FFFFFF"/>
          <w:lang w:eastAsia="zh-CN"/>
        </w:rPr>
        <w:t>。</w:t>
      </w:r>
      <w:r>
        <w:rPr>
          <w:rFonts w:hint="eastAsia" w:ascii="仿宋" w:hAnsi="仿宋" w:eastAsia="仿宋" w:cs="仿宋"/>
          <w:i w:val="0"/>
          <w:iCs w:val="0"/>
          <w:caps w:val="0"/>
          <w:spacing w:val="0"/>
          <w:sz w:val="28"/>
          <w:szCs w:val="28"/>
          <w:shd w:val="clear" w:fill="FFFFFF"/>
          <w:lang w:val="en-US" w:eastAsia="zh-CN"/>
        </w:rPr>
        <w:t>应具备国家认可的中级工及以上厨师职业资格证书。帮厨应具备3年以上的工作经验（证书必须与人相匹配）。</w:t>
      </w:r>
    </w:p>
    <w:p w14:paraId="5F1CB6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lang w:eastAsia="zh-CN"/>
        </w:rPr>
        <w:t>如乙方聘用人员的服务标准和工作能力达不到甲方要求的，必须按甲方要求进行人员更换。</w:t>
      </w:r>
    </w:p>
    <w:p w14:paraId="1B2557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w:t>
      </w:r>
      <w:r>
        <w:rPr>
          <w:rFonts w:hint="eastAsia" w:ascii="仿宋" w:hAnsi="仿宋" w:eastAsia="仿宋" w:cs="仿宋"/>
          <w:b w:val="0"/>
          <w:bCs w:val="0"/>
          <w:color w:val="auto"/>
          <w:sz w:val="28"/>
          <w:szCs w:val="28"/>
          <w:highlight w:val="none"/>
          <w:lang w:eastAsia="zh-CN"/>
        </w:rPr>
        <w:t>食堂实行一日三餐制，</w:t>
      </w:r>
      <w:r>
        <w:rPr>
          <w:rFonts w:hint="eastAsia" w:ascii="仿宋" w:hAnsi="仿宋" w:eastAsia="仿宋" w:cs="仿宋"/>
          <w:b w:val="0"/>
          <w:bCs w:val="0"/>
          <w:color w:val="auto"/>
          <w:sz w:val="28"/>
          <w:szCs w:val="28"/>
          <w:highlight w:val="none"/>
          <w:lang w:val="en-US" w:eastAsia="zh-CN"/>
        </w:rPr>
        <w:t>严格遵守学校作息时间（包括节假日），按时开餐，不擅离职守、串岗、脱岗，不得影响学校正常教育教学工作。</w:t>
      </w:r>
    </w:p>
    <w:p w14:paraId="143043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1.5学校不提供住宿 ，员工住宿问题由乙方自行妥善解决。</w:t>
      </w:r>
    </w:p>
    <w:p w14:paraId="329ADDA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食堂员工在校工作期间严格遵守国家法律法规和学校相关规章制度，严禁携带非法物品、危险物品进入校园，禁止在校内从事任何与宗教相关的活动。员工在校工作期间，须严格遵守学校各项规章制度，未经许可不得擅自进入教学区、办公区、学生宿舍等非工作区域。员工应与学校教职工、学生保持适当工作距离，避免不必要的密切往来。</w:t>
      </w:r>
    </w:p>
    <w:p w14:paraId="1862D282">
      <w:pPr>
        <w:pStyle w:val="2"/>
        <w:keepNext w:val="0"/>
        <w:keepLines w:val="0"/>
        <w:pageBreakBefore w:val="0"/>
        <w:kinsoku/>
        <w:wordWrap/>
        <w:overflowPunct/>
        <w:topLinePunct w:val="0"/>
        <w:autoSpaceDE/>
        <w:autoSpaceDN/>
        <w:bidi w:val="0"/>
        <w:adjustRightInd/>
        <w:snapToGrid/>
        <w:spacing w:line="560" w:lineRule="exact"/>
        <w:ind w:left="0" w:leftChars="0" w:firstLine="480" w:firstLineChars="0"/>
        <w:textAlignment w:val="auto"/>
        <w:rPr>
          <w:rFonts w:hint="eastAsia" w:ascii="仿宋" w:hAnsi="仿宋" w:eastAsia="仿宋" w:cs="仿宋"/>
          <w:b w:val="0"/>
          <w:bCs w:val="0"/>
          <w:color w:val="auto"/>
          <w:sz w:val="28"/>
          <w:szCs w:val="28"/>
          <w:highlight w:val="none"/>
          <w:lang w:val="en-US" w:eastAsia="zh-CN" w:bidi="en-US"/>
        </w:rPr>
      </w:pPr>
      <w:r>
        <w:rPr>
          <w:rFonts w:hint="eastAsia" w:ascii="仿宋" w:hAnsi="仿宋" w:eastAsia="仿宋" w:cs="仿宋"/>
          <w:b w:val="0"/>
          <w:bCs w:val="0"/>
          <w:color w:val="auto"/>
          <w:sz w:val="28"/>
          <w:szCs w:val="28"/>
          <w:highlight w:val="none"/>
          <w:lang w:val="en-US" w:eastAsia="zh-CN"/>
        </w:rPr>
        <w:t>1.7</w:t>
      </w:r>
      <w:r>
        <w:rPr>
          <w:rFonts w:hint="eastAsia" w:ascii="仿宋" w:hAnsi="仿宋" w:eastAsia="仿宋" w:cs="仿宋"/>
          <w:b w:val="0"/>
          <w:bCs w:val="0"/>
          <w:color w:val="auto"/>
          <w:sz w:val="28"/>
          <w:szCs w:val="28"/>
          <w:highlight w:val="none"/>
          <w:lang w:val="en-US" w:eastAsia="zh-CN" w:bidi="en-US"/>
        </w:rPr>
        <w:t>食堂员工须自觉爱护学校公共财产，妥善保管食堂设备、工具及物资，不得故意损坏、随意丢弃或私自挪用。日常使用过程中，若发现设备、物资出现损坏、故障等情况，应第一时间上报食堂管理部门，并配合后续维修、更换等处理工作，因个人过失或操作不当造成财产损失的，需按学校相关规定应由乙方承担赔偿责任。</w:t>
      </w:r>
    </w:p>
    <w:p w14:paraId="10F4E9F4">
      <w:pPr>
        <w:pStyle w:val="2"/>
        <w:keepNext w:val="0"/>
        <w:keepLines w:val="0"/>
        <w:pageBreakBefore w:val="0"/>
        <w:kinsoku/>
        <w:wordWrap/>
        <w:overflowPunct/>
        <w:topLinePunct w:val="0"/>
        <w:autoSpaceDE/>
        <w:autoSpaceDN/>
        <w:bidi w:val="0"/>
        <w:adjustRightInd/>
        <w:snapToGrid/>
        <w:spacing w:line="560" w:lineRule="exact"/>
        <w:ind w:left="0" w:leftChars="0" w:firstLine="480" w:firstLineChars="0"/>
        <w:textAlignment w:val="auto"/>
        <w:rPr>
          <w:rFonts w:hint="eastAsia" w:ascii="仿宋" w:hAnsi="仿宋" w:eastAsia="仿宋" w:cs="仿宋"/>
          <w:sz w:val="28"/>
          <w:szCs w:val="28"/>
          <w:lang w:val="en-US" w:eastAsia="zh-CN"/>
        </w:rPr>
      </w:pPr>
      <w:r>
        <w:rPr>
          <w:rFonts w:hint="eastAsia" w:ascii="仿宋" w:hAnsi="仿宋" w:eastAsia="仿宋" w:cs="仿宋"/>
          <w:b w:val="0"/>
          <w:bCs w:val="0"/>
          <w:color w:val="auto"/>
          <w:sz w:val="28"/>
          <w:szCs w:val="28"/>
          <w:highlight w:val="none"/>
          <w:lang w:val="en-US" w:eastAsia="zh-CN" w:bidi="en-US"/>
        </w:rPr>
        <w:t>1.8工作期间，员工必须严格依照食堂设备操作指南开展工作，操作前需确认设备状态正常，操作中严格遵守安全规程与步骤，严禁违规操作或私自拆卸、改装设备。设备使用完毕后，应及时进行清洁、保养，做好设备运行状态记录，确保设备处于良好运行状态，避免因操作不当引发安全事故或设备损坏。各功能区域负责人应自行负责该区域用水用电用气安全。</w:t>
      </w:r>
    </w:p>
    <w:p w14:paraId="7AFBDD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 xml:space="preserve">  </w:t>
      </w:r>
      <w:r>
        <w:rPr>
          <w:rFonts w:hint="eastAsia" w:ascii="仿宋" w:hAnsi="仿宋" w:eastAsia="仿宋" w:cs="仿宋"/>
          <w:b w:val="0"/>
          <w:bCs w:val="0"/>
          <w:color w:val="auto"/>
          <w:sz w:val="28"/>
          <w:szCs w:val="28"/>
          <w:highlight w:val="none"/>
          <w:lang w:val="en-US" w:eastAsia="zh-CN"/>
        </w:rPr>
        <w:t xml:space="preserve">  1.9乙方要与学校共同协商</w:t>
      </w:r>
      <w:r>
        <w:rPr>
          <w:rFonts w:hint="eastAsia" w:ascii="仿宋" w:hAnsi="仿宋" w:eastAsia="仿宋" w:cs="仿宋"/>
          <w:b w:val="0"/>
          <w:bCs w:val="0"/>
          <w:color w:val="auto"/>
          <w:sz w:val="28"/>
          <w:szCs w:val="28"/>
          <w:highlight w:val="none"/>
          <w:lang w:eastAsia="zh-CN"/>
        </w:rPr>
        <w:t>制作和公布当周菜谱，食物品种需营养均衡、多样化搭配，花样翻新，兼顾色、香、味、形俱佳，为让饭菜更贴合当地的口味偏好，可从食材选择、调味配比、烹饪技法等多方面进行优化调整，充分融入当地饮食文化特色，打造出地道可口的佳肴。</w:t>
      </w:r>
    </w:p>
    <w:p w14:paraId="0B82DA5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1.10</w:t>
      </w:r>
      <w:r>
        <w:rPr>
          <w:rFonts w:hint="eastAsia" w:ascii="仿宋" w:hAnsi="仿宋" w:eastAsia="仿宋" w:cs="仿宋"/>
          <w:b w:val="0"/>
          <w:bCs w:val="0"/>
          <w:color w:val="auto"/>
          <w:sz w:val="28"/>
          <w:szCs w:val="28"/>
          <w:highlight w:val="none"/>
          <w:lang w:eastAsia="zh-CN"/>
        </w:rPr>
        <w:t>厨房要保持设备整齐划一，餐具均需遵守一刮二洗三冲四消毒五保洁的制度进行；工作台、餐具、炊具、地面、墙面按时清洁消毒，干净无异物；冰箱保持干净卫生，分档分类存放食物。所有设施设备、餐具都须洗涤之后再经消毒处理。</w:t>
      </w:r>
    </w:p>
    <w:p w14:paraId="259320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1.11食堂各种易损耗类</w:t>
      </w:r>
      <w:r>
        <w:rPr>
          <w:rFonts w:hint="eastAsia" w:ascii="仿宋" w:hAnsi="仿宋" w:eastAsia="仿宋" w:cs="仿宋"/>
          <w:b w:val="0"/>
          <w:bCs w:val="0"/>
          <w:color w:val="auto"/>
          <w:sz w:val="28"/>
          <w:szCs w:val="28"/>
          <w:highlight w:val="none"/>
          <w:lang w:eastAsia="zh-CN"/>
        </w:rPr>
        <w:t>物品年耗损率要控制在2%以内。</w:t>
      </w:r>
    </w:p>
    <w:p w14:paraId="36FCEE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1.12</w:t>
      </w:r>
      <w:r>
        <w:rPr>
          <w:rFonts w:hint="eastAsia" w:ascii="仿宋" w:hAnsi="仿宋" w:eastAsia="仿宋" w:cs="仿宋"/>
          <w:b w:val="0"/>
          <w:bCs w:val="0"/>
          <w:color w:val="auto"/>
          <w:sz w:val="28"/>
          <w:szCs w:val="28"/>
          <w:highlight w:val="none"/>
          <w:lang w:eastAsia="zh-CN"/>
        </w:rPr>
        <w:t>所有服务人员衣帽统一、穿戴整齐，保持整洁，着工作服、工作帽、戴工号牌，每个员工有冬、夏工作服各两套。</w:t>
      </w:r>
      <w:r>
        <w:rPr>
          <w:rFonts w:hint="eastAsia" w:ascii="仿宋" w:hAnsi="仿宋" w:eastAsia="仿宋" w:cs="仿宋"/>
          <w:b w:val="0"/>
          <w:bCs w:val="0"/>
          <w:color w:val="auto"/>
          <w:sz w:val="28"/>
          <w:szCs w:val="28"/>
          <w:highlight w:val="none"/>
          <w:lang w:val="en-US" w:eastAsia="zh-CN"/>
        </w:rPr>
        <w:t>每个功能区域员工服装要颜色区分。</w:t>
      </w:r>
    </w:p>
    <w:p w14:paraId="3670C2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1.13</w:t>
      </w:r>
      <w:r>
        <w:rPr>
          <w:rFonts w:hint="eastAsia" w:ascii="仿宋" w:hAnsi="仿宋" w:eastAsia="仿宋" w:cs="仿宋"/>
          <w:b w:val="0"/>
          <w:bCs w:val="0"/>
          <w:color w:val="auto"/>
          <w:sz w:val="28"/>
          <w:szCs w:val="28"/>
          <w:highlight w:val="none"/>
          <w:lang w:eastAsia="zh-CN"/>
        </w:rPr>
        <w:t>搞好餐厅内外环境卫生，做到熟食、生料加工分开，杜绝生、熟食混放，每餐须对食品留样。制定餐厅卫生管理制度，建立餐厅卫生工作自查记录。餐厅内所有垃圾倒在指定地点，定期对就餐场所、就餐桌椅、板凳进行打扫消毒。</w:t>
      </w:r>
      <w:r>
        <w:rPr>
          <w:rFonts w:hint="eastAsia" w:ascii="仿宋" w:hAnsi="仿宋" w:eastAsia="仿宋" w:cs="仿宋"/>
          <w:b w:val="0"/>
          <w:bCs w:val="0"/>
          <w:color w:val="auto"/>
          <w:sz w:val="28"/>
          <w:szCs w:val="28"/>
          <w:highlight w:val="none"/>
          <w:lang w:val="en-US" w:eastAsia="zh-CN"/>
        </w:rPr>
        <w:t>每周安排至少一次大扫除，无死角进行打扫清洁（包括抽油烟机）。乙方必须要服从学校安排的临时性卫生任务。</w:t>
      </w:r>
    </w:p>
    <w:p w14:paraId="1EFF2F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1.14</w:t>
      </w:r>
      <w:r>
        <w:rPr>
          <w:rFonts w:hint="eastAsia" w:ascii="仿宋" w:hAnsi="仿宋" w:eastAsia="仿宋" w:cs="仿宋"/>
          <w:b w:val="0"/>
          <w:bCs w:val="0"/>
          <w:color w:val="auto"/>
          <w:sz w:val="28"/>
          <w:szCs w:val="28"/>
          <w:highlight w:val="none"/>
          <w:lang w:eastAsia="zh-CN"/>
        </w:rPr>
        <w:t>确保餐厅操作的安全卫生，杜绝各类设施设备的安全卫生事故。全体工作人员都应熟练掌握消防安全常规常识，严格执行消防安全标准，确保不出问题。做到人走灯熄、人走水停、人走燃气关。</w:t>
      </w:r>
    </w:p>
    <w:p w14:paraId="1CC6E1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1.15</w:t>
      </w:r>
      <w:r>
        <w:rPr>
          <w:rFonts w:hint="eastAsia" w:ascii="仿宋" w:hAnsi="仿宋" w:eastAsia="仿宋" w:cs="仿宋"/>
          <w:b w:val="0"/>
          <w:bCs w:val="0"/>
          <w:color w:val="auto"/>
          <w:sz w:val="28"/>
          <w:szCs w:val="28"/>
          <w:highlight w:val="none"/>
          <w:lang w:eastAsia="zh-CN"/>
        </w:rPr>
        <w:t>在餐厅管理中，不使用腐烂变质的主副食品，包括各类辅料，不供应变质饭菜，保证饭菜卫生质量。注意荤素、营养的搭配，花色品种不断翻新，做到饭热、菜香。</w:t>
      </w:r>
    </w:p>
    <w:p w14:paraId="472DBFA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1.16节假日、周末根据学校统一安排来确定休息，如学生补课，食堂要正常供餐。</w:t>
      </w:r>
    </w:p>
    <w:p w14:paraId="2B6731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1.17场所环境</w:t>
      </w:r>
    </w:p>
    <w:p w14:paraId="51FCAC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1.17.1保持场所干净卫生，无积尘、蛛网、无残渣、无污迹、油迹、无积水、不湿滑，无烟头等杂物。</w:t>
      </w:r>
    </w:p>
    <w:p w14:paraId="298AD9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1.17.2 室内外环境要做到清洁，无蚊蝇、老鼠、蟑螂孳生地，落实有效防范措施。日常有灭蝇、灭鼠、灭蟑螂工作记录，纱门、纱窗应随时关闭。</w:t>
      </w:r>
    </w:p>
    <w:p w14:paraId="132D0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1.17.3餐厅内外、餐桌椅无残渣、无污迹、油迹、不湿滑， 泔水、垃圾应盖好存放及时处理。</w:t>
      </w:r>
    </w:p>
    <w:p w14:paraId="45F90A1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1.18人员卫生</w:t>
      </w:r>
    </w:p>
    <w:p w14:paraId="272DC35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1.18.1 食品从业人员应保持个人卫生，做到四勤：勤洗手、勤剪指甲、勤理发洗澡、勤换工作服帽，从事食品加工时，应穿戴清洁的工作衣、帽、口罩。</w:t>
      </w:r>
    </w:p>
    <w:p w14:paraId="3C0411E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1.18.2食品从业人员不得留长指甲、涂指甲油、佩戴首饰 ，要勤洗手消毒、不随地吐痰、不乱扔废弃物。</w:t>
      </w:r>
    </w:p>
    <w:p w14:paraId="09D942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1.18.3 加工食品时不吸烟、不挖鼻孔、不捣耳朵、不对着食品打喷嚏、不得带手机进入后堂，工作期间坚决杜绝玩手机。</w:t>
      </w:r>
    </w:p>
    <w:p w14:paraId="072B1A47">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color w:val="auto"/>
          <w:sz w:val="28"/>
          <w:szCs w:val="28"/>
          <w:highlight w:val="none"/>
          <w:lang w:val="en-US" w:eastAsia="zh-CN"/>
        </w:rPr>
        <w:t xml:space="preserve">    1.19乙方工作人员就餐管理规定。禁止外带餐食，工作人员不得将饭菜带出指定就餐区域；乙方员工须待学生就餐结束后，方可开始用餐；乙方员工须在规定的时间和指定位置就餐，遵守就餐秩序。</w:t>
      </w:r>
    </w:p>
    <w:p w14:paraId="2551EF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1.20建立服务评价退出机制</w:t>
      </w:r>
    </w:p>
    <w:p w14:paraId="1C2A47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服务评价退出工作应当遵循“客观公正、优胜劣汰、动态管理”的原则，设定评价指标体系、对餐饮服务质量等内容，</w:t>
      </w:r>
      <w:bookmarkEnd w:id="45"/>
      <w:bookmarkEnd w:id="46"/>
      <w:r>
        <w:rPr>
          <w:rFonts w:hint="eastAsia" w:ascii="仿宋" w:hAnsi="仿宋" w:eastAsia="仿宋" w:cs="仿宋"/>
          <w:b w:val="0"/>
          <w:bCs w:val="0"/>
          <w:color w:val="auto"/>
          <w:sz w:val="28"/>
          <w:szCs w:val="28"/>
          <w:highlight w:val="none"/>
          <w:lang w:val="en-US" w:eastAsia="zh-CN"/>
        </w:rPr>
        <w:t>考核方式为每月从采购服务经费中扣除5%实行按月动态考核，以教师、学生、家长代表、辖区负责人共同参与评估方式进行，当满意度连续2次低于70%时实行动态退出机制。所投入的资产邀请第三方评估机构做清算。</w:t>
      </w:r>
    </w:p>
    <w:p w14:paraId="62C3F9F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bidi="en-US"/>
        </w:rPr>
      </w:pPr>
      <w:r>
        <w:rPr>
          <w:rFonts w:hint="eastAsia" w:ascii="仿宋" w:hAnsi="仿宋" w:eastAsia="仿宋" w:cs="仿宋"/>
          <w:b w:val="0"/>
          <w:bCs w:val="0"/>
          <w:color w:val="auto"/>
          <w:sz w:val="28"/>
          <w:szCs w:val="28"/>
          <w:highlight w:val="none"/>
          <w:lang w:val="en-US" w:eastAsia="zh-CN" w:bidi="en-US"/>
        </w:rPr>
        <w:t>学校设立专门的食品安全监督小组，负责对食堂食品安全违规行为的检查、认定与处罚执行。监督小组定期或不定期对食堂工作人员操作规范进行检查，对发现的违规行为进行处罚，并及时通知乙方。处罚款项从乙方月动态考核资金中扣除。</w:t>
      </w:r>
    </w:p>
    <w:p w14:paraId="60C8AB22">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bidi="en-US"/>
        </w:rPr>
      </w:pPr>
      <w:r>
        <w:rPr>
          <w:rFonts w:hint="eastAsia" w:ascii="仿宋" w:hAnsi="仿宋" w:eastAsia="仿宋" w:cs="仿宋"/>
          <w:b w:val="0"/>
          <w:bCs w:val="0"/>
          <w:color w:val="auto"/>
          <w:sz w:val="28"/>
          <w:szCs w:val="28"/>
          <w:highlight w:val="none"/>
          <w:lang w:val="en-US" w:eastAsia="zh-CN" w:bidi="en-US"/>
        </w:rPr>
        <w:t xml:space="preserve">经费核算要求  </w:t>
      </w:r>
    </w:p>
    <w:p w14:paraId="337BFF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bidi="en-US"/>
        </w:rPr>
      </w:pPr>
      <w:r>
        <w:rPr>
          <w:rFonts w:hint="eastAsia" w:ascii="仿宋" w:hAnsi="仿宋" w:eastAsia="仿宋" w:cs="仿宋"/>
          <w:b w:val="0"/>
          <w:bCs w:val="0"/>
          <w:color w:val="auto"/>
          <w:sz w:val="28"/>
          <w:szCs w:val="28"/>
          <w:highlight w:val="none"/>
          <w:lang w:val="en-US" w:eastAsia="zh-CN" w:bidi="en-US"/>
        </w:rPr>
        <w:t>2.1  实行专款专户管理机制，以签订合同金额按月结算，次月5日前结算上月费用，乙方需提供含税发票和固定账户。</w:t>
      </w:r>
    </w:p>
    <w:p w14:paraId="260DDD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b w:val="0"/>
          <w:bCs w:val="0"/>
          <w:color w:val="auto"/>
          <w:sz w:val="28"/>
          <w:szCs w:val="28"/>
          <w:highlight w:val="none"/>
          <w:lang w:val="en-US" w:eastAsia="zh-CN" w:bidi="en-US"/>
        </w:rPr>
        <w:t>2.2  寒暑假期人员浮动较大时，按实际就餐人数累加满月核算；期间乙方可调整服务人员数量，但须保证实际就餐需求和菜品质量。（注：1700人就餐为满月）</w:t>
      </w:r>
    </w:p>
    <w:p w14:paraId="1F4FC8B3">
      <w:pPr>
        <w:spacing w:line="480" w:lineRule="exact"/>
        <w:jc w:val="center"/>
        <w:outlineLvl w:val="1"/>
        <w:rPr>
          <w:rFonts w:hint="eastAsia" w:ascii="仿宋" w:hAnsi="仿宋" w:eastAsia="仿宋" w:cs="仿宋"/>
          <w:b/>
          <w:color w:val="auto"/>
          <w:sz w:val="24"/>
          <w:szCs w:val="24"/>
          <w:highlight w:val="none"/>
          <w:lang w:eastAsia="zh-CN"/>
        </w:rPr>
      </w:pPr>
    </w:p>
    <w:p w14:paraId="6C9E4689">
      <w:pPr>
        <w:spacing w:line="480" w:lineRule="exact"/>
        <w:jc w:val="both"/>
        <w:outlineLvl w:val="1"/>
        <w:rPr>
          <w:rFonts w:hint="eastAsia" w:ascii="仿宋" w:hAnsi="仿宋" w:eastAsia="仿宋" w:cs="仿宋"/>
          <w:b/>
          <w:color w:val="auto"/>
          <w:sz w:val="30"/>
          <w:szCs w:val="30"/>
          <w:highlight w:val="none"/>
          <w:lang w:eastAsia="zh-CN"/>
        </w:rPr>
      </w:pPr>
    </w:p>
    <w:p w14:paraId="29BFFBBD">
      <w:pPr>
        <w:spacing w:line="480" w:lineRule="exact"/>
        <w:jc w:val="both"/>
        <w:outlineLvl w:val="1"/>
        <w:rPr>
          <w:rFonts w:hint="eastAsia" w:ascii="仿宋" w:hAnsi="仿宋" w:eastAsia="仿宋" w:cs="仿宋"/>
          <w:b/>
          <w:color w:val="auto"/>
          <w:sz w:val="30"/>
          <w:szCs w:val="30"/>
          <w:highlight w:val="none"/>
          <w:lang w:eastAsia="zh-CN"/>
        </w:rPr>
      </w:pPr>
    </w:p>
    <w:p w14:paraId="1DFD4C0F">
      <w:pPr>
        <w:spacing w:line="480" w:lineRule="exact"/>
        <w:jc w:val="both"/>
        <w:outlineLvl w:val="1"/>
        <w:rPr>
          <w:rFonts w:hint="eastAsia" w:ascii="仿宋" w:hAnsi="仿宋" w:eastAsia="仿宋" w:cs="仿宋"/>
          <w:b/>
          <w:color w:val="auto"/>
          <w:sz w:val="30"/>
          <w:szCs w:val="30"/>
          <w:highlight w:val="none"/>
          <w:lang w:eastAsia="zh-CN"/>
        </w:rPr>
      </w:pPr>
    </w:p>
    <w:p w14:paraId="22DD88AD">
      <w:pPr>
        <w:spacing w:line="480" w:lineRule="exact"/>
        <w:jc w:val="center"/>
        <w:outlineLvl w:val="1"/>
        <w:rPr>
          <w:rFonts w:hint="eastAsia" w:ascii="仿宋" w:hAnsi="仿宋" w:eastAsia="仿宋" w:cs="仿宋"/>
          <w:b/>
          <w:color w:val="auto"/>
          <w:sz w:val="32"/>
          <w:szCs w:val="32"/>
          <w:highlight w:val="none"/>
          <w:lang w:eastAsia="zh-CN"/>
        </w:rPr>
      </w:pPr>
    </w:p>
    <w:p w14:paraId="6D3517AC">
      <w:pPr>
        <w:spacing w:line="480" w:lineRule="exact"/>
        <w:jc w:val="center"/>
        <w:outlineLvl w:val="1"/>
        <w:rPr>
          <w:rFonts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第五章 合同条款及格式</w:t>
      </w:r>
      <w:bookmarkStart w:id="47" w:name="_Toc20669"/>
    </w:p>
    <w:bookmarkEnd w:id="47"/>
    <w:p w14:paraId="38AB5E2D">
      <w:pPr>
        <w:pStyle w:val="12"/>
        <w:adjustRightInd w:val="0"/>
        <w:snapToGrid w:val="0"/>
        <w:spacing w:line="682" w:lineRule="exact"/>
        <w:jc w:val="center"/>
        <w:rPr>
          <w:rFonts w:hint="eastAsia" w:ascii="方正小标宋简体" w:hAnsi="宋体" w:eastAsia="方正小标宋简体" w:cs="宋体"/>
          <w:color w:val="000000"/>
          <w:sz w:val="48"/>
          <w:szCs w:val="48"/>
          <w:lang w:eastAsia="zh-CN"/>
        </w:rPr>
      </w:pPr>
    </w:p>
    <w:p w14:paraId="17B2F2B5">
      <w:pPr>
        <w:pStyle w:val="12"/>
        <w:adjustRightInd w:val="0"/>
        <w:snapToGrid w:val="0"/>
        <w:spacing w:line="682" w:lineRule="exact"/>
        <w:jc w:val="center"/>
        <w:rPr>
          <w:rFonts w:hint="eastAsia" w:ascii="仿宋" w:hAnsi="仿宋" w:eastAsia="仿宋" w:cs="仿宋"/>
          <w:b/>
          <w:bCs/>
          <w:color w:val="000000"/>
          <w:sz w:val="48"/>
          <w:szCs w:val="48"/>
          <w:lang w:eastAsia="zh-CN"/>
        </w:rPr>
      </w:pPr>
      <w:r>
        <w:rPr>
          <w:rFonts w:hint="eastAsia" w:ascii="仿宋" w:hAnsi="仿宋" w:eastAsia="仿宋" w:cs="仿宋"/>
          <w:b/>
          <w:bCs/>
          <w:color w:val="000000"/>
          <w:sz w:val="48"/>
          <w:szCs w:val="48"/>
          <w:lang w:eastAsia="zh-CN"/>
        </w:rPr>
        <w:t>阿图什市第一中学2025年学生食堂后厨工作人员服务采购项目合同</w:t>
      </w:r>
    </w:p>
    <w:p w14:paraId="76ED235E">
      <w:pPr>
        <w:pStyle w:val="12"/>
        <w:adjustRightInd w:val="0"/>
        <w:snapToGrid w:val="0"/>
        <w:spacing w:line="682" w:lineRule="exact"/>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（示范文本）</w:t>
      </w:r>
    </w:p>
    <w:p w14:paraId="26D7F378">
      <w:pPr>
        <w:pStyle w:val="12"/>
        <w:adjustRightInd w:val="0"/>
        <w:snapToGrid w:val="0"/>
        <w:spacing w:line="482" w:lineRule="exact"/>
        <w:jc w:val="center"/>
        <w:rPr>
          <w:rFonts w:hint="eastAsia" w:ascii="楷体_GB2312" w:hAnsi="宋体" w:eastAsia="楷体_GB2312" w:cs="宋体"/>
          <w:color w:val="000000"/>
          <w:sz w:val="32"/>
          <w:szCs w:val="32"/>
        </w:rPr>
      </w:pPr>
    </w:p>
    <w:p w14:paraId="5023DB0A">
      <w:pPr>
        <w:pStyle w:val="12"/>
        <w:adjustRightInd w:val="0"/>
        <w:snapToGrid w:val="0"/>
        <w:spacing w:line="482" w:lineRule="exact"/>
        <w:jc w:val="center"/>
        <w:rPr>
          <w:rFonts w:hint="eastAsia" w:ascii="楷体_GB2312" w:hAnsi="宋体" w:eastAsia="楷体_GB2312" w:cs="宋体"/>
          <w:color w:val="000000"/>
          <w:sz w:val="32"/>
          <w:szCs w:val="32"/>
        </w:rPr>
      </w:pPr>
    </w:p>
    <w:p w14:paraId="208B32F1">
      <w:pPr>
        <w:pStyle w:val="12"/>
        <w:adjustRightInd w:val="0"/>
        <w:snapToGrid w:val="0"/>
        <w:spacing w:line="482" w:lineRule="exact"/>
        <w:jc w:val="center"/>
        <w:rPr>
          <w:rFonts w:hint="eastAsia" w:ascii="楷体_GB2312" w:hAnsi="宋体" w:eastAsia="楷体_GB2312" w:cs="宋体"/>
          <w:color w:val="000000"/>
          <w:sz w:val="32"/>
          <w:szCs w:val="32"/>
        </w:rPr>
      </w:pPr>
    </w:p>
    <w:p w14:paraId="1EE43121">
      <w:pPr>
        <w:pStyle w:val="12"/>
        <w:adjustRightInd w:val="0"/>
        <w:snapToGrid w:val="0"/>
        <w:spacing w:line="482" w:lineRule="exact"/>
        <w:jc w:val="center"/>
        <w:rPr>
          <w:rFonts w:hint="eastAsia" w:ascii="楷体_GB2312" w:hAnsi="宋体" w:eastAsia="楷体_GB2312" w:cs="宋体"/>
          <w:color w:val="000000"/>
          <w:sz w:val="32"/>
          <w:szCs w:val="32"/>
        </w:rPr>
      </w:pPr>
    </w:p>
    <w:p w14:paraId="46E375B2">
      <w:pPr>
        <w:pStyle w:val="12"/>
        <w:adjustRightInd w:val="0"/>
        <w:snapToGrid w:val="0"/>
        <w:spacing w:line="482" w:lineRule="exact"/>
        <w:jc w:val="center"/>
        <w:rPr>
          <w:rFonts w:hint="eastAsia" w:ascii="楷体_GB2312" w:hAnsi="宋体" w:eastAsia="楷体_GB2312" w:cs="宋体"/>
          <w:color w:val="000000"/>
          <w:sz w:val="32"/>
          <w:szCs w:val="32"/>
        </w:rPr>
      </w:pPr>
    </w:p>
    <w:p w14:paraId="76BAAA0F">
      <w:pPr>
        <w:pStyle w:val="12"/>
        <w:adjustRightInd w:val="0"/>
        <w:snapToGrid w:val="0"/>
        <w:spacing w:line="482" w:lineRule="exact"/>
        <w:jc w:val="center"/>
        <w:rPr>
          <w:rFonts w:hint="eastAsia" w:ascii="楷体_GB2312" w:hAnsi="宋体" w:eastAsia="楷体_GB2312" w:cs="宋体"/>
          <w:color w:val="000000"/>
          <w:sz w:val="32"/>
          <w:szCs w:val="32"/>
        </w:rPr>
      </w:pPr>
    </w:p>
    <w:p w14:paraId="62061597">
      <w:pPr>
        <w:pStyle w:val="12"/>
        <w:adjustRightInd w:val="0"/>
        <w:snapToGrid w:val="0"/>
        <w:spacing w:line="482" w:lineRule="exact"/>
        <w:jc w:val="center"/>
        <w:rPr>
          <w:rFonts w:hint="eastAsia" w:ascii="楷体_GB2312" w:hAnsi="宋体" w:eastAsia="楷体_GB2312" w:cs="宋体"/>
          <w:color w:val="000000"/>
          <w:sz w:val="32"/>
          <w:szCs w:val="32"/>
        </w:rPr>
      </w:pPr>
    </w:p>
    <w:p w14:paraId="18E2949E">
      <w:pPr>
        <w:pStyle w:val="12"/>
        <w:adjustRightInd w:val="0"/>
        <w:snapToGrid w:val="0"/>
        <w:spacing w:line="482" w:lineRule="exact"/>
        <w:jc w:val="center"/>
        <w:rPr>
          <w:rFonts w:hint="eastAsia" w:ascii="楷体_GB2312" w:hAnsi="宋体" w:eastAsia="楷体_GB2312" w:cs="宋体"/>
          <w:color w:val="000000"/>
          <w:sz w:val="32"/>
          <w:szCs w:val="32"/>
        </w:rPr>
      </w:pPr>
    </w:p>
    <w:p w14:paraId="3E338DCC">
      <w:pPr>
        <w:pStyle w:val="12"/>
        <w:adjustRightInd w:val="0"/>
        <w:snapToGrid w:val="0"/>
        <w:spacing w:line="482" w:lineRule="exact"/>
        <w:jc w:val="both"/>
        <w:rPr>
          <w:rFonts w:hint="eastAsia" w:ascii="楷体_GB2312" w:hAnsi="宋体" w:eastAsia="楷体_GB2312" w:cs="宋体"/>
          <w:color w:val="000000"/>
          <w:sz w:val="32"/>
          <w:szCs w:val="32"/>
        </w:rPr>
      </w:pPr>
    </w:p>
    <w:p w14:paraId="05DF15E6">
      <w:pPr>
        <w:pStyle w:val="12"/>
        <w:adjustRightInd w:val="0"/>
        <w:snapToGrid w:val="0"/>
        <w:spacing w:line="482" w:lineRule="exact"/>
        <w:jc w:val="both"/>
        <w:rPr>
          <w:rFonts w:hint="eastAsia" w:ascii="楷体_GB2312" w:hAnsi="宋体" w:eastAsia="楷体_GB2312" w:cs="宋体"/>
          <w:color w:val="000000"/>
          <w:sz w:val="32"/>
          <w:szCs w:val="32"/>
        </w:rPr>
      </w:pPr>
    </w:p>
    <w:p w14:paraId="5CD65CF4">
      <w:pPr>
        <w:pStyle w:val="12"/>
        <w:adjustRightInd w:val="0"/>
        <w:snapToGrid w:val="0"/>
        <w:spacing w:line="482" w:lineRule="exact"/>
        <w:jc w:val="both"/>
        <w:rPr>
          <w:rFonts w:hint="eastAsia" w:ascii="楷体_GB2312" w:hAnsi="宋体" w:eastAsia="楷体_GB2312" w:cs="宋体"/>
          <w:color w:val="000000"/>
          <w:sz w:val="32"/>
          <w:szCs w:val="32"/>
        </w:rPr>
      </w:pPr>
    </w:p>
    <w:p w14:paraId="76DADF34">
      <w:pPr>
        <w:pStyle w:val="12"/>
        <w:adjustRightInd w:val="0"/>
        <w:snapToGrid w:val="0"/>
        <w:spacing w:line="482" w:lineRule="exact"/>
        <w:jc w:val="center"/>
        <w:rPr>
          <w:rFonts w:hint="eastAsia" w:ascii="楷体_GB2312" w:hAnsi="宋体" w:eastAsia="楷体_GB2312" w:cs="宋体"/>
          <w:color w:val="000000"/>
          <w:sz w:val="32"/>
          <w:szCs w:val="32"/>
        </w:rPr>
      </w:pPr>
    </w:p>
    <w:p w14:paraId="2121875D">
      <w:pPr>
        <w:pStyle w:val="12"/>
        <w:adjustRightInd w:val="0"/>
        <w:snapToGrid w:val="0"/>
        <w:spacing w:line="482" w:lineRule="exact"/>
        <w:jc w:val="center"/>
        <w:rPr>
          <w:rFonts w:hint="eastAsia" w:ascii="楷体_GB2312" w:hAnsi="宋体" w:eastAsia="楷体_GB2312" w:cs="宋体"/>
          <w:color w:val="auto"/>
          <w:sz w:val="32"/>
          <w:szCs w:val="32"/>
          <w:highlight w:val="none"/>
        </w:rPr>
      </w:pPr>
    </w:p>
    <w:p w14:paraId="350C1DC8">
      <w:pPr>
        <w:pStyle w:val="12"/>
        <w:adjustRightInd w:val="0"/>
        <w:snapToGrid w:val="0"/>
        <w:spacing w:line="482" w:lineRule="exact"/>
        <w:jc w:val="center"/>
        <w:rPr>
          <w:rFonts w:hint="eastAsia" w:ascii="楷体_GB2312" w:hAnsi="宋体" w:eastAsia="楷体_GB2312" w:cs="宋体"/>
          <w:color w:val="auto"/>
          <w:spacing w:val="18"/>
          <w:sz w:val="32"/>
          <w:szCs w:val="32"/>
          <w:highlight w:val="none"/>
          <w:lang w:eastAsia="zh-CN"/>
        </w:rPr>
      </w:pPr>
      <w:r>
        <w:rPr>
          <w:color w:val="auto"/>
          <w:sz w:val="32"/>
          <w:highlight w:val="none"/>
        </w:rPr>
        <mc:AlternateContent>
          <mc:Choice Requires="wps">
            <w:drawing>
              <wp:anchor distT="0" distB="0" distL="114300" distR="114300" simplePos="0" relativeHeight="251668480" behindDoc="0" locked="0" layoutInCell="1" allowOverlap="1">
                <wp:simplePos x="0" y="0"/>
                <wp:positionH relativeFrom="column">
                  <wp:posOffset>4558665</wp:posOffset>
                </wp:positionH>
                <wp:positionV relativeFrom="paragraph">
                  <wp:posOffset>201930</wp:posOffset>
                </wp:positionV>
                <wp:extent cx="638175" cy="390525"/>
                <wp:effectExtent l="7620" t="7620" r="20955" b="20955"/>
                <wp:wrapNone/>
                <wp:docPr id="1" name="文本框 10"/>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57B67AB0">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vert="horz" wrap="square" anchor="t" anchorCtr="0" upright="1"/>
                    </wps:wsp>
                  </a:graphicData>
                </a:graphic>
              </wp:anchor>
            </w:drawing>
          </mc:Choice>
          <mc:Fallback>
            <w:pict>
              <v:shape id="文本框 10" o:spid="_x0000_s1026" o:spt="202" type="#_x0000_t202" style="position:absolute;left:0pt;margin-left:358.95pt;margin-top:15.9pt;height:30.75pt;width:50.25pt;z-index:251668480;mso-width-relative:page;mso-height-relative:page;" fillcolor="#FFFFFF" filled="t" stroked="t" coordsize="21600,21600" o:gfxdata="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clquXaAAAACQEAAA8AAAAAAAAAAQAgAAAAIgAAAGRycy9kb3ducmV2LnhtbFBLAQIUABQAAAAI&#10;AIdO4kBq1csDXQIAAPEEAAAOAAAAAAAAAAEAIAAAACkBAABkcnMvZTJvRG9jLnhtbFBLBQYAAAAA&#10;BgAGAFkBAAD4BQAAAAA=&#10;">
                <v:fill type="gradient" on="t" color2="#FFFFFF" angle="90" focus="100%" focussize="0,0">
                  <o:fill type="gradientUnscaled" v:ext="backwardCompatible"/>
                </v:fill>
                <v:stroke weight="1.25pt" color="#FFFFFF" joinstyle="miter"/>
                <v:imagedata o:title=""/>
                <o:lock v:ext="edit" aspectratio="f"/>
                <v:textbox>
                  <w:txbxContent>
                    <w:p w14:paraId="57B67AB0">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r>
        <w:rPr>
          <w:rFonts w:hint="eastAsia" w:ascii="楷体_GB2312" w:hAnsi="宋体" w:eastAsia="楷体_GB2312" w:cs="宋体"/>
          <w:color w:val="auto"/>
          <w:spacing w:val="18"/>
          <w:sz w:val="32"/>
          <w:szCs w:val="32"/>
          <w:highlight w:val="none"/>
          <w:lang w:eastAsia="zh-CN"/>
        </w:rPr>
        <w:t>新疆维吾尔自治区市场监督管理局</w:t>
      </w:r>
    </w:p>
    <w:p w14:paraId="1C82BCC0">
      <w:pPr>
        <w:pStyle w:val="12"/>
        <w:adjustRightInd w:val="0"/>
        <w:snapToGrid w:val="0"/>
        <w:spacing w:line="482" w:lineRule="exact"/>
        <w:ind w:right="105"/>
        <w:jc w:val="center"/>
        <w:rPr>
          <w:rFonts w:hint="eastAsia" w:ascii="楷体_GB2312" w:hAnsi="宋体" w:eastAsia="楷体_GB2312" w:cs="宋体"/>
          <w:color w:val="auto"/>
          <w:sz w:val="32"/>
          <w:szCs w:val="32"/>
          <w:highlight w:val="none"/>
          <w:lang w:eastAsia="zh-CN"/>
        </w:rPr>
      </w:pPr>
      <w:r>
        <w:rPr>
          <w:rFonts w:hint="eastAsia" w:ascii="楷体_GB2312" w:hAnsi="宋体" w:eastAsia="楷体_GB2312" w:cs="宋体"/>
          <w:color w:val="auto"/>
          <w:sz w:val="32"/>
          <w:szCs w:val="32"/>
          <w:highlight w:val="none"/>
          <w:lang w:eastAsia="zh-CN"/>
        </w:rPr>
        <w:t>新疆维吾尔自治区教育厅</w:t>
      </w:r>
    </w:p>
    <w:p w14:paraId="0937DF22">
      <w:pPr>
        <w:spacing w:line="205" w:lineRule="auto"/>
        <w:rPr>
          <w:rFonts w:ascii="微软雅黑" w:hAnsi="微软雅黑" w:eastAsia="微软雅黑" w:cs="微软雅黑"/>
          <w:color w:val="000000"/>
          <w:sz w:val="31"/>
          <w:szCs w:val="31"/>
          <w:highlight w:val="yellow"/>
        </w:rPr>
        <w:sectPr>
          <w:footerReference r:id="rId6" w:type="default"/>
          <w:pgSz w:w="11906" w:h="16839"/>
          <w:pgMar w:top="2098" w:right="1474" w:bottom="1984" w:left="1587" w:header="0" w:footer="1531" w:gutter="0"/>
          <w:pgNumType w:fmt="decimal" w:start="1"/>
          <w:cols w:space="720" w:num="1"/>
          <w:rtlGutter w:val="0"/>
          <w:docGrid w:linePitch="0" w:charSpace="0"/>
        </w:sectPr>
      </w:pPr>
    </w:p>
    <w:p w14:paraId="4C52BC16">
      <w:pPr>
        <w:pStyle w:val="4"/>
        <w:spacing w:before="0" w:beforeAutospacing="0" w:after="0" w:afterAutospacing="0" w:line="360" w:lineRule="auto"/>
        <w:ind w:left="0" w:leftChars="0" w:firstLine="0" w:firstLineChars="0"/>
        <w:jc w:val="center"/>
        <w:rPr>
          <w:rFonts w:hint="eastAsia" w:ascii="仿宋" w:hAnsi="仿宋" w:eastAsia="仿宋" w:cs="仿宋"/>
          <w:color w:val="000000"/>
        </w:rPr>
      </w:pPr>
      <w:r>
        <w:rPr>
          <w:rFonts w:hint="eastAsia" w:ascii="仿宋" w:hAnsi="仿宋" w:eastAsia="仿宋" w:cs="仿宋"/>
          <w:color w:val="000000"/>
        </w:rPr>
        <w:t>使用说明</w:t>
      </w:r>
    </w:p>
    <w:p w14:paraId="0B4A1BAA">
      <w:pPr>
        <w:widowControl w:val="0"/>
        <w:spacing w:line="278" w:lineRule="auto"/>
        <w:jc w:val="both"/>
        <w:rPr>
          <w:rFonts w:hint="eastAsia" w:ascii="仿宋" w:hAnsi="仿宋" w:eastAsia="仿宋" w:cs="仿宋"/>
          <w:color w:val="000000"/>
          <w:kern w:val="2"/>
          <w:sz w:val="21"/>
          <w:szCs w:val="24"/>
          <w:lang w:val="en-US" w:eastAsia="zh-CN" w:bidi="ar-SA"/>
        </w:rPr>
      </w:pPr>
    </w:p>
    <w:p w14:paraId="7720D4DE">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仿宋" w:hAnsi="仿宋" w:eastAsia="仿宋" w:cs="仿宋"/>
          <w:snapToGrid/>
          <w:color w:val="000000"/>
          <w:kern w:val="2"/>
          <w:sz w:val="22"/>
          <w:szCs w:val="22"/>
          <w:lang w:val="en-US" w:eastAsia="zh-CN"/>
        </w:rPr>
      </w:pPr>
      <w:r>
        <w:rPr>
          <w:rFonts w:hint="eastAsia" w:ascii="仿宋" w:hAnsi="仿宋" w:eastAsia="仿宋" w:cs="仿宋"/>
          <w:snapToGrid/>
          <w:color w:val="000000"/>
          <w:kern w:val="2"/>
          <w:sz w:val="22"/>
          <w:szCs w:val="22"/>
          <w:lang w:val="en-US" w:eastAsia="zh-CN"/>
        </w:rPr>
        <w:t>一、为规范学校与企业的权利义务，维护双方合法权益 ， 确保学校食堂的安全和质量，根据《中华人民共和国民法典》《中华人民共和国食品安全法》《学校食品安全与营养健康管理规定》《企业落实食品安全主体责任监督管理规定》《GB31654—2021食品安全国家标准餐饮服务通用卫生规范》《餐饮服务食品安全操作规范》及相关法律法规、规章制度要求，制定本《合同示范文本》。</w:t>
      </w:r>
    </w:p>
    <w:p w14:paraId="56C7A623">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仿宋" w:hAnsi="仿宋" w:eastAsia="仿宋" w:cs="仿宋"/>
          <w:snapToGrid/>
          <w:color w:val="000000"/>
          <w:kern w:val="2"/>
          <w:sz w:val="22"/>
          <w:szCs w:val="22"/>
          <w:lang w:val="en-US" w:eastAsia="zh-CN"/>
        </w:rPr>
      </w:pPr>
      <w:r>
        <w:rPr>
          <w:rFonts w:hint="eastAsia" w:ascii="仿宋" w:hAnsi="仿宋" w:eastAsia="仿宋" w:cs="仿宋"/>
          <w:snapToGrid/>
          <w:color w:val="000000"/>
          <w:kern w:val="2"/>
          <w:sz w:val="22"/>
          <w:szCs w:val="22"/>
          <w:lang w:val="en-US" w:eastAsia="zh-CN"/>
        </w:rPr>
        <w:t>二、本《合同示范文本》供新疆维吾尔自治区行政区域内的学校（委托方）与企业（受托方）之间签订食堂委托管理服务合同时参照使用。</w:t>
      </w:r>
    </w:p>
    <w:p w14:paraId="35FA26B4">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仿宋" w:hAnsi="仿宋" w:eastAsia="仿宋" w:cs="仿宋"/>
          <w:snapToGrid/>
          <w:color w:val="000000"/>
          <w:kern w:val="2"/>
          <w:sz w:val="22"/>
          <w:szCs w:val="22"/>
          <w:lang w:val="en-US" w:eastAsia="zh-CN"/>
        </w:rPr>
      </w:pPr>
      <w:r>
        <w:rPr>
          <w:rFonts w:hint="eastAsia" w:ascii="仿宋" w:hAnsi="仿宋" w:eastAsia="仿宋" w:cs="仿宋"/>
          <w:snapToGrid/>
          <w:color w:val="000000"/>
          <w:kern w:val="2"/>
          <w:sz w:val="22"/>
          <w:szCs w:val="22"/>
          <w:lang w:val="en-US" w:eastAsia="zh-CN"/>
        </w:rPr>
        <w:t>三、本《合同示范文本》由自治区市场监管局和自治区教育厅共同制定发布并负责解释。</w:t>
      </w:r>
    </w:p>
    <w:p w14:paraId="6B877BA9">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仿宋" w:hAnsi="仿宋" w:eastAsia="仿宋" w:cs="仿宋"/>
          <w:snapToGrid/>
          <w:color w:val="000000"/>
          <w:kern w:val="2"/>
          <w:sz w:val="22"/>
          <w:szCs w:val="22"/>
          <w:lang w:val="en-US" w:eastAsia="zh-CN"/>
        </w:rPr>
      </w:pPr>
      <w:r>
        <w:rPr>
          <w:rFonts w:hint="eastAsia" w:ascii="仿宋" w:hAnsi="仿宋" w:eastAsia="仿宋" w:cs="仿宋"/>
          <w:snapToGrid/>
          <w:color w:val="000000"/>
          <w:kern w:val="2"/>
          <w:sz w:val="22"/>
          <w:szCs w:val="22"/>
          <w:lang w:val="en-US" w:eastAsia="zh-CN"/>
        </w:rPr>
        <w:t>四、 当事人参照本《合同示范文本》订立合同的 ， 应充分理解合同中条款的内容 ，并自行承担合同订立履行所发生的法律后果。当事人对合同条款理解发生争议时 ，应按照有关法律法规规定对条款进行解释。</w:t>
      </w:r>
    </w:p>
    <w:p w14:paraId="39C08F08">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仿宋" w:hAnsi="仿宋" w:eastAsia="仿宋" w:cs="仿宋"/>
          <w:snapToGrid/>
          <w:color w:val="000000"/>
          <w:kern w:val="2"/>
          <w:sz w:val="22"/>
          <w:szCs w:val="22"/>
          <w:lang w:val="en-US" w:eastAsia="zh-CN"/>
        </w:rPr>
      </w:pPr>
      <w:r>
        <w:rPr>
          <w:rFonts w:hint="eastAsia" w:ascii="仿宋" w:hAnsi="仿宋" w:eastAsia="仿宋" w:cs="仿宋"/>
          <w:snapToGrid/>
          <w:color w:val="000000"/>
          <w:kern w:val="2"/>
          <w:sz w:val="22"/>
          <w:szCs w:val="22"/>
          <w:lang w:val="en-US" w:eastAsia="zh-CN"/>
        </w:rPr>
        <w:t>五、合同当事人参照本《合同示范文本》订立合同时，可以根据实际情况修改、增补合同内容。但是对文本中的格式条款如果进行了修改、增补的 ，不得以“合同示范文本 ”名义使用。</w:t>
      </w:r>
    </w:p>
    <w:p w14:paraId="2BDD5B5E">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仿宋" w:hAnsi="仿宋" w:eastAsia="仿宋" w:cs="仿宋"/>
          <w:snapToGrid/>
          <w:color w:val="000000"/>
          <w:kern w:val="2"/>
          <w:sz w:val="22"/>
          <w:szCs w:val="22"/>
          <w:lang w:val="en-US" w:eastAsia="zh-CN"/>
        </w:rPr>
      </w:pPr>
      <w:r>
        <w:rPr>
          <w:rFonts w:hint="eastAsia" w:ascii="仿宋" w:hAnsi="仿宋" w:eastAsia="仿宋" w:cs="仿宋"/>
          <w:snapToGrid/>
          <w:color w:val="000000"/>
          <w:kern w:val="2"/>
          <w:sz w:val="22"/>
          <w:szCs w:val="22"/>
          <w:lang w:val="en-US" w:eastAsia="zh-CN"/>
        </w:rPr>
        <w:t>六、本《合同示范文本》所称的委托管理服务是指：根据学校（委托方）和企业（管理服务方） 的约定 ， 企业组建服务团队 ，并将聘用的员工派遣到学校食堂 ，由学校监督服务团队做好食堂的采购 、验收 、贮存、加工、供餐、陪餐、留样、 洗消等日常管理 ，财务核算由学校自行负责。服务团队员工用工合同由企业签订。</w:t>
      </w:r>
    </w:p>
    <w:p w14:paraId="6749FDDD">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仿宋" w:hAnsi="仿宋" w:eastAsia="仿宋" w:cs="仿宋"/>
          <w:snapToGrid/>
          <w:color w:val="000000"/>
          <w:kern w:val="2"/>
          <w:sz w:val="22"/>
          <w:szCs w:val="22"/>
          <w:lang w:val="en-US" w:eastAsia="zh-CN"/>
        </w:rPr>
      </w:pPr>
      <w:r>
        <w:rPr>
          <w:rFonts w:hint="eastAsia" w:ascii="仿宋" w:hAnsi="仿宋" w:eastAsia="仿宋" w:cs="仿宋"/>
          <w:snapToGrid/>
          <w:color w:val="000000"/>
          <w:kern w:val="2"/>
          <w:sz w:val="22"/>
          <w:szCs w:val="22"/>
          <w:lang w:val="en-US" w:eastAsia="zh-CN"/>
        </w:rPr>
        <w:t>七、本《合同示范文本》中所称的学校是指： 普通中小学校 、中等职业学校、高等教育学校、特殊教育学校、专门学校等 ，包括幼儿园、小学、初中、高中和大学。</w:t>
      </w:r>
    </w:p>
    <w:p w14:paraId="36F8770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仿宋" w:hAnsi="仿宋" w:eastAsia="仿宋" w:cs="仿宋"/>
          <w:color w:val="000000"/>
          <w:spacing w:val="0"/>
          <w:w w:val="100"/>
          <w:sz w:val="22"/>
          <w:szCs w:val="22"/>
          <w:lang w:val="en-US" w:eastAsia="zh-CN"/>
        </w:rPr>
      </w:pPr>
      <w:r>
        <w:rPr>
          <w:rFonts w:hint="eastAsia" w:ascii="仿宋" w:hAnsi="仿宋" w:eastAsia="仿宋" w:cs="仿宋"/>
          <w:snapToGrid/>
          <w:color w:val="000000"/>
          <w:kern w:val="2"/>
          <w:sz w:val="22"/>
          <w:szCs w:val="22"/>
          <w:lang w:val="en-US" w:eastAsia="zh-CN"/>
        </w:rPr>
        <w:t>八、</w:t>
      </w:r>
      <w:r>
        <w:rPr>
          <w:rFonts w:hint="eastAsia" w:ascii="仿宋" w:hAnsi="仿宋" w:eastAsia="仿宋" w:cs="仿宋"/>
          <w:color w:val="000000"/>
          <w:spacing w:val="0"/>
          <w:w w:val="100"/>
          <w:sz w:val="22"/>
          <w:szCs w:val="22"/>
          <w:lang w:val="en-US" w:eastAsia="zh-CN"/>
        </w:rPr>
        <w:t>为保证合同条款的全面、准确，请在“新疆维吾尔自治区市场监督管理局”门户网站（www</w:t>
      </w:r>
      <w:r>
        <w:rPr>
          <w:rFonts w:hint="eastAsia" w:ascii="仿宋" w:hAnsi="仿宋" w:eastAsia="仿宋" w:cs="仿宋"/>
          <w:color w:val="000000"/>
          <w:spacing w:val="0"/>
          <w:w w:val="100"/>
          <w:sz w:val="22"/>
          <w:szCs w:val="22"/>
          <w:lang w:val="en" w:eastAsia="zh-CN"/>
        </w:rPr>
        <w:t>.xjaic.gov.cn</w:t>
      </w:r>
      <w:r>
        <w:rPr>
          <w:rFonts w:hint="eastAsia" w:ascii="仿宋" w:hAnsi="仿宋" w:eastAsia="仿宋" w:cs="仿宋"/>
          <w:color w:val="000000"/>
          <w:spacing w:val="0"/>
          <w:w w:val="100"/>
          <w:sz w:val="22"/>
          <w:szCs w:val="22"/>
          <w:lang w:val="en-US" w:eastAsia="zh-CN"/>
        </w:rPr>
        <w:t>）“合同示范文本”模块、“新疆维吾尔自治区教育厅”门户网站（</w:t>
      </w:r>
      <w:r>
        <w:rPr>
          <w:rFonts w:hint="eastAsia" w:ascii="仿宋" w:hAnsi="仿宋" w:eastAsia="仿宋" w:cs="仿宋"/>
          <w:color w:val="000000"/>
          <w:spacing w:val="0"/>
          <w:w w:val="100"/>
          <w:sz w:val="22"/>
          <w:szCs w:val="22"/>
          <w:lang w:val="en" w:eastAsia="zh-CN"/>
        </w:rPr>
        <w:t>jyt.xinjiang.gov.cn</w:t>
      </w:r>
      <w:r>
        <w:rPr>
          <w:rFonts w:hint="eastAsia" w:ascii="仿宋" w:hAnsi="仿宋" w:eastAsia="仿宋" w:cs="仿宋"/>
          <w:color w:val="000000"/>
          <w:spacing w:val="0"/>
          <w:w w:val="100"/>
          <w:sz w:val="22"/>
          <w:szCs w:val="22"/>
          <w:lang w:val="en-US" w:eastAsia="zh-CN"/>
        </w:rPr>
        <w:t>）相关栏目等渠道下载本《合同示范文本》，任何单位和个人不得出于商业目的擅自翻印和出售《合同示范文本》。</w:t>
      </w:r>
    </w:p>
    <w:p w14:paraId="1B658CC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40" w:firstLineChars="200"/>
        <w:textAlignment w:val="auto"/>
        <w:rPr>
          <w:rFonts w:hint="eastAsia" w:ascii="仿宋" w:hAnsi="仿宋" w:eastAsia="仿宋" w:cs="仿宋"/>
          <w:color w:val="000000"/>
          <w:sz w:val="22"/>
          <w:szCs w:val="22"/>
          <w:lang w:val="en-US" w:eastAsia="zh-CN"/>
        </w:rPr>
      </w:pPr>
    </w:p>
    <w:p w14:paraId="4A6A015C">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jc w:val="both"/>
        <w:textAlignment w:val="auto"/>
        <w:rPr>
          <w:rFonts w:hint="eastAsia" w:ascii="仿宋" w:hAnsi="仿宋" w:eastAsia="仿宋" w:cs="仿宋"/>
          <w:snapToGrid/>
          <w:color w:val="000000"/>
          <w:kern w:val="2"/>
          <w:sz w:val="22"/>
          <w:szCs w:val="22"/>
          <w:lang w:val="en-US" w:eastAsia="zh-CN"/>
        </w:rPr>
        <w:sectPr>
          <w:footerReference r:id="rId7" w:type="default"/>
          <w:pgSz w:w="11906" w:h="16839"/>
          <w:pgMar w:top="2098" w:right="1474" w:bottom="1984" w:left="1587" w:header="0" w:footer="1531" w:gutter="0"/>
          <w:pgNumType w:fmt="decimal"/>
          <w:cols w:space="720" w:num="1"/>
          <w:rtlGutter w:val="0"/>
          <w:docGrid w:linePitch="0" w:charSpace="0"/>
        </w:sectPr>
      </w:pPr>
    </w:p>
    <w:p w14:paraId="5C351D31">
      <w:pPr>
        <w:pStyle w:val="12"/>
        <w:keepNext w:val="0"/>
        <w:keepLines w:val="0"/>
        <w:pageBreakBefore w:val="0"/>
        <w:widowControl w:val="0"/>
        <w:suppressAutoHyphens/>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snapToGrid/>
          <w:color w:val="000000"/>
          <w:kern w:val="2"/>
          <w:sz w:val="40"/>
          <w:szCs w:val="40"/>
          <w:lang w:val="en-US" w:eastAsia="zh-CN"/>
        </w:rPr>
      </w:pPr>
      <w:r>
        <w:rPr>
          <w:rFonts w:hint="eastAsia" w:ascii="仿宋" w:hAnsi="仿宋" w:eastAsia="仿宋" w:cs="仿宋"/>
          <w:b/>
          <w:bCs/>
          <w:snapToGrid/>
          <w:color w:val="000000"/>
          <w:kern w:val="2"/>
          <w:sz w:val="40"/>
          <w:szCs w:val="40"/>
          <w:lang w:val="en-US" w:eastAsia="zh-CN"/>
        </w:rPr>
        <w:t>阿图什市第一中学2025年学生食堂后厨工作人员服务采购项目合同</w:t>
      </w:r>
    </w:p>
    <w:p w14:paraId="3FAE5B8B">
      <w:pPr>
        <w:keepNext w:val="0"/>
        <w:keepLines w:val="0"/>
        <w:pageBreakBefore w:val="0"/>
        <w:widowControl w:val="0"/>
        <w:wordWrap/>
        <w:overflowPunct/>
        <w:topLinePunct w:val="0"/>
        <w:bidi w:val="0"/>
        <w:adjustRightInd w:val="0"/>
        <w:snapToGrid w:val="0"/>
        <w:spacing w:line="560" w:lineRule="exact"/>
        <w:jc w:val="both"/>
        <w:rPr>
          <w:rFonts w:hint="eastAsia" w:ascii="仿宋" w:hAnsi="仿宋" w:eastAsia="仿宋" w:cs="仿宋"/>
          <w:color w:val="000000"/>
          <w:kern w:val="2"/>
          <w:sz w:val="21"/>
          <w:szCs w:val="24"/>
          <w:lang w:val="en-US" w:eastAsia="zh-CN" w:bidi="ar-SA"/>
        </w:rPr>
      </w:pPr>
    </w:p>
    <w:p w14:paraId="0733F1D6">
      <w:pPr>
        <w:keepNext w:val="0"/>
        <w:keepLines w:val="0"/>
        <w:pageBreakBefore w:val="0"/>
        <w:widowControl w:val="0"/>
        <w:wordWrap/>
        <w:overflowPunct/>
        <w:topLinePunct w:val="0"/>
        <w:bidi w:val="0"/>
        <w:adjustRightInd w:val="0"/>
        <w:snapToGrid w:val="0"/>
        <w:spacing w:line="420" w:lineRule="exact"/>
        <w:jc w:val="both"/>
        <w:rPr>
          <w:rFonts w:hint="eastAsia" w:ascii="仿宋" w:hAnsi="仿宋" w:eastAsia="仿宋" w:cs="仿宋"/>
          <w:color w:val="000000"/>
          <w:kern w:val="2"/>
          <w:sz w:val="21"/>
          <w:szCs w:val="24"/>
          <w:lang w:val="en-US" w:eastAsia="zh-CN" w:bidi="ar-SA"/>
        </w:rPr>
      </w:pPr>
    </w:p>
    <w:p w14:paraId="30DC6C25">
      <w:pPr>
        <w:keepNext w:val="0"/>
        <w:keepLines w:val="0"/>
        <w:pageBreakBefore w:val="0"/>
        <w:widowControl/>
        <w:tabs>
          <w:tab w:val="left" w:pos="7962"/>
        </w:tabs>
        <w:kinsoku w:val="0"/>
        <w:wordWrap/>
        <w:overflowPunct/>
        <w:topLinePunct w:val="0"/>
        <w:autoSpaceDE w:val="0"/>
        <w:autoSpaceDN w:val="0"/>
        <w:bidi w:val="0"/>
        <w:adjustRightInd w:val="0"/>
        <w:snapToGrid w:val="0"/>
        <w:spacing w:line="420" w:lineRule="exact"/>
        <w:ind w:right="468"/>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11"/>
          <w:sz w:val="24"/>
          <w:szCs w:val="24"/>
        </w:rPr>
        <w:t>甲方（</w:t>
      </w:r>
      <w:r>
        <w:rPr>
          <w:rFonts w:hint="eastAsia" w:ascii="仿宋" w:hAnsi="仿宋" w:eastAsia="仿宋" w:cs="仿宋"/>
          <w:color w:val="000000"/>
          <w:spacing w:val="-11"/>
          <w:sz w:val="24"/>
          <w:szCs w:val="24"/>
          <w:lang w:eastAsia="zh-CN"/>
        </w:rPr>
        <w:t>委托方</w:t>
      </w:r>
      <w:r>
        <w:rPr>
          <w:rFonts w:hint="eastAsia" w:ascii="仿宋" w:hAnsi="仿宋" w:eastAsia="仿宋" w:cs="仿宋"/>
          <w:color w:val="000000"/>
          <w:spacing w:val="-74"/>
          <w:sz w:val="24"/>
          <w:szCs w:val="24"/>
        </w:rPr>
        <w:t>）：</w:t>
      </w:r>
      <w:r>
        <w:rPr>
          <w:rFonts w:hint="eastAsia" w:ascii="仿宋" w:hAnsi="仿宋" w:eastAsia="仿宋" w:cs="仿宋"/>
          <w:color w:val="000000"/>
          <w:sz w:val="24"/>
          <w:szCs w:val="24"/>
          <w:u w:val="single" w:color="auto"/>
        </w:rPr>
        <w:tab/>
      </w:r>
      <w:r>
        <w:rPr>
          <w:rFonts w:hint="eastAsia" w:ascii="仿宋" w:hAnsi="仿宋" w:eastAsia="仿宋" w:cs="仿宋"/>
          <w:color w:val="000000"/>
          <w:sz w:val="24"/>
          <w:szCs w:val="24"/>
        </w:rPr>
        <w:t xml:space="preserve"> </w:t>
      </w:r>
    </w:p>
    <w:p w14:paraId="4BAC2352">
      <w:pPr>
        <w:keepNext w:val="0"/>
        <w:keepLines w:val="0"/>
        <w:pageBreakBefore w:val="0"/>
        <w:widowControl/>
        <w:tabs>
          <w:tab w:val="left" w:pos="7962"/>
        </w:tabs>
        <w:kinsoku w:val="0"/>
        <w:wordWrap/>
        <w:overflowPunct/>
        <w:topLinePunct w:val="0"/>
        <w:autoSpaceDE w:val="0"/>
        <w:autoSpaceDN w:val="0"/>
        <w:bidi w:val="0"/>
        <w:adjustRightInd w:val="0"/>
        <w:snapToGrid w:val="0"/>
        <w:spacing w:line="420" w:lineRule="exact"/>
        <w:ind w:right="468"/>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3"/>
          <w:sz w:val="24"/>
          <w:szCs w:val="24"/>
        </w:rPr>
        <w:t>统一社会信用代码证号：</w:t>
      </w:r>
      <w:r>
        <w:rPr>
          <w:rFonts w:hint="eastAsia" w:ascii="仿宋" w:hAnsi="仿宋" w:eastAsia="仿宋" w:cs="仿宋"/>
          <w:color w:val="000000"/>
          <w:sz w:val="24"/>
          <w:szCs w:val="24"/>
          <w:u w:val="single" w:color="auto"/>
        </w:rPr>
        <w:tab/>
      </w:r>
      <w:r>
        <w:rPr>
          <w:rFonts w:hint="eastAsia" w:ascii="仿宋" w:hAnsi="仿宋" w:eastAsia="仿宋" w:cs="仿宋"/>
          <w:color w:val="000000"/>
          <w:sz w:val="24"/>
          <w:szCs w:val="24"/>
        </w:rPr>
        <w:t xml:space="preserve"> </w:t>
      </w:r>
    </w:p>
    <w:p w14:paraId="2E0012F9">
      <w:pPr>
        <w:keepNext w:val="0"/>
        <w:keepLines w:val="0"/>
        <w:pageBreakBefore w:val="0"/>
        <w:widowControl/>
        <w:tabs>
          <w:tab w:val="left" w:pos="7962"/>
        </w:tabs>
        <w:kinsoku w:val="0"/>
        <w:wordWrap/>
        <w:overflowPunct/>
        <w:topLinePunct w:val="0"/>
        <w:autoSpaceDE w:val="0"/>
        <w:autoSpaceDN w:val="0"/>
        <w:bidi w:val="0"/>
        <w:adjustRightInd w:val="0"/>
        <w:snapToGrid w:val="0"/>
        <w:spacing w:line="420" w:lineRule="exact"/>
        <w:ind w:right="468"/>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4"/>
          <w:sz w:val="24"/>
          <w:szCs w:val="24"/>
        </w:rPr>
        <w:t>乙方（</w:t>
      </w:r>
      <w:r>
        <w:rPr>
          <w:rFonts w:hint="eastAsia" w:ascii="仿宋" w:hAnsi="仿宋" w:eastAsia="仿宋" w:cs="仿宋"/>
          <w:color w:val="000000"/>
          <w:spacing w:val="-4"/>
          <w:sz w:val="24"/>
          <w:szCs w:val="24"/>
          <w:lang w:eastAsia="zh-CN"/>
        </w:rPr>
        <w:t>管理服务方</w:t>
      </w:r>
      <w:r>
        <w:rPr>
          <w:rFonts w:hint="eastAsia" w:ascii="仿宋" w:hAnsi="仿宋" w:eastAsia="仿宋" w:cs="仿宋"/>
          <w:color w:val="000000"/>
          <w:spacing w:val="-77"/>
          <w:sz w:val="24"/>
          <w:szCs w:val="24"/>
        </w:rPr>
        <w:t>）：</w:t>
      </w: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z w:val="24"/>
          <w:szCs w:val="24"/>
          <w:u w:val="single" w:color="auto"/>
          <w:lang w:val="en-US" w:eastAsia="zh-CN"/>
        </w:rPr>
        <w:t xml:space="preserve">                                      </w:t>
      </w:r>
      <w:r>
        <w:rPr>
          <w:rFonts w:hint="eastAsia" w:ascii="仿宋" w:hAnsi="仿宋" w:eastAsia="仿宋" w:cs="仿宋"/>
          <w:color w:val="000000"/>
          <w:sz w:val="24"/>
          <w:szCs w:val="24"/>
          <w:u w:val="single" w:color="auto"/>
        </w:rPr>
        <w:t xml:space="preserve">        </w:t>
      </w:r>
    </w:p>
    <w:p w14:paraId="022E9533">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1"/>
          <w:sz w:val="24"/>
          <w:szCs w:val="24"/>
        </w:rPr>
        <w:t>统一社会信用代码证号：</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1"/>
          <w:sz w:val="24"/>
          <w:szCs w:val="24"/>
          <w:u w:val="single" w:color="auto"/>
          <w:lang w:val="en-US" w:eastAsia="zh-CN"/>
        </w:rPr>
        <w:t xml:space="preserve">                                             </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1"/>
          <w:sz w:val="24"/>
          <w:szCs w:val="24"/>
          <w:u w:val="single" w:color="auto"/>
          <w:lang w:val="en-US" w:eastAsia="zh-CN"/>
        </w:rPr>
        <w:t xml:space="preserve">  </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2"/>
          <w:sz w:val="24"/>
          <w:szCs w:val="24"/>
          <w:u w:val="single" w:color="auto"/>
        </w:rPr>
        <w:t xml:space="preserve">   </w:t>
      </w:r>
    </w:p>
    <w:p w14:paraId="1BF730EB">
      <w:pPr>
        <w:keepNext w:val="0"/>
        <w:keepLines w:val="0"/>
        <w:pageBreakBefore w:val="0"/>
        <w:widowControl w:val="0"/>
        <w:kinsoku/>
        <w:wordWrap/>
        <w:overflowPunct/>
        <w:topLinePunct w:val="0"/>
        <w:autoSpaceDE w:val="0"/>
        <w:autoSpaceDN/>
        <w:bidi w:val="0"/>
        <w:adjustRightInd w:val="0"/>
        <w:snapToGrid w:val="0"/>
        <w:spacing w:line="420" w:lineRule="exact"/>
        <w:jc w:val="both"/>
        <w:textAlignment w:val="baseline"/>
        <w:rPr>
          <w:rFonts w:hint="eastAsia" w:ascii="仿宋" w:hAnsi="仿宋" w:eastAsia="仿宋" w:cs="仿宋"/>
          <w:color w:val="000000"/>
          <w:spacing w:val="0"/>
          <w:w w:val="100"/>
          <w:kern w:val="2"/>
          <w:sz w:val="24"/>
          <w:szCs w:val="24"/>
          <w:lang w:val="en-US" w:eastAsia="zh-CN" w:bidi="ar-SA"/>
        </w:rPr>
      </w:pPr>
    </w:p>
    <w:p w14:paraId="51617CD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为确保学校师生食品安全及提供专业、优质、高效的餐饮服务 ，根据《中华人民共和国政府采购法》《中华人民共和国招标投标法》《中华人民共和国民法典》《中华人民共和国食品安全法》《学校食品安全与营养健康管理规定》《企业落实食品安全主体责任监督管理规定》《GB31654—2021 食品安全国家标准餐饮服务通用卫生规范》《餐饮服务食品安全操作规范》等法律法规，遵循平等、 自愿、公平和诚信原 则，经甲乙双方协商一致，就学校食堂委托管理服务事宜签订本合同。</w:t>
      </w:r>
    </w:p>
    <w:p w14:paraId="53F06531">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b w:val="0"/>
          <w:bCs w:val="0"/>
          <w:color w:val="000000"/>
          <w:spacing w:val="0"/>
          <w:w w:val="100"/>
          <w:sz w:val="24"/>
          <w:szCs w:val="24"/>
        </w:rPr>
      </w:pPr>
      <w:r>
        <w:rPr>
          <w:rFonts w:hint="eastAsia" w:ascii="仿宋" w:hAnsi="仿宋" w:eastAsia="仿宋" w:cs="仿宋"/>
          <w:b w:val="0"/>
          <w:bCs w:val="0"/>
          <w:color w:val="000000"/>
          <w:spacing w:val="0"/>
          <w:w w:val="100"/>
          <w:sz w:val="24"/>
          <w:szCs w:val="24"/>
        </w:rPr>
        <w:t>一、合同标的</w:t>
      </w:r>
    </w:p>
    <w:p w14:paraId="30B9881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1.标的名称：</w:t>
      </w:r>
      <w:r>
        <w:rPr>
          <w:rFonts w:hint="eastAsia" w:ascii="仿宋" w:hAnsi="仿宋" w:eastAsia="仿宋" w:cs="仿宋"/>
          <w:color w:val="000000"/>
          <w:spacing w:val="0"/>
          <w:w w:val="100"/>
          <w:kern w:val="2"/>
          <w:sz w:val="24"/>
          <w:szCs w:val="24"/>
          <w:u w:val="single" w:color="auto"/>
          <w:lang w:val="en-US" w:eastAsia="zh-CN" w:bidi="ar-SA"/>
        </w:rPr>
        <w:t xml:space="preserve">                                                                     </w:t>
      </w:r>
    </w:p>
    <w:p w14:paraId="39776B3F">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2.委托管理服务地点：</w:t>
      </w:r>
      <w:r>
        <w:rPr>
          <w:rFonts w:hint="eastAsia" w:ascii="仿宋" w:hAnsi="仿宋" w:eastAsia="仿宋" w:cs="仿宋"/>
          <w:color w:val="000000"/>
          <w:spacing w:val="0"/>
          <w:w w:val="100"/>
          <w:kern w:val="2"/>
          <w:sz w:val="24"/>
          <w:szCs w:val="24"/>
          <w:u w:val="single" w:color="auto"/>
          <w:lang w:val="en-US" w:eastAsia="zh-CN" w:bidi="ar-SA"/>
        </w:rPr>
        <w:t xml:space="preserve">                                                  </w:t>
      </w:r>
    </w:p>
    <w:p w14:paraId="174BAD3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3.委托管理服务内容：</w:t>
      </w:r>
      <w:r>
        <w:rPr>
          <w:rFonts w:hint="eastAsia" w:ascii="仿宋" w:hAnsi="仿宋" w:eastAsia="仿宋" w:cs="仿宋"/>
          <w:color w:val="000000"/>
          <w:spacing w:val="0"/>
          <w:w w:val="100"/>
          <w:kern w:val="2"/>
          <w:sz w:val="24"/>
          <w:szCs w:val="24"/>
          <w:u w:val="single" w:color="auto"/>
          <w:lang w:val="en-US" w:eastAsia="zh-CN" w:bidi="ar-SA"/>
        </w:rPr>
        <w:t xml:space="preserve">                                                  </w:t>
      </w:r>
    </w:p>
    <w:p w14:paraId="5AF9B127">
      <w:pPr>
        <w:keepNext w:val="0"/>
        <w:keepLines w:val="0"/>
        <w:pageBreakBefore w:val="0"/>
        <w:widowControl w:val="0"/>
        <w:numPr>
          <w:ilvl w:val="0"/>
          <w:numId w:val="8"/>
        </w:numPr>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b w:val="0"/>
          <w:bCs w:val="0"/>
          <w:color w:val="000000"/>
          <w:spacing w:val="0"/>
          <w:w w:val="100"/>
          <w:sz w:val="24"/>
          <w:szCs w:val="24"/>
        </w:rPr>
      </w:pPr>
      <w:r>
        <w:rPr>
          <w:rFonts w:hint="eastAsia" w:ascii="仿宋" w:hAnsi="仿宋" w:eastAsia="仿宋" w:cs="仿宋"/>
          <w:b w:val="0"/>
          <w:bCs w:val="0"/>
          <w:color w:val="000000"/>
          <w:spacing w:val="0"/>
          <w:w w:val="100"/>
          <w:sz w:val="24"/>
          <w:szCs w:val="24"/>
        </w:rPr>
        <w:t>合同期限</w:t>
      </w:r>
    </w:p>
    <w:p w14:paraId="7DA08FC1">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仿宋" w:hAnsi="仿宋" w:eastAsia="仿宋" w:cs="仿宋"/>
          <w:color w:val="000000"/>
          <w:spacing w:val="0"/>
          <w:w w:val="100"/>
          <w:sz w:val="24"/>
          <w:szCs w:val="24"/>
          <w:lang w:val="en-US" w:eastAsia="zh-CN"/>
        </w:rPr>
      </w:pPr>
      <w:r>
        <w:rPr>
          <w:rFonts w:hint="eastAsia" w:ascii="仿宋" w:hAnsi="仿宋" w:eastAsia="仿宋" w:cs="仿宋"/>
          <w:color w:val="000000"/>
          <w:spacing w:val="0"/>
          <w:w w:val="100"/>
          <w:sz w:val="24"/>
          <w:szCs w:val="24"/>
        </w:rPr>
        <w:t>本合同期限</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rPr>
        <w:t xml:space="preserve"> 年</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 xml:space="preserve">即：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rPr>
        <w:t xml:space="preserve"> 年</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rPr>
        <w:t xml:space="preserve"> 月</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rPr>
        <w:t xml:space="preserve"> 日至</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rPr>
        <w:t xml:space="preserve"> 年</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rPr>
        <w:t xml:space="preserve"> 月</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rPr>
        <w:t xml:space="preserve"> </w:t>
      </w:r>
      <w:r>
        <w:rPr>
          <w:rFonts w:hint="eastAsia" w:ascii="仿宋" w:hAnsi="仿宋" w:eastAsia="仿宋" w:cs="仿宋"/>
          <w:color w:val="000000"/>
          <w:spacing w:val="0"/>
          <w:w w:val="100"/>
          <w:sz w:val="24"/>
          <w:szCs w:val="24"/>
          <w:lang w:val="en-US" w:eastAsia="zh-CN"/>
        </w:rPr>
        <w:t>日。</w:t>
      </w:r>
      <w:r>
        <w:rPr>
          <w:rFonts w:hint="eastAsia" w:ascii="仿宋" w:hAnsi="仿宋" w:eastAsia="仿宋" w:cs="仿宋"/>
          <w:snapToGrid w:val="0"/>
          <w:color w:val="000000"/>
          <w:spacing w:val="0"/>
          <w:w w:val="100"/>
          <w:kern w:val="0"/>
          <w:sz w:val="24"/>
          <w:szCs w:val="24"/>
          <w:lang w:val="en-US" w:eastAsia="zh-CN" w:bidi="ar-SA"/>
        </w:rPr>
        <w:t>如采用招投标方式确定管理服务对象的，则本合同期限与招投标文件保持一致。</w:t>
      </w:r>
    </w:p>
    <w:p w14:paraId="14D396BA">
      <w:pPr>
        <w:keepNext w:val="0"/>
        <w:keepLines w:val="0"/>
        <w:pageBreakBefore w:val="0"/>
        <w:widowControl w:val="0"/>
        <w:numPr>
          <w:ilvl w:val="0"/>
          <w:numId w:val="8"/>
        </w:numPr>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b w:val="0"/>
          <w:bCs w:val="0"/>
          <w:color w:val="000000"/>
          <w:spacing w:val="0"/>
          <w:w w:val="100"/>
          <w:sz w:val="24"/>
          <w:szCs w:val="24"/>
          <w:lang w:val="en-US" w:eastAsia="en-US"/>
        </w:rPr>
      </w:pPr>
      <w:r>
        <w:rPr>
          <w:rFonts w:hint="eastAsia" w:ascii="仿宋" w:hAnsi="仿宋" w:eastAsia="仿宋" w:cs="仿宋"/>
          <w:b w:val="0"/>
          <w:bCs w:val="0"/>
          <w:color w:val="000000"/>
          <w:spacing w:val="0"/>
          <w:w w:val="100"/>
          <w:sz w:val="24"/>
          <w:szCs w:val="24"/>
          <w:lang w:val="en-US" w:eastAsia="en-US"/>
        </w:rPr>
        <w:t>管理服务的范围和时间</w:t>
      </w:r>
    </w:p>
    <w:p w14:paraId="5B48BE3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en-US" w:bidi="ar-SA"/>
        </w:rPr>
      </w:pPr>
      <w:r>
        <w:rPr>
          <w:rFonts w:hint="eastAsia" w:ascii="仿宋" w:hAnsi="仿宋" w:eastAsia="仿宋" w:cs="仿宋"/>
          <w:color w:val="000000"/>
          <w:spacing w:val="0"/>
          <w:w w:val="100"/>
          <w:kern w:val="2"/>
          <w:sz w:val="24"/>
          <w:szCs w:val="24"/>
          <w:lang w:val="en-US" w:eastAsia="en-US" w:bidi="ar-SA"/>
        </w:rPr>
        <w:t>乙方应负责为甲方教职工和学生提供优质餐饮服务</w:t>
      </w:r>
      <w:r>
        <w:rPr>
          <w:rFonts w:hint="eastAsia" w:ascii="仿宋" w:hAnsi="仿宋" w:eastAsia="仿宋" w:cs="仿宋"/>
          <w:color w:val="000000"/>
          <w:spacing w:val="0"/>
          <w:w w:val="100"/>
          <w:kern w:val="2"/>
          <w:sz w:val="24"/>
          <w:szCs w:val="24"/>
          <w:lang w:val="en-US" w:eastAsia="zh-CN" w:bidi="ar-SA"/>
        </w:rPr>
        <w:t>，</w:t>
      </w:r>
      <w:r>
        <w:rPr>
          <w:rFonts w:hint="eastAsia" w:ascii="仿宋" w:hAnsi="仿宋" w:eastAsia="仿宋" w:cs="仿宋"/>
          <w:color w:val="000000"/>
          <w:spacing w:val="0"/>
          <w:w w:val="100"/>
          <w:kern w:val="2"/>
          <w:sz w:val="24"/>
          <w:szCs w:val="24"/>
          <w:lang w:val="en-US" w:eastAsia="en-US" w:bidi="ar-SA"/>
        </w:rPr>
        <w:t>根据学校实际情况和师生餐饮需求制定合理的经营时间。</w:t>
      </w:r>
    </w:p>
    <w:p w14:paraId="3D78EC39">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四、费用及结算方式</w:t>
      </w:r>
    </w:p>
    <w:p w14:paraId="25AE0CD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outlineLvl w:val="0"/>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w:t>
      </w:r>
      <w:r>
        <w:rPr>
          <w:rFonts w:hint="eastAsia" w:ascii="仿宋" w:hAnsi="仿宋" w:eastAsia="仿宋" w:cs="仿宋"/>
          <w:b/>
          <w:bCs/>
          <w:color w:val="000000"/>
          <w:spacing w:val="0"/>
          <w:w w:val="100"/>
          <w:kern w:val="2"/>
          <w:sz w:val="24"/>
          <w:szCs w:val="24"/>
          <w:lang w:val="en-US" w:eastAsia="zh-CN" w:bidi="ar-SA"/>
        </w:rPr>
        <w:t>服务费用</w:t>
      </w:r>
    </w:p>
    <w:p w14:paraId="4A3E7BE6">
      <w:pPr>
        <w:keepNext w:val="0"/>
        <w:keepLines w:val="0"/>
        <w:pageBreakBefore w:val="0"/>
        <w:widowControl w:val="0"/>
        <w:kinsoku/>
        <w:wordWrap/>
        <w:overflowPunct/>
        <w:topLinePunct w:val="0"/>
        <w:autoSpaceDE w:val="0"/>
        <w:autoSpaceDN/>
        <w:bidi w:val="0"/>
        <w:adjustRightInd w:val="0"/>
        <w:snapToGrid/>
        <w:spacing w:before="0" w:beforeLines="0" w:after="0" w:afterLines="0" w:line="560" w:lineRule="exact"/>
        <w:ind w:left="0" w:right="0" w:firstLine="480" w:firstLineChars="200"/>
        <w:jc w:val="both"/>
        <w:textAlignment w:val="baseline"/>
        <w:outlineLvl w:val="0"/>
        <w:rPr>
          <w:rFonts w:hint="eastAsia" w:ascii="仿宋" w:hAnsi="仿宋" w:eastAsia="仿宋" w:cs="仿宋"/>
          <w:color w:val="000000"/>
          <w:spacing w:val="0"/>
          <w:w w:val="100"/>
          <w:kern w:val="2"/>
          <w:sz w:val="24"/>
          <w:szCs w:val="24"/>
          <w:u w:val="none"/>
          <w:lang w:val="en-US" w:eastAsia="zh-CN" w:bidi="ar-SA"/>
        </w:rPr>
      </w:pPr>
      <w:r>
        <w:rPr>
          <w:rFonts w:hint="eastAsia" w:ascii="仿宋" w:hAnsi="仿宋" w:eastAsia="仿宋" w:cs="仿宋"/>
          <w:color w:val="000000"/>
          <w:spacing w:val="0"/>
          <w:w w:val="100"/>
          <w:kern w:val="2"/>
          <w:sz w:val="24"/>
          <w:szCs w:val="24"/>
          <w:lang w:val="en-US" w:eastAsia="zh-CN" w:bidi="ar-SA"/>
        </w:rPr>
        <w:t xml:space="preserve">服务费用为 </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，分为固定费用和考核费用两部分。其中：固定费用（含税</w:t>
      </w:r>
      <w:r>
        <w:rPr>
          <w:rFonts w:hint="eastAsia" w:ascii="仿宋" w:hAnsi="仿宋" w:eastAsia="仿宋" w:cs="仿宋"/>
          <w:color w:val="000000"/>
          <w:spacing w:val="0"/>
          <w:w w:val="100"/>
          <w:kern w:val="2"/>
          <w:sz w:val="24"/>
          <w:szCs w:val="24"/>
          <w:lang w:val="en" w:eastAsia="zh-CN" w:bidi="ar-SA"/>
        </w:rPr>
        <w:t>/不含税</w:t>
      </w:r>
      <w:r>
        <w:rPr>
          <w:rFonts w:hint="eastAsia" w:ascii="仿宋" w:hAnsi="仿宋" w:eastAsia="仿宋" w:cs="仿宋"/>
          <w:color w:val="000000"/>
          <w:spacing w:val="0"/>
          <w:w w:val="100"/>
          <w:kern w:val="2"/>
          <w:sz w:val="24"/>
          <w:szCs w:val="24"/>
          <w:lang w:val="en-US" w:eastAsia="zh-CN" w:bidi="ar-SA"/>
        </w:rPr>
        <w:t>）</w:t>
      </w:r>
      <w:r>
        <w:rPr>
          <w:rFonts w:hint="eastAsia" w:ascii="仿宋" w:hAnsi="仿宋" w:eastAsia="仿宋" w:cs="仿宋"/>
          <w:color w:val="000000"/>
          <w:spacing w:val="0"/>
          <w:w w:val="100"/>
          <w:kern w:val="2"/>
          <w:sz w:val="24"/>
          <w:szCs w:val="24"/>
          <w:u w:val="single"/>
          <w:lang w:val="en-US" w:eastAsia="zh-CN" w:bidi="ar-SA"/>
        </w:rPr>
        <w:t xml:space="preserve">                                   </w:t>
      </w:r>
      <w:r>
        <w:rPr>
          <w:rFonts w:hint="eastAsia" w:ascii="仿宋" w:hAnsi="仿宋" w:eastAsia="仿宋" w:cs="仿宋"/>
          <w:color w:val="000000"/>
          <w:spacing w:val="0"/>
          <w:w w:val="100"/>
          <w:kern w:val="2"/>
          <w:sz w:val="24"/>
          <w:szCs w:val="24"/>
          <w:u w:val="none"/>
          <w:lang w:val="en-US" w:eastAsia="zh-CN" w:bidi="ar-SA"/>
        </w:rPr>
        <w:t>，考核费用</w:t>
      </w:r>
      <w:r>
        <w:rPr>
          <w:rFonts w:hint="eastAsia" w:ascii="仿宋" w:hAnsi="仿宋" w:eastAsia="仿宋" w:cs="仿宋"/>
          <w:color w:val="000000"/>
          <w:spacing w:val="0"/>
          <w:w w:val="100"/>
          <w:kern w:val="2"/>
          <w:sz w:val="24"/>
          <w:szCs w:val="24"/>
          <w:lang w:val="en-US" w:eastAsia="zh-CN" w:bidi="ar-SA"/>
        </w:rPr>
        <w:t>（含税</w:t>
      </w:r>
      <w:r>
        <w:rPr>
          <w:rFonts w:hint="eastAsia" w:ascii="仿宋" w:hAnsi="仿宋" w:eastAsia="仿宋" w:cs="仿宋"/>
          <w:color w:val="000000"/>
          <w:spacing w:val="0"/>
          <w:w w:val="100"/>
          <w:kern w:val="2"/>
          <w:sz w:val="24"/>
          <w:szCs w:val="24"/>
          <w:lang w:val="en" w:eastAsia="zh-CN" w:bidi="ar-SA"/>
        </w:rPr>
        <w:t>/不含税</w:t>
      </w:r>
      <w:r>
        <w:rPr>
          <w:rFonts w:hint="eastAsia" w:ascii="仿宋" w:hAnsi="仿宋" w:eastAsia="仿宋" w:cs="仿宋"/>
          <w:color w:val="000000"/>
          <w:spacing w:val="0"/>
          <w:w w:val="100"/>
          <w:kern w:val="2"/>
          <w:sz w:val="24"/>
          <w:szCs w:val="24"/>
          <w:lang w:val="en-US" w:eastAsia="zh-CN" w:bidi="ar-SA"/>
        </w:rPr>
        <w:t>）</w:t>
      </w:r>
      <w:r>
        <w:rPr>
          <w:rFonts w:hint="eastAsia" w:ascii="仿宋" w:hAnsi="仿宋" w:eastAsia="仿宋" w:cs="仿宋"/>
          <w:color w:val="000000"/>
          <w:spacing w:val="0"/>
          <w:w w:val="100"/>
          <w:kern w:val="2"/>
          <w:sz w:val="24"/>
          <w:szCs w:val="24"/>
          <w:u w:val="single"/>
          <w:lang w:val="en-US" w:eastAsia="zh-CN" w:bidi="ar-SA"/>
        </w:rPr>
        <w:t xml:space="preserve">                                  。</w:t>
      </w:r>
    </w:p>
    <w:p w14:paraId="779881CB">
      <w:pPr>
        <w:keepNext w:val="0"/>
        <w:keepLines w:val="0"/>
        <w:pageBreakBefore w:val="0"/>
        <w:widowControl w:val="0"/>
        <w:kinsoku/>
        <w:wordWrap/>
        <w:overflowPunct/>
        <w:topLinePunct w:val="0"/>
        <w:autoSpaceDE w:val="0"/>
        <w:autoSpaceDN/>
        <w:bidi w:val="0"/>
        <w:adjustRightInd w:val="0"/>
        <w:snapToGrid/>
        <w:spacing w:before="0" w:beforeLines="0" w:after="0" w:afterLines="0" w:line="560" w:lineRule="exact"/>
        <w:ind w:left="0" w:right="0" w:firstLine="480" w:firstLineChars="200"/>
        <w:jc w:val="both"/>
        <w:textAlignment w:val="baseline"/>
        <w:outlineLvl w:val="0"/>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w:t>
      </w:r>
      <w:r>
        <w:rPr>
          <w:rFonts w:hint="eastAsia" w:ascii="仿宋" w:hAnsi="仿宋" w:eastAsia="仿宋" w:cs="仿宋"/>
          <w:b/>
          <w:bCs/>
          <w:color w:val="000000"/>
          <w:spacing w:val="0"/>
          <w:w w:val="100"/>
          <w:kern w:val="2"/>
          <w:sz w:val="24"/>
          <w:szCs w:val="24"/>
          <w:lang w:val="en-US" w:eastAsia="zh-CN" w:bidi="ar-SA"/>
        </w:rPr>
        <w:t>支付方式</w:t>
      </w:r>
    </w:p>
    <w:p w14:paraId="70BDF4DE">
      <w:pPr>
        <w:pStyle w:val="8"/>
        <w:keepNext w:val="0"/>
        <w:keepLines w:val="0"/>
        <w:pageBreakBefore w:val="0"/>
        <w:widowControl w:val="0"/>
        <w:kinsoku/>
        <w:wordWrap/>
        <w:overflowPunct/>
        <w:topLinePunct w:val="0"/>
        <w:autoSpaceDE w:val="0"/>
        <w:autoSpaceDN/>
        <w:bidi w:val="0"/>
        <w:ind w:left="0" w:right="0" w:firstLine="480" w:firstLineChars="200"/>
        <w:jc w:val="both"/>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□固定费用</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每月</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rPr>
        <w:t xml:space="preserve"> </w:t>
      </w:r>
      <w:r>
        <w:rPr>
          <w:rFonts w:hint="eastAsia" w:ascii="仿宋" w:hAnsi="仿宋" w:eastAsia="仿宋" w:cs="仿宋"/>
          <w:color w:val="000000"/>
          <w:spacing w:val="0"/>
          <w:w w:val="100"/>
          <w:sz w:val="24"/>
          <w:szCs w:val="24"/>
        </w:rPr>
        <w:t>日前</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 xml:space="preserve"> 由乙方提供正式票据后支付</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 xml:space="preserve"> 甲方每月支付上月服务费用的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rPr>
        <w:t xml:space="preserve"> %</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考核费用</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甲方每月提取的</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rPr>
        <w:t xml:space="preserve"> %服务费用作为考核经费 </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根据每学期测评结果支付乙方</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lang w:val="en-US" w:eastAsia="zh-CN"/>
        </w:rPr>
        <w:t>具体见附件2《食堂考核办法》。</w:t>
      </w:r>
    </w:p>
    <w:p w14:paraId="2264C92D">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□其他结算形式：</w:t>
      </w:r>
      <w:r>
        <w:rPr>
          <w:rFonts w:hint="eastAsia" w:ascii="仿宋" w:hAnsi="仿宋" w:eastAsia="仿宋" w:cs="仿宋"/>
          <w:color w:val="000000"/>
          <w:spacing w:val="0"/>
          <w:w w:val="100"/>
          <w:kern w:val="2"/>
          <w:sz w:val="24"/>
          <w:szCs w:val="24"/>
          <w:u w:val="single" w:color="auto"/>
          <w:lang w:val="en-US" w:eastAsia="zh-CN" w:bidi="ar-SA"/>
        </w:rPr>
        <w:t xml:space="preserve">                                                                                       </w:t>
      </w:r>
    </w:p>
    <w:p w14:paraId="79739BAC">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outlineLvl w:val="0"/>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3.</w:t>
      </w:r>
      <w:r>
        <w:rPr>
          <w:rFonts w:hint="eastAsia" w:ascii="仿宋" w:hAnsi="仿宋" w:eastAsia="仿宋" w:cs="仿宋"/>
          <w:b/>
          <w:bCs/>
          <w:color w:val="000000"/>
          <w:spacing w:val="0"/>
          <w:w w:val="100"/>
          <w:kern w:val="2"/>
          <w:sz w:val="24"/>
          <w:szCs w:val="24"/>
          <w:lang w:val="en-US" w:eastAsia="zh-CN" w:bidi="ar-SA"/>
        </w:rPr>
        <w:t>履约保证金</w:t>
      </w:r>
    </w:p>
    <w:p w14:paraId="34C62C8E">
      <w:pPr>
        <w:pStyle w:val="21"/>
        <w:keepNext w:val="0"/>
        <w:keepLines w:val="0"/>
        <w:pageBreakBefore w:val="0"/>
        <w:widowControl w:val="0"/>
        <w:numPr>
          <w:ilvl w:val="0"/>
          <w:numId w:val="0"/>
        </w:numPr>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3.1乙方在签订合同后</w:t>
      </w:r>
      <w:r>
        <w:rPr>
          <w:rFonts w:hint="eastAsia" w:ascii="仿宋" w:hAnsi="仿宋" w:eastAsia="仿宋" w:cs="仿宋"/>
          <w:snapToGrid w:val="0"/>
          <w:color w:val="000000"/>
          <w:spacing w:val="0"/>
          <w:w w:val="100"/>
          <w:kern w:val="0"/>
          <w:sz w:val="24"/>
          <w:szCs w:val="24"/>
          <w:u w:val="single"/>
          <w:lang w:val="en-US" w:eastAsia="en-US" w:bidi="ar-SA"/>
        </w:rPr>
        <w:t>  </w:t>
      </w:r>
      <w:r>
        <w:rPr>
          <w:rFonts w:hint="eastAsia" w:ascii="仿宋" w:hAnsi="仿宋" w:eastAsia="仿宋" w:cs="仿宋"/>
          <w:snapToGrid w:val="0"/>
          <w:color w:val="000000"/>
          <w:spacing w:val="0"/>
          <w:w w:val="100"/>
          <w:kern w:val="0"/>
          <w:sz w:val="24"/>
          <w:szCs w:val="24"/>
          <w:u w:val="single"/>
          <w:lang w:val="en-US" w:eastAsia="zh-CN" w:bidi="ar-SA"/>
        </w:rPr>
        <w:t xml:space="preserve">     </w:t>
      </w:r>
      <w:r>
        <w:rPr>
          <w:rFonts w:hint="eastAsia" w:ascii="仿宋" w:hAnsi="仿宋" w:eastAsia="仿宋" w:cs="仿宋"/>
          <w:snapToGrid w:val="0"/>
          <w:color w:val="000000"/>
          <w:spacing w:val="0"/>
          <w:w w:val="100"/>
          <w:kern w:val="0"/>
          <w:sz w:val="24"/>
          <w:szCs w:val="24"/>
          <w:u w:val="single"/>
          <w:lang w:val="en-US" w:eastAsia="en-US" w:bidi="ar-SA"/>
        </w:rPr>
        <w:t> </w:t>
      </w:r>
      <w:r>
        <w:rPr>
          <w:rFonts w:hint="eastAsia" w:ascii="仿宋" w:hAnsi="仿宋" w:eastAsia="仿宋" w:cs="仿宋"/>
          <w:snapToGrid w:val="0"/>
          <w:color w:val="000000"/>
          <w:spacing w:val="0"/>
          <w:w w:val="100"/>
          <w:kern w:val="0"/>
          <w:sz w:val="24"/>
          <w:szCs w:val="24"/>
          <w:lang w:val="en-US" w:eastAsia="en-US" w:bidi="ar-SA"/>
        </w:rPr>
        <w:t>个工作日内，向甲方提供履约保证金或银行开具的履约保函。其中履约保证金、保函金额</w:t>
      </w:r>
      <w:r>
        <w:rPr>
          <w:rFonts w:hint="eastAsia" w:ascii="仿宋" w:hAnsi="仿宋" w:eastAsia="仿宋" w:cs="仿宋"/>
          <w:snapToGrid w:val="0"/>
          <w:color w:val="000000"/>
          <w:spacing w:val="0"/>
          <w:w w:val="100"/>
          <w:kern w:val="0"/>
          <w:sz w:val="24"/>
          <w:szCs w:val="24"/>
          <w:u w:val="single"/>
          <w:lang w:val="en-US" w:eastAsia="en-US" w:bidi="ar-SA"/>
        </w:rPr>
        <w:t> </w:t>
      </w:r>
      <w:r>
        <w:rPr>
          <w:rFonts w:hint="eastAsia" w:ascii="仿宋" w:hAnsi="仿宋" w:eastAsia="仿宋" w:cs="仿宋"/>
          <w:snapToGrid w:val="0"/>
          <w:color w:val="000000"/>
          <w:spacing w:val="0"/>
          <w:w w:val="100"/>
          <w:kern w:val="0"/>
          <w:sz w:val="24"/>
          <w:szCs w:val="24"/>
          <w:u w:val="single"/>
          <w:lang w:val="en-US" w:eastAsia="zh-CN" w:bidi="ar-SA"/>
        </w:rPr>
        <w:t xml:space="preserve">     </w:t>
      </w:r>
      <w:r>
        <w:rPr>
          <w:rFonts w:hint="eastAsia" w:ascii="仿宋" w:hAnsi="仿宋" w:eastAsia="仿宋" w:cs="仿宋"/>
          <w:snapToGrid w:val="0"/>
          <w:color w:val="000000"/>
          <w:spacing w:val="0"/>
          <w:w w:val="100"/>
          <w:kern w:val="0"/>
          <w:sz w:val="24"/>
          <w:szCs w:val="24"/>
          <w:u w:val="single"/>
          <w:lang w:val="en-US" w:eastAsia="en-US" w:bidi="ar-SA"/>
        </w:rPr>
        <w:t>  </w:t>
      </w:r>
      <w:r>
        <w:rPr>
          <w:rFonts w:hint="eastAsia" w:ascii="仿宋" w:hAnsi="仿宋" w:eastAsia="仿宋" w:cs="仿宋"/>
          <w:snapToGrid w:val="0"/>
          <w:color w:val="000000"/>
          <w:spacing w:val="0"/>
          <w:w w:val="100"/>
          <w:kern w:val="0"/>
          <w:sz w:val="24"/>
          <w:szCs w:val="24"/>
          <w:lang w:val="en-US" w:eastAsia="en-US" w:bidi="ar-SA"/>
        </w:rPr>
        <w:t>万元，期限</w:t>
      </w:r>
      <w:r>
        <w:rPr>
          <w:rFonts w:hint="eastAsia" w:ascii="仿宋" w:hAnsi="仿宋" w:eastAsia="仿宋" w:cs="仿宋"/>
          <w:snapToGrid w:val="0"/>
          <w:color w:val="000000"/>
          <w:spacing w:val="0"/>
          <w:w w:val="100"/>
          <w:kern w:val="0"/>
          <w:sz w:val="24"/>
          <w:szCs w:val="24"/>
          <w:u w:val="single"/>
          <w:lang w:val="en-US" w:eastAsia="en-US" w:bidi="ar-SA"/>
        </w:rPr>
        <w:t> </w:t>
      </w:r>
      <w:r>
        <w:rPr>
          <w:rFonts w:hint="eastAsia" w:ascii="仿宋" w:hAnsi="仿宋" w:eastAsia="仿宋" w:cs="仿宋"/>
          <w:snapToGrid w:val="0"/>
          <w:color w:val="000000"/>
          <w:spacing w:val="0"/>
          <w:w w:val="100"/>
          <w:kern w:val="0"/>
          <w:sz w:val="24"/>
          <w:szCs w:val="24"/>
          <w:u w:val="single"/>
          <w:lang w:val="en-US" w:eastAsia="zh-CN" w:bidi="ar-SA"/>
        </w:rPr>
        <w:t xml:space="preserve">  </w:t>
      </w:r>
      <w:r>
        <w:rPr>
          <w:rFonts w:hint="eastAsia" w:ascii="仿宋" w:hAnsi="仿宋" w:eastAsia="仿宋" w:cs="仿宋"/>
          <w:snapToGrid w:val="0"/>
          <w:color w:val="000000"/>
          <w:spacing w:val="0"/>
          <w:w w:val="100"/>
          <w:kern w:val="0"/>
          <w:sz w:val="24"/>
          <w:szCs w:val="24"/>
          <w:u w:val="single"/>
          <w:lang w:val="en-US" w:eastAsia="en-US" w:bidi="ar-SA"/>
        </w:rPr>
        <w:t> </w:t>
      </w:r>
      <w:r>
        <w:rPr>
          <w:rFonts w:hint="eastAsia" w:ascii="仿宋" w:hAnsi="仿宋" w:eastAsia="仿宋" w:cs="仿宋"/>
          <w:snapToGrid w:val="0"/>
          <w:color w:val="000000"/>
          <w:spacing w:val="0"/>
          <w:w w:val="100"/>
          <w:kern w:val="0"/>
          <w:sz w:val="24"/>
          <w:szCs w:val="24"/>
          <w:u w:val="single"/>
          <w:lang w:val="en-US" w:eastAsia="zh-CN" w:bidi="ar-SA"/>
        </w:rPr>
        <w:t xml:space="preserve">    </w:t>
      </w:r>
      <w:r>
        <w:rPr>
          <w:rFonts w:hint="eastAsia" w:ascii="仿宋" w:hAnsi="仿宋" w:eastAsia="仿宋" w:cs="仿宋"/>
          <w:snapToGrid w:val="0"/>
          <w:color w:val="000000"/>
          <w:spacing w:val="0"/>
          <w:w w:val="100"/>
          <w:kern w:val="0"/>
          <w:sz w:val="24"/>
          <w:szCs w:val="24"/>
          <w:u w:val="single"/>
          <w:lang w:val="en-US" w:eastAsia="en-US" w:bidi="ar-SA"/>
        </w:rPr>
        <w:t> </w:t>
      </w:r>
      <w:r>
        <w:rPr>
          <w:rFonts w:hint="eastAsia" w:ascii="仿宋" w:hAnsi="仿宋" w:eastAsia="仿宋" w:cs="仿宋"/>
          <w:snapToGrid w:val="0"/>
          <w:color w:val="000000"/>
          <w:spacing w:val="0"/>
          <w:w w:val="100"/>
          <w:kern w:val="0"/>
          <w:sz w:val="24"/>
          <w:szCs w:val="24"/>
          <w:lang w:val="en-US" w:eastAsia="en-US" w:bidi="ar-SA"/>
        </w:rPr>
        <w:t>年。如超期未提供保函原件，将</w:t>
      </w:r>
      <w:r>
        <w:rPr>
          <w:rFonts w:hint="eastAsia" w:ascii="仿宋" w:hAnsi="仿宋" w:eastAsia="仿宋" w:cs="仿宋"/>
          <w:snapToGrid w:val="0"/>
          <w:color w:val="000000"/>
          <w:spacing w:val="0"/>
          <w:w w:val="100"/>
          <w:kern w:val="0"/>
          <w:sz w:val="24"/>
          <w:szCs w:val="24"/>
          <w:lang w:val="en-US" w:eastAsia="zh-CN" w:bidi="ar-SA"/>
        </w:rPr>
        <w:t>视为乙方无故单方解除合同，因此造成甲方损失的，乙方应当予以赔偿。</w:t>
      </w:r>
    </w:p>
    <w:p w14:paraId="3BCC2230">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3.2 履约保证金在服务期满并确认乙方无违约行为后或不属乙方重大责任事故造成协议终止 ，并完成相关验收移交手续后</w:t>
      </w:r>
      <w:r>
        <w:rPr>
          <w:rFonts w:hint="eastAsia" w:ascii="仿宋" w:hAnsi="仿宋" w:eastAsia="仿宋" w:cs="仿宋"/>
          <w:color w:val="000000"/>
          <w:spacing w:val="0"/>
          <w:w w:val="100"/>
          <w:kern w:val="2"/>
          <w:sz w:val="24"/>
          <w:szCs w:val="24"/>
          <w:u w:val="single" w:color="auto"/>
          <w:lang w:val="en-US" w:eastAsia="zh-CN" w:bidi="ar-SA"/>
        </w:rPr>
        <w:tab/>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个工作日内返还。</w:t>
      </w:r>
    </w:p>
    <w:p w14:paraId="092E4875">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3</w:t>
      </w:r>
      <w:r>
        <w:rPr>
          <w:rFonts w:hint="eastAsia" w:ascii="仿宋" w:hAnsi="仿宋" w:eastAsia="仿宋" w:cs="仿宋"/>
          <w:color w:val="000000"/>
          <w:spacing w:val="0"/>
          <w:w w:val="100"/>
          <w:kern w:val="2"/>
          <w:sz w:val="24"/>
          <w:szCs w:val="24"/>
          <w:lang w:val="en" w:eastAsia="zh-CN" w:bidi="ar-SA"/>
        </w:rPr>
        <w:t>.</w:t>
      </w:r>
      <w:r>
        <w:rPr>
          <w:rFonts w:hint="eastAsia" w:ascii="仿宋" w:hAnsi="仿宋" w:eastAsia="仿宋" w:cs="仿宋"/>
          <w:color w:val="000000"/>
          <w:spacing w:val="0"/>
          <w:w w:val="100"/>
          <w:kern w:val="2"/>
          <w:sz w:val="24"/>
          <w:szCs w:val="24"/>
          <w:lang w:val="en-US" w:eastAsia="zh-CN" w:bidi="ar-SA"/>
        </w:rPr>
        <w:t>3 如服务期内乙方有违约或处罚、赔偿等相关费用， 甲方有权在履约保证金中先行扣除相关费用。履约保证金不足时，乙方应当在</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个工作日内补足履约保证金。</w:t>
      </w:r>
    </w:p>
    <w:p w14:paraId="5FDD2EF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b/>
          <w:bCs/>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4.</w:t>
      </w:r>
      <w:r>
        <w:rPr>
          <w:rFonts w:hint="eastAsia" w:ascii="仿宋" w:hAnsi="仿宋" w:eastAsia="仿宋" w:cs="仿宋"/>
          <w:b/>
          <w:bCs/>
          <w:color w:val="000000"/>
          <w:spacing w:val="0"/>
          <w:w w:val="100"/>
          <w:kern w:val="2"/>
          <w:sz w:val="24"/>
          <w:szCs w:val="24"/>
          <w:lang w:val="en-US" w:eastAsia="zh-CN" w:bidi="ar-SA"/>
        </w:rPr>
        <w:t>其他费用承担</w:t>
      </w:r>
    </w:p>
    <w:p w14:paraId="6D3C19CF">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4.1 食责险。</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购买校园食品安全责任保险，保额</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万。</w:t>
      </w:r>
    </w:p>
    <w:p w14:paraId="49A2E13B">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 w:eastAsia="zh-CN" w:bidi="ar-SA"/>
        </w:rPr>
        <w:t>4.2</w:t>
      </w:r>
      <w:r>
        <w:rPr>
          <w:rFonts w:hint="eastAsia" w:ascii="仿宋" w:hAnsi="仿宋" w:eastAsia="仿宋" w:cs="仿宋"/>
          <w:color w:val="000000"/>
          <w:spacing w:val="0"/>
          <w:w w:val="100"/>
          <w:kern w:val="2"/>
          <w:sz w:val="24"/>
          <w:szCs w:val="24"/>
          <w:lang w:val="en-US" w:eastAsia="zh-CN" w:bidi="ar-SA"/>
        </w:rPr>
        <w:t>□实施本项目过程中所发生的□采购费 、</w:t>
      </w:r>
      <w:r>
        <w:rPr>
          <w:rFonts w:hint="eastAsia" w:ascii="仿宋" w:hAnsi="仿宋" w:eastAsia="仿宋" w:cs="仿宋"/>
          <w:color w:val="000000"/>
          <w:spacing w:val="0"/>
          <w:w w:val="100"/>
          <w:kern w:val="2"/>
          <w:sz w:val="24"/>
          <w:szCs w:val="24"/>
          <w:lang w:val="en-US" w:eastAsia="zh-CN" w:bidi="ar-SA"/>
        </w:rPr>
        <w:sym w:font="Wingdings 2" w:char="0052"/>
      </w:r>
      <w:r>
        <w:rPr>
          <w:rFonts w:hint="eastAsia" w:ascii="仿宋" w:hAnsi="仿宋" w:eastAsia="仿宋" w:cs="仿宋"/>
          <w:color w:val="000000"/>
          <w:spacing w:val="0"/>
          <w:w w:val="100"/>
          <w:kern w:val="2"/>
          <w:sz w:val="24"/>
          <w:szCs w:val="24"/>
          <w:lang w:val="en-US" w:eastAsia="zh-CN" w:bidi="ar-SA"/>
        </w:rPr>
        <w:t>加工费 、□ 人工费、□管理费、□</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等费用由</w:t>
      </w:r>
      <w:r>
        <w:rPr>
          <w:rFonts w:hint="eastAsia" w:ascii="仿宋" w:hAnsi="仿宋" w:eastAsia="仿宋" w:cs="仿宋"/>
          <w:color w:val="000000"/>
          <w:spacing w:val="0"/>
          <w:w w:val="100"/>
          <w:kern w:val="2"/>
          <w:sz w:val="24"/>
          <w:szCs w:val="24"/>
          <w:u w:val="single"/>
          <w:lang w:val="en" w:eastAsia="zh-CN" w:bidi="ar-SA"/>
        </w:rPr>
        <w:t xml:space="preserve">          </w:t>
      </w:r>
      <w:r>
        <w:rPr>
          <w:rFonts w:hint="eastAsia" w:ascii="仿宋" w:hAnsi="仿宋" w:eastAsia="仿宋" w:cs="仿宋"/>
          <w:color w:val="000000"/>
          <w:spacing w:val="0"/>
          <w:w w:val="100"/>
          <w:kern w:val="2"/>
          <w:sz w:val="24"/>
          <w:szCs w:val="24"/>
          <w:lang w:val="en-US" w:eastAsia="zh-CN" w:bidi="ar-SA"/>
        </w:rPr>
        <w:t>方承担。</w:t>
      </w:r>
    </w:p>
    <w:p w14:paraId="4227C985">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 w:eastAsia="zh-CN" w:bidi="ar-SA"/>
        </w:rPr>
        <w:t>4.3</w:t>
      </w:r>
      <w:r>
        <w:rPr>
          <w:rFonts w:hint="eastAsia" w:ascii="仿宋" w:hAnsi="仿宋" w:eastAsia="仿宋" w:cs="仿宋"/>
          <w:color w:val="000000"/>
          <w:spacing w:val="0"/>
          <w:w w:val="100"/>
          <w:kern w:val="2"/>
          <w:sz w:val="24"/>
          <w:szCs w:val="24"/>
          <w:lang w:val="en-US" w:eastAsia="zh-CN" w:bidi="ar-SA"/>
        </w:rPr>
        <w:t>□水费、□电费、□燃气费、□</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等费用由</w:t>
      </w:r>
      <w:r>
        <w:rPr>
          <w:rFonts w:hint="eastAsia" w:ascii="仿宋" w:hAnsi="仿宋" w:eastAsia="仿宋" w:cs="仿宋"/>
          <w:color w:val="000000"/>
          <w:spacing w:val="0"/>
          <w:w w:val="100"/>
          <w:kern w:val="2"/>
          <w:sz w:val="24"/>
          <w:szCs w:val="24"/>
          <w:u w:val="single"/>
          <w:lang w:val="en" w:eastAsia="zh-CN" w:bidi="ar-SA"/>
        </w:rPr>
        <w:t xml:space="preserve">          </w:t>
      </w:r>
      <w:r>
        <w:rPr>
          <w:rFonts w:hint="eastAsia" w:ascii="仿宋" w:hAnsi="仿宋" w:eastAsia="仿宋" w:cs="仿宋"/>
          <w:color w:val="000000"/>
          <w:spacing w:val="0"/>
          <w:w w:val="100"/>
          <w:kern w:val="2"/>
          <w:sz w:val="24"/>
          <w:szCs w:val="24"/>
          <w:lang w:val="en-US" w:eastAsia="zh-CN" w:bidi="ar-SA"/>
        </w:rPr>
        <w:t>方承担。</w:t>
      </w:r>
    </w:p>
    <w:p w14:paraId="0AE06C9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4.</w:t>
      </w:r>
      <w:r>
        <w:rPr>
          <w:rFonts w:hint="eastAsia" w:ascii="仿宋" w:hAnsi="仿宋" w:eastAsia="仿宋" w:cs="仿宋"/>
          <w:color w:val="000000"/>
          <w:spacing w:val="0"/>
          <w:w w:val="100"/>
          <w:kern w:val="2"/>
          <w:sz w:val="24"/>
          <w:szCs w:val="24"/>
          <w:lang w:val="en" w:eastAsia="zh-CN" w:bidi="ar-SA"/>
        </w:rPr>
        <w:t>4</w:t>
      </w:r>
      <w:r>
        <w:rPr>
          <w:rFonts w:hint="eastAsia" w:ascii="仿宋" w:hAnsi="仿宋" w:eastAsia="仿宋" w:cs="仿宋"/>
          <w:color w:val="000000"/>
          <w:spacing w:val="0"/>
          <w:w w:val="100"/>
          <w:kern w:val="2"/>
          <w:sz w:val="24"/>
          <w:szCs w:val="24"/>
          <w:lang w:val="en-US" w:eastAsia="zh-CN" w:bidi="ar-SA"/>
        </w:rPr>
        <w:t>□</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等费用由乙方承担。</w:t>
      </w:r>
    </w:p>
    <w:p w14:paraId="0DC2B0E0">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五、人员要求</w:t>
      </w:r>
    </w:p>
    <w:p w14:paraId="216B856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1.服务团队组建。</w:t>
      </w:r>
      <w:r>
        <w:rPr>
          <w:rFonts w:hint="eastAsia" w:ascii="仿宋" w:hAnsi="仿宋" w:eastAsia="仿宋" w:cs="仿宋"/>
          <w:color w:val="000000"/>
          <w:spacing w:val="0"/>
          <w:w w:val="100"/>
          <w:kern w:val="2"/>
          <w:sz w:val="24"/>
          <w:szCs w:val="24"/>
          <w:lang w:val="en-US" w:eastAsia="zh-CN" w:bidi="ar-SA"/>
        </w:rPr>
        <w:t>乙方根据甲方食堂的营业规模合理组建经营服务团队 ，按校区就餐人数和相关实际情况合理配置。</w:t>
      </w:r>
    </w:p>
    <w:p w14:paraId="72E56189">
      <w:pPr>
        <w:keepNext w:val="0"/>
        <w:keepLines w:val="0"/>
        <w:pageBreakBefore w:val="0"/>
        <w:widowControl w:val="0"/>
        <w:tabs>
          <w:tab w:val="left" w:pos="8320"/>
        </w:tabs>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u w:val="single"/>
          <w:lang w:val="en-US" w:eastAsia="zh-CN"/>
        </w:rPr>
      </w:pPr>
      <w:r>
        <w:rPr>
          <w:rFonts w:hint="eastAsia" w:ascii="仿宋" w:hAnsi="仿宋" w:eastAsia="仿宋" w:cs="仿宋"/>
          <w:color w:val="000000"/>
          <w:spacing w:val="0"/>
          <w:w w:val="100"/>
          <w:sz w:val="24"/>
          <w:szCs w:val="24"/>
        </w:rPr>
        <w:t>服务团队负责人</w:t>
      </w:r>
      <w:r>
        <w:rPr>
          <w:rFonts w:hint="eastAsia" w:ascii="仿宋" w:hAnsi="仿宋" w:eastAsia="仿宋" w:cs="仿宋"/>
          <w:color w:val="000000"/>
          <w:spacing w:val="0"/>
          <w:w w:val="100"/>
          <w:sz w:val="24"/>
          <w:szCs w:val="24"/>
          <w:lang w:val="en"/>
        </w:rPr>
        <w:t>:</w:t>
      </w:r>
      <w:r>
        <w:rPr>
          <w:rFonts w:hint="eastAsia" w:ascii="仿宋" w:hAnsi="仿宋" w:eastAsia="仿宋" w:cs="仿宋"/>
          <w:color w:val="000000"/>
          <w:spacing w:val="0"/>
          <w:w w:val="100"/>
          <w:sz w:val="24"/>
          <w:szCs w:val="24"/>
          <w:u w:val="single"/>
          <w:lang w:val="en"/>
        </w:rPr>
        <w:t xml:space="preserve">                                              </w:t>
      </w:r>
      <w:r>
        <w:rPr>
          <w:rFonts w:hint="eastAsia" w:ascii="仿宋" w:hAnsi="仿宋" w:eastAsia="仿宋" w:cs="仿宋"/>
          <w:color w:val="000000"/>
          <w:spacing w:val="0"/>
          <w:w w:val="100"/>
          <w:sz w:val="24"/>
          <w:szCs w:val="24"/>
          <w:u w:val="none"/>
          <w:lang w:val="en" w:eastAsia="zh-CN"/>
        </w:rPr>
        <w:t>联系方式：</w:t>
      </w:r>
      <w:r>
        <w:rPr>
          <w:rFonts w:hint="eastAsia" w:ascii="仿宋" w:hAnsi="仿宋" w:eastAsia="仿宋" w:cs="仿宋"/>
          <w:color w:val="000000"/>
          <w:spacing w:val="0"/>
          <w:w w:val="100"/>
          <w:sz w:val="24"/>
          <w:szCs w:val="24"/>
          <w:u w:val="single"/>
          <w:lang w:val="en-US" w:eastAsia="zh-CN"/>
        </w:rPr>
        <w:t xml:space="preserve">                                       </w:t>
      </w:r>
    </w:p>
    <w:p w14:paraId="327835D5">
      <w:pPr>
        <w:keepNext w:val="0"/>
        <w:keepLines w:val="0"/>
        <w:pageBreakBefore w:val="0"/>
        <w:widowControl w:val="0"/>
        <w:tabs>
          <w:tab w:val="left" w:pos="8320"/>
        </w:tabs>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工作人员配置总人数</w:t>
      </w:r>
      <w:r>
        <w:rPr>
          <w:rFonts w:hint="eastAsia" w:ascii="仿宋" w:hAnsi="仿宋" w:eastAsia="仿宋" w:cs="仿宋"/>
          <w:color w:val="000000"/>
          <w:spacing w:val="0"/>
          <w:w w:val="100"/>
          <w:sz w:val="24"/>
          <w:szCs w:val="24"/>
          <w:lang w:val="en"/>
        </w:rPr>
        <w:t>:</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p>
    <w:p w14:paraId="2C0ED27F">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具体人员安排</w:t>
      </w:r>
      <w:r>
        <w:rPr>
          <w:rFonts w:hint="eastAsia" w:ascii="仿宋" w:hAnsi="仿宋" w:eastAsia="仿宋" w:cs="仿宋"/>
          <w:color w:val="000000"/>
          <w:spacing w:val="0"/>
          <w:w w:val="100"/>
          <w:sz w:val="24"/>
          <w:szCs w:val="24"/>
          <w:lang w:val="en"/>
        </w:rPr>
        <w:t>:</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p>
    <w:p w14:paraId="7F964F0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b/>
          <w:bCs/>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2.人员证明。</w:t>
      </w:r>
    </w:p>
    <w:p w14:paraId="0894068F">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 xml:space="preserve">2.1 工作人员应进行岗前培训，取得“预防性健康体检合格证明”后方可上岗，□厨师、□面点师、□营养师、□ </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等特殊岗位工作人员应取得相关证书。</w:t>
      </w:r>
    </w:p>
    <w:p w14:paraId="2CB370BD">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2.2 乙方应提供由公安部门开具的服务团队工作人员的无犯罪记录证明。</w:t>
      </w:r>
    </w:p>
    <w:p w14:paraId="65771628">
      <w:pPr>
        <w:keepNext w:val="0"/>
        <w:keepLines w:val="0"/>
        <w:pageBreakBefore w:val="0"/>
        <w:widowControl w:val="0"/>
        <w:kinsoku/>
        <w:wordWrap/>
        <w:overflowPunct/>
        <w:topLinePunct w:val="0"/>
        <w:autoSpaceDE w:val="0"/>
        <w:autoSpaceDN/>
        <w:bidi w:val="0"/>
        <w:spacing w:before="0" w:beforeLines="0" w:after="0" w:afterLines="0"/>
        <w:ind w:left="0" w:right="0" w:firstLine="480" w:firstLineChars="200"/>
        <w:jc w:val="both"/>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snapToGrid w:val="0"/>
          <w:color w:val="000000"/>
          <w:spacing w:val="0"/>
          <w:w w:val="100"/>
          <w:kern w:val="0"/>
          <w:sz w:val="24"/>
          <w:szCs w:val="24"/>
          <w:lang w:val="en-US" w:eastAsia="zh-CN" w:bidi="ar-SA"/>
        </w:rPr>
        <w:t>2.3</w:t>
      </w:r>
      <w:r>
        <w:rPr>
          <w:rFonts w:hint="eastAsia" w:ascii="仿宋" w:hAnsi="仿宋" w:eastAsia="仿宋" w:cs="仿宋"/>
          <w:snapToGrid w:val="0"/>
          <w:color w:val="000000"/>
          <w:spacing w:val="0"/>
          <w:w w:val="100"/>
          <w:kern w:val="0"/>
          <w:sz w:val="24"/>
          <w:szCs w:val="24"/>
          <w:lang w:val="en-US" w:eastAsia="en-US" w:bidi="ar-SA"/>
        </w:rPr>
        <w:t>食品安全管理人员</w:t>
      </w:r>
      <w:r>
        <w:rPr>
          <w:rFonts w:hint="eastAsia" w:ascii="仿宋" w:hAnsi="仿宋" w:eastAsia="仿宋" w:cs="仿宋"/>
          <w:snapToGrid w:val="0"/>
          <w:color w:val="000000"/>
          <w:spacing w:val="0"/>
          <w:w w:val="100"/>
          <w:kern w:val="0"/>
          <w:sz w:val="24"/>
          <w:szCs w:val="24"/>
          <w:lang w:val="en-US" w:eastAsia="zh-CN" w:bidi="ar-SA"/>
        </w:rPr>
        <w:t>提供</w:t>
      </w:r>
      <w:r>
        <w:rPr>
          <w:rFonts w:hint="eastAsia" w:ascii="仿宋" w:hAnsi="仿宋" w:eastAsia="仿宋" w:cs="仿宋"/>
          <w:snapToGrid w:val="0"/>
          <w:color w:val="000000"/>
          <w:spacing w:val="0"/>
          <w:w w:val="100"/>
          <w:kern w:val="0"/>
          <w:sz w:val="24"/>
          <w:szCs w:val="24"/>
          <w:lang w:val="en-US" w:eastAsia="en-US" w:bidi="ar-SA"/>
        </w:rPr>
        <w:t>三年以上实体店餐饮服务管理经验</w:t>
      </w:r>
      <w:r>
        <w:rPr>
          <w:rFonts w:hint="eastAsia" w:ascii="仿宋" w:hAnsi="仿宋" w:eastAsia="仿宋" w:cs="仿宋"/>
          <w:snapToGrid w:val="0"/>
          <w:color w:val="000000"/>
          <w:spacing w:val="0"/>
          <w:w w:val="100"/>
          <w:kern w:val="0"/>
          <w:sz w:val="24"/>
          <w:szCs w:val="24"/>
          <w:lang w:val="en-US" w:eastAsia="zh-CN" w:bidi="ar-SA"/>
        </w:rPr>
        <w:t>证明。</w:t>
      </w:r>
    </w:p>
    <w:p w14:paraId="0593AEC1">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六、甲方权利与义务</w:t>
      </w:r>
    </w:p>
    <w:p w14:paraId="27D374F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 xml:space="preserve">1.主体责任。 </w:t>
      </w:r>
      <w:r>
        <w:rPr>
          <w:rFonts w:hint="eastAsia" w:ascii="仿宋" w:hAnsi="仿宋" w:eastAsia="仿宋" w:cs="仿宋"/>
          <w:color w:val="000000"/>
          <w:spacing w:val="0"/>
          <w:w w:val="100"/>
          <w:kern w:val="2"/>
          <w:sz w:val="24"/>
          <w:szCs w:val="24"/>
          <w:lang w:val="en-US" w:eastAsia="zh-CN" w:bidi="ar-SA"/>
        </w:rPr>
        <w:t>甲方应取得学校食堂《食品经营许可证》，承担食品安全主体责任 ，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 ，发现问题及时督促整改。</w:t>
      </w:r>
    </w:p>
    <w:p w14:paraId="34169C68">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2.人员配备。</w:t>
      </w:r>
      <w:r>
        <w:rPr>
          <w:rFonts w:hint="eastAsia" w:ascii="仿宋" w:hAnsi="仿宋" w:eastAsia="仿宋" w:cs="仿宋"/>
          <w:color w:val="000000"/>
          <w:spacing w:val="0"/>
          <w:w w:val="100"/>
          <w:kern w:val="2"/>
          <w:sz w:val="24"/>
          <w:szCs w:val="24"/>
          <w:lang w:val="en-US" w:eastAsia="zh-CN" w:bidi="ar-SA"/>
        </w:rPr>
        <w:t>甲方应按照《企业落实食品安全主体责任监督管理规定》配备专职食品安全总监</w:t>
      </w:r>
      <w:r>
        <w:rPr>
          <w:rFonts w:hint="eastAsia" w:ascii="仿宋" w:hAnsi="仿宋" w:eastAsia="仿宋" w:cs="仿宋"/>
          <w:color w:val="000000"/>
          <w:spacing w:val="0"/>
          <w:w w:val="100"/>
          <w:kern w:val="2"/>
          <w:sz w:val="24"/>
          <w:szCs w:val="24"/>
          <w:lang w:val="en" w:eastAsia="zh-CN" w:bidi="ar-SA"/>
        </w:rPr>
        <w:t>/</w:t>
      </w:r>
      <w:r>
        <w:rPr>
          <w:rFonts w:hint="eastAsia" w:ascii="仿宋" w:hAnsi="仿宋" w:eastAsia="仿宋" w:cs="仿宋"/>
          <w:color w:val="000000"/>
          <w:spacing w:val="0"/>
          <w:w w:val="100"/>
          <w:kern w:val="2"/>
          <w:sz w:val="24"/>
          <w:szCs w:val="24"/>
          <w:lang w:val="en-US" w:eastAsia="zh-CN" w:bidi="ar-SA"/>
        </w:rPr>
        <w:t>食品安全员， 结合学校实际细化制定《食品安全总监职责》《食品安全员守则》，落实食品安全“ 日管控、周排查、月调度”制度， 同时督促乙方配备相应专职食品安全总监/食品安全员。</w:t>
      </w:r>
    </w:p>
    <w:p w14:paraId="04414DF6">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3.食材采购（择一适用）。</w:t>
      </w:r>
    </w:p>
    <w:p w14:paraId="065B5E01">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□甲方采购的大宗食品 ，应按相关要求选择供货商，签订供货协议。加强食品供货商管理，建立食品供货商退出机制。</w:t>
      </w:r>
    </w:p>
    <w:p w14:paraId="3B26321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□甲方采购的大宗食品，应实行公开招标选择供货商，签订供货协议。加强食品供货商管理 ，建立食品供货商退出机制。</w:t>
      </w:r>
    </w:p>
    <w:p w14:paraId="7C1B5B0D">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4.食材验收。</w:t>
      </w:r>
      <w:r>
        <w:rPr>
          <w:rFonts w:hint="eastAsia" w:ascii="仿宋" w:hAnsi="仿宋" w:eastAsia="仿宋" w:cs="仿宋"/>
          <w:color w:val="000000"/>
          <w:spacing w:val="0"/>
          <w:w w:val="100"/>
          <w:kern w:val="2"/>
          <w:sz w:val="24"/>
          <w:szCs w:val="24"/>
          <w:lang w:val="en-US" w:eastAsia="zh-CN" w:bidi="ar-SA"/>
        </w:rPr>
        <w:t>甲方应建立健全食材采购验收机制，落实食材索证索票制度，建立采购台账，不得采购腐败变质、有毒有害、来历不明的食品原料及食品。发现采购的食材有腐败变质或不符合食品安全要求的 ，应拒绝接收。</w:t>
      </w:r>
    </w:p>
    <w:p w14:paraId="45DE9DA1">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5.食材检测。</w:t>
      </w:r>
      <w:r>
        <w:rPr>
          <w:rFonts w:hint="eastAsia" w:ascii="仿宋" w:hAnsi="仿宋" w:eastAsia="仿宋" w:cs="仿宋"/>
          <w:color w:val="000000"/>
          <w:spacing w:val="0"/>
          <w:w w:val="100"/>
          <w:kern w:val="2"/>
          <w:sz w:val="24"/>
          <w:szCs w:val="24"/>
          <w:lang w:val="en-US" w:eastAsia="zh-CN" w:bidi="ar-SA"/>
        </w:rPr>
        <w:t>甲方积极配置食用农产品快检设施，与乙方共 同对食堂采购的蔬菜、肉、腌制品、食用油等进行快速检测，建立快检不合格处置机制 ，保证食材采购的安全。</w:t>
      </w:r>
    </w:p>
    <w:p w14:paraId="5326A980">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b w:val="0"/>
          <w:bCs w:val="0"/>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6.经营保障。</w:t>
      </w:r>
      <w:r>
        <w:rPr>
          <w:rFonts w:hint="eastAsia" w:ascii="仿宋" w:hAnsi="仿宋" w:eastAsia="仿宋" w:cs="仿宋"/>
          <w:b w:val="0"/>
          <w:bCs w:val="0"/>
          <w:color w:val="000000"/>
          <w:spacing w:val="0"/>
          <w:w w:val="100"/>
          <w:kern w:val="2"/>
          <w:sz w:val="24"/>
          <w:szCs w:val="24"/>
          <w:lang w:val="en-US" w:eastAsia="zh-CN" w:bidi="ar-SA"/>
        </w:rPr>
        <w:t>甲方应保证乙方在履约情况下正常的经营环境 （包括水、 电、天然气的正常供应等），提供食堂主体运行所需证件，学校有重大活动、放假或停水停电等情况时，应提前</w:t>
      </w:r>
      <w:r>
        <w:rPr>
          <w:rFonts w:hint="eastAsia" w:ascii="仿宋" w:hAnsi="仿宋" w:eastAsia="仿宋" w:cs="仿宋"/>
          <w:b w:val="0"/>
          <w:bCs w:val="0"/>
          <w:color w:val="000000"/>
          <w:spacing w:val="0"/>
          <w:w w:val="100"/>
          <w:kern w:val="2"/>
          <w:sz w:val="24"/>
          <w:szCs w:val="24"/>
          <w:u w:val="single"/>
          <w:lang w:val="en-US" w:eastAsia="zh-CN" w:bidi="ar-SA"/>
        </w:rPr>
        <w:t xml:space="preserve">       </w:t>
      </w:r>
      <w:r>
        <w:rPr>
          <w:rFonts w:hint="eastAsia" w:ascii="仿宋" w:hAnsi="仿宋" w:eastAsia="仿宋" w:cs="仿宋"/>
          <w:b w:val="0"/>
          <w:bCs w:val="0"/>
          <w:color w:val="000000"/>
          <w:spacing w:val="0"/>
          <w:w w:val="100"/>
          <w:kern w:val="2"/>
          <w:sz w:val="24"/>
          <w:szCs w:val="24"/>
          <w:lang w:val="en-US" w:eastAsia="zh-CN" w:bidi="ar-SA"/>
        </w:rPr>
        <w:t>个工作日通知乙方及时调整保障计划。</w:t>
      </w:r>
    </w:p>
    <w:p w14:paraId="1F3F622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b w:val="0"/>
          <w:bCs w:val="0"/>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7.财务管理。</w:t>
      </w:r>
      <w:r>
        <w:rPr>
          <w:rFonts w:hint="eastAsia" w:ascii="仿宋" w:hAnsi="仿宋" w:eastAsia="仿宋" w:cs="仿宋"/>
          <w:b w:val="0"/>
          <w:bCs w:val="0"/>
          <w:color w:val="000000"/>
          <w:spacing w:val="0"/>
          <w:w w:val="100"/>
          <w:kern w:val="2"/>
          <w:sz w:val="24"/>
          <w:szCs w:val="24"/>
          <w:lang w:val="en-US" w:eastAsia="zh-CN" w:bidi="ar-SA"/>
        </w:rPr>
        <w:t>甲方负责食堂的账务处理、原料采购及销售定价。</w:t>
      </w:r>
    </w:p>
    <w:p w14:paraId="127F6588">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b w:val="0"/>
          <w:bCs w:val="0"/>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8.供餐服务。</w:t>
      </w:r>
      <w:r>
        <w:rPr>
          <w:rFonts w:hint="eastAsia" w:ascii="仿宋" w:hAnsi="仿宋" w:eastAsia="仿宋" w:cs="仿宋"/>
          <w:b w:val="0"/>
          <w:bCs w:val="0"/>
          <w:color w:val="000000"/>
          <w:spacing w:val="0"/>
          <w:w w:val="100"/>
          <w:kern w:val="2"/>
          <w:sz w:val="24"/>
          <w:szCs w:val="24"/>
          <w:lang w:val="en-US" w:eastAsia="zh-CN" w:bidi="ar-SA"/>
        </w:rPr>
        <w:t>甲方应制定供餐标准供乙方执行。</w:t>
      </w:r>
    </w:p>
    <w:p w14:paraId="10D9FC7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9.校园智治。</w:t>
      </w:r>
      <w:r>
        <w:rPr>
          <w:rFonts w:hint="eastAsia" w:ascii="仿宋" w:hAnsi="仿宋" w:eastAsia="仿宋" w:cs="仿宋"/>
          <w:b w:val="0"/>
          <w:bCs w:val="0"/>
          <w:color w:val="000000"/>
          <w:spacing w:val="0"/>
          <w:w w:val="100"/>
          <w:kern w:val="2"/>
          <w:sz w:val="24"/>
          <w:szCs w:val="24"/>
          <w:lang w:val="en-US" w:eastAsia="zh-CN" w:bidi="ar-SA"/>
        </w:rPr>
        <w:t>甲方做好食堂基础信息、人员管理以及“ 明厨亮灶”“互联网+明厨亮灶”动态维护，对视频不清晰、掉线、转位、移位的及时修复。鼓励通过数字化系统完成电子台账、</w:t>
      </w:r>
      <w:r>
        <w:rPr>
          <w:rFonts w:hint="eastAsia" w:ascii="仿宋" w:hAnsi="仿宋" w:eastAsia="仿宋" w:cs="仿宋"/>
          <w:color w:val="000000"/>
          <w:spacing w:val="0"/>
          <w:w w:val="100"/>
          <w:kern w:val="2"/>
          <w:sz w:val="24"/>
          <w:szCs w:val="24"/>
          <w:lang w:val="en-US" w:eastAsia="zh-CN" w:bidi="ar-SA"/>
        </w:rPr>
        <w:t>校园陪餐等日常管理信息。</w:t>
      </w:r>
    </w:p>
    <w:p w14:paraId="0DD1E88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 xml:space="preserve">10.“ 三防 ”配备。 </w:t>
      </w:r>
      <w:r>
        <w:rPr>
          <w:rFonts w:hint="eastAsia" w:ascii="仿宋" w:hAnsi="仿宋" w:eastAsia="仿宋" w:cs="仿宋"/>
          <w:color w:val="000000"/>
          <w:spacing w:val="0"/>
          <w:w w:val="100"/>
          <w:kern w:val="2"/>
          <w:sz w:val="24"/>
          <w:szCs w:val="24"/>
          <w:lang w:val="en-US" w:eastAsia="zh-CN" w:bidi="ar-SA"/>
        </w:rPr>
        <w:t>甲方应当配齐防蝇、防尘、防鼠等“ 三防 ”设备设施。</w:t>
      </w:r>
    </w:p>
    <w:p w14:paraId="70603AB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11.互动机制。</w:t>
      </w:r>
      <w:r>
        <w:rPr>
          <w:rFonts w:hint="eastAsia" w:ascii="仿宋" w:hAnsi="仿宋" w:eastAsia="仿宋" w:cs="仿宋"/>
          <w:color w:val="000000"/>
          <w:spacing w:val="0"/>
          <w:w w:val="100"/>
          <w:kern w:val="2"/>
          <w:sz w:val="24"/>
          <w:szCs w:val="24"/>
          <w:lang w:val="en-US" w:eastAsia="zh-CN" w:bidi="ar-SA"/>
        </w:rPr>
        <w:t xml:space="preserve"> 甲方应建立食堂问题投诉渠道和反馈机制。通过学校网站、电话、公众号、邮箱等方式引导家长或学生共同参与校园食品安全管理，按照规定每学期组织家长或学生代表进行交流与沟通机制 ，并进行供餐满意度测评。</w:t>
      </w:r>
    </w:p>
    <w:p w14:paraId="7E54667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12. 宣传教育。</w:t>
      </w:r>
      <w:r>
        <w:rPr>
          <w:rFonts w:hint="eastAsia" w:ascii="仿宋" w:hAnsi="仿宋" w:eastAsia="仿宋" w:cs="仿宋"/>
          <w:color w:val="000000"/>
          <w:spacing w:val="0"/>
          <w:w w:val="100"/>
          <w:kern w:val="2"/>
          <w:sz w:val="24"/>
          <w:szCs w:val="24"/>
          <w:lang w:val="en-US" w:eastAsia="zh-CN" w:bidi="ar-SA"/>
        </w:rPr>
        <w:t xml:space="preserve"> 甲方对食堂的宣传标语、宣传海报、宣传资料等内容进行审核和管理。</w:t>
      </w:r>
    </w:p>
    <w:p w14:paraId="629CB9BB">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13.违规处置。</w:t>
      </w:r>
      <w:r>
        <w:rPr>
          <w:rFonts w:hint="eastAsia" w:ascii="仿宋" w:hAnsi="仿宋" w:eastAsia="仿宋" w:cs="仿宋"/>
          <w:color w:val="000000"/>
          <w:spacing w:val="0"/>
          <w:w w:val="100"/>
          <w:kern w:val="2"/>
          <w:sz w:val="24"/>
          <w:szCs w:val="24"/>
          <w:lang w:val="en-US" w:eastAsia="zh-CN" w:bidi="ar-SA"/>
        </w:rPr>
        <w:t xml:space="preserve"> 甲方有权要求乙方撤换不称职或不遵守校纪校规的从业人员。</w:t>
      </w:r>
    </w:p>
    <w:p w14:paraId="707B964B">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 xml:space="preserve">14.  </w:t>
      </w:r>
      <w:r>
        <w:rPr>
          <w:rFonts w:hint="eastAsia" w:ascii="仿宋" w:hAnsi="仿宋" w:eastAsia="仿宋" w:cs="仿宋"/>
          <w:color w:val="000000"/>
          <w:spacing w:val="0"/>
          <w:w w:val="100"/>
          <w:kern w:val="2"/>
          <w:sz w:val="24"/>
          <w:szCs w:val="24"/>
          <w:u w:val="single" w:color="auto"/>
          <w:lang w:val="en-US" w:eastAsia="zh-CN" w:bidi="ar-SA"/>
        </w:rPr>
        <w:t xml:space="preserve">                                                                                                                                   </w:t>
      </w:r>
    </w:p>
    <w:p w14:paraId="12045E1C">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七、乙方权利与义务</w:t>
      </w:r>
    </w:p>
    <w:p w14:paraId="1D1E51CC">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1.费用约定。乙方有权按照合同约定收取费用。</w:t>
      </w:r>
    </w:p>
    <w:p w14:paraId="09058617">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2.资质要求。乙方依法取得食品经营许可证，含餐饮服务管理经营项目。</w:t>
      </w:r>
    </w:p>
    <w:p w14:paraId="7DEAA14A">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3.规范执行</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乙方应严格遵守《食品安全法》《学校食品安全与营养健康管理规定》《GB31654—2021食品安全国家标准餐饮服务通用卫生规范》《餐饮服务食品安全操作规范》等要求</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履行食品安全管理责任</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 xml:space="preserve"> 主动接受甲方的监督和管理。</w:t>
      </w:r>
    </w:p>
    <w:p w14:paraId="2608C30F">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乙方应严格规范食品加工管理</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 xml:space="preserve">保持加工经营场所内外环境整洁 </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实施原料采购、粗加工、切配、烹饪、供餐、留样、餐用具清洗消毒保洁全过程控制管理。积极落实色标管理制度等要求。</w:t>
      </w:r>
    </w:p>
    <w:p w14:paraId="6171EA36">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4. 两员责任。乙方应按照《企业落实食品安全主体责任监督管理规定》配备食品安全总监/食品安全员， 落实 “ 日管控、 周排查、月调度 ” 制度要求， 同甲方食品安全管理人员共同开展食堂食品安全日常管理。</w:t>
      </w:r>
    </w:p>
    <w:p w14:paraId="131A77C8">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5.用工管理。乙方应根据合同约定组建服务团队。乙方应与聘用的员工签订用工协议，与甲方没有人事依附关系， 自行承担用工纠纷的处理和工伤等相关经济和法律责任。乙方员工应严格遵守国家法律法规和甲方单位的各项规章制度。同时，乙方负责员工 的生产安全（包括车辆交通安全），并根据责任划分承担相应的责任。 乙方应为员工缴纳相关保险。</w:t>
      </w:r>
    </w:p>
    <w:p w14:paraId="2F3BBDEF">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6.人员管理。乙方应严格从业人员健康管理，制定实施从业人员食品安全培训考核计划。聘用的食品从业人员应持有效健康 证明，经培训合格后上岗并留存记录</w:t>
      </w:r>
      <w:r>
        <w:rPr>
          <w:rFonts w:hint="eastAsia" w:ascii="仿宋" w:hAnsi="仿宋" w:eastAsia="仿宋" w:cs="仿宋"/>
          <w:color w:val="000000"/>
          <w:spacing w:val="0"/>
          <w:w w:val="100"/>
          <w:kern w:val="2"/>
          <w:sz w:val="24"/>
          <w:szCs w:val="24"/>
          <w:lang w:val="en" w:eastAsia="zh-CN" w:bidi="ar-SA"/>
        </w:rPr>
        <w:t>,</w:t>
      </w:r>
      <w:r>
        <w:rPr>
          <w:rFonts w:hint="eastAsia" w:ascii="仿宋" w:hAnsi="仿宋" w:eastAsia="仿宋" w:cs="仿宋"/>
          <w:color w:val="000000"/>
          <w:spacing w:val="0"/>
          <w:w w:val="100"/>
          <w:kern w:val="2"/>
          <w:sz w:val="24"/>
          <w:szCs w:val="24"/>
          <w:lang w:val="en-US" w:eastAsia="zh-CN" w:bidi="ar-SA"/>
        </w:rPr>
        <w:t>按规定每日晨检，穿戴整洁的工作服、帽子、 口罩 ，禁止无关人员进入厨房。</w:t>
      </w:r>
    </w:p>
    <w:p w14:paraId="6307436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7.采购验收。乙方应积极协助甲方开展食材验收、台账建立等工作。发现采购的食材有腐败变质或不符合食品安全要求的，应拒绝接收。</w:t>
      </w:r>
    </w:p>
    <w:p w14:paraId="7741E0AE">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8.病媒防护</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乙方应做好老鼠、蟑螂、蝇（虫）等病媒生物防护工作</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垃圾做到日产日清</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定期检查库房、操作间、橱柜</w:t>
      </w:r>
      <w:r>
        <w:rPr>
          <w:rFonts w:hint="eastAsia" w:ascii="仿宋" w:hAnsi="仿宋" w:eastAsia="仿宋" w:cs="仿宋"/>
          <w:color w:val="000000"/>
          <w:spacing w:val="0"/>
          <w:w w:val="100"/>
          <w:sz w:val="24"/>
          <w:szCs w:val="24"/>
          <w:lang w:eastAsia="zh-CN"/>
        </w:rPr>
        <w:t>等</w:t>
      </w:r>
      <w:r>
        <w:rPr>
          <w:rFonts w:hint="eastAsia" w:ascii="仿宋" w:hAnsi="仿宋" w:eastAsia="仿宋" w:cs="仿宋"/>
          <w:color w:val="000000"/>
          <w:spacing w:val="0"/>
          <w:w w:val="100"/>
          <w:sz w:val="24"/>
          <w:szCs w:val="24"/>
        </w:rPr>
        <w:t xml:space="preserve">设施设备 </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采取有效措施消除四害</w:t>
      </w:r>
      <w:r>
        <w:rPr>
          <w:rFonts w:hint="eastAsia" w:ascii="仿宋" w:hAnsi="仿宋" w:eastAsia="仿宋" w:cs="仿宋"/>
          <w:color w:val="000000"/>
          <w:spacing w:val="0"/>
          <w:w w:val="100"/>
          <w:sz w:val="24"/>
          <w:szCs w:val="24"/>
          <w:lang w:eastAsia="zh-CN"/>
        </w:rPr>
        <w:t>孳生</w:t>
      </w:r>
      <w:r>
        <w:rPr>
          <w:rFonts w:hint="eastAsia" w:ascii="仿宋" w:hAnsi="仿宋" w:eastAsia="仿宋" w:cs="仿宋"/>
          <w:color w:val="000000"/>
          <w:spacing w:val="0"/>
          <w:w w:val="100"/>
          <w:sz w:val="24"/>
          <w:szCs w:val="24"/>
        </w:rPr>
        <w:t>条件。</w:t>
      </w:r>
    </w:p>
    <w:p w14:paraId="02974C0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9.体系导入。乙方积极导入“4D ”“五常法”“6T ”等现场管理方法或建立HACCP 、ISO22000 等危害分析与关键控制点体系，实施专业化、规范化、系统化管理。</w:t>
      </w:r>
    </w:p>
    <w:p w14:paraId="7121896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10.供餐管理。 乙方应配合甲方降低成本控制 ，根据就餐情况合理制定菜单和采购数量，加工过程控制食材损耗和浪费、节约用水、用电、用气等。</w:t>
      </w:r>
    </w:p>
    <w:p w14:paraId="55832BE7">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11.供餐约定。 乙方应按照甲方要求的供餐时间与标准 ，合理制定每周带量营养食谱，并积极创新菜品，定期更新菜谱，增加花色品种，不断调整口味提高伙食质量，满足师生需求，提升满意度。</w:t>
      </w:r>
    </w:p>
    <w:p w14:paraId="4725A78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12.设备管理。 乙方负责对甲方提供的房产及设施设备的管理，如定期清洗烟道，保持烟道畅通等，做到无事故隐患，设备完好，承担因管理不当而引起的损失，对于发现隐患或自然损耗需要进行维修的，乙方应及时跟甲方提出维修要求。</w:t>
      </w:r>
    </w:p>
    <w:p w14:paraId="48EDA79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13.食安责任。 乙方因经营管理失职造成食源性疾病、人身损害及其他安全事故，乙方应承担相应的安全责任，并赔偿由此产生的相应损失。</w:t>
      </w:r>
    </w:p>
    <w:p w14:paraId="56152941">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14.值班巡查。 乙方应落实食堂安全值班制 ，保证用火用电用水用气安全，食堂内部用火用电、用气应符合消防安全规定，严禁私拉电线、严禁违章用电 ，每天下班前，专人负责对食堂电源、天然气、水、 门窗等设施进行安全检查 ，并做好台账记录。</w:t>
      </w:r>
    </w:p>
    <w:p w14:paraId="44CEABFC">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15.消防安全</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 xml:space="preserve"> 乙方应定期检查和维护消防器材和设施、</w:t>
      </w:r>
      <w:r>
        <w:rPr>
          <w:rFonts w:hint="eastAsia" w:ascii="仿宋" w:hAnsi="仿宋" w:eastAsia="仿宋" w:cs="仿宋"/>
          <w:color w:val="000000"/>
          <w:spacing w:val="0"/>
          <w:w w:val="100"/>
          <w:sz w:val="24"/>
          <w:szCs w:val="24"/>
          <w:lang w:eastAsia="zh-CN"/>
        </w:rPr>
        <w:t>如</w:t>
      </w:r>
      <w:r>
        <w:rPr>
          <w:rFonts w:hint="eastAsia" w:ascii="仿宋" w:hAnsi="仿宋" w:eastAsia="仿宋" w:cs="仿宋"/>
          <w:color w:val="000000"/>
          <w:spacing w:val="0"/>
          <w:w w:val="100"/>
          <w:sz w:val="24"/>
          <w:szCs w:val="24"/>
        </w:rPr>
        <w:t>有破损应及时向甲方提出报修</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定期开展消防演练</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培训员工疏散逃生、有效使用消防器材</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 xml:space="preserve"> 掌握报警求救等应急处理技能。</w:t>
      </w:r>
    </w:p>
    <w:p w14:paraId="3E86CE39">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lang w:eastAsia="zh-CN"/>
        </w:rPr>
      </w:pPr>
      <w:r>
        <w:rPr>
          <w:rFonts w:hint="eastAsia" w:ascii="仿宋" w:hAnsi="仿宋" w:eastAsia="仿宋" w:cs="仿宋"/>
          <w:color w:val="000000"/>
          <w:spacing w:val="0"/>
          <w:w w:val="100"/>
          <w:sz w:val="24"/>
          <w:szCs w:val="24"/>
        </w:rPr>
        <w:t>16.服务约定</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不以任何形式转租、转让、抵押服务区域</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在服务区域内只从事</w:t>
      </w:r>
      <w:r>
        <w:rPr>
          <w:rFonts w:hint="eastAsia" w:ascii="仿宋" w:hAnsi="仿宋" w:eastAsia="仿宋" w:cs="仿宋"/>
          <w:color w:val="000000"/>
          <w:spacing w:val="0"/>
          <w:w w:val="100"/>
          <w:sz w:val="24"/>
          <w:szCs w:val="24"/>
          <w:lang w:eastAsia="zh-CN"/>
        </w:rPr>
        <w:t>双方约定</w:t>
      </w:r>
      <w:r>
        <w:rPr>
          <w:rFonts w:hint="eastAsia" w:ascii="仿宋" w:hAnsi="仿宋" w:eastAsia="仿宋" w:cs="仿宋"/>
          <w:color w:val="000000"/>
          <w:spacing w:val="0"/>
          <w:w w:val="100"/>
          <w:sz w:val="24"/>
          <w:szCs w:val="24"/>
        </w:rPr>
        <w:t>的服务工作。</w:t>
      </w:r>
    </w:p>
    <w:p w14:paraId="5F54B67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color w:val="000000"/>
          <w:spacing w:val="0"/>
          <w:w w:val="100"/>
          <w:kern w:val="2"/>
          <w:sz w:val="24"/>
          <w:szCs w:val="24"/>
          <w:lang w:val="en-US" w:eastAsia="en-US" w:bidi="ar-SA"/>
        </w:rPr>
        <w:t>17.廉洁要求</w:t>
      </w:r>
      <w:r>
        <w:rPr>
          <w:rFonts w:hint="eastAsia" w:ascii="仿宋" w:hAnsi="仿宋" w:eastAsia="仿宋" w:cs="仿宋"/>
          <w:color w:val="000000"/>
          <w:spacing w:val="0"/>
          <w:w w:val="100"/>
          <w:kern w:val="2"/>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 xml:space="preserve"> 乙方不得以任何理由向甲方工作人员行贿</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甲方人员也不得以任何形式向相关人员索贿。</w:t>
      </w:r>
    </w:p>
    <w:p w14:paraId="4F2FB8CD">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18. □乙方应配有相关资质证书的营养师 ，每周定期向甲方申报由营养师制定的食堂菜单，报甲方同意后实施。乙方有责任向甲方提供学生病号餐。</w:t>
      </w:r>
    </w:p>
    <w:p w14:paraId="4DDFC7D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19. □</w:t>
      </w:r>
      <w:r>
        <w:rPr>
          <w:rFonts w:hint="eastAsia" w:ascii="仿宋" w:hAnsi="仿宋" w:eastAsia="仿宋" w:cs="仿宋"/>
          <w:color w:val="000000"/>
          <w:spacing w:val="0"/>
          <w:w w:val="100"/>
          <w:kern w:val="2"/>
          <w:sz w:val="24"/>
          <w:szCs w:val="24"/>
          <w:u w:val="single" w:color="auto"/>
          <w:lang w:val="en-US" w:eastAsia="zh-CN" w:bidi="ar-SA"/>
        </w:rPr>
        <w:t xml:space="preserve">                                                                                    </w:t>
      </w:r>
    </w:p>
    <w:p w14:paraId="3C009C88">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八、合同解除</w:t>
      </w:r>
    </w:p>
    <w:p w14:paraId="38A1F917">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1.双方协商一致可以解除合同，并妥善处理好合同解除后的相关事宜，如空档期的食堂餐饮供应等。</w:t>
      </w:r>
    </w:p>
    <w:p w14:paraId="1D06799B">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2.甲方有以下行为之一 的， 乙方可以解除合同：</w:t>
      </w:r>
    </w:p>
    <w:p w14:paraId="731CE190">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2.1 甲方未按要求取得学校食堂《食品经营许可证》；</w:t>
      </w:r>
    </w:p>
    <w:p w14:paraId="3FFD6E65">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2.2 甲方拒绝履行提供水、电、气、暖等必要经营条件， 乙方无法继续经营的；</w:t>
      </w:r>
    </w:p>
    <w:p w14:paraId="39E1921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2.3 其它</w:t>
      </w:r>
      <w:r>
        <w:rPr>
          <w:rFonts w:hint="eastAsia" w:ascii="仿宋" w:hAnsi="仿宋" w:eastAsia="仿宋" w:cs="仿宋"/>
          <w:color w:val="000000"/>
          <w:spacing w:val="0"/>
          <w:w w:val="100"/>
          <w:kern w:val="2"/>
          <w:sz w:val="24"/>
          <w:szCs w:val="24"/>
          <w:u w:val="single" w:color="auto"/>
          <w:lang w:val="en-US" w:eastAsia="zh-CN" w:bidi="ar-SA"/>
        </w:rPr>
        <w:t xml:space="preserve">                                                                          </w:t>
      </w:r>
    </w:p>
    <w:p w14:paraId="270712AA">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3. 乙方发生以下情形之一 的 ，甲方可以解除合同，并承担相关后果：</w:t>
      </w:r>
    </w:p>
    <w:p w14:paraId="71CBFE7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3.1 违反相关法律法规，被市场监督管理部门吊销或注销营业执照、食品经营许可证的；</w:t>
      </w:r>
    </w:p>
    <w:p w14:paraId="58433EB1">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snapToGrid w:val="0"/>
          <w:color w:val="000000"/>
          <w:spacing w:val="0"/>
          <w:w w:val="100"/>
          <w:kern w:val="0"/>
          <w:sz w:val="24"/>
          <w:szCs w:val="24"/>
          <w:lang w:val="en-US" w:eastAsia="en-US" w:bidi="ar-SA"/>
        </w:rPr>
        <w:t>3.2 乙方因食品安全、安全生产等问题</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造成师生食物中毒（ 一般食品安全事故及以上等级的）或其他食源性疾病等重大安</w:t>
      </w:r>
      <w:r>
        <w:rPr>
          <w:rFonts w:hint="eastAsia" w:ascii="仿宋" w:hAnsi="仿宋" w:eastAsia="仿宋" w:cs="仿宋"/>
          <w:color w:val="000000"/>
          <w:spacing w:val="0"/>
          <w:w w:val="100"/>
          <w:kern w:val="2"/>
          <w:sz w:val="24"/>
          <w:szCs w:val="24"/>
          <w:lang w:val="en-US" w:eastAsia="zh-CN" w:bidi="ar-SA"/>
        </w:rPr>
        <w:t>全事故的， 甲方有权无条件终止合同；</w:t>
      </w:r>
    </w:p>
    <w:p w14:paraId="1A6FDC31">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3.3 发生转包、分包供餐业务的，或擅自更换履约人等其他违反法律法规或供餐合同行为的；</w:t>
      </w:r>
    </w:p>
    <w:p w14:paraId="60E6D6ED">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3.4 未按供餐服务合同约定建立相关制度或执行制度不力</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 xml:space="preserve"> 经营管理混乱</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存在食品安全隐患</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被市场监督管理部门下达整改且限期整改不力的或者一年内被市场监管部门行政处罚、通报（包括暗访）</w:t>
      </w:r>
      <w:r>
        <w:rPr>
          <w:rFonts w:hint="eastAsia" w:ascii="仿宋" w:hAnsi="仿宋" w:eastAsia="仿宋" w:cs="仿宋"/>
          <w:snapToGrid w:val="0"/>
          <w:color w:val="000000"/>
          <w:spacing w:val="0"/>
          <w:w w:val="100"/>
          <w:kern w:val="0"/>
          <w:sz w:val="24"/>
          <w:szCs w:val="24"/>
          <w:u w:val="single"/>
          <w:lang w:val="en-US" w:eastAsia="en-US" w:bidi="ar-SA"/>
        </w:rPr>
        <w:t xml:space="preserve">       </w:t>
      </w:r>
      <w:r>
        <w:rPr>
          <w:rFonts w:hint="eastAsia" w:ascii="仿宋" w:hAnsi="仿宋" w:eastAsia="仿宋" w:cs="仿宋"/>
          <w:snapToGrid w:val="0"/>
          <w:color w:val="000000"/>
          <w:spacing w:val="0"/>
          <w:w w:val="100"/>
          <w:kern w:val="0"/>
          <w:sz w:val="24"/>
          <w:szCs w:val="24"/>
          <w:lang w:val="en-US" w:eastAsia="en-US" w:bidi="ar-SA"/>
        </w:rPr>
        <w:t>次以上的；</w:t>
      </w:r>
    </w:p>
    <w:p w14:paraId="144A0060">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zh-CN" w:bidi="ar-SA"/>
        </w:rPr>
        <w:t>3.5 互联网+明厨亮灶未保持在线状态且对各级市场监管部门整改要求拒不整改，刻意躲避监管的；</w:t>
      </w:r>
    </w:p>
    <w:p w14:paraId="6EDFACDC">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3.</w:t>
      </w:r>
      <w:r>
        <w:rPr>
          <w:rFonts w:hint="eastAsia" w:ascii="仿宋" w:hAnsi="仿宋" w:eastAsia="仿宋" w:cs="仿宋"/>
          <w:snapToGrid w:val="0"/>
          <w:color w:val="000000"/>
          <w:spacing w:val="0"/>
          <w:w w:val="100"/>
          <w:kern w:val="0"/>
          <w:sz w:val="24"/>
          <w:szCs w:val="24"/>
          <w:lang w:val="en-US" w:eastAsia="zh-CN" w:bidi="ar-SA"/>
        </w:rPr>
        <w:t>6</w:t>
      </w:r>
      <w:r>
        <w:rPr>
          <w:rFonts w:hint="eastAsia" w:ascii="仿宋" w:hAnsi="仿宋" w:eastAsia="仿宋" w:cs="仿宋"/>
          <w:snapToGrid w:val="0"/>
          <w:color w:val="000000"/>
          <w:spacing w:val="0"/>
          <w:w w:val="100"/>
          <w:kern w:val="0"/>
          <w:sz w:val="24"/>
          <w:szCs w:val="24"/>
          <w:lang w:val="en-US" w:eastAsia="en-US" w:bidi="ar-SA"/>
        </w:rPr>
        <w:t xml:space="preserve"> </w:t>
      </w:r>
      <w:r>
        <w:rPr>
          <w:rFonts w:hint="eastAsia" w:ascii="仿宋" w:hAnsi="仿宋" w:eastAsia="仿宋" w:cs="仿宋"/>
          <w:snapToGrid w:val="0"/>
          <w:color w:val="000000"/>
          <w:spacing w:val="0"/>
          <w:w w:val="100"/>
          <w:kern w:val="0"/>
          <w:sz w:val="24"/>
          <w:szCs w:val="24"/>
          <w:lang w:val="en-US" w:eastAsia="zh-CN" w:bidi="ar-SA"/>
        </w:rPr>
        <w:t xml:space="preserve"> </w:t>
      </w:r>
      <w:r>
        <w:rPr>
          <w:rFonts w:hint="eastAsia" w:ascii="仿宋" w:hAnsi="仿宋" w:eastAsia="仿宋" w:cs="仿宋"/>
          <w:snapToGrid w:val="0"/>
          <w:color w:val="000000"/>
          <w:spacing w:val="0"/>
          <w:w w:val="100"/>
          <w:kern w:val="0"/>
          <w:sz w:val="24"/>
          <w:szCs w:val="24"/>
          <w:lang w:val="en-US" w:eastAsia="en-US" w:bidi="ar-SA"/>
        </w:rPr>
        <w:t>与学校或学校工作人员间存在商业贿赂等不正当经营行为的；</w:t>
      </w:r>
    </w:p>
    <w:p w14:paraId="4BAE5A35">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3.</w:t>
      </w:r>
      <w:r>
        <w:rPr>
          <w:rFonts w:hint="eastAsia" w:ascii="仿宋" w:hAnsi="仿宋" w:eastAsia="仿宋" w:cs="仿宋"/>
          <w:color w:val="000000"/>
          <w:spacing w:val="0"/>
          <w:w w:val="100"/>
          <w:sz w:val="24"/>
          <w:szCs w:val="24"/>
          <w:lang w:val="en-US" w:eastAsia="zh-CN"/>
        </w:rPr>
        <w:t xml:space="preserve">7 </w:t>
      </w:r>
      <w:r>
        <w:rPr>
          <w:rFonts w:hint="eastAsia" w:ascii="仿宋" w:hAnsi="仿宋" w:eastAsia="仿宋" w:cs="仿宋"/>
          <w:color w:val="000000"/>
          <w:spacing w:val="0"/>
          <w:w w:val="100"/>
          <w:sz w:val="24"/>
          <w:szCs w:val="24"/>
        </w:rPr>
        <w:t>乙方拒绝接受甲方监督管理</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经甲方通知整改后不予整改</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且影响食堂正常经营的；</w:t>
      </w:r>
    </w:p>
    <w:p w14:paraId="3DFEECFC">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3.8 乙方经营过程中，与用餐者发生谩骂、斗殴或造成严重后果或违反法律法规、规章规定，发生学生、教职工、学生家长群体性事件的；</w:t>
      </w:r>
    </w:p>
    <w:p w14:paraId="1D4051DC">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3.</w:t>
      </w:r>
      <w:r>
        <w:rPr>
          <w:rFonts w:hint="eastAsia" w:ascii="仿宋" w:hAnsi="仿宋" w:eastAsia="仿宋" w:cs="仿宋"/>
          <w:snapToGrid w:val="0"/>
          <w:color w:val="000000"/>
          <w:spacing w:val="0"/>
          <w:w w:val="100"/>
          <w:kern w:val="0"/>
          <w:sz w:val="24"/>
          <w:szCs w:val="24"/>
          <w:lang w:val="en-US" w:eastAsia="zh-CN" w:bidi="ar-SA"/>
        </w:rPr>
        <w:t>9</w:t>
      </w:r>
      <w:r>
        <w:rPr>
          <w:rFonts w:hint="eastAsia" w:ascii="仿宋" w:hAnsi="仿宋" w:eastAsia="仿宋" w:cs="仿宋"/>
          <w:snapToGrid w:val="0"/>
          <w:color w:val="000000"/>
          <w:spacing w:val="0"/>
          <w:w w:val="100"/>
          <w:kern w:val="0"/>
          <w:sz w:val="24"/>
          <w:szCs w:val="24"/>
          <w:lang w:val="en-US" w:eastAsia="en-US" w:bidi="ar-SA"/>
        </w:rPr>
        <w:t xml:space="preserve">  乙方人员在校园存放危险品或实施违法犯罪或损坏公共利益等行为。</w:t>
      </w:r>
    </w:p>
    <w:p w14:paraId="0BDB1F7E">
      <w:pPr>
        <w:keepNext w:val="0"/>
        <w:keepLines w:val="0"/>
        <w:pageBreakBefore w:val="0"/>
        <w:widowControl w:val="0"/>
        <w:numPr>
          <w:ilvl w:val="0"/>
          <w:numId w:val="0"/>
        </w:numPr>
        <w:kinsoku/>
        <w:wordWrap/>
        <w:overflowPunct/>
        <w:topLinePunct w:val="0"/>
        <w:autoSpaceDE w:val="0"/>
        <w:autoSpaceDN/>
        <w:bidi w:val="0"/>
        <w:adjustRightInd w:val="0"/>
        <w:snapToGrid w:val="0"/>
        <w:spacing w:before="0" w:beforeLines="0" w:after="0" w:afterLines="0" w:line="420" w:lineRule="exact"/>
        <w:ind w:leftChars="200" w:right="0" w:rightChars="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zh-CN" w:bidi="ar-SA"/>
        </w:rPr>
        <w:t>4.</w:t>
      </w:r>
      <w:r>
        <w:rPr>
          <w:rFonts w:hint="eastAsia" w:ascii="仿宋" w:hAnsi="仿宋" w:eastAsia="仿宋" w:cs="仿宋"/>
          <w:snapToGrid w:val="0"/>
          <w:color w:val="000000"/>
          <w:spacing w:val="0"/>
          <w:w w:val="100"/>
          <w:kern w:val="0"/>
          <w:sz w:val="24"/>
          <w:szCs w:val="24"/>
          <w:lang w:val="en-US" w:eastAsia="en-US" w:bidi="ar-SA"/>
        </w:rPr>
        <w:t xml:space="preserve">其它                                                                         </w:t>
      </w:r>
    </w:p>
    <w:p w14:paraId="35149A04">
      <w:pPr>
        <w:keepNext w:val="0"/>
        <w:keepLines w:val="0"/>
        <w:pageBreakBefore w:val="0"/>
        <w:widowControl w:val="0"/>
        <w:numPr>
          <w:ilvl w:val="0"/>
          <w:numId w:val="9"/>
        </w:numPr>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不可抗力事件处理</w:t>
      </w:r>
    </w:p>
    <w:p w14:paraId="2A697067">
      <w:pPr>
        <w:keepNext w:val="0"/>
        <w:keepLines w:val="0"/>
        <w:pageBreakBefore w:val="0"/>
        <w:widowControl w:val="0"/>
        <w:numPr>
          <w:ilvl w:val="0"/>
          <w:numId w:val="0"/>
        </w:numPr>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服务期内</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 xml:space="preserve">如不可抗力致使合同无法履行时 </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甲乙双方协商可变更或解除合</w:t>
      </w:r>
      <w:r>
        <w:rPr>
          <w:rFonts w:hint="eastAsia" w:ascii="仿宋" w:hAnsi="仿宋" w:eastAsia="仿宋" w:cs="仿宋"/>
          <w:snapToGrid w:val="0"/>
          <w:color w:val="000000"/>
          <w:spacing w:val="0"/>
          <w:w w:val="100"/>
          <w:kern w:val="0"/>
          <w:sz w:val="24"/>
          <w:szCs w:val="24"/>
          <w:lang w:val="en-US" w:eastAsia="zh-CN" w:bidi="ar-SA"/>
        </w:rPr>
        <w:t>同。</w:t>
      </w:r>
    </w:p>
    <w:p w14:paraId="26C490A4">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十、违约责任</w:t>
      </w:r>
    </w:p>
    <w:p w14:paraId="01B11ED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1.甲方违约责任</w:t>
      </w:r>
    </w:p>
    <w:p w14:paraId="2360BEF1">
      <w:pPr>
        <w:pStyle w:val="8"/>
        <w:keepNext w:val="0"/>
        <w:keepLines w:val="0"/>
        <w:pageBreakBefore w:val="0"/>
        <w:widowControl w:val="0"/>
        <w:kinsoku/>
        <w:wordWrap/>
        <w:overflowPunct/>
        <w:topLinePunct w:val="0"/>
        <w:autoSpaceDE w:val="0"/>
        <w:autoSpaceDN/>
        <w:bidi w:val="0"/>
        <w:ind w:left="0" w:right="0" w:firstLine="480" w:firstLineChars="200"/>
        <w:jc w:val="both"/>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1</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1 甲方不按照约定支付费用</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lang w:val="en-US" w:eastAsia="zh-CN"/>
        </w:rPr>
        <w:t>经乙方书面催告后</w:t>
      </w:r>
      <w:r>
        <w:rPr>
          <w:rFonts w:hint="eastAsia" w:ascii="仿宋" w:hAnsi="仿宋" w:eastAsia="仿宋" w:cs="仿宋"/>
          <w:color w:val="000000"/>
          <w:spacing w:val="0"/>
          <w:w w:val="100"/>
          <w:sz w:val="24"/>
          <w:szCs w:val="24"/>
          <w:u w:val="single"/>
          <w:lang w:val="en-US" w:eastAsia="zh-CN"/>
        </w:rPr>
        <w:t xml:space="preserve">          </w:t>
      </w:r>
      <w:r>
        <w:rPr>
          <w:rFonts w:hint="eastAsia" w:ascii="仿宋" w:hAnsi="仿宋" w:eastAsia="仿宋" w:cs="仿宋"/>
          <w:color w:val="000000"/>
          <w:spacing w:val="0"/>
          <w:w w:val="100"/>
          <w:sz w:val="24"/>
          <w:szCs w:val="24"/>
          <w:lang w:val="en-US" w:eastAsia="zh-CN"/>
        </w:rPr>
        <w:t>日内仍未支付的，自催告期满后</w:t>
      </w:r>
      <w:r>
        <w:rPr>
          <w:rFonts w:hint="eastAsia" w:ascii="仿宋" w:hAnsi="仿宋" w:eastAsia="仿宋" w:cs="仿宋"/>
          <w:color w:val="000000"/>
          <w:spacing w:val="0"/>
          <w:w w:val="100"/>
          <w:sz w:val="24"/>
          <w:szCs w:val="24"/>
        </w:rPr>
        <w:t>每逾期</w:t>
      </w:r>
      <w:r>
        <w:rPr>
          <w:rFonts w:hint="eastAsia" w:ascii="仿宋" w:hAnsi="仿宋" w:eastAsia="仿宋" w:cs="仿宋"/>
          <w:color w:val="000000"/>
          <w:spacing w:val="0"/>
          <w:w w:val="100"/>
          <w:sz w:val="24"/>
          <w:szCs w:val="24"/>
          <w:lang w:eastAsia="zh-CN"/>
        </w:rPr>
        <w:t>一</w:t>
      </w:r>
      <w:r>
        <w:rPr>
          <w:rFonts w:hint="eastAsia" w:ascii="仿宋" w:hAnsi="仿宋" w:eastAsia="仿宋" w:cs="仿宋"/>
          <w:color w:val="000000"/>
          <w:spacing w:val="0"/>
          <w:w w:val="100"/>
          <w:sz w:val="24"/>
          <w:szCs w:val="24"/>
        </w:rPr>
        <w:t xml:space="preserve">日 </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按</w:t>
      </w:r>
      <w:r>
        <w:rPr>
          <w:rFonts w:hint="eastAsia" w:ascii="仿宋" w:hAnsi="仿宋" w:eastAsia="仿宋" w:cs="仿宋"/>
          <w:color w:val="000000"/>
          <w:spacing w:val="0"/>
          <w:w w:val="100"/>
          <w:sz w:val="24"/>
          <w:szCs w:val="24"/>
          <w:lang w:val="en-US" w:eastAsia="zh-CN"/>
        </w:rPr>
        <w:t>欠付</w:t>
      </w:r>
      <w:r>
        <w:rPr>
          <w:rFonts w:hint="eastAsia" w:ascii="仿宋" w:hAnsi="仿宋" w:eastAsia="仿宋" w:cs="仿宋"/>
          <w:color w:val="000000"/>
          <w:spacing w:val="0"/>
          <w:w w:val="100"/>
          <w:sz w:val="24"/>
          <w:szCs w:val="24"/>
        </w:rPr>
        <w:t>金额的</w:t>
      </w:r>
      <w:r>
        <w:rPr>
          <w:rFonts w:hint="eastAsia" w:ascii="仿宋" w:hAnsi="仿宋" w:eastAsia="仿宋" w:cs="仿宋"/>
          <w:color w:val="000000"/>
          <w:spacing w:val="0"/>
          <w:w w:val="100"/>
          <w:sz w:val="24"/>
          <w:szCs w:val="24"/>
          <w:u w:val="single"/>
          <w:lang w:val="en-US" w:eastAsia="zh-CN"/>
        </w:rPr>
        <w:t xml:space="preserve">             </w:t>
      </w:r>
      <w:r>
        <w:rPr>
          <w:rFonts w:hint="eastAsia" w:ascii="仿宋" w:hAnsi="仿宋" w:eastAsia="仿宋" w:cs="仿宋"/>
          <w:color w:val="000000"/>
          <w:spacing w:val="0"/>
          <w:w w:val="100"/>
          <w:sz w:val="24"/>
          <w:szCs w:val="24"/>
          <w:u w:val="none"/>
          <w:lang w:val="en-US" w:eastAsia="zh-CN"/>
        </w:rPr>
        <w:t>‰</w:t>
      </w:r>
      <w:r>
        <w:rPr>
          <w:rFonts w:hint="eastAsia" w:ascii="仿宋" w:hAnsi="仿宋" w:eastAsia="仿宋" w:cs="仿宋"/>
          <w:color w:val="000000"/>
          <w:spacing w:val="0"/>
          <w:w w:val="100"/>
          <w:sz w:val="24"/>
          <w:szCs w:val="24"/>
        </w:rPr>
        <w:t>向乙方支付违约金</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lang w:val="en-US" w:eastAsia="zh-CN"/>
        </w:rPr>
        <w:t>违约金累计不超过欠付金额的</w:t>
      </w:r>
      <w:r>
        <w:rPr>
          <w:rFonts w:hint="eastAsia" w:ascii="仿宋" w:hAnsi="仿宋" w:eastAsia="仿宋" w:cs="仿宋"/>
          <w:color w:val="000000"/>
          <w:spacing w:val="0"/>
          <w:w w:val="100"/>
          <w:sz w:val="24"/>
          <w:szCs w:val="24"/>
          <w:u w:val="single"/>
          <w:lang w:val="en-US" w:eastAsia="zh-CN"/>
        </w:rPr>
        <w:t xml:space="preserve">              </w:t>
      </w:r>
      <w:r>
        <w:rPr>
          <w:rFonts w:hint="eastAsia" w:ascii="仿宋" w:hAnsi="仿宋" w:eastAsia="仿宋" w:cs="仿宋"/>
          <w:color w:val="000000"/>
          <w:spacing w:val="0"/>
          <w:w w:val="100"/>
          <w:sz w:val="24"/>
          <w:szCs w:val="24"/>
          <w:lang w:val="en-US" w:eastAsia="zh-CN"/>
        </w:rPr>
        <w:t>%。</w:t>
      </w:r>
    </w:p>
    <w:p w14:paraId="2E110817">
      <w:pPr>
        <w:keepNext w:val="0"/>
        <w:keepLines w:val="0"/>
        <w:pageBreakBefore w:val="0"/>
        <w:widowControl w:val="0"/>
        <w:tabs>
          <w:tab w:val="left" w:pos="1361"/>
        </w:tabs>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1.2 因甲方违约导致合同解除的，甲方应向乙方支付违约金，同时还应承担乙方的实际经济损失。</w:t>
      </w:r>
    </w:p>
    <w:p w14:paraId="66AD8EB3">
      <w:pPr>
        <w:keepNext w:val="0"/>
        <w:keepLines w:val="0"/>
        <w:pageBreakBefore w:val="0"/>
        <w:widowControl w:val="0"/>
        <w:tabs>
          <w:tab w:val="left" w:pos="1361"/>
        </w:tabs>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1.3  因甲方原因导致食材不符合食品安全的要求，造成的相关后果由甲方承担。</w:t>
      </w:r>
    </w:p>
    <w:p w14:paraId="054AAEDD">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2.乙方违约责任</w:t>
      </w:r>
    </w:p>
    <w:p w14:paraId="637ECCA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2.1 乙方在有关部门执法检查中， 因存在食品安全、安全生产问题被通报或者被新闻媒体曝光，损害学校声誉的，乙方交纳的履约保证金不予退还，并需要承担相应的法律责任和相应的经济责任， 甲方根据侵害情况有权决定是否解除合同。</w:t>
      </w:r>
    </w:p>
    <w:p w14:paraId="711091E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 xml:space="preserve">2.2  因乙方违约导致合同解除的，则乙方交纳履约保证金不予返还， 乙方还应向甲方支付违约金 </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，违约金不足以补偿甲方损失的 ，按实际损失赔偿。包括但不限于赔偿款、补偿款、罚款以及甲方因争议解决产生的诉讼费、保全费、保全、保险费、律师费、鉴定费、评估费、公证费、差旅费、公告费、邮寄送达费等。</w:t>
      </w:r>
    </w:p>
    <w:p w14:paraId="6AA9FC7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仿宋" w:hAnsi="仿宋" w:eastAsia="仿宋" w:cs="仿宋"/>
          <w:i w:val="0"/>
          <w:iCs w:val="0"/>
          <w:caps w:val="0"/>
          <w:color w:val="000000"/>
          <w:spacing w:val="4"/>
          <w:sz w:val="24"/>
          <w:szCs w:val="24"/>
          <w:shd w:val="clear" w:color="auto" w:fill="FFFFFF"/>
          <w:lang w:eastAsia="zh-CN"/>
        </w:rPr>
      </w:pPr>
      <w:r>
        <w:rPr>
          <w:rFonts w:hint="eastAsia" w:ascii="仿宋" w:hAnsi="仿宋" w:eastAsia="仿宋" w:cs="仿宋"/>
          <w:i w:val="0"/>
          <w:iCs w:val="0"/>
          <w:caps w:val="0"/>
          <w:color w:val="000000"/>
          <w:spacing w:val="4"/>
          <w:sz w:val="24"/>
          <w:szCs w:val="24"/>
          <w:shd w:val="clear" w:color="auto" w:fill="FFFFFF"/>
          <w:lang w:val="en-US" w:eastAsia="zh-CN"/>
        </w:rPr>
        <w:t xml:space="preserve">2.3  </w:t>
      </w:r>
      <w:r>
        <w:rPr>
          <w:rFonts w:hint="eastAsia" w:ascii="仿宋" w:hAnsi="仿宋" w:eastAsia="仿宋" w:cs="仿宋"/>
          <w:i w:val="0"/>
          <w:iCs w:val="0"/>
          <w:caps w:val="0"/>
          <w:color w:val="000000"/>
          <w:spacing w:val="4"/>
          <w:sz w:val="24"/>
          <w:szCs w:val="24"/>
          <w:shd w:val="clear" w:color="auto" w:fill="FFFFFF"/>
          <w:lang w:eastAsia="zh-CN"/>
        </w:rPr>
        <w:t>除本合同对违约责任有明确约定外，任何一方不履行合同或履行合同不符合约定的均视为违约。届时，违约方除应向守约方支付</w:t>
      </w:r>
      <w:r>
        <w:rPr>
          <w:rFonts w:hint="eastAsia" w:ascii="仿宋" w:hAnsi="仿宋" w:eastAsia="仿宋" w:cs="仿宋"/>
          <w:i w:val="0"/>
          <w:iCs w:val="0"/>
          <w:caps w:val="0"/>
          <w:color w:val="000000"/>
          <w:spacing w:val="4"/>
          <w:sz w:val="24"/>
          <w:szCs w:val="24"/>
          <w:shd w:val="clear" w:color="auto" w:fill="FFFFFF"/>
          <w:lang w:val="en-US" w:eastAsia="zh-CN"/>
        </w:rPr>
        <w:t>服务费用</w:t>
      </w:r>
      <w:r>
        <w:rPr>
          <w:rFonts w:hint="eastAsia" w:ascii="仿宋" w:hAnsi="仿宋" w:eastAsia="仿宋" w:cs="仿宋"/>
          <w:i w:val="0"/>
          <w:iCs w:val="0"/>
          <w:caps w:val="0"/>
          <w:color w:val="000000"/>
          <w:spacing w:val="4"/>
          <w:sz w:val="24"/>
          <w:szCs w:val="24"/>
          <w:shd w:val="clear" w:color="auto" w:fill="FFFFFF"/>
          <w:lang w:eastAsia="zh-CN"/>
        </w:rPr>
        <w:t>总额</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7C8B5038">
      <w:pPr>
        <w:keepNext w:val="0"/>
        <w:keepLines w:val="0"/>
        <w:pageBreakBefore w:val="0"/>
        <w:widowControl w:val="0"/>
        <w:kinsoku/>
        <w:wordWrap/>
        <w:overflowPunct/>
        <w:topLinePunct w:val="0"/>
        <w:autoSpaceDE w:val="0"/>
        <w:autoSpaceDN/>
        <w:bidi w:val="0"/>
        <w:adjustRightInd w:val="0"/>
        <w:snapToGrid w:val="0"/>
        <w:spacing w:line="420" w:lineRule="exact"/>
        <w:ind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十一、保密条款</w:t>
      </w:r>
    </w:p>
    <w:p w14:paraId="49F27055">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甲乙双方应保守在缔结和履行合同过程中获知对方的个人</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师生信息以及内部保密信息</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除甲乙双方履行合同义务的必要或有法律、法规规定应披露的之外</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不得以任何方式向第三人披露和不正当使用</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否则</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应当赔偿因泄露保密信息给对方造成的损失。</w:t>
      </w:r>
    </w:p>
    <w:p w14:paraId="5AD1F61B">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十二、考核</w:t>
      </w:r>
    </w:p>
    <w:p w14:paraId="2ADF2052">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考核具体内容由甲方乙方共同协商制定（详见附件 2）。</w:t>
      </w:r>
    </w:p>
    <w:p w14:paraId="608F2178">
      <w:pPr>
        <w:keepNext w:val="0"/>
        <w:keepLines w:val="0"/>
        <w:pageBreakBefore w:val="0"/>
        <w:widowControl w:val="0"/>
        <w:numPr>
          <w:ilvl w:val="0"/>
          <w:numId w:val="10"/>
        </w:numPr>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争议解决因本合同相关事项发生的纠纷</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应通过协商解决。如协商不成</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可按以下第</w:t>
      </w:r>
      <w:r>
        <w:rPr>
          <w:rFonts w:hint="eastAsia" w:ascii="仿宋" w:hAnsi="仿宋" w:eastAsia="仿宋" w:cs="仿宋"/>
          <w:snapToGrid w:val="0"/>
          <w:color w:val="000000"/>
          <w:spacing w:val="0"/>
          <w:w w:val="100"/>
          <w:kern w:val="0"/>
          <w:sz w:val="24"/>
          <w:szCs w:val="24"/>
          <w:u w:val="single"/>
          <w:lang w:val="en-US" w:eastAsia="en-US" w:bidi="ar-SA"/>
        </w:rPr>
        <w:t xml:space="preserve">       </w:t>
      </w:r>
      <w:r>
        <w:rPr>
          <w:rFonts w:hint="eastAsia" w:ascii="仿宋" w:hAnsi="仿宋" w:eastAsia="仿宋" w:cs="仿宋"/>
          <w:snapToGrid w:val="0"/>
          <w:color w:val="000000"/>
          <w:spacing w:val="0"/>
          <w:w w:val="100"/>
          <w:kern w:val="0"/>
          <w:sz w:val="24"/>
          <w:szCs w:val="24"/>
          <w:u w:val="single"/>
          <w:lang w:val="en-US" w:eastAsia="zh-CN" w:bidi="ar-SA"/>
        </w:rPr>
        <w:t xml:space="preserve">      </w:t>
      </w:r>
      <w:r>
        <w:rPr>
          <w:rFonts w:hint="eastAsia" w:ascii="仿宋" w:hAnsi="仿宋" w:eastAsia="仿宋" w:cs="仿宋"/>
          <w:snapToGrid w:val="0"/>
          <w:color w:val="000000"/>
          <w:spacing w:val="0"/>
          <w:w w:val="100"/>
          <w:kern w:val="0"/>
          <w:sz w:val="24"/>
          <w:szCs w:val="24"/>
          <w:u w:val="single"/>
          <w:lang w:val="en-US" w:eastAsia="en-US" w:bidi="ar-SA"/>
        </w:rPr>
        <w:t xml:space="preserve">  </w:t>
      </w:r>
      <w:r>
        <w:rPr>
          <w:rFonts w:hint="eastAsia" w:ascii="仿宋" w:hAnsi="仿宋" w:eastAsia="仿宋" w:cs="仿宋"/>
          <w:snapToGrid w:val="0"/>
          <w:color w:val="000000"/>
          <w:spacing w:val="0"/>
          <w:w w:val="100"/>
          <w:kern w:val="0"/>
          <w:sz w:val="24"/>
          <w:szCs w:val="24"/>
          <w:lang w:val="en-US" w:eastAsia="en-US" w:bidi="ar-SA"/>
        </w:rPr>
        <w:t>种方式解决：</w:t>
      </w:r>
    </w:p>
    <w:p w14:paraId="37BA99D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1.向</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仲裁委员会申请仲裁。</w:t>
      </w:r>
    </w:p>
    <w:p w14:paraId="581C511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2.依法向</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人民法院起诉。</w:t>
      </w:r>
    </w:p>
    <w:p w14:paraId="0055A1D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在诉讼或仲裁期间</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本合同不涉及争议的条款仍然有效</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双方应继续履行。</w:t>
      </w:r>
      <w:r>
        <w:rPr>
          <w:rFonts w:hint="eastAsia" w:ascii="仿宋" w:hAnsi="仿宋" w:eastAsia="仿宋" w:cs="仿宋"/>
          <w:color w:val="000000"/>
          <w:spacing w:val="0"/>
          <w:w w:val="100"/>
          <w:kern w:val="2"/>
          <w:sz w:val="24"/>
          <w:szCs w:val="24"/>
          <w:lang w:val="en-US" w:eastAsia="zh-CN" w:bidi="ar-SA"/>
        </w:rPr>
        <w:t>因争议解决产生的诉讼费、保全费、保全、保险费、律师费、鉴定费、评估费、公证费、差旅费、公告费、邮寄送达费等</w:t>
      </w:r>
      <w:r>
        <w:rPr>
          <w:rFonts w:hint="eastAsia" w:ascii="仿宋" w:hAnsi="仿宋" w:eastAsia="仿宋" w:cs="仿宋"/>
          <w:snapToGrid w:val="0"/>
          <w:color w:val="000000"/>
          <w:spacing w:val="0"/>
          <w:w w:val="100"/>
          <w:kern w:val="0"/>
          <w:sz w:val="24"/>
          <w:szCs w:val="24"/>
          <w:lang w:val="en-US" w:eastAsia="zh-CN" w:bidi="ar-SA"/>
        </w:rPr>
        <w:t>所有成本由违约方承担。</w:t>
      </w:r>
    </w:p>
    <w:p w14:paraId="3717FC91">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十</w:t>
      </w:r>
      <w:r>
        <w:rPr>
          <w:rFonts w:hint="eastAsia" w:ascii="仿宋" w:hAnsi="仿宋" w:eastAsia="仿宋" w:cs="仿宋"/>
          <w:color w:val="000000"/>
          <w:spacing w:val="0"/>
          <w:w w:val="100"/>
          <w:sz w:val="24"/>
          <w:szCs w:val="24"/>
          <w:lang w:eastAsia="zh-CN"/>
        </w:rPr>
        <w:t>四</w:t>
      </w:r>
      <w:r>
        <w:rPr>
          <w:rFonts w:hint="eastAsia" w:ascii="仿宋" w:hAnsi="仿宋" w:eastAsia="仿宋" w:cs="仿宋"/>
          <w:color w:val="000000"/>
          <w:spacing w:val="0"/>
          <w:w w:val="100"/>
          <w:sz w:val="24"/>
          <w:szCs w:val="24"/>
        </w:rPr>
        <w:t>、其他</w:t>
      </w:r>
    </w:p>
    <w:p w14:paraId="7FB04946">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left"/>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1.本合同在</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签订。</w:t>
      </w:r>
    </w:p>
    <w:p w14:paraId="2B4EA59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2.本合同于</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年</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月</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日签订。</w:t>
      </w:r>
    </w:p>
    <w:p w14:paraId="10D616CC">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3.合同经双方法定代表人或授权代表签字并加盖单位公章后生效。</w:t>
      </w:r>
    </w:p>
    <w:p w14:paraId="38690FB8">
      <w:pPr>
        <w:pStyle w:val="21"/>
        <w:keepNext w:val="0"/>
        <w:keepLines w:val="0"/>
        <w:pageBreakBefore w:val="0"/>
        <w:widowControl w:val="0"/>
        <w:numPr>
          <w:ilvl w:val="0"/>
          <w:numId w:val="0"/>
        </w:numPr>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4</w:t>
      </w:r>
      <w:r>
        <w:rPr>
          <w:rFonts w:hint="eastAsia" w:ascii="仿宋" w:hAnsi="仿宋" w:eastAsia="仿宋" w:cs="仿宋"/>
          <w:color w:val="000000"/>
          <w:spacing w:val="0"/>
          <w:w w:val="100"/>
          <w:sz w:val="24"/>
          <w:szCs w:val="24"/>
          <w:lang w:val="en-US" w:eastAsia="zh-CN"/>
        </w:rPr>
        <w:t>.</w:t>
      </w:r>
      <w:r>
        <w:rPr>
          <w:rFonts w:hint="eastAsia" w:ascii="仿宋" w:hAnsi="仿宋" w:eastAsia="仿宋" w:cs="仿宋"/>
          <w:snapToGrid w:val="0"/>
          <w:color w:val="000000"/>
          <w:spacing w:val="0"/>
          <w:w w:val="100"/>
          <w:kern w:val="0"/>
          <w:sz w:val="24"/>
          <w:szCs w:val="24"/>
          <w:lang w:val="en-US" w:eastAsia="zh-CN" w:bidi="ar-SA"/>
        </w:rPr>
        <w:t>本合同一式</w:t>
      </w:r>
      <w:r>
        <w:rPr>
          <w:rFonts w:hint="eastAsia" w:ascii="仿宋" w:hAnsi="仿宋" w:eastAsia="仿宋" w:cs="仿宋"/>
          <w:snapToGrid w:val="0"/>
          <w:color w:val="000000"/>
          <w:spacing w:val="0"/>
          <w:w w:val="100"/>
          <w:kern w:val="0"/>
          <w:sz w:val="24"/>
          <w:szCs w:val="24"/>
          <w:u w:val="single"/>
          <w:lang w:val="en-US" w:eastAsia="zh-CN" w:bidi="ar-SA"/>
        </w:rPr>
        <w:t>      </w:t>
      </w:r>
      <w:r>
        <w:rPr>
          <w:rFonts w:hint="eastAsia" w:ascii="仿宋" w:hAnsi="仿宋" w:eastAsia="仿宋" w:cs="仿宋"/>
          <w:snapToGrid w:val="0"/>
          <w:color w:val="000000"/>
          <w:spacing w:val="0"/>
          <w:w w:val="100"/>
          <w:kern w:val="0"/>
          <w:sz w:val="24"/>
          <w:szCs w:val="24"/>
          <w:lang w:val="en-US" w:eastAsia="zh-CN" w:bidi="ar-SA"/>
        </w:rPr>
        <w:t>份，甲方 </w:t>
      </w:r>
      <w:r>
        <w:rPr>
          <w:rFonts w:hint="eastAsia" w:ascii="仿宋" w:hAnsi="仿宋" w:eastAsia="仿宋" w:cs="仿宋"/>
          <w:snapToGrid w:val="0"/>
          <w:color w:val="000000"/>
          <w:spacing w:val="0"/>
          <w:w w:val="100"/>
          <w:kern w:val="0"/>
          <w:sz w:val="24"/>
          <w:szCs w:val="24"/>
          <w:u w:val="single"/>
          <w:lang w:val="en-US" w:eastAsia="zh-CN" w:bidi="ar-SA"/>
        </w:rPr>
        <w:t xml:space="preserve">      </w:t>
      </w:r>
      <w:r>
        <w:rPr>
          <w:rFonts w:hint="eastAsia" w:ascii="仿宋" w:hAnsi="仿宋" w:eastAsia="仿宋" w:cs="仿宋"/>
          <w:snapToGrid w:val="0"/>
          <w:color w:val="000000"/>
          <w:spacing w:val="0"/>
          <w:w w:val="100"/>
          <w:kern w:val="0"/>
          <w:sz w:val="24"/>
          <w:szCs w:val="24"/>
          <w:lang w:val="en-US" w:eastAsia="zh-CN" w:bidi="ar-SA"/>
        </w:rPr>
        <w:t>份，乙方</w:t>
      </w:r>
      <w:r>
        <w:rPr>
          <w:rFonts w:hint="eastAsia" w:ascii="仿宋" w:hAnsi="仿宋" w:eastAsia="仿宋" w:cs="仿宋"/>
          <w:snapToGrid w:val="0"/>
          <w:color w:val="000000"/>
          <w:spacing w:val="0"/>
          <w:w w:val="100"/>
          <w:kern w:val="0"/>
          <w:sz w:val="24"/>
          <w:szCs w:val="24"/>
          <w:u w:val="single"/>
          <w:lang w:val="en-US" w:eastAsia="zh-CN" w:bidi="ar-SA"/>
        </w:rPr>
        <w:t>      </w:t>
      </w:r>
      <w:r>
        <w:rPr>
          <w:rFonts w:hint="eastAsia" w:ascii="仿宋" w:hAnsi="仿宋" w:eastAsia="仿宋" w:cs="仿宋"/>
          <w:snapToGrid w:val="0"/>
          <w:color w:val="000000"/>
          <w:spacing w:val="0"/>
          <w:w w:val="100"/>
          <w:kern w:val="0"/>
          <w:sz w:val="24"/>
          <w:szCs w:val="24"/>
          <w:lang w:val="en-US" w:eastAsia="zh-CN" w:bidi="ar-SA"/>
        </w:rPr>
        <w:t>份，由甲方向当地教育行政部门备案      份。</w:t>
      </w:r>
    </w:p>
    <w:p w14:paraId="1FFBBB0F">
      <w:pPr>
        <w:keepNext w:val="0"/>
        <w:keepLines w:val="0"/>
        <w:pageBreakBefore w:val="0"/>
        <w:widowControl w:val="0"/>
        <w:numPr>
          <w:ilvl w:val="0"/>
          <w:numId w:val="0"/>
        </w:numPr>
        <w:kinsoku/>
        <w:wordWrap/>
        <w:overflowPunct/>
        <w:topLinePunct w:val="0"/>
        <w:autoSpaceDE w:val="0"/>
        <w:autoSpaceDN/>
        <w:bidi w:val="0"/>
        <w:ind w:left="0" w:right="0" w:firstLine="480" w:firstLineChars="200"/>
        <w:jc w:val="both"/>
        <w:rPr>
          <w:rFonts w:hint="eastAsia" w:ascii="仿宋" w:hAnsi="仿宋" w:eastAsia="仿宋" w:cs="仿宋"/>
          <w:snapToGrid w:val="0"/>
          <w:color w:val="000000"/>
          <w:spacing w:val="0"/>
          <w:w w:val="100"/>
          <w:kern w:val="0"/>
          <w:sz w:val="24"/>
          <w:szCs w:val="24"/>
          <w:lang w:val="en-US" w:eastAsia="zh-CN" w:bidi="ar-SA"/>
        </w:rPr>
      </w:pPr>
      <w:r>
        <w:rPr>
          <w:rFonts w:hint="eastAsia" w:ascii="仿宋" w:hAnsi="仿宋" w:eastAsia="仿宋" w:cs="仿宋"/>
          <w:snapToGrid w:val="0"/>
          <w:color w:val="000000"/>
          <w:spacing w:val="0"/>
          <w:w w:val="100"/>
          <w:kern w:val="0"/>
          <w:sz w:val="24"/>
          <w:szCs w:val="24"/>
          <w:lang w:val="en-US" w:eastAsia="zh-CN" w:bidi="ar-SA"/>
        </w:rPr>
        <w:t>5.未约定事项，双方可以协商签订补充协议。</w:t>
      </w:r>
    </w:p>
    <w:p w14:paraId="2191FD70">
      <w:pPr>
        <w:keepNext w:val="0"/>
        <w:keepLines w:val="0"/>
        <w:pageBreakBefore w:val="0"/>
        <w:widowControl/>
        <w:kinsoku w:val="0"/>
        <w:wordWrap/>
        <w:overflowPunct/>
        <w:topLinePunct w:val="0"/>
        <w:autoSpaceDE w:val="0"/>
        <w:autoSpaceDN w:val="0"/>
        <w:bidi w:val="0"/>
        <w:adjustRightInd w:val="0"/>
        <w:snapToGrid w:val="0"/>
        <w:spacing w:line="420" w:lineRule="exact"/>
        <w:ind w:firstLine="496" w:firstLineChars="200"/>
        <w:jc w:val="both"/>
        <w:textAlignment w:val="baseline"/>
        <w:rPr>
          <w:rFonts w:hint="eastAsia" w:ascii="仿宋" w:hAnsi="仿宋" w:eastAsia="仿宋" w:cs="仿宋"/>
          <w:color w:val="000000"/>
          <w:spacing w:val="4"/>
          <w:sz w:val="24"/>
          <w:szCs w:val="24"/>
          <w:lang w:val="en-US" w:eastAsia="zh-CN"/>
        </w:rPr>
      </w:pPr>
    </w:p>
    <w:p w14:paraId="6F54F608">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4"/>
          <w:sz w:val="24"/>
          <w:szCs w:val="24"/>
        </w:rPr>
        <w:t>甲方</w:t>
      </w:r>
      <w:r>
        <w:rPr>
          <w:rFonts w:hint="eastAsia" w:ascii="仿宋" w:hAnsi="仿宋" w:eastAsia="仿宋" w:cs="仿宋"/>
          <w:color w:val="000000"/>
          <w:spacing w:val="-70"/>
          <w:w w:val="84"/>
          <w:sz w:val="24"/>
          <w:szCs w:val="24"/>
        </w:rPr>
        <w:t>：（</w:t>
      </w:r>
      <w:r>
        <w:rPr>
          <w:rFonts w:hint="eastAsia" w:ascii="仿宋" w:hAnsi="仿宋" w:eastAsia="仿宋" w:cs="仿宋"/>
          <w:color w:val="000000"/>
          <w:spacing w:val="4"/>
          <w:sz w:val="24"/>
          <w:szCs w:val="24"/>
        </w:rPr>
        <w:t xml:space="preserve">公章）                        </w:t>
      </w:r>
      <w:r>
        <w:rPr>
          <w:rFonts w:hint="eastAsia" w:ascii="仿宋" w:hAnsi="仿宋" w:eastAsia="仿宋" w:cs="仿宋"/>
          <w:color w:val="000000"/>
          <w:spacing w:val="4"/>
          <w:sz w:val="24"/>
          <w:szCs w:val="24"/>
          <w:lang w:val="en-US" w:eastAsia="zh-CN"/>
        </w:rPr>
        <w:t xml:space="preserve">    </w:t>
      </w:r>
      <w:r>
        <w:rPr>
          <w:rFonts w:hint="eastAsia" w:ascii="仿宋" w:hAnsi="仿宋" w:eastAsia="仿宋" w:cs="仿宋"/>
          <w:color w:val="000000"/>
          <w:spacing w:val="4"/>
          <w:sz w:val="24"/>
          <w:szCs w:val="24"/>
        </w:rPr>
        <w:t xml:space="preserve"> 乙方</w:t>
      </w:r>
      <w:r>
        <w:rPr>
          <w:rFonts w:hint="eastAsia" w:ascii="仿宋" w:hAnsi="仿宋" w:eastAsia="仿宋" w:cs="仿宋"/>
          <w:color w:val="000000"/>
          <w:spacing w:val="-70"/>
          <w:w w:val="84"/>
          <w:sz w:val="24"/>
          <w:szCs w:val="24"/>
        </w:rPr>
        <w:t>：（</w:t>
      </w:r>
      <w:r>
        <w:rPr>
          <w:rFonts w:hint="eastAsia" w:ascii="仿宋" w:hAnsi="仿宋" w:eastAsia="仿宋" w:cs="仿宋"/>
          <w:color w:val="000000"/>
          <w:spacing w:val="4"/>
          <w:sz w:val="24"/>
          <w:szCs w:val="24"/>
        </w:rPr>
        <w:t>公章）</w:t>
      </w:r>
    </w:p>
    <w:p w14:paraId="289DBF61">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5"/>
          <w:sz w:val="24"/>
          <w:szCs w:val="24"/>
        </w:rPr>
        <w:t>地址：</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7"/>
          <w:sz w:val="24"/>
          <w:szCs w:val="24"/>
        </w:rPr>
        <w:t xml:space="preserve">        </w:t>
      </w:r>
      <w:r>
        <w:rPr>
          <w:rFonts w:hint="eastAsia" w:ascii="仿宋" w:hAnsi="仿宋" w:eastAsia="仿宋" w:cs="仿宋"/>
          <w:color w:val="000000"/>
          <w:spacing w:val="7"/>
          <w:sz w:val="24"/>
          <w:szCs w:val="24"/>
          <w:lang w:val="en-US" w:eastAsia="zh-CN"/>
        </w:rPr>
        <w:t xml:space="preserve">    </w:t>
      </w:r>
      <w:r>
        <w:rPr>
          <w:rFonts w:hint="eastAsia" w:ascii="仿宋" w:hAnsi="仿宋" w:eastAsia="仿宋" w:cs="仿宋"/>
          <w:color w:val="000000"/>
          <w:spacing w:val="-5"/>
          <w:sz w:val="24"/>
          <w:szCs w:val="24"/>
        </w:rPr>
        <w:t>地址：</w:t>
      </w:r>
      <w:r>
        <w:rPr>
          <w:rFonts w:hint="eastAsia" w:ascii="仿宋" w:hAnsi="仿宋" w:eastAsia="仿宋" w:cs="仿宋"/>
          <w:color w:val="000000"/>
          <w:sz w:val="24"/>
          <w:szCs w:val="24"/>
          <w:u w:val="single" w:color="auto"/>
        </w:rPr>
        <w:t xml:space="preserve">                            </w:t>
      </w:r>
    </w:p>
    <w:p w14:paraId="40EAE31B">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4"/>
          <w:sz w:val="24"/>
          <w:szCs w:val="24"/>
        </w:rPr>
        <w:t>法定代表人：</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11"/>
          <w:sz w:val="24"/>
          <w:szCs w:val="24"/>
        </w:rPr>
        <w:t xml:space="preserve">        </w:t>
      </w:r>
      <w:r>
        <w:rPr>
          <w:rFonts w:hint="eastAsia" w:ascii="仿宋" w:hAnsi="仿宋" w:eastAsia="仿宋" w:cs="仿宋"/>
          <w:color w:val="000000"/>
          <w:spacing w:val="11"/>
          <w:sz w:val="24"/>
          <w:szCs w:val="24"/>
          <w:lang w:val="en-US" w:eastAsia="zh-CN"/>
        </w:rPr>
        <w:t xml:space="preserve">  </w:t>
      </w:r>
      <w:r>
        <w:rPr>
          <w:rFonts w:hint="eastAsia" w:ascii="仿宋" w:hAnsi="仿宋" w:eastAsia="仿宋" w:cs="仿宋"/>
          <w:color w:val="000000"/>
          <w:spacing w:val="-4"/>
          <w:sz w:val="24"/>
          <w:szCs w:val="24"/>
        </w:rPr>
        <w:t>法定代表人：</w:t>
      </w:r>
      <w:r>
        <w:rPr>
          <w:rFonts w:hint="eastAsia" w:ascii="仿宋" w:hAnsi="仿宋" w:eastAsia="仿宋" w:cs="仿宋"/>
          <w:color w:val="000000"/>
          <w:spacing w:val="-4"/>
          <w:sz w:val="24"/>
          <w:szCs w:val="24"/>
          <w:u w:val="single" w:color="auto"/>
        </w:rPr>
        <w:t xml:space="preserve">                  </w:t>
      </w:r>
    </w:p>
    <w:p w14:paraId="2EBDDCC1">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3"/>
          <w:sz w:val="24"/>
          <w:szCs w:val="24"/>
        </w:rPr>
        <w:t>委托代理人：</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9"/>
          <w:sz w:val="24"/>
          <w:szCs w:val="24"/>
        </w:rPr>
        <w:t xml:space="preserve">       </w:t>
      </w:r>
      <w:r>
        <w:rPr>
          <w:rFonts w:hint="eastAsia" w:ascii="仿宋" w:hAnsi="仿宋" w:eastAsia="仿宋" w:cs="仿宋"/>
          <w:color w:val="000000"/>
          <w:spacing w:val="9"/>
          <w:sz w:val="24"/>
          <w:szCs w:val="24"/>
          <w:lang w:val="en-US" w:eastAsia="zh-CN"/>
        </w:rPr>
        <w:t xml:space="preserve">  </w:t>
      </w:r>
      <w:r>
        <w:rPr>
          <w:rFonts w:hint="eastAsia" w:ascii="仿宋" w:hAnsi="仿宋" w:eastAsia="仿宋" w:cs="仿宋"/>
          <w:color w:val="000000"/>
          <w:spacing w:val="9"/>
          <w:sz w:val="24"/>
          <w:szCs w:val="24"/>
        </w:rPr>
        <w:t xml:space="preserve"> </w:t>
      </w:r>
      <w:r>
        <w:rPr>
          <w:rFonts w:hint="eastAsia" w:ascii="仿宋" w:hAnsi="仿宋" w:eastAsia="仿宋" w:cs="仿宋"/>
          <w:color w:val="000000"/>
          <w:spacing w:val="-3"/>
          <w:sz w:val="24"/>
          <w:szCs w:val="24"/>
        </w:rPr>
        <w:t>委托代理人：</w:t>
      </w:r>
      <w:r>
        <w:rPr>
          <w:rFonts w:hint="eastAsia" w:ascii="仿宋" w:hAnsi="仿宋" w:eastAsia="仿宋" w:cs="仿宋"/>
          <w:color w:val="000000"/>
          <w:spacing w:val="-3"/>
          <w:sz w:val="24"/>
          <w:szCs w:val="24"/>
          <w:u w:val="single" w:color="auto"/>
        </w:rPr>
        <w:t xml:space="preserve">       </w:t>
      </w:r>
      <w:r>
        <w:rPr>
          <w:rFonts w:hint="eastAsia" w:ascii="仿宋" w:hAnsi="仿宋" w:eastAsia="仿宋" w:cs="仿宋"/>
          <w:color w:val="000000"/>
          <w:spacing w:val="-4"/>
          <w:sz w:val="24"/>
          <w:szCs w:val="24"/>
          <w:u w:val="single" w:color="auto"/>
        </w:rPr>
        <w:t xml:space="preserve">           </w:t>
      </w:r>
    </w:p>
    <w:p w14:paraId="5DF3344C">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3"/>
          <w:sz w:val="24"/>
          <w:szCs w:val="24"/>
        </w:rPr>
        <w:t>联系方式：</w:t>
      </w:r>
      <w:r>
        <w:rPr>
          <w:rFonts w:hint="eastAsia" w:ascii="仿宋" w:hAnsi="仿宋" w:eastAsia="仿宋" w:cs="仿宋"/>
          <w:color w:val="000000"/>
          <w:spacing w:val="2"/>
          <w:sz w:val="24"/>
          <w:szCs w:val="24"/>
          <w:u w:val="single" w:color="auto"/>
        </w:rPr>
        <w:t xml:space="preserve">                       </w:t>
      </w:r>
      <w:r>
        <w:rPr>
          <w:rFonts w:hint="eastAsia" w:ascii="仿宋" w:hAnsi="仿宋" w:eastAsia="仿宋" w:cs="仿宋"/>
          <w:color w:val="000000"/>
          <w:spacing w:val="8"/>
          <w:sz w:val="24"/>
          <w:szCs w:val="24"/>
        </w:rPr>
        <w:t xml:space="preserve">       </w:t>
      </w:r>
      <w:r>
        <w:rPr>
          <w:rFonts w:hint="eastAsia" w:ascii="仿宋" w:hAnsi="仿宋" w:eastAsia="仿宋" w:cs="仿宋"/>
          <w:color w:val="000000"/>
          <w:spacing w:val="8"/>
          <w:sz w:val="24"/>
          <w:szCs w:val="24"/>
          <w:lang w:val="en-US" w:eastAsia="zh-CN"/>
        </w:rPr>
        <w:t xml:space="preserve">    </w:t>
      </w:r>
      <w:r>
        <w:rPr>
          <w:rFonts w:hint="eastAsia" w:ascii="仿宋" w:hAnsi="仿宋" w:eastAsia="仿宋" w:cs="仿宋"/>
          <w:color w:val="000000"/>
          <w:spacing w:val="8"/>
          <w:sz w:val="24"/>
          <w:szCs w:val="24"/>
        </w:rPr>
        <w:t xml:space="preserve"> </w:t>
      </w:r>
      <w:r>
        <w:rPr>
          <w:rFonts w:hint="eastAsia" w:ascii="仿宋" w:hAnsi="仿宋" w:eastAsia="仿宋" w:cs="仿宋"/>
          <w:color w:val="000000"/>
          <w:spacing w:val="-3"/>
          <w:sz w:val="24"/>
          <w:szCs w:val="24"/>
        </w:rPr>
        <w:t>联系方式：</w:t>
      </w:r>
      <w:r>
        <w:rPr>
          <w:rFonts w:hint="eastAsia" w:ascii="仿宋" w:hAnsi="仿宋" w:eastAsia="仿宋" w:cs="仿宋"/>
          <w:color w:val="000000"/>
          <w:sz w:val="24"/>
          <w:szCs w:val="24"/>
          <w:u w:val="single" w:color="auto"/>
        </w:rPr>
        <w:t xml:space="preserve">                     </w:t>
      </w:r>
    </w:p>
    <w:p w14:paraId="75975F28">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6"/>
          <w:sz w:val="24"/>
          <w:szCs w:val="24"/>
        </w:rPr>
        <w:t>账户：</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1"/>
          <w:sz w:val="24"/>
          <w:szCs w:val="24"/>
          <w:u w:val="single" w:color="auto"/>
          <w:lang w:val="en-US" w:eastAsia="zh-CN"/>
        </w:rPr>
        <w:t xml:space="preserve">    </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8"/>
          <w:sz w:val="24"/>
          <w:szCs w:val="24"/>
        </w:rPr>
        <w:t xml:space="preserve">       </w:t>
      </w:r>
      <w:r>
        <w:rPr>
          <w:rFonts w:hint="eastAsia" w:ascii="仿宋" w:hAnsi="仿宋" w:eastAsia="仿宋" w:cs="仿宋"/>
          <w:color w:val="000000"/>
          <w:spacing w:val="8"/>
          <w:sz w:val="24"/>
          <w:szCs w:val="24"/>
          <w:lang w:val="en-US" w:eastAsia="zh-CN"/>
        </w:rPr>
        <w:t xml:space="preserve">      </w:t>
      </w:r>
      <w:r>
        <w:rPr>
          <w:rFonts w:hint="eastAsia" w:ascii="仿宋" w:hAnsi="仿宋" w:eastAsia="仿宋" w:cs="仿宋"/>
          <w:color w:val="000000"/>
          <w:spacing w:val="8"/>
          <w:sz w:val="24"/>
          <w:szCs w:val="24"/>
        </w:rPr>
        <w:t xml:space="preserve"> </w:t>
      </w:r>
      <w:r>
        <w:rPr>
          <w:rFonts w:hint="eastAsia" w:ascii="仿宋" w:hAnsi="仿宋" w:eastAsia="仿宋" w:cs="仿宋"/>
          <w:color w:val="000000"/>
          <w:spacing w:val="-6"/>
          <w:sz w:val="24"/>
          <w:szCs w:val="24"/>
        </w:rPr>
        <w:t>账户：</w:t>
      </w:r>
      <w:r>
        <w:rPr>
          <w:rFonts w:hint="eastAsia" w:ascii="仿宋" w:hAnsi="仿宋" w:eastAsia="仿宋" w:cs="仿宋"/>
          <w:color w:val="000000"/>
          <w:sz w:val="24"/>
          <w:szCs w:val="24"/>
          <w:u w:val="single" w:color="auto"/>
        </w:rPr>
        <w:t xml:space="preserve">                            </w:t>
      </w:r>
    </w:p>
    <w:p w14:paraId="20B19724">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3"/>
          <w:sz w:val="24"/>
          <w:szCs w:val="24"/>
        </w:rPr>
        <w:t>开户行：</w:t>
      </w: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pacing w:val="8"/>
          <w:sz w:val="24"/>
          <w:szCs w:val="24"/>
        </w:rPr>
        <w:t xml:space="preserve">       </w:t>
      </w:r>
      <w:r>
        <w:rPr>
          <w:rFonts w:hint="eastAsia" w:ascii="仿宋" w:hAnsi="仿宋" w:eastAsia="仿宋" w:cs="仿宋"/>
          <w:color w:val="000000"/>
          <w:spacing w:val="8"/>
          <w:sz w:val="24"/>
          <w:szCs w:val="24"/>
          <w:lang w:val="en-US" w:eastAsia="zh-CN"/>
        </w:rPr>
        <w:t xml:space="preserve">      </w:t>
      </w:r>
      <w:r>
        <w:rPr>
          <w:rFonts w:hint="eastAsia" w:ascii="仿宋" w:hAnsi="仿宋" w:eastAsia="仿宋" w:cs="仿宋"/>
          <w:color w:val="000000"/>
          <w:spacing w:val="-3"/>
          <w:sz w:val="24"/>
          <w:szCs w:val="24"/>
        </w:rPr>
        <w:t>开户行：</w:t>
      </w:r>
      <w:r>
        <w:rPr>
          <w:rFonts w:hint="eastAsia" w:ascii="仿宋" w:hAnsi="仿宋" w:eastAsia="仿宋" w:cs="仿宋"/>
          <w:color w:val="000000"/>
          <w:spacing w:val="-3"/>
          <w:sz w:val="24"/>
          <w:szCs w:val="24"/>
          <w:u w:val="single" w:color="auto"/>
        </w:rPr>
        <w:t xml:space="preserve">                </w:t>
      </w:r>
      <w:r>
        <w:rPr>
          <w:rFonts w:hint="eastAsia" w:ascii="仿宋" w:hAnsi="仿宋" w:eastAsia="仿宋" w:cs="仿宋"/>
          <w:color w:val="000000"/>
          <w:spacing w:val="-4"/>
          <w:sz w:val="24"/>
          <w:szCs w:val="24"/>
          <w:u w:val="single" w:color="auto"/>
        </w:rPr>
        <w:t xml:space="preserve">         </w:t>
      </w:r>
    </w:p>
    <w:p w14:paraId="5421ACF7">
      <w:pPr>
        <w:keepNext w:val="0"/>
        <w:keepLines w:val="0"/>
        <w:pageBreakBefore w:val="0"/>
        <w:widowControl/>
        <w:kinsoku w:val="0"/>
        <w:wordWrap/>
        <w:overflowPunct/>
        <w:topLinePunct w:val="0"/>
        <w:autoSpaceDE w:val="0"/>
        <w:autoSpaceDN w:val="0"/>
        <w:bidi w:val="0"/>
        <w:adjustRightInd w:val="0"/>
        <w:snapToGrid w:val="0"/>
        <w:spacing w:line="420" w:lineRule="exact"/>
        <w:ind w:left="162"/>
        <w:jc w:val="both"/>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pacing w:val="-6"/>
          <w:w w:val="98"/>
          <w:sz w:val="24"/>
          <w:szCs w:val="24"/>
        </w:rPr>
        <w:t>附件</w:t>
      </w:r>
    </w:p>
    <w:p w14:paraId="300BB51E">
      <w:pPr>
        <w:keepNext w:val="0"/>
        <w:keepLines w:val="0"/>
        <w:pageBreakBefore w:val="0"/>
        <w:widowControl/>
        <w:kinsoku w:val="0"/>
        <w:wordWrap/>
        <w:overflowPunct/>
        <w:topLinePunct w:val="0"/>
        <w:autoSpaceDE w:val="0"/>
        <w:autoSpaceDN w:val="0"/>
        <w:bidi w:val="0"/>
        <w:adjustRightInd w:val="0"/>
        <w:snapToGrid w:val="0"/>
        <w:spacing w:line="420" w:lineRule="exact"/>
        <w:ind w:left="953"/>
        <w:jc w:val="both"/>
        <w:textAlignment w:val="baseline"/>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pacing w:val="-11"/>
          <w:kern w:val="2"/>
          <w:sz w:val="24"/>
          <w:szCs w:val="24"/>
          <w:lang w:val="en-US" w:eastAsia="zh-CN" w:bidi="ar-SA"/>
        </w:rPr>
        <w:t>附件 1：</w:t>
      </w:r>
      <w:r>
        <w:rPr>
          <w:rFonts w:hint="eastAsia" w:ascii="仿宋" w:hAnsi="仿宋" w:eastAsia="仿宋" w:cs="仿宋"/>
          <w:color w:val="000000"/>
          <w:spacing w:val="-28"/>
          <w:kern w:val="2"/>
          <w:sz w:val="24"/>
          <w:szCs w:val="24"/>
          <w:lang w:val="en-US" w:eastAsia="zh-CN" w:bidi="ar-SA"/>
        </w:rPr>
        <w:t xml:space="preserve"> </w:t>
      </w:r>
      <w:r>
        <w:rPr>
          <w:rFonts w:hint="eastAsia" w:ascii="仿宋" w:hAnsi="仿宋" w:eastAsia="仿宋" w:cs="仿宋"/>
          <w:color w:val="000000"/>
          <w:spacing w:val="-11"/>
          <w:kern w:val="2"/>
          <w:sz w:val="24"/>
          <w:szCs w:val="24"/>
          <w:lang w:val="en-US" w:eastAsia="zh-CN" w:bidi="ar-SA"/>
        </w:rPr>
        <w:t>固定资产移交表</w:t>
      </w:r>
    </w:p>
    <w:p w14:paraId="03DDD245">
      <w:pPr>
        <w:keepNext w:val="0"/>
        <w:keepLines w:val="0"/>
        <w:pageBreakBefore w:val="0"/>
        <w:widowControl/>
        <w:kinsoku w:val="0"/>
        <w:wordWrap/>
        <w:overflowPunct/>
        <w:topLinePunct w:val="0"/>
        <w:autoSpaceDE w:val="0"/>
        <w:autoSpaceDN w:val="0"/>
        <w:bidi w:val="0"/>
        <w:adjustRightInd w:val="0"/>
        <w:snapToGrid w:val="0"/>
        <w:spacing w:line="420" w:lineRule="exact"/>
        <w:ind w:left="953"/>
        <w:jc w:val="both"/>
        <w:textAlignment w:val="baseline"/>
        <w:rPr>
          <w:rFonts w:hint="eastAsia" w:ascii="仿宋" w:hAnsi="仿宋" w:eastAsia="仿宋" w:cs="仿宋"/>
          <w:color w:val="000000"/>
          <w:sz w:val="24"/>
          <w:szCs w:val="24"/>
        </w:rPr>
        <w:sectPr>
          <w:footerReference r:id="rId8" w:type="default"/>
          <w:pgSz w:w="11906" w:h="16839"/>
          <w:pgMar w:top="2098" w:right="1531" w:bottom="1984" w:left="1531" w:header="0" w:footer="1531" w:gutter="0"/>
          <w:pgNumType w:fmt="decimal"/>
          <w:cols w:space="720" w:num="1"/>
        </w:sectPr>
      </w:pPr>
      <w:r>
        <w:rPr>
          <w:rFonts w:hint="eastAsia" w:ascii="仿宋" w:hAnsi="仿宋" w:eastAsia="仿宋" w:cs="仿宋"/>
          <w:color w:val="000000"/>
          <w:spacing w:val="-7"/>
          <w:kern w:val="2"/>
          <w:sz w:val="24"/>
          <w:szCs w:val="24"/>
          <w:lang w:val="en-US" w:eastAsia="zh-CN" w:bidi="ar-SA"/>
        </w:rPr>
        <w:t>附件 2：食堂考核办</w:t>
      </w:r>
    </w:p>
    <w:p w14:paraId="343DD93D">
      <w:pPr>
        <w:widowControl w:val="0"/>
        <w:spacing w:line="287" w:lineRule="auto"/>
        <w:jc w:val="both"/>
        <w:rPr>
          <w:rFonts w:hint="eastAsia" w:ascii="仿宋" w:hAnsi="仿宋" w:eastAsia="仿宋" w:cs="仿宋"/>
          <w:color w:val="000000"/>
          <w:kern w:val="2"/>
          <w:sz w:val="21"/>
          <w:szCs w:val="24"/>
          <w:lang w:val="en-US" w:eastAsia="zh-CN" w:bidi="ar-SA"/>
        </w:rPr>
      </w:pPr>
    </w:p>
    <w:p w14:paraId="66619D9C">
      <w:pPr>
        <w:widowControl w:val="0"/>
        <w:spacing w:before="101" w:line="417" w:lineRule="exact"/>
        <w:jc w:val="both"/>
        <w:rPr>
          <w:rFonts w:hint="eastAsia" w:ascii="仿宋" w:hAnsi="仿宋" w:eastAsia="仿宋" w:cs="仿宋"/>
          <w:color w:val="000000"/>
          <w:kern w:val="2"/>
          <w:sz w:val="31"/>
          <w:szCs w:val="31"/>
          <w:lang w:val="en-US" w:eastAsia="zh-CN" w:bidi="ar-SA"/>
        </w:rPr>
      </w:pPr>
      <w:r>
        <w:rPr>
          <w:rFonts w:hint="eastAsia" w:ascii="仿宋" w:hAnsi="仿宋" w:eastAsia="仿宋" w:cs="仿宋"/>
          <w:color w:val="000000"/>
          <w:spacing w:val="-5"/>
          <w:kern w:val="2"/>
          <w:position w:val="1"/>
          <w:sz w:val="31"/>
          <w:szCs w:val="31"/>
          <w:lang w:val="en-US" w:eastAsia="zh-CN" w:bidi="ar-SA"/>
        </w:rPr>
        <w:t>附件</w:t>
      </w:r>
      <w:r>
        <w:rPr>
          <w:rFonts w:hint="eastAsia" w:ascii="仿宋" w:hAnsi="仿宋" w:eastAsia="仿宋" w:cs="仿宋"/>
          <w:color w:val="000000"/>
          <w:spacing w:val="-53"/>
          <w:kern w:val="2"/>
          <w:position w:val="1"/>
          <w:sz w:val="31"/>
          <w:szCs w:val="31"/>
          <w:lang w:val="en-US" w:eastAsia="zh-CN" w:bidi="ar-SA"/>
        </w:rPr>
        <w:t xml:space="preserve"> </w:t>
      </w:r>
      <w:r>
        <w:rPr>
          <w:rFonts w:hint="eastAsia" w:ascii="仿宋" w:hAnsi="仿宋" w:eastAsia="仿宋" w:cs="仿宋"/>
          <w:color w:val="000000"/>
          <w:spacing w:val="-5"/>
          <w:kern w:val="2"/>
          <w:position w:val="1"/>
          <w:sz w:val="32"/>
          <w:szCs w:val="32"/>
          <w:lang w:val="en-US" w:eastAsia="zh-CN" w:bidi="ar-SA"/>
        </w:rPr>
        <w:t>1</w:t>
      </w:r>
    </w:p>
    <w:p w14:paraId="4C6FA4DB">
      <w:pPr>
        <w:spacing w:before="222" w:line="595" w:lineRule="exact"/>
        <w:ind w:left="5434"/>
        <w:rPr>
          <w:rFonts w:hint="eastAsia" w:ascii="仿宋" w:hAnsi="仿宋" w:eastAsia="仿宋" w:cs="仿宋"/>
          <w:color w:val="000000"/>
          <w:sz w:val="43"/>
          <w:szCs w:val="43"/>
        </w:rPr>
      </w:pPr>
      <w:r>
        <w:rPr>
          <w:rFonts w:hint="eastAsia" w:ascii="仿宋" w:hAnsi="仿宋" w:eastAsia="仿宋" w:cs="仿宋"/>
          <w:color w:val="000000"/>
          <w:spacing w:val="5"/>
          <w:position w:val="2"/>
          <w:sz w:val="43"/>
          <w:szCs w:val="43"/>
        </w:rPr>
        <w:t>固定资产移交表</w:t>
      </w:r>
    </w:p>
    <w:p w14:paraId="495DCB69">
      <w:pPr>
        <w:spacing w:line="58" w:lineRule="exact"/>
        <w:rPr>
          <w:rFonts w:hint="eastAsia" w:ascii="仿宋" w:hAnsi="仿宋" w:eastAsia="仿宋" w:cs="仿宋"/>
          <w:color w:val="000000"/>
        </w:rPr>
      </w:pPr>
    </w:p>
    <w:tbl>
      <w:tblPr>
        <w:tblStyle w:val="49"/>
        <w:tblW w:w="13761"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7"/>
        <w:gridCol w:w="1713"/>
        <w:gridCol w:w="1999"/>
        <w:gridCol w:w="2247"/>
        <w:gridCol w:w="1009"/>
        <w:gridCol w:w="1429"/>
        <w:gridCol w:w="1503"/>
        <w:gridCol w:w="1614"/>
      </w:tblGrid>
      <w:tr w14:paraId="353EE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3761" w:type="dxa"/>
            <w:gridSpan w:val="8"/>
            <w:noWrap w:val="0"/>
            <w:vAlign w:val="top"/>
          </w:tcPr>
          <w:p w14:paraId="63723263">
            <w:pPr>
              <w:spacing w:before="277" w:line="200" w:lineRule="auto"/>
              <w:ind w:left="5253"/>
              <w:rPr>
                <w:rFonts w:hint="eastAsia" w:ascii="仿宋" w:hAnsi="仿宋" w:eastAsia="仿宋" w:cs="仿宋"/>
                <w:color w:val="000000"/>
                <w:sz w:val="28"/>
                <w:szCs w:val="28"/>
              </w:rPr>
            </w:pPr>
            <w:r>
              <w:rPr>
                <w:rFonts w:hint="eastAsia" w:ascii="仿宋" w:hAnsi="仿宋" w:eastAsia="仿宋" w:cs="仿宋"/>
                <w:color w:val="000000"/>
                <w:spacing w:val="-5"/>
                <w:sz w:val="28"/>
                <w:szCs w:val="28"/>
              </w:rPr>
              <w:t>甲方相关食堂设施、设备等</w:t>
            </w:r>
          </w:p>
        </w:tc>
      </w:tr>
      <w:tr w14:paraId="71BF1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2BC5AD5F">
            <w:pPr>
              <w:spacing w:before="272" w:line="200" w:lineRule="auto"/>
              <w:ind w:left="860"/>
              <w:rPr>
                <w:rFonts w:hint="eastAsia" w:ascii="仿宋" w:hAnsi="仿宋" w:eastAsia="仿宋" w:cs="仿宋"/>
                <w:color w:val="000000"/>
                <w:sz w:val="28"/>
                <w:szCs w:val="28"/>
              </w:rPr>
            </w:pPr>
            <w:r>
              <w:rPr>
                <w:rFonts w:hint="eastAsia" w:ascii="仿宋" w:hAnsi="仿宋" w:eastAsia="仿宋" w:cs="仿宋"/>
                <w:color w:val="000000"/>
                <w:spacing w:val="-5"/>
                <w:w w:val="98"/>
                <w:sz w:val="28"/>
                <w:szCs w:val="28"/>
              </w:rPr>
              <w:t>序号</w:t>
            </w:r>
          </w:p>
        </w:tc>
        <w:tc>
          <w:tcPr>
            <w:tcW w:w="1713" w:type="dxa"/>
            <w:noWrap w:val="0"/>
            <w:vAlign w:val="top"/>
          </w:tcPr>
          <w:p w14:paraId="1A65D7D2">
            <w:pPr>
              <w:spacing w:before="272" w:line="200" w:lineRule="auto"/>
              <w:ind w:left="593"/>
              <w:rPr>
                <w:rFonts w:hint="eastAsia" w:ascii="仿宋" w:hAnsi="仿宋" w:eastAsia="仿宋" w:cs="仿宋"/>
                <w:color w:val="000000"/>
                <w:sz w:val="28"/>
                <w:szCs w:val="28"/>
              </w:rPr>
            </w:pPr>
            <w:r>
              <w:rPr>
                <w:rFonts w:hint="eastAsia" w:ascii="仿宋" w:hAnsi="仿宋" w:eastAsia="仿宋" w:cs="仿宋"/>
                <w:color w:val="000000"/>
                <w:spacing w:val="-5"/>
                <w:w w:val="98"/>
                <w:sz w:val="28"/>
                <w:szCs w:val="28"/>
              </w:rPr>
              <w:t>名称</w:t>
            </w:r>
          </w:p>
        </w:tc>
        <w:tc>
          <w:tcPr>
            <w:tcW w:w="1999" w:type="dxa"/>
            <w:noWrap w:val="0"/>
            <w:vAlign w:val="top"/>
          </w:tcPr>
          <w:p w14:paraId="115AE7A1">
            <w:pPr>
              <w:spacing w:before="273" w:line="200" w:lineRule="auto"/>
              <w:ind w:left="744"/>
              <w:rPr>
                <w:rFonts w:hint="eastAsia" w:ascii="仿宋" w:hAnsi="仿宋" w:eastAsia="仿宋" w:cs="仿宋"/>
                <w:color w:val="000000"/>
                <w:sz w:val="28"/>
                <w:szCs w:val="28"/>
              </w:rPr>
            </w:pPr>
            <w:r>
              <w:rPr>
                <w:rFonts w:hint="eastAsia" w:ascii="仿宋" w:hAnsi="仿宋" w:eastAsia="仿宋" w:cs="仿宋"/>
                <w:color w:val="000000"/>
                <w:spacing w:val="-9"/>
                <w:w w:val="98"/>
                <w:sz w:val="28"/>
                <w:szCs w:val="28"/>
              </w:rPr>
              <w:t>型号</w:t>
            </w:r>
          </w:p>
        </w:tc>
        <w:tc>
          <w:tcPr>
            <w:tcW w:w="2247" w:type="dxa"/>
            <w:noWrap w:val="0"/>
            <w:vAlign w:val="top"/>
          </w:tcPr>
          <w:p w14:paraId="7BF7AFD5">
            <w:pPr>
              <w:spacing w:before="273" w:line="200" w:lineRule="auto"/>
              <w:ind w:left="614"/>
              <w:rPr>
                <w:rFonts w:hint="eastAsia" w:ascii="仿宋" w:hAnsi="仿宋" w:eastAsia="仿宋" w:cs="仿宋"/>
                <w:color w:val="000000"/>
                <w:sz w:val="28"/>
                <w:szCs w:val="28"/>
              </w:rPr>
            </w:pPr>
            <w:r>
              <w:rPr>
                <w:rFonts w:hint="eastAsia" w:ascii="仿宋" w:hAnsi="仿宋" w:eastAsia="仿宋" w:cs="仿宋"/>
                <w:color w:val="000000"/>
                <w:spacing w:val="-13"/>
                <w:sz w:val="28"/>
                <w:szCs w:val="28"/>
              </w:rPr>
              <w:t>出厂编号</w:t>
            </w:r>
          </w:p>
        </w:tc>
        <w:tc>
          <w:tcPr>
            <w:tcW w:w="1009" w:type="dxa"/>
            <w:noWrap w:val="0"/>
            <w:vAlign w:val="top"/>
          </w:tcPr>
          <w:p w14:paraId="6DE604D8">
            <w:pPr>
              <w:spacing w:before="272" w:line="199" w:lineRule="auto"/>
              <w:ind w:left="245"/>
              <w:rPr>
                <w:rFonts w:hint="eastAsia" w:ascii="仿宋" w:hAnsi="仿宋" w:eastAsia="仿宋" w:cs="仿宋"/>
                <w:color w:val="000000"/>
                <w:sz w:val="28"/>
                <w:szCs w:val="28"/>
              </w:rPr>
            </w:pPr>
            <w:r>
              <w:rPr>
                <w:rFonts w:hint="eastAsia" w:ascii="仿宋" w:hAnsi="仿宋" w:eastAsia="仿宋" w:cs="仿宋"/>
                <w:color w:val="000000"/>
                <w:spacing w:val="-5"/>
                <w:w w:val="98"/>
                <w:sz w:val="28"/>
                <w:szCs w:val="28"/>
              </w:rPr>
              <w:t>数量</w:t>
            </w:r>
          </w:p>
        </w:tc>
        <w:tc>
          <w:tcPr>
            <w:tcW w:w="1429" w:type="dxa"/>
            <w:noWrap w:val="0"/>
            <w:vAlign w:val="top"/>
          </w:tcPr>
          <w:p w14:paraId="5D862036">
            <w:pPr>
              <w:spacing w:before="272" w:line="195" w:lineRule="auto"/>
              <w:jc w:val="right"/>
              <w:rPr>
                <w:rFonts w:hint="eastAsia" w:ascii="仿宋" w:hAnsi="仿宋" w:eastAsia="仿宋" w:cs="仿宋"/>
                <w:color w:val="000000"/>
                <w:sz w:val="28"/>
                <w:szCs w:val="28"/>
              </w:rPr>
            </w:pPr>
            <w:r>
              <w:rPr>
                <w:rFonts w:hint="eastAsia" w:ascii="仿宋" w:hAnsi="仿宋" w:eastAsia="仿宋" w:cs="仿宋"/>
                <w:color w:val="000000"/>
                <w:spacing w:val="-17"/>
                <w:sz w:val="28"/>
                <w:szCs w:val="28"/>
              </w:rPr>
              <w:t>单价（元）</w:t>
            </w:r>
          </w:p>
        </w:tc>
        <w:tc>
          <w:tcPr>
            <w:tcW w:w="1503" w:type="dxa"/>
            <w:noWrap w:val="0"/>
            <w:vAlign w:val="top"/>
          </w:tcPr>
          <w:p w14:paraId="595A912B">
            <w:pPr>
              <w:spacing w:before="272" w:line="195" w:lineRule="auto"/>
              <w:ind w:right="2"/>
              <w:jc w:val="right"/>
              <w:rPr>
                <w:rFonts w:hint="eastAsia" w:ascii="仿宋" w:hAnsi="仿宋" w:eastAsia="仿宋" w:cs="仿宋"/>
                <w:color w:val="000000"/>
                <w:sz w:val="28"/>
                <w:szCs w:val="28"/>
              </w:rPr>
            </w:pPr>
            <w:r>
              <w:rPr>
                <w:rFonts w:hint="eastAsia" w:ascii="仿宋" w:hAnsi="仿宋" w:eastAsia="仿宋" w:cs="仿宋"/>
                <w:color w:val="000000"/>
                <w:spacing w:val="-2"/>
                <w:sz w:val="28"/>
                <w:szCs w:val="28"/>
              </w:rPr>
              <w:t>金额（元）</w:t>
            </w:r>
          </w:p>
        </w:tc>
        <w:tc>
          <w:tcPr>
            <w:tcW w:w="1614" w:type="dxa"/>
            <w:noWrap w:val="0"/>
            <w:vAlign w:val="top"/>
          </w:tcPr>
          <w:p w14:paraId="0E8F7597">
            <w:pPr>
              <w:spacing w:before="273" w:line="200" w:lineRule="auto"/>
              <w:ind w:left="539"/>
              <w:rPr>
                <w:rFonts w:hint="eastAsia" w:ascii="仿宋" w:hAnsi="仿宋" w:eastAsia="仿宋" w:cs="仿宋"/>
                <w:color w:val="000000"/>
                <w:sz w:val="28"/>
                <w:szCs w:val="28"/>
              </w:rPr>
            </w:pPr>
            <w:r>
              <w:rPr>
                <w:rFonts w:hint="eastAsia" w:ascii="仿宋" w:hAnsi="仿宋" w:eastAsia="仿宋" w:cs="仿宋"/>
                <w:color w:val="000000"/>
                <w:spacing w:val="-3"/>
                <w:w w:val="98"/>
                <w:sz w:val="28"/>
                <w:szCs w:val="28"/>
              </w:rPr>
              <w:t>备注</w:t>
            </w:r>
          </w:p>
        </w:tc>
      </w:tr>
      <w:tr w14:paraId="4BB3F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02599706">
            <w:pPr>
              <w:pStyle w:val="54"/>
              <w:rPr>
                <w:rFonts w:hint="eastAsia" w:ascii="仿宋" w:hAnsi="仿宋" w:eastAsia="仿宋" w:cs="仿宋"/>
                <w:color w:val="000000"/>
              </w:rPr>
            </w:pPr>
          </w:p>
        </w:tc>
        <w:tc>
          <w:tcPr>
            <w:tcW w:w="1713" w:type="dxa"/>
            <w:noWrap w:val="0"/>
            <w:vAlign w:val="top"/>
          </w:tcPr>
          <w:p w14:paraId="4D600654">
            <w:pPr>
              <w:pStyle w:val="54"/>
              <w:rPr>
                <w:rFonts w:hint="eastAsia" w:ascii="仿宋" w:hAnsi="仿宋" w:eastAsia="仿宋" w:cs="仿宋"/>
                <w:color w:val="000000"/>
              </w:rPr>
            </w:pPr>
          </w:p>
        </w:tc>
        <w:tc>
          <w:tcPr>
            <w:tcW w:w="1999" w:type="dxa"/>
            <w:noWrap w:val="0"/>
            <w:vAlign w:val="top"/>
          </w:tcPr>
          <w:p w14:paraId="4EB7BD96">
            <w:pPr>
              <w:pStyle w:val="54"/>
              <w:rPr>
                <w:rFonts w:hint="eastAsia" w:ascii="仿宋" w:hAnsi="仿宋" w:eastAsia="仿宋" w:cs="仿宋"/>
                <w:color w:val="000000"/>
              </w:rPr>
            </w:pPr>
          </w:p>
        </w:tc>
        <w:tc>
          <w:tcPr>
            <w:tcW w:w="2247" w:type="dxa"/>
            <w:noWrap w:val="0"/>
            <w:vAlign w:val="top"/>
          </w:tcPr>
          <w:p w14:paraId="520FCBBE">
            <w:pPr>
              <w:pStyle w:val="54"/>
              <w:rPr>
                <w:rFonts w:hint="eastAsia" w:ascii="仿宋" w:hAnsi="仿宋" w:eastAsia="仿宋" w:cs="仿宋"/>
                <w:color w:val="000000"/>
              </w:rPr>
            </w:pPr>
          </w:p>
        </w:tc>
        <w:tc>
          <w:tcPr>
            <w:tcW w:w="1009" w:type="dxa"/>
            <w:noWrap w:val="0"/>
            <w:vAlign w:val="top"/>
          </w:tcPr>
          <w:p w14:paraId="42E7E930">
            <w:pPr>
              <w:pStyle w:val="54"/>
              <w:rPr>
                <w:rFonts w:hint="eastAsia" w:ascii="仿宋" w:hAnsi="仿宋" w:eastAsia="仿宋" w:cs="仿宋"/>
                <w:color w:val="000000"/>
              </w:rPr>
            </w:pPr>
          </w:p>
        </w:tc>
        <w:tc>
          <w:tcPr>
            <w:tcW w:w="1429" w:type="dxa"/>
            <w:noWrap w:val="0"/>
            <w:vAlign w:val="top"/>
          </w:tcPr>
          <w:p w14:paraId="35BEE667">
            <w:pPr>
              <w:pStyle w:val="54"/>
              <w:rPr>
                <w:rFonts w:hint="eastAsia" w:ascii="仿宋" w:hAnsi="仿宋" w:eastAsia="仿宋" w:cs="仿宋"/>
                <w:color w:val="000000"/>
              </w:rPr>
            </w:pPr>
          </w:p>
        </w:tc>
        <w:tc>
          <w:tcPr>
            <w:tcW w:w="1503" w:type="dxa"/>
            <w:noWrap w:val="0"/>
            <w:vAlign w:val="top"/>
          </w:tcPr>
          <w:p w14:paraId="6D22252B">
            <w:pPr>
              <w:pStyle w:val="54"/>
              <w:rPr>
                <w:rFonts w:hint="eastAsia" w:ascii="仿宋" w:hAnsi="仿宋" w:eastAsia="仿宋" w:cs="仿宋"/>
                <w:color w:val="000000"/>
              </w:rPr>
            </w:pPr>
          </w:p>
        </w:tc>
        <w:tc>
          <w:tcPr>
            <w:tcW w:w="1614" w:type="dxa"/>
            <w:noWrap w:val="0"/>
            <w:vAlign w:val="top"/>
          </w:tcPr>
          <w:p w14:paraId="4767DED2">
            <w:pPr>
              <w:pStyle w:val="54"/>
              <w:rPr>
                <w:rFonts w:hint="eastAsia" w:ascii="仿宋" w:hAnsi="仿宋" w:eastAsia="仿宋" w:cs="仿宋"/>
                <w:color w:val="000000"/>
              </w:rPr>
            </w:pPr>
          </w:p>
        </w:tc>
      </w:tr>
      <w:tr w14:paraId="14F44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0A8C5FF5">
            <w:pPr>
              <w:pStyle w:val="54"/>
              <w:rPr>
                <w:rFonts w:hint="eastAsia" w:ascii="仿宋" w:hAnsi="仿宋" w:eastAsia="仿宋" w:cs="仿宋"/>
                <w:color w:val="000000"/>
              </w:rPr>
            </w:pPr>
          </w:p>
        </w:tc>
        <w:tc>
          <w:tcPr>
            <w:tcW w:w="1713" w:type="dxa"/>
            <w:noWrap w:val="0"/>
            <w:vAlign w:val="top"/>
          </w:tcPr>
          <w:p w14:paraId="22BDD5CE">
            <w:pPr>
              <w:pStyle w:val="54"/>
              <w:rPr>
                <w:rFonts w:hint="eastAsia" w:ascii="仿宋" w:hAnsi="仿宋" w:eastAsia="仿宋" w:cs="仿宋"/>
                <w:color w:val="000000"/>
              </w:rPr>
            </w:pPr>
          </w:p>
        </w:tc>
        <w:tc>
          <w:tcPr>
            <w:tcW w:w="1999" w:type="dxa"/>
            <w:noWrap w:val="0"/>
            <w:vAlign w:val="top"/>
          </w:tcPr>
          <w:p w14:paraId="3BA016E5">
            <w:pPr>
              <w:pStyle w:val="54"/>
              <w:rPr>
                <w:rFonts w:hint="eastAsia" w:ascii="仿宋" w:hAnsi="仿宋" w:eastAsia="仿宋" w:cs="仿宋"/>
                <w:color w:val="000000"/>
              </w:rPr>
            </w:pPr>
          </w:p>
        </w:tc>
        <w:tc>
          <w:tcPr>
            <w:tcW w:w="2247" w:type="dxa"/>
            <w:noWrap w:val="0"/>
            <w:vAlign w:val="top"/>
          </w:tcPr>
          <w:p w14:paraId="6C3492A8">
            <w:pPr>
              <w:pStyle w:val="54"/>
              <w:rPr>
                <w:rFonts w:hint="eastAsia" w:ascii="仿宋" w:hAnsi="仿宋" w:eastAsia="仿宋" w:cs="仿宋"/>
                <w:color w:val="000000"/>
              </w:rPr>
            </w:pPr>
          </w:p>
        </w:tc>
        <w:tc>
          <w:tcPr>
            <w:tcW w:w="1009" w:type="dxa"/>
            <w:noWrap w:val="0"/>
            <w:vAlign w:val="top"/>
          </w:tcPr>
          <w:p w14:paraId="39997FC4">
            <w:pPr>
              <w:pStyle w:val="54"/>
              <w:rPr>
                <w:rFonts w:hint="eastAsia" w:ascii="仿宋" w:hAnsi="仿宋" w:eastAsia="仿宋" w:cs="仿宋"/>
                <w:color w:val="000000"/>
              </w:rPr>
            </w:pPr>
          </w:p>
        </w:tc>
        <w:tc>
          <w:tcPr>
            <w:tcW w:w="1429" w:type="dxa"/>
            <w:noWrap w:val="0"/>
            <w:vAlign w:val="top"/>
          </w:tcPr>
          <w:p w14:paraId="27F2A10D">
            <w:pPr>
              <w:pStyle w:val="54"/>
              <w:rPr>
                <w:rFonts w:hint="eastAsia" w:ascii="仿宋" w:hAnsi="仿宋" w:eastAsia="仿宋" w:cs="仿宋"/>
                <w:color w:val="000000"/>
              </w:rPr>
            </w:pPr>
          </w:p>
        </w:tc>
        <w:tc>
          <w:tcPr>
            <w:tcW w:w="1503" w:type="dxa"/>
            <w:noWrap w:val="0"/>
            <w:vAlign w:val="top"/>
          </w:tcPr>
          <w:p w14:paraId="73B8663A">
            <w:pPr>
              <w:pStyle w:val="54"/>
              <w:rPr>
                <w:rFonts w:hint="eastAsia" w:ascii="仿宋" w:hAnsi="仿宋" w:eastAsia="仿宋" w:cs="仿宋"/>
                <w:color w:val="000000"/>
              </w:rPr>
            </w:pPr>
          </w:p>
        </w:tc>
        <w:tc>
          <w:tcPr>
            <w:tcW w:w="1614" w:type="dxa"/>
            <w:noWrap w:val="0"/>
            <w:vAlign w:val="top"/>
          </w:tcPr>
          <w:p w14:paraId="2A5311E1">
            <w:pPr>
              <w:pStyle w:val="54"/>
              <w:rPr>
                <w:rFonts w:hint="eastAsia" w:ascii="仿宋" w:hAnsi="仿宋" w:eastAsia="仿宋" w:cs="仿宋"/>
                <w:color w:val="000000"/>
              </w:rPr>
            </w:pPr>
          </w:p>
        </w:tc>
      </w:tr>
      <w:tr w14:paraId="27434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47DA38EF">
            <w:pPr>
              <w:pStyle w:val="54"/>
              <w:rPr>
                <w:rFonts w:hint="eastAsia" w:ascii="仿宋" w:hAnsi="仿宋" w:eastAsia="仿宋" w:cs="仿宋"/>
                <w:color w:val="000000"/>
              </w:rPr>
            </w:pPr>
          </w:p>
        </w:tc>
        <w:tc>
          <w:tcPr>
            <w:tcW w:w="1713" w:type="dxa"/>
            <w:noWrap w:val="0"/>
            <w:vAlign w:val="top"/>
          </w:tcPr>
          <w:p w14:paraId="02517079">
            <w:pPr>
              <w:pStyle w:val="54"/>
              <w:rPr>
                <w:rFonts w:hint="eastAsia" w:ascii="仿宋" w:hAnsi="仿宋" w:eastAsia="仿宋" w:cs="仿宋"/>
                <w:color w:val="000000"/>
              </w:rPr>
            </w:pPr>
          </w:p>
        </w:tc>
        <w:tc>
          <w:tcPr>
            <w:tcW w:w="1999" w:type="dxa"/>
            <w:noWrap w:val="0"/>
            <w:vAlign w:val="top"/>
          </w:tcPr>
          <w:p w14:paraId="28A56A2A">
            <w:pPr>
              <w:pStyle w:val="54"/>
              <w:rPr>
                <w:rFonts w:hint="eastAsia" w:ascii="仿宋" w:hAnsi="仿宋" w:eastAsia="仿宋" w:cs="仿宋"/>
                <w:color w:val="000000"/>
              </w:rPr>
            </w:pPr>
          </w:p>
        </w:tc>
        <w:tc>
          <w:tcPr>
            <w:tcW w:w="2247" w:type="dxa"/>
            <w:noWrap w:val="0"/>
            <w:vAlign w:val="top"/>
          </w:tcPr>
          <w:p w14:paraId="714B9D05">
            <w:pPr>
              <w:pStyle w:val="54"/>
              <w:rPr>
                <w:rFonts w:hint="eastAsia" w:ascii="仿宋" w:hAnsi="仿宋" w:eastAsia="仿宋" w:cs="仿宋"/>
                <w:color w:val="000000"/>
              </w:rPr>
            </w:pPr>
          </w:p>
        </w:tc>
        <w:tc>
          <w:tcPr>
            <w:tcW w:w="1009" w:type="dxa"/>
            <w:noWrap w:val="0"/>
            <w:vAlign w:val="top"/>
          </w:tcPr>
          <w:p w14:paraId="130DB915">
            <w:pPr>
              <w:pStyle w:val="54"/>
              <w:rPr>
                <w:rFonts w:hint="eastAsia" w:ascii="仿宋" w:hAnsi="仿宋" w:eastAsia="仿宋" w:cs="仿宋"/>
                <w:color w:val="000000"/>
              </w:rPr>
            </w:pPr>
          </w:p>
        </w:tc>
        <w:tc>
          <w:tcPr>
            <w:tcW w:w="1429" w:type="dxa"/>
            <w:noWrap w:val="0"/>
            <w:vAlign w:val="top"/>
          </w:tcPr>
          <w:p w14:paraId="72E00CA8">
            <w:pPr>
              <w:pStyle w:val="54"/>
              <w:rPr>
                <w:rFonts w:hint="eastAsia" w:ascii="仿宋" w:hAnsi="仿宋" w:eastAsia="仿宋" w:cs="仿宋"/>
                <w:color w:val="000000"/>
              </w:rPr>
            </w:pPr>
          </w:p>
        </w:tc>
        <w:tc>
          <w:tcPr>
            <w:tcW w:w="1503" w:type="dxa"/>
            <w:noWrap w:val="0"/>
            <w:vAlign w:val="top"/>
          </w:tcPr>
          <w:p w14:paraId="14CB158D">
            <w:pPr>
              <w:pStyle w:val="54"/>
              <w:rPr>
                <w:rFonts w:hint="eastAsia" w:ascii="仿宋" w:hAnsi="仿宋" w:eastAsia="仿宋" w:cs="仿宋"/>
                <w:color w:val="000000"/>
              </w:rPr>
            </w:pPr>
          </w:p>
        </w:tc>
        <w:tc>
          <w:tcPr>
            <w:tcW w:w="1614" w:type="dxa"/>
            <w:noWrap w:val="0"/>
            <w:vAlign w:val="top"/>
          </w:tcPr>
          <w:p w14:paraId="79D0A67B">
            <w:pPr>
              <w:pStyle w:val="54"/>
              <w:rPr>
                <w:rFonts w:hint="eastAsia" w:ascii="仿宋" w:hAnsi="仿宋" w:eastAsia="仿宋" w:cs="仿宋"/>
                <w:color w:val="000000"/>
              </w:rPr>
            </w:pPr>
          </w:p>
        </w:tc>
      </w:tr>
      <w:tr w14:paraId="610CF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247" w:type="dxa"/>
            <w:noWrap w:val="0"/>
            <w:vAlign w:val="top"/>
          </w:tcPr>
          <w:p w14:paraId="5DB4E010">
            <w:pPr>
              <w:pStyle w:val="54"/>
              <w:rPr>
                <w:rFonts w:hint="eastAsia" w:ascii="仿宋" w:hAnsi="仿宋" w:eastAsia="仿宋" w:cs="仿宋"/>
                <w:color w:val="000000"/>
              </w:rPr>
            </w:pPr>
          </w:p>
        </w:tc>
        <w:tc>
          <w:tcPr>
            <w:tcW w:w="1713" w:type="dxa"/>
            <w:noWrap w:val="0"/>
            <w:vAlign w:val="top"/>
          </w:tcPr>
          <w:p w14:paraId="00D3B36D">
            <w:pPr>
              <w:pStyle w:val="54"/>
              <w:rPr>
                <w:rFonts w:hint="eastAsia" w:ascii="仿宋" w:hAnsi="仿宋" w:eastAsia="仿宋" w:cs="仿宋"/>
                <w:color w:val="000000"/>
              </w:rPr>
            </w:pPr>
          </w:p>
        </w:tc>
        <w:tc>
          <w:tcPr>
            <w:tcW w:w="1999" w:type="dxa"/>
            <w:noWrap w:val="0"/>
            <w:vAlign w:val="top"/>
          </w:tcPr>
          <w:p w14:paraId="4A221B54">
            <w:pPr>
              <w:pStyle w:val="54"/>
              <w:rPr>
                <w:rFonts w:hint="eastAsia" w:ascii="仿宋" w:hAnsi="仿宋" w:eastAsia="仿宋" w:cs="仿宋"/>
                <w:color w:val="000000"/>
              </w:rPr>
            </w:pPr>
          </w:p>
        </w:tc>
        <w:tc>
          <w:tcPr>
            <w:tcW w:w="2247" w:type="dxa"/>
            <w:noWrap w:val="0"/>
            <w:vAlign w:val="top"/>
          </w:tcPr>
          <w:p w14:paraId="0EBADA3E">
            <w:pPr>
              <w:pStyle w:val="54"/>
              <w:rPr>
                <w:rFonts w:hint="eastAsia" w:ascii="仿宋" w:hAnsi="仿宋" w:eastAsia="仿宋" w:cs="仿宋"/>
                <w:color w:val="000000"/>
              </w:rPr>
            </w:pPr>
          </w:p>
        </w:tc>
        <w:tc>
          <w:tcPr>
            <w:tcW w:w="1009" w:type="dxa"/>
            <w:noWrap w:val="0"/>
            <w:vAlign w:val="top"/>
          </w:tcPr>
          <w:p w14:paraId="2ED8E3EC">
            <w:pPr>
              <w:pStyle w:val="54"/>
              <w:rPr>
                <w:rFonts w:hint="eastAsia" w:ascii="仿宋" w:hAnsi="仿宋" w:eastAsia="仿宋" w:cs="仿宋"/>
                <w:color w:val="000000"/>
              </w:rPr>
            </w:pPr>
          </w:p>
        </w:tc>
        <w:tc>
          <w:tcPr>
            <w:tcW w:w="1429" w:type="dxa"/>
            <w:noWrap w:val="0"/>
            <w:vAlign w:val="top"/>
          </w:tcPr>
          <w:p w14:paraId="011C7DFF">
            <w:pPr>
              <w:pStyle w:val="54"/>
              <w:rPr>
                <w:rFonts w:hint="eastAsia" w:ascii="仿宋" w:hAnsi="仿宋" w:eastAsia="仿宋" w:cs="仿宋"/>
                <w:color w:val="000000"/>
              </w:rPr>
            </w:pPr>
          </w:p>
        </w:tc>
        <w:tc>
          <w:tcPr>
            <w:tcW w:w="1503" w:type="dxa"/>
            <w:noWrap w:val="0"/>
            <w:vAlign w:val="top"/>
          </w:tcPr>
          <w:p w14:paraId="7D87DCB1">
            <w:pPr>
              <w:pStyle w:val="54"/>
              <w:rPr>
                <w:rFonts w:hint="eastAsia" w:ascii="仿宋" w:hAnsi="仿宋" w:eastAsia="仿宋" w:cs="仿宋"/>
                <w:color w:val="000000"/>
              </w:rPr>
            </w:pPr>
          </w:p>
        </w:tc>
        <w:tc>
          <w:tcPr>
            <w:tcW w:w="1614" w:type="dxa"/>
            <w:noWrap w:val="0"/>
            <w:vAlign w:val="top"/>
          </w:tcPr>
          <w:p w14:paraId="7B96556F">
            <w:pPr>
              <w:pStyle w:val="54"/>
              <w:rPr>
                <w:rFonts w:hint="eastAsia" w:ascii="仿宋" w:hAnsi="仿宋" w:eastAsia="仿宋" w:cs="仿宋"/>
                <w:color w:val="000000"/>
              </w:rPr>
            </w:pPr>
          </w:p>
        </w:tc>
      </w:tr>
      <w:tr w14:paraId="0E1EE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247" w:type="dxa"/>
            <w:noWrap w:val="0"/>
            <w:vAlign w:val="top"/>
          </w:tcPr>
          <w:p w14:paraId="2E6649D1">
            <w:pPr>
              <w:pStyle w:val="54"/>
              <w:rPr>
                <w:rFonts w:hint="eastAsia" w:ascii="仿宋" w:hAnsi="仿宋" w:eastAsia="仿宋" w:cs="仿宋"/>
                <w:color w:val="000000"/>
              </w:rPr>
            </w:pPr>
          </w:p>
        </w:tc>
        <w:tc>
          <w:tcPr>
            <w:tcW w:w="1713" w:type="dxa"/>
            <w:noWrap w:val="0"/>
            <w:vAlign w:val="top"/>
          </w:tcPr>
          <w:p w14:paraId="4F66D92B">
            <w:pPr>
              <w:pStyle w:val="54"/>
              <w:rPr>
                <w:rFonts w:hint="eastAsia" w:ascii="仿宋" w:hAnsi="仿宋" w:eastAsia="仿宋" w:cs="仿宋"/>
                <w:color w:val="000000"/>
              </w:rPr>
            </w:pPr>
          </w:p>
        </w:tc>
        <w:tc>
          <w:tcPr>
            <w:tcW w:w="1999" w:type="dxa"/>
            <w:noWrap w:val="0"/>
            <w:vAlign w:val="top"/>
          </w:tcPr>
          <w:p w14:paraId="60849F86">
            <w:pPr>
              <w:pStyle w:val="54"/>
              <w:rPr>
                <w:rFonts w:hint="eastAsia" w:ascii="仿宋" w:hAnsi="仿宋" w:eastAsia="仿宋" w:cs="仿宋"/>
                <w:color w:val="000000"/>
              </w:rPr>
            </w:pPr>
          </w:p>
        </w:tc>
        <w:tc>
          <w:tcPr>
            <w:tcW w:w="2247" w:type="dxa"/>
            <w:noWrap w:val="0"/>
            <w:vAlign w:val="top"/>
          </w:tcPr>
          <w:p w14:paraId="09C05AAA">
            <w:pPr>
              <w:pStyle w:val="54"/>
              <w:rPr>
                <w:rFonts w:hint="eastAsia" w:ascii="仿宋" w:hAnsi="仿宋" w:eastAsia="仿宋" w:cs="仿宋"/>
                <w:color w:val="000000"/>
              </w:rPr>
            </w:pPr>
          </w:p>
        </w:tc>
        <w:tc>
          <w:tcPr>
            <w:tcW w:w="1009" w:type="dxa"/>
            <w:noWrap w:val="0"/>
            <w:vAlign w:val="top"/>
          </w:tcPr>
          <w:p w14:paraId="318DD60E">
            <w:pPr>
              <w:pStyle w:val="54"/>
              <w:rPr>
                <w:rFonts w:hint="eastAsia" w:ascii="仿宋" w:hAnsi="仿宋" w:eastAsia="仿宋" w:cs="仿宋"/>
                <w:color w:val="000000"/>
              </w:rPr>
            </w:pPr>
          </w:p>
        </w:tc>
        <w:tc>
          <w:tcPr>
            <w:tcW w:w="1429" w:type="dxa"/>
            <w:noWrap w:val="0"/>
            <w:vAlign w:val="top"/>
          </w:tcPr>
          <w:p w14:paraId="320A5E8F">
            <w:pPr>
              <w:pStyle w:val="54"/>
              <w:rPr>
                <w:rFonts w:hint="eastAsia" w:ascii="仿宋" w:hAnsi="仿宋" w:eastAsia="仿宋" w:cs="仿宋"/>
                <w:color w:val="000000"/>
              </w:rPr>
            </w:pPr>
          </w:p>
        </w:tc>
        <w:tc>
          <w:tcPr>
            <w:tcW w:w="1503" w:type="dxa"/>
            <w:noWrap w:val="0"/>
            <w:vAlign w:val="top"/>
          </w:tcPr>
          <w:p w14:paraId="24CA9224">
            <w:pPr>
              <w:pStyle w:val="54"/>
              <w:rPr>
                <w:rFonts w:hint="eastAsia" w:ascii="仿宋" w:hAnsi="仿宋" w:eastAsia="仿宋" w:cs="仿宋"/>
                <w:color w:val="000000"/>
              </w:rPr>
            </w:pPr>
          </w:p>
        </w:tc>
        <w:tc>
          <w:tcPr>
            <w:tcW w:w="1614" w:type="dxa"/>
            <w:noWrap w:val="0"/>
            <w:vAlign w:val="top"/>
          </w:tcPr>
          <w:p w14:paraId="0E313D59">
            <w:pPr>
              <w:pStyle w:val="54"/>
              <w:rPr>
                <w:rFonts w:hint="eastAsia" w:ascii="仿宋" w:hAnsi="仿宋" w:eastAsia="仿宋" w:cs="仿宋"/>
                <w:color w:val="000000"/>
              </w:rPr>
            </w:pPr>
          </w:p>
        </w:tc>
      </w:tr>
      <w:tr w14:paraId="3F4A2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247" w:type="dxa"/>
            <w:noWrap w:val="0"/>
            <w:vAlign w:val="top"/>
          </w:tcPr>
          <w:p w14:paraId="756104A8">
            <w:pPr>
              <w:pStyle w:val="54"/>
              <w:rPr>
                <w:rFonts w:hint="eastAsia" w:ascii="仿宋" w:hAnsi="仿宋" w:eastAsia="仿宋" w:cs="仿宋"/>
                <w:color w:val="000000"/>
              </w:rPr>
            </w:pPr>
          </w:p>
        </w:tc>
        <w:tc>
          <w:tcPr>
            <w:tcW w:w="1713" w:type="dxa"/>
            <w:noWrap w:val="0"/>
            <w:vAlign w:val="top"/>
          </w:tcPr>
          <w:p w14:paraId="42817DAC">
            <w:pPr>
              <w:pStyle w:val="54"/>
              <w:rPr>
                <w:rFonts w:hint="eastAsia" w:ascii="仿宋" w:hAnsi="仿宋" w:eastAsia="仿宋" w:cs="仿宋"/>
                <w:color w:val="000000"/>
              </w:rPr>
            </w:pPr>
          </w:p>
        </w:tc>
        <w:tc>
          <w:tcPr>
            <w:tcW w:w="1999" w:type="dxa"/>
            <w:noWrap w:val="0"/>
            <w:vAlign w:val="top"/>
          </w:tcPr>
          <w:p w14:paraId="5C025C33">
            <w:pPr>
              <w:pStyle w:val="54"/>
              <w:rPr>
                <w:rFonts w:hint="eastAsia" w:ascii="仿宋" w:hAnsi="仿宋" w:eastAsia="仿宋" w:cs="仿宋"/>
                <w:color w:val="000000"/>
              </w:rPr>
            </w:pPr>
          </w:p>
        </w:tc>
        <w:tc>
          <w:tcPr>
            <w:tcW w:w="2247" w:type="dxa"/>
            <w:noWrap w:val="0"/>
            <w:vAlign w:val="top"/>
          </w:tcPr>
          <w:p w14:paraId="1EBA669C">
            <w:pPr>
              <w:pStyle w:val="54"/>
              <w:rPr>
                <w:rFonts w:hint="eastAsia" w:ascii="仿宋" w:hAnsi="仿宋" w:eastAsia="仿宋" w:cs="仿宋"/>
                <w:color w:val="000000"/>
              </w:rPr>
            </w:pPr>
          </w:p>
        </w:tc>
        <w:tc>
          <w:tcPr>
            <w:tcW w:w="1009" w:type="dxa"/>
            <w:noWrap w:val="0"/>
            <w:vAlign w:val="top"/>
          </w:tcPr>
          <w:p w14:paraId="7B8B115E">
            <w:pPr>
              <w:pStyle w:val="54"/>
              <w:rPr>
                <w:rFonts w:hint="eastAsia" w:ascii="仿宋" w:hAnsi="仿宋" w:eastAsia="仿宋" w:cs="仿宋"/>
                <w:color w:val="000000"/>
              </w:rPr>
            </w:pPr>
          </w:p>
        </w:tc>
        <w:tc>
          <w:tcPr>
            <w:tcW w:w="1429" w:type="dxa"/>
            <w:noWrap w:val="0"/>
            <w:vAlign w:val="top"/>
          </w:tcPr>
          <w:p w14:paraId="71A000F2">
            <w:pPr>
              <w:pStyle w:val="54"/>
              <w:rPr>
                <w:rFonts w:hint="eastAsia" w:ascii="仿宋" w:hAnsi="仿宋" w:eastAsia="仿宋" w:cs="仿宋"/>
                <w:color w:val="000000"/>
              </w:rPr>
            </w:pPr>
          </w:p>
        </w:tc>
        <w:tc>
          <w:tcPr>
            <w:tcW w:w="1503" w:type="dxa"/>
            <w:noWrap w:val="0"/>
            <w:vAlign w:val="top"/>
          </w:tcPr>
          <w:p w14:paraId="35EA4796">
            <w:pPr>
              <w:pStyle w:val="54"/>
              <w:rPr>
                <w:rFonts w:hint="eastAsia" w:ascii="仿宋" w:hAnsi="仿宋" w:eastAsia="仿宋" w:cs="仿宋"/>
                <w:color w:val="000000"/>
              </w:rPr>
            </w:pPr>
          </w:p>
        </w:tc>
        <w:tc>
          <w:tcPr>
            <w:tcW w:w="1614" w:type="dxa"/>
            <w:noWrap w:val="0"/>
            <w:vAlign w:val="top"/>
          </w:tcPr>
          <w:p w14:paraId="4A5EBA0E">
            <w:pPr>
              <w:pStyle w:val="54"/>
              <w:rPr>
                <w:rFonts w:hint="eastAsia" w:ascii="仿宋" w:hAnsi="仿宋" w:eastAsia="仿宋" w:cs="仿宋"/>
                <w:color w:val="000000"/>
              </w:rPr>
            </w:pPr>
          </w:p>
        </w:tc>
      </w:tr>
    </w:tbl>
    <w:p w14:paraId="191B71D9">
      <w:pPr>
        <w:widowControl w:val="0"/>
        <w:jc w:val="both"/>
        <w:rPr>
          <w:rFonts w:hint="eastAsia" w:ascii="仿宋" w:hAnsi="仿宋" w:eastAsia="仿宋" w:cs="仿宋"/>
          <w:color w:val="000000"/>
          <w:kern w:val="2"/>
          <w:sz w:val="21"/>
          <w:szCs w:val="24"/>
          <w:lang w:val="en-US" w:eastAsia="zh-CN" w:bidi="ar-SA"/>
        </w:rPr>
      </w:pPr>
    </w:p>
    <w:p w14:paraId="3CD61ABA">
      <w:pPr>
        <w:rPr>
          <w:rFonts w:hint="eastAsia" w:ascii="仿宋" w:hAnsi="仿宋" w:eastAsia="仿宋" w:cs="仿宋"/>
          <w:color w:val="000000"/>
        </w:rPr>
        <w:sectPr>
          <w:footerReference r:id="rId9" w:type="default"/>
          <w:pgSz w:w="16839" w:h="11906"/>
          <w:pgMar w:top="1012" w:right="1536" w:bottom="1170" w:left="1472" w:header="0" w:footer="1247" w:gutter="0"/>
          <w:pgNumType w:fmt="decimal"/>
          <w:cols w:space="720" w:num="1"/>
        </w:sectPr>
      </w:pPr>
    </w:p>
    <w:p w14:paraId="5AC0CEAF">
      <w:pPr>
        <w:widowControl w:val="0"/>
        <w:spacing w:before="187" w:line="417" w:lineRule="exact"/>
        <w:ind w:left="46"/>
        <w:jc w:val="both"/>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position w:val="1"/>
          <w:sz w:val="32"/>
          <w:szCs w:val="32"/>
          <w:lang w:val="en-US" w:eastAsia="zh-CN" w:bidi="ar-SA"/>
        </w:rPr>
        <w:t>附件2</w:t>
      </w:r>
    </w:p>
    <w:p w14:paraId="33FEC96E">
      <w:pPr>
        <w:spacing w:before="66" w:line="593" w:lineRule="exact"/>
        <w:ind w:left="2201"/>
        <w:rPr>
          <w:rFonts w:hint="eastAsia" w:ascii="仿宋" w:hAnsi="仿宋" w:eastAsia="仿宋" w:cs="仿宋"/>
          <w:color w:val="000000"/>
          <w:sz w:val="43"/>
          <w:szCs w:val="43"/>
        </w:rPr>
      </w:pPr>
      <w:r>
        <w:rPr>
          <w:rFonts w:hint="eastAsia" w:ascii="仿宋" w:hAnsi="仿宋" w:eastAsia="仿宋" w:cs="仿宋"/>
          <w:b/>
          <w:bCs/>
          <w:color w:val="000000"/>
          <w:spacing w:val="10"/>
          <w:position w:val="2"/>
          <w:sz w:val="43"/>
          <w:szCs w:val="43"/>
        </w:rPr>
        <w:t>食堂考核办法（仅供参考）</w:t>
      </w:r>
    </w:p>
    <w:p w14:paraId="78F7B2F0">
      <w:pPr>
        <w:keepNext w:val="0"/>
        <w:keepLines w:val="0"/>
        <w:pageBreakBefore w:val="0"/>
        <w:widowControl w:val="0"/>
        <w:kinsoku/>
        <w:wordWrap/>
        <w:overflowPunct/>
        <w:topLinePunct w:val="0"/>
        <w:autoSpaceDN/>
        <w:bidi w:val="0"/>
        <w:spacing w:line="390" w:lineRule="exact"/>
        <w:jc w:val="both"/>
        <w:rPr>
          <w:rFonts w:hint="eastAsia" w:ascii="仿宋" w:hAnsi="仿宋" w:eastAsia="仿宋" w:cs="仿宋"/>
          <w:color w:val="000000"/>
          <w:kern w:val="2"/>
          <w:sz w:val="21"/>
          <w:szCs w:val="24"/>
          <w:lang w:val="en-US" w:eastAsia="zh-CN" w:bidi="ar-SA"/>
        </w:rPr>
      </w:pPr>
    </w:p>
    <w:p w14:paraId="3EF90D32">
      <w:pPr>
        <w:keepNext w:val="0"/>
        <w:keepLines w:val="0"/>
        <w:pageBreakBefore w:val="0"/>
        <w:widowControl w:val="0"/>
        <w:kinsoku/>
        <w:wordWrap/>
        <w:overflowPunct/>
        <w:topLinePunct w:val="0"/>
        <w:autoSpaceDE w:val="0"/>
        <w:autoSpaceDN/>
        <w:bidi w:val="0"/>
        <w:adjustRightInd w:val="0"/>
        <w:snapToGrid w:val="0"/>
        <w:spacing w:line="390" w:lineRule="exact"/>
        <w:ind w:right="0" w:firstLine="486" w:firstLineChars="200"/>
        <w:jc w:val="both"/>
        <w:textAlignment w:val="baseline"/>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一、考核内容</w:t>
      </w:r>
    </w:p>
    <w:p w14:paraId="2B87BE56">
      <w:pPr>
        <w:keepNext w:val="0"/>
        <w:keepLines w:val="0"/>
        <w:pageBreakBefore w:val="0"/>
        <w:widowControl w:val="0"/>
        <w:kinsoku/>
        <w:wordWrap/>
        <w:overflowPunct/>
        <w:topLinePunct w:val="0"/>
        <w:autoSpaceDN/>
        <w:bidi w:val="0"/>
        <w:spacing w:before="0" w:line="390" w:lineRule="exact"/>
        <w:ind w:left="0" w:right="0" w:firstLine="486" w:firstLineChars="20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1.每月提取当月服务费用的</w:t>
      </w:r>
      <w:r>
        <w:rPr>
          <w:rFonts w:hint="eastAsia" w:ascii="仿宋" w:hAnsi="仿宋" w:eastAsia="仿宋" w:cs="仿宋"/>
          <w:color w:val="000000"/>
          <w:spacing w:val="0"/>
          <w:kern w:val="2"/>
          <w:sz w:val="24"/>
          <w:szCs w:val="24"/>
          <w:u w:val="single" w:color="auto"/>
          <w:lang w:val="en-US" w:eastAsia="zh-CN" w:bidi="ar-SA"/>
        </w:rPr>
        <w:t xml:space="preserve">   </w:t>
      </w:r>
      <w:r>
        <w:rPr>
          <w:rFonts w:hint="eastAsia" w:ascii="仿宋" w:hAnsi="仿宋" w:eastAsia="仿宋" w:cs="仿宋"/>
          <w:color w:val="000000"/>
          <w:spacing w:val="0"/>
          <w:kern w:val="2"/>
          <w:sz w:val="24"/>
          <w:szCs w:val="24"/>
          <w:lang w:val="en-US" w:eastAsia="zh-CN" w:bidi="ar-SA"/>
        </w:rPr>
        <w:t xml:space="preserve"> %作为考核经费 ，根据每学期测评结果返还：</w:t>
      </w:r>
    </w:p>
    <w:p w14:paraId="6C29B66D">
      <w:pPr>
        <w:keepNext w:val="0"/>
        <w:keepLines w:val="0"/>
        <w:pageBreakBefore w:val="0"/>
        <w:widowControl w:val="0"/>
        <w:kinsoku/>
        <w:wordWrap/>
        <w:overflowPunct/>
        <w:topLinePunct w:val="0"/>
        <w:autoSpaceDN/>
        <w:bidi w:val="0"/>
        <w:spacing w:before="0" w:line="390" w:lineRule="exact"/>
        <w:ind w:left="0" w:right="0" w:firstLine="486" w:firstLineChars="20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1.1 师生的满意度达到</w:t>
      </w:r>
      <w:r>
        <w:rPr>
          <w:rFonts w:hint="eastAsia" w:ascii="仿宋" w:hAnsi="仿宋" w:eastAsia="仿宋" w:cs="仿宋"/>
          <w:color w:val="000000"/>
          <w:spacing w:val="0"/>
          <w:kern w:val="2"/>
          <w:sz w:val="24"/>
          <w:szCs w:val="24"/>
          <w:u w:val="single" w:color="auto"/>
          <w:lang w:val="en-US" w:eastAsia="zh-CN" w:bidi="ar-SA"/>
        </w:rPr>
        <w:t xml:space="preserve">      </w:t>
      </w:r>
      <w:r>
        <w:rPr>
          <w:rFonts w:hint="eastAsia" w:ascii="仿宋" w:hAnsi="仿宋" w:eastAsia="仿宋" w:cs="仿宋"/>
          <w:color w:val="000000"/>
          <w:spacing w:val="0"/>
          <w:kern w:val="2"/>
          <w:sz w:val="24"/>
          <w:szCs w:val="24"/>
          <w:lang w:val="en-US" w:eastAsia="zh-CN" w:bidi="ar-SA"/>
        </w:rPr>
        <w:t xml:space="preserve"> 及以上的 ，付清学期服务费用；</w:t>
      </w:r>
    </w:p>
    <w:p w14:paraId="49335B59">
      <w:pPr>
        <w:keepNext w:val="0"/>
        <w:keepLines w:val="0"/>
        <w:pageBreakBefore w:val="0"/>
        <w:widowControl w:val="0"/>
        <w:kinsoku/>
        <w:wordWrap/>
        <w:overflowPunct/>
        <w:topLinePunct w:val="0"/>
        <w:autoSpaceDN/>
        <w:bidi w:val="0"/>
        <w:spacing w:before="0" w:line="390" w:lineRule="exact"/>
        <w:ind w:left="0" w:right="0" w:firstLine="486" w:firstLineChars="20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1.2 师生的满意度在</w:t>
      </w:r>
      <w:r>
        <w:rPr>
          <w:rFonts w:hint="eastAsia" w:ascii="仿宋" w:hAnsi="仿宋" w:eastAsia="仿宋" w:cs="仿宋"/>
          <w:color w:val="000000"/>
          <w:spacing w:val="0"/>
          <w:kern w:val="2"/>
          <w:sz w:val="24"/>
          <w:szCs w:val="24"/>
          <w:u w:val="single" w:color="auto"/>
          <w:lang w:val="en-US" w:eastAsia="zh-CN" w:bidi="ar-SA"/>
        </w:rPr>
        <w:t xml:space="preserve">         </w:t>
      </w:r>
      <w:r>
        <w:rPr>
          <w:rFonts w:hint="eastAsia" w:ascii="仿宋" w:hAnsi="仿宋" w:eastAsia="仿宋" w:cs="仿宋"/>
          <w:color w:val="000000"/>
          <w:spacing w:val="0"/>
          <w:kern w:val="2"/>
          <w:sz w:val="24"/>
          <w:szCs w:val="24"/>
          <w:lang w:val="en-US" w:eastAsia="zh-CN" w:bidi="ar-SA"/>
        </w:rPr>
        <w:t>（含</w:t>
      </w:r>
      <w:r>
        <w:rPr>
          <w:rFonts w:hint="eastAsia" w:ascii="仿宋" w:hAnsi="仿宋" w:eastAsia="仿宋" w:cs="仿宋"/>
          <w:color w:val="000000"/>
          <w:spacing w:val="0"/>
          <w:kern w:val="2"/>
          <w:sz w:val="24"/>
          <w:szCs w:val="24"/>
          <w:u w:val="single" w:color="auto"/>
          <w:lang w:val="en-US" w:eastAsia="zh-CN" w:bidi="ar-SA"/>
        </w:rPr>
        <w:t xml:space="preserve">      </w:t>
      </w:r>
      <w:r>
        <w:rPr>
          <w:rFonts w:hint="eastAsia" w:ascii="仿宋" w:hAnsi="仿宋" w:eastAsia="仿宋" w:cs="仿宋"/>
          <w:color w:val="000000"/>
          <w:spacing w:val="0"/>
          <w:kern w:val="2"/>
          <w:sz w:val="24"/>
          <w:szCs w:val="24"/>
          <w:lang w:val="en-US" w:eastAsia="zh-CN" w:bidi="ar-SA"/>
        </w:rPr>
        <w:t xml:space="preserve"> ）—</w:t>
      </w:r>
      <w:r>
        <w:rPr>
          <w:rFonts w:hint="eastAsia" w:ascii="仿宋" w:hAnsi="仿宋" w:eastAsia="仿宋" w:cs="仿宋"/>
          <w:color w:val="000000"/>
          <w:spacing w:val="0"/>
          <w:kern w:val="2"/>
          <w:sz w:val="24"/>
          <w:szCs w:val="24"/>
          <w:u w:val="single" w:color="auto"/>
          <w:lang w:val="en-US" w:eastAsia="zh-CN" w:bidi="ar-SA"/>
        </w:rPr>
        <w:t xml:space="preserve">         </w:t>
      </w:r>
      <w:r>
        <w:rPr>
          <w:rFonts w:hint="eastAsia" w:ascii="仿宋" w:hAnsi="仿宋" w:eastAsia="仿宋" w:cs="仿宋"/>
          <w:color w:val="000000"/>
          <w:spacing w:val="0"/>
          <w:kern w:val="2"/>
          <w:sz w:val="24"/>
          <w:szCs w:val="24"/>
          <w:lang w:val="en-US" w:eastAsia="zh-CN" w:bidi="ar-SA"/>
        </w:rPr>
        <w:t xml:space="preserve"> 的 ，支付剩余保证金；</w:t>
      </w:r>
    </w:p>
    <w:p w14:paraId="7CF0A598">
      <w:pPr>
        <w:keepNext w:val="0"/>
        <w:keepLines w:val="0"/>
        <w:pageBreakBefore w:val="0"/>
        <w:widowControl w:val="0"/>
        <w:kinsoku/>
        <w:wordWrap/>
        <w:overflowPunct/>
        <w:topLinePunct w:val="0"/>
        <w:autoSpaceDN/>
        <w:bidi w:val="0"/>
        <w:spacing w:before="0" w:line="390" w:lineRule="exact"/>
        <w:ind w:left="0" w:right="0" w:firstLine="486" w:firstLineChars="20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1.3 师生满意度在</w:t>
      </w:r>
      <w:r>
        <w:rPr>
          <w:rFonts w:hint="eastAsia" w:ascii="仿宋" w:hAnsi="仿宋" w:eastAsia="仿宋" w:cs="仿宋"/>
          <w:color w:val="000000"/>
          <w:spacing w:val="0"/>
          <w:kern w:val="2"/>
          <w:sz w:val="24"/>
          <w:szCs w:val="24"/>
          <w:u w:val="single" w:color="auto"/>
          <w:lang w:val="en-US" w:eastAsia="zh-CN" w:bidi="ar-SA"/>
        </w:rPr>
        <w:t xml:space="preserve">          </w:t>
      </w:r>
      <w:r>
        <w:rPr>
          <w:rFonts w:hint="eastAsia" w:ascii="仿宋" w:hAnsi="仿宋" w:eastAsia="仿宋" w:cs="仿宋"/>
          <w:color w:val="000000"/>
          <w:spacing w:val="0"/>
          <w:kern w:val="2"/>
          <w:sz w:val="24"/>
          <w:szCs w:val="24"/>
          <w:lang w:val="en-US" w:eastAsia="zh-CN" w:bidi="ar-SA"/>
        </w:rPr>
        <w:t xml:space="preserve"> 以下的，不予支付学期剩余服务费用；</w:t>
      </w:r>
    </w:p>
    <w:p w14:paraId="49F56461">
      <w:pPr>
        <w:keepNext w:val="0"/>
        <w:keepLines w:val="0"/>
        <w:pageBreakBefore w:val="0"/>
        <w:widowControl w:val="0"/>
        <w:kinsoku/>
        <w:wordWrap/>
        <w:overflowPunct/>
        <w:topLinePunct w:val="0"/>
        <w:autoSpaceDN/>
        <w:bidi w:val="0"/>
        <w:spacing w:before="0" w:line="390" w:lineRule="exact"/>
        <w:ind w:left="0" w:right="0" w:firstLine="486" w:firstLineChars="20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1.4 师生满意度在</w:t>
      </w:r>
      <w:r>
        <w:rPr>
          <w:rFonts w:hint="eastAsia" w:ascii="仿宋" w:hAnsi="仿宋" w:eastAsia="仿宋" w:cs="仿宋"/>
          <w:color w:val="000000"/>
          <w:spacing w:val="0"/>
          <w:kern w:val="2"/>
          <w:sz w:val="24"/>
          <w:szCs w:val="24"/>
          <w:u w:val="single" w:color="auto"/>
          <w:lang w:val="en-US" w:eastAsia="zh-CN" w:bidi="ar-SA"/>
        </w:rPr>
        <w:t xml:space="preserve">      </w:t>
      </w:r>
      <w:r>
        <w:rPr>
          <w:rFonts w:hint="eastAsia" w:ascii="仿宋" w:hAnsi="仿宋" w:eastAsia="仿宋" w:cs="仿宋"/>
          <w:color w:val="000000"/>
          <w:spacing w:val="0"/>
          <w:kern w:val="2"/>
          <w:sz w:val="24"/>
          <w:szCs w:val="24"/>
          <w:lang w:val="en-US" w:eastAsia="zh-CN" w:bidi="ar-SA"/>
        </w:rPr>
        <w:t xml:space="preserve"> 以下的， 甲方有权单方终止合同并没收履约保证金。</w:t>
      </w:r>
    </w:p>
    <w:p w14:paraId="5C58311C">
      <w:pPr>
        <w:keepNext w:val="0"/>
        <w:keepLines w:val="0"/>
        <w:pageBreakBefore w:val="0"/>
        <w:widowControl w:val="0"/>
        <w:kinsoku/>
        <w:wordWrap/>
        <w:overflowPunct/>
        <w:topLinePunct w:val="0"/>
        <w:autoSpaceDN/>
        <w:bidi w:val="0"/>
        <w:spacing w:before="0" w:line="390" w:lineRule="exact"/>
        <w:ind w:left="0" w:right="0" w:firstLine="486" w:firstLineChars="20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2.</w:t>
      </w:r>
      <w:r>
        <w:rPr>
          <w:rFonts w:hint="eastAsia" w:ascii="仿宋" w:hAnsi="仿宋" w:eastAsia="仿宋" w:cs="仿宋"/>
          <w:color w:val="000000"/>
          <w:spacing w:val="0"/>
          <w:kern w:val="2"/>
          <w:sz w:val="24"/>
          <w:szCs w:val="24"/>
          <w:u w:val="single" w:color="auto"/>
          <w:lang w:val="en-US" w:eastAsia="zh-CN" w:bidi="ar-SA"/>
        </w:rPr>
        <w:t xml:space="preserve">                                                                                                                           </w:t>
      </w:r>
    </w:p>
    <w:p w14:paraId="21393FB9">
      <w:pPr>
        <w:keepNext w:val="0"/>
        <w:keepLines w:val="0"/>
        <w:pageBreakBefore w:val="0"/>
        <w:widowControl w:val="0"/>
        <w:tabs>
          <w:tab w:val="left" w:pos="8320"/>
        </w:tabs>
        <w:kinsoku/>
        <w:wordWrap/>
        <w:overflowPunct/>
        <w:topLinePunct w:val="0"/>
        <w:autoSpaceDN/>
        <w:bidi w:val="0"/>
        <w:spacing w:before="0" w:line="390" w:lineRule="exact"/>
        <w:ind w:left="0" w:right="0" w:firstLine="486" w:firstLineChars="20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u w:val="single" w:color="auto"/>
          <w:lang w:val="en-US" w:eastAsia="zh-CN" w:bidi="ar-SA"/>
        </w:rPr>
        <w:tab/>
      </w:r>
    </w:p>
    <w:p w14:paraId="583DFB91">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二、考核细则</w:t>
      </w:r>
    </w:p>
    <w:p w14:paraId="693A6949">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b/>
          <w:bCs/>
          <w:color w:val="000000"/>
          <w:spacing w:val="0"/>
          <w:kern w:val="2"/>
          <w:sz w:val="24"/>
          <w:szCs w:val="24"/>
          <w:lang w:val="en-US" w:eastAsia="zh-CN" w:bidi="ar-SA"/>
        </w:rPr>
      </w:pPr>
      <w:r>
        <w:rPr>
          <w:rFonts w:hint="eastAsia" w:ascii="仿宋" w:hAnsi="仿宋" w:eastAsia="仿宋" w:cs="仿宋"/>
          <w:b/>
          <w:bCs/>
          <w:color w:val="000000"/>
          <w:spacing w:val="0"/>
          <w:kern w:val="2"/>
          <w:sz w:val="24"/>
          <w:szCs w:val="24"/>
          <w:lang w:val="en-US" w:eastAsia="zh-CN" w:bidi="ar-SA"/>
        </w:rPr>
        <w:t>1. 甲方有权终止合同的情形</w:t>
      </w:r>
    </w:p>
    <w:p w14:paraId="1504E40A">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1.1 乙方未取得含食品经营管理类项目的《食品经营许可证》。</w:t>
      </w:r>
    </w:p>
    <w:p w14:paraId="1F656EFA">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1.2 乙方未开具正式票据结算的或使用私人账户及其他方式进行结算的。</w:t>
      </w:r>
    </w:p>
    <w:p w14:paraId="69D4CD02">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1.3 在日常经营过程中因人为原因造成一般食品安全事故及以上等级的（经相关部门认定）。</w:t>
      </w:r>
    </w:p>
    <w:p w14:paraId="69E4A870">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1.4 日常经营过程中出现窗 口分包、转包情况的。</w:t>
      </w:r>
    </w:p>
    <w:p w14:paraId="3ED057D8">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b/>
          <w:bCs/>
          <w:color w:val="000000"/>
          <w:spacing w:val="0"/>
          <w:kern w:val="2"/>
          <w:sz w:val="24"/>
          <w:szCs w:val="24"/>
          <w:lang w:val="en-US" w:eastAsia="zh-CN" w:bidi="ar-SA"/>
        </w:rPr>
      </w:pPr>
      <w:r>
        <w:rPr>
          <w:rFonts w:hint="eastAsia" w:ascii="仿宋" w:hAnsi="仿宋" w:eastAsia="仿宋" w:cs="仿宋"/>
          <w:b/>
          <w:bCs/>
          <w:color w:val="000000"/>
          <w:spacing w:val="0"/>
          <w:kern w:val="2"/>
          <w:sz w:val="24"/>
          <w:szCs w:val="24"/>
          <w:lang w:val="en-US" w:eastAsia="zh-CN" w:bidi="ar-SA"/>
        </w:rPr>
        <w:t>2.规范经营</w:t>
      </w:r>
    </w:p>
    <w:p w14:paraId="0387B843">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2.1 乙方需实行“4D ”“五常法”“6T ”等管理模式的。</w:t>
      </w:r>
    </w:p>
    <w:p w14:paraId="0C17F001">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2.2 在相关部门检查过程中，不存在因乙方管理或其他责任，被行政处罚、通报或点名批评的。</w:t>
      </w:r>
    </w:p>
    <w:p w14:paraId="1E2D453E">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2.3 食堂人员配置符合招投标规定人数，满足甲方实际需求。</w:t>
      </w:r>
    </w:p>
    <w:p w14:paraId="7307DBF8">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 xml:space="preserve"> 2.4 对甲方提出的整改意见或建议在      日内出具整改报告。</w:t>
      </w:r>
    </w:p>
    <w:p w14:paraId="3C5BA181">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2.5 乙方需依法配备食品安全总监/食品安全管理员的。</w:t>
      </w:r>
    </w:p>
    <w:p w14:paraId="44C90672">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3</w:t>
      </w:r>
      <w:r>
        <w:rPr>
          <w:rFonts w:hint="eastAsia" w:ascii="仿宋" w:hAnsi="仿宋" w:eastAsia="仿宋" w:cs="仿宋"/>
          <w:color w:val="000000"/>
          <w:spacing w:val="0"/>
          <w:sz w:val="24"/>
          <w:szCs w:val="24"/>
          <w:lang w:eastAsia="zh-CN"/>
        </w:rPr>
        <w:t>.</w:t>
      </w:r>
      <w:r>
        <w:rPr>
          <w:rFonts w:hint="eastAsia" w:ascii="仿宋" w:hAnsi="仿宋" w:eastAsia="仿宋" w:cs="仿宋"/>
          <w:color w:val="000000"/>
          <w:spacing w:val="0"/>
          <w:sz w:val="24"/>
          <w:szCs w:val="24"/>
        </w:rPr>
        <w:t>场所环境</w:t>
      </w:r>
    </w:p>
    <w:p w14:paraId="342549E7">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3.1 保持场所干净卫生，无积尘、蛛网、无残渣、无污迹、油迹、无积水、不湿滑，无烟头等杂物。</w:t>
      </w:r>
    </w:p>
    <w:p w14:paraId="58ABAC5D">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3.2 室内外环境要做到清洁，无蚊蝇、老鼠、蟑螂孳生地，落实有效防范措施。日常有灭蝇、灭鼠、灭蟑螂工作记录，纱门、纱窗应随时关闭。</w:t>
      </w:r>
    </w:p>
    <w:p w14:paraId="451C1805">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3.3 食堂餐厅、餐桌椅无残渣、无污迹、油迹、不湿滑， 泔水、垃圾应盖好存放及时处理。</w:t>
      </w:r>
    </w:p>
    <w:p w14:paraId="335A2780">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4</w:t>
      </w:r>
      <w:r>
        <w:rPr>
          <w:rFonts w:hint="eastAsia" w:ascii="仿宋" w:hAnsi="仿宋" w:eastAsia="仿宋" w:cs="仿宋"/>
          <w:b/>
          <w:bCs/>
          <w:snapToGrid w:val="0"/>
          <w:color w:val="000000"/>
          <w:spacing w:val="0"/>
          <w:kern w:val="0"/>
          <w:sz w:val="24"/>
          <w:szCs w:val="24"/>
          <w:lang w:val="en-US" w:eastAsia="zh-CN" w:bidi="ar-SA"/>
        </w:rPr>
        <w:t>.</w:t>
      </w:r>
      <w:r>
        <w:rPr>
          <w:rFonts w:hint="eastAsia" w:ascii="仿宋" w:hAnsi="仿宋" w:eastAsia="仿宋" w:cs="仿宋"/>
          <w:b/>
          <w:bCs/>
          <w:snapToGrid w:val="0"/>
          <w:color w:val="000000"/>
          <w:spacing w:val="0"/>
          <w:kern w:val="0"/>
          <w:sz w:val="24"/>
          <w:szCs w:val="24"/>
          <w:lang w:val="en-US" w:eastAsia="en-US" w:bidi="ar-SA"/>
        </w:rPr>
        <w:t>人员卫生</w:t>
      </w:r>
    </w:p>
    <w:p w14:paraId="37978254">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4.1 食品从业人员应保持个人卫生，做到四勤：勤洗手、勤剪指甲、勤理发洗澡、勤换工作服帽，从事食品加工时，应穿戴清洁的工作衣、帽、口罩。</w:t>
      </w:r>
    </w:p>
    <w:p w14:paraId="4991BD8D">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4.2 食品从业人员不得留长指甲、涂指甲油、佩戴首饰 ，要勤洗手消毒、不随地吐痰、不乱扔废弃物。</w:t>
      </w:r>
    </w:p>
    <w:p w14:paraId="6C279E77">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4.3 加工食品时不吸烟、不挖鼻孔、不捣耳朵、不对着食品打喷嚏。</w:t>
      </w:r>
    </w:p>
    <w:p w14:paraId="2643F681">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5</w:t>
      </w:r>
      <w:r>
        <w:rPr>
          <w:rFonts w:hint="eastAsia" w:ascii="仿宋" w:hAnsi="仿宋" w:eastAsia="仿宋" w:cs="仿宋"/>
          <w:b/>
          <w:bCs/>
          <w:snapToGrid w:val="0"/>
          <w:color w:val="000000"/>
          <w:spacing w:val="0"/>
          <w:kern w:val="0"/>
          <w:sz w:val="24"/>
          <w:szCs w:val="24"/>
          <w:lang w:val="en-US" w:eastAsia="zh-CN" w:bidi="ar-SA"/>
        </w:rPr>
        <w:t>.</w:t>
      </w:r>
      <w:r>
        <w:rPr>
          <w:rFonts w:hint="eastAsia" w:ascii="仿宋" w:hAnsi="仿宋" w:eastAsia="仿宋" w:cs="仿宋"/>
          <w:b/>
          <w:bCs/>
          <w:snapToGrid w:val="0"/>
          <w:color w:val="000000"/>
          <w:spacing w:val="0"/>
          <w:kern w:val="0"/>
          <w:sz w:val="24"/>
          <w:szCs w:val="24"/>
          <w:lang w:val="en-US" w:eastAsia="en-US" w:bidi="ar-SA"/>
        </w:rPr>
        <w:t>食材采购</w:t>
      </w:r>
    </w:p>
    <w:p w14:paraId="7FDF178A">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5.1 采购的食品、原料质量严格把关 ，严格落实进货验收、 索证、索票等制度，不得购入腐败变质、霉变及其它不符合卫生标准食品，建立食材供货商档案。</w:t>
      </w:r>
    </w:p>
    <w:p w14:paraId="49EBA486">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5.2 食品贮存有专人负责 ，做到先进先出。定期清库检查， 防止食品腐败变质、霉变生虫、超保质期限，及时清理不符合食品安全标准的食品原料，物品摆放整齐 ，并做好出入库记录。</w:t>
      </w:r>
    </w:p>
    <w:p w14:paraId="5D0481B6">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5.3 节约合理使用食材，不人为造成食材浪费。</w:t>
      </w:r>
    </w:p>
    <w:p w14:paraId="480E0C9E">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6</w:t>
      </w:r>
      <w:r>
        <w:rPr>
          <w:rFonts w:hint="eastAsia" w:ascii="仿宋" w:hAnsi="仿宋" w:eastAsia="仿宋" w:cs="仿宋"/>
          <w:b/>
          <w:bCs/>
          <w:snapToGrid w:val="0"/>
          <w:color w:val="000000"/>
          <w:spacing w:val="0"/>
          <w:kern w:val="0"/>
          <w:sz w:val="24"/>
          <w:szCs w:val="24"/>
          <w:lang w:val="en-US" w:eastAsia="zh-CN" w:bidi="ar-SA"/>
        </w:rPr>
        <w:t>.</w:t>
      </w:r>
      <w:r>
        <w:rPr>
          <w:rFonts w:hint="eastAsia" w:ascii="仿宋" w:hAnsi="仿宋" w:eastAsia="仿宋" w:cs="仿宋"/>
          <w:b/>
          <w:bCs/>
          <w:snapToGrid w:val="0"/>
          <w:color w:val="000000"/>
          <w:spacing w:val="0"/>
          <w:kern w:val="0"/>
          <w:sz w:val="24"/>
          <w:szCs w:val="24"/>
          <w:lang w:val="en-US" w:eastAsia="en-US" w:bidi="ar-SA"/>
        </w:rPr>
        <w:t>餐饮具消毒</w:t>
      </w:r>
    </w:p>
    <w:p w14:paraId="778D6CAB">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6.1 食堂餐饮具要严格执行消毒规定，餐饮具、食品容器餐 后应及时清洗消毒，按照一刮、二洗、三冲、四消毒、五保洁顺 序操作。消毒后的餐饮具、食品容器应立即存放于清洁的保洁柜内， 防止再次受到污染。</w:t>
      </w:r>
    </w:p>
    <w:p w14:paraId="4BB1A4B4">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6.2 建立餐饮具消毒台账，做好消毒记录。</w:t>
      </w:r>
    </w:p>
    <w:p w14:paraId="64616E70">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6.3 不重复使用一次性餐饮具。</w:t>
      </w:r>
    </w:p>
    <w:p w14:paraId="5BECD088">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7</w:t>
      </w:r>
      <w:r>
        <w:rPr>
          <w:rFonts w:hint="eastAsia" w:ascii="仿宋" w:hAnsi="仿宋" w:eastAsia="仿宋" w:cs="仿宋"/>
          <w:b/>
          <w:bCs/>
          <w:snapToGrid w:val="0"/>
          <w:color w:val="000000"/>
          <w:spacing w:val="0"/>
          <w:kern w:val="0"/>
          <w:sz w:val="24"/>
          <w:szCs w:val="24"/>
          <w:lang w:val="en-US" w:eastAsia="zh-CN" w:bidi="ar-SA"/>
        </w:rPr>
        <w:t>.</w:t>
      </w:r>
      <w:r>
        <w:rPr>
          <w:rFonts w:hint="eastAsia" w:ascii="仿宋" w:hAnsi="仿宋" w:eastAsia="仿宋" w:cs="仿宋"/>
          <w:b/>
          <w:bCs/>
          <w:snapToGrid w:val="0"/>
          <w:color w:val="000000"/>
          <w:spacing w:val="0"/>
          <w:kern w:val="0"/>
          <w:sz w:val="24"/>
          <w:szCs w:val="24"/>
          <w:lang w:val="en-US" w:eastAsia="en-US" w:bidi="ar-SA"/>
        </w:rPr>
        <w:t>菜品质量</w:t>
      </w:r>
    </w:p>
    <w:p w14:paraId="083EA67E">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7.1 供餐品种按合同约定提供。</w:t>
      </w:r>
    </w:p>
    <w:p w14:paraId="59C2C428">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7.2 饭菜内不存在异物、杂物 ，不提供未烧熟煮透、变质菜品。</w:t>
      </w:r>
    </w:p>
    <w:p w14:paraId="077DEF28">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7.3 菜品色泽味满足大众口味。</w:t>
      </w:r>
    </w:p>
    <w:p w14:paraId="3F5F6566">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8</w:t>
      </w:r>
      <w:r>
        <w:rPr>
          <w:rFonts w:hint="eastAsia" w:ascii="仿宋" w:hAnsi="仿宋" w:eastAsia="仿宋" w:cs="仿宋"/>
          <w:b/>
          <w:bCs/>
          <w:snapToGrid w:val="0"/>
          <w:color w:val="000000"/>
          <w:spacing w:val="0"/>
          <w:kern w:val="0"/>
          <w:sz w:val="24"/>
          <w:szCs w:val="24"/>
          <w:lang w:val="en-US" w:eastAsia="zh-CN" w:bidi="ar-SA"/>
        </w:rPr>
        <w:t>.</w:t>
      </w:r>
      <w:r>
        <w:rPr>
          <w:rFonts w:hint="eastAsia" w:ascii="仿宋" w:hAnsi="仿宋" w:eastAsia="仿宋" w:cs="仿宋"/>
          <w:b/>
          <w:bCs/>
          <w:snapToGrid w:val="0"/>
          <w:color w:val="000000"/>
          <w:spacing w:val="0"/>
          <w:kern w:val="0"/>
          <w:sz w:val="24"/>
          <w:szCs w:val="24"/>
          <w:lang w:val="en-US" w:eastAsia="en-US" w:bidi="ar-SA"/>
        </w:rPr>
        <w:t>餐厅服务</w:t>
      </w:r>
    </w:p>
    <w:p w14:paraId="018FD5A3">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8.1 文明礼貌、热情服务，耐心细致，不得与师生发生争执。</w:t>
      </w:r>
    </w:p>
    <w:p w14:paraId="1F781153">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8.2 按规定标准供应饭菜，应一视同仁，应做到按时开饭，不得无故无饭菜供应，无故不能按时开饭等。</w:t>
      </w:r>
    </w:p>
    <w:p w14:paraId="318954CE">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9</w:t>
      </w:r>
      <w:r>
        <w:rPr>
          <w:rFonts w:hint="eastAsia" w:ascii="仿宋" w:hAnsi="仿宋" w:eastAsia="仿宋" w:cs="仿宋"/>
          <w:b/>
          <w:bCs/>
          <w:snapToGrid w:val="0"/>
          <w:color w:val="000000"/>
          <w:spacing w:val="0"/>
          <w:kern w:val="0"/>
          <w:sz w:val="24"/>
          <w:szCs w:val="24"/>
          <w:lang w:val="en-US" w:eastAsia="zh-CN" w:bidi="ar-SA"/>
        </w:rPr>
        <w:t>.</w:t>
      </w:r>
      <w:r>
        <w:rPr>
          <w:rFonts w:hint="eastAsia" w:ascii="仿宋" w:hAnsi="仿宋" w:eastAsia="仿宋" w:cs="仿宋"/>
          <w:b/>
          <w:bCs/>
          <w:snapToGrid w:val="0"/>
          <w:color w:val="000000"/>
          <w:spacing w:val="0"/>
          <w:kern w:val="0"/>
          <w:sz w:val="24"/>
          <w:szCs w:val="24"/>
          <w:lang w:val="en-US" w:eastAsia="en-US" w:bidi="ar-SA"/>
        </w:rPr>
        <w:t xml:space="preserve"> 生产安全</w:t>
      </w:r>
    </w:p>
    <w:p w14:paraId="2D3D6AFC">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color w:val="000000"/>
          <w:spacing w:val="0"/>
          <w:sz w:val="24"/>
          <w:szCs w:val="24"/>
        </w:rPr>
        <w:t>做好电器、设备、液化气、蒸汽及防火、防盗、防毒的安全 管理</w:t>
      </w:r>
      <w:r>
        <w:rPr>
          <w:rFonts w:hint="eastAsia" w:ascii="仿宋" w:hAnsi="仿宋" w:eastAsia="仿宋" w:cs="仿宋"/>
          <w:color w:val="000000"/>
          <w:spacing w:val="0"/>
          <w:sz w:val="24"/>
          <w:szCs w:val="24"/>
          <w:lang w:eastAsia="zh-CN"/>
        </w:rPr>
        <w:t>，</w:t>
      </w:r>
      <w:r>
        <w:rPr>
          <w:rFonts w:hint="eastAsia" w:ascii="仿宋" w:hAnsi="仿宋" w:eastAsia="仿宋" w:cs="仿宋"/>
          <w:color w:val="000000"/>
          <w:spacing w:val="0"/>
          <w:sz w:val="24"/>
          <w:szCs w:val="24"/>
        </w:rPr>
        <w:t>制定安全操作规程</w:t>
      </w:r>
      <w:r>
        <w:rPr>
          <w:rFonts w:hint="eastAsia" w:ascii="仿宋" w:hAnsi="仿宋" w:eastAsia="仿宋" w:cs="仿宋"/>
          <w:color w:val="000000"/>
          <w:spacing w:val="0"/>
          <w:sz w:val="24"/>
          <w:szCs w:val="24"/>
          <w:lang w:eastAsia="zh-CN"/>
        </w:rPr>
        <w:t>，</w:t>
      </w:r>
      <w:r>
        <w:rPr>
          <w:rFonts w:hint="eastAsia" w:ascii="仿宋" w:hAnsi="仿宋" w:eastAsia="仿宋" w:cs="仿宋"/>
          <w:color w:val="000000"/>
          <w:spacing w:val="0"/>
          <w:sz w:val="24"/>
          <w:szCs w:val="24"/>
        </w:rPr>
        <w:t>定期对员工进行培训</w:t>
      </w:r>
      <w:r>
        <w:rPr>
          <w:rFonts w:hint="eastAsia" w:ascii="仿宋" w:hAnsi="仿宋" w:eastAsia="仿宋" w:cs="仿宋"/>
          <w:color w:val="000000"/>
          <w:spacing w:val="0"/>
          <w:sz w:val="24"/>
          <w:szCs w:val="24"/>
          <w:lang w:eastAsia="zh-CN"/>
        </w:rPr>
        <w:t>，</w:t>
      </w:r>
      <w:r>
        <w:rPr>
          <w:rFonts w:hint="eastAsia" w:ascii="仿宋" w:hAnsi="仿宋" w:eastAsia="仿宋" w:cs="仿宋"/>
          <w:color w:val="000000"/>
          <w:spacing w:val="0"/>
          <w:sz w:val="24"/>
          <w:szCs w:val="24"/>
        </w:rPr>
        <w:t>认真做好食堂</w:t>
      </w:r>
      <w:r>
        <w:rPr>
          <w:rFonts w:hint="eastAsia" w:ascii="仿宋" w:hAnsi="仿宋" w:eastAsia="仿宋" w:cs="仿宋"/>
          <w:snapToGrid w:val="0"/>
          <w:color w:val="000000"/>
          <w:spacing w:val="0"/>
          <w:kern w:val="0"/>
          <w:sz w:val="24"/>
          <w:szCs w:val="24"/>
          <w:lang w:val="en-US" w:eastAsia="en-US" w:bidi="ar-SA"/>
        </w:rPr>
        <w:t>安全教育</w:t>
      </w:r>
      <w:r>
        <w:rPr>
          <w:rFonts w:hint="eastAsia" w:ascii="仿宋" w:hAnsi="仿宋" w:eastAsia="仿宋" w:cs="仿宋"/>
          <w:snapToGrid w:val="0"/>
          <w:color w:val="000000"/>
          <w:spacing w:val="0"/>
          <w:kern w:val="0"/>
          <w:sz w:val="24"/>
          <w:szCs w:val="24"/>
          <w:lang w:val="en-US" w:eastAsia="zh-CN" w:bidi="ar-SA"/>
        </w:rPr>
        <w:t>，</w:t>
      </w:r>
      <w:r>
        <w:rPr>
          <w:rFonts w:hint="eastAsia" w:ascii="仿宋" w:hAnsi="仿宋" w:eastAsia="仿宋" w:cs="仿宋"/>
          <w:snapToGrid w:val="0"/>
          <w:color w:val="000000"/>
          <w:spacing w:val="0"/>
          <w:kern w:val="0"/>
          <w:sz w:val="24"/>
          <w:szCs w:val="24"/>
          <w:lang w:val="en-US" w:eastAsia="en-US" w:bidi="ar-SA"/>
        </w:rPr>
        <w:t>每月召开安全会议</w:t>
      </w:r>
      <w:r>
        <w:rPr>
          <w:rFonts w:hint="eastAsia" w:ascii="仿宋" w:hAnsi="仿宋" w:eastAsia="仿宋" w:cs="仿宋"/>
          <w:snapToGrid w:val="0"/>
          <w:color w:val="000000"/>
          <w:spacing w:val="0"/>
          <w:kern w:val="0"/>
          <w:sz w:val="24"/>
          <w:szCs w:val="24"/>
          <w:lang w:val="en-US" w:eastAsia="zh-CN" w:bidi="ar-SA"/>
        </w:rPr>
        <w:t>，</w:t>
      </w:r>
      <w:r>
        <w:rPr>
          <w:rFonts w:hint="eastAsia" w:ascii="仿宋" w:hAnsi="仿宋" w:eastAsia="仿宋" w:cs="仿宋"/>
          <w:snapToGrid w:val="0"/>
          <w:color w:val="000000"/>
          <w:spacing w:val="0"/>
          <w:kern w:val="0"/>
          <w:sz w:val="24"/>
          <w:szCs w:val="24"/>
          <w:lang w:val="en-US" w:eastAsia="en-US" w:bidi="ar-SA"/>
        </w:rPr>
        <w:t>并做好记录。</w:t>
      </w:r>
    </w:p>
    <w:p w14:paraId="51A497D0">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10</w:t>
      </w:r>
      <w:r>
        <w:rPr>
          <w:rFonts w:hint="eastAsia" w:ascii="仿宋" w:hAnsi="仿宋" w:eastAsia="仿宋" w:cs="仿宋"/>
          <w:b/>
          <w:bCs/>
          <w:snapToGrid w:val="0"/>
          <w:color w:val="000000"/>
          <w:spacing w:val="0"/>
          <w:kern w:val="0"/>
          <w:sz w:val="24"/>
          <w:szCs w:val="24"/>
          <w:lang w:val="en-US" w:eastAsia="zh-CN" w:bidi="ar-SA"/>
        </w:rPr>
        <w:t>.</w:t>
      </w:r>
      <w:r>
        <w:rPr>
          <w:rFonts w:hint="eastAsia" w:ascii="仿宋" w:hAnsi="仿宋" w:eastAsia="仿宋" w:cs="仿宋"/>
          <w:b/>
          <w:bCs/>
          <w:snapToGrid w:val="0"/>
          <w:color w:val="000000"/>
          <w:spacing w:val="0"/>
          <w:kern w:val="0"/>
          <w:sz w:val="24"/>
          <w:szCs w:val="24"/>
          <w:lang w:val="en-US" w:eastAsia="en-US" w:bidi="ar-SA"/>
        </w:rPr>
        <w:t>工作纪律</w:t>
      </w:r>
    </w:p>
    <w:p w14:paraId="06AC5E2B">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10.1 乙方人员遵守规范，不私拿食品原材料（含熟食）与其他物品的。</w:t>
      </w:r>
    </w:p>
    <w:p w14:paraId="5A844C2E">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10.2 下班后及时关灯，离开岗位时关煤气、燃气、水龙头等设备设施。</w:t>
      </w:r>
    </w:p>
    <w:p w14:paraId="68C8EC27">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10.3 乙方人员不接受供货商等相关人员礼品、 回扣等。</w:t>
      </w:r>
    </w:p>
    <w:p w14:paraId="709D17FA">
      <w:pPr>
        <w:keepNext w:val="0"/>
        <w:keepLines w:val="0"/>
        <w:pageBreakBefore w:val="0"/>
        <w:widowControl w:val="0"/>
        <w:tabs>
          <w:tab w:val="left" w:pos="3481"/>
        </w:tabs>
        <w:kinsoku/>
        <w:wordWrap/>
        <w:overflowPunct/>
        <w:topLinePunct w:val="0"/>
        <w:autoSpaceDN/>
        <w:bidi w:val="0"/>
        <w:spacing w:line="390" w:lineRule="exact"/>
        <w:ind w:left="0" w:right="0" w:firstLine="486" w:firstLineChars="200"/>
        <w:jc w:val="both"/>
        <w:rPr>
          <w:rFonts w:hint="eastAsia" w:ascii="仿宋" w:hAnsi="仿宋" w:eastAsia="仿宋" w:cs="仿宋"/>
          <w:b/>
          <w:bCs/>
          <w:color w:val="auto"/>
          <w:highlight w:val="none"/>
        </w:rPr>
      </w:pPr>
      <w:r>
        <w:rPr>
          <w:rFonts w:hint="eastAsia" w:ascii="仿宋" w:hAnsi="仿宋" w:eastAsia="仿宋" w:cs="仿宋"/>
          <w:b/>
          <w:bCs/>
          <w:color w:val="000000"/>
          <w:spacing w:val="0"/>
          <w:sz w:val="24"/>
          <w:szCs w:val="24"/>
          <w:lang w:val="en-US" w:eastAsia="en-US"/>
        </w:rPr>
        <w:t>11</w:t>
      </w:r>
      <w:r>
        <w:rPr>
          <w:rFonts w:hint="eastAsia" w:ascii="仿宋" w:hAnsi="仿宋" w:eastAsia="仿宋" w:cs="仿宋"/>
          <w:b/>
          <w:bCs/>
          <w:color w:val="000000"/>
          <w:spacing w:val="0"/>
          <w:sz w:val="24"/>
          <w:szCs w:val="24"/>
          <w:lang w:val="en-US" w:eastAsia="zh-CN"/>
        </w:rPr>
        <w:t>.</w:t>
      </w:r>
      <w:r>
        <w:rPr>
          <w:rFonts w:hint="eastAsia" w:ascii="仿宋" w:hAnsi="仿宋" w:eastAsia="仿宋" w:cs="仿宋"/>
          <w:b/>
          <w:bCs/>
          <w:color w:val="000000"/>
          <w:spacing w:val="0"/>
          <w:sz w:val="24"/>
          <w:szCs w:val="24"/>
          <w:lang w:val="en-US" w:eastAsia="en-US"/>
        </w:rPr>
        <w:t>其他</w:t>
      </w:r>
    </w:p>
    <w:p w14:paraId="65253CD2">
      <w:pPr>
        <w:pStyle w:val="18"/>
        <w:keepNext w:val="0"/>
        <w:keepLines w:val="0"/>
        <w:pageBreakBefore w:val="0"/>
        <w:kinsoku/>
        <w:wordWrap/>
        <w:topLinePunct w:val="0"/>
        <w:autoSpaceDE/>
        <w:autoSpaceDN/>
        <w:bidi w:val="0"/>
        <w:adjustRightInd/>
        <w:spacing w:line="240" w:lineRule="auto"/>
        <w:textAlignment w:val="auto"/>
        <w:rPr>
          <w:rFonts w:hint="eastAsia" w:ascii="仿宋" w:hAnsi="仿宋" w:eastAsia="仿宋" w:cs="仿宋"/>
          <w:b w:val="0"/>
          <w:bCs w:val="0"/>
          <w:color w:val="auto"/>
          <w:sz w:val="24"/>
          <w:szCs w:val="24"/>
        </w:rPr>
      </w:pPr>
    </w:p>
    <w:p w14:paraId="0CBDA4A1">
      <w:pPr>
        <w:pStyle w:val="9"/>
        <w:numPr>
          <w:ilvl w:val="0"/>
          <w:numId w:val="0"/>
        </w:numPr>
        <w:rPr>
          <w:rFonts w:ascii="仿宋" w:hAnsi="仿宋" w:eastAsia="仿宋" w:cs="仿宋"/>
          <w:color w:val="auto"/>
          <w:sz w:val="24"/>
          <w:lang w:eastAsia="zh-CN"/>
        </w:rPr>
      </w:pPr>
    </w:p>
    <w:p w14:paraId="5665D032">
      <w:pPr>
        <w:rPr>
          <w:rFonts w:ascii="仿宋" w:hAnsi="仿宋" w:eastAsia="仿宋" w:cs="仿宋"/>
          <w:b/>
          <w:bCs/>
          <w:color w:val="auto"/>
          <w:lang w:eastAsia="zh-CN"/>
        </w:rPr>
      </w:pPr>
    </w:p>
    <w:p w14:paraId="140B89E7">
      <w:pPr>
        <w:rPr>
          <w:rFonts w:ascii="仿宋" w:hAnsi="仿宋" w:eastAsia="仿宋" w:cs="仿宋"/>
          <w:color w:val="auto"/>
          <w:lang w:eastAsia="zh-CN"/>
        </w:rPr>
      </w:pPr>
    </w:p>
    <w:p w14:paraId="4ECAF631">
      <w:pPr>
        <w:pStyle w:val="36"/>
        <w:keepNext/>
        <w:keepLines/>
        <w:spacing w:before="0" w:after="1160"/>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六章</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投标文件格式</w:t>
      </w:r>
    </w:p>
    <w:p w14:paraId="4F55B73C">
      <w:pPr>
        <w:adjustRightInd w:val="0"/>
        <w:snapToGrid w:val="0"/>
        <w:spacing w:line="360" w:lineRule="auto"/>
        <w:jc w:val="center"/>
        <w:rPr>
          <w:rFonts w:ascii="仿宋" w:hAnsi="仿宋" w:eastAsia="仿宋" w:cs="仿宋"/>
          <w:b/>
          <w:caps/>
          <w:color w:val="auto"/>
          <w:lang w:eastAsia="zh-CN"/>
        </w:rPr>
      </w:pPr>
      <w:bookmarkStart w:id="48" w:name="bookmark196"/>
    </w:p>
    <w:p w14:paraId="20137DBD">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caps/>
          <w:color w:val="auto"/>
          <w:sz w:val="32"/>
          <w:szCs w:val="32"/>
          <w:lang w:eastAsia="zh-CN"/>
        </w:rPr>
        <w:t>（项目名称）</w:t>
      </w:r>
    </w:p>
    <w:p w14:paraId="09E218A8">
      <w:pPr>
        <w:adjustRightInd w:val="0"/>
        <w:snapToGrid w:val="0"/>
        <w:spacing w:line="360" w:lineRule="auto"/>
        <w:jc w:val="both"/>
        <w:rPr>
          <w:rFonts w:ascii="仿宋" w:hAnsi="仿宋" w:eastAsia="仿宋" w:cs="仿宋"/>
          <w:bCs/>
          <w:color w:val="auto"/>
          <w:sz w:val="32"/>
          <w:szCs w:val="32"/>
          <w:lang w:eastAsia="zh-CN"/>
        </w:rPr>
      </w:pPr>
    </w:p>
    <w:p w14:paraId="151A3584">
      <w:pPr>
        <w:adjustRightInd w:val="0"/>
        <w:snapToGrid w:val="0"/>
        <w:spacing w:line="360" w:lineRule="auto"/>
        <w:jc w:val="center"/>
        <w:rPr>
          <w:rFonts w:ascii="仿宋" w:hAnsi="仿宋" w:eastAsia="仿宋" w:cs="仿宋"/>
          <w:bCs/>
          <w:color w:val="auto"/>
          <w:sz w:val="32"/>
          <w:szCs w:val="32"/>
          <w:lang w:eastAsia="zh-CN"/>
        </w:rPr>
      </w:pPr>
    </w:p>
    <w:p w14:paraId="61055A9F">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1D69C686">
      <w:pPr>
        <w:adjustRightInd w:val="0"/>
        <w:snapToGrid w:val="0"/>
        <w:spacing w:line="360" w:lineRule="auto"/>
        <w:jc w:val="center"/>
        <w:rPr>
          <w:rFonts w:ascii="仿宋" w:hAnsi="仿宋" w:eastAsia="仿宋" w:cs="仿宋"/>
          <w:bCs/>
          <w:color w:val="auto"/>
          <w:sz w:val="32"/>
          <w:szCs w:val="32"/>
          <w:lang w:eastAsia="zh-CN"/>
        </w:rPr>
      </w:pPr>
    </w:p>
    <w:p w14:paraId="0C0D73D3">
      <w:pPr>
        <w:adjustRightInd w:val="0"/>
        <w:snapToGrid w:val="0"/>
        <w:spacing w:line="360" w:lineRule="auto"/>
        <w:jc w:val="both"/>
        <w:rPr>
          <w:rFonts w:ascii="仿宋" w:hAnsi="仿宋" w:eastAsia="仿宋" w:cs="仿宋"/>
          <w:bCs/>
          <w:color w:val="auto"/>
          <w:sz w:val="32"/>
          <w:szCs w:val="32"/>
          <w:lang w:eastAsia="zh-CN"/>
        </w:rPr>
      </w:pPr>
    </w:p>
    <w:p w14:paraId="73F73037">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kern w:val="0"/>
          <w:sz w:val="28"/>
          <w:szCs w:val="28"/>
          <w:fitText w:val="2810" w:id="1470909418"/>
          <w:lang w:eastAsia="zh-CN"/>
        </w:rPr>
        <w:t>供应商名称（公章）：</w:t>
      </w:r>
    </w:p>
    <w:p w14:paraId="67039877">
      <w:pPr>
        <w:adjustRightInd w:val="0"/>
        <w:snapToGrid w:val="0"/>
        <w:spacing w:line="360" w:lineRule="auto"/>
        <w:ind w:right="-155" w:rightChars="-64"/>
        <w:rPr>
          <w:rFonts w:ascii="仿宋" w:hAnsi="仿宋" w:eastAsia="仿宋" w:cs="仿宋"/>
          <w:b/>
          <w:caps/>
          <w:color w:val="auto"/>
          <w:sz w:val="28"/>
          <w:szCs w:val="28"/>
          <w:lang w:eastAsia="zh-CN"/>
        </w:rPr>
      </w:pPr>
    </w:p>
    <w:p w14:paraId="39E8CFDD">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w w:val="77"/>
          <w:kern w:val="0"/>
          <w:sz w:val="28"/>
          <w:szCs w:val="28"/>
          <w:fitText w:val="2810" w:id="1"/>
          <w:lang w:eastAsia="zh-CN"/>
        </w:rPr>
        <w:t>法定代表人（签章或盖章）</w:t>
      </w:r>
      <w:r>
        <w:rPr>
          <w:rFonts w:hint="eastAsia" w:ascii="仿宋" w:hAnsi="仿宋" w:eastAsia="仿宋" w:cs="仿宋"/>
          <w:b/>
          <w:caps/>
          <w:color w:val="auto"/>
          <w:spacing w:val="-1"/>
          <w:w w:val="77"/>
          <w:kern w:val="0"/>
          <w:sz w:val="28"/>
          <w:szCs w:val="28"/>
          <w:fitText w:val="2810" w:id="1"/>
          <w:lang w:eastAsia="zh-CN"/>
        </w:rPr>
        <w:t>：</w:t>
      </w:r>
    </w:p>
    <w:p w14:paraId="79F11E76">
      <w:pPr>
        <w:adjustRightInd w:val="0"/>
        <w:snapToGrid w:val="0"/>
        <w:spacing w:line="360" w:lineRule="auto"/>
        <w:ind w:right="-155" w:rightChars="-64"/>
        <w:rPr>
          <w:rFonts w:ascii="仿宋" w:hAnsi="仿宋" w:eastAsia="仿宋" w:cs="仿宋"/>
          <w:b/>
          <w:caps/>
          <w:color w:val="auto"/>
          <w:sz w:val="28"/>
          <w:szCs w:val="28"/>
          <w:lang w:eastAsia="zh-CN"/>
        </w:rPr>
      </w:pPr>
    </w:p>
    <w:p w14:paraId="6C04DBCE">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13"/>
          <w:kern w:val="0"/>
          <w:sz w:val="28"/>
          <w:szCs w:val="28"/>
          <w:fitText w:val="2810" w:id="2"/>
          <w:lang w:eastAsia="zh-CN"/>
        </w:rPr>
        <w:t>供应商地址</w:t>
      </w:r>
      <w:r>
        <w:rPr>
          <w:rFonts w:hint="eastAsia" w:ascii="仿宋" w:hAnsi="仿宋" w:eastAsia="仿宋" w:cs="仿宋"/>
          <w:b/>
          <w:caps/>
          <w:color w:val="auto"/>
          <w:spacing w:val="0"/>
          <w:kern w:val="0"/>
          <w:sz w:val="28"/>
          <w:szCs w:val="28"/>
          <w:fitText w:val="2810" w:id="2"/>
          <w:lang w:eastAsia="zh-CN"/>
        </w:rPr>
        <w:t>：</w:t>
      </w:r>
    </w:p>
    <w:p w14:paraId="5E35CFED">
      <w:pPr>
        <w:adjustRightInd w:val="0"/>
        <w:snapToGrid w:val="0"/>
        <w:spacing w:line="360" w:lineRule="auto"/>
        <w:ind w:right="-155" w:rightChars="-64"/>
        <w:rPr>
          <w:rFonts w:ascii="仿宋" w:hAnsi="仿宋" w:eastAsia="仿宋" w:cs="仿宋"/>
          <w:b/>
          <w:caps/>
          <w:color w:val="auto"/>
          <w:sz w:val="28"/>
          <w:szCs w:val="28"/>
          <w:lang w:eastAsia="zh-CN"/>
        </w:rPr>
      </w:pPr>
    </w:p>
    <w:p w14:paraId="434B5FB0">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281"/>
          <w:kern w:val="0"/>
          <w:sz w:val="28"/>
          <w:szCs w:val="28"/>
          <w:fitText w:val="2810" w:id="3"/>
          <w:lang w:eastAsia="zh-CN"/>
        </w:rPr>
        <w:t>联系人</w:t>
      </w:r>
      <w:r>
        <w:rPr>
          <w:rFonts w:hint="eastAsia" w:ascii="仿宋" w:hAnsi="仿宋" w:eastAsia="仿宋" w:cs="仿宋"/>
          <w:b/>
          <w:caps/>
          <w:color w:val="auto"/>
          <w:spacing w:val="2"/>
          <w:kern w:val="0"/>
          <w:sz w:val="28"/>
          <w:szCs w:val="28"/>
          <w:fitText w:val="2810" w:id="3"/>
          <w:lang w:eastAsia="zh-CN"/>
        </w:rPr>
        <w:t>：</w:t>
      </w:r>
    </w:p>
    <w:p w14:paraId="3506BD8C">
      <w:pPr>
        <w:adjustRightInd w:val="0"/>
        <w:snapToGrid w:val="0"/>
        <w:spacing w:line="360" w:lineRule="auto"/>
        <w:ind w:right="-155" w:rightChars="-64"/>
        <w:rPr>
          <w:rFonts w:ascii="仿宋" w:hAnsi="仿宋" w:eastAsia="仿宋" w:cs="仿宋"/>
          <w:b/>
          <w:caps/>
          <w:color w:val="auto"/>
          <w:sz w:val="28"/>
          <w:szCs w:val="28"/>
          <w:lang w:eastAsia="zh-CN"/>
        </w:rPr>
      </w:pPr>
    </w:p>
    <w:p w14:paraId="56205B0F">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76"/>
          <w:kern w:val="0"/>
          <w:sz w:val="28"/>
          <w:szCs w:val="28"/>
          <w:fitText w:val="2810" w:id="4"/>
          <w:lang w:eastAsia="zh-CN"/>
        </w:rPr>
        <w:t>联系电话</w:t>
      </w:r>
      <w:r>
        <w:rPr>
          <w:rFonts w:hint="eastAsia" w:ascii="仿宋" w:hAnsi="仿宋" w:eastAsia="仿宋" w:cs="仿宋"/>
          <w:b/>
          <w:caps/>
          <w:color w:val="auto"/>
          <w:spacing w:val="1"/>
          <w:kern w:val="0"/>
          <w:sz w:val="28"/>
          <w:szCs w:val="28"/>
          <w:fitText w:val="2810" w:id="4"/>
          <w:lang w:eastAsia="zh-CN"/>
        </w:rPr>
        <w:t>：</w:t>
      </w:r>
    </w:p>
    <w:p w14:paraId="6E369C9A">
      <w:pPr>
        <w:adjustRightInd w:val="0"/>
        <w:snapToGrid w:val="0"/>
        <w:spacing w:line="360" w:lineRule="auto"/>
        <w:jc w:val="center"/>
        <w:rPr>
          <w:rFonts w:ascii="仿宋" w:hAnsi="仿宋" w:eastAsia="仿宋" w:cs="仿宋"/>
          <w:b/>
          <w:caps/>
          <w:color w:val="auto"/>
          <w:sz w:val="28"/>
          <w:szCs w:val="28"/>
          <w:lang w:eastAsia="zh-CN"/>
        </w:rPr>
      </w:pPr>
    </w:p>
    <w:p w14:paraId="6DB6261A">
      <w:pPr>
        <w:adjustRightInd w:val="0"/>
        <w:snapToGrid w:val="0"/>
        <w:spacing w:line="360" w:lineRule="auto"/>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_年__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_月__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_日</w:t>
      </w:r>
    </w:p>
    <w:p w14:paraId="51B48AC9">
      <w:pPr>
        <w:pStyle w:val="38"/>
        <w:spacing w:after="340" w:line="240" w:lineRule="auto"/>
        <w:ind w:firstLine="0"/>
        <w:rPr>
          <w:rFonts w:ascii="仿宋" w:hAnsi="仿宋" w:eastAsia="仿宋" w:cs="仿宋"/>
          <w:color w:val="auto"/>
        </w:rPr>
      </w:pPr>
    </w:p>
    <w:bookmarkEnd w:id="48"/>
    <w:p w14:paraId="3EF81DD6">
      <w:pPr>
        <w:pStyle w:val="4"/>
        <w:spacing w:line="240" w:lineRule="atLeast"/>
        <w:rPr>
          <w:rFonts w:ascii="仿宋" w:hAnsi="仿宋" w:eastAsia="仿宋" w:cs="仿宋"/>
          <w:bCs/>
          <w:color w:val="auto"/>
          <w:sz w:val="24"/>
          <w:lang w:eastAsia="zh-CN"/>
        </w:rPr>
      </w:pPr>
      <w:bookmarkStart w:id="49" w:name="_Toc18974"/>
      <w:bookmarkStart w:id="50" w:name="_Toc18694"/>
      <w:bookmarkStart w:id="51" w:name="_Toc515647803"/>
      <w:bookmarkStart w:id="52" w:name="_Toc8919"/>
    </w:p>
    <w:p w14:paraId="352CF780">
      <w:pPr>
        <w:pStyle w:val="4"/>
        <w:spacing w:line="240" w:lineRule="atLeast"/>
        <w:rPr>
          <w:rFonts w:ascii="仿宋" w:hAnsi="仿宋" w:eastAsia="仿宋" w:cs="仿宋"/>
          <w:color w:val="auto"/>
          <w:szCs w:val="21"/>
          <w:lang w:eastAsia="zh-CN"/>
        </w:rPr>
      </w:pPr>
      <w:r>
        <w:rPr>
          <w:rFonts w:hint="eastAsia" w:ascii="仿宋" w:hAnsi="仿宋" w:eastAsia="仿宋" w:cs="仿宋"/>
          <w:bCs/>
          <w:color w:val="auto"/>
          <w:szCs w:val="21"/>
          <w:lang w:eastAsia="zh-CN"/>
        </w:rPr>
        <w:t>第一部分 资格证明文件</w:t>
      </w:r>
      <w:bookmarkEnd w:id="49"/>
      <w:bookmarkEnd w:id="50"/>
      <w:bookmarkEnd w:id="51"/>
      <w:bookmarkEnd w:id="52"/>
    </w:p>
    <w:p w14:paraId="39541EB2">
      <w:pPr>
        <w:spacing w:line="240" w:lineRule="atLeast"/>
        <w:ind w:left="717" w:hanging="716" w:hangingChars="295"/>
        <w:jc w:val="center"/>
        <w:rPr>
          <w:rFonts w:ascii="仿宋" w:hAnsi="仿宋" w:eastAsia="仿宋" w:cs="仿宋"/>
          <w:color w:val="auto"/>
          <w:lang w:eastAsia="zh-CN"/>
        </w:rPr>
      </w:pPr>
    </w:p>
    <w:p w14:paraId="768FDFAB">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1、法人或者非法人组织的营业执照等证明文件复印件（须加盖本单位章）或自然人的身份证明复印件;</w:t>
      </w:r>
    </w:p>
    <w:p w14:paraId="7400877B">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2、法定代表人资格证明书；</w:t>
      </w:r>
    </w:p>
    <w:p w14:paraId="42CFDD61">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3、法定代表人授权书；</w:t>
      </w:r>
    </w:p>
    <w:p w14:paraId="29A32C66">
      <w:pPr>
        <w:tabs>
          <w:tab w:val="left" w:pos="5580"/>
        </w:tabs>
        <w:spacing w:line="500" w:lineRule="atLeast"/>
        <w:ind w:left="1" w:firstLine="571" w:firstLineChars="235"/>
        <w:rPr>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p>
    <w:p w14:paraId="672B3798">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、投标保证金缴纳凭证或投标担保函；</w:t>
      </w:r>
    </w:p>
    <w:p w14:paraId="46F2306A">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val="en-US" w:eastAsia="zh-CN"/>
        </w:rPr>
        <w:t>6</w:t>
      </w:r>
      <w:r>
        <w:rPr>
          <w:rFonts w:hint="eastAsia" w:ascii="仿宋" w:hAnsi="仿宋" w:eastAsia="仿宋" w:cs="仿宋"/>
          <w:color w:val="auto"/>
          <w:lang w:eastAsia="zh-CN"/>
        </w:rPr>
        <w:t>、投标企业须提供投标人（被授权在职人员）近6个月内任意一个月有效的社保证明；</w:t>
      </w:r>
    </w:p>
    <w:p w14:paraId="2F1CE0C7">
      <w:pPr>
        <w:tabs>
          <w:tab w:val="left" w:pos="5580"/>
        </w:tabs>
        <w:spacing w:line="500" w:lineRule="atLeast"/>
        <w:ind w:left="1" w:firstLine="571" w:firstLineChars="235"/>
        <w:rPr>
          <w:rFonts w:hint="eastAsia" w:ascii="仿宋" w:hAnsi="仿宋" w:eastAsia="仿宋" w:cs="仿宋"/>
          <w:color w:val="auto"/>
          <w:lang w:val="en-US"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w:t>
      </w:r>
      <w:r>
        <w:rPr>
          <w:rFonts w:hint="eastAsia" w:ascii="仿宋" w:hAnsi="仿宋" w:eastAsia="仿宋" w:cs="仿宋"/>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34A7CFAF">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8</w:t>
      </w:r>
      <w:r>
        <w:rPr>
          <w:rFonts w:hint="eastAsia" w:ascii="仿宋" w:hAnsi="仿宋" w:eastAsia="仿宋" w:cs="仿宋"/>
          <w:color w:val="auto"/>
          <w:lang w:eastAsia="zh-CN"/>
        </w:rPr>
        <w:t>、供应商须知资料表要求的其他资格证明文件。</w:t>
      </w:r>
    </w:p>
    <w:p w14:paraId="15C9E625">
      <w:pPr>
        <w:pStyle w:val="9"/>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14:paraId="2597CC36">
      <w:pPr>
        <w:pStyle w:val="9"/>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14:paraId="7886FED0">
      <w:pPr>
        <w:rPr>
          <w:rFonts w:ascii="仿宋" w:hAnsi="仿宋" w:eastAsia="仿宋" w:cs="仿宋"/>
          <w:b/>
          <w:bCs/>
          <w:color w:val="auto"/>
          <w:sz w:val="36"/>
          <w:szCs w:val="36"/>
          <w:lang w:eastAsia="zh-CN"/>
        </w:rPr>
      </w:pPr>
    </w:p>
    <w:p w14:paraId="76F8A664">
      <w:pPr>
        <w:pStyle w:val="34"/>
        <w:rPr>
          <w:rFonts w:ascii="仿宋" w:hAnsi="仿宋" w:eastAsia="仿宋" w:cs="仿宋"/>
          <w:b/>
          <w:bCs/>
          <w:color w:val="auto"/>
          <w:sz w:val="36"/>
          <w:szCs w:val="36"/>
          <w:lang w:eastAsia="zh-CN"/>
        </w:rPr>
      </w:pPr>
    </w:p>
    <w:p w14:paraId="03E301C8">
      <w:pPr>
        <w:pStyle w:val="34"/>
        <w:rPr>
          <w:rFonts w:ascii="仿宋" w:hAnsi="仿宋" w:eastAsia="仿宋" w:cs="仿宋"/>
          <w:b/>
          <w:bCs/>
          <w:color w:val="auto"/>
          <w:sz w:val="36"/>
          <w:szCs w:val="36"/>
          <w:lang w:eastAsia="zh-CN"/>
        </w:rPr>
      </w:pPr>
    </w:p>
    <w:p w14:paraId="2EA532F9">
      <w:pPr>
        <w:pStyle w:val="34"/>
        <w:rPr>
          <w:rFonts w:ascii="仿宋" w:hAnsi="仿宋" w:eastAsia="仿宋" w:cs="仿宋"/>
          <w:b/>
          <w:bCs/>
          <w:color w:val="auto"/>
          <w:sz w:val="36"/>
          <w:szCs w:val="36"/>
          <w:lang w:eastAsia="zh-CN"/>
        </w:rPr>
      </w:pPr>
    </w:p>
    <w:p w14:paraId="7E49D742">
      <w:pPr>
        <w:pStyle w:val="34"/>
        <w:rPr>
          <w:rFonts w:ascii="仿宋" w:hAnsi="仿宋" w:eastAsia="仿宋" w:cs="仿宋"/>
          <w:b/>
          <w:bCs/>
          <w:color w:val="auto"/>
          <w:sz w:val="36"/>
          <w:szCs w:val="36"/>
          <w:lang w:eastAsia="zh-CN"/>
        </w:rPr>
      </w:pPr>
    </w:p>
    <w:p w14:paraId="6C60733C">
      <w:pPr>
        <w:pStyle w:val="34"/>
        <w:rPr>
          <w:rFonts w:ascii="仿宋" w:hAnsi="仿宋" w:eastAsia="仿宋" w:cs="仿宋"/>
          <w:b/>
          <w:bCs/>
          <w:color w:val="auto"/>
          <w:sz w:val="36"/>
          <w:szCs w:val="36"/>
          <w:lang w:eastAsia="zh-CN"/>
        </w:rPr>
      </w:pPr>
    </w:p>
    <w:p w14:paraId="047F09CD">
      <w:pPr>
        <w:pStyle w:val="34"/>
        <w:rPr>
          <w:rFonts w:ascii="仿宋" w:hAnsi="仿宋" w:eastAsia="仿宋" w:cs="仿宋"/>
          <w:b/>
          <w:bCs/>
          <w:color w:val="auto"/>
          <w:sz w:val="36"/>
          <w:szCs w:val="36"/>
          <w:lang w:eastAsia="zh-CN"/>
        </w:rPr>
      </w:pPr>
    </w:p>
    <w:p w14:paraId="50DB8E65">
      <w:pPr>
        <w:pStyle w:val="34"/>
        <w:rPr>
          <w:rFonts w:ascii="仿宋" w:hAnsi="仿宋" w:eastAsia="仿宋" w:cs="仿宋"/>
          <w:b/>
          <w:bCs/>
          <w:color w:val="auto"/>
          <w:sz w:val="36"/>
          <w:szCs w:val="36"/>
          <w:lang w:eastAsia="zh-CN"/>
        </w:rPr>
      </w:pPr>
    </w:p>
    <w:p w14:paraId="4C67308F">
      <w:pPr>
        <w:pStyle w:val="34"/>
        <w:rPr>
          <w:rFonts w:ascii="仿宋" w:hAnsi="仿宋" w:eastAsia="仿宋" w:cs="仿宋"/>
          <w:b/>
          <w:bCs/>
          <w:color w:val="auto"/>
          <w:sz w:val="36"/>
          <w:szCs w:val="36"/>
          <w:lang w:eastAsia="zh-CN"/>
        </w:rPr>
      </w:pPr>
    </w:p>
    <w:p w14:paraId="3846AE30">
      <w:pPr>
        <w:pStyle w:val="9"/>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14:paraId="1D9DC978">
      <w:pPr>
        <w:pStyle w:val="9"/>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bookmarkStart w:id="53" w:name="_Toc515647805"/>
      <w:bookmarkStart w:id="54" w:name="_Toc4844"/>
      <w:bookmarkStart w:id="55" w:name="_Toc17577"/>
      <w:bookmarkStart w:id="56" w:name="_Toc29899"/>
    </w:p>
    <w:p w14:paraId="723E5ED8">
      <w:pPr>
        <w:pStyle w:val="9"/>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180A0759">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 法人或者非法人组织的营业执照等证明文件</w:t>
      </w:r>
      <w:bookmarkEnd w:id="53"/>
      <w:bookmarkStart w:id="57" w:name="_Toc515647806"/>
      <w:r>
        <w:rPr>
          <w:rFonts w:hint="eastAsia" w:ascii="仿宋" w:hAnsi="仿宋" w:eastAsia="仿宋" w:cs="仿宋"/>
          <w:b/>
          <w:bCs/>
          <w:color w:val="auto"/>
          <w:sz w:val="36"/>
          <w:szCs w:val="36"/>
          <w:lang w:eastAsia="zh-CN"/>
        </w:rPr>
        <w:t>或自然人的身份证明</w:t>
      </w:r>
      <w:bookmarkEnd w:id="54"/>
      <w:bookmarkEnd w:id="55"/>
      <w:bookmarkEnd w:id="56"/>
      <w:bookmarkEnd w:id="57"/>
    </w:p>
    <w:p w14:paraId="66DFB43E">
      <w:pPr>
        <w:pStyle w:val="12"/>
        <w:tabs>
          <w:tab w:val="left" w:pos="5580"/>
        </w:tabs>
        <w:spacing w:line="400" w:lineRule="exact"/>
        <w:ind w:left="1164" w:leftChars="257" w:hanging="540"/>
        <w:jc w:val="center"/>
        <w:rPr>
          <w:rFonts w:ascii="仿宋" w:hAnsi="仿宋" w:eastAsia="仿宋" w:cs="仿宋"/>
          <w:b/>
          <w:color w:val="auto"/>
          <w:lang w:eastAsia="zh-CN"/>
        </w:rPr>
      </w:pPr>
    </w:p>
    <w:p w14:paraId="6CA292E2">
      <w:pPr>
        <w:pStyle w:val="12"/>
        <w:tabs>
          <w:tab w:val="left" w:pos="5580"/>
        </w:tabs>
        <w:spacing w:line="400" w:lineRule="exact"/>
        <w:ind w:left="1164" w:leftChars="257" w:hanging="540"/>
        <w:rPr>
          <w:rFonts w:ascii="仿宋" w:hAnsi="仿宋" w:eastAsia="仿宋" w:cs="仿宋"/>
          <w:b/>
          <w:color w:val="auto"/>
          <w:lang w:eastAsia="zh-CN"/>
        </w:rPr>
      </w:pPr>
    </w:p>
    <w:p w14:paraId="209E3EE3">
      <w:pPr>
        <w:pStyle w:val="12"/>
        <w:tabs>
          <w:tab w:val="left" w:pos="5580"/>
        </w:tabs>
        <w:spacing w:line="400" w:lineRule="exact"/>
        <w:ind w:left="1164" w:leftChars="257" w:hanging="540"/>
        <w:rPr>
          <w:rFonts w:ascii="仿宋" w:hAnsi="仿宋" w:eastAsia="仿宋" w:cs="仿宋"/>
          <w:b/>
          <w:color w:val="auto"/>
          <w:lang w:eastAsia="zh-CN"/>
        </w:rPr>
      </w:pPr>
    </w:p>
    <w:p w14:paraId="72A60AE7">
      <w:pPr>
        <w:pStyle w:val="12"/>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说明：1.提供有效的营业执照等证明文件复印件，复印件上应加盖本单位章。</w:t>
      </w:r>
    </w:p>
    <w:p w14:paraId="20C5C195">
      <w:pPr>
        <w:pStyle w:val="12"/>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2.供应商为自然人的，应提供身份证明的复印件。</w:t>
      </w:r>
    </w:p>
    <w:p w14:paraId="63604D5C">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4C125EA0">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283C04E3">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46F98153">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0772FCE5">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794873EF">
      <w:pPr>
        <w:pStyle w:val="9"/>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14:paraId="091E2B54">
      <w:pPr>
        <w:rPr>
          <w:rFonts w:ascii="仿宋" w:hAnsi="仿宋" w:eastAsia="仿宋" w:cs="仿宋"/>
          <w:b/>
          <w:bCs/>
          <w:color w:val="auto"/>
          <w:sz w:val="36"/>
          <w:szCs w:val="36"/>
          <w:lang w:eastAsia="zh-CN"/>
        </w:rPr>
      </w:pPr>
    </w:p>
    <w:p w14:paraId="381CCBDC">
      <w:pPr>
        <w:pStyle w:val="34"/>
        <w:rPr>
          <w:rFonts w:ascii="仿宋" w:hAnsi="仿宋" w:eastAsia="仿宋" w:cs="仿宋"/>
          <w:b/>
          <w:bCs/>
          <w:color w:val="auto"/>
          <w:sz w:val="36"/>
          <w:szCs w:val="36"/>
          <w:lang w:eastAsia="zh-CN"/>
        </w:rPr>
      </w:pPr>
    </w:p>
    <w:p w14:paraId="382B7B82">
      <w:pPr>
        <w:pStyle w:val="34"/>
        <w:rPr>
          <w:rFonts w:ascii="仿宋" w:hAnsi="仿宋" w:eastAsia="仿宋" w:cs="仿宋"/>
          <w:b/>
          <w:bCs/>
          <w:color w:val="auto"/>
          <w:sz w:val="36"/>
          <w:szCs w:val="36"/>
          <w:lang w:eastAsia="zh-CN"/>
        </w:rPr>
      </w:pPr>
    </w:p>
    <w:p w14:paraId="581D5867">
      <w:pPr>
        <w:pStyle w:val="34"/>
        <w:rPr>
          <w:rFonts w:ascii="仿宋" w:hAnsi="仿宋" w:eastAsia="仿宋" w:cs="仿宋"/>
          <w:b/>
          <w:bCs/>
          <w:color w:val="auto"/>
          <w:sz w:val="36"/>
          <w:szCs w:val="36"/>
          <w:lang w:eastAsia="zh-CN"/>
        </w:rPr>
      </w:pPr>
    </w:p>
    <w:p w14:paraId="332A33EA">
      <w:pPr>
        <w:pStyle w:val="34"/>
        <w:rPr>
          <w:rFonts w:ascii="仿宋" w:hAnsi="仿宋" w:eastAsia="仿宋" w:cs="仿宋"/>
          <w:b/>
          <w:bCs/>
          <w:color w:val="auto"/>
          <w:sz w:val="36"/>
          <w:szCs w:val="36"/>
          <w:lang w:eastAsia="zh-CN"/>
        </w:rPr>
      </w:pPr>
    </w:p>
    <w:p w14:paraId="1064F8B7">
      <w:pPr>
        <w:pStyle w:val="34"/>
        <w:rPr>
          <w:rFonts w:ascii="仿宋" w:hAnsi="仿宋" w:eastAsia="仿宋" w:cs="仿宋"/>
          <w:b/>
          <w:bCs/>
          <w:color w:val="auto"/>
          <w:sz w:val="36"/>
          <w:szCs w:val="36"/>
          <w:lang w:eastAsia="zh-CN"/>
        </w:rPr>
      </w:pPr>
    </w:p>
    <w:p w14:paraId="61744457">
      <w:pPr>
        <w:pStyle w:val="34"/>
        <w:rPr>
          <w:rFonts w:ascii="仿宋" w:hAnsi="仿宋" w:eastAsia="仿宋" w:cs="仿宋"/>
          <w:b/>
          <w:bCs/>
          <w:color w:val="auto"/>
          <w:sz w:val="36"/>
          <w:szCs w:val="36"/>
          <w:lang w:eastAsia="zh-CN"/>
        </w:rPr>
      </w:pPr>
    </w:p>
    <w:p w14:paraId="73F779B4">
      <w:pPr>
        <w:pStyle w:val="34"/>
        <w:rPr>
          <w:rFonts w:ascii="仿宋" w:hAnsi="仿宋" w:eastAsia="仿宋" w:cs="仿宋"/>
          <w:b/>
          <w:bCs/>
          <w:color w:val="auto"/>
          <w:sz w:val="36"/>
          <w:szCs w:val="36"/>
          <w:lang w:eastAsia="zh-CN"/>
        </w:rPr>
      </w:pPr>
    </w:p>
    <w:p w14:paraId="431B783E">
      <w:pPr>
        <w:pStyle w:val="34"/>
        <w:rPr>
          <w:rFonts w:ascii="仿宋" w:hAnsi="仿宋" w:eastAsia="仿宋" w:cs="仿宋"/>
          <w:b/>
          <w:bCs/>
          <w:color w:val="auto"/>
          <w:sz w:val="36"/>
          <w:szCs w:val="36"/>
          <w:lang w:eastAsia="zh-CN"/>
        </w:rPr>
      </w:pPr>
    </w:p>
    <w:p w14:paraId="184300BE">
      <w:pPr>
        <w:pStyle w:val="34"/>
        <w:rPr>
          <w:rFonts w:ascii="仿宋" w:hAnsi="仿宋" w:eastAsia="仿宋" w:cs="仿宋"/>
          <w:b/>
          <w:bCs/>
          <w:color w:val="auto"/>
          <w:sz w:val="36"/>
          <w:szCs w:val="36"/>
          <w:lang w:eastAsia="zh-CN"/>
        </w:rPr>
      </w:pPr>
    </w:p>
    <w:p w14:paraId="11A3C12C">
      <w:pPr>
        <w:pStyle w:val="34"/>
        <w:rPr>
          <w:rFonts w:ascii="仿宋" w:hAnsi="仿宋" w:eastAsia="仿宋" w:cs="仿宋"/>
          <w:b/>
          <w:bCs/>
          <w:color w:val="auto"/>
          <w:sz w:val="36"/>
          <w:szCs w:val="36"/>
          <w:lang w:eastAsia="zh-CN"/>
        </w:rPr>
      </w:pPr>
    </w:p>
    <w:p w14:paraId="428F2764">
      <w:pPr>
        <w:pStyle w:val="34"/>
        <w:rPr>
          <w:rFonts w:ascii="仿宋" w:hAnsi="仿宋" w:eastAsia="仿宋" w:cs="仿宋"/>
          <w:b/>
          <w:bCs/>
          <w:color w:val="auto"/>
          <w:sz w:val="36"/>
          <w:szCs w:val="36"/>
          <w:lang w:eastAsia="zh-CN"/>
        </w:rPr>
      </w:pPr>
    </w:p>
    <w:p w14:paraId="1004B2D7">
      <w:pPr>
        <w:pStyle w:val="34"/>
        <w:rPr>
          <w:rFonts w:ascii="仿宋" w:hAnsi="仿宋" w:eastAsia="仿宋" w:cs="仿宋"/>
          <w:b/>
          <w:bCs/>
          <w:color w:val="auto"/>
          <w:sz w:val="36"/>
          <w:szCs w:val="36"/>
          <w:lang w:eastAsia="zh-CN"/>
        </w:rPr>
      </w:pPr>
    </w:p>
    <w:p w14:paraId="7C82069C">
      <w:pPr>
        <w:pStyle w:val="34"/>
        <w:rPr>
          <w:rFonts w:ascii="仿宋" w:hAnsi="仿宋" w:eastAsia="仿宋" w:cs="仿宋"/>
          <w:b/>
          <w:bCs/>
          <w:color w:val="auto"/>
          <w:sz w:val="36"/>
          <w:szCs w:val="36"/>
          <w:lang w:eastAsia="zh-CN"/>
        </w:rPr>
      </w:pPr>
    </w:p>
    <w:p w14:paraId="44ED0184">
      <w:pPr>
        <w:pStyle w:val="34"/>
        <w:rPr>
          <w:rFonts w:ascii="仿宋" w:hAnsi="仿宋" w:eastAsia="仿宋" w:cs="仿宋"/>
          <w:b/>
          <w:bCs/>
          <w:color w:val="auto"/>
          <w:sz w:val="36"/>
          <w:szCs w:val="36"/>
          <w:lang w:eastAsia="zh-CN"/>
        </w:rPr>
      </w:pPr>
    </w:p>
    <w:p w14:paraId="6B48C5FB">
      <w:pPr>
        <w:pStyle w:val="34"/>
        <w:rPr>
          <w:rFonts w:ascii="仿宋" w:hAnsi="仿宋" w:eastAsia="仿宋" w:cs="仿宋"/>
          <w:b/>
          <w:bCs/>
          <w:color w:val="auto"/>
          <w:sz w:val="36"/>
          <w:szCs w:val="36"/>
          <w:lang w:eastAsia="zh-CN"/>
        </w:rPr>
      </w:pPr>
    </w:p>
    <w:p w14:paraId="3E6D61E5">
      <w:pPr>
        <w:pStyle w:val="34"/>
        <w:ind w:firstLine="0"/>
        <w:rPr>
          <w:rFonts w:ascii="仿宋" w:hAnsi="仿宋" w:eastAsia="仿宋" w:cs="仿宋"/>
          <w:b/>
          <w:bCs/>
          <w:color w:val="auto"/>
          <w:sz w:val="36"/>
          <w:szCs w:val="36"/>
          <w:lang w:eastAsia="zh-CN"/>
        </w:rPr>
      </w:pPr>
    </w:p>
    <w:p w14:paraId="552F4CD0">
      <w:pPr>
        <w:pStyle w:val="9"/>
        <w:numPr>
          <w:ilvl w:val="0"/>
          <w:numId w:val="0"/>
        </w:numPr>
        <w:kinsoku w:val="0"/>
        <w:overflowPunct w:val="0"/>
        <w:spacing w:before="34" w:line="440" w:lineRule="exact"/>
        <w:ind w:left="480" w:right="126"/>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2、法定代表人身份证明</w:t>
      </w:r>
    </w:p>
    <w:p w14:paraId="5C49CB4A">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投标单位名称：</w:t>
      </w:r>
      <w:r>
        <w:rPr>
          <w:rFonts w:hint="eastAsia" w:ascii="仿宋" w:hAnsi="仿宋" w:eastAsia="仿宋" w:cs="仿宋"/>
          <w:color w:val="auto"/>
          <w:u w:val="single"/>
          <w:lang w:eastAsia="zh-CN"/>
        </w:rPr>
        <w:t xml:space="preserve">                       </w:t>
      </w:r>
    </w:p>
    <w:p w14:paraId="3EF585B7">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14:paraId="30C32F02">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p>
    <w:p w14:paraId="33606324">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26E4AFBB">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14:paraId="235F1CE1">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14:paraId="6BE33D4E">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身份证号码：</w:t>
      </w:r>
      <w:r>
        <w:rPr>
          <w:rFonts w:hint="eastAsia" w:ascii="仿宋" w:hAnsi="仿宋" w:eastAsia="仿宋" w:cs="仿宋"/>
          <w:color w:val="auto"/>
          <w:u w:val="single"/>
          <w:lang w:eastAsia="zh-CN"/>
        </w:rPr>
        <w:t xml:space="preserve">                                                     </w:t>
      </w:r>
    </w:p>
    <w:p w14:paraId="7BD9400C">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（投标单位名称）的法定代表人。</w:t>
      </w:r>
    </w:p>
    <w:p w14:paraId="163B35EA">
      <w:pPr>
        <w:spacing w:line="420" w:lineRule="exact"/>
        <w:ind w:firstLine="972" w:firstLineChars="400"/>
        <w:rPr>
          <w:rFonts w:ascii="仿宋" w:hAnsi="仿宋" w:eastAsia="仿宋" w:cs="仿宋"/>
          <w:color w:val="auto"/>
        </w:rPr>
      </w:pPr>
      <w:r>
        <w:rPr>
          <w:rFonts w:hint="eastAsia" w:ascii="仿宋" w:hAnsi="仿宋" w:eastAsia="仿宋" w:cs="仿宋"/>
          <w:color w:val="auto"/>
        </w:rPr>
        <w:t>特此证明。</w:t>
      </w:r>
    </w:p>
    <w:p w14:paraId="5B83F6B0">
      <w:pPr>
        <w:pStyle w:val="9"/>
        <w:numPr>
          <w:ilvl w:val="0"/>
          <w:numId w:val="0"/>
        </w:numPr>
        <w:kinsoku w:val="0"/>
        <w:overflowPunct w:val="0"/>
        <w:rPr>
          <w:rFonts w:ascii="仿宋" w:hAnsi="仿宋" w:eastAsia="仿宋" w:cs="仿宋"/>
          <w:color w:val="auto"/>
          <w:sz w:val="20"/>
          <w:szCs w:val="20"/>
        </w:rPr>
      </w:pPr>
      <w:r>
        <w:rPr>
          <w:color w:val="auto"/>
          <w:sz w:val="25"/>
        </w:rPr>
        <mc:AlternateContent>
          <mc:Choice Requires="wps">
            <w:drawing>
              <wp:anchor distT="0" distB="0" distL="114300" distR="114300" simplePos="0" relativeHeight="251661312"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2"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5DB597E">
                            <w:pPr>
                              <w:jc w:val="center"/>
                              <w:rPr>
                                <w:rFonts w:hint="eastAsia" w:ascii="仿宋" w:hAnsi="仿宋" w:eastAsia="仿宋" w:cs="仿宋"/>
                                <w:sz w:val="24"/>
                                <w:szCs w:val="24"/>
                              </w:rPr>
                            </w:pPr>
                          </w:p>
                          <w:p w14:paraId="18FB7F80">
                            <w:pPr>
                              <w:jc w:val="center"/>
                              <w:rPr>
                                <w:rFonts w:hint="eastAsia" w:ascii="仿宋" w:hAnsi="仿宋" w:eastAsia="仿宋" w:cs="仿宋"/>
                                <w:sz w:val="24"/>
                                <w:szCs w:val="24"/>
                              </w:rPr>
                            </w:pPr>
                          </w:p>
                          <w:p w14:paraId="0868C9B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7B49D09C"/>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Ol5O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Ol5OJAIAAFgEAAAOAAAAAAAAAAEAIAAAACYBAABkcnMvZTJvRG9jLnhtbFBLBQYAAAAABgAG&#10;AFkBAAC8BQAAAAA=&#10;">
                <v:fill on="t" focussize="0,0"/>
                <v:stroke color="#000000" joinstyle="round"/>
                <v:imagedata o:title=""/>
                <o:lock v:ext="edit" aspectratio="f"/>
                <v:textbox>
                  <w:txbxContent>
                    <w:p w14:paraId="55DB597E">
                      <w:pPr>
                        <w:jc w:val="center"/>
                        <w:rPr>
                          <w:rFonts w:hint="eastAsia" w:ascii="仿宋" w:hAnsi="仿宋" w:eastAsia="仿宋" w:cs="仿宋"/>
                          <w:sz w:val="24"/>
                          <w:szCs w:val="24"/>
                        </w:rPr>
                      </w:pPr>
                    </w:p>
                    <w:p w14:paraId="18FB7F80">
                      <w:pPr>
                        <w:jc w:val="center"/>
                        <w:rPr>
                          <w:rFonts w:hint="eastAsia" w:ascii="仿宋" w:hAnsi="仿宋" w:eastAsia="仿宋" w:cs="仿宋"/>
                          <w:sz w:val="24"/>
                          <w:szCs w:val="24"/>
                        </w:rPr>
                      </w:pPr>
                    </w:p>
                    <w:p w14:paraId="0868C9B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7B49D09C"/>
                  </w:txbxContent>
                </v:textbox>
                <w10:wrap type="square"/>
              </v:roundrect>
            </w:pict>
          </mc:Fallback>
        </mc:AlternateContent>
      </w:r>
    </w:p>
    <w:p w14:paraId="0AA98B22">
      <w:pPr>
        <w:pStyle w:val="9"/>
        <w:numPr>
          <w:ilvl w:val="0"/>
          <w:numId w:val="0"/>
        </w:numPr>
        <w:kinsoku w:val="0"/>
        <w:overflowPunct w:val="0"/>
        <w:spacing w:before="7"/>
        <w:rPr>
          <w:rFonts w:ascii="仿宋" w:hAnsi="仿宋" w:eastAsia="仿宋" w:cs="仿宋"/>
          <w:color w:val="auto"/>
          <w:sz w:val="25"/>
          <w:szCs w:val="25"/>
        </w:rPr>
      </w:pPr>
      <w:r>
        <w:rPr>
          <w:color w:val="auto"/>
          <w:sz w:val="25"/>
        </w:rPr>
        <mc:AlternateContent>
          <mc:Choice Requires="wps">
            <w:drawing>
              <wp:anchor distT="0" distB="0" distL="114300" distR="114300" simplePos="0" relativeHeight="251666432"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20682" y="-2"/>
                    <wp:lineTo x="909" y="0"/>
                    <wp:lineTo x="0" y="1611"/>
                    <wp:lineTo x="0" y="3600"/>
                    <wp:lineTo x="0" y="18000"/>
                    <wp:lineTo x="0" y="19988"/>
                    <wp:lineTo x="909" y="21600"/>
                    <wp:lineTo x="20682" y="21602"/>
                    <wp:lineTo x="917" y="21602"/>
                    <wp:lineTo x="20690" y="21600"/>
                    <wp:lineTo x="21599" y="19988"/>
                    <wp:lineTo x="21599" y="18000"/>
                    <wp:lineTo x="21599" y="3600"/>
                    <wp:lineTo x="21599" y="1611"/>
                    <wp:lineTo x="20690" y="0"/>
                    <wp:lineTo x="917" y="-2"/>
                    <wp:lineTo x="20682" y="-2"/>
                  </wp:wrapPolygon>
                </wp:wrapTight>
                <wp:docPr id="6"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EA187A0">
                            <w:pPr>
                              <w:jc w:val="center"/>
                              <w:rPr>
                                <w:rFonts w:hint="eastAsia" w:ascii="仿宋" w:hAnsi="仿宋" w:eastAsia="仿宋" w:cs="仿宋"/>
                                <w:sz w:val="24"/>
                                <w:szCs w:val="24"/>
                              </w:rPr>
                            </w:pPr>
                          </w:p>
                          <w:p w14:paraId="35AC5C62">
                            <w:pPr>
                              <w:jc w:val="center"/>
                              <w:rPr>
                                <w:rFonts w:hint="eastAsia" w:ascii="仿宋" w:hAnsi="仿宋" w:eastAsia="仿宋" w:cs="仿宋"/>
                                <w:sz w:val="24"/>
                                <w:szCs w:val="24"/>
                              </w:rPr>
                            </w:pPr>
                          </w:p>
                          <w:p w14:paraId="3E34D51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74BBC718"/>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50048;mso-width-relative:page;mso-height-relative:page;" fillcolor="#FFFFFF" filled="t" stroked="t" coordsize="21600,21600" wrapcoords="20682 -2 909 0 0 1611 0 3600 0 18000 0 19988 909 21600 20682 21602 917 21602 20690 21600 21599 19988 21599 18000 21599 3600 21599 1611 20690 0 917 -2 20682 -2"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zfztliM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dq3CjV&#10;AAAACAEAAA8AAAAAAAAAAQAgAAAAIgAAAGRycy9kb3ducmV2LnhtbFBLAQIUABQAAAAIAIdO4kDN&#10;/O2WIwIAAFgEAAAOAAAAAAAAAAEAIAAAACQBAABkcnMvZTJvRG9jLnhtbFBLBQYAAAAABgAGAFkB&#10;AAC5BQAAAAA=&#10;">
                <v:fill on="t" focussize="0,0"/>
                <v:stroke color="#000000" joinstyle="round"/>
                <v:imagedata o:title=""/>
                <o:lock v:ext="edit" aspectratio="f"/>
                <v:textbox>
                  <w:txbxContent>
                    <w:p w14:paraId="5EA187A0">
                      <w:pPr>
                        <w:jc w:val="center"/>
                        <w:rPr>
                          <w:rFonts w:hint="eastAsia" w:ascii="仿宋" w:hAnsi="仿宋" w:eastAsia="仿宋" w:cs="仿宋"/>
                          <w:sz w:val="24"/>
                          <w:szCs w:val="24"/>
                        </w:rPr>
                      </w:pPr>
                    </w:p>
                    <w:p w14:paraId="35AC5C62">
                      <w:pPr>
                        <w:jc w:val="center"/>
                        <w:rPr>
                          <w:rFonts w:hint="eastAsia" w:ascii="仿宋" w:hAnsi="仿宋" w:eastAsia="仿宋" w:cs="仿宋"/>
                          <w:sz w:val="24"/>
                          <w:szCs w:val="24"/>
                        </w:rPr>
                      </w:pPr>
                    </w:p>
                    <w:p w14:paraId="3E34D51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74BBC718"/>
                  </w:txbxContent>
                </v:textbox>
                <w10:wrap type="tight"/>
              </v:roundrect>
            </w:pict>
          </mc:Fallback>
        </mc:AlternateContent>
      </w:r>
    </w:p>
    <w:p w14:paraId="6162A58F">
      <w:pPr>
        <w:pStyle w:val="9"/>
        <w:numPr>
          <w:ilvl w:val="0"/>
          <w:numId w:val="0"/>
        </w:numPr>
        <w:kinsoku w:val="0"/>
        <w:overflowPunct w:val="0"/>
        <w:spacing w:line="200" w:lineRule="atLeast"/>
        <w:rPr>
          <w:rFonts w:ascii="仿宋" w:hAnsi="仿宋" w:eastAsia="仿宋" w:cs="仿宋"/>
          <w:color w:val="auto"/>
          <w:sz w:val="20"/>
          <w:szCs w:val="20"/>
        </w:rPr>
      </w:pPr>
    </w:p>
    <w:p w14:paraId="26AEAB40">
      <w:pPr>
        <w:wordWrap w:val="0"/>
        <w:spacing w:line="420" w:lineRule="exact"/>
        <w:ind w:firstLine="486" w:firstLineChars="200"/>
        <w:jc w:val="right"/>
        <w:rPr>
          <w:rFonts w:ascii="仿宋" w:hAnsi="仿宋" w:eastAsia="仿宋" w:cs="仿宋"/>
          <w:color w:val="auto"/>
        </w:rPr>
      </w:pPr>
    </w:p>
    <w:p w14:paraId="021C51D6">
      <w:pPr>
        <w:pStyle w:val="9"/>
        <w:numPr>
          <w:ilvl w:val="0"/>
          <w:numId w:val="0"/>
        </w:numPr>
        <w:kinsoku w:val="0"/>
        <w:overflowPunct w:val="0"/>
        <w:spacing w:before="34" w:line="357" w:lineRule="auto"/>
        <w:ind w:right="126"/>
        <w:jc w:val="both"/>
        <w:rPr>
          <w:rFonts w:ascii="仿宋" w:hAnsi="仿宋" w:eastAsia="仿宋" w:cs="仿宋"/>
          <w:color w:val="auto"/>
          <w:lang w:eastAsia="zh-CN"/>
        </w:rPr>
      </w:pPr>
    </w:p>
    <w:p w14:paraId="1FDE20A6">
      <w:pPr>
        <w:pStyle w:val="9"/>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14:paraId="2DCE20E3">
      <w:pPr>
        <w:pStyle w:val="9"/>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14:paraId="58E469E1">
      <w:pPr>
        <w:pStyle w:val="9"/>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投标单位名称：                       （公章）</w:t>
      </w:r>
    </w:p>
    <w:p w14:paraId="2561E72D">
      <w:pPr>
        <w:pStyle w:val="9"/>
        <w:numPr>
          <w:ilvl w:val="0"/>
          <w:numId w:val="0"/>
        </w:numPr>
        <w:kinsoku w:val="0"/>
        <w:overflowPunct w:val="0"/>
        <w:spacing w:before="34" w:line="357" w:lineRule="auto"/>
        <w:ind w:right="126"/>
        <w:jc w:val="both"/>
        <w:rPr>
          <w:rFonts w:ascii="仿宋" w:hAnsi="仿宋" w:eastAsia="仿宋" w:cs="仿宋"/>
          <w:color w:val="auto"/>
          <w:lang w:eastAsia="zh-CN"/>
        </w:rPr>
      </w:pPr>
      <w:r>
        <w:rPr>
          <w:rFonts w:hint="eastAsia" w:ascii="仿宋" w:hAnsi="仿宋" w:eastAsia="仿宋" w:cs="仿宋"/>
          <w:color w:val="auto"/>
          <w:sz w:val="24"/>
          <w:lang w:eastAsia="zh-CN"/>
        </w:rPr>
        <w:t xml:space="preserve">法定代表人（签字或盖章）：           </w:t>
      </w:r>
      <w:r>
        <w:rPr>
          <w:rFonts w:hint="eastAsia" w:ascii="仿宋" w:hAnsi="仿宋" w:eastAsia="仿宋" w:cs="仿宋"/>
          <w:color w:val="auto"/>
          <w:lang w:eastAsia="zh-CN"/>
        </w:rPr>
        <w:t xml:space="preserve">      </w:t>
      </w:r>
    </w:p>
    <w:p w14:paraId="6FF61713">
      <w:pPr>
        <w:pStyle w:val="9"/>
        <w:numPr>
          <w:ilvl w:val="0"/>
          <w:numId w:val="0"/>
        </w:numPr>
        <w:kinsoku w:val="0"/>
        <w:overflowPunct w:val="0"/>
        <w:spacing w:before="34" w:line="357" w:lineRule="auto"/>
        <w:ind w:right="126"/>
        <w:jc w:val="both"/>
        <w:rPr>
          <w:rFonts w:ascii="仿宋" w:hAnsi="仿宋" w:eastAsia="仿宋" w:cs="仿宋"/>
          <w:color w:val="auto"/>
          <w:lang w:eastAsia="zh-CN"/>
        </w:rPr>
      </w:pPr>
    </w:p>
    <w:p w14:paraId="7520C0A8">
      <w:pPr>
        <w:pStyle w:val="9"/>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 xml:space="preserve">    日  期：   年  月  日</w:t>
      </w:r>
    </w:p>
    <w:p w14:paraId="6D64EB6C">
      <w:pPr>
        <w:pStyle w:val="9"/>
        <w:numPr>
          <w:ilvl w:val="0"/>
          <w:numId w:val="0"/>
        </w:numPr>
        <w:kinsoku w:val="0"/>
        <w:overflowPunct w:val="0"/>
        <w:spacing w:before="34" w:line="357" w:lineRule="auto"/>
        <w:ind w:left="480" w:right="126"/>
        <w:jc w:val="center"/>
        <w:rPr>
          <w:rFonts w:ascii="仿宋" w:hAnsi="仿宋" w:eastAsia="仿宋" w:cs="仿宋"/>
          <w:b/>
          <w:bCs/>
          <w:color w:val="auto"/>
          <w:szCs w:val="21"/>
          <w:lang w:eastAsia="zh-CN"/>
        </w:rPr>
      </w:pPr>
      <w:r>
        <w:rPr>
          <w:rFonts w:hint="eastAsia" w:ascii="仿宋" w:hAnsi="仿宋" w:eastAsia="仿宋" w:cs="仿宋"/>
          <w:color w:val="auto"/>
          <w:lang w:eastAsia="zh-CN"/>
        </w:rPr>
        <w:br w:type="page"/>
      </w:r>
      <w:r>
        <w:rPr>
          <w:rFonts w:hint="eastAsia" w:ascii="仿宋" w:hAnsi="仿宋" w:eastAsia="仿宋" w:cs="仿宋"/>
          <w:b/>
          <w:bCs/>
          <w:color w:val="auto"/>
          <w:sz w:val="36"/>
          <w:szCs w:val="36"/>
          <w:lang w:eastAsia="zh-CN"/>
        </w:rPr>
        <w:t>3、授权委托书</w:t>
      </w:r>
    </w:p>
    <w:p w14:paraId="69306963">
      <w:pPr>
        <w:spacing w:line="420" w:lineRule="exact"/>
        <w:rPr>
          <w:rFonts w:ascii="仿宋" w:hAnsi="仿宋" w:eastAsia="仿宋" w:cs="仿宋"/>
          <w:color w:val="auto"/>
          <w:lang w:eastAsia="zh-CN"/>
        </w:rPr>
      </w:pPr>
      <w:r>
        <w:rPr>
          <w:rFonts w:hint="eastAsia" w:ascii="仿宋" w:hAnsi="仿宋" w:eastAsia="仿宋" w:cs="仿宋"/>
          <w:color w:val="auto"/>
          <w:lang w:eastAsia="zh-CN"/>
        </w:rPr>
        <w:t xml:space="preserve">致：采购人名称 </w:t>
      </w:r>
    </w:p>
    <w:p w14:paraId="6B18A430">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本授权书声明：注册于</w:t>
      </w:r>
      <w:r>
        <w:rPr>
          <w:rFonts w:hint="eastAsia" w:ascii="仿宋" w:hAnsi="仿宋" w:eastAsia="仿宋" w:cs="仿宋"/>
          <w:color w:val="auto"/>
          <w:u w:val="single"/>
          <w:lang w:eastAsia="zh-CN"/>
        </w:rPr>
        <w:t>（供应商地址）</w:t>
      </w:r>
      <w:r>
        <w:rPr>
          <w:rFonts w:hint="eastAsia" w:ascii="仿宋" w:hAnsi="仿宋" w:eastAsia="仿宋" w:cs="仿宋"/>
          <w:color w:val="auto"/>
          <w:lang w:eastAsia="zh-CN"/>
        </w:rPr>
        <w:t>的</w:t>
      </w:r>
      <w:r>
        <w:rPr>
          <w:rFonts w:hint="eastAsia" w:ascii="仿宋" w:hAnsi="仿宋" w:eastAsia="仿宋" w:cs="仿宋"/>
          <w:color w:val="auto"/>
          <w:u w:val="single"/>
          <w:lang w:eastAsia="zh-CN"/>
        </w:rPr>
        <w:t>（供应商名称）</w:t>
      </w:r>
      <w:r>
        <w:rPr>
          <w:rFonts w:hint="eastAsia" w:ascii="仿宋" w:hAnsi="仿宋" w:eastAsia="仿宋" w:cs="仿宋"/>
          <w:color w:val="auto"/>
          <w:lang w:eastAsia="zh-CN"/>
        </w:rPr>
        <w:t>法定代表人（负责人）</w:t>
      </w:r>
      <w:r>
        <w:rPr>
          <w:rFonts w:hint="eastAsia" w:ascii="仿宋" w:hAnsi="仿宋" w:eastAsia="仿宋" w:cs="仿宋"/>
          <w:color w:val="auto"/>
          <w:u w:val="single"/>
          <w:lang w:eastAsia="zh-CN"/>
        </w:rPr>
        <w:t>姓名、职务或职称）</w:t>
      </w:r>
      <w:r>
        <w:rPr>
          <w:rFonts w:hint="eastAsia" w:ascii="仿宋" w:hAnsi="仿宋" w:eastAsia="仿宋" w:cs="仿宋"/>
          <w:color w:val="auto"/>
          <w:lang w:eastAsia="zh-CN"/>
        </w:rPr>
        <w:t>代表本公司授权</w:t>
      </w:r>
      <w:r>
        <w:rPr>
          <w:rFonts w:hint="eastAsia" w:ascii="仿宋" w:hAnsi="仿宋" w:eastAsia="仿宋" w:cs="仿宋"/>
          <w:color w:val="auto"/>
          <w:u w:val="single"/>
          <w:lang w:eastAsia="zh-CN"/>
        </w:rPr>
        <w:t>（姓名）</w:t>
      </w:r>
      <w:r>
        <w:rPr>
          <w:rFonts w:hint="eastAsia" w:ascii="仿宋" w:hAnsi="仿宋" w:eastAsia="仿宋" w:cs="仿宋"/>
          <w:color w:val="auto"/>
          <w:lang w:eastAsia="zh-CN"/>
        </w:rPr>
        <w:t>为本单位的合法代理人，参与贵方组织的</w:t>
      </w:r>
      <w:r>
        <w:rPr>
          <w:rFonts w:hint="eastAsia" w:ascii="仿宋" w:hAnsi="仿宋" w:eastAsia="仿宋" w:cs="仿宋"/>
          <w:color w:val="auto"/>
          <w:u w:val="single"/>
          <w:lang w:eastAsia="zh-CN"/>
        </w:rPr>
        <w:t>（项目名称及项目编号）</w:t>
      </w:r>
      <w:r>
        <w:rPr>
          <w:rFonts w:hint="eastAsia" w:ascii="仿宋" w:hAnsi="仿宋" w:eastAsia="仿宋" w:cs="仿宋"/>
          <w:color w:val="auto"/>
          <w:lang w:eastAsia="zh-CN"/>
        </w:rPr>
        <w:t xml:space="preserve"> 的投标、谈判、签约等具体工作，并签署全部有关文件、协议及合同。</w:t>
      </w:r>
    </w:p>
    <w:p w14:paraId="17D52A25">
      <w:pPr>
        <w:adjustRightInd w:val="0"/>
        <w:snapToGrid w:val="0"/>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我单位对被授权人的上述经济活动负全部责任。在撤销授权的书面通知前，本授权书一直有效。被授权人在授权书有效期内签署的所有文件不因授权的撤消而失效。</w:t>
      </w:r>
    </w:p>
    <w:p w14:paraId="4B6B3B06">
      <w:pPr>
        <w:pStyle w:val="9"/>
        <w:tabs>
          <w:tab w:val="left" w:pos="780"/>
        </w:tabs>
        <w:kinsoku w:val="0"/>
        <w:overflowPunct w:val="0"/>
        <w:adjustRightInd w:val="0"/>
        <w:snapToGrid w:val="0"/>
        <w:spacing w:before="12"/>
        <w:rPr>
          <w:rFonts w:ascii="仿宋" w:hAnsi="仿宋" w:eastAsia="仿宋" w:cs="仿宋"/>
          <w:color w:val="auto"/>
          <w:sz w:val="4"/>
          <w:szCs w:val="4"/>
          <w:lang w:eastAsia="zh-CN"/>
        </w:rPr>
      </w:pPr>
    </w:p>
    <w:p w14:paraId="30DCA9FA">
      <w:pPr>
        <w:pStyle w:val="9"/>
        <w:numPr>
          <w:ilvl w:val="0"/>
          <w:numId w:val="0"/>
        </w:numPr>
        <w:kinsoku w:val="0"/>
        <w:overflowPunct w:val="0"/>
        <w:adjustRightInd w:val="0"/>
        <w:snapToGrid w:val="0"/>
        <w:spacing w:line="200" w:lineRule="atLeast"/>
        <w:ind w:right="1931" w:rightChars="795"/>
        <w:jc w:val="both"/>
        <w:rPr>
          <w:rFonts w:ascii="仿宋" w:hAnsi="仿宋" w:eastAsia="仿宋" w:cs="仿宋"/>
          <w:color w:val="auto"/>
          <w:sz w:val="18"/>
          <w:szCs w:val="20"/>
        </w:rPr>
      </w:pPr>
      <w:r>
        <w:rPr>
          <w:color w:val="auto"/>
          <w:sz w:val="18"/>
        </w:rPr>
        <mc:AlternateContent>
          <mc:Choice Requires="wps">
            <w:drawing>
              <wp:anchor distT="0" distB="0" distL="114300" distR="114300" simplePos="0" relativeHeight="251665408"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5"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D22394E">
                            <w:pPr>
                              <w:jc w:val="center"/>
                              <w:rPr>
                                <w:rFonts w:hint="eastAsia" w:ascii="仿宋" w:hAnsi="仿宋" w:eastAsia="仿宋" w:cs="仿宋"/>
                                <w:sz w:val="24"/>
                                <w:szCs w:val="24"/>
                              </w:rPr>
                            </w:pPr>
                          </w:p>
                          <w:p w14:paraId="3F42DC97">
                            <w:pPr>
                              <w:jc w:val="center"/>
                              <w:rPr>
                                <w:rFonts w:hint="eastAsia" w:ascii="仿宋" w:hAnsi="仿宋" w:eastAsia="仿宋" w:cs="仿宋"/>
                                <w:sz w:val="24"/>
                                <w:szCs w:val="24"/>
                              </w:rPr>
                            </w:pPr>
                          </w:p>
                          <w:p w14:paraId="3B6F00F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7B47DFF"/>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NlMjYJAIAAFgEAAAOAAAAAAAAAAEAIAAAACYBAABkcnMvZTJvRG9jLnhtbFBLBQYAAAAABgAG&#10;AFkBAAC8BQAAAAA=&#10;">
                <v:fill on="t" focussize="0,0"/>
                <v:stroke color="#000000" joinstyle="round"/>
                <v:imagedata o:title=""/>
                <o:lock v:ext="edit" aspectratio="f"/>
                <v:textbox>
                  <w:txbxContent>
                    <w:p w14:paraId="7D22394E">
                      <w:pPr>
                        <w:jc w:val="center"/>
                        <w:rPr>
                          <w:rFonts w:hint="eastAsia" w:ascii="仿宋" w:hAnsi="仿宋" w:eastAsia="仿宋" w:cs="仿宋"/>
                          <w:sz w:val="24"/>
                          <w:szCs w:val="24"/>
                        </w:rPr>
                      </w:pPr>
                    </w:p>
                    <w:p w14:paraId="3F42DC97">
                      <w:pPr>
                        <w:jc w:val="center"/>
                        <w:rPr>
                          <w:rFonts w:hint="eastAsia" w:ascii="仿宋" w:hAnsi="仿宋" w:eastAsia="仿宋" w:cs="仿宋"/>
                          <w:sz w:val="24"/>
                          <w:szCs w:val="24"/>
                        </w:rPr>
                      </w:pPr>
                    </w:p>
                    <w:p w14:paraId="3B6F00F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7B47DFF"/>
                  </w:txbxContent>
                </v:textbox>
                <w10:wrap type="square"/>
              </v:roundrect>
            </w:pict>
          </mc:Fallback>
        </mc:AlternateContent>
      </w:r>
      <w:r>
        <w:rPr>
          <w:rFonts w:hint="default"/>
          <w:color w:val="auto"/>
          <w:sz w:val="18"/>
          <w:lang w:val="en-US"/>
        </w:rPr>
        <mc:AlternateContent>
          <mc:Choice Requires="wps">
            <w:drawing>
              <wp:anchor distT="0" distB="0" distL="114300" distR="114300" simplePos="0" relativeHeight="251662336"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20605" y="-2"/>
                    <wp:lineTo x="986" y="0"/>
                    <wp:lineTo x="0" y="1611"/>
                    <wp:lineTo x="0" y="3600"/>
                    <wp:lineTo x="0" y="18000"/>
                    <wp:lineTo x="0" y="19988"/>
                    <wp:lineTo x="986" y="21600"/>
                    <wp:lineTo x="20605" y="21602"/>
                    <wp:lineTo x="994" y="21602"/>
                    <wp:lineTo x="20613" y="21600"/>
                    <wp:lineTo x="21599" y="19988"/>
                    <wp:lineTo x="21599" y="18000"/>
                    <wp:lineTo x="21599" y="3600"/>
                    <wp:lineTo x="21599" y="1611"/>
                    <wp:lineTo x="20613" y="0"/>
                    <wp:lineTo x="994" y="-2"/>
                    <wp:lineTo x="20605" y="-2"/>
                  </wp:wrapPolygon>
                </wp:wrapTight>
                <wp:docPr id="3"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F1A3271">
                            <w:pPr>
                              <w:jc w:val="center"/>
                              <w:rPr>
                                <w:rFonts w:hint="eastAsia" w:ascii="仿宋" w:hAnsi="仿宋" w:eastAsia="仿宋" w:cs="仿宋"/>
                                <w:sz w:val="24"/>
                                <w:szCs w:val="24"/>
                              </w:rPr>
                            </w:pPr>
                          </w:p>
                          <w:p w14:paraId="03E0F50B">
                            <w:pPr>
                              <w:jc w:val="center"/>
                              <w:rPr>
                                <w:rFonts w:hint="eastAsia" w:ascii="仿宋" w:hAnsi="仿宋" w:eastAsia="仿宋" w:cs="仿宋"/>
                                <w:sz w:val="24"/>
                                <w:szCs w:val="24"/>
                              </w:rPr>
                            </w:pPr>
                          </w:p>
                          <w:p w14:paraId="57DB81E4">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526A6D25">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4144;mso-width-relative:page;mso-height-relative:page;" fillcolor="#FFFFFF" filled="t" stroked="t" coordsize="21600,21600" wrapcoords="20605 -2 986 0 0 1611 0 3600 0 18000 0 19988 986 21600 20605 21602 994 21602 20613 21600 21599 19988 21599 18000 21599 3600 21599 1611 20613 0 994 -2 20605 -2"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10;97bkIwIAAFgEAAAOAAAAAAAAAAEAIAAAACQBAABkcnMvZTJvRG9jLnhtbFBLBQYAAAAABgAGAFkB&#10;AAC5BQAAAAA=&#10;">
                <v:fill on="t" focussize="0,0"/>
                <v:stroke color="#000000" joinstyle="round"/>
                <v:imagedata o:title=""/>
                <o:lock v:ext="edit" aspectratio="f"/>
                <v:textbox>
                  <w:txbxContent>
                    <w:p w14:paraId="7F1A3271">
                      <w:pPr>
                        <w:jc w:val="center"/>
                        <w:rPr>
                          <w:rFonts w:hint="eastAsia" w:ascii="仿宋" w:hAnsi="仿宋" w:eastAsia="仿宋" w:cs="仿宋"/>
                          <w:sz w:val="24"/>
                          <w:szCs w:val="24"/>
                        </w:rPr>
                      </w:pPr>
                    </w:p>
                    <w:p w14:paraId="03E0F50B">
                      <w:pPr>
                        <w:jc w:val="center"/>
                        <w:rPr>
                          <w:rFonts w:hint="eastAsia" w:ascii="仿宋" w:hAnsi="仿宋" w:eastAsia="仿宋" w:cs="仿宋"/>
                          <w:sz w:val="24"/>
                          <w:szCs w:val="24"/>
                        </w:rPr>
                      </w:pPr>
                    </w:p>
                    <w:p w14:paraId="57DB81E4">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526A6D25">
                      <w:pPr>
                        <w:rPr>
                          <w:rFonts w:hint="eastAsia"/>
                          <w:lang w:val="en-US" w:eastAsia="zh-CN"/>
                        </w:rPr>
                      </w:pPr>
                    </w:p>
                  </w:txbxContent>
                </v:textbox>
                <w10:wrap type="tight"/>
              </v:roundrect>
            </w:pict>
          </mc:Fallback>
        </mc:AlternateContent>
      </w:r>
      <w:r>
        <w:rPr>
          <w:color w:val="auto"/>
          <w:sz w:val="18"/>
        </w:rPr>
        <mc:AlternateContent>
          <mc:Choice Requires="wps">
            <w:drawing>
              <wp:anchor distT="0" distB="0" distL="114300" distR="114300" simplePos="0" relativeHeight="251666432"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9050"/>
                <wp:wrapSquare wrapText="bothSides"/>
                <wp:docPr id="7"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E7C0376">
                            <w:pPr>
                              <w:jc w:val="center"/>
                              <w:rPr>
                                <w:rFonts w:hint="eastAsia" w:ascii="仿宋" w:hAnsi="仿宋" w:eastAsia="仿宋" w:cs="仿宋"/>
                                <w:sz w:val="24"/>
                                <w:szCs w:val="24"/>
                              </w:rPr>
                            </w:pPr>
                          </w:p>
                          <w:p w14:paraId="6AAF405F">
                            <w:pPr>
                              <w:jc w:val="center"/>
                              <w:rPr>
                                <w:rFonts w:hint="eastAsia" w:ascii="仿宋" w:hAnsi="仿宋" w:eastAsia="仿宋" w:cs="仿宋"/>
                                <w:sz w:val="24"/>
                                <w:szCs w:val="24"/>
                              </w:rPr>
                            </w:pPr>
                          </w:p>
                          <w:p w14:paraId="74D93234">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法定代表人身份证复印件反面</w:t>
                            </w:r>
                          </w:p>
                          <w:p w14:paraId="6965257E"/>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6432;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hloa5SMCAABYBAAADgAAAAAAAAABACAAAAAlAQAAZHJzL2Uyb0RvYy54bWxQSwUGAAAAAAYABgBZ&#10;AQAAugUAAAAA&#10;">
                <v:fill on="t" focussize="0,0"/>
                <v:stroke color="#000000" joinstyle="round"/>
                <v:imagedata o:title=""/>
                <o:lock v:ext="edit" aspectratio="f"/>
                <v:textbox>
                  <w:txbxContent>
                    <w:p w14:paraId="6E7C0376">
                      <w:pPr>
                        <w:jc w:val="center"/>
                        <w:rPr>
                          <w:rFonts w:hint="eastAsia" w:ascii="仿宋" w:hAnsi="仿宋" w:eastAsia="仿宋" w:cs="仿宋"/>
                          <w:sz w:val="24"/>
                          <w:szCs w:val="24"/>
                        </w:rPr>
                      </w:pPr>
                    </w:p>
                    <w:p w14:paraId="6AAF405F">
                      <w:pPr>
                        <w:jc w:val="center"/>
                        <w:rPr>
                          <w:rFonts w:hint="eastAsia" w:ascii="仿宋" w:hAnsi="仿宋" w:eastAsia="仿宋" w:cs="仿宋"/>
                          <w:sz w:val="24"/>
                          <w:szCs w:val="24"/>
                        </w:rPr>
                      </w:pPr>
                    </w:p>
                    <w:p w14:paraId="74D93234">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法定代表人身份证复印件反面</w:t>
                      </w:r>
                    </w:p>
                    <w:p w14:paraId="6965257E"/>
                  </w:txbxContent>
                </v:textbox>
                <w10:wrap type="square"/>
              </v:roundrect>
            </w:pict>
          </mc:Fallback>
        </mc:AlternateContent>
      </w:r>
      <w:r>
        <w:rPr>
          <w:color w:val="auto"/>
          <w:sz w:val="18"/>
        </w:rPr>
        <mc:AlternateContent>
          <mc:Choice Requires="wps">
            <w:drawing>
              <wp:anchor distT="0" distB="0" distL="114300" distR="114300" simplePos="0" relativeHeight="251664384" behindDoc="0" locked="0" layoutInCell="1" allowOverlap="1">
                <wp:simplePos x="0" y="0"/>
                <wp:positionH relativeFrom="column">
                  <wp:posOffset>2902585</wp:posOffset>
                </wp:positionH>
                <wp:positionV relativeFrom="paragraph">
                  <wp:posOffset>41275</wp:posOffset>
                </wp:positionV>
                <wp:extent cx="2327275" cy="1367155"/>
                <wp:effectExtent l="4445" t="4445" r="11430" b="19050"/>
                <wp:wrapSquare wrapText="bothSides"/>
                <wp:docPr id="4"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7E449D3">
                            <w:pPr>
                              <w:jc w:val="center"/>
                              <w:rPr>
                                <w:rFonts w:hint="eastAsia" w:ascii="仿宋" w:hAnsi="仿宋" w:eastAsia="仿宋" w:cs="仿宋"/>
                                <w:sz w:val="24"/>
                                <w:szCs w:val="24"/>
                              </w:rPr>
                            </w:pPr>
                          </w:p>
                          <w:p w14:paraId="4E118520">
                            <w:pPr>
                              <w:jc w:val="center"/>
                              <w:rPr>
                                <w:rFonts w:hint="eastAsia" w:ascii="仿宋" w:hAnsi="仿宋" w:eastAsia="仿宋" w:cs="仿宋"/>
                                <w:sz w:val="24"/>
                                <w:szCs w:val="24"/>
                              </w:rPr>
                            </w:pPr>
                          </w:p>
                          <w:p w14:paraId="3ECD76CF">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10DD34C5"/>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vrYLV&#10;AAAACQEAAA8AAAAAAAAAAQAgAAAAIgAAAGRycy9kb3ducmV2LnhtbFBLAQIUABQAAAAIAIdO4kBX&#10;EgR5IwIAAFgEAAAOAAAAAAAAAAEAIAAAACQBAABkcnMvZTJvRG9jLnhtbFBLBQYAAAAABgAGAFkB&#10;AAC5BQAAAAA=&#10;">
                <v:fill on="t" focussize="0,0"/>
                <v:stroke color="#000000" joinstyle="round"/>
                <v:imagedata o:title=""/>
                <o:lock v:ext="edit" aspectratio="f"/>
                <v:textbox>
                  <w:txbxContent>
                    <w:p w14:paraId="67E449D3">
                      <w:pPr>
                        <w:jc w:val="center"/>
                        <w:rPr>
                          <w:rFonts w:hint="eastAsia" w:ascii="仿宋" w:hAnsi="仿宋" w:eastAsia="仿宋" w:cs="仿宋"/>
                          <w:sz w:val="24"/>
                          <w:szCs w:val="24"/>
                        </w:rPr>
                      </w:pPr>
                    </w:p>
                    <w:p w14:paraId="4E118520">
                      <w:pPr>
                        <w:jc w:val="center"/>
                        <w:rPr>
                          <w:rFonts w:hint="eastAsia" w:ascii="仿宋" w:hAnsi="仿宋" w:eastAsia="仿宋" w:cs="仿宋"/>
                          <w:sz w:val="24"/>
                          <w:szCs w:val="24"/>
                        </w:rPr>
                      </w:pPr>
                    </w:p>
                    <w:p w14:paraId="3ECD76CF">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10DD34C5"/>
                  </w:txbxContent>
                </v:textbox>
                <w10:wrap type="square"/>
              </v:roundrect>
            </w:pict>
          </mc:Fallback>
        </mc:AlternateContent>
      </w:r>
    </w:p>
    <w:p w14:paraId="4F6DBB84">
      <w:pPr>
        <w:pStyle w:val="9"/>
        <w:numPr>
          <w:ilvl w:val="0"/>
          <w:numId w:val="0"/>
        </w:numPr>
        <w:kinsoku w:val="0"/>
        <w:overflowPunct w:val="0"/>
        <w:adjustRightInd w:val="0"/>
        <w:snapToGrid w:val="0"/>
        <w:spacing w:line="200" w:lineRule="atLeast"/>
        <w:rPr>
          <w:rFonts w:ascii="仿宋" w:hAnsi="仿宋" w:eastAsia="仿宋" w:cs="仿宋"/>
          <w:color w:val="auto"/>
          <w:sz w:val="18"/>
          <w:szCs w:val="20"/>
        </w:rPr>
      </w:pPr>
    </w:p>
    <w:p w14:paraId="472AF3B7">
      <w:pPr>
        <w:rPr>
          <w:rFonts w:ascii="仿宋" w:hAnsi="仿宋" w:eastAsia="仿宋" w:cs="仿宋"/>
          <w:color w:val="auto"/>
          <w:sz w:val="18"/>
          <w:szCs w:val="20"/>
        </w:rPr>
      </w:pPr>
    </w:p>
    <w:p w14:paraId="1259F7B7">
      <w:pPr>
        <w:pStyle w:val="34"/>
        <w:rPr>
          <w:rFonts w:ascii="仿宋" w:hAnsi="仿宋" w:eastAsia="仿宋" w:cs="仿宋"/>
          <w:color w:val="auto"/>
          <w:sz w:val="18"/>
          <w:szCs w:val="20"/>
        </w:rPr>
      </w:pPr>
    </w:p>
    <w:p w14:paraId="3549FD10">
      <w:pPr>
        <w:pStyle w:val="34"/>
        <w:rPr>
          <w:rFonts w:ascii="仿宋" w:hAnsi="仿宋" w:eastAsia="仿宋" w:cs="仿宋"/>
          <w:color w:val="auto"/>
          <w:sz w:val="18"/>
          <w:szCs w:val="20"/>
        </w:rPr>
      </w:pPr>
    </w:p>
    <w:p w14:paraId="5ECD9A4E">
      <w:pPr>
        <w:pStyle w:val="34"/>
        <w:rPr>
          <w:rFonts w:ascii="仿宋" w:hAnsi="仿宋" w:eastAsia="仿宋" w:cs="仿宋"/>
          <w:color w:val="auto"/>
          <w:sz w:val="18"/>
          <w:szCs w:val="20"/>
        </w:rPr>
      </w:pPr>
    </w:p>
    <w:p w14:paraId="4A5363BE">
      <w:pPr>
        <w:pStyle w:val="34"/>
        <w:rPr>
          <w:rFonts w:ascii="仿宋" w:hAnsi="仿宋" w:eastAsia="仿宋" w:cs="仿宋"/>
          <w:color w:val="auto"/>
          <w:sz w:val="18"/>
          <w:szCs w:val="20"/>
        </w:rPr>
      </w:pPr>
    </w:p>
    <w:p w14:paraId="5DD4205E">
      <w:pPr>
        <w:pStyle w:val="9"/>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lang w:eastAsia="zh-CN"/>
        </w:rPr>
      </w:pPr>
    </w:p>
    <w:p w14:paraId="37DA0874">
      <w:pPr>
        <w:pStyle w:val="9"/>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被授权代表（签章）：          供应商法定代表人（签章）：</w:t>
      </w:r>
    </w:p>
    <w:p w14:paraId="1DACFD89">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14:paraId="286B0501">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14:paraId="66FAF059">
      <w:pPr>
        <w:pStyle w:val="9"/>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14:paraId="703196F1">
      <w:pPr>
        <w:pStyle w:val="9"/>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lang w:eastAsia="zh-CN"/>
        </w:rPr>
      </w:pPr>
      <w:r>
        <w:rPr>
          <w:rFonts w:hint="eastAsia" w:ascii="仿宋" w:hAnsi="仿宋" w:eastAsia="仿宋" w:cs="仿宋"/>
          <w:color w:val="auto"/>
          <w:sz w:val="24"/>
          <w:lang w:eastAsia="zh-CN"/>
        </w:rPr>
        <w:t xml:space="preserve"> 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14:paraId="49776BB7">
      <w:pPr>
        <w:pStyle w:val="34"/>
        <w:rPr>
          <w:rFonts w:ascii="仿宋" w:hAnsi="仿宋" w:eastAsia="仿宋" w:cs="仿宋"/>
          <w:b/>
          <w:bCs/>
          <w:color w:val="auto"/>
          <w:sz w:val="36"/>
          <w:szCs w:val="36"/>
          <w:lang w:eastAsia="zh-CN"/>
        </w:rPr>
      </w:pPr>
      <w:r>
        <w:rPr>
          <w:rFonts w:hint="eastAsia" w:ascii="仿宋" w:hAnsi="仿宋" w:eastAsia="仿宋" w:cs="仿宋"/>
          <w:color w:val="auto"/>
          <w:lang w:eastAsia="zh-CN"/>
        </w:rPr>
        <w:br w:type="page"/>
      </w:r>
    </w:p>
    <w:p w14:paraId="0576756D">
      <w:pPr>
        <w:pStyle w:val="4"/>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4、参加政府采购活动前3年内</w:t>
      </w:r>
      <w:bookmarkStart w:id="58" w:name="_Toc515647812"/>
      <w:bookmarkStart w:id="59" w:name="_Toc1137"/>
      <w:bookmarkStart w:id="60" w:name="_Toc6008"/>
      <w:r>
        <w:rPr>
          <w:rFonts w:hint="eastAsia" w:ascii="仿宋" w:hAnsi="仿宋" w:eastAsia="仿宋" w:cs="仿宋"/>
          <w:color w:val="auto"/>
          <w:sz w:val="24"/>
          <w:lang w:eastAsia="zh-CN"/>
        </w:rPr>
        <w:t>在经营活动中没有重大违法记录的书面声明</w:t>
      </w:r>
      <w:bookmarkEnd w:id="58"/>
      <w:bookmarkEnd w:id="59"/>
      <w:bookmarkEnd w:id="60"/>
    </w:p>
    <w:p w14:paraId="0F53CB50">
      <w:pPr>
        <w:pStyle w:val="12"/>
        <w:tabs>
          <w:tab w:val="left" w:pos="5580"/>
        </w:tabs>
        <w:spacing w:line="240" w:lineRule="atLeast"/>
        <w:ind w:left="1164" w:leftChars="257" w:hanging="540"/>
        <w:jc w:val="center"/>
        <w:rPr>
          <w:rFonts w:ascii="仿宋" w:hAnsi="仿宋" w:eastAsia="仿宋" w:cs="仿宋"/>
          <w:b/>
          <w:color w:val="auto"/>
          <w:lang w:eastAsia="zh-CN"/>
        </w:rPr>
      </w:pPr>
    </w:p>
    <w:p w14:paraId="24C8C45A">
      <w:pPr>
        <w:pStyle w:val="12"/>
        <w:tabs>
          <w:tab w:val="left" w:pos="5580"/>
        </w:tabs>
        <w:spacing w:line="240" w:lineRule="atLeast"/>
        <w:ind w:left="1164" w:leftChars="257" w:hanging="540"/>
        <w:rPr>
          <w:rFonts w:ascii="仿宋" w:hAnsi="仿宋" w:eastAsia="仿宋" w:cs="仿宋"/>
          <w:color w:val="auto"/>
          <w:lang w:eastAsia="zh-CN"/>
        </w:rPr>
      </w:pPr>
    </w:p>
    <w:p w14:paraId="65550C22">
      <w:pPr>
        <w:pStyle w:val="12"/>
        <w:tabs>
          <w:tab w:val="left" w:pos="5580"/>
        </w:tabs>
        <w:spacing w:line="240" w:lineRule="atLeast"/>
        <w:ind w:left="1164" w:leftChars="257" w:hanging="540"/>
        <w:rPr>
          <w:rFonts w:ascii="仿宋" w:hAnsi="仿宋" w:eastAsia="仿宋" w:cs="仿宋"/>
          <w:color w:val="auto"/>
          <w:lang w:eastAsia="zh-CN"/>
        </w:rPr>
      </w:pPr>
    </w:p>
    <w:p w14:paraId="0B2B5E0B">
      <w:pPr>
        <w:pStyle w:val="12"/>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说明：1.供应商应按照相关法规规定如实作出说明。</w:t>
      </w:r>
    </w:p>
    <w:p w14:paraId="7D0B0F30">
      <w:pPr>
        <w:pStyle w:val="12"/>
        <w:tabs>
          <w:tab w:val="left" w:pos="5580"/>
        </w:tabs>
        <w:spacing w:line="360" w:lineRule="auto"/>
        <w:ind w:left="746" w:leftChars="307" w:firstLine="607" w:firstLineChars="250"/>
        <w:rPr>
          <w:rFonts w:ascii="仿宋" w:hAnsi="仿宋" w:eastAsia="仿宋" w:cs="仿宋"/>
          <w:color w:val="auto"/>
          <w:lang w:eastAsia="zh-CN"/>
        </w:rPr>
      </w:pPr>
      <w:r>
        <w:rPr>
          <w:rFonts w:hint="eastAsia" w:ascii="仿宋" w:hAnsi="仿宋" w:eastAsia="仿宋" w:cs="仿宋"/>
          <w:color w:val="auto"/>
          <w:lang w:eastAsia="zh-CN"/>
        </w:rPr>
        <w:t>2．按照磋商文件的规定加盖单位章（自然人投标的无需盖章，需要签字）。</w:t>
      </w:r>
    </w:p>
    <w:p w14:paraId="080DE818">
      <w:pPr>
        <w:pStyle w:val="12"/>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w:t>
      </w:r>
    </w:p>
    <w:p w14:paraId="7F4C9B38">
      <w:pPr>
        <w:pStyle w:val="5"/>
        <w:rPr>
          <w:rFonts w:ascii="仿宋" w:hAnsi="仿宋" w:eastAsia="仿宋" w:cs="仿宋"/>
          <w:color w:val="auto"/>
          <w:sz w:val="36"/>
          <w:szCs w:val="36"/>
          <w:lang w:eastAsia="zh-CN"/>
        </w:rPr>
      </w:pPr>
    </w:p>
    <w:p w14:paraId="12F94621">
      <w:pPr>
        <w:rPr>
          <w:rFonts w:ascii="仿宋" w:hAnsi="仿宋" w:eastAsia="仿宋" w:cs="仿宋"/>
          <w:b/>
          <w:bCs/>
          <w:color w:val="auto"/>
          <w:sz w:val="36"/>
          <w:szCs w:val="36"/>
          <w:lang w:eastAsia="zh-CN"/>
        </w:rPr>
      </w:pPr>
    </w:p>
    <w:p w14:paraId="417D9D54">
      <w:pPr>
        <w:pStyle w:val="5"/>
        <w:rPr>
          <w:rFonts w:ascii="仿宋" w:hAnsi="仿宋" w:eastAsia="仿宋" w:cs="仿宋"/>
          <w:color w:val="auto"/>
          <w:sz w:val="36"/>
          <w:szCs w:val="36"/>
          <w:lang w:eastAsia="zh-CN"/>
        </w:rPr>
      </w:pPr>
    </w:p>
    <w:p w14:paraId="3559E5F3">
      <w:pPr>
        <w:rPr>
          <w:rFonts w:ascii="仿宋" w:hAnsi="仿宋" w:eastAsia="仿宋" w:cs="仿宋"/>
          <w:b/>
          <w:bCs/>
          <w:color w:val="auto"/>
          <w:sz w:val="36"/>
          <w:szCs w:val="36"/>
          <w:lang w:eastAsia="zh-CN"/>
        </w:rPr>
      </w:pPr>
    </w:p>
    <w:p w14:paraId="51E2A591">
      <w:pPr>
        <w:pStyle w:val="5"/>
        <w:rPr>
          <w:rFonts w:ascii="仿宋" w:hAnsi="仿宋" w:eastAsia="仿宋" w:cs="仿宋"/>
          <w:color w:val="auto"/>
          <w:sz w:val="36"/>
          <w:szCs w:val="36"/>
          <w:lang w:eastAsia="zh-CN"/>
        </w:rPr>
      </w:pPr>
    </w:p>
    <w:p w14:paraId="57694698">
      <w:pPr>
        <w:rPr>
          <w:rFonts w:ascii="仿宋" w:hAnsi="仿宋" w:eastAsia="仿宋" w:cs="仿宋"/>
          <w:b/>
          <w:bCs/>
          <w:color w:val="auto"/>
          <w:sz w:val="36"/>
          <w:szCs w:val="36"/>
          <w:lang w:eastAsia="zh-CN"/>
        </w:rPr>
      </w:pPr>
    </w:p>
    <w:p w14:paraId="6A399E25">
      <w:pPr>
        <w:pStyle w:val="5"/>
        <w:rPr>
          <w:rFonts w:ascii="仿宋" w:hAnsi="仿宋" w:eastAsia="仿宋" w:cs="仿宋"/>
          <w:color w:val="auto"/>
          <w:sz w:val="36"/>
          <w:szCs w:val="36"/>
          <w:lang w:eastAsia="zh-CN"/>
        </w:rPr>
      </w:pPr>
    </w:p>
    <w:p w14:paraId="78ACDC37">
      <w:pPr>
        <w:rPr>
          <w:rFonts w:ascii="仿宋" w:hAnsi="仿宋" w:eastAsia="仿宋" w:cs="仿宋"/>
          <w:b/>
          <w:bCs/>
          <w:color w:val="auto"/>
          <w:sz w:val="36"/>
          <w:szCs w:val="36"/>
          <w:lang w:eastAsia="zh-CN"/>
        </w:rPr>
      </w:pPr>
    </w:p>
    <w:p w14:paraId="614BE2F5">
      <w:pPr>
        <w:pStyle w:val="5"/>
        <w:rPr>
          <w:rFonts w:ascii="仿宋" w:hAnsi="仿宋" w:eastAsia="仿宋" w:cs="仿宋"/>
          <w:color w:val="auto"/>
          <w:sz w:val="36"/>
          <w:szCs w:val="36"/>
          <w:lang w:eastAsia="zh-CN"/>
        </w:rPr>
      </w:pPr>
    </w:p>
    <w:p w14:paraId="5B76E040">
      <w:pPr>
        <w:rPr>
          <w:rFonts w:ascii="仿宋" w:hAnsi="仿宋" w:eastAsia="仿宋" w:cs="仿宋"/>
          <w:b/>
          <w:bCs/>
          <w:color w:val="auto"/>
          <w:sz w:val="36"/>
          <w:szCs w:val="36"/>
          <w:lang w:eastAsia="zh-CN"/>
        </w:rPr>
      </w:pPr>
    </w:p>
    <w:p w14:paraId="1645751C">
      <w:pPr>
        <w:pStyle w:val="5"/>
        <w:rPr>
          <w:rFonts w:ascii="仿宋" w:hAnsi="仿宋" w:eastAsia="仿宋" w:cs="仿宋"/>
          <w:color w:val="auto"/>
          <w:sz w:val="36"/>
          <w:szCs w:val="36"/>
          <w:lang w:eastAsia="zh-CN"/>
        </w:rPr>
      </w:pPr>
    </w:p>
    <w:p w14:paraId="100A612D">
      <w:pPr>
        <w:rPr>
          <w:rFonts w:ascii="仿宋" w:hAnsi="仿宋" w:eastAsia="仿宋" w:cs="仿宋"/>
          <w:b/>
          <w:bCs/>
          <w:color w:val="auto"/>
          <w:sz w:val="36"/>
          <w:szCs w:val="36"/>
          <w:lang w:eastAsia="zh-CN"/>
        </w:rPr>
      </w:pPr>
    </w:p>
    <w:p w14:paraId="645D6697">
      <w:pPr>
        <w:pStyle w:val="4"/>
        <w:spacing w:line="240" w:lineRule="atLeast"/>
        <w:rPr>
          <w:rFonts w:ascii="仿宋" w:hAnsi="仿宋" w:eastAsia="仿宋" w:cs="仿宋"/>
          <w:bCs/>
          <w:color w:val="auto"/>
          <w:sz w:val="36"/>
          <w:szCs w:val="36"/>
          <w:lang w:eastAsia="zh-CN"/>
        </w:rPr>
      </w:pPr>
    </w:p>
    <w:p w14:paraId="0DD7498F">
      <w:pPr>
        <w:pStyle w:val="4"/>
        <w:spacing w:line="240" w:lineRule="atLeast"/>
        <w:rPr>
          <w:rFonts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5、投标保证金缴纳凭证或投标担保函</w:t>
      </w:r>
    </w:p>
    <w:p w14:paraId="64FDF470">
      <w:pPr>
        <w:ind w:firstLine="486" w:firstLineChars="200"/>
        <w:rPr>
          <w:rFonts w:ascii="仿宋" w:hAnsi="仿宋" w:eastAsia="仿宋" w:cs="仿宋"/>
          <w:color w:val="auto"/>
          <w:lang w:eastAsia="zh-CN"/>
        </w:rPr>
      </w:pPr>
      <w:bookmarkStart w:id="61" w:name="_Toc494296991"/>
      <w:bookmarkStart w:id="62" w:name="_Toc494296665"/>
    </w:p>
    <w:bookmarkEnd w:id="61"/>
    <w:bookmarkEnd w:id="62"/>
    <w:p w14:paraId="0732FDF1">
      <w:pPr>
        <w:pStyle w:val="6"/>
        <w:rPr>
          <w:rFonts w:ascii="仿宋" w:hAnsi="仿宋" w:eastAsia="仿宋" w:cs="仿宋"/>
          <w:color w:val="auto"/>
          <w:lang w:eastAsia="zh-CN"/>
        </w:rPr>
      </w:pPr>
    </w:p>
    <w:p w14:paraId="1DD8AABE">
      <w:pPr>
        <w:pStyle w:val="6"/>
        <w:rPr>
          <w:rFonts w:ascii="仿宋" w:hAnsi="仿宋" w:eastAsia="仿宋" w:cs="仿宋"/>
          <w:color w:val="auto"/>
        </w:rPr>
      </w:pPr>
    </w:p>
    <w:p w14:paraId="6554A7AD">
      <w:pPr>
        <w:spacing w:line="240" w:lineRule="atLeast"/>
        <w:ind w:left="1164" w:leftChars="257" w:hanging="540"/>
        <w:jc w:val="center"/>
        <w:rPr>
          <w:rFonts w:ascii="仿宋" w:hAnsi="仿宋" w:eastAsia="仿宋" w:cs="仿宋"/>
          <w:color w:val="auto"/>
        </w:rPr>
      </w:pPr>
    </w:p>
    <w:p w14:paraId="14C4653E">
      <w:pPr>
        <w:rPr>
          <w:rFonts w:ascii="仿宋" w:hAnsi="仿宋" w:eastAsia="仿宋" w:cs="仿宋"/>
          <w:color w:val="auto"/>
          <w:sz w:val="28"/>
          <w:szCs w:val="28"/>
        </w:rPr>
      </w:pPr>
    </w:p>
    <w:tbl>
      <w:tblPr>
        <w:tblStyle w:val="25"/>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986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57E15A87">
            <w:pPr>
              <w:rPr>
                <w:rFonts w:ascii="仿宋" w:hAnsi="仿宋" w:eastAsia="仿宋" w:cs="仿宋"/>
                <w:b/>
                <w:bCs/>
                <w:color w:val="auto"/>
                <w:sz w:val="30"/>
                <w:szCs w:val="30"/>
                <w:highlight w:val="none"/>
              </w:rPr>
            </w:pPr>
          </w:p>
          <w:p w14:paraId="5ADB3B1B">
            <w:pPr>
              <w:jc w:val="center"/>
              <w:rPr>
                <w:rFonts w:ascii="仿宋" w:hAnsi="仿宋" w:eastAsia="仿宋" w:cs="仿宋"/>
                <w:b/>
                <w:bCs/>
                <w:color w:val="auto"/>
                <w:sz w:val="30"/>
                <w:szCs w:val="30"/>
                <w:highlight w:val="none"/>
              </w:rPr>
            </w:pPr>
          </w:p>
          <w:p w14:paraId="5FCA5254">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5ED5416B">
      <w:pPr>
        <w:pStyle w:val="6"/>
        <w:rPr>
          <w:rFonts w:ascii="仿宋" w:hAnsi="仿宋" w:eastAsia="仿宋" w:cs="仿宋"/>
          <w:color w:val="auto"/>
        </w:rPr>
      </w:pPr>
    </w:p>
    <w:p w14:paraId="57B82093">
      <w:pPr>
        <w:pStyle w:val="6"/>
        <w:rPr>
          <w:rFonts w:ascii="仿宋" w:hAnsi="仿宋" w:eastAsia="仿宋" w:cs="仿宋"/>
          <w:color w:val="auto"/>
        </w:rPr>
      </w:pPr>
    </w:p>
    <w:p w14:paraId="546EF4B2">
      <w:pPr>
        <w:pStyle w:val="6"/>
        <w:rPr>
          <w:rFonts w:ascii="仿宋" w:hAnsi="仿宋" w:eastAsia="仿宋" w:cs="仿宋"/>
          <w:color w:val="auto"/>
        </w:rPr>
      </w:pPr>
    </w:p>
    <w:p w14:paraId="42E3E899">
      <w:pPr>
        <w:pStyle w:val="6"/>
        <w:rPr>
          <w:rFonts w:ascii="仿宋" w:hAnsi="仿宋" w:eastAsia="仿宋" w:cs="仿宋"/>
          <w:color w:val="auto"/>
        </w:rPr>
      </w:pPr>
    </w:p>
    <w:p w14:paraId="7070C69D">
      <w:pPr>
        <w:pStyle w:val="6"/>
        <w:rPr>
          <w:rFonts w:ascii="仿宋" w:hAnsi="仿宋" w:eastAsia="仿宋" w:cs="仿宋"/>
          <w:color w:val="auto"/>
        </w:rPr>
      </w:pPr>
    </w:p>
    <w:p w14:paraId="2D6FCF23">
      <w:pPr>
        <w:pStyle w:val="6"/>
        <w:rPr>
          <w:rFonts w:ascii="仿宋" w:hAnsi="仿宋" w:eastAsia="仿宋" w:cs="仿宋"/>
          <w:color w:val="auto"/>
        </w:rPr>
      </w:pPr>
    </w:p>
    <w:p w14:paraId="67921A70">
      <w:pPr>
        <w:rPr>
          <w:rFonts w:ascii="仿宋" w:hAnsi="仿宋" w:eastAsia="仿宋" w:cs="仿宋"/>
          <w:color w:val="auto"/>
        </w:rPr>
      </w:pPr>
    </w:p>
    <w:p w14:paraId="7EA95931">
      <w:pPr>
        <w:pStyle w:val="5"/>
        <w:rPr>
          <w:rFonts w:ascii="仿宋" w:hAnsi="仿宋" w:eastAsia="仿宋" w:cs="仿宋"/>
          <w:color w:val="auto"/>
        </w:rPr>
      </w:pPr>
    </w:p>
    <w:p w14:paraId="34870047">
      <w:pPr>
        <w:rPr>
          <w:rFonts w:ascii="仿宋" w:hAnsi="仿宋" w:eastAsia="仿宋" w:cs="仿宋"/>
          <w:color w:val="auto"/>
        </w:rPr>
      </w:pPr>
    </w:p>
    <w:p w14:paraId="57DD8DDD">
      <w:pPr>
        <w:rPr>
          <w:rFonts w:ascii="仿宋" w:hAnsi="仿宋" w:eastAsia="仿宋" w:cs="仿宋"/>
          <w:color w:val="auto"/>
        </w:rPr>
      </w:pPr>
    </w:p>
    <w:p w14:paraId="41E7FFDA">
      <w:pPr>
        <w:rPr>
          <w:rFonts w:ascii="仿宋" w:hAnsi="仿宋" w:eastAsia="仿宋" w:cs="仿宋"/>
          <w:color w:val="auto"/>
        </w:rPr>
      </w:pPr>
    </w:p>
    <w:p w14:paraId="43E59C11">
      <w:pPr>
        <w:jc w:val="center"/>
        <w:rPr>
          <w:rFonts w:ascii="仿宋" w:hAnsi="仿宋" w:eastAsia="仿宋" w:cs="仿宋"/>
          <w:color w:val="auto"/>
          <w:sz w:val="28"/>
          <w:szCs w:val="28"/>
        </w:rPr>
      </w:pPr>
    </w:p>
    <w:p w14:paraId="780E7B9F">
      <w:pPr>
        <w:jc w:val="center"/>
        <w:rPr>
          <w:rFonts w:ascii="仿宋" w:hAnsi="仿宋" w:eastAsia="仿宋" w:cs="仿宋"/>
          <w:color w:val="auto"/>
          <w:sz w:val="28"/>
          <w:szCs w:val="28"/>
        </w:rPr>
      </w:pPr>
    </w:p>
    <w:p w14:paraId="30D2D984">
      <w:pPr>
        <w:jc w:val="center"/>
        <w:rPr>
          <w:rFonts w:ascii="仿宋" w:hAnsi="仿宋" w:eastAsia="仿宋" w:cs="仿宋"/>
          <w:color w:val="auto"/>
          <w:sz w:val="28"/>
          <w:szCs w:val="28"/>
        </w:rPr>
      </w:pPr>
    </w:p>
    <w:p w14:paraId="70239D61">
      <w:pPr>
        <w:jc w:val="center"/>
        <w:rPr>
          <w:rFonts w:ascii="仿宋" w:hAnsi="仿宋" w:eastAsia="仿宋" w:cs="仿宋"/>
          <w:color w:val="auto"/>
          <w:sz w:val="28"/>
          <w:szCs w:val="28"/>
        </w:rPr>
      </w:pPr>
    </w:p>
    <w:p w14:paraId="5A749D4C">
      <w:pPr>
        <w:jc w:val="center"/>
        <w:rPr>
          <w:rFonts w:ascii="仿宋" w:hAnsi="仿宋" w:eastAsia="仿宋" w:cs="仿宋"/>
          <w:color w:val="auto"/>
          <w:sz w:val="28"/>
          <w:szCs w:val="28"/>
        </w:rPr>
      </w:pPr>
    </w:p>
    <w:p w14:paraId="1C6B06A2">
      <w:pPr>
        <w:jc w:val="center"/>
        <w:rPr>
          <w:rFonts w:ascii="仿宋" w:hAnsi="仿宋" w:eastAsia="仿宋" w:cs="仿宋"/>
          <w:color w:val="auto"/>
          <w:sz w:val="28"/>
          <w:szCs w:val="28"/>
        </w:rPr>
      </w:pPr>
    </w:p>
    <w:p w14:paraId="653EB3C8">
      <w:pPr>
        <w:jc w:val="center"/>
        <w:rPr>
          <w:rFonts w:ascii="仿宋" w:hAnsi="仿宋" w:eastAsia="仿宋" w:cs="仿宋"/>
          <w:color w:val="auto"/>
          <w:sz w:val="28"/>
          <w:szCs w:val="28"/>
        </w:rPr>
      </w:pPr>
    </w:p>
    <w:p w14:paraId="00A4FF08">
      <w:pPr>
        <w:jc w:val="center"/>
        <w:rPr>
          <w:rFonts w:ascii="仿宋" w:hAnsi="仿宋" w:eastAsia="仿宋" w:cs="仿宋"/>
          <w:color w:val="auto"/>
          <w:sz w:val="28"/>
          <w:szCs w:val="28"/>
        </w:rPr>
      </w:pPr>
    </w:p>
    <w:p w14:paraId="3B25799C">
      <w:pPr>
        <w:spacing w:line="360" w:lineRule="auto"/>
        <w:jc w:val="both"/>
        <w:rPr>
          <w:rFonts w:ascii="仿宋" w:hAnsi="仿宋" w:eastAsia="仿宋" w:cs="仿宋"/>
          <w:b/>
          <w:bCs/>
          <w:color w:val="auto"/>
          <w:sz w:val="28"/>
          <w:szCs w:val="28"/>
          <w:lang w:eastAsia="zh-CN"/>
        </w:rPr>
      </w:pPr>
    </w:p>
    <w:p w14:paraId="3D6FF65B">
      <w:pPr>
        <w:spacing w:line="360" w:lineRule="auto"/>
        <w:jc w:val="center"/>
        <w:rPr>
          <w:rFonts w:hint="eastAsia" w:ascii="仿宋" w:hAnsi="仿宋" w:eastAsia="仿宋" w:cs="仿宋"/>
          <w:b/>
          <w:bCs/>
          <w:color w:val="auto"/>
          <w:sz w:val="28"/>
          <w:szCs w:val="28"/>
          <w:lang w:eastAsia="zh-CN"/>
        </w:rPr>
      </w:pPr>
    </w:p>
    <w:p w14:paraId="75EDB870">
      <w:pPr>
        <w:spacing w:line="360" w:lineRule="auto"/>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14:paraId="0FDA74DB">
      <w:pPr>
        <w:spacing w:line="360" w:lineRule="auto"/>
        <w:rPr>
          <w:rFonts w:ascii="仿宋" w:hAnsi="仿宋" w:eastAsia="仿宋" w:cs="仿宋"/>
          <w:color w:val="auto"/>
          <w:lang w:eastAsia="zh-CN"/>
        </w:rPr>
      </w:pPr>
      <w:r>
        <w:rPr>
          <w:rFonts w:hint="eastAsia" w:ascii="仿宋" w:hAnsi="仿宋" w:eastAsia="仿宋" w:cs="仿宋"/>
          <w:color w:val="auto"/>
          <w:lang w:eastAsia="zh-CN"/>
        </w:rPr>
        <w:t>编号：</w:t>
      </w:r>
    </w:p>
    <w:p w14:paraId="1BEAF8CB">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（采购人或采购代理机构）：</w:t>
      </w:r>
    </w:p>
    <w:p w14:paraId="6097B6BA">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鉴于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（以下简称“供应商”）拟参加编号为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1D0A0378">
      <w:pPr>
        <w:spacing w:line="360" w:lineRule="auto"/>
        <w:rPr>
          <w:rFonts w:ascii="仿宋" w:hAnsi="仿宋" w:eastAsia="仿宋" w:cs="仿宋"/>
          <w:color w:val="auto"/>
          <w:lang w:eastAsia="zh-CN"/>
        </w:rPr>
      </w:pPr>
      <w:r>
        <w:rPr>
          <w:rFonts w:hint="eastAsia" w:ascii="仿宋" w:hAnsi="仿宋" w:eastAsia="仿宋" w:cs="仿宋"/>
          <w:color w:val="auto"/>
          <w:lang w:eastAsia="zh-CN"/>
        </w:rPr>
        <w:t>项目（以下简称“本项目”）投标，根据本项目磋商文件，供应商参加投标时应向你方缴纳投标保证金，且可以投标担保函的形式缴纳投标保证金。应供应商的申请，我方以保证的方式向你方提供如下投标保证金担保：</w:t>
      </w:r>
    </w:p>
    <w:p w14:paraId="7B428174">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一、保证责任的情形及保证金额</w:t>
      </w:r>
    </w:p>
    <w:p w14:paraId="5145BE64">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（一）在供应商出现下列情形之一时，我方承担保证责任：</w:t>
      </w:r>
    </w:p>
    <w:p w14:paraId="38A82493">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1．中标后供应商无正当理由不与采购人或者采购代理机构签订《政府采购合同》；</w:t>
      </w:r>
    </w:p>
    <w:p w14:paraId="3466EEA0">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2．磋商文件规定的供应商应当缴纳保证金的其他情形。</w:t>
      </w:r>
    </w:p>
    <w:p w14:paraId="12DCCCF0">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（二）我方承担保证责任的最高金额为人民币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元（大写</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），即本项目的投标保证金金额。</w:t>
      </w:r>
    </w:p>
    <w:p w14:paraId="31D9EF1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二、保证的方式及保证期间</w:t>
      </w:r>
    </w:p>
    <w:p w14:paraId="0A0F498C">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我方保证的方式为：连带责任保证。</w:t>
      </w:r>
    </w:p>
    <w:p w14:paraId="18B627B0">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14:paraId="630B5DB2">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三、承担保证责任的程序</w:t>
      </w:r>
    </w:p>
    <w:p w14:paraId="5D381752">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3707C9C9">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个工作日内进行审查，符合应承担保证责任情形的，我方应按照你方的要求代供应商向你方支付投标保证金。</w:t>
      </w:r>
    </w:p>
    <w:p w14:paraId="4A0FB55A">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四、保证责任的终止</w:t>
      </w:r>
    </w:p>
    <w:p w14:paraId="434FE366">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14:paraId="1884F94C">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14:paraId="28F10633">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14:paraId="0DE980D5">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五、免责条款</w:t>
      </w:r>
    </w:p>
    <w:p w14:paraId="66C3C6CA">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1．依照法律规定或你方与供应商的另行约定，全部或者部分免除供应商投标保证金义务时，我方亦免除相应的保证责任。</w:t>
      </w:r>
    </w:p>
    <w:p w14:paraId="54FB2B31">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2．因你方原因致使供应商发生本保函第一条第（一）款约定情形的，我方不承担保证责任。</w:t>
      </w:r>
    </w:p>
    <w:p w14:paraId="074AB935">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3．因不可抗力造成供应商发生本保函第一条约定情形的，我方不承担保证责任。</w:t>
      </w:r>
    </w:p>
    <w:p w14:paraId="03811308">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4．你方或其他有权机关对询价通知书进行任何澄清或修改，加重我方保证责任的，我方对加重部分不承担保证责任，但该澄清或修改经我方事先书面同意的除外。</w:t>
      </w:r>
    </w:p>
    <w:p w14:paraId="387EFE8F">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六、争议的解决</w:t>
      </w:r>
    </w:p>
    <w:p w14:paraId="4C5AFF39">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法院。</w:t>
      </w:r>
    </w:p>
    <w:p w14:paraId="05DC20B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七、保函的生效</w:t>
      </w:r>
    </w:p>
    <w:p w14:paraId="2F17854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14:paraId="4660BA8E">
      <w:pPr>
        <w:spacing w:line="360" w:lineRule="auto"/>
        <w:ind w:firstLine="6439" w:firstLineChars="2650"/>
        <w:rPr>
          <w:rFonts w:ascii="仿宋" w:hAnsi="仿宋" w:eastAsia="仿宋" w:cs="仿宋"/>
          <w:color w:val="auto"/>
          <w:lang w:eastAsia="zh-CN"/>
        </w:rPr>
      </w:pPr>
    </w:p>
    <w:p w14:paraId="51CBE1FD">
      <w:pPr>
        <w:spacing w:line="360" w:lineRule="auto"/>
        <w:ind w:firstLine="6439" w:firstLineChars="2650"/>
        <w:rPr>
          <w:rFonts w:ascii="仿宋" w:hAnsi="仿宋" w:eastAsia="仿宋" w:cs="仿宋"/>
          <w:color w:val="auto"/>
          <w:lang w:eastAsia="zh-CN"/>
        </w:rPr>
      </w:pPr>
    </w:p>
    <w:p w14:paraId="0B67BBB6">
      <w:pPr>
        <w:spacing w:line="360" w:lineRule="auto"/>
        <w:ind w:firstLine="6439" w:firstLineChars="2650"/>
        <w:rPr>
          <w:rFonts w:ascii="仿宋" w:hAnsi="仿宋" w:eastAsia="仿宋" w:cs="仿宋"/>
          <w:color w:val="auto"/>
          <w:lang w:eastAsia="zh-CN"/>
        </w:rPr>
      </w:pPr>
      <w:r>
        <w:rPr>
          <w:rFonts w:hint="eastAsia" w:ascii="仿宋" w:hAnsi="仿宋" w:eastAsia="仿宋" w:cs="仿宋"/>
          <w:color w:val="auto"/>
          <w:lang w:eastAsia="zh-CN"/>
        </w:rPr>
        <w:t>保证人：（公章）</w:t>
      </w:r>
    </w:p>
    <w:p w14:paraId="65723989">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p>
    <w:p w14:paraId="258A4B7C">
      <w:pPr>
        <w:spacing w:line="360" w:lineRule="auto"/>
        <w:ind w:firstLine="6318" w:firstLineChars="2600"/>
        <w:rPr>
          <w:rFonts w:ascii="仿宋" w:hAnsi="仿宋" w:eastAsia="仿宋" w:cs="仿宋"/>
          <w:color w:val="auto"/>
          <w:lang w:eastAsia="zh-CN"/>
        </w:rPr>
        <w:sectPr>
          <w:headerReference r:id="rId10" w:type="default"/>
          <w:footerReference r:id="rId11" w:type="default"/>
          <w:pgSz w:w="11905" w:h="16838"/>
          <w:pgMar w:top="1440" w:right="1417" w:bottom="1440" w:left="1417" w:header="850" w:footer="992" w:gutter="0"/>
          <w:pgNumType w:fmt="decimal"/>
          <w:cols w:space="0" w:num="1"/>
          <w:docGrid w:type="linesAndChars" w:linePitch="325" w:charSpace="635"/>
        </w:sectPr>
      </w:pPr>
      <w:r>
        <w:rPr>
          <w:rFonts w:hint="eastAsia" w:ascii="仿宋" w:hAnsi="仿宋" w:eastAsia="仿宋" w:cs="仿宋"/>
          <w:color w:val="auto"/>
          <w:lang w:eastAsia="zh-CN"/>
        </w:rPr>
        <w:t>年     月      日</w:t>
      </w:r>
    </w:p>
    <w:p w14:paraId="0F320075">
      <w:pPr>
        <w:spacing w:line="400" w:lineRule="exact"/>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6、投标企业须提供投标人（被授权在职人员）近6个月内任意一个月有效的社保证明；</w:t>
      </w:r>
    </w:p>
    <w:p w14:paraId="15271521">
      <w:pPr>
        <w:spacing w:line="400" w:lineRule="exact"/>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说明：复印件上应加盖本单位章</w:t>
      </w:r>
    </w:p>
    <w:p w14:paraId="205B727C">
      <w:pPr>
        <w:pStyle w:val="34"/>
        <w:ind w:firstLine="0"/>
        <w:rPr>
          <w:rFonts w:ascii="仿宋" w:hAnsi="仿宋" w:eastAsia="仿宋" w:cs="仿宋"/>
          <w:color w:val="auto"/>
          <w:lang w:eastAsia="zh-CN"/>
        </w:rPr>
      </w:pPr>
    </w:p>
    <w:p w14:paraId="693CE948">
      <w:pPr>
        <w:pStyle w:val="34"/>
        <w:rPr>
          <w:rFonts w:ascii="仿宋" w:hAnsi="仿宋" w:eastAsia="仿宋" w:cs="仿宋"/>
          <w:color w:val="auto"/>
          <w:lang w:eastAsia="zh-CN"/>
        </w:rPr>
      </w:pPr>
    </w:p>
    <w:p w14:paraId="74566BF8">
      <w:pPr>
        <w:pStyle w:val="34"/>
        <w:rPr>
          <w:rFonts w:ascii="仿宋" w:hAnsi="仿宋" w:eastAsia="仿宋" w:cs="仿宋"/>
          <w:color w:val="auto"/>
          <w:lang w:eastAsia="zh-CN"/>
        </w:rPr>
      </w:pPr>
    </w:p>
    <w:p w14:paraId="04065F2F">
      <w:pPr>
        <w:spacing w:line="400" w:lineRule="exact"/>
        <w:ind w:firstLine="486" w:firstLineChars="200"/>
        <w:rPr>
          <w:rFonts w:ascii="仿宋" w:hAnsi="仿宋" w:eastAsia="仿宋" w:cs="仿宋"/>
          <w:b/>
          <w:bCs/>
          <w:color w:val="auto"/>
          <w:lang w:eastAsia="zh-CN"/>
        </w:rPr>
      </w:pPr>
      <w:r>
        <w:rPr>
          <w:rFonts w:hint="eastAsia" w:ascii="仿宋" w:hAnsi="仿宋" w:eastAsia="仿宋" w:cs="仿宋"/>
          <w:b/>
          <w:bCs/>
          <w:color w:val="auto"/>
          <w:lang w:val="en-US" w:eastAsia="zh-CN"/>
        </w:rPr>
        <w:t>7</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512624BE">
      <w:pPr>
        <w:pStyle w:val="34"/>
        <w:ind w:firstLine="0"/>
        <w:rPr>
          <w:rFonts w:ascii="仿宋" w:hAnsi="仿宋" w:eastAsia="仿宋" w:cs="仿宋"/>
          <w:b/>
          <w:bCs/>
          <w:color w:val="auto"/>
          <w:lang w:eastAsia="zh-CN"/>
        </w:rPr>
      </w:pPr>
    </w:p>
    <w:p w14:paraId="40447D78">
      <w:pPr>
        <w:pStyle w:val="34"/>
        <w:rPr>
          <w:rFonts w:ascii="仿宋" w:hAnsi="仿宋" w:eastAsia="仿宋" w:cs="仿宋"/>
          <w:b/>
          <w:bCs/>
          <w:color w:val="auto"/>
          <w:lang w:eastAsia="zh-CN"/>
        </w:rPr>
      </w:pPr>
    </w:p>
    <w:p w14:paraId="59C25411">
      <w:pPr>
        <w:rPr>
          <w:rFonts w:ascii="仿宋" w:hAnsi="仿宋" w:eastAsia="仿宋" w:cs="仿宋"/>
          <w:color w:val="auto"/>
          <w:lang w:eastAsia="zh-CN"/>
        </w:rPr>
      </w:pPr>
    </w:p>
    <w:p w14:paraId="4E35909F">
      <w:pPr>
        <w:spacing w:line="400" w:lineRule="exact"/>
        <w:ind w:firstLine="486" w:firstLineChars="200"/>
        <w:rPr>
          <w:rFonts w:ascii="仿宋" w:hAnsi="仿宋" w:eastAsia="仿宋" w:cs="仿宋"/>
          <w:b/>
          <w:bCs/>
          <w:color w:val="auto"/>
          <w:lang w:eastAsia="zh-CN"/>
        </w:rPr>
      </w:pPr>
    </w:p>
    <w:p w14:paraId="2E992EF4">
      <w:pPr>
        <w:spacing w:line="400" w:lineRule="exact"/>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val="en-US" w:eastAsia="zh-CN"/>
        </w:rPr>
        <w:t>8</w:t>
      </w:r>
      <w:r>
        <w:rPr>
          <w:rFonts w:hint="eastAsia" w:ascii="仿宋" w:hAnsi="仿宋" w:eastAsia="仿宋" w:cs="仿宋"/>
          <w:b/>
          <w:bCs/>
          <w:color w:val="auto"/>
          <w:lang w:eastAsia="zh-CN"/>
        </w:rPr>
        <w:t>、供应商须知资料表要求的其他资格证明文件</w:t>
      </w:r>
    </w:p>
    <w:p w14:paraId="2D107F81">
      <w:pPr>
        <w:pStyle w:val="3"/>
        <w:spacing w:before="40" w:after="40" w:line="579" w:lineRule="auto"/>
        <w:jc w:val="both"/>
        <w:rPr>
          <w:rFonts w:hint="eastAsia" w:ascii="仿宋" w:hAnsi="仿宋" w:eastAsia="仿宋" w:cs="仿宋"/>
          <w:color w:val="auto"/>
          <w:sz w:val="32"/>
          <w:szCs w:val="32"/>
          <w:lang w:eastAsia="zh-CN"/>
        </w:rPr>
      </w:pPr>
      <w:bookmarkStart w:id="63" w:name="_Toc515647816"/>
      <w:bookmarkStart w:id="64" w:name="_Toc11180"/>
      <w:bookmarkStart w:id="65" w:name="_Toc5695"/>
      <w:bookmarkStart w:id="66" w:name="_Toc22967"/>
    </w:p>
    <w:p w14:paraId="56B50AB2">
      <w:pPr>
        <w:rPr>
          <w:rFonts w:hint="eastAsia" w:ascii="仿宋" w:hAnsi="仿宋" w:eastAsia="仿宋" w:cs="仿宋"/>
          <w:color w:val="auto"/>
          <w:sz w:val="32"/>
          <w:szCs w:val="32"/>
          <w:lang w:eastAsia="zh-CN"/>
        </w:rPr>
      </w:pPr>
    </w:p>
    <w:p w14:paraId="6B3593E3">
      <w:pPr>
        <w:pStyle w:val="5"/>
        <w:rPr>
          <w:rFonts w:hint="eastAsia" w:ascii="仿宋" w:hAnsi="仿宋" w:eastAsia="仿宋" w:cs="仿宋"/>
          <w:color w:val="auto"/>
          <w:sz w:val="32"/>
          <w:szCs w:val="32"/>
          <w:lang w:eastAsia="zh-CN"/>
        </w:rPr>
      </w:pPr>
    </w:p>
    <w:p w14:paraId="40252AC4">
      <w:pPr>
        <w:rPr>
          <w:rFonts w:hint="eastAsia"/>
          <w:color w:val="auto"/>
          <w:lang w:eastAsia="zh-CN"/>
        </w:rPr>
      </w:pPr>
    </w:p>
    <w:p w14:paraId="219E37CB">
      <w:pPr>
        <w:pStyle w:val="3"/>
        <w:spacing w:before="40" w:after="40" w:line="579" w:lineRule="auto"/>
        <w:jc w:val="center"/>
        <w:rPr>
          <w:rFonts w:hint="eastAsia" w:ascii="仿宋" w:hAnsi="仿宋" w:eastAsia="仿宋" w:cs="仿宋"/>
          <w:color w:val="auto"/>
          <w:sz w:val="32"/>
          <w:szCs w:val="32"/>
          <w:lang w:eastAsia="zh-CN"/>
        </w:rPr>
      </w:pPr>
    </w:p>
    <w:p w14:paraId="023AA539">
      <w:pPr>
        <w:rPr>
          <w:rFonts w:hint="eastAsia" w:ascii="仿宋" w:hAnsi="仿宋" w:eastAsia="仿宋" w:cs="仿宋"/>
          <w:color w:val="auto"/>
          <w:sz w:val="32"/>
          <w:szCs w:val="32"/>
          <w:lang w:eastAsia="zh-CN"/>
        </w:rPr>
      </w:pPr>
    </w:p>
    <w:p w14:paraId="17880D87">
      <w:pPr>
        <w:rPr>
          <w:rFonts w:hint="eastAsia" w:ascii="仿宋" w:hAnsi="仿宋" w:eastAsia="仿宋" w:cs="仿宋"/>
          <w:color w:val="auto"/>
          <w:sz w:val="32"/>
          <w:szCs w:val="32"/>
          <w:lang w:eastAsia="zh-CN"/>
        </w:rPr>
      </w:pPr>
    </w:p>
    <w:p w14:paraId="41B98844">
      <w:pPr>
        <w:rPr>
          <w:rFonts w:hint="eastAsia" w:ascii="仿宋" w:hAnsi="仿宋" w:eastAsia="仿宋" w:cs="仿宋"/>
          <w:color w:val="auto"/>
          <w:sz w:val="32"/>
          <w:szCs w:val="32"/>
          <w:lang w:eastAsia="zh-CN"/>
        </w:rPr>
      </w:pPr>
    </w:p>
    <w:p w14:paraId="5A3C43BE">
      <w:pPr>
        <w:pStyle w:val="3"/>
        <w:spacing w:before="40" w:after="40" w:line="579" w:lineRule="auto"/>
        <w:jc w:val="both"/>
        <w:rPr>
          <w:rFonts w:hint="eastAsia" w:ascii="仿宋" w:hAnsi="仿宋" w:eastAsia="仿宋" w:cs="仿宋"/>
          <w:color w:val="auto"/>
          <w:sz w:val="32"/>
          <w:szCs w:val="32"/>
          <w:lang w:eastAsia="zh-CN"/>
        </w:rPr>
      </w:pPr>
    </w:p>
    <w:p w14:paraId="18B7C38D">
      <w:pPr>
        <w:rPr>
          <w:rFonts w:hint="eastAsia"/>
          <w:lang w:eastAsia="zh-CN"/>
        </w:rPr>
      </w:pPr>
    </w:p>
    <w:p w14:paraId="0AC4CE3F">
      <w:pPr>
        <w:pStyle w:val="3"/>
        <w:spacing w:before="40" w:after="40" w:line="579" w:lineRule="auto"/>
        <w:jc w:val="center"/>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63"/>
      <w:bookmarkEnd w:id="64"/>
      <w:bookmarkEnd w:id="65"/>
      <w:bookmarkEnd w:id="66"/>
    </w:p>
    <w:p w14:paraId="7B5EFF3C">
      <w:pPr>
        <w:pStyle w:val="12"/>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1、投标函</w:t>
      </w:r>
    </w:p>
    <w:p w14:paraId="79665C6A">
      <w:pPr>
        <w:pStyle w:val="12"/>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2、开标一览表</w:t>
      </w:r>
    </w:p>
    <w:p w14:paraId="03452D5C">
      <w:pPr>
        <w:pStyle w:val="12"/>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3、服务说明一览表</w:t>
      </w:r>
    </w:p>
    <w:p w14:paraId="228BB1B2">
      <w:pPr>
        <w:pStyle w:val="12"/>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4、投标分项报价明细表</w:t>
      </w:r>
    </w:p>
    <w:p w14:paraId="5DCCD739">
      <w:pPr>
        <w:pStyle w:val="12"/>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5、技术规格偏离表</w:t>
      </w:r>
    </w:p>
    <w:p w14:paraId="64385AFC">
      <w:pPr>
        <w:pStyle w:val="12"/>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6、商务条款偏离表</w:t>
      </w:r>
    </w:p>
    <w:p w14:paraId="60EEEBAF">
      <w:pPr>
        <w:pStyle w:val="12"/>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7、供应商基本情况表</w:t>
      </w:r>
    </w:p>
    <w:p w14:paraId="5F68F808">
      <w:pPr>
        <w:pStyle w:val="12"/>
        <w:spacing w:line="400" w:lineRule="exact"/>
        <w:ind w:left="359" w:leftChars="148" w:firstLine="228"/>
        <w:rPr>
          <w:rFonts w:hint="default" w:ascii="仿宋" w:hAnsi="仿宋" w:eastAsia="仿宋" w:cs="仿宋"/>
          <w:color w:val="auto"/>
          <w:lang w:val="en-US" w:eastAsia="zh-CN"/>
        </w:rPr>
      </w:pPr>
      <w:r>
        <w:rPr>
          <w:rFonts w:hint="eastAsia" w:ascii="仿宋" w:hAnsi="仿宋" w:eastAsia="仿宋" w:cs="仿宋"/>
          <w:color w:val="auto"/>
          <w:lang w:val="en-US" w:eastAsia="zh-CN"/>
        </w:rPr>
        <w:t>8、中标服务费支付承诺书</w:t>
      </w:r>
    </w:p>
    <w:p w14:paraId="0ADE9396">
      <w:pPr>
        <w:pStyle w:val="12"/>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9</w:t>
      </w:r>
      <w:r>
        <w:rPr>
          <w:rFonts w:hint="eastAsia" w:ascii="仿宋" w:hAnsi="仿宋" w:eastAsia="仿宋" w:cs="仿宋"/>
          <w:color w:val="auto"/>
          <w:lang w:eastAsia="zh-CN"/>
        </w:rPr>
        <w:t>、中小企业声明函（服务）</w:t>
      </w:r>
    </w:p>
    <w:p w14:paraId="6A5CA421">
      <w:pPr>
        <w:pStyle w:val="12"/>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10</w:t>
      </w:r>
      <w:r>
        <w:rPr>
          <w:rFonts w:hint="eastAsia" w:ascii="仿宋" w:hAnsi="仿宋" w:eastAsia="仿宋" w:cs="仿宋"/>
          <w:color w:val="auto"/>
          <w:lang w:eastAsia="zh-CN"/>
        </w:rPr>
        <w:t>、残疾人福利性单位声明函</w:t>
      </w:r>
    </w:p>
    <w:p w14:paraId="6F4FAE75">
      <w:pPr>
        <w:pStyle w:val="12"/>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11</w:t>
      </w:r>
      <w:r>
        <w:rPr>
          <w:rFonts w:hint="eastAsia" w:ascii="仿宋" w:hAnsi="仿宋" w:eastAsia="仿宋" w:cs="仿宋"/>
          <w:color w:val="auto"/>
          <w:lang w:eastAsia="zh-CN"/>
        </w:rPr>
        <w:t>、评分标准和细则中技术部分证明材料</w:t>
      </w:r>
    </w:p>
    <w:p w14:paraId="24B52E6A">
      <w:pPr>
        <w:pStyle w:val="12"/>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12</w:t>
      </w:r>
      <w:r>
        <w:rPr>
          <w:rFonts w:hint="eastAsia" w:ascii="仿宋" w:hAnsi="仿宋" w:eastAsia="仿宋" w:cs="仿宋"/>
          <w:color w:val="auto"/>
          <w:lang w:eastAsia="zh-CN"/>
        </w:rPr>
        <w:t>、评分标准和细则中商务部分证明材料（格式自拟）</w:t>
      </w:r>
    </w:p>
    <w:p w14:paraId="29E16FEE">
      <w:pPr>
        <w:pStyle w:val="12"/>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13</w:t>
      </w:r>
      <w:r>
        <w:rPr>
          <w:rFonts w:hint="eastAsia" w:ascii="仿宋" w:hAnsi="仿宋" w:eastAsia="仿宋" w:cs="仿宋"/>
          <w:color w:val="auto"/>
          <w:lang w:eastAsia="zh-CN"/>
        </w:rPr>
        <w:t>、供应商认为有必要提供的其他证明材料（格式自拟）</w:t>
      </w:r>
    </w:p>
    <w:p w14:paraId="61165236">
      <w:pPr>
        <w:pStyle w:val="12"/>
        <w:tabs>
          <w:tab w:val="left" w:pos="5580"/>
        </w:tabs>
        <w:spacing w:line="400" w:lineRule="exact"/>
        <w:ind w:left="648" w:leftChars="267"/>
        <w:rPr>
          <w:rFonts w:ascii="仿宋" w:hAnsi="仿宋" w:eastAsia="仿宋" w:cs="仿宋"/>
          <w:color w:val="auto"/>
          <w:sz w:val="21"/>
          <w:szCs w:val="21"/>
          <w:lang w:eastAsia="zh-CN"/>
        </w:rPr>
      </w:pPr>
      <w:r>
        <w:rPr>
          <w:rFonts w:hint="eastAsia" w:ascii="仿宋" w:hAnsi="仿宋" w:eastAsia="仿宋" w:cs="仿宋"/>
          <w:color w:val="auto"/>
          <w:lang w:eastAsia="zh-CN"/>
        </w:rPr>
        <w:br w:type="page"/>
      </w:r>
    </w:p>
    <w:p w14:paraId="3C387571">
      <w:pPr>
        <w:pStyle w:val="9"/>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1、投标函</w:t>
      </w:r>
    </w:p>
    <w:p w14:paraId="3C7E5D44">
      <w:pPr>
        <w:spacing w:line="440" w:lineRule="exact"/>
        <w:rPr>
          <w:rFonts w:ascii="仿宋" w:hAnsi="仿宋" w:eastAsia="仿宋" w:cs="仿宋"/>
          <w:color w:val="auto"/>
          <w:u w:val="single"/>
          <w:lang w:eastAsia="zh-CN"/>
        </w:rPr>
      </w:pPr>
      <w:r>
        <w:rPr>
          <w:rFonts w:hint="eastAsia" w:ascii="仿宋" w:hAnsi="仿宋" w:eastAsia="仿宋" w:cs="仿宋"/>
          <w:color w:val="auto"/>
          <w:lang w:eastAsia="zh-CN"/>
        </w:rPr>
        <w:t>致：</w:t>
      </w:r>
      <w:r>
        <w:rPr>
          <w:rFonts w:hint="eastAsia" w:ascii="仿宋" w:hAnsi="仿宋" w:eastAsia="仿宋" w:cs="仿宋"/>
          <w:color w:val="auto"/>
          <w:u w:val="single"/>
          <w:lang w:eastAsia="zh-CN"/>
        </w:rPr>
        <w:t xml:space="preserve">                     </w:t>
      </w:r>
    </w:p>
    <w:p w14:paraId="35CBD16B">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为响应你方组织的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项目的招标[项目编号为：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]，我方愿参与投标。</w:t>
      </w:r>
    </w:p>
    <w:p w14:paraId="1ECBB6BE">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我方确认收到贵方提供的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磋商文件的全部内容。</w:t>
      </w:r>
    </w:p>
    <w:p w14:paraId="7AAE35E0">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在参与投标前已详细研究了磋商文件的所有内容，包括澄清、修改文件（如果有）和所有已提供的参考资料以及有关附件，我方完全明白并认为此磋商文件没有倾向性，也不存在排斥潜在报价供应商的内容，我方同意磋商文件的相关条款，放弃对磋商文件提出误解和质疑的一切权力。</w:t>
      </w:r>
    </w:p>
    <w:p w14:paraId="56FCAD75">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(供应商名称)      </w:t>
      </w:r>
      <w:r>
        <w:rPr>
          <w:rFonts w:hint="eastAsia" w:ascii="仿宋" w:hAnsi="仿宋" w:eastAsia="仿宋" w:cs="仿宋"/>
          <w:color w:val="auto"/>
          <w:lang w:eastAsia="zh-CN"/>
        </w:rPr>
        <w:t>作为供应商正式授权</w:t>
      </w:r>
      <w:r>
        <w:rPr>
          <w:rFonts w:hint="eastAsia" w:ascii="仿宋" w:hAnsi="仿宋" w:eastAsia="仿宋" w:cs="仿宋"/>
          <w:color w:val="auto"/>
          <w:u w:val="single"/>
          <w:lang w:eastAsia="zh-CN"/>
        </w:rPr>
        <w:t xml:space="preserve">  (授权代表全名, 职务)  </w:t>
      </w:r>
      <w:r>
        <w:rPr>
          <w:rFonts w:hint="eastAsia" w:ascii="仿宋" w:hAnsi="仿宋" w:eastAsia="仿宋" w:cs="仿宋"/>
          <w:color w:val="auto"/>
          <w:lang w:eastAsia="zh-CN"/>
        </w:rPr>
        <w:t>代表我方全权处理有关本报价的一切事宜。</w:t>
      </w:r>
    </w:p>
    <w:p w14:paraId="0EC12457">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我方已完全明白磋商文件的所有条款要求，并申明如下：</w:t>
      </w:r>
    </w:p>
    <w:p w14:paraId="26D60386">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（一）按磋商文件提供的全部货物与相关服务的投标总价详见《报价一览表》。</w:t>
      </w:r>
    </w:p>
    <w:p w14:paraId="704FDAD5">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（二）本投标文件的有效期为投标截止时间起</w:t>
      </w:r>
      <w:r>
        <w:rPr>
          <w:rFonts w:hint="eastAsia" w:ascii="仿宋" w:hAnsi="仿宋" w:eastAsia="仿宋" w:cs="仿宋"/>
          <w:color w:val="auto"/>
          <w:u w:val="single"/>
          <w:lang w:eastAsia="zh-CN"/>
        </w:rPr>
        <w:t>60</w:t>
      </w:r>
      <w:r>
        <w:rPr>
          <w:rFonts w:hint="eastAsia" w:ascii="仿宋" w:hAnsi="仿宋" w:eastAsia="仿宋" w:cs="仿宋"/>
          <w:color w:val="auto"/>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D77E3A2">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（三）我方同意按照贵方可能提出的要求而提供与投标有关的任何其它数据、信息或资料。</w:t>
      </w:r>
    </w:p>
    <w:p w14:paraId="693E7FA9">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（四）我方理解贵方不一定接受最低投标价或任何贵方可能收到的投标。</w:t>
      </w:r>
    </w:p>
    <w:p w14:paraId="099DB81F">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（五）我方如果中标，将保证履行磋商文件及其澄清、修改文件（如果有）中的全部责任和义务，按质、按量、按期完成《招标内容》及《合同书》中的全部任务。</w:t>
      </w:r>
    </w:p>
    <w:p w14:paraId="1B74DBB6">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（六）如我方被授予合同，我方承诺支付就本次招标应支付或将支付的中标服务费（详见按磋商文件要求格式填写的《中标服务费支付承诺书》）。</w:t>
      </w:r>
    </w:p>
    <w:p w14:paraId="701B71C1">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（七）我方作为在法律、财务和运作上独立于采购人、招标代理机构的供应商，在此保证所提交的所有文件和全部说明是真实的和正确的。</w:t>
      </w:r>
    </w:p>
    <w:p w14:paraId="4B3EDCAA">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（八）我方投标报价已包含应向知识产权所有权人支付的所有相关税费，并保证采购人在中国使用我方提供的货物时，如有第三方提出侵犯其知识产权主张的，责任由我方承担。</w:t>
      </w:r>
    </w:p>
    <w:p w14:paraId="133C6C75">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（九）我方与其他供应商不存在单位负责人为同一人或者存在直接控股、管理关系。</w:t>
      </w:r>
    </w:p>
    <w:p w14:paraId="5CDA8E3E">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（十）我方承诺未为本项目提供整体设计、规范编制或者项目管理、监理、检测等服务。</w:t>
      </w:r>
    </w:p>
    <w:p w14:paraId="6B85990C">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（十一）我方具备《政府采购法》第二十二条规定的条件，承诺如下：</w:t>
      </w:r>
    </w:p>
    <w:p w14:paraId="1BEF11C8">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（1）我方已依法缴纳了各项税费及社会保险费用，如有需要，可随时向采购人提供近三个月内的相关缴费证明，以便核查。</w:t>
      </w:r>
    </w:p>
    <w:p w14:paraId="60C29106">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（2）我方已依法建立健全的财务会计制度，如有需要，可随时向采购人提供相关的证明材料，以便核查。</w:t>
      </w:r>
    </w:p>
    <w:p w14:paraId="13D630DE">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（3）我方参加本项目政府采购活动前3年内在经营活动中没有重大违法记录。</w:t>
      </w:r>
    </w:p>
    <w:p w14:paraId="182A46CC">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（4）我方具备履行合同所必需的设备和专业技术能力。</w:t>
      </w:r>
    </w:p>
    <w:p w14:paraId="644250B6">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（5）我方符合法律、行政法规规定的其他条件。</w:t>
      </w:r>
    </w:p>
    <w:p w14:paraId="0D34CB61">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以上内容如有虚假或与事实不符的，评审委员会可将我方做无效投标处理，我方愿意承担相应的法律责任。</w:t>
      </w:r>
    </w:p>
    <w:p w14:paraId="1DF43C9C">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（十三）我方对在本函及投标文件中所作的所有承诺承担法律责任。</w:t>
      </w:r>
    </w:p>
    <w:p w14:paraId="5A48B95E">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（十四）所有与本招标有关的函件请发往下列地址：</w:t>
      </w:r>
    </w:p>
    <w:p w14:paraId="03261416">
      <w:pPr>
        <w:spacing w:line="440" w:lineRule="exact"/>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.邮政编码：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63A64048">
      <w:pPr>
        <w:spacing w:line="440" w:lineRule="exact"/>
        <w:rPr>
          <w:rFonts w:ascii="仿宋" w:hAnsi="仿宋" w:eastAsia="仿宋" w:cs="仿宋"/>
          <w:color w:val="auto"/>
          <w:lang w:eastAsia="zh-CN"/>
        </w:rPr>
      </w:pPr>
      <w:r>
        <w:rPr>
          <w:rFonts w:hint="eastAsia" w:ascii="仿宋" w:hAnsi="仿宋" w:eastAsia="仿宋" w:cs="仿宋"/>
          <w:color w:val="auto"/>
          <w:lang w:eastAsia="zh-CN"/>
        </w:rPr>
        <w:t>电    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6E7A733E">
      <w:pPr>
        <w:spacing w:line="440" w:lineRule="exact"/>
        <w:rPr>
          <w:rFonts w:ascii="仿宋" w:hAnsi="仿宋" w:eastAsia="仿宋" w:cs="仿宋"/>
          <w:color w:val="auto"/>
          <w:lang w:eastAsia="zh-CN"/>
        </w:rPr>
      </w:pPr>
      <w:r>
        <w:rPr>
          <w:rFonts w:hint="eastAsia" w:ascii="仿宋" w:hAnsi="仿宋" w:eastAsia="仿宋" w:cs="仿宋"/>
          <w:color w:val="auto"/>
          <w:lang w:eastAsia="zh-CN"/>
        </w:rPr>
        <w:t>传    真：</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24222542">
      <w:pPr>
        <w:spacing w:line="440" w:lineRule="exact"/>
        <w:rPr>
          <w:rFonts w:ascii="仿宋" w:hAnsi="仿宋" w:eastAsia="仿宋" w:cs="仿宋"/>
          <w:color w:val="auto"/>
          <w:lang w:eastAsia="zh-CN"/>
        </w:rPr>
      </w:pPr>
      <w:r>
        <w:rPr>
          <w:rFonts w:hint="eastAsia" w:ascii="仿宋" w:hAnsi="仿宋" w:eastAsia="仿宋" w:cs="仿宋"/>
          <w:color w:val="auto"/>
          <w:lang w:eastAsia="zh-CN"/>
        </w:rPr>
        <w:t>代表姓名：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.职    务：</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585076A3">
      <w:pPr>
        <w:spacing w:line="440" w:lineRule="exact"/>
        <w:ind w:right="480"/>
        <w:jc w:val="right"/>
        <w:rPr>
          <w:rFonts w:ascii="仿宋" w:hAnsi="仿宋" w:eastAsia="仿宋" w:cs="仿宋"/>
          <w:color w:val="auto"/>
          <w:lang w:eastAsia="zh-CN"/>
        </w:rPr>
      </w:pPr>
      <w:r>
        <w:rPr>
          <w:rFonts w:hint="eastAsia" w:ascii="仿宋" w:hAnsi="仿宋" w:eastAsia="仿宋" w:cs="仿宋"/>
          <w:color w:val="auto"/>
          <w:lang w:eastAsia="zh-CN"/>
        </w:rPr>
        <w:t>供应商：</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（公章） </w:t>
      </w:r>
    </w:p>
    <w:p w14:paraId="082B6A4F">
      <w:pPr>
        <w:wordWrap w:val="0"/>
        <w:spacing w:line="440" w:lineRule="exact"/>
        <w:ind w:firstLine="486" w:firstLineChars="200"/>
        <w:jc w:val="right"/>
        <w:rPr>
          <w:rFonts w:ascii="仿宋" w:hAnsi="仿宋" w:eastAsia="仿宋" w:cs="仿宋"/>
          <w:color w:val="auto"/>
          <w:lang w:eastAsia="zh-CN"/>
        </w:rPr>
      </w:pPr>
      <w:r>
        <w:rPr>
          <w:rFonts w:hint="eastAsia" w:ascii="仿宋" w:hAnsi="仿宋" w:eastAsia="仿宋" w:cs="仿宋"/>
          <w:color w:val="auto"/>
          <w:lang w:eastAsia="zh-CN"/>
        </w:rPr>
        <w:t>法定代表人或委托人：</w:t>
      </w:r>
      <w:r>
        <w:rPr>
          <w:rFonts w:hint="eastAsia" w:ascii="仿宋" w:hAnsi="仿宋" w:eastAsia="仿宋" w:cs="仿宋"/>
          <w:color w:val="auto"/>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（签章）  </w:t>
      </w:r>
    </w:p>
    <w:p w14:paraId="31C96ABF">
      <w:pPr>
        <w:wordWrap w:val="0"/>
        <w:spacing w:line="440" w:lineRule="exact"/>
        <w:ind w:firstLine="486" w:firstLineChars="200"/>
        <w:jc w:val="right"/>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lang w:eastAsia="zh-CN"/>
        </w:rPr>
        <w:t>年</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5C2682D7">
      <w:pPr>
        <w:pStyle w:val="34"/>
        <w:rPr>
          <w:rFonts w:ascii="仿宋" w:hAnsi="仿宋" w:eastAsia="仿宋" w:cs="仿宋"/>
          <w:color w:val="auto"/>
          <w:lang w:eastAsia="zh-CN"/>
        </w:rPr>
      </w:pPr>
      <w:r>
        <w:rPr>
          <w:rFonts w:hint="eastAsia" w:ascii="仿宋" w:hAnsi="仿宋" w:eastAsia="仿宋" w:cs="仿宋"/>
          <w:color w:val="auto"/>
          <w:lang w:eastAsia="zh-CN"/>
        </w:rPr>
        <w:br w:type="page"/>
      </w:r>
    </w:p>
    <w:p w14:paraId="1FE24195">
      <w:pPr>
        <w:pStyle w:val="6"/>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
          <w:color w:val="auto"/>
          <w:sz w:val="36"/>
          <w:szCs w:val="24"/>
          <w:lang w:eastAsia="zh-CN"/>
        </w:rPr>
        <w:t>2、开标一览表</w:t>
      </w:r>
      <w:r>
        <w:rPr>
          <w:rFonts w:hint="eastAsia" w:ascii="仿宋" w:hAnsi="仿宋" w:eastAsia="仿宋" w:cs="仿宋"/>
          <w:b/>
          <w:color w:val="auto"/>
          <w:sz w:val="36"/>
          <w:szCs w:val="24"/>
          <w:lang w:eastAsia="zh-CN"/>
        </w:rPr>
        <w:cr/>
      </w:r>
    </w:p>
    <w:p w14:paraId="171A224A">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14:paraId="37CD85EA">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14:paraId="5942C92B">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25"/>
        <w:tblW w:w="8183"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5588"/>
      </w:tblGrid>
      <w:tr w14:paraId="48A0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73C5A076">
            <w:pPr>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5588" w:type="dxa"/>
            <w:vAlign w:val="center"/>
          </w:tcPr>
          <w:p w14:paraId="660D7368">
            <w:pPr>
              <w:rPr>
                <w:rFonts w:ascii="仿宋" w:hAnsi="仿宋" w:eastAsia="仿宋" w:cs="仿宋"/>
                <w:color w:val="auto"/>
                <w:szCs w:val="21"/>
              </w:rPr>
            </w:pPr>
          </w:p>
        </w:tc>
      </w:tr>
      <w:tr w14:paraId="5E26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00B72974">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合同履约期限</w:t>
            </w:r>
          </w:p>
        </w:tc>
        <w:tc>
          <w:tcPr>
            <w:tcW w:w="5588" w:type="dxa"/>
            <w:vAlign w:val="center"/>
          </w:tcPr>
          <w:p w14:paraId="4E99DD4F">
            <w:pPr>
              <w:jc w:val="center"/>
              <w:rPr>
                <w:rFonts w:ascii="仿宋" w:hAnsi="仿宋" w:eastAsia="仿宋" w:cs="仿宋"/>
                <w:color w:val="auto"/>
                <w:szCs w:val="21"/>
                <w:lang w:eastAsia="zh-CN"/>
              </w:rPr>
            </w:pPr>
          </w:p>
        </w:tc>
      </w:tr>
      <w:tr w14:paraId="76E5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28D2423F">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5588" w:type="dxa"/>
            <w:vAlign w:val="center"/>
          </w:tcPr>
          <w:p w14:paraId="61201537">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60天</w:t>
            </w:r>
          </w:p>
        </w:tc>
      </w:tr>
      <w:tr w14:paraId="585F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1245E9C7">
            <w:pPr>
              <w:jc w:val="center"/>
              <w:rPr>
                <w:rFonts w:ascii="仿宋" w:hAnsi="仿宋" w:eastAsia="仿宋" w:cs="仿宋"/>
                <w:color w:val="auto"/>
                <w:szCs w:val="21"/>
              </w:rPr>
            </w:pPr>
            <w:r>
              <w:rPr>
                <w:rFonts w:hint="eastAsia" w:ascii="仿宋" w:hAnsi="仿宋" w:eastAsia="仿宋" w:cs="仿宋"/>
                <w:color w:val="auto"/>
                <w:szCs w:val="21"/>
              </w:rPr>
              <w:t>投标报价</w:t>
            </w:r>
          </w:p>
          <w:p w14:paraId="0025ACFF">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14:paraId="09663371">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5588" w:type="dxa"/>
            <w:vAlign w:val="center"/>
          </w:tcPr>
          <w:p w14:paraId="33E0A7F8">
            <w:pPr>
              <w:jc w:val="center"/>
              <w:rPr>
                <w:rFonts w:ascii="仿宋" w:hAnsi="仿宋" w:eastAsia="仿宋" w:cs="仿宋"/>
                <w:color w:val="auto"/>
                <w:szCs w:val="21"/>
              </w:rPr>
            </w:pPr>
          </w:p>
        </w:tc>
      </w:tr>
      <w:tr w14:paraId="5867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52D005F0">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14:paraId="68682F56">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5588" w:type="dxa"/>
            <w:vAlign w:val="center"/>
          </w:tcPr>
          <w:p w14:paraId="5A7FFF6F">
            <w:pPr>
              <w:jc w:val="center"/>
              <w:rPr>
                <w:rFonts w:ascii="仿宋" w:hAnsi="仿宋" w:eastAsia="仿宋" w:cs="仿宋"/>
                <w:color w:val="auto"/>
                <w:szCs w:val="21"/>
              </w:rPr>
            </w:pPr>
          </w:p>
        </w:tc>
      </w:tr>
    </w:tbl>
    <w:p w14:paraId="18061B72">
      <w:pPr>
        <w:spacing w:line="500" w:lineRule="exact"/>
        <w:ind w:firstLine="475" w:firstLineChars="196"/>
        <w:rPr>
          <w:rFonts w:ascii="仿宋" w:hAnsi="仿宋" w:eastAsia="仿宋" w:cs="仿宋"/>
          <w:color w:val="auto"/>
          <w:szCs w:val="21"/>
        </w:rPr>
      </w:pPr>
      <w:r>
        <w:rPr>
          <w:rFonts w:hint="eastAsia" w:ascii="仿宋" w:hAnsi="仿宋" w:eastAsia="仿宋" w:cs="仿宋"/>
          <w:color w:val="auto"/>
          <w:szCs w:val="21"/>
        </w:rPr>
        <w:t>填写说明：</w:t>
      </w:r>
    </w:p>
    <w:p w14:paraId="2D967DF2">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开标时，本表中的内容与投标文件中的投标函、服务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AE2F8B0">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.投标总价为招标范围所列全部招标项目的报价总和，并应与投标报价明细表及分项价格表保持一致。</w:t>
      </w:r>
    </w:p>
    <w:p w14:paraId="380275C2">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.必须在投标文件中装订。</w:t>
      </w:r>
    </w:p>
    <w:p w14:paraId="186A4A98">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4</w:t>
      </w:r>
      <w:r>
        <w:rPr>
          <w:rFonts w:hint="eastAsia" w:ascii="仿宋" w:hAnsi="仿宋" w:eastAsia="仿宋" w:cs="仿宋"/>
          <w:color w:val="auto"/>
          <w:szCs w:val="21"/>
          <w:lang w:eastAsia="zh-CN"/>
        </w:rPr>
        <w:t>.投标报价不得填报选择性报价。</w:t>
      </w:r>
    </w:p>
    <w:p w14:paraId="614D1CCB">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供应商名称：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14:paraId="754B193F">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564BE83B">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7B0CF65B">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14:paraId="42AEEF8D">
      <w:pPr>
        <w:pStyle w:val="4"/>
        <w:spacing w:line="240" w:lineRule="atLeast"/>
        <w:rPr>
          <w:rFonts w:ascii="宋体" w:hAnsi="宋体" w:eastAsia="宋体" w:cs="宋体"/>
          <w:bCs/>
          <w:color w:val="auto"/>
          <w:sz w:val="24"/>
          <w:lang w:eastAsia="zh-CN"/>
        </w:rPr>
      </w:pPr>
    </w:p>
    <w:p w14:paraId="6D4837E5">
      <w:pPr>
        <w:pStyle w:val="4"/>
        <w:spacing w:line="240" w:lineRule="atLeast"/>
        <w:rPr>
          <w:rFonts w:ascii="宋体" w:hAnsi="宋体" w:eastAsia="宋体" w:cs="宋体"/>
          <w:bCs/>
          <w:color w:val="auto"/>
          <w:sz w:val="24"/>
          <w:lang w:eastAsia="zh-CN"/>
        </w:rPr>
      </w:pPr>
    </w:p>
    <w:p w14:paraId="6019C7C8">
      <w:pPr>
        <w:pStyle w:val="36"/>
        <w:keepNext/>
        <w:keepLines/>
        <w:spacing w:before="0" w:after="220"/>
        <w:rPr>
          <w:rFonts w:ascii="仿宋" w:hAnsi="仿宋" w:eastAsia="仿宋" w:cs="仿宋"/>
          <w:color w:val="auto"/>
          <w:lang w:val="en-US" w:eastAsia="zh-CN"/>
        </w:rPr>
      </w:pPr>
      <w:r>
        <w:rPr>
          <w:rFonts w:hint="eastAsia" w:ascii="仿宋" w:hAnsi="仿宋" w:eastAsia="仿宋" w:cs="仿宋"/>
          <w:color w:val="auto"/>
          <w:lang w:val="en-US" w:eastAsia="zh-CN"/>
        </w:rPr>
        <w:t>3、服务说明一览表</w:t>
      </w:r>
    </w:p>
    <w:p w14:paraId="0B2A05E5">
      <w:pPr>
        <w:pStyle w:val="12"/>
        <w:spacing w:line="240" w:lineRule="atLeast"/>
        <w:ind w:left="1164" w:leftChars="257" w:hanging="540"/>
        <w:rPr>
          <w:rFonts w:ascii="仿宋" w:hAnsi="仿宋" w:eastAsia="仿宋" w:cs="仿宋"/>
          <w:color w:val="auto"/>
          <w:lang w:eastAsia="zh-CN"/>
        </w:rPr>
      </w:pPr>
    </w:p>
    <w:p w14:paraId="52294100">
      <w:pPr>
        <w:pStyle w:val="12"/>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项目名称:                           </w:t>
      </w:r>
    </w:p>
    <w:p w14:paraId="2BA1D1DC">
      <w:pPr>
        <w:pStyle w:val="12"/>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招标编号:                       包号:                      </w:t>
      </w:r>
    </w:p>
    <w:p w14:paraId="6A911A90">
      <w:pPr>
        <w:pStyle w:val="12"/>
        <w:spacing w:line="240" w:lineRule="atLeast"/>
        <w:ind w:left="1164" w:leftChars="257" w:hanging="540"/>
        <w:rPr>
          <w:rFonts w:ascii="仿宋" w:hAnsi="仿宋" w:eastAsia="仿宋" w:cs="仿宋"/>
          <w:color w:val="auto"/>
          <w:lang w:eastAsia="zh-CN"/>
        </w:rPr>
      </w:pPr>
    </w:p>
    <w:tbl>
      <w:tblPr>
        <w:tblStyle w:val="25"/>
        <w:tblW w:w="7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370"/>
        <w:gridCol w:w="1420"/>
        <w:gridCol w:w="1101"/>
      </w:tblGrid>
      <w:tr w14:paraId="45BB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5F83BD5C">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7E7A1C2B">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服务名称</w:t>
            </w:r>
          </w:p>
        </w:tc>
        <w:tc>
          <w:tcPr>
            <w:tcW w:w="1410" w:type="dxa"/>
            <w:vAlign w:val="center"/>
          </w:tcPr>
          <w:p w14:paraId="479DE363">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服务要求</w:t>
            </w:r>
          </w:p>
        </w:tc>
        <w:tc>
          <w:tcPr>
            <w:tcW w:w="1370" w:type="dxa"/>
            <w:vAlign w:val="center"/>
          </w:tcPr>
          <w:p w14:paraId="194B7938">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服务期</w:t>
            </w:r>
          </w:p>
        </w:tc>
        <w:tc>
          <w:tcPr>
            <w:tcW w:w="1420" w:type="dxa"/>
            <w:vAlign w:val="center"/>
          </w:tcPr>
          <w:p w14:paraId="3F091F6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服务地点</w:t>
            </w:r>
          </w:p>
        </w:tc>
        <w:tc>
          <w:tcPr>
            <w:tcW w:w="1101" w:type="dxa"/>
            <w:vAlign w:val="center"/>
          </w:tcPr>
          <w:p w14:paraId="7149418E">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2E46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5916F8F8">
            <w:pPr>
              <w:pStyle w:val="12"/>
              <w:spacing w:line="240" w:lineRule="atLeast"/>
              <w:ind w:left="1164" w:leftChars="257" w:hanging="540"/>
              <w:rPr>
                <w:rFonts w:ascii="仿宋" w:hAnsi="仿宋" w:eastAsia="仿宋" w:cs="仿宋"/>
                <w:color w:val="auto"/>
                <w:highlight w:val="none"/>
                <w:lang w:eastAsia="zh-CN"/>
              </w:rPr>
            </w:pPr>
          </w:p>
        </w:tc>
        <w:tc>
          <w:tcPr>
            <w:tcW w:w="1400" w:type="dxa"/>
          </w:tcPr>
          <w:p w14:paraId="5DD973D6">
            <w:pPr>
              <w:pStyle w:val="12"/>
              <w:spacing w:line="240" w:lineRule="atLeast"/>
              <w:ind w:left="1164" w:leftChars="257" w:hanging="540"/>
              <w:rPr>
                <w:rFonts w:ascii="仿宋" w:hAnsi="仿宋" w:eastAsia="仿宋" w:cs="仿宋"/>
                <w:color w:val="auto"/>
                <w:highlight w:val="none"/>
                <w:lang w:eastAsia="zh-CN"/>
              </w:rPr>
            </w:pPr>
          </w:p>
        </w:tc>
        <w:tc>
          <w:tcPr>
            <w:tcW w:w="1410" w:type="dxa"/>
          </w:tcPr>
          <w:p w14:paraId="483A2829">
            <w:pPr>
              <w:pStyle w:val="12"/>
              <w:spacing w:line="240" w:lineRule="atLeast"/>
              <w:ind w:left="1164" w:leftChars="257" w:hanging="540"/>
              <w:rPr>
                <w:rFonts w:ascii="仿宋" w:hAnsi="仿宋" w:eastAsia="仿宋" w:cs="仿宋"/>
                <w:color w:val="auto"/>
                <w:highlight w:val="none"/>
                <w:lang w:eastAsia="zh-CN"/>
              </w:rPr>
            </w:pPr>
          </w:p>
        </w:tc>
        <w:tc>
          <w:tcPr>
            <w:tcW w:w="1370" w:type="dxa"/>
          </w:tcPr>
          <w:p w14:paraId="00BCA8FD">
            <w:pPr>
              <w:pStyle w:val="12"/>
              <w:spacing w:line="240" w:lineRule="atLeast"/>
              <w:ind w:left="1164" w:leftChars="257" w:hanging="540"/>
              <w:rPr>
                <w:rFonts w:ascii="仿宋" w:hAnsi="仿宋" w:eastAsia="仿宋" w:cs="仿宋"/>
                <w:color w:val="auto"/>
                <w:highlight w:val="none"/>
                <w:lang w:eastAsia="zh-CN"/>
              </w:rPr>
            </w:pPr>
          </w:p>
        </w:tc>
        <w:tc>
          <w:tcPr>
            <w:tcW w:w="1420" w:type="dxa"/>
          </w:tcPr>
          <w:p w14:paraId="10D7CB58">
            <w:pPr>
              <w:pStyle w:val="12"/>
              <w:spacing w:line="240" w:lineRule="atLeast"/>
              <w:ind w:left="1164" w:leftChars="257" w:hanging="540"/>
              <w:rPr>
                <w:rFonts w:ascii="仿宋" w:hAnsi="仿宋" w:eastAsia="仿宋" w:cs="仿宋"/>
                <w:color w:val="auto"/>
                <w:highlight w:val="none"/>
                <w:lang w:eastAsia="zh-CN"/>
              </w:rPr>
            </w:pPr>
          </w:p>
        </w:tc>
        <w:tc>
          <w:tcPr>
            <w:tcW w:w="1101" w:type="dxa"/>
          </w:tcPr>
          <w:p w14:paraId="4E204B23">
            <w:pPr>
              <w:pStyle w:val="12"/>
              <w:spacing w:line="240" w:lineRule="atLeast"/>
              <w:ind w:left="1164" w:leftChars="257" w:hanging="540"/>
              <w:rPr>
                <w:rFonts w:ascii="仿宋" w:hAnsi="仿宋" w:eastAsia="仿宋" w:cs="仿宋"/>
                <w:color w:val="auto"/>
                <w:highlight w:val="none"/>
                <w:lang w:eastAsia="zh-CN"/>
              </w:rPr>
            </w:pPr>
          </w:p>
        </w:tc>
      </w:tr>
      <w:tr w14:paraId="74BB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3DF35464">
            <w:pPr>
              <w:pStyle w:val="12"/>
              <w:spacing w:line="240" w:lineRule="atLeast"/>
              <w:ind w:left="1164" w:leftChars="257" w:hanging="540"/>
              <w:rPr>
                <w:rFonts w:ascii="仿宋" w:hAnsi="仿宋" w:eastAsia="仿宋" w:cs="仿宋"/>
                <w:color w:val="auto"/>
                <w:highlight w:val="none"/>
                <w:lang w:eastAsia="zh-CN"/>
              </w:rPr>
            </w:pPr>
          </w:p>
        </w:tc>
        <w:tc>
          <w:tcPr>
            <w:tcW w:w="1400" w:type="dxa"/>
          </w:tcPr>
          <w:p w14:paraId="48904BDA">
            <w:pPr>
              <w:pStyle w:val="12"/>
              <w:spacing w:line="240" w:lineRule="atLeast"/>
              <w:ind w:left="1164" w:leftChars="257" w:hanging="540"/>
              <w:rPr>
                <w:rFonts w:ascii="仿宋" w:hAnsi="仿宋" w:eastAsia="仿宋" w:cs="仿宋"/>
                <w:color w:val="auto"/>
                <w:highlight w:val="none"/>
                <w:lang w:eastAsia="zh-CN"/>
              </w:rPr>
            </w:pPr>
          </w:p>
        </w:tc>
        <w:tc>
          <w:tcPr>
            <w:tcW w:w="1410" w:type="dxa"/>
          </w:tcPr>
          <w:p w14:paraId="3EA4EBF6">
            <w:pPr>
              <w:pStyle w:val="12"/>
              <w:spacing w:line="240" w:lineRule="atLeast"/>
              <w:ind w:left="1164" w:leftChars="257" w:hanging="540"/>
              <w:rPr>
                <w:rFonts w:ascii="仿宋" w:hAnsi="仿宋" w:eastAsia="仿宋" w:cs="仿宋"/>
                <w:color w:val="auto"/>
                <w:highlight w:val="none"/>
                <w:lang w:eastAsia="zh-CN"/>
              </w:rPr>
            </w:pPr>
          </w:p>
        </w:tc>
        <w:tc>
          <w:tcPr>
            <w:tcW w:w="1370" w:type="dxa"/>
          </w:tcPr>
          <w:p w14:paraId="4B8F4B2D">
            <w:pPr>
              <w:pStyle w:val="12"/>
              <w:spacing w:line="240" w:lineRule="atLeast"/>
              <w:ind w:left="1164" w:leftChars="257" w:hanging="540"/>
              <w:rPr>
                <w:rFonts w:ascii="仿宋" w:hAnsi="仿宋" w:eastAsia="仿宋" w:cs="仿宋"/>
                <w:color w:val="auto"/>
                <w:highlight w:val="none"/>
                <w:lang w:eastAsia="zh-CN"/>
              </w:rPr>
            </w:pPr>
          </w:p>
        </w:tc>
        <w:tc>
          <w:tcPr>
            <w:tcW w:w="1420" w:type="dxa"/>
          </w:tcPr>
          <w:p w14:paraId="6044DB80">
            <w:pPr>
              <w:pStyle w:val="12"/>
              <w:spacing w:line="240" w:lineRule="atLeast"/>
              <w:ind w:left="1164" w:leftChars="257" w:hanging="540"/>
              <w:rPr>
                <w:rFonts w:ascii="仿宋" w:hAnsi="仿宋" w:eastAsia="仿宋" w:cs="仿宋"/>
                <w:color w:val="auto"/>
                <w:highlight w:val="none"/>
                <w:lang w:eastAsia="zh-CN"/>
              </w:rPr>
            </w:pPr>
          </w:p>
        </w:tc>
        <w:tc>
          <w:tcPr>
            <w:tcW w:w="1101" w:type="dxa"/>
          </w:tcPr>
          <w:p w14:paraId="17D826C0">
            <w:pPr>
              <w:pStyle w:val="12"/>
              <w:spacing w:line="240" w:lineRule="atLeast"/>
              <w:ind w:left="1164" w:leftChars="257" w:hanging="540"/>
              <w:rPr>
                <w:rFonts w:ascii="仿宋" w:hAnsi="仿宋" w:eastAsia="仿宋" w:cs="仿宋"/>
                <w:color w:val="auto"/>
                <w:highlight w:val="none"/>
                <w:lang w:eastAsia="zh-CN"/>
              </w:rPr>
            </w:pPr>
          </w:p>
        </w:tc>
      </w:tr>
      <w:tr w14:paraId="6148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2E78370E">
            <w:pPr>
              <w:pStyle w:val="12"/>
              <w:spacing w:line="240" w:lineRule="atLeast"/>
              <w:ind w:left="1164" w:leftChars="257" w:hanging="540"/>
              <w:rPr>
                <w:rFonts w:ascii="仿宋" w:hAnsi="仿宋" w:eastAsia="仿宋" w:cs="仿宋"/>
                <w:color w:val="auto"/>
                <w:highlight w:val="none"/>
                <w:lang w:eastAsia="zh-CN"/>
              </w:rPr>
            </w:pPr>
          </w:p>
        </w:tc>
        <w:tc>
          <w:tcPr>
            <w:tcW w:w="1400" w:type="dxa"/>
          </w:tcPr>
          <w:p w14:paraId="414D1C82">
            <w:pPr>
              <w:pStyle w:val="12"/>
              <w:spacing w:line="240" w:lineRule="atLeast"/>
              <w:ind w:left="1164" w:leftChars="257" w:hanging="540"/>
              <w:rPr>
                <w:rFonts w:ascii="仿宋" w:hAnsi="仿宋" w:eastAsia="仿宋" w:cs="仿宋"/>
                <w:color w:val="auto"/>
                <w:highlight w:val="none"/>
                <w:lang w:eastAsia="zh-CN"/>
              </w:rPr>
            </w:pPr>
          </w:p>
        </w:tc>
        <w:tc>
          <w:tcPr>
            <w:tcW w:w="1410" w:type="dxa"/>
          </w:tcPr>
          <w:p w14:paraId="1E361ABE">
            <w:pPr>
              <w:pStyle w:val="12"/>
              <w:spacing w:line="240" w:lineRule="atLeast"/>
              <w:ind w:left="1164" w:leftChars="257" w:hanging="540"/>
              <w:rPr>
                <w:rFonts w:ascii="仿宋" w:hAnsi="仿宋" w:eastAsia="仿宋" w:cs="仿宋"/>
                <w:color w:val="auto"/>
                <w:highlight w:val="none"/>
                <w:lang w:eastAsia="zh-CN"/>
              </w:rPr>
            </w:pPr>
          </w:p>
        </w:tc>
        <w:tc>
          <w:tcPr>
            <w:tcW w:w="1370" w:type="dxa"/>
          </w:tcPr>
          <w:p w14:paraId="388DE362">
            <w:pPr>
              <w:pStyle w:val="12"/>
              <w:spacing w:line="240" w:lineRule="atLeast"/>
              <w:ind w:left="1164" w:leftChars="257" w:hanging="540"/>
              <w:rPr>
                <w:rFonts w:ascii="仿宋" w:hAnsi="仿宋" w:eastAsia="仿宋" w:cs="仿宋"/>
                <w:color w:val="auto"/>
                <w:highlight w:val="none"/>
                <w:lang w:eastAsia="zh-CN"/>
              </w:rPr>
            </w:pPr>
          </w:p>
        </w:tc>
        <w:tc>
          <w:tcPr>
            <w:tcW w:w="1420" w:type="dxa"/>
          </w:tcPr>
          <w:p w14:paraId="32B1574E">
            <w:pPr>
              <w:pStyle w:val="12"/>
              <w:spacing w:line="240" w:lineRule="atLeast"/>
              <w:ind w:left="1164" w:leftChars="257" w:hanging="540"/>
              <w:rPr>
                <w:rFonts w:ascii="仿宋" w:hAnsi="仿宋" w:eastAsia="仿宋" w:cs="仿宋"/>
                <w:color w:val="auto"/>
                <w:highlight w:val="none"/>
                <w:lang w:eastAsia="zh-CN"/>
              </w:rPr>
            </w:pPr>
          </w:p>
        </w:tc>
        <w:tc>
          <w:tcPr>
            <w:tcW w:w="1101" w:type="dxa"/>
          </w:tcPr>
          <w:p w14:paraId="302A0D73">
            <w:pPr>
              <w:pStyle w:val="12"/>
              <w:spacing w:line="240" w:lineRule="atLeast"/>
              <w:ind w:left="1164" w:leftChars="257" w:hanging="540"/>
              <w:rPr>
                <w:rFonts w:ascii="仿宋" w:hAnsi="仿宋" w:eastAsia="仿宋" w:cs="仿宋"/>
                <w:color w:val="auto"/>
                <w:highlight w:val="none"/>
                <w:lang w:eastAsia="zh-CN"/>
              </w:rPr>
            </w:pPr>
          </w:p>
        </w:tc>
      </w:tr>
      <w:tr w14:paraId="6809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4AE83DAC">
            <w:pPr>
              <w:pStyle w:val="12"/>
              <w:spacing w:line="240" w:lineRule="atLeast"/>
              <w:ind w:left="1164" w:leftChars="257" w:hanging="540"/>
              <w:rPr>
                <w:rFonts w:ascii="仿宋" w:hAnsi="仿宋" w:eastAsia="仿宋" w:cs="仿宋"/>
                <w:color w:val="auto"/>
                <w:highlight w:val="none"/>
                <w:lang w:eastAsia="zh-CN"/>
              </w:rPr>
            </w:pPr>
          </w:p>
        </w:tc>
        <w:tc>
          <w:tcPr>
            <w:tcW w:w="1400" w:type="dxa"/>
          </w:tcPr>
          <w:p w14:paraId="5DE579F3">
            <w:pPr>
              <w:pStyle w:val="12"/>
              <w:spacing w:line="240" w:lineRule="atLeast"/>
              <w:ind w:left="1164" w:leftChars="257" w:hanging="540"/>
              <w:rPr>
                <w:rFonts w:ascii="仿宋" w:hAnsi="仿宋" w:eastAsia="仿宋" w:cs="仿宋"/>
                <w:color w:val="auto"/>
                <w:highlight w:val="none"/>
                <w:lang w:eastAsia="zh-CN"/>
              </w:rPr>
            </w:pPr>
          </w:p>
        </w:tc>
        <w:tc>
          <w:tcPr>
            <w:tcW w:w="1410" w:type="dxa"/>
          </w:tcPr>
          <w:p w14:paraId="63D26AF7">
            <w:pPr>
              <w:pStyle w:val="12"/>
              <w:spacing w:line="240" w:lineRule="atLeast"/>
              <w:ind w:left="1164" w:leftChars="257" w:hanging="540"/>
              <w:rPr>
                <w:rFonts w:ascii="仿宋" w:hAnsi="仿宋" w:eastAsia="仿宋" w:cs="仿宋"/>
                <w:color w:val="auto"/>
                <w:highlight w:val="none"/>
                <w:lang w:eastAsia="zh-CN"/>
              </w:rPr>
            </w:pPr>
          </w:p>
        </w:tc>
        <w:tc>
          <w:tcPr>
            <w:tcW w:w="1370" w:type="dxa"/>
          </w:tcPr>
          <w:p w14:paraId="20CCA86B">
            <w:pPr>
              <w:pStyle w:val="12"/>
              <w:spacing w:line="240" w:lineRule="atLeast"/>
              <w:ind w:left="1164" w:leftChars="257" w:hanging="540"/>
              <w:rPr>
                <w:rFonts w:ascii="仿宋" w:hAnsi="仿宋" w:eastAsia="仿宋" w:cs="仿宋"/>
                <w:color w:val="auto"/>
                <w:highlight w:val="none"/>
                <w:lang w:eastAsia="zh-CN"/>
              </w:rPr>
            </w:pPr>
          </w:p>
        </w:tc>
        <w:tc>
          <w:tcPr>
            <w:tcW w:w="1420" w:type="dxa"/>
          </w:tcPr>
          <w:p w14:paraId="51E1DD90">
            <w:pPr>
              <w:pStyle w:val="12"/>
              <w:spacing w:line="240" w:lineRule="atLeast"/>
              <w:ind w:left="1164" w:leftChars="257" w:hanging="540"/>
              <w:rPr>
                <w:rFonts w:ascii="仿宋" w:hAnsi="仿宋" w:eastAsia="仿宋" w:cs="仿宋"/>
                <w:color w:val="auto"/>
                <w:highlight w:val="none"/>
                <w:lang w:eastAsia="zh-CN"/>
              </w:rPr>
            </w:pPr>
          </w:p>
        </w:tc>
        <w:tc>
          <w:tcPr>
            <w:tcW w:w="1101" w:type="dxa"/>
          </w:tcPr>
          <w:p w14:paraId="5B7E4765">
            <w:pPr>
              <w:pStyle w:val="12"/>
              <w:spacing w:line="240" w:lineRule="atLeast"/>
              <w:ind w:left="1164" w:leftChars="257" w:hanging="540"/>
              <w:rPr>
                <w:rFonts w:ascii="仿宋" w:hAnsi="仿宋" w:eastAsia="仿宋" w:cs="仿宋"/>
                <w:color w:val="auto"/>
                <w:highlight w:val="none"/>
                <w:lang w:eastAsia="zh-CN"/>
              </w:rPr>
            </w:pPr>
          </w:p>
        </w:tc>
      </w:tr>
      <w:tr w14:paraId="0988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1B71DEE5">
            <w:pPr>
              <w:pStyle w:val="12"/>
              <w:spacing w:line="240" w:lineRule="atLeast"/>
              <w:ind w:left="1164" w:leftChars="257" w:hanging="540"/>
              <w:rPr>
                <w:rFonts w:ascii="仿宋" w:hAnsi="仿宋" w:eastAsia="仿宋" w:cs="仿宋"/>
                <w:color w:val="auto"/>
                <w:highlight w:val="none"/>
                <w:lang w:eastAsia="zh-CN"/>
              </w:rPr>
            </w:pPr>
          </w:p>
        </w:tc>
        <w:tc>
          <w:tcPr>
            <w:tcW w:w="1400" w:type="dxa"/>
          </w:tcPr>
          <w:p w14:paraId="731C9843">
            <w:pPr>
              <w:pStyle w:val="12"/>
              <w:spacing w:line="240" w:lineRule="atLeast"/>
              <w:ind w:left="1164" w:leftChars="257" w:hanging="540"/>
              <w:rPr>
                <w:rFonts w:ascii="仿宋" w:hAnsi="仿宋" w:eastAsia="仿宋" w:cs="仿宋"/>
                <w:color w:val="auto"/>
                <w:highlight w:val="none"/>
                <w:lang w:eastAsia="zh-CN"/>
              </w:rPr>
            </w:pPr>
          </w:p>
        </w:tc>
        <w:tc>
          <w:tcPr>
            <w:tcW w:w="1410" w:type="dxa"/>
          </w:tcPr>
          <w:p w14:paraId="17FA57B2">
            <w:pPr>
              <w:pStyle w:val="12"/>
              <w:spacing w:line="240" w:lineRule="atLeast"/>
              <w:ind w:left="1164" w:leftChars="257" w:hanging="540"/>
              <w:rPr>
                <w:rFonts w:ascii="仿宋" w:hAnsi="仿宋" w:eastAsia="仿宋" w:cs="仿宋"/>
                <w:color w:val="auto"/>
                <w:highlight w:val="none"/>
                <w:lang w:eastAsia="zh-CN"/>
              </w:rPr>
            </w:pPr>
          </w:p>
        </w:tc>
        <w:tc>
          <w:tcPr>
            <w:tcW w:w="1370" w:type="dxa"/>
          </w:tcPr>
          <w:p w14:paraId="4645DA0C">
            <w:pPr>
              <w:pStyle w:val="12"/>
              <w:spacing w:line="240" w:lineRule="atLeast"/>
              <w:ind w:left="1164" w:leftChars="257" w:hanging="540"/>
              <w:rPr>
                <w:rFonts w:ascii="仿宋" w:hAnsi="仿宋" w:eastAsia="仿宋" w:cs="仿宋"/>
                <w:color w:val="auto"/>
                <w:highlight w:val="none"/>
                <w:lang w:eastAsia="zh-CN"/>
              </w:rPr>
            </w:pPr>
          </w:p>
        </w:tc>
        <w:tc>
          <w:tcPr>
            <w:tcW w:w="1420" w:type="dxa"/>
          </w:tcPr>
          <w:p w14:paraId="178D424B">
            <w:pPr>
              <w:pStyle w:val="12"/>
              <w:spacing w:line="240" w:lineRule="atLeast"/>
              <w:ind w:left="1164" w:leftChars="257" w:hanging="540"/>
              <w:rPr>
                <w:rFonts w:ascii="仿宋" w:hAnsi="仿宋" w:eastAsia="仿宋" w:cs="仿宋"/>
                <w:color w:val="auto"/>
                <w:highlight w:val="none"/>
                <w:lang w:eastAsia="zh-CN"/>
              </w:rPr>
            </w:pPr>
          </w:p>
        </w:tc>
        <w:tc>
          <w:tcPr>
            <w:tcW w:w="1101" w:type="dxa"/>
          </w:tcPr>
          <w:p w14:paraId="75A2C575">
            <w:pPr>
              <w:pStyle w:val="12"/>
              <w:spacing w:line="240" w:lineRule="atLeast"/>
              <w:ind w:left="1164" w:leftChars="257" w:hanging="540"/>
              <w:rPr>
                <w:rFonts w:ascii="仿宋" w:hAnsi="仿宋" w:eastAsia="仿宋" w:cs="仿宋"/>
                <w:color w:val="auto"/>
                <w:highlight w:val="none"/>
                <w:lang w:eastAsia="zh-CN"/>
              </w:rPr>
            </w:pPr>
          </w:p>
        </w:tc>
      </w:tr>
      <w:tr w14:paraId="71DE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488F4ABC">
            <w:pPr>
              <w:pStyle w:val="12"/>
              <w:spacing w:line="240" w:lineRule="atLeast"/>
              <w:ind w:left="1164" w:leftChars="257" w:hanging="540"/>
              <w:rPr>
                <w:rFonts w:ascii="仿宋" w:hAnsi="仿宋" w:eastAsia="仿宋" w:cs="仿宋"/>
                <w:color w:val="auto"/>
                <w:highlight w:val="none"/>
                <w:lang w:eastAsia="zh-CN"/>
              </w:rPr>
            </w:pPr>
          </w:p>
        </w:tc>
        <w:tc>
          <w:tcPr>
            <w:tcW w:w="1400" w:type="dxa"/>
          </w:tcPr>
          <w:p w14:paraId="5BBEC1A1">
            <w:pPr>
              <w:pStyle w:val="12"/>
              <w:spacing w:line="240" w:lineRule="atLeast"/>
              <w:ind w:left="1164" w:leftChars="257" w:hanging="540"/>
              <w:rPr>
                <w:rFonts w:ascii="仿宋" w:hAnsi="仿宋" w:eastAsia="仿宋" w:cs="仿宋"/>
                <w:color w:val="auto"/>
                <w:highlight w:val="none"/>
                <w:lang w:eastAsia="zh-CN"/>
              </w:rPr>
            </w:pPr>
          </w:p>
        </w:tc>
        <w:tc>
          <w:tcPr>
            <w:tcW w:w="1410" w:type="dxa"/>
          </w:tcPr>
          <w:p w14:paraId="597AB5BF">
            <w:pPr>
              <w:pStyle w:val="12"/>
              <w:spacing w:line="240" w:lineRule="atLeast"/>
              <w:ind w:left="1164" w:leftChars="257" w:hanging="540"/>
              <w:rPr>
                <w:rFonts w:ascii="仿宋" w:hAnsi="仿宋" w:eastAsia="仿宋" w:cs="仿宋"/>
                <w:color w:val="auto"/>
                <w:highlight w:val="none"/>
                <w:lang w:eastAsia="zh-CN"/>
              </w:rPr>
            </w:pPr>
          </w:p>
        </w:tc>
        <w:tc>
          <w:tcPr>
            <w:tcW w:w="1370" w:type="dxa"/>
          </w:tcPr>
          <w:p w14:paraId="01ADA307">
            <w:pPr>
              <w:pStyle w:val="12"/>
              <w:spacing w:line="240" w:lineRule="atLeast"/>
              <w:ind w:left="1164" w:leftChars="257" w:hanging="540"/>
              <w:rPr>
                <w:rFonts w:ascii="仿宋" w:hAnsi="仿宋" w:eastAsia="仿宋" w:cs="仿宋"/>
                <w:color w:val="auto"/>
                <w:highlight w:val="none"/>
                <w:lang w:eastAsia="zh-CN"/>
              </w:rPr>
            </w:pPr>
          </w:p>
        </w:tc>
        <w:tc>
          <w:tcPr>
            <w:tcW w:w="1420" w:type="dxa"/>
          </w:tcPr>
          <w:p w14:paraId="36763D32">
            <w:pPr>
              <w:pStyle w:val="12"/>
              <w:spacing w:line="240" w:lineRule="atLeast"/>
              <w:ind w:left="1164" w:leftChars="257" w:hanging="540"/>
              <w:rPr>
                <w:rFonts w:ascii="仿宋" w:hAnsi="仿宋" w:eastAsia="仿宋" w:cs="仿宋"/>
                <w:color w:val="auto"/>
                <w:highlight w:val="none"/>
                <w:lang w:eastAsia="zh-CN"/>
              </w:rPr>
            </w:pPr>
          </w:p>
        </w:tc>
        <w:tc>
          <w:tcPr>
            <w:tcW w:w="1101" w:type="dxa"/>
          </w:tcPr>
          <w:p w14:paraId="1FB4E103">
            <w:pPr>
              <w:pStyle w:val="12"/>
              <w:spacing w:line="240" w:lineRule="atLeast"/>
              <w:ind w:left="1164" w:leftChars="257" w:hanging="540"/>
              <w:rPr>
                <w:rFonts w:ascii="仿宋" w:hAnsi="仿宋" w:eastAsia="仿宋" w:cs="仿宋"/>
                <w:color w:val="auto"/>
                <w:highlight w:val="none"/>
                <w:lang w:eastAsia="zh-CN"/>
              </w:rPr>
            </w:pPr>
          </w:p>
        </w:tc>
      </w:tr>
      <w:tr w14:paraId="1474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6B139728">
            <w:pPr>
              <w:pStyle w:val="12"/>
              <w:spacing w:line="240" w:lineRule="atLeast"/>
              <w:ind w:left="1164" w:leftChars="257" w:hanging="540"/>
              <w:rPr>
                <w:rFonts w:ascii="仿宋" w:hAnsi="仿宋" w:eastAsia="仿宋" w:cs="仿宋"/>
                <w:color w:val="auto"/>
                <w:highlight w:val="none"/>
                <w:lang w:eastAsia="zh-CN"/>
              </w:rPr>
            </w:pPr>
          </w:p>
        </w:tc>
        <w:tc>
          <w:tcPr>
            <w:tcW w:w="1400" w:type="dxa"/>
          </w:tcPr>
          <w:p w14:paraId="605A44BC">
            <w:pPr>
              <w:pStyle w:val="12"/>
              <w:spacing w:line="240" w:lineRule="atLeast"/>
              <w:ind w:left="1164" w:leftChars="257" w:hanging="540"/>
              <w:rPr>
                <w:rFonts w:ascii="仿宋" w:hAnsi="仿宋" w:eastAsia="仿宋" w:cs="仿宋"/>
                <w:color w:val="auto"/>
                <w:highlight w:val="none"/>
                <w:lang w:eastAsia="zh-CN"/>
              </w:rPr>
            </w:pPr>
          </w:p>
        </w:tc>
        <w:tc>
          <w:tcPr>
            <w:tcW w:w="1410" w:type="dxa"/>
          </w:tcPr>
          <w:p w14:paraId="4084F4EF">
            <w:pPr>
              <w:pStyle w:val="12"/>
              <w:spacing w:line="240" w:lineRule="atLeast"/>
              <w:ind w:left="1164" w:leftChars="257" w:hanging="540"/>
              <w:rPr>
                <w:rFonts w:ascii="仿宋" w:hAnsi="仿宋" w:eastAsia="仿宋" w:cs="仿宋"/>
                <w:color w:val="auto"/>
                <w:highlight w:val="none"/>
                <w:lang w:eastAsia="zh-CN"/>
              </w:rPr>
            </w:pPr>
          </w:p>
        </w:tc>
        <w:tc>
          <w:tcPr>
            <w:tcW w:w="1370" w:type="dxa"/>
          </w:tcPr>
          <w:p w14:paraId="361F2A96">
            <w:pPr>
              <w:pStyle w:val="12"/>
              <w:spacing w:line="240" w:lineRule="atLeast"/>
              <w:ind w:left="1164" w:leftChars="257" w:hanging="540"/>
              <w:rPr>
                <w:rFonts w:ascii="仿宋" w:hAnsi="仿宋" w:eastAsia="仿宋" w:cs="仿宋"/>
                <w:color w:val="auto"/>
                <w:highlight w:val="none"/>
                <w:lang w:eastAsia="zh-CN"/>
              </w:rPr>
            </w:pPr>
          </w:p>
        </w:tc>
        <w:tc>
          <w:tcPr>
            <w:tcW w:w="1420" w:type="dxa"/>
          </w:tcPr>
          <w:p w14:paraId="36F4564E">
            <w:pPr>
              <w:pStyle w:val="12"/>
              <w:spacing w:line="240" w:lineRule="atLeast"/>
              <w:ind w:left="1164" w:leftChars="257" w:hanging="540"/>
              <w:rPr>
                <w:rFonts w:ascii="仿宋" w:hAnsi="仿宋" w:eastAsia="仿宋" w:cs="仿宋"/>
                <w:color w:val="auto"/>
                <w:highlight w:val="none"/>
                <w:lang w:eastAsia="zh-CN"/>
              </w:rPr>
            </w:pPr>
          </w:p>
        </w:tc>
        <w:tc>
          <w:tcPr>
            <w:tcW w:w="1101" w:type="dxa"/>
          </w:tcPr>
          <w:p w14:paraId="3D28720F">
            <w:pPr>
              <w:pStyle w:val="12"/>
              <w:spacing w:line="240" w:lineRule="atLeast"/>
              <w:ind w:left="1164" w:leftChars="257" w:hanging="540"/>
              <w:rPr>
                <w:rFonts w:ascii="仿宋" w:hAnsi="仿宋" w:eastAsia="仿宋" w:cs="仿宋"/>
                <w:color w:val="auto"/>
                <w:highlight w:val="none"/>
                <w:lang w:eastAsia="zh-CN"/>
              </w:rPr>
            </w:pPr>
          </w:p>
        </w:tc>
      </w:tr>
      <w:tr w14:paraId="68A0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6F4023BB">
            <w:pPr>
              <w:pStyle w:val="12"/>
              <w:spacing w:line="240" w:lineRule="atLeast"/>
              <w:ind w:left="1164" w:leftChars="257" w:hanging="540"/>
              <w:rPr>
                <w:rFonts w:ascii="仿宋" w:hAnsi="仿宋" w:eastAsia="仿宋" w:cs="仿宋"/>
                <w:color w:val="auto"/>
                <w:highlight w:val="none"/>
                <w:lang w:eastAsia="zh-CN"/>
              </w:rPr>
            </w:pPr>
          </w:p>
        </w:tc>
        <w:tc>
          <w:tcPr>
            <w:tcW w:w="1400" w:type="dxa"/>
          </w:tcPr>
          <w:p w14:paraId="17B3291C">
            <w:pPr>
              <w:pStyle w:val="12"/>
              <w:spacing w:line="240" w:lineRule="atLeast"/>
              <w:ind w:left="1164" w:leftChars="257" w:hanging="540"/>
              <w:rPr>
                <w:rFonts w:ascii="仿宋" w:hAnsi="仿宋" w:eastAsia="仿宋" w:cs="仿宋"/>
                <w:color w:val="auto"/>
                <w:highlight w:val="none"/>
                <w:lang w:eastAsia="zh-CN"/>
              </w:rPr>
            </w:pPr>
          </w:p>
        </w:tc>
        <w:tc>
          <w:tcPr>
            <w:tcW w:w="1410" w:type="dxa"/>
          </w:tcPr>
          <w:p w14:paraId="7493988B">
            <w:pPr>
              <w:pStyle w:val="12"/>
              <w:spacing w:line="240" w:lineRule="atLeast"/>
              <w:ind w:left="1164" w:leftChars="257" w:hanging="540"/>
              <w:rPr>
                <w:rFonts w:ascii="仿宋" w:hAnsi="仿宋" w:eastAsia="仿宋" w:cs="仿宋"/>
                <w:color w:val="auto"/>
                <w:highlight w:val="none"/>
                <w:lang w:eastAsia="zh-CN"/>
              </w:rPr>
            </w:pPr>
          </w:p>
        </w:tc>
        <w:tc>
          <w:tcPr>
            <w:tcW w:w="1370" w:type="dxa"/>
          </w:tcPr>
          <w:p w14:paraId="5E86F570">
            <w:pPr>
              <w:pStyle w:val="12"/>
              <w:spacing w:line="240" w:lineRule="atLeast"/>
              <w:ind w:left="1164" w:leftChars="257" w:hanging="540"/>
              <w:rPr>
                <w:rFonts w:ascii="仿宋" w:hAnsi="仿宋" w:eastAsia="仿宋" w:cs="仿宋"/>
                <w:color w:val="auto"/>
                <w:highlight w:val="none"/>
                <w:lang w:eastAsia="zh-CN"/>
              </w:rPr>
            </w:pPr>
          </w:p>
        </w:tc>
        <w:tc>
          <w:tcPr>
            <w:tcW w:w="1420" w:type="dxa"/>
          </w:tcPr>
          <w:p w14:paraId="0F1F8C3B">
            <w:pPr>
              <w:pStyle w:val="12"/>
              <w:spacing w:line="240" w:lineRule="atLeast"/>
              <w:ind w:left="1164" w:leftChars="257" w:hanging="540"/>
              <w:rPr>
                <w:rFonts w:ascii="仿宋" w:hAnsi="仿宋" w:eastAsia="仿宋" w:cs="仿宋"/>
                <w:color w:val="auto"/>
                <w:highlight w:val="none"/>
                <w:lang w:eastAsia="zh-CN"/>
              </w:rPr>
            </w:pPr>
          </w:p>
        </w:tc>
        <w:tc>
          <w:tcPr>
            <w:tcW w:w="1101" w:type="dxa"/>
          </w:tcPr>
          <w:p w14:paraId="24F6A827">
            <w:pPr>
              <w:pStyle w:val="12"/>
              <w:spacing w:line="240" w:lineRule="atLeast"/>
              <w:ind w:left="1164" w:leftChars="257" w:hanging="540"/>
              <w:rPr>
                <w:rFonts w:ascii="仿宋" w:hAnsi="仿宋" w:eastAsia="仿宋" w:cs="仿宋"/>
                <w:color w:val="auto"/>
                <w:highlight w:val="none"/>
                <w:lang w:eastAsia="zh-CN"/>
              </w:rPr>
            </w:pPr>
          </w:p>
        </w:tc>
      </w:tr>
    </w:tbl>
    <w:p w14:paraId="78FD8EE6">
      <w:pPr>
        <w:pStyle w:val="12"/>
        <w:spacing w:line="240" w:lineRule="atLeast"/>
        <w:ind w:left="1164" w:leftChars="257" w:hanging="540"/>
        <w:rPr>
          <w:rFonts w:ascii="仿宋" w:hAnsi="仿宋" w:eastAsia="仿宋" w:cs="仿宋"/>
          <w:color w:val="auto"/>
        </w:rPr>
      </w:pPr>
    </w:p>
    <w:p w14:paraId="0995C33F">
      <w:pPr>
        <w:pStyle w:val="19"/>
      </w:pPr>
    </w:p>
    <w:p w14:paraId="10195F3B">
      <w:pPr>
        <w:pStyle w:val="12"/>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法定代表人或其委托代理人签字:</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hAnsi="宋体" w:eastAsia="宋体" w:cs="宋体"/>
          <w:color w:val="auto"/>
          <w:u w:val="single"/>
          <w:lang w:eastAsia="zh-CN"/>
        </w:rPr>
        <w:t xml:space="preserve">         </w:t>
      </w:r>
    </w:p>
    <w:p w14:paraId="1F3FD438">
      <w:pPr>
        <w:pStyle w:val="12"/>
        <w:tabs>
          <w:tab w:val="left" w:pos="5370"/>
        </w:tabs>
        <w:spacing w:line="240" w:lineRule="atLeast"/>
        <w:ind w:left="1164" w:leftChars="257" w:hanging="540"/>
        <w:rPr>
          <w:rFonts w:ascii="仿宋" w:hAnsi="仿宋" w:eastAsia="仿宋" w:cs="仿宋"/>
          <w:color w:val="auto"/>
          <w:lang w:eastAsia="zh-CN"/>
        </w:rPr>
      </w:pPr>
    </w:p>
    <w:p w14:paraId="5402063C">
      <w:pPr>
        <w:pStyle w:val="12"/>
        <w:tabs>
          <w:tab w:val="left" w:pos="5370"/>
        </w:tabs>
        <w:spacing w:line="240" w:lineRule="atLeast"/>
        <w:ind w:left="1164" w:leftChars="257" w:hanging="540"/>
        <w:rPr>
          <w:rFonts w:ascii="仿宋" w:hAnsi="仿宋" w:eastAsia="仿宋" w:cs="仿宋"/>
          <w:color w:val="auto"/>
          <w:u w:val="single"/>
          <w:lang w:eastAsia="zh-CN"/>
        </w:rPr>
      </w:pPr>
      <w:r>
        <w:rPr>
          <w:rFonts w:hint="eastAsia" w:ascii="仿宋" w:hAnsi="仿宋" w:eastAsia="仿宋" w:cs="仿宋"/>
          <w:color w:val="auto"/>
          <w:lang w:eastAsia="zh-CN"/>
        </w:rPr>
        <w:t>供应商(盖单位章):</w:t>
      </w:r>
      <w:r>
        <w:rPr>
          <w:rFonts w:hint="eastAsia" w:ascii="仿宋" w:hAnsi="仿宋" w:eastAsia="仿宋" w:cs="仿宋"/>
          <w:color w:val="auto"/>
          <w:u w:val="single"/>
          <w:lang w:eastAsia="zh-CN"/>
        </w:rPr>
        <w:tab/>
      </w:r>
    </w:p>
    <w:p w14:paraId="4921ED8C">
      <w:pPr>
        <w:pStyle w:val="12"/>
        <w:spacing w:line="240" w:lineRule="atLeast"/>
        <w:ind w:left="1164" w:leftChars="257" w:hanging="540"/>
        <w:rPr>
          <w:rFonts w:ascii="仿宋" w:hAnsi="仿宋" w:eastAsia="仿宋" w:cs="仿宋"/>
          <w:color w:val="auto"/>
          <w:lang w:eastAsia="zh-CN"/>
        </w:rPr>
      </w:pPr>
    </w:p>
    <w:p w14:paraId="6C229677">
      <w:pPr>
        <w:pStyle w:val="12"/>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注: 各项货物详细技术性能应另页描述</w:t>
      </w:r>
      <w:r>
        <w:rPr>
          <w:rFonts w:hint="eastAsia" w:hAnsi="宋体" w:eastAsia="宋体" w:cs="宋体"/>
          <w:color w:val="auto"/>
          <w:lang w:eastAsia="zh-CN"/>
        </w:rPr>
        <w:t>。</w:t>
      </w:r>
    </w:p>
    <w:p w14:paraId="478A8343">
      <w:pPr>
        <w:pStyle w:val="12"/>
        <w:spacing w:line="240" w:lineRule="atLeast"/>
        <w:ind w:left="1164" w:leftChars="257" w:hanging="540"/>
        <w:jc w:val="center"/>
        <w:rPr>
          <w:rFonts w:hAnsi="宋体" w:eastAsia="宋体" w:cs="宋体"/>
          <w:color w:val="auto"/>
          <w:lang w:eastAsia="zh-CN"/>
        </w:rPr>
      </w:pPr>
    </w:p>
    <w:p w14:paraId="2821BBD7">
      <w:pPr>
        <w:pStyle w:val="12"/>
        <w:spacing w:line="240" w:lineRule="atLeast"/>
        <w:ind w:left="1164" w:leftChars="257" w:hanging="540"/>
        <w:jc w:val="center"/>
        <w:rPr>
          <w:rFonts w:hAnsi="宋体" w:eastAsia="宋体" w:cs="宋体"/>
          <w:color w:val="auto"/>
          <w:lang w:eastAsia="zh-CN"/>
        </w:rPr>
        <w:sectPr>
          <w:footerReference r:id="rId12" w:type="default"/>
          <w:pgSz w:w="11905" w:h="16838"/>
          <w:pgMar w:top="1440" w:right="1797" w:bottom="1440" w:left="1797" w:header="850" w:footer="992" w:gutter="0"/>
          <w:pgNumType w:fmt="decimal"/>
          <w:cols w:space="720" w:num="1"/>
          <w:docGrid w:type="linesAndChars" w:linePitch="325" w:charSpace="635"/>
        </w:sectPr>
      </w:pPr>
    </w:p>
    <w:p w14:paraId="5775A267">
      <w:pPr>
        <w:pStyle w:val="36"/>
        <w:keepNext/>
        <w:keepLines/>
        <w:spacing w:before="0" w:after="220"/>
        <w:rPr>
          <w:rFonts w:ascii="仿宋" w:hAnsi="仿宋" w:eastAsia="仿宋" w:cs="仿宋"/>
          <w:b/>
          <w:bCs/>
          <w:color w:val="auto"/>
        </w:rPr>
      </w:pPr>
      <w:r>
        <w:rPr>
          <w:rFonts w:hint="eastAsia" w:ascii="仿宋" w:hAnsi="仿宋" w:eastAsia="仿宋" w:cs="仿宋"/>
          <w:b/>
          <w:bCs/>
          <w:color w:val="auto"/>
          <w:lang w:val="en-US" w:eastAsia="zh-CN"/>
        </w:rPr>
        <w:t>4</w:t>
      </w:r>
      <w:r>
        <w:rPr>
          <w:rFonts w:hint="eastAsia" w:ascii="仿宋" w:hAnsi="仿宋" w:eastAsia="仿宋" w:cs="仿宋"/>
          <w:b/>
          <w:bCs/>
          <w:color w:val="auto"/>
          <w:lang w:eastAsia="zh-CN"/>
        </w:rPr>
        <w:t>、投标分项报价明细表</w:t>
      </w:r>
    </w:p>
    <w:p w14:paraId="55BCF78B">
      <w:pPr>
        <w:pStyle w:val="36"/>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项目名称:                      </w:t>
      </w:r>
    </w:p>
    <w:p w14:paraId="1D34EF75">
      <w:pPr>
        <w:pStyle w:val="36"/>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招标编号: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包号: 　 </w:t>
      </w:r>
    </w:p>
    <w:p w14:paraId="35797D31">
      <w:pPr>
        <w:pStyle w:val="12"/>
        <w:spacing w:line="240" w:lineRule="atLeast"/>
        <w:ind w:left="1157" w:leftChars="257" w:hanging="540"/>
        <w:jc w:val="center"/>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元（人民币）</w:t>
      </w:r>
    </w:p>
    <w:tbl>
      <w:tblPr>
        <w:tblStyle w:val="25"/>
        <w:tblW w:w="79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9"/>
        <w:gridCol w:w="1400"/>
        <w:gridCol w:w="1566"/>
        <w:gridCol w:w="1070"/>
        <w:gridCol w:w="709"/>
        <w:gridCol w:w="708"/>
        <w:gridCol w:w="709"/>
        <w:gridCol w:w="816"/>
      </w:tblGrid>
      <w:tr w14:paraId="36436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09CCB78">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400" w:type="dxa"/>
            <w:tcBorders>
              <w:top w:val="single" w:color="auto" w:sz="4" w:space="0"/>
              <w:left w:val="single" w:color="auto" w:sz="4" w:space="0"/>
              <w:bottom w:val="single" w:color="auto" w:sz="4" w:space="0"/>
              <w:right w:val="single" w:color="auto" w:sz="4" w:space="0"/>
            </w:tcBorders>
            <w:vAlign w:val="center"/>
          </w:tcPr>
          <w:p w14:paraId="648AA6AB">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名称</w:t>
            </w:r>
          </w:p>
        </w:tc>
        <w:tc>
          <w:tcPr>
            <w:tcW w:w="1566" w:type="dxa"/>
            <w:tcBorders>
              <w:top w:val="single" w:color="auto" w:sz="4" w:space="0"/>
              <w:left w:val="single" w:color="auto" w:sz="4" w:space="0"/>
              <w:bottom w:val="single" w:color="auto" w:sz="4" w:space="0"/>
              <w:right w:val="single" w:color="auto" w:sz="4" w:space="0"/>
            </w:tcBorders>
            <w:vAlign w:val="center"/>
          </w:tcPr>
          <w:p w14:paraId="1B527243">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服务要求</w:t>
            </w:r>
          </w:p>
        </w:tc>
        <w:tc>
          <w:tcPr>
            <w:tcW w:w="1070" w:type="dxa"/>
            <w:tcBorders>
              <w:top w:val="single" w:color="auto" w:sz="4" w:space="0"/>
              <w:left w:val="single" w:color="auto" w:sz="4" w:space="0"/>
              <w:bottom w:val="single" w:color="auto" w:sz="4" w:space="0"/>
              <w:right w:val="single" w:color="auto" w:sz="4" w:space="0"/>
            </w:tcBorders>
            <w:vAlign w:val="center"/>
          </w:tcPr>
          <w:p w14:paraId="362E3297">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6642AAA1">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708" w:type="dxa"/>
            <w:tcBorders>
              <w:top w:val="single" w:color="auto" w:sz="4" w:space="0"/>
              <w:left w:val="single" w:color="auto" w:sz="4" w:space="0"/>
              <w:bottom w:val="single" w:color="auto" w:sz="4" w:space="0"/>
              <w:right w:val="single" w:color="auto" w:sz="4" w:space="0"/>
            </w:tcBorders>
            <w:vAlign w:val="center"/>
          </w:tcPr>
          <w:p w14:paraId="3B0B5A3E">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w:t>
            </w:r>
          </w:p>
        </w:tc>
        <w:tc>
          <w:tcPr>
            <w:tcW w:w="709" w:type="dxa"/>
            <w:tcBorders>
              <w:top w:val="single" w:color="auto" w:sz="4" w:space="0"/>
              <w:left w:val="single" w:color="auto" w:sz="4" w:space="0"/>
              <w:bottom w:val="single" w:color="auto" w:sz="4" w:space="0"/>
              <w:right w:val="single" w:color="auto" w:sz="4" w:space="0"/>
            </w:tcBorders>
            <w:vAlign w:val="center"/>
          </w:tcPr>
          <w:p w14:paraId="0551E9D3">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总价</w:t>
            </w:r>
          </w:p>
        </w:tc>
        <w:tc>
          <w:tcPr>
            <w:tcW w:w="816" w:type="dxa"/>
            <w:tcBorders>
              <w:top w:val="single" w:color="auto" w:sz="4" w:space="0"/>
              <w:left w:val="single" w:color="auto" w:sz="4" w:space="0"/>
              <w:bottom w:val="single" w:color="auto" w:sz="4" w:space="0"/>
              <w:right w:val="single" w:color="auto" w:sz="4" w:space="0"/>
            </w:tcBorders>
            <w:vAlign w:val="center"/>
          </w:tcPr>
          <w:p w14:paraId="5E026228">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3D1CE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F270D44">
            <w:pPr>
              <w:spacing w:line="500" w:lineRule="exact"/>
              <w:jc w:val="center"/>
              <w:rPr>
                <w:rFonts w:ascii="仿宋" w:hAnsi="仿宋" w:eastAsia="仿宋" w:cs="仿宋"/>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7C380B96">
            <w:pPr>
              <w:spacing w:line="500" w:lineRule="exact"/>
              <w:jc w:val="center"/>
              <w:rPr>
                <w:rFonts w:ascii="仿宋" w:hAnsi="仿宋" w:eastAsia="仿宋" w:cs="仿宋"/>
                <w:color w:val="auto"/>
                <w:szCs w:val="21"/>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14:paraId="53946DEC">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1C67AC49">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06A8F25">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9510112">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2C2D781">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E8FEB77">
            <w:pPr>
              <w:spacing w:line="500" w:lineRule="exact"/>
              <w:jc w:val="center"/>
              <w:rPr>
                <w:rFonts w:ascii="仿宋" w:hAnsi="仿宋" w:eastAsia="仿宋" w:cs="仿宋"/>
                <w:color w:val="auto"/>
                <w:szCs w:val="21"/>
                <w:highlight w:val="none"/>
              </w:rPr>
            </w:pPr>
          </w:p>
        </w:tc>
      </w:tr>
      <w:tr w14:paraId="0EE94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20BF335">
            <w:pPr>
              <w:spacing w:line="500" w:lineRule="exact"/>
              <w:jc w:val="center"/>
              <w:rPr>
                <w:rFonts w:ascii="仿宋" w:hAnsi="仿宋" w:eastAsia="仿宋" w:cs="仿宋"/>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71399F64">
            <w:pPr>
              <w:spacing w:line="500" w:lineRule="exact"/>
              <w:jc w:val="center"/>
              <w:rPr>
                <w:rFonts w:ascii="仿宋" w:hAnsi="仿宋" w:eastAsia="仿宋" w:cs="仿宋"/>
                <w:color w:val="auto"/>
                <w:szCs w:val="21"/>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14:paraId="41D99F75">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3AC5FAAF">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C76854A">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2860D7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DC10A00">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4756E939">
            <w:pPr>
              <w:spacing w:line="500" w:lineRule="exact"/>
              <w:jc w:val="center"/>
              <w:rPr>
                <w:rFonts w:ascii="仿宋" w:hAnsi="仿宋" w:eastAsia="仿宋" w:cs="仿宋"/>
                <w:color w:val="auto"/>
                <w:szCs w:val="21"/>
                <w:highlight w:val="none"/>
              </w:rPr>
            </w:pPr>
          </w:p>
        </w:tc>
      </w:tr>
      <w:tr w14:paraId="1DFDD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7E69E08">
            <w:pPr>
              <w:spacing w:line="500" w:lineRule="exact"/>
              <w:jc w:val="center"/>
              <w:rPr>
                <w:rFonts w:ascii="仿宋" w:hAnsi="仿宋" w:eastAsia="仿宋" w:cs="仿宋"/>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56005358">
            <w:pPr>
              <w:spacing w:line="500" w:lineRule="exact"/>
              <w:jc w:val="center"/>
              <w:rPr>
                <w:rFonts w:ascii="仿宋" w:hAnsi="仿宋" w:eastAsia="仿宋" w:cs="仿宋"/>
                <w:color w:val="auto"/>
                <w:szCs w:val="21"/>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14:paraId="22752209">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791CC9AB">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43BE756">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7597401">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D299B27">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48FB632">
            <w:pPr>
              <w:spacing w:line="500" w:lineRule="exact"/>
              <w:jc w:val="center"/>
              <w:rPr>
                <w:rFonts w:ascii="仿宋" w:hAnsi="仿宋" w:eastAsia="仿宋" w:cs="仿宋"/>
                <w:color w:val="auto"/>
                <w:szCs w:val="21"/>
                <w:highlight w:val="none"/>
              </w:rPr>
            </w:pPr>
          </w:p>
        </w:tc>
      </w:tr>
      <w:tr w14:paraId="576BC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A6275F9">
            <w:pPr>
              <w:spacing w:line="500" w:lineRule="exact"/>
              <w:jc w:val="center"/>
              <w:rPr>
                <w:rFonts w:ascii="仿宋" w:hAnsi="仿宋" w:eastAsia="仿宋" w:cs="仿宋"/>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015B534D">
            <w:pPr>
              <w:spacing w:line="500" w:lineRule="exact"/>
              <w:jc w:val="center"/>
              <w:rPr>
                <w:rFonts w:ascii="仿宋" w:hAnsi="仿宋" w:eastAsia="仿宋" w:cs="仿宋"/>
                <w:color w:val="auto"/>
                <w:szCs w:val="21"/>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14:paraId="5BB0A345">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4F233071">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97F5466">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417B9F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C288E9F">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7D34BD9">
            <w:pPr>
              <w:spacing w:line="500" w:lineRule="exact"/>
              <w:jc w:val="center"/>
              <w:rPr>
                <w:rFonts w:ascii="仿宋" w:hAnsi="仿宋" w:eastAsia="仿宋" w:cs="仿宋"/>
                <w:color w:val="auto"/>
                <w:szCs w:val="21"/>
                <w:highlight w:val="none"/>
              </w:rPr>
            </w:pPr>
          </w:p>
        </w:tc>
      </w:tr>
      <w:tr w14:paraId="74A0B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09069BB">
            <w:pPr>
              <w:spacing w:line="500" w:lineRule="exact"/>
              <w:jc w:val="center"/>
              <w:rPr>
                <w:rFonts w:ascii="仿宋" w:hAnsi="仿宋" w:eastAsia="仿宋" w:cs="仿宋"/>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50A4AC80">
            <w:pPr>
              <w:spacing w:line="500" w:lineRule="exact"/>
              <w:jc w:val="center"/>
              <w:rPr>
                <w:rFonts w:ascii="仿宋" w:hAnsi="仿宋" w:eastAsia="仿宋" w:cs="仿宋"/>
                <w:color w:val="auto"/>
                <w:szCs w:val="21"/>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14:paraId="6EF0892A">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6D426018">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17B4B46">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5EB591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7EE71D6">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F293D25">
            <w:pPr>
              <w:spacing w:line="500" w:lineRule="exact"/>
              <w:jc w:val="center"/>
              <w:rPr>
                <w:rFonts w:ascii="仿宋" w:hAnsi="仿宋" w:eastAsia="仿宋" w:cs="仿宋"/>
                <w:color w:val="auto"/>
                <w:szCs w:val="21"/>
                <w:highlight w:val="none"/>
              </w:rPr>
            </w:pPr>
          </w:p>
        </w:tc>
      </w:tr>
      <w:tr w14:paraId="2D00F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C5550F9">
            <w:pPr>
              <w:spacing w:line="500" w:lineRule="exact"/>
              <w:jc w:val="center"/>
              <w:rPr>
                <w:rFonts w:ascii="仿宋" w:hAnsi="仿宋" w:eastAsia="仿宋" w:cs="仿宋"/>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6AFC8549">
            <w:pPr>
              <w:spacing w:line="500" w:lineRule="exact"/>
              <w:jc w:val="center"/>
              <w:rPr>
                <w:rFonts w:ascii="仿宋" w:hAnsi="仿宋" w:eastAsia="仿宋" w:cs="仿宋"/>
                <w:color w:val="auto"/>
                <w:szCs w:val="21"/>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14:paraId="5868B3E7">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59EE98C8">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A0E0B8F">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AA23DD2">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7AE06EB">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1B2842D">
            <w:pPr>
              <w:spacing w:line="500" w:lineRule="exact"/>
              <w:jc w:val="center"/>
              <w:rPr>
                <w:rFonts w:ascii="仿宋" w:hAnsi="仿宋" w:eastAsia="仿宋" w:cs="仿宋"/>
                <w:color w:val="auto"/>
                <w:szCs w:val="21"/>
                <w:highlight w:val="none"/>
              </w:rPr>
            </w:pPr>
          </w:p>
        </w:tc>
      </w:tr>
      <w:tr w14:paraId="3F2D6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6FCB47B">
            <w:pPr>
              <w:spacing w:line="500" w:lineRule="exact"/>
              <w:jc w:val="center"/>
              <w:rPr>
                <w:rFonts w:ascii="仿宋" w:hAnsi="仿宋" w:eastAsia="仿宋" w:cs="仿宋"/>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0EEAE844">
            <w:pPr>
              <w:spacing w:line="500" w:lineRule="exact"/>
              <w:jc w:val="center"/>
              <w:rPr>
                <w:rFonts w:ascii="仿宋" w:hAnsi="仿宋" w:eastAsia="仿宋" w:cs="仿宋"/>
                <w:color w:val="auto"/>
                <w:szCs w:val="21"/>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14:paraId="63708F74">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0BD0DD5C">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B3268C4">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C64C97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FF7EB4A">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AB7C8E9">
            <w:pPr>
              <w:spacing w:line="500" w:lineRule="exact"/>
              <w:jc w:val="center"/>
              <w:rPr>
                <w:rFonts w:ascii="仿宋" w:hAnsi="仿宋" w:eastAsia="仿宋" w:cs="仿宋"/>
                <w:color w:val="auto"/>
                <w:szCs w:val="21"/>
                <w:highlight w:val="none"/>
              </w:rPr>
            </w:pPr>
          </w:p>
        </w:tc>
      </w:tr>
    </w:tbl>
    <w:p w14:paraId="268407B1">
      <w:pPr>
        <w:pStyle w:val="40"/>
        <w:spacing w:line="317" w:lineRule="exact"/>
        <w:rPr>
          <w:rFonts w:hint="eastAsia" w:ascii="仿宋" w:hAnsi="仿宋" w:eastAsia="仿宋" w:cs="仿宋"/>
          <w:color w:val="auto"/>
          <w:sz w:val="24"/>
          <w:szCs w:val="24"/>
        </w:rPr>
      </w:pPr>
    </w:p>
    <w:p w14:paraId="33C99E4F">
      <w:pPr>
        <w:pStyle w:val="40"/>
        <w:spacing w:line="317" w:lineRule="exact"/>
        <w:rPr>
          <w:rFonts w:hint="eastAsia" w:ascii="仿宋" w:hAnsi="仿宋" w:eastAsia="仿宋" w:cs="仿宋"/>
          <w:color w:val="auto"/>
          <w:sz w:val="24"/>
          <w:szCs w:val="24"/>
        </w:rPr>
      </w:pPr>
    </w:p>
    <w:p w14:paraId="3DB1D75A">
      <w:pPr>
        <w:pStyle w:val="40"/>
        <w:spacing w:line="317" w:lineRule="exact"/>
        <w:rPr>
          <w:rFonts w:ascii="仿宋" w:hAnsi="仿宋" w:eastAsia="仿宋" w:cs="仿宋"/>
          <w:color w:val="auto"/>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所有价格均用人民币表示，单位为元。</w:t>
      </w:r>
    </w:p>
    <w:p w14:paraId="1B3B987B">
      <w:pPr>
        <w:pStyle w:val="40"/>
        <w:tabs>
          <w:tab w:val="left" w:pos="378"/>
        </w:tabs>
        <w:spacing w:line="317"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报价总计价格必须与《</w:t>
      </w:r>
      <w:r>
        <w:rPr>
          <w:rFonts w:hint="eastAsia" w:ascii="仿宋" w:hAnsi="仿宋" w:eastAsia="仿宋" w:cs="仿宋"/>
          <w:color w:val="auto"/>
          <w:sz w:val="24"/>
          <w:szCs w:val="24"/>
          <w:lang w:eastAsia="zh-CN"/>
        </w:rPr>
        <w:t>投标报价单</w:t>
      </w:r>
      <w:r>
        <w:rPr>
          <w:rFonts w:hint="eastAsia" w:ascii="仿宋" w:hAnsi="仿宋" w:eastAsia="仿宋" w:cs="仿宋"/>
          <w:color w:val="auto"/>
          <w:sz w:val="24"/>
          <w:szCs w:val="24"/>
        </w:rPr>
        <w:t>》报价一致。</w:t>
      </w:r>
    </w:p>
    <w:p w14:paraId="1418D0F0">
      <w:pPr>
        <w:pStyle w:val="40"/>
        <w:tabs>
          <w:tab w:val="left" w:pos="490"/>
        </w:tabs>
        <w:spacing w:line="317"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如果不提供详细的分项报价表将被视为没有实质性</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14:paraId="3FE92632">
      <w:pPr>
        <w:pStyle w:val="40"/>
        <w:tabs>
          <w:tab w:val="left" w:pos="493"/>
        </w:tabs>
        <w:spacing w:line="317" w:lineRule="exact"/>
        <w:ind w:left="240" w:leftChars="100"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供应商必须按此表格式中的对应栏目内容填写，若需增加栏目，请在栏目</w:t>
      </w:r>
      <w:r>
        <w:rPr>
          <w:rFonts w:hint="eastAsia" w:ascii="仿宋" w:hAnsi="仿宋" w:eastAsia="仿宋" w:cs="仿宋"/>
          <w:color w:val="auto"/>
          <w:sz w:val="24"/>
          <w:szCs w:val="24"/>
          <w:lang w:val="zh-CN" w:eastAsia="zh-CN" w:bidi="zh-CN"/>
        </w:rPr>
        <w:t>“其</w:t>
      </w:r>
      <w:r>
        <w:rPr>
          <w:rFonts w:hint="eastAsia" w:ascii="仿宋" w:hAnsi="仿宋" w:eastAsia="仿宋" w:cs="仿宋"/>
          <w:color w:val="auto"/>
          <w:sz w:val="24"/>
          <w:szCs w:val="24"/>
        </w:rPr>
        <w:t>它”中填写，并作详细说明。</w:t>
      </w:r>
    </w:p>
    <w:p w14:paraId="2E7DDFE2">
      <w:pPr>
        <w:pStyle w:val="40"/>
        <w:tabs>
          <w:tab w:val="left" w:pos="493"/>
        </w:tabs>
        <w:spacing w:line="317" w:lineRule="exact"/>
        <w:ind w:left="176"/>
        <w:rPr>
          <w:rFonts w:ascii="仿宋" w:hAnsi="仿宋" w:eastAsia="仿宋" w:cs="仿宋"/>
          <w:color w:val="auto"/>
          <w:sz w:val="20"/>
          <w:szCs w:val="20"/>
        </w:rPr>
      </w:pPr>
    </w:p>
    <w:p w14:paraId="63E25F32">
      <w:pPr>
        <w:pStyle w:val="40"/>
        <w:tabs>
          <w:tab w:val="left" w:pos="493"/>
        </w:tabs>
        <w:spacing w:line="317" w:lineRule="exact"/>
        <w:ind w:left="176"/>
        <w:rPr>
          <w:rFonts w:ascii="仿宋" w:hAnsi="仿宋" w:eastAsia="仿宋" w:cs="仿宋"/>
          <w:color w:val="auto"/>
          <w:sz w:val="20"/>
          <w:szCs w:val="20"/>
        </w:rPr>
      </w:pPr>
    </w:p>
    <w:p w14:paraId="1BF9353B">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48D7AC55">
      <w:pPr>
        <w:pStyle w:val="9"/>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14:paraId="1FD48873">
      <w:pPr>
        <w:pStyle w:val="9"/>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14:paraId="22944B16">
      <w:pPr>
        <w:pStyle w:val="9"/>
        <w:numPr>
          <w:ilvl w:val="0"/>
          <w:numId w:val="0"/>
        </w:numPr>
        <w:kinsoku w:val="0"/>
        <w:overflowPunct w:val="0"/>
        <w:spacing w:before="34" w:line="357" w:lineRule="auto"/>
        <w:ind w:left="480" w:right="126"/>
        <w:jc w:val="center"/>
        <w:rPr>
          <w:rFonts w:ascii="仿宋" w:hAnsi="仿宋" w:eastAsia="仿宋" w:cs="仿宋"/>
          <w:b/>
          <w:bCs/>
          <w:color w:val="auto"/>
          <w:sz w:val="36"/>
          <w:szCs w:val="36"/>
          <w:lang w:eastAsia="zh-CN"/>
        </w:rPr>
      </w:pPr>
    </w:p>
    <w:p w14:paraId="5BBF6DB4">
      <w:pPr>
        <w:spacing w:line="360" w:lineRule="auto"/>
        <w:jc w:val="center"/>
        <w:rPr>
          <w:rFonts w:ascii="仿宋" w:hAnsi="仿宋" w:eastAsia="仿宋" w:cs="仿宋"/>
          <w:b/>
          <w:color w:val="auto"/>
          <w:sz w:val="36"/>
          <w:szCs w:val="36"/>
          <w:lang w:eastAsia="zh-CN"/>
        </w:rPr>
      </w:pPr>
    </w:p>
    <w:p w14:paraId="2E9F3C3B">
      <w:pPr>
        <w:spacing w:line="360" w:lineRule="auto"/>
        <w:jc w:val="center"/>
        <w:rPr>
          <w:rFonts w:ascii="仿宋" w:hAnsi="仿宋" w:eastAsia="仿宋" w:cs="仿宋"/>
          <w:b/>
          <w:bCs/>
          <w:color w:val="auto"/>
          <w:sz w:val="32"/>
          <w:szCs w:val="32"/>
          <w:lang w:eastAsia="zh-CN"/>
        </w:rPr>
      </w:pPr>
      <w:r>
        <w:rPr>
          <w:rFonts w:hint="eastAsia" w:ascii="仿宋" w:hAnsi="仿宋" w:eastAsia="仿宋" w:cs="仿宋"/>
          <w:b/>
          <w:color w:val="auto"/>
          <w:sz w:val="36"/>
          <w:szCs w:val="36"/>
          <w:lang w:eastAsia="zh-CN"/>
        </w:rPr>
        <w:t>5、技术规格偏离表</w:t>
      </w:r>
    </w:p>
    <w:tbl>
      <w:tblPr>
        <w:tblStyle w:val="25"/>
        <w:tblW w:w="8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
        <w:gridCol w:w="1310"/>
        <w:gridCol w:w="1790"/>
        <w:gridCol w:w="1923"/>
        <w:gridCol w:w="1327"/>
        <w:gridCol w:w="1327"/>
      </w:tblGrid>
      <w:tr w14:paraId="4FA7F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928" w:type="dxa"/>
            <w:vAlign w:val="center"/>
          </w:tcPr>
          <w:p w14:paraId="7162B508">
            <w:pPr>
              <w:jc w:val="center"/>
              <w:rPr>
                <w:rFonts w:ascii="仿宋" w:hAnsi="仿宋" w:eastAsia="仿宋" w:cs="仿宋"/>
                <w:bCs/>
                <w:color w:val="auto"/>
              </w:rPr>
            </w:pPr>
            <w:r>
              <w:rPr>
                <w:rFonts w:hint="eastAsia" w:ascii="仿宋" w:hAnsi="仿宋" w:eastAsia="仿宋" w:cs="仿宋"/>
                <w:bCs/>
                <w:color w:val="auto"/>
              </w:rPr>
              <w:t>序号</w:t>
            </w:r>
          </w:p>
        </w:tc>
        <w:tc>
          <w:tcPr>
            <w:tcW w:w="1310" w:type="dxa"/>
            <w:vAlign w:val="center"/>
          </w:tcPr>
          <w:p w14:paraId="1541C122">
            <w:pPr>
              <w:jc w:val="center"/>
              <w:rPr>
                <w:rFonts w:ascii="仿宋" w:hAnsi="仿宋" w:eastAsia="仿宋" w:cs="仿宋"/>
                <w:bCs/>
                <w:color w:val="auto"/>
              </w:rPr>
            </w:pPr>
            <w:r>
              <w:rPr>
                <w:rFonts w:hint="eastAsia" w:ascii="仿宋" w:hAnsi="仿宋" w:eastAsia="仿宋" w:cs="仿宋"/>
                <w:bCs/>
                <w:color w:val="auto"/>
                <w:lang w:eastAsia="zh-CN"/>
              </w:rPr>
              <w:t>服务</w:t>
            </w:r>
            <w:r>
              <w:rPr>
                <w:rFonts w:hint="eastAsia" w:ascii="仿宋" w:hAnsi="仿宋" w:eastAsia="仿宋" w:cs="仿宋"/>
                <w:bCs/>
                <w:color w:val="auto"/>
              </w:rPr>
              <w:t>名称</w:t>
            </w:r>
          </w:p>
        </w:tc>
        <w:tc>
          <w:tcPr>
            <w:tcW w:w="1790" w:type="dxa"/>
            <w:vAlign w:val="center"/>
          </w:tcPr>
          <w:p w14:paraId="626AF898">
            <w:pPr>
              <w:jc w:val="center"/>
              <w:rPr>
                <w:rFonts w:ascii="仿宋" w:hAnsi="仿宋" w:eastAsia="仿宋" w:cs="仿宋"/>
                <w:bCs/>
                <w:color w:val="auto"/>
              </w:rPr>
            </w:pPr>
            <w:r>
              <w:rPr>
                <w:rFonts w:hint="eastAsia" w:ascii="仿宋" w:hAnsi="仿宋" w:eastAsia="仿宋" w:cs="仿宋"/>
                <w:bCs/>
                <w:color w:val="auto"/>
                <w:lang w:eastAsia="zh-CN"/>
              </w:rPr>
              <w:t>磋商文件要求</w:t>
            </w:r>
          </w:p>
        </w:tc>
        <w:tc>
          <w:tcPr>
            <w:tcW w:w="1923" w:type="dxa"/>
            <w:vAlign w:val="center"/>
          </w:tcPr>
          <w:p w14:paraId="12B9EEAA">
            <w:pPr>
              <w:jc w:val="center"/>
              <w:rPr>
                <w:rFonts w:hint="eastAsia" w:ascii="仿宋" w:hAnsi="仿宋" w:eastAsia="仿宋" w:cs="仿宋"/>
                <w:bCs/>
                <w:color w:val="auto"/>
                <w:lang w:eastAsia="zh-CN"/>
              </w:rPr>
            </w:pPr>
            <w:r>
              <w:rPr>
                <w:rFonts w:hint="eastAsia" w:ascii="仿宋" w:hAnsi="仿宋" w:eastAsia="仿宋" w:cs="仿宋"/>
                <w:bCs/>
                <w:color w:val="auto"/>
              </w:rPr>
              <w:t>投标</w:t>
            </w:r>
            <w:r>
              <w:rPr>
                <w:rFonts w:hint="eastAsia" w:ascii="仿宋" w:hAnsi="仿宋" w:eastAsia="仿宋" w:cs="仿宋"/>
                <w:bCs/>
                <w:color w:val="auto"/>
                <w:lang w:eastAsia="zh-CN"/>
              </w:rPr>
              <w:t>文件要求</w:t>
            </w:r>
          </w:p>
        </w:tc>
        <w:tc>
          <w:tcPr>
            <w:tcW w:w="1327" w:type="dxa"/>
            <w:vAlign w:val="center"/>
          </w:tcPr>
          <w:p w14:paraId="028AB581">
            <w:pPr>
              <w:jc w:val="center"/>
              <w:rPr>
                <w:rFonts w:ascii="仿宋" w:hAnsi="仿宋" w:eastAsia="仿宋" w:cs="仿宋"/>
                <w:bCs/>
                <w:color w:val="auto"/>
              </w:rPr>
            </w:pPr>
            <w:r>
              <w:rPr>
                <w:rFonts w:hint="eastAsia" w:ascii="仿宋" w:hAnsi="仿宋" w:eastAsia="仿宋" w:cs="仿宋"/>
                <w:bCs/>
                <w:color w:val="auto"/>
              </w:rPr>
              <w:t>偏离</w:t>
            </w:r>
          </w:p>
        </w:tc>
        <w:tc>
          <w:tcPr>
            <w:tcW w:w="1327" w:type="dxa"/>
            <w:vAlign w:val="center"/>
          </w:tcPr>
          <w:p w14:paraId="305AD9EC">
            <w:pPr>
              <w:jc w:val="center"/>
              <w:rPr>
                <w:rFonts w:ascii="仿宋" w:hAnsi="仿宋" w:eastAsia="仿宋" w:cs="仿宋"/>
                <w:bCs/>
                <w:color w:val="auto"/>
              </w:rPr>
            </w:pPr>
            <w:r>
              <w:rPr>
                <w:rFonts w:hint="eastAsia" w:ascii="仿宋" w:hAnsi="仿宋" w:eastAsia="仿宋" w:cs="仿宋"/>
                <w:bCs/>
                <w:color w:val="auto"/>
              </w:rPr>
              <w:t>说明</w:t>
            </w:r>
          </w:p>
        </w:tc>
      </w:tr>
      <w:tr w14:paraId="5AFCF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tcPr>
          <w:p w14:paraId="43D14C6F">
            <w:pPr>
              <w:jc w:val="center"/>
              <w:rPr>
                <w:rFonts w:ascii="仿宋" w:hAnsi="仿宋" w:eastAsia="仿宋" w:cs="仿宋"/>
                <w:b/>
                <w:bCs/>
                <w:color w:val="auto"/>
              </w:rPr>
            </w:pPr>
          </w:p>
        </w:tc>
        <w:tc>
          <w:tcPr>
            <w:tcW w:w="1310" w:type="dxa"/>
          </w:tcPr>
          <w:p w14:paraId="2F6F9BAF">
            <w:pPr>
              <w:jc w:val="center"/>
              <w:rPr>
                <w:rFonts w:ascii="仿宋" w:hAnsi="仿宋" w:eastAsia="仿宋" w:cs="仿宋"/>
                <w:b/>
                <w:bCs/>
                <w:color w:val="auto"/>
              </w:rPr>
            </w:pPr>
          </w:p>
        </w:tc>
        <w:tc>
          <w:tcPr>
            <w:tcW w:w="1790" w:type="dxa"/>
          </w:tcPr>
          <w:p w14:paraId="70FF04E2">
            <w:pPr>
              <w:jc w:val="center"/>
              <w:rPr>
                <w:rFonts w:ascii="仿宋" w:hAnsi="仿宋" w:eastAsia="仿宋" w:cs="仿宋"/>
                <w:b/>
                <w:bCs/>
                <w:color w:val="auto"/>
              </w:rPr>
            </w:pPr>
          </w:p>
        </w:tc>
        <w:tc>
          <w:tcPr>
            <w:tcW w:w="1923" w:type="dxa"/>
          </w:tcPr>
          <w:p w14:paraId="490063A6">
            <w:pPr>
              <w:jc w:val="center"/>
              <w:rPr>
                <w:rFonts w:ascii="仿宋" w:hAnsi="仿宋" w:eastAsia="仿宋" w:cs="仿宋"/>
                <w:b/>
                <w:bCs/>
                <w:color w:val="auto"/>
              </w:rPr>
            </w:pPr>
          </w:p>
        </w:tc>
        <w:tc>
          <w:tcPr>
            <w:tcW w:w="1327" w:type="dxa"/>
          </w:tcPr>
          <w:p w14:paraId="3D696F45">
            <w:pPr>
              <w:jc w:val="center"/>
              <w:rPr>
                <w:rFonts w:ascii="仿宋" w:hAnsi="仿宋" w:eastAsia="仿宋" w:cs="仿宋"/>
                <w:b/>
                <w:bCs/>
                <w:color w:val="auto"/>
                <w:lang w:eastAsia="zh-CN"/>
              </w:rPr>
            </w:pPr>
          </w:p>
        </w:tc>
        <w:tc>
          <w:tcPr>
            <w:tcW w:w="1327" w:type="dxa"/>
          </w:tcPr>
          <w:p w14:paraId="58A0DA55">
            <w:pPr>
              <w:jc w:val="center"/>
              <w:rPr>
                <w:rFonts w:ascii="仿宋" w:hAnsi="仿宋" w:eastAsia="仿宋" w:cs="仿宋"/>
                <w:b/>
                <w:bCs/>
                <w:color w:val="auto"/>
                <w:lang w:eastAsia="zh-CN"/>
              </w:rPr>
            </w:pPr>
          </w:p>
        </w:tc>
      </w:tr>
      <w:tr w14:paraId="27B7E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tcPr>
          <w:p w14:paraId="706F4BAE">
            <w:pPr>
              <w:jc w:val="center"/>
              <w:rPr>
                <w:rFonts w:ascii="仿宋" w:hAnsi="仿宋" w:eastAsia="仿宋" w:cs="仿宋"/>
                <w:b/>
                <w:bCs/>
                <w:color w:val="auto"/>
                <w:lang w:eastAsia="zh-CN"/>
              </w:rPr>
            </w:pPr>
          </w:p>
        </w:tc>
        <w:tc>
          <w:tcPr>
            <w:tcW w:w="1310" w:type="dxa"/>
          </w:tcPr>
          <w:p w14:paraId="299E34AE">
            <w:pPr>
              <w:jc w:val="center"/>
              <w:rPr>
                <w:rFonts w:ascii="仿宋" w:hAnsi="仿宋" w:eastAsia="仿宋" w:cs="仿宋"/>
                <w:b/>
                <w:bCs/>
                <w:color w:val="auto"/>
                <w:lang w:eastAsia="zh-CN"/>
              </w:rPr>
            </w:pPr>
          </w:p>
        </w:tc>
        <w:tc>
          <w:tcPr>
            <w:tcW w:w="1790" w:type="dxa"/>
          </w:tcPr>
          <w:p w14:paraId="45062F34">
            <w:pPr>
              <w:jc w:val="center"/>
              <w:rPr>
                <w:rFonts w:ascii="仿宋" w:hAnsi="仿宋" w:eastAsia="仿宋" w:cs="仿宋"/>
                <w:b/>
                <w:bCs/>
                <w:color w:val="auto"/>
                <w:lang w:eastAsia="zh-CN"/>
              </w:rPr>
            </w:pPr>
          </w:p>
        </w:tc>
        <w:tc>
          <w:tcPr>
            <w:tcW w:w="1923" w:type="dxa"/>
          </w:tcPr>
          <w:p w14:paraId="3986E0D6">
            <w:pPr>
              <w:jc w:val="center"/>
              <w:rPr>
                <w:rFonts w:ascii="仿宋" w:hAnsi="仿宋" w:eastAsia="仿宋" w:cs="仿宋"/>
                <w:b/>
                <w:bCs/>
                <w:color w:val="auto"/>
                <w:lang w:eastAsia="zh-CN"/>
              </w:rPr>
            </w:pPr>
          </w:p>
        </w:tc>
        <w:tc>
          <w:tcPr>
            <w:tcW w:w="1327" w:type="dxa"/>
          </w:tcPr>
          <w:p w14:paraId="1869E049">
            <w:pPr>
              <w:jc w:val="center"/>
              <w:rPr>
                <w:rFonts w:ascii="仿宋" w:hAnsi="仿宋" w:eastAsia="仿宋" w:cs="仿宋"/>
                <w:b/>
                <w:bCs/>
                <w:color w:val="auto"/>
                <w:lang w:eastAsia="zh-CN"/>
              </w:rPr>
            </w:pPr>
          </w:p>
        </w:tc>
        <w:tc>
          <w:tcPr>
            <w:tcW w:w="1327" w:type="dxa"/>
          </w:tcPr>
          <w:p w14:paraId="6A4EFB6F">
            <w:pPr>
              <w:jc w:val="center"/>
              <w:rPr>
                <w:rFonts w:ascii="仿宋" w:hAnsi="仿宋" w:eastAsia="仿宋" w:cs="仿宋"/>
                <w:b/>
                <w:bCs/>
                <w:color w:val="auto"/>
                <w:lang w:eastAsia="zh-CN"/>
              </w:rPr>
            </w:pPr>
          </w:p>
        </w:tc>
      </w:tr>
      <w:tr w14:paraId="7DDB9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tcPr>
          <w:p w14:paraId="3D64AA69">
            <w:pPr>
              <w:jc w:val="center"/>
              <w:rPr>
                <w:rFonts w:ascii="仿宋" w:hAnsi="仿宋" w:eastAsia="仿宋" w:cs="仿宋"/>
                <w:b/>
                <w:bCs/>
                <w:color w:val="auto"/>
                <w:lang w:eastAsia="zh-CN"/>
              </w:rPr>
            </w:pPr>
          </w:p>
        </w:tc>
        <w:tc>
          <w:tcPr>
            <w:tcW w:w="1310" w:type="dxa"/>
          </w:tcPr>
          <w:p w14:paraId="1D41E928">
            <w:pPr>
              <w:jc w:val="center"/>
              <w:rPr>
                <w:rFonts w:ascii="仿宋" w:hAnsi="仿宋" w:eastAsia="仿宋" w:cs="仿宋"/>
                <w:b/>
                <w:bCs/>
                <w:color w:val="auto"/>
                <w:lang w:eastAsia="zh-CN"/>
              </w:rPr>
            </w:pPr>
          </w:p>
        </w:tc>
        <w:tc>
          <w:tcPr>
            <w:tcW w:w="1790" w:type="dxa"/>
          </w:tcPr>
          <w:p w14:paraId="5010E3CD">
            <w:pPr>
              <w:jc w:val="center"/>
              <w:rPr>
                <w:rFonts w:ascii="仿宋" w:hAnsi="仿宋" w:eastAsia="仿宋" w:cs="仿宋"/>
                <w:b/>
                <w:bCs/>
                <w:color w:val="auto"/>
                <w:lang w:eastAsia="zh-CN"/>
              </w:rPr>
            </w:pPr>
          </w:p>
        </w:tc>
        <w:tc>
          <w:tcPr>
            <w:tcW w:w="1923" w:type="dxa"/>
          </w:tcPr>
          <w:p w14:paraId="7CDF68DF">
            <w:pPr>
              <w:jc w:val="center"/>
              <w:rPr>
                <w:rFonts w:ascii="仿宋" w:hAnsi="仿宋" w:eastAsia="仿宋" w:cs="仿宋"/>
                <w:b/>
                <w:bCs/>
                <w:color w:val="auto"/>
                <w:lang w:eastAsia="zh-CN"/>
              </w:rPr>
            </w:pPr>
          </w:p>
        </w:tc>
        <w:tc>
          <w:tcPr>
            <w:tcW w:w="1327" w:type="dxa"/>
          </w:tcPr>
          <w:p w14:paraId="2F1148D7">
            <w:pPr>
              <w:jc w:val="center"/>
              <w:rPr>
                <w:rFonts w:ascii="仿宋" w:hAnsi="仿宋" w:eastAsia="仿宋" w:cs="仿宋"/>
                <w:b/>
                <w:bCs/>
                <w:color w:val="auto"/>
                <w:lang w:eastAsia="zh-CN"/>
              </w:rPr>
            </w:pPr>
          </w:p>
        </w:tc>
        <w:tc>
          <w:tcPr>
            <w:tcW w:w="1327" w:type="dxa"/>
          </w:tcPr>
          <w:p w14:paraId="77275921">
            <w:pPr>
              <w:jc w:val="center"/>
              <w:rPr>
                <w:rFonts w:ascii="仿宋" w:hAnsi="仿宋" w:eastAsia="仿宋" w:cs="仿宋"/>
                <w:b/>
                <w:bCs/>
                <w:color w:val="auto"/>
                <w:lang w:eastAsia="zh-CN"/>
              </w:rPr>
            </w:pPr>
          </w:p>
        </w:tc>
      </w:tr>
      <w:tr w14:paraId="03AC7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tcPr>
          <w:p w14:paraId="13B17C4D">
            <w:pPr>
              <w:jc w:val="center"/>
              <w:rPr>
                <w:rFonts w:ascii="仿宋" w:hAnsi="仿宋" w:eastAsia="仿宋" w:cs="仿宋"/>
                <w:b/>
                <w:bCs/>
                <w:color w:val="auto"/>
                <w:lang w:eastAsia="zh-CN"/>
              </w:rPr>
            </w:pPr>
          </w:p>
        </w:tc>
        <w:tc>
          <w:tcPr>
            <w:tcW w:w="1310" w:type="dxa"/>
          </w:tcPr>
          <w:p w14:paraId="75115D00">
            <w:pPr>
              <w:jc w:val="center"/>
              <w:rPr>
                <w:rFonts w:ascii="仿宋" w:hAnsi="仿宋" w:eastAsia="仿宋" w:cs="仿宋"/>
                <w:b/>
                <w:bCs/>
                <w:color w:val="auto"/>
                <w:lang w:eastAsia="zh-CN"/>
              </w:rPr>
            </w:pPr>
          </w:p>
        </w:tc>
        <w:tc>
          <w:tcPr>
            <w:tcW w:w="1790" w:type="dxa"/>
          </w:tcPr>
          <w:p w14:paraId="5F1A9C9E">
            <w:pPr>
              <w:jc w:val="center"/>
              <w:rPr>
                <w:rFonts w:ascii="仿宋" w:hAnsi="仿宋" w:eastAsia="仿宋" w:cs="仿宋"/>
                <w:b/>
                <w:bCs/>
                <w:color w:val="auto"/>
                <w:lang w:eastAsia="zh-CN"/>
              </w:rPr>
            </w:pPr>
          </w:p>
        </w:tc>
        <w:tc>
          <w:tcPr>
            <w:tcW w:w="1923" w:type="dxa"/>
          </w:tcPr>
          <w:p w14:paraId="566EF4AA">
            <w:pPr>
              <w:jc w:val="center"/>
              <w:rPr>
                <w:rFonts w:ascii="仿宋" w:hAnsi="仿宋" w:eastAsia="仿宋" w:cs="仿宋"/>
                <w:b/>
                <w:bCs/>
                <w:color w:val="auto"/>
                <w:lang w:eastAsia="zh-CN"/>
              </w:rPr>
            </w:pPr>
          </w:p>
        </w:tc>
        <w:tc>
          <w:tcPr>
            <w:tcW w:w="1327" w:type="dxa"/>
          </w:tcPr>
          <w:p w14:paraId="6FF83D5B">
            <w:pPr>
              <w:jc w:val="center"/>
              <w:rPr>
                <w:rFonts w:ascii="仿宋" w:hAnsi="仿宋" w:eastAsia="仿宋" w:cs="仿宋"/>
                <w:b/>
                <w:bCs/>
                <w:color w:val="auto"/>
                <w:lang w:eastAsia="zh-CN"/>
              </w:rPr>
            </w:pPr>
          </w:p>
        </w:tc>
        <w:tc>
          <w:tcPr>
            <w:tcW w:w="1327" w:type="dxa"/>
          </w:tcPr>
          <w:p w14:paraId="151F2C73">
            <w:pPr>
              <w:jc w:val="center"/>
              <w:rPr>
                <w:rFonts w:ascii="仿宋" w:hAnsi="仿宋" w:eastAsia="仿宋" w:cs="仿宋"/>
                <w:b/>
                <w:bCs/>
                <w:color w:val="auto"/>
                <w:lang w:eastAsia="zh-CN"/>
              </w:rPr>
            </w:pPr>
          </w:p>
        </w:tc>
      </w:tr>
      <w:tr w14:paraId="02527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tcPr>
          <w:p w14:paraId="7387DE02">
            <w:pPr>
              <w:jc w:val="center"/>
              <w:rPr>
                <w:rFonts w:ascii="仿宋" w:hAnsi="仿宋" w:eastAsia="仿宋" w:cs="仿宋"/>
                <w:b/>
                <w:bCs/>
                <w:color w:val="auto"/>
                <w:lang w:eastAsia="zh-CN"/>
              </w:rPr>
            </w:pPr>
          </w:p>
        </w:tc>
        <w:tc>
          <w:tcPr>
            <w:tcW w:w="1310" w:type="dxa"/>
          </w:tcPr>
          <w:p w14:paraId="268824AC">
            <w:pPr>
              <w:jc w:val="center"/>
              <w:rPr>
                <w:rFonts w:ascii="仿宋" w:hAnsi="仿宋" w:eastAsia="仿宋" w:cs="仿宋"/>
                <w:b/>
                <w:bCs/>
                <w:color w:val="auto"/>
                <w:lang w:eastAsia="zh-CN"/>
              </w:rPr>
            </w:pPr>
          </w:p>
        </w:tc>
        <w:tc>
          <w:tcPr>
            <w:tcW w:w="1790" w:type="dxa"/>
          </w:tcPr>
          <w:p w14:paraId="053730AF">
            <w:pPr>
              <w:jc w:val="center"/>
              <w:rPr>
                <w:rFonts w:ascii="仿宋" w:hAnsi="仿宋" w:eastAsia="仿宋" w:cs="仿宋"/>
                <w:b/>
                <w:bCs/>
                <w:color w:val="auto"/>
                <w:lang w:eastAsia="zh-CN"/>
              </w:rPr>
            </w:pPr>
          </w:p>
        </w:tc>
        <w:tc>
          <w:tcPr>
            <w:tcW w:w="1923" w:type="dxa"/>
          </w:tcPr>
          <w:p w14:paraId="0ACFCB78">
            <w:pPr>
              <w:jc w:val="center"/>
              <w:rPr>
                <w:rFonts w:ascii="仿宋" w:hAnsi="仿宋" w:eastAsia="仿宋" w:cs="仿宋"/>
                <w:b/>
                <w:bCs/>
                <w:color w:val="auto"/>
                <w:lang w:eastAsia="zh-CN"/>
              </w:rPr>
            </w:pPr>
          </w:p>
        </w:tc>
        <w:tc>
          <w:tcPr>
            <w:tcW w:w="1327" w:type="dxa"/>
          </w:tcPr>
          <w:p w14:paraId="5CEB2F96">
            <w:pPr>
              <w:jc w:val="center"/>
              <w:rPr>
                <w:rFonts w:ascii="仿宋" w:hAnsi="仿宋" w:eastAsia="仿宋" w:cs="仿宋"/>
                <w:b/>
                <w:bCs/>
                <w:color w:val="auto"/>
                <w:lang w:eastAsia="zh-CN"/>
              </w:rPr>
            </w:pPr>
          </w:p>
        </w:tc>
        <w:tc>
          <w:tcPr>
            <w:tcW w:w="1327" w:type="dxa"/>
          </w:tcPr>
          <w:p w14:paraId="15328FD6">
            <w:pPr>
              <w:jc w:val="center"/>
              <w:rPr>
                <w:rFonts w:ascii="仿宋" w:hAnsi="仿宋" w:eastAsia="仿宋" w:cs="仿宋"/>
                <w:b/>
                <w:bCs/>
                <w:color w:val="auto"/>
                <w:lang w:eastAsia="zh-CN"/>
              </w:rPr>
            </w:pPr>
          </w:p>
        </w:tc>
      </w:tr>
    </w:tbl>
    <w:p w14:paraId="208580F3">
      <w:pPr>
        <w:spacing w:line="360" w:lineRule="auto"/>
        <w:ind w:firstLine="475" w:firstLineChars="198"/>
        <w:rPr>
          <w:rFonts w:ascii="仿宋" w:hAnsi="仿宋" w:eastAsia="仿宋" w:cs="仿宋"/>
          <w:color w:val="auto"/>
          <w:lang w:eastAsia="zh-CN"/>
        </w:rPr>
      </w:pPr>
      <w:r>
        <w:rPr>
          <w:rFonts w:hint="eastAsia" w:ascii="仿宋" w:hAnsi="仿宋" w:eastAsia="仿宋" w:cs="仿宋"/>
          <w:color w:val="auto"/>
          <w:lang w:eastAsia="zh-CN"/>
        </w:rPr>
        <w:t>备注：供应商应根据其提供的货物，对照磋商文件第四章“服务标准及要求”中的要求，有差异的，则在此表中列明实际响应的内容提要并加以说明，以便查对。本表包括所有的技术响应及差异。无差异说明表示完全响应。</w:t>
      </w:r>
    </w:p>
    <w:p w14:paraId="11C05664">
      <w:pPr>
        <w:pStyle w:val="12"/>
        <w:tabs>
          <w:tab w:val="left" w:pos="5580"/>
        </w:tabs>
        <w:spacing w:line="360" w:lineRule="auto"/>
        <w:ind w:firstLine="3120" w:firstLineChars="1300"/>
        <w:rPr>
          <w:rFonts w:ascii="仿宋" w:hAnsi="仿宋" w:eastAsia="仿宋" w:cs="仿宋"/>
          <w:color w:val="auto"/>
          <w:lang w:eastAsia="zh-CN"/>
        </w:rPr>
      </w:pPr>
    </w:p>
    <w:p w14:paraId="2F3F7635">
      <w:pPr>
        <w:pStyle w:val="12"/>
        <w:tabs>
          <w:tab w:val="left" w:pos="5580"/>
        </w:tabs>
        <w:spacing w:line="360" w:lineRule="auto"/>
        <w:ind w:firstLine="3120" w:firstLineChars="1300"/>
        <w:rPr>
          <w:rFonts w:ascii="仿宋" w:hAnsi="仿宋" w:eastAsia="仿宋" w:cs="仿宋"/>
          <w:color w:val="auto"/>
          <w:lang w:eastAsia="zh-CN"/>
        </w:rPr>
      </w:pPr>
      <w:r>
        <w:rPr>
          <w:rFonts w:hint="eastAsia" w:ascii="仿宋" w:hAnsi="仿宋" w:eastAsia="仿宋" w:cs="仿宋"/>
          <w:color w:val="auto"/>
          <w:lang w:eastAsia="zh-CN"/>
        </w:rPr>
        <w:t>供应商（盖章）：</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414A4C29">
      <w:pPr>
        <w:pStyle w:val="12"/>
        <w:tabs>
          <w:tab w:val="left" w:pos="5580"/>
        </w:tabs>
        <w:spacing w:line="360" w:lineRule="auto"/>
        <w:ind w:firstLine="3120" w:firstLineChars="1300"/>
        <w:rPr>
          <w:rFonts w:ascii="仿宋" w:hAnsi="仿宋" w:eastAsia="仿宋" w:cs="仿宋"/>
          <w:color w:val="auto"/>
          <w:szCs w:val="24"/>
          <w:u w:val="single"/>
          <w:lang w:eastAsia="zh-CN"/>
        </w:rPr>
      </w:pPr>
      <w:r>
        <w:rPr>
          <w:rFonts w:hint="eastAsia" w:ascii="仿宋" w:hAnsi="仿宋" w:eastAsia="仿宋" w:cs="仿宋"/>
          <w:color w:val="auto"/>
          <w:lang w:eastAsia="zh-CN"/>
        </w:rPr>
        <w:t>法定代表人或</w:t>
      </w:r>
      <w:r>
        <w:rPr>
          <w:rFonts w:hint="eastAsia" w:ascii="仿宋" w:hAnsi="仿宋" w:eastAsia="仿宋" w:cs="仿宋"/>
          <w:color w:val="auto"/>
          <w:szCs w:val="24"/>
          <w:lang w:eastAsia="zh-CN"/>
        </w:rPr>
        <w:t>委托代理人</w:t>
      </w:r>
      <w:r>
        <w:rPr>
          <w:rFonts w:hint="eastAsia" w:ascii="仿宋" w:hAnsi="仿宋" w:eastAsia="仿宋" w:cs="仿宋"/>
          <w:color w:val="auto"/>
          <w:lang w:eastAsia="zh-CN"/>
        </w:rPr>
        <w:t>（签章）</w:t>
      </w:r>
      <w:r>
        <w:rPr>
          <w:rFonts w:hint="eastAsia" w:ascii="仿宋" w:hAnsi="仿宋" w:eastAsia="仿宋" w:cs="仿宋"/>
          <w:color w:val="auto"/>
          <w:szCs w:val="24"/>
          <w:lang w:eastAsia="zh-CN"/>
        </w:rPr>
        <w:t>：</w:t>
      </w:r>
      <w:r>
        <w:rPr>
          <w:rFonts w:hint="eastAsia" w:ascii="仿宋" w:hAnsi="仿宋" w:eastAsia="仿宋" w:cs="仿宋"/>
          <w:color w:val="auto"/>
          <w:szCs w:val="24"/>
          <w:u w:val="single"/>
          <w:lang w:eastAsia="zh-CN"/>
        </w:rPr>
        <w:t xml:space="preserve">             </w:t>
      </w:r>
    </w:p>
    <w:p w14:paraId="69114109">
      <w:pPr>
        <w:spacing w:line="360" w:lineRule="auto"/>
        <w:ind w:firstLine="3120" w:firstLineChars="1300"/>
        <w:rPr>
          <w:rFonts w:ascii="仿宋" w:hAnsi="仿宋" w:eastAsia="仿宋" w:cs="仿宋"/>
          <w:color w:val="auto"/>
          <w:lang w:eastAsia="zh-CN"/>
        </w:rPr>
      </w:pPr>
      <w:r>
        <w:rPr>
          <w:rFonts w:hint="eastAsia" w:ascii="仿宋" w:hAnsi="仿宋" w:eastAsia="仿宋" w:cs="仿宋"/>
          <w:color w:val="auto"/>
          <w:lang w:eastAsia="zh-CN"/>
        </w:rPr>
        <w:t>日期：       年   月   日</w:t>
      </w:r>
    </w:p>
    <w:p w14:paraId="162B75E1">
      <w:pPr>
        <w:pStyle w:val="5"/>
        <w:rPr>
          <w:rFonts w:ascii="仿宋" w:hAnsi="仿宋" w:eastAsia="仿宋" w:cs="仿宋"/>
          <w:color w:val="auto"/>
          <w:sz w:val="36"/>
          <w:szCs w:val="36"/>
          <w:lang w:eastAsia="zh-CN"/>
        </w:rPr>
      </w:pPr>
    </w:p>
    <w:p w14:paraId="5FF09004">
      <w:pPr>
        <w:rPr>
          <w:rFonts w:ascii="仿宋" w:hAnsi="仿宋" w:eastAsia="仿宋" w:cs="仿宋"/>
          <w:color w:val="auto"/>
          <w:lang w:eastAsia="zh-CN"/>
        </w:rPr>
      </w:pPr>
    </w:p>
    <w:p w14:paraId="11A1B72E">
      <w:pPr>
        <w:pStyle w:val="37"/>
        <w:spacing w:after="0"/>
        <w:ind w:firstLine="420"/>
        <w:jc w:val="center"/>
        <w:rPr>
          <w:rFonts w:ascii="仿宋" w:hAnsi="仿宋" w:eastAsia="仿宋" w:cs="仿宋"/>
          <w:color w:val="auto"/>
          <w:sz w:val="36"/>
          <w:szCs w:val="36"/>
          <w:lang w:eastAsia="zh-CN"/>
        </w:rPr>
      </w:pPr>
    </w:p>
    <w:p w14:paraId="7A62D5E0">
      <w:pPr>
        <w:pStyle w:val="37"/>
        <w:spacing w:after="0"/>
        <w:ind w:firstLine="420"/>
        <w:jc w:val="center"/>
        <w:rPr>
          <w:rFonts w:ascii="仿宋" w:hAnsi="仿宋" w:eastAsia="仿宋" w:cs="仿宋"/>
          <w:color w:val="auto"/>
          <w:sz w:val="36"/>
          <w:szCs w:val="36"/>
          <w:lang w:eastAsia="zh-CN"/>
        </w:rPr>
      </w:pPr>
    </w:p>
    <w:p w14:paraId="23FB5224">
      <w:pPr>
        <w:pStyle w:val="37"/>
        <w:spacing w:after="0"/>
        <w:ind w:firstLine="420"/>
        <w:jc w:val="center"/>
        <w:rPr>
          <w:rFonts w:ascii="仿宋" w:hAnsi="仿宋" w:eastAsia="仿宋" w:cs="仿宋"/>
          <w:color w:val="auto"/>
          <w:sz w:val="36"/>
          <w:szCs w:val="36"/>
          <w:lang w:eastAsia="zh-CN"/>
        </w:rPr>
      </w:pPr>
    </w:p>
    <w:p w14:paraId="1318AA05">
      <w:pPr>
        <w:pStyle w:val="37"/>
        <w:spacing w:after="0"/>
        <w:ind w:firstLine="420"/>
        <w:jc w:val="center"/>
        <w:rPr>
          <w:rFonts w:ascii="仿宋" w:hAnsi="仿宋" w:eastAsia="仿宋" w:cs="仿宋"/>
          <w:color w:val="auto"/>
          <w:sz w:val="36"/>
          <w:szCs w:val="36"/>
          <w:lang w:eastAsia="zh-CN"/>
        </w:rPr>
      </w:pPr>
    </w:p>
    <w:p w14:paraId="6DBCF8CF">
      <w:pPr>
        <w:pStyle w:val="37"/>
        <w:spacing w:after="0"/>
        <w:ind w:firstLine="420"/>
        <w:jc w:val="center"/>
        <w:rPr>
          <w:rFonts w:ascii="仿宋" w:hAnsi="仿宋" w:eastAsia="仿宋" w:cs="仿宋"/>
          <w:color w:val="auto"/>
          <w:sz w:val="36"/>
          <w:szCs w:val="36"/>
          <w:lang w:eastAsia="zh-CN"/>
        </w:rPr>
      </w:pPr>
    </w:p>
    <w:p w14:paraId="576A3B91">
      <w:pPr>
        <w:pStyle w:val="37"/>
        <w:spacing w:after="0"/>
        <w:ind w:firstLine="420"/>
        <w:jc w:val="center"/>
        <w:rPr>
          <w:rFonts w:ascii="仿宋" w:hAnsi="仿宋" w:eastAsia="仿宋" w:cs="仿宋"/>
          <w:color w:val="auto"/>
          <w:sz w:val="36"/>
          <w:szCs w:val="36"/>
          <w:lang w:eastAsia="zh-CN"/>
        </w:rPr>
      </w:pPr>
    </w:p>
    <w:p w14:paraId="2A9966A9">
      <w:pPr>
        <w:pStyle w:val="37"/>
        <w:spacing w:after="0"/>
        <w:ind w:firstLine="420"/>
        <w:jc w:val="center"/>
        <w:rPr>
          <w:rFonts w:ascii="仿宋" w:hAnsi="仿宋" w:eastAsia="仿宋" w:cs="仿宋"/>
          <w:color w:val="auto"/>
          <w:sz w:val="36"/>
          <w:szCs w:val="36"/>
          <w:lang w:eastAsia="zh-CN"/>
        </w:rPr>
      </w:pPr>
    </w:p>
    <w:p w14:paraId="23F3AFAF">
      <w:pPr>
        <w:jc w:val="center"/>
        <w:rPr>
          <w:rFonts w:hint="eastAsia" w:ascii="仿宋" w:hAnsi="仿宋" w:eastAsia="仿宋" w:cs="仿宋"/>
          <w:b/>
          <w:bCs/>
          <w:color w:val="auto"/>
          <w:sz w:val="30"/>
          <w:szCs w:val="30"/>
          <w:lang w:eastAsia="zh-CN"/>
        </w:rPr>
      </w:pPr>
    </w:p>
    <w:p w14:paraId="7A60F23D">
      <w:pPr>
        <w:jc w:val="center"/>
        <w:rPr>
          <w:rFonts w:hint="eastAsia" w:ascii="仿宋" w:hAnsi="仿宋" w:eastAsia="仿宋" w:cs="仿宋"/>
          <w:b/>
          <w:bCs/>
          <w:color w:val="auto"/>
          <w:sz w:val="30"/>
          <w:szCs w:val="30"/>
          <w:lang w:eastAsia="zh-CN"/>
        </w:rPr>
      </w:pPr>
    </w:p>
    <w:p w14:paraId="47D20FFB">
      <w:pPr>
        <w:jc w:val="center"/>
        <w:rPr>
          <w:rFonts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6、商务条款偏离表</w:t>
      </w:r>
    </w:p>
    <w:tbl>
      <w:tblPr>
        <w:tblStyle w:val="25"/>
        <w:tblW w:w="7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477"/>
        <w:gridCol w:w="2454"/>
        <w:gridCol w:w="1411"/>
      </w:tblGrid>
      <w:tr w14:paraId="595D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19DB59F">
            <w:pPr>
              <w:rPr>
                <w:rFonts w:ascii="仿宋" w:hAnsi="仿宋" w:eastAsia="仿宋" w:cs="仿宋"/>
                <w:color w:val="auto"/>
                <w:spacing w:val="-1"/>
              </w:rPr>
            </w:pPr>
            <w:r>
              <w:rPr>
                <w:rFonts w:hint="eastAsia" w:ascii="仿宋" w:hAnsi="仿宋" w:eastAsia="仿宋" w:cs="仿宋"/>
                <w:color w:val="auto"/>
                <w:spacing w:val="-1"/>
              </w:rPr>
              <w:t>序号</w:t>
            </w:r>
          </w:p>
        </w:tc>
        <w:tc>
          <w:tcPr>
            <w:tcW w:w="2477" w:type="dxa"/>
          </w:tcPr>
          <w:p w14:paraId="5258A8A4">
            <w:pPr>
              <w:pStyle w:val="12"/>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磋商文件的商务条款</w:t>
            </w:r>
          </w:p>
        </w:tc>
        <w:tc>
          <w:tcPr>
            <w:tcW w:w="2454" w:type="dxa"/>
          </w:tcPr>
          <w:p w14:paraId="5DABBFEC">
            <w:pPr>
              <w:pStyle w:val="12"/>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投标文件的商务条款</w:t>
            </w:r>
          </w:p>
        </w:tc>
        <w:tc>
          <w:tcPr>
            <w:tcW w:w="1411" w:type="dxa"/>
          </w:tcPr>
          <w:p w14:paraId="438AADA2">
            <w:pPr>
              <w:pStyle w:val="12"/>
              <w:spacing w:line="240" w:lineRule="atLeast"/>
              <w:jc w:val="center"/>
              <w:rPr>
                <w:rFonts w:ascii="仿宋" w:hAnsi="仿宋" w:eastAsia="仿宋" w:cs="仿宋"/>
                <w:color w:val="auto"/>
                <w:spacing w:val="-1"/>
              </w:rPr>
            </w:pPr>
            <w:r>
              <w:rPr>
                <w:rFonts w:hint="eastAsia" w:ascii="仿宋" w:hAnsi="仿宋" w:eastAsia="仿宋" w:cs="仿宋"/>
                <w:color w:val="auto"/>
                <w:spacing w:val="-1"/>
              </w:rPr>
              <w:t>是否偏离</w:t>
            </w:r>
          </w:p>
        </w:tc>
      </w:tr>
      <w:tr w14:paraId="4FD3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2AB4A4D">
            <w:pPr>
              <w:rPr>
                <w:rFonts w:ascii="仿宋" w:hAnsi="仿宋" w:eastAsia="仿宋" w:cs="仿宋"/>
                <w:color w:val="auto"/>
                <w:spacing w:val="-1"/>
              </w:rPr>
            </w:pPr>
            <w:r>
              <w:rPr>
                <w:rFonts w:hint="eastAsia" w:ascii="仿宋" w:hAnsi="仿宋" w:eastAsia="仿宋" w:cs="仿宋"/>
                <w:color w:val="auto"/>
                <w:spacing w:val="-1"/>
              </w:rPr>
              <w:t>1</w:t>
            </w:r>
          </w:p>
        </w:tc>
        <w:tc>
          <w:tcPr>
            <w:tcW w:w="2477" w:type="dxa"/>
            <w:vAlign w:val="center"/>
          </w:tcPr>
          <w:p w14:paraId="043745CF">
            <w:pPr>
              <w:rPr>
                <w:rFonts w:ascii="仿宋" w:hAnsi="仿宋" w:eastAsia="仿宋" w:cs="仿宋"/>
                <w:color w:val="auto"/>
                <w:spacing w:val="-1"/>
              </w:rPr>
            </w:pPr>
          </w:p>
        </w:tc>
        <w:tc>
          <w:tcPr>
            <w:tcW w:w="2454" w:type="dxa"/>
            <w:vAlign w:val="center"/>
          </w:tcPr>
          <w:p w14:paraId="3D43F3DF">
            <w:pPr>
              <w:rPr>
                <w:rFonts w:ascii="仿宋" w:hAnsi="仿宋" w:eastAsia="仿宋" w:cs="仿宋"/>
                <w:color w:val="auto"/>
                <w:spacing w:val="-1"/>
              </w:rPr>
            </w:pPr>
          </w:p>
        </w:tc>
        <w:tc>
          <w:tcPr>
            <w:tcW w:w="1411" w:type="dxa"/>
            <w:vAlign w:val="center"/>
          </w:tcPr>
          <w:p w14:paraId="4C1B0310">
            <w:pPr>
              <w:rPr>
                <w:rFonts w:ascii="仿宋" w:hAnsi="仿宋" w:eastAsia="仿宋" w:cs="仿宋"/>
                <w:color w:val="auto"/>
                <w:spacing w:val="-1"/>
              </w:rPr>
            </w:pPr>
          </w:p>
        </w:tc>
      </w:tr>
      <w:tr w14:paraId="114D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E78E13C">
            <w:pPr>
              <w:rPr>
                <w:rFonts w:ascii="仿宋" w:hAnsi="仿宋" w:eastAsia="仿宋" w:cs="仿宋"/>
                <w:color w:val="auto"/>
                <w:spacing w:val="-1"/>
              </w:rPr>
            </w:pPr>
            <w:r>
              <w:rPr>
                <w:rFonts w:hint="eastAsia" w:ascii="仿宋" w:hAnsi="仿宋" w:eastAsia="仿宋" w:cs="仿宋"/>
                <w:color w:val="auto"/>
                <w:spacing w:val="-1"/>
              </w:rPr>
              <w:t>2</w:t>
            </w:r>
          </w:p>
        </w:tc>
        <w:tc>
          <w:tcPr>
            <w:tcW w:w="2477" w:type="dxa"/>
            <w:vAlign w:val="center"/>
          </w:tcPr>
          <w:p w14:paraId="7D399AB8">
            <w:pPr>
              <w:rPr>
                <w:rFonts w:ascii="仿宋" w:hAnsi="仿宋" w:eastAsia="仿宋" w:cs="仿宋"/>
                <w:color w:val="auto"/>
                <w:spacing w:val="-1"/>
              </w:rPr>
            </w:pPr>
          </w:p>
        </w:tc>
        <w:tc>
          <w:tcPr>
            <w:tcW w:w="2454" w:type="dxa"/>
            <w:vAlign w:val="center"/>
          </w:tcPr>
          <w:p w14:paraId="3B7070E6">
            <w:pPr>
              <w:rPr>
                <w:rFonts w:ascii="仿宋" w:hAnsi="仿宋" w:eastAsia="仿宋" w:cs="仿宋"/>
                <w:color w:val="auto"/>
                <w:spacing w:val="-1"/>
              </w:rPr>
            </w:pPr>
          </w:p>
        </w:tc>
        <w:tc>
          <w:tcPr>
            <w:tcW w:w="1411" w:type="dxa"/>
            <w:vAlign w:val="center"/>
          </w:tcPr>
          <w:p w14:paraId="292F70A0">
            <w:pPr>
              <w:rPr>
                <w:rFonts w:ascii="仿宋" w:hAnsi="仿宋" w:eastAsia="仿宋" w:cs="仿宋"/>
                <w:color w:val="auto"/>
                <w:spacing w:val="-1"/>
              </w:rPr>
            </w:pPr>
          </w:p>
        </w:tc>
      </w:tr>
      <w:tr w14:paraId="2D16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2593CDF">
            <w:pPr>
              <w:rPr>
                <w:rFonts w:ascii="仿宋" w:hAnsi="仿宋" w:eastAsia="仿宋" w:cs="仿宋"/>
                <w:color w:val="auto"/>
                <w:spacing w:val="-1"/>
              </w:rPr>
            </w:pPr>
            <w:r>
              <w:rPr>
                <w:rFonts w:hint="eastAsia" w:ascii="仿宋" w:hAnsi="仿宋" w:eastAsia="仿宋" w:cs="仿宋"/>
                <w:color w:val="auto"/>
                <w:spacing w:val="-1"/>
              </w:rPr>
              <w:t>3</w:t>
            </w:r>
          </w:p>
        </w:tc>
        <w:tc>
          <w:tcPr>
            <w:tcW w:w="2477" w:type="dxa"/>
            <w:vAlign w:val="center"/>
          </w:tcPr>
          <w:p w14:paraId="51786A5D">
            <w:pPr>
              <w:rPr>
                <w:rFonts w:ascii="仿宋" w:hAnsi="仿宋" w:eastAsia="仿宋" w:cs="仿宋"/>
                <w:color w:val="auto"/>
                <w:spacing w:val="-1"/>
              </w:rPr>
            </w:pPr>
          </w:p>
        </w:tc>
        <w:tc>
          <w:tcPr>
            <w:tcW w:w="2454" w:type="dxa"/>
            <w:vAlign w:val="center"/>
          </w:tcPr>
          <w:p w14:paraId="5F9B72E5">
            <w:pPr>
              <w:rPr>
                <w:rFonts w:ascii="仿宋" w:hAnsi="仿宋" w:eastAsia="仿宋" w:cs="仿宋"/>
                <w:color w:val="auto"/>
                <w:spacing w:val="-1"/>
              </w:rPr>
            </w:pPr>
          </w:p>
        </w:tc>
        <w:tc>
          <w:tcPr>
            <w:tcW w:w="1411" w:type="dxa"/>
            <w:vAlign w:val="center"/>
          </w:tcPr>
          <w:p w14:paraId="71A887A0">
            <w:pPr>
              <w:rPr>
                <w:rFonts w:ascii="仿宋" w:hAnsi="仿宋" w:eastAsia="仿宋" w:cs="仿宋"/>
                <w:color w:val="auto"/>
                <w:spacing w:val="-1"/>
              </w:rPr>
            </w:pPr>
          </w:p>
        </w:tc>
      </w:tr>
      <w:tr w14:paraId="1F49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F2B47FD">
            <w:pPr>
              <w:rPr>
                <w:rFonts w:ascii="仿宋" w:hAnsi="仿宋" w:eastAsia="仿宋" w:cs="仿宋"/>
                <w:color w:val="auto"/>
                <w:spacing w:val="-1"/>
              </w:rPr>
            </w:pPr>
            <w:r>
              <w:rPr>
                <w:rFonts w:hint="eastAsia" w:ascii="仿宋" w:hAnsi="仿宋" w:eastAsia="仿宋" w:cs="仿宋"/>
                <w:color w:val="auto"/>
                <w:spacing w:val="-1"/>
              </w:rPr>
              <w:t>4</w:t>
            </w:r>
          </w:p>
        </w:tc>
        <w:tc>
          <w:tcPr>
            <w:tcW w:w="2477" w:type="dxa"/>
            <w:vAlign w:val="center"/>
          </w:tcPr>
          <w:p w14:paraId="7F1AA1D0">
            <w:pPr>
              <w:rPr>
                <w:rFonts w:ascii="仿宋" w:hAnsi="仿宋" w:eastAsia="仿宋" w:cs="仿宋"/>
                <w:color w:val="auto"/>
                <w:spacing w:val="-1"/>
              </w:rPr>
            </w:pPr>
          </w:p>
        </w:tc>
        <w:tc>
          <w:tcPr>
            <w:tcW w:w="2454" w:type="dxa"/>
            <w:vAlign w:val="center"/>
          </w:tcPr>
          <w:p w14:paraId="4164E872">
            <w:pPr>
              <w:rPr>
                <w:rFonts w:ascii="仿宋" w:hAnsi="仿宋" w:eastAsia="仿宋" w:cs="仿宋"/>
                <w:color w:val="auto"/>
                <w:spacing w:val="-1"/>
              </w:rPr>
            </w:pPr>
          </w:p>
        </w:tc>
        <w:tc>
          <w:tcPr>
            <w:tcW w:w="1411" w:type="dxa"/>
            <w:vAlign w:val="center"/>
          </w:tcPr>
          <w:p w14:paraId="6DDFBD0B">
            <w:pPr>
              <w:rPr>
                <w:rFonts w:ascii="仿宋" w:hAnsi="仿宋" w:eastAsia="仿宋" w:cs="仿宋"/>
                <w:color w:val="auto"/>
                <w:spacing w:val="-1"/>
              </w:rPr>
            </w:pPr>
          </w:p>
        </w:tc>
      </w:tr>
      <w:tr w14:paraId="69F6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DB29A39">
            <w:pPr>
              <w:rPr>
                <w:rFonts w:ascii="仿宋" w:hAnsi="仿宋" w:eastAsia="仿宋" w:cs="仿宋"/>
                <w:color w:val="auto"/>
                <w:spacing w:val="-1"/>
              </w:rPr>
            </w:pPr>
            <w:r>
              <w:rPr>
                <w:rFonts w:hint="eastAsia" w:ascii="仿宋" w:hAnsi="仿宋" w:eastAsia="仿宋" w:cs="仿宋"/>
                <w:color w:val="auto"/>
                <w:spacing w:val="-1"/>
              </w:rPr>
              <w:t>5</w:t>
            </w:r>
          </w:p>
        </w:tc>
        <w:tc>
          <w:tcPr>
            <w:tcW w:w="2477" w:type="dxa"/>
            <w:vAlign w:val="center"/>
          </w:tcPr>
          <w:p w14:paraId="6356B83C">
            <w:pPr>
              <w:rPr>
                <w:rFonts w:ascii="仿宋" w:hAnsi="仿宋" w:eastAsia="仿宋" w:cs="仿宋"/>
                <w:color w:val="auto"/>
                <w:spacing w:val="-1"/>
              </w:rPr>
            </w:pPr>
          </w:p>
        </w:tc>
        <w:tc>
          <w:tcPr>
            <w:tcW w:w="2454" w:type="dxa"/>
            <w:vAlign w:val="center"/>
          </w:tcPr>
          <w:p w14:paraId="7E3725ED">
            <w:pPr>
              <w:rPr>
                <w:rFonts w:ascii="仿宋" w:hAnsi="仿宋" w:eastAsia="仿宋" w:cs="仿宋"/>
                <w:color w:val="auto"/>
                <w:spacing w:val="-1"/>
              </w:rPr>
            </w:pPr>
          </w:p>
        </w:tc>
        <w:tc>
          <w:tcPr>
            <w:tcW w:w="1411" w:type="dxa"/>
            <w:vAlign w:val="center"/>
          </w:tcPr>
          <w:p w14:paraId="536A03F7">
            <w:pPr>
              <w:rPr>
                <w:rFonts w:ascii="仿宋" w:hAnsi="仿宋" w:eastAsia="仿宋" w:cs="仿宋"/>
                <w:color w:val="auto"/>
                <w:spacing w:val="-1"/>
              </w:rPr>
            </w:pPr>
          </w:p>
        </w:tc>
      </w:tr>
      <w:tr w14:paraId="7D70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2CA89DB">
            <w:pPr>
              <w:rPr>
                <w:rFonts w:ascii="仿宋" w:hAnsi="仿宋" w:eastAsia="仿宋" w:cs="仿宋"/>
                <w:color w:val="auto"/>
                <w:spacing w:val="-1"/>
              </w:rPr>
            </w:pPr>
            <w:r>
              <w:rPr>
                <w:rFonts w:hint="eastAsia" w:ascii="仿宋" w:hAnsi="仿宋" w:eastAsia="仿宋" w:cs="仿宋"/>
                <w:color w:val="auto"/>
                <w:spacing w:val="-1"/>
              </w:rPr>
              <w:t>6</w:t>
            </w:r>
          </w:p>
        </w:tc>
        <w:tc>
          <w:tcPr>
            <w:tcW w:w="2477" w:type="dxa"/>
            <w:vAlign w:val="center"/>
          </w:tcPr>
          <w:p w14:paraId="0BA265F2">
            <w:pPr>
              <w:rPr>
                <w:rFonts w:ascii="仿宋" w:hAnsi="仿宋" w:eastAsia="仿宋" w:cs="仿宋"/>
                <w:color w:val="auto"/>
                <w:spacing w:val="-1"/>
              </w:rPr>
            </w:pPr>
          </w:p>
        </w:tc>
        <w:tc>
          <w:tcPr>
            <w:tcW w:w="2454" w:type="dxa"/>
            <w:vAlign w:val="center"/>
          </w:tcPr>
          <w:p w14:paraId="57261F48">
            <w:pPr>
              <w:rPr>
                <w:rFonts w:ascii="仿宋" w:hAnsi="仿宋" w:eastAsia="仿宋" w:cs="仿宋"/>
                <w:color w:val="auto"/>
                <w:spacing w:val="-1"/>
              </w:rPr>
            </w:pPr>
          </w:p>
        </w:tc>
        <w:tc>
          <w:tcPr>
            <w:tcW w:w="1411" w:type="dxa"/>
            <w:vAlign w:val="center"/>
          </w:tcPr>
          <w:p w14:paraId="23822EAE">
            <w:pPr>
              <w:rPr>
                <w:rFonts w:ascii="仿宋" w:hAnsi="仿宋" w:eastAsia="仿宋" w:cs="仿宋"/>
                <w:color w:val="auto"/>
                <w:spacing w:val="-1"/>
              </w:rPr>
            </w:pPr>
          </w:p>
        </w:tc>
      </w:tr>
      <w:tr w14:paraId="3B6B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F0CC131">
            <w:pPr>
              <w:rPr>
                <w:rFonts w:ascii="仿宋" w:hAnsi="仿宋" w:eastAsia="仿宋" w:cs="仿宋"/>
                <w:color w:val="auto"/>
                <w:spacing w:val="-1"/>
              </w:rPr>
            </w:pPr>
            <w:r>
              <w:rPr>
                <w:rFonts w:hint="eastAsia" w:ascii="仿宋" w:hAnsi="仿宋" w:eastAsia="仿宋" w:cs="仿宋"/>
                <w:color w:val="auto"/>
                <w:spacing w:val="-1"/>
              </w:rPr>
              <w:t>7</w:t>
            </w:r>
          </w:p>
        </w:tc>
        <w:tc>
          <w:tcPr>
            <w:tcW w:w="2477" w:type="dxa"/>
            <w:vAlign w:val="center"/>
          </w:tcPr>
          <w:p w14:paraId="3F37F1C5">
            <w:pPr>
              <w:rPr>
                <w:rFonts w:ascii="仿宋" w:hAnsi="仿宋" w:eastAsia="仿宋" w:cs="仿宋"/>
                <w:color w:val="auto"/>
                <w:spacing w:val="-1"/>
              </w:rPr>
            </w:pPr>
          </w:p>
        </w:tc>
        <w:tc>
          <w:tcPr>
            <w:tcW w:w="2454" w:type="dxa"/>
            <w:vAlign w:val="center"/>
          </w:tcPr>
          <w:p w14:paraId="34A4AD33">
            <w:pPr>
              <w:rPr>
                <w:rFonts w:ascii="仿宋" w:hAnsi="仿宋" w:eastAsia="仿宋" w:cs="仿宋"/>
                <w:color w:val="auto"/>
                <w:spacing w:val="-1"/>
              </w:rPr>
            </w:pPr>
          </w:p>
        </w:tc>
        <w:tc>
          <w:tcPr>
            <w:tcW w:w="1411" w:type="dxa"/>
            <w:vAlign w:val="center"/>
          </w:tcPr>
          <w:p w14:paraId="24A85708">
            <w:pPr>
              <w:rPr>
                <w:rFonts w:ascii="仿宋" w:hAnsi="仿宋" w:eastAsia="仿宋" w:cs="仿宋"/>
                <w:color w:val="auto"/>
                <w:spacing w:val="-1"/>
              </w:rPr>
            </w:pPr>
          </w:p>
        </w:tc>
      </w:tr>
      <w:tr w14:paraId="0B01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E29A6DA">
            <w:pPr>
              <w:rPr>
                <w:rFonts w:ascii="仿宋" w:hAnsi="仿宋" w:eastAsia="仿宋" w:cs="仿宋"/>
                <w:color w:val="auto"/>
                <w:spacing w:val="-1"/>
              </w:rPr>
            </w:pPr>
            <w:r>
              <w:rPr>
                <w:rFonts w:hint="eastAsia" w:ascii="仿宋" w:hAnsi="仿宋" w:eastAsia="仿宋" w:cs="仿宋"/>
                <w:color w:val="auto"/>
                <w:spacing w:val="-1"/>
              </w:rPr>
              <w:t>8</w:t>
            </w:r>
          </w:p>
        </w:tc>
        <w:tc>
          <w:tcPr>
            <w:tcW w:w="2477" w:type="dxa"/>
            <w:vAlign w:val="center"/>
          </w:tcPr>
          <w:p w14:paraId="2550F4D9">
            <w:pPr>
              <w:rPr>
                <w:rFonts w:ascii="仿宋" w:hAnsi="仿宋" w:eastAsia="仿宋" w:cs="仿宋"/>
                <w:color w:val="auto"/>
                <w:spacing w:val="-1"/>
              </w:rPr>
            </w:pPr>
          </w:p>
        </w:tc>
        <w:tc>
          <w:tcPr>
            <w:tcW w:w="2454" w:type="dxa"/>
            <w:vAlign w:val="center"/>
          </w:tcPr>
          <w:p w14:paraId="16499018">
            <w:pPr>
              <w:rPr>
                <w:rFonts w:ascii="仿宋" w:hAnsi="仿宋" w:eastAsia="仿宋" w:cs="仿宋"/>
                <w:color w:val="auto"/>
                <w:spacing w:val="-1"/>
              </w:rPr>
            </w:pPr>
          </w:p>
        </w:tc>
        <w:tc>
          <w:tcPr>
            <w:tcW w:w="1411" w:type="dxa"/>
            <w:vAlign w:val="center"/>
          </w:tcPr>
          <w:p w14:paraId="70C2941C">
            <w:pPr>
              <w:rPr>
                <w:rFonts w:ascii="仿宋" w:hAnsi="仿宋" w:eastAsia="仿宋" w:cs="仿宋"/>
                <w:color w:val="auto"/>
                <w:spacing w:val="-1"/>
              </w:rPr>
            </w:pPr>
          </w:p>
        </w:tc>
      </w:tr>
      <w:tr w14:paraId="5419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BC307C4">
            <w:pPr>
              <w:rPr>
                <w:rFonts w:ascii="仿宋" w:hAnsi="仿宋" w:eastAsia="仿宋" w:cs="仿宋"/>
                <w:color w:val="auto"/>
                <w:spacing w:val="-1"/>
              </w:rPr>
            </w:pPr>
            <w:r>
              <w:rPr>
                <w:rFonts w:hint="eastAsia" w:ascii="仿宋" w:hAnsi="仿宋" w:eastAsia="仿宋" w:cs="仿宋"/>
                <w:color w:val="auto"/>
                <w:spacing w:val="-1"/>
              </w:rPr>
              <w:t>9</w:t>
            </w:r>
          </w:p>
        </w:tc>
        <w:tc>
          <w:tcPr>
            <w:tcW w:w="2477" w:type="dxa"/>
            <w:vAlign w:val="center"/>
          </w:tcPr>
          <w:p w14:paraId="40F609FD">
            <w:pPr>
              <w:rPr>
                <w:rFonts w:ascii="仿宋" w:hAnsi="仿宋" w:eastAsia="仿宋" w:cs="仿宋"/>
                <w:color w:val="auto"/>
                <w:spacing w:val="-1"/>
              </w:rPr>
            </w:pPr>
          </w:p>
        </w:tc>
        <w:tc>
          <w:tcPr>
            <w:tcW w:w="2454" w:type="dxa"/>
            <w:vAlign w:val="center"/>
          </w:tcPr>
          <w:p w14:paraId="1C84C663">
            <w:pPr>
              <w:rPr>
                <w:rFonts w:ascii="仿宋" w:hAnsi="仿宋" w:eastAsia="仿宋" w:cs="仿宋"/>
                <w:color w:val="auto"/>
                <w:spacing w:val="-1"/>
              </w:rPr>
            </w:pPr>
          </w:p>
        </w:tc>
        <w:tc>
          <w:tcPr>
            <w:tcW w:w="1411" w:type="dxa"/>
            <w:vAlign w:val="center"/>
          </w:tcPr>
          <w:p w14:paraId="4B02AB2D">
            <w:pPr>
              <w:rPr>
                <w:rFonts w:ascii="仿宋" w:hAnsi="仿宋" w:eastAsia="仿宋" w:cs="仿宋"/>
                <w:color w:val="auto"/>
                <w:spacing w:val="-1"/>
              </w:rPr>
            </w:pPr>
          </w:p>
        </w:tc>
      </w:tr>
      <w:tr w14:paraId="325D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6BA69C7">
            <w:pPr>
              <w:rPr>
                <w:rFonts w:ascii="仿宋" w:hAnsi="仿宋" w:eastAsia="仿宋" w:cs="仿宋"/>
                <w:color w:val="auto"/>
                <w:spacing w:val="-1"/>
              </w:rPr>
            </w:pPr>
            <w:r>
              <w:rPr>
                <w:rFonts w:hint="eastAsia" w:ascii="仿宋" w:hAnsi="仿宋" w:eastAsia="仿宋" w:cs="仿宋"/>
                <w:color w:val="auto"/>
                <w:spacing w:val="-1"/>
              </w:rPr>
              <w:t>10</w:t>
            </w:r>
          </w:p>
        </w:tc>
        <w:tc>
          <w:tcPr>
            <w:tcW w:w="2477" w:type="dxa"/>
            <w:vAlign w:val="center"/>
          </w:tcPr>
          <w:p w14:paraId="4E1E9F2A">
            <w:pPr>
              <w:rPr>
                <w:rFonts w:ascii="仿宋" w:hAnsi="仿宋" w:eastAsia="仿宋" w:cs="仿宋"/>
                <w:color w:val="auto"/>
                <w:spacing w:val="-1"/>
              </w:rPr>
            </w:pPr>
          </w:p>
        </w:tc>
        <w:tc>
          <w:tcPr>
            <w:tcW w:w="2454" w:type="dxa"/>
            <w:vAlign w:val="center"/>
          </w:tcPr>
          <w:p w14:paraId="23139754">
            <w:pPr>
              <w:rPr>
                <w:rFonts w:ascii="仿宋" w:hAnsi="仿宋" w:eastAsia="仿宋" w:cs="仿宋"/>
                <w:color w:val="auto"/>
                <w:spacing w:val="-1"/>
              </w:rPr>
            </w:pPr>
          </w:p>
        </w:tc>
        <w:tc>
          <w:tcPr>
            <w:tcW w:w="1411" w:type="dxa"/>
            <w:vAlign w:val="center"/>
          </w:tcPr>
          <w:p w14:paraId="74914AC1">
            <w:pPr>
              <w:rPr>
                <w:rFonts w:ascii="仿宋" w:hAnsi="仿宋" w:eastAsia="仿宋" w:cs="仿宋"/>
                <w:color w:val="auto"/>
                <w:spacing w:val="-1"/>
              </w:rPr>
            </w:pPr>
          </w:p>
        </w:tc>
      </w:tr>
      <w:tr w14:paraId="0D94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EAE3E30">
            <w:pPr>
              <w:rPr>
                <w:rFonts w:ascii="仿宋" w:hAnsi="仿宋" w:eastAsia="仿宋" w:cs="仿宋"/>
                <w:color w:val="auto"/>
                <w:spacing w:val="-1"/>
              </w:rPr>
            </w:pPr>
            <w:r>
              <w:rPr>
                <w:rFonts w:hint="eastAsia" w:ascii="仿宋" w:hAnsi="仿宋" w:eastAsia="仿宋" w:cs="仿宋"/>
                <w:color w:val="auto"/>
                <w:spacing w:val="-1"/>
              </w:rPr>
              <w:t>11</w:t>
            </w:r>
          </w:p>
        </w:tc>
        <w:tc>
          <w:tcPr>
            <w:tcW w:w="2477" w:type="dxa"/>
            <w:vAlign w:val="center"/>
          </w:tcPr>
          <w:p w14:paraId="6EDB4EA8">
            <w:pPr>
              <w:rPr>
                <w:rFonts w:ascii="仿宋" w:hAnsi="仿宋" w:eastAsia="仿宋" w:cs="仿宋"/>
                <w:color w:val="auto"/>
                <w:spacing w:val="-1"/>
              </w:rPr>
            </w:pPr>
          </w:p>
        </w:tc>
        <w:tc>
          <w:tcPr>
            <w:tcW w:w="2454" w:type="dxa"/>
            <w:vAlign w:val="center"/>
          </w:tcPr>
          <w:p w14:paraId="7F7C0AEE">
            <w:pPr>
              <w:rPr>
                <w:rFonts w:ascii="仿宋" w:hAnsi="仿宋" w:eastAsia="仿宋" w:cs="仿宋"/>
                <w:color w:val="auto"/>
                <w:spacing w:val="-1"/>
              </w:rPr>
            </w:pPr>
          </w:p>
        </w:tc>
        <w:tc>
          <w:tcPr>
            <w:tcW w:w="1411" w:type="dxa"/>
            <w:vAlign w:val="center"/>
          </w:tcPr>
          <w:p w14:paraId="00830FB7">
            <w:pPr>
              <w:rPr>
                <w:rFonts w:ascii="仿宋" w:hAnsi="仿宋" w:eastAsia="仿宋" w:cs="仿宋"/>
                <w:color w:val="auto"/>
                <w:spacing w:val="-1"/>
              </w:rPr>
            </w:pPr>
          </w:p>
        </w:tc>
      </w:tr>
      <w:tr w14:paraId="408E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C9684B7">
            <w:pPr>
              <w:rPr>
                <w:rFonts w:ascii="仿宋" w:hAnsi="仿宋" w:eastAsia="仿宋" w:cs="仿宋"/>
                <w:color w:val="auto"/>
                <w:spacing w:val="-1"/>
              </w:rPr>
            </w:pPr>
            <w:r>
              <w:rPr>
                <w:rFonts w:hint="eastAsia" w:ascii="仿宋" w:hAnsi="仿宋" w:eastAsia="仿宋" w:cs="仿宋"/>
                <w:color w:val="auto"/>
                <w:spacing w:val="-1"/>
              </w:rPr>
              <w:t>12</w:t>
            </w:r>
          </w:p>
        </w:tc>
        <w:tc>
          <w:tcPr>
            <w:tcW w:w="2477" w:type="dxa"/>
            <w:vAlign w:val="center"/>
          </w:tcPr>
          <w:p w14:paraId="656C9928">
            <w:pPr>
              <w:rPr>
                <w:rFonts w:ascii="仿宋" w:hAnsi="仿宋" w:eastAsia="仿宋" w:cs="仿宋"/>
                <w:color w:val="auto"/>
                <w:spacing w:val="-1"/>
              </w:rPr>
            </w:pPr>
          </w:p>
        </w:tc>
        <w:tc>
          <w:tcPr>
            <w:tcW w:w="2454" w:type="dxa"/>
            <w:vAlign w:val="center"/>
          </w:tcPr>
          <w:p w14:paraId="3E816FE4">
            <w:pPr>
              <w:rPr>
                <w:rFonts w:ascii="仿宋" w:hAnsi="仿宋" w:eastAsia="仿宋" w:cs="仿宋"/>
                <w:color w:val="auto"/>
                <w:spacing w:val="-1"/>
              </w:rPr>
            </w:pPr>
          </w:p>
        </w:tc>
        <w:tc>
          <w:tcPr>
            <w:tcW w:w="1411" w:type="dxa"/>
            <w:vAlign w:val="center"/>
          </w:tcPr>
          <w:p w14:paraId="1CD86993">
            <w:pPr>
              <w:rPr>
                <w:rFonts w:ascii="仿宋" w:hAnsi="仿宋" w:eastAsia="仿宋" w:cs="仿宋"/>
                <w:color w:val="auto"/>
                <w:spacing w:val="-1"/>
              </w:rPr>
            </w:pPr>
          </w:p>
        </w:tc>
      </w:tr>
      <w:tr w14:paraId="1720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84A3E6D">
            <w:pPr>
              <w:rPr>
                <w:rFonts w:ascii="仿宋" w:hAnsi="仿宋" w:eastAsia="仿宋" w:cs="仿宋"/>
                <w:color w:val="auto"/>
                <w:spacing w:val="-1"/>
              </w:rPr>
            </w:pPr>
            <w:r>
              <w:rPr>
                <w:rFonts w:hint="eastAsia" w:ascii="仿宋" w:hAnsi="仿宋" w:eastAsia="仿宋" w:cs="仿宋"/>
                <w:color w:val="auto"/>
                <w:spacing w:val="-1"/>
              </w:rPr>
              <w:t>13</w:t>
            </w:r>
          </w:p>
        </w:tc>
        <w:tc>
          <w:tcPr>
            <w:tcW w:w="2477" w:type="dxa"/>
            <w:vAlign w:val="center"/>
          </w:tcPr>
          <w:p w14:paraId="3CD6FEAC">
            <w:pPr>
              <w:rPr>
                <w:rFonts w:ascii="仿宋" w:hAnsi="仿宋" w:eastAsia="仿宋" w:cs="仿宋"/>
                <w:color w:val="auto"/>
                <w:spacing w:val="-1"/>
              </w:rPr>
            </w:pPr>
          </w:p>
        </w:tc>
        <w:tc>
          <w:tcPr>
            <w:tcW w:w="2454" w:type="dxa"/>
            <w:vAlign w:val="center"/>
          </w:tcPr>
          <w:p w14:paraId="499C4B58">
            <w:pPr>
              <w:rPr>
                <w:rFonts w:ascii="仿宋" w:hAnsi="仿宋" w:eastAsia="仿宋" w:cs="仿宋"/>
                <w:color w:val="auto"/>
                <w:spacing w:val="-1"/>
              </w:rPr>
            </w:pPr>
          </w:p>
        </w:tc>
        <w:tc>
          <w:tcPr>
            <w:tcW w:w="1411" w:type="dxa"/>
            <w:vAlign w:val="center"/>
          </w:tcPr>
          <w:p w14:paraId="6BEBF7A0">
            <w:pPr>
              <w:rPr>
                <w:rFonts w:ascii="仿宋" w:hAnsi="仿宋" w:eastAsia="仿宋" w:cs="仿宋"/>
                <w:color w:val="auto"/>
                <w:spacing w:val="-1"/>
              </w:rPr>
            </w:pPr>
          </w:p>
        </w:tc>
      </w:tr>
      <w:tr w14:paraId="5810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6E7C06A">
            <w:pPr>
              <w:rPr>
                <w:rFonts w:ascii="仿宋" w:hAnsi="仿宋" w:eastAsia="仿宋" w:cs="仿宋"/>
                <w:color w:val="auto"/>
                <w:spacing w:val="-1"/>
              </w:rPr>
            </w:pPr>
            <w:r>
              <w:rPr>
                <w:rFonts w:hint="eastAsia" w:ascii="仿宋" w:hAnsi="仿宋" w:eastAsia="仿宋" w:cs="仿宋"/>
                <w:color w:val="auto"/>
                <w:spacing w:val="-1"/>
              </w:rPr>
              <w:t>14</w:t>
            </w:r>
          </w:p>
        </w:tc>
        <w:tc>
          <w:tcPr>
            <w:tcW w:w="2477" w:type="dxa"/>
            <w:vAlign w:val="center"/>
          </w:tcPr>
          <w:p w14:paraId="09E89085">
            <w:pPr>
              <w:rPr>
                <w:rFonts w:ascii="仿宋" w:hAnsi="仿宋" w:eastAsia="仿宋" w:cs="仿宋"/>
                <w:color w:val="auto"/>
                <w:spacing w:val="-1"/>
              </w:rPr>
            </w:pPr>
          </w:p>
        </w:tc>
        <w:tc>
          <w:tcPr>
            <w:tcW w:w="2454" w:type="dxa"/>
            <w:vAlign w:val="center"/>
          </w:tcPr>
          <w:p w14:paraId="047D812D">
            <w:pPr>
              <w:rPr>
                <w:rFonts w:ascii="仿宋" w:hAnsi="仿宋" w:eastAsia="仿宋" w:cs="仿宋"/>
                <w:color w:val="auto"/>
                <w:spacing w:val="-1"/>
              </w:rPr>
            </w:pPr>
          </w:p>
        </w:tc>
        <w:tc>
          <w:tcPr>
            <w:tcW w:w="1411" w:type="dxa"/>
            <w:vAlign w:val="center"/>
          </w:tcPr>
          <w:p w14:paraId="03FDE5D2">
            <w:pPr>
              <w:rPr>
                <w:rFonts w:ascii="仿宋" w:hAnsi="仿宋" w:eastAsia="仿宋" w:cs="仿宋"/>
                <w:color w:val="auto"/>
                <w:spacing w:val="-1"/>
              </w:rPr>
            </w:pPr>
          </w:p>
        </w:tc>
      </w:tr>
      <w:tr w14:paraId="7DD0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728C33C">
            <w:pPr>
              <w:rPr>
                <w:rFonts w:ascii="仿宋" w:hAnsi="仿宋" w:eastAsia="仿宋" w:cs="仿宋"/>
                <w:color w:val="auto"/>
                <w:spacing w:val="-1"/>
              </w:rPr>
            </w:pPr>
            <w:r>
              <w:rPr>
                <w:rFonts w:hint="eastAsia" w:ascii="仿宋" w:hAnsi="仿宋" w:eastAsia="仿宋" w:cs="仿宋"/>
                <w:color w:val="auto"/>
                <w:spacing w:val="-1"/>
              </w:rPr>
              <w:t>15</w:t>
            </w:r>
          </w:p>
        </w:tc>
        <w:tc>
          <w:tcPr>
            <w:tcW w:w="2477" w:type="dxa"/>
            <w:vAlign w:val="center"/>
          </w:tcPr>
          <w:p w14:paraId="16FB3EC1">
            <w:pPr>
              <w:rPr>
                <w:rFonts w:ascii="仿宋" w:hAnsi="仿宋" w:eastAsia="仿宋" w:cs="仿宋"/>
                <w:color w:val="auto"/>
                <w:spacing w:val="-1"/>
              </w:rPr>
            </w:pPr>
          </w:p>
        </w:tc>
        <w:tc>
          <w:tcPr>
            <w:tcW w:w="2454" w:type="dxa"/>
            <w:vAlign w:val="center"/>
          </w:tcPr>
          <w:p w14:paraId="528C1331">
            <w:pPr>
              <w:rPr>
                <w:rFonts w:ascii="仿宋" w:hAnsi="仿宋" w:eastAsia="仿宋" w:cs="仿宋"/>
                <w:color w:val="auto"/>
                <w:spacing w:val="-1"/>
              </w:rPr>
            </w:pPr>
          </w:p>
        </w:tc>
        <w:tc>
          <w:tcPr>
            <w:tcW w:w="1411" w:type="dxa"/>
            <w:vAlign w:val="center"/>
          </w:tcPr>
          <w:p w14:paraId="299AD153">
            <w:pPr>
              <w:rPr>
                <w:rFonts w:ascii="仿宋" w:hAnsi="仿宋" w:eastAsia="仿宋" w:cs="仿宋"/>
                <w:color w:val="auto"/>
                <w:spacing w:val="-1"/>
              </w:rPr>
            </w:pPr>
          </w:p>
        </w:tc>
      </w:tr>
    </w:tbl>
    <w:p w14:paraId="1A95F42D">
      <w:pPr>
        <w:rPr>
          <w:rFonts w:ascii="仿宋" w:hAnsi="仿宋" w:eastAsia="仿宋" w:cs="仿宋"/>
          <w:color w:val="auto"/>
          <w:spacing w:val="-1"/>
          <w:lang w:eastAsia="zh-CN"/>
        </w:rPr>
      </w:pPr>
      <w:r>
        <w:rPr>
          <w:rFonts w:hint="eastAsia" w:ascii="仿宋" w:hAnsi="仿宋" w:eastAsia="仿宋" w:cs="仿宋"/>
          <w:color w:val="auto"/>
          <w:spacing w:val="-1"/>
          <w:lang w:eastAsia="zh-CN"/>
        </w:rPr>
        <w:t>注：凡投标文件中商务条款(包括服务期、付款方式、投标保证金以及其它所有商务内容）与招标文件存在正偏差的，均应在此表列出（不允许存在负偏离），未在此表中列出的视同完全满足招标文件要求。</w:t>
      </w:r>
    </w:p>
    <w:p w14:paraId="05FDE748">
      <w:pPr>
        <w:pStyle w:val="9"/>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14:paraId="632EDE16">
      <w:pPr>
        <w:pStyle w:val="9"/>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14:paraId="277B10C6">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14:paraId="17710F9D">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15B18DAB">
      <w:pPr>
        <w:pStyle w:val="9"/>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14:paraId="743CE3DE">
      <w:pPr>
        <w:pStyle w:val="37"/>
        <w:spacing w:after="0"/>
        <w:ind w:firstLine="420"/>
        <w:jc w:val="center"/>
        <w:rPr>
          <w:rFonts w:ascii="仿宋" w:hAnsi="仿宋" w:eastAsia="仿宋" w:cs="仿宋"/>
          <w:color w:val="auto"/>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3393DDED">
      <w:pPr>
        <w:pStyle w:val="37"/>
        <w:spacing w:after="0"/>
        <w:ind w:firstLine="420"/>
        <w:jc w:val="center"/>
        <w:rPr>
          <w:rFonts w:ascii="仿宋" w:hAnsi="仿宋" w:eastAsia="仿宋" w:cs="仿宋"/>
          <w:color w:val="auto"/>
          <w:sz w:val="36"/>
          <w:szCs w:val="36"/>
        </w:rPr>
      </w:pPr>
    </w:p>
    <w:p w14:paraId="2628A6FE">
      <w:pPr>
        <w:pStyle w:val="38"/>
        <w:tabs>
          <w:tab w:val="left" w:pos="826"/>
        </w:tabs>
        <w:spacing w:line="470" w:lineRule="exact"/>
        <w:ind w:firstLine="0"/>
        <w:jc w:val="center"/>
        <w:rPr>
          <w:rFonts w:ascii="仿宋" w:hAnsi="仿宋" w:eastAsia="仿宋" w:cs="仿宋"/>
          <w:color w:val="auto"/>
          <w:sz w:val="21"/>
          <w:szCs w:val="21"/>
        </w:rPr>
      </w:pPr>
    </w:p>
    <w:p w14:paraId="4E0C3F61">
      <w:pPr>
        <w:pStyle w:val="38"/>
        <w:tabs>
          <w:tab w:val="left" w:pos="826"/>
        </w:tabs>
        <w:spacing w:line="470" w:lineRule="exact"/>
        <w:ind w:firstLine="0"/>
        <w:jc w:val="center"/>
        <w:rPr>
          <w:rFonts w:ascii="仿宋" w:hAnsi="仿宋" w:eastAsia="仿宋" w:cs="仿宋"/>
          <w:color w:val="auto"/>
          <w:sz w:val="21"/>
          <w:szCs w:val="21"/>
        </w:rPr>
      </w:pPr>
    </w:p>
    <w:p w14:paraId="05F548DE">
      <w:pPr>
        <w:pStyle w:val="38"/>
        <w:tabs>
          <w:tab w:val="left" w:pos="826"/>
        </w:tabs>
        <w:spacing w:line="470" w:lineRule="exact"/>
        <w:ind w:firstLine="0"/>
        <w:jc w:val="center"/>
        <w:rPr>
          <w:rFonts w:ascii="仿宋" w:hAnsi="仿宋" w:eastAsia="仿宋" w:cs="仿宋"/>
          <w:color w:val="auto"/>
          <w:sz w:val="21"/>
          <w:szCs w:val="21"/>
        </w:rPr>
      </w:pPr>
    </w:p>
    <w:p w14:paraId="6AE3E7ED">
      <w:pPr>
        <w:pStyle w:val="38"/>
        <w:tabs>
          <w:tab w:val="left" w:pos="826"/>
        </w:tabs>
        <w:spacing w:line="470" w:lineRule="exact"/>
        <w:ind w:firstLine="0"/>
        <w:jc w:val="center"/>
        <w:rPr>
          <w:rFonts w:ascii="仿宋" w:hAnsi="仿宋" w:eastAsia="仿宋" w:cs="仿宋"/>
          <w:color w:val="auto"/>
          <w:sz w:val="21"/>
          <w:szCs w:val="21"/>
        </w:rPr>
      </w:pPr>
    </w:p>
    <w:p w14:paraId="686C3C84">
      <w:pPr>
        <w:pStyle w:val="38"/>
        <w:tabs>
          <w:tab w:val="left" w:pos="826"/>
        </w:tabs>
        <w:spacing w:line="470" w:lineRule="exact"/>
        <w:ind w:firstLine="0"/>
        <w:jc w:val="center"/>
        <w:rPr>
          <w:rFonts w:ascii="仿宋" w:hAnsi="仿宋" w:eastAsia="仿宋" w:cs="仿宋"/>
          <w:color w:val="auto"/>
          <w:sz w:val="21"/>
          <w:szCs w:val="21"/>
        </w:rPr>
      </w:pPr>
    </w:p>
    <w:p w14:paraId="2D825606">
      <w:pPr>
        <w:pStyle w:val="38"/>
        <w:tabs>
          <w:tab w:val="left" w:pos="826"/>
        </w:tabs>
        <w:spacing w:line="470" w:lineRule="exact"/>
        <w:ind w:firstLine="0"/>
        <w:jc w:val="center"/>
        <w:rPr>
          <w:rFonts w:ascii="仿宋" w:hAnsi="仿宋" w:eastAsia="仿宋" w:cs="仿宋"/>
          <w:color w:val="auto"/>
          <w:sz w:val="21"/>
          <w:szCs w:val="21"/>
        </w:rPr>
      </w:pPr>
    </w:p>
    <w:p w14:paraId="5C73CE00">
      <w:pPr>
        <w:jc w:val="center"/>
        <w:rPr>
          <w:rFonts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7、供应商基本情况表</w:t>
      </w:r>
    </w:p>
    <w:p w14:paraId="2F57699C">
      <w:pPr>
        <w:pStyle w:val="9"/>
        <w:numPr>
          <w:ilvl w:val="0"/>
          <w:numId w:val="0"/>
        </w:numPr>
        <w:kinsoku w:val="0"/>
        <w:overflowPunct w:val="0"/>
        <w:spacing w:before="5"/>
        <w:rPr>
          <w:rFonts w:ascii="仿宋" w:hAnsi="仿宋" w:eastAsia="仿宋" w:cs="仿宋"/>
          <w:b/>
          <w:bCs/>
          <w:color w:val="auto"/>
          <w:sz w:val="6"/>
          <w:szCs w:val="6"/>
          <w:lang w:eastAsia="zh-CN"/>
        </w:rPr>
      </w:pPr>
    </w:p>
    <w:tbl>
      <w:tblPr>
        <w:tblStyle w:val="25"/>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4A2EC8AC">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C27A79D">
            <w:pPr>
              <w:pStyle w:val="41"/>
              <w:kinsoku w:val="0"/>
              <w:overflowPunct w:val="0"/>
              <w:spacing w:before="145"/>
              <w:ind w:left="137"/>
              <w:rPr>
                <w:rFonts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04E352B1">
            <w:pPr>
              <w:rPr>
                <w:rFonts w:ascii="仿宋" w:hAnsi="仿宋" w:eastAsia="仿宋" w:cs="仿宋"/>
                <w:color w:val="auto"/>
              </w:rPr>
            </w:pPr>
          </w:p>
        </w:tc>
      </w:tr>
      <w:tr w14:paraId="411895F3">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D83E540">
            <w:pPr>
              <w:pStyle w:val="41"/>
              <w:kinsoku w:val="0"/>
              <w:overflowPunct w:val="0"/>
              <w:spacing w:before="145"/>
              <w:ind w:left="137"/>
              <w:rPr>
                <w:rFonts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3067C483">
            <w:pPr>
              <w:rPr>
                <w:rFonts w:ascii="仿宋" w:hAnsi="仿宋" w:eastAsia="仿宋" w:cs="仿宋"/>
                <w:color w:val="auto"/>
              </w:rPr>
            </w:pPr>
          </w:p>
        </w:tc>
      </w:tr>
      <w:tr w14:paraId="1331882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E02ECA2">
            <w:pPr>
              <w:pStyle w:val="41"/>
              <w:kinsoku w:val="0"/>
              <w:overflowPunct w:val="0"/>
              <w:spacing w:before="145"/>
              <w:ind w:left="137"/>
              <w:rPr>
                <w:rFonts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1A91B770">
            <w:pPr>
              <w:rPr>
                <w:rFonts w:ascii="仿宋" w:hAnsi="仿宋" w:eastAsia="仿宋" w:cs="仿宋"/>
                <w:color w:val="auto"/>
              </w:rPr>
            </w:pPr>
          </w:p>
        </w:tc>
      </w:tr>
      <w:tr w14:paraId="385DBE5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F314E23">
            <w:pPr>
              <w:pStyle w:val="41"/>
              <w:kinsoku w:val="0"/>
              <w:overflowPunct w:val="0"/>
              <w:spacing w:before="145"/>
              <w:ind w:left="137"/>
              <w:rPr>
                <w:rFonts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71FBC8F">
            <w:pPr>
              <w:rPr>
                <w:rFonts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14:paraId="349C70AF">
            <w:pPr>
              <w:pStyle w:val="41"/>
              <w:kinsoku w:val="0"/>
              <w:overflowPunct w:val="0"/>
              <w:spacing w:before="145"/>
              <w:ind w:left="181"/>
              <w:rPr>
                <w:rFonts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79A81C89">
            <w:pPr>
              <w:rPr>
                <w:rFonts w:ascii="仿宋" w:hAnsi="仿宋" w:eastAsia="仿宋" w:cs="仿宋"/>
                <w:color w:val="auto"/>
              </w:rPr>
            </w:pPr>
          </w:p>
        </w:tc>
      </w:tr>
      <w:tr w14:paraId="21A8253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7C9682E">
            <w:pPr>
              <w:pStyle w:val="41"/>
              <w:kinsoku w:val="0"/>
              <w:overflowPunct w:val="0"/>
              <w:spacing w:before="146"/>
              <w:ind w:left="137"/>
              <w:rPr>
                <w:rFonts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5F233495">
            <w:pPr>
              <w:rPr>
                <w:rFonts w:ascii="仿宋" w:hAnsi="仿宋" w:eastAsia="仿宋" w:cs="仿宋"/>
                <w:color w:val="auto"/>
              </w:rPr>
            </w:pPr>
          </w:p>
        </w:tc>
      </w:tr>
      <w:tr w14:paraId="1C16D151">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915E2DF">
            <w:pPr>
              <w:pStyle w:val="41"/>
              <w:kinsoku w:val="0"/>
              <w:overflowPunct w:val="0"/>
              <w:spacing w:before="141" w:line="312" w:lineRule="exact"/>
              <w:ind w:left="257" w:right="133" w:hanging="120"/>
              <w:rPr>
                <w:rFonts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07AD1F73">
            <w:pPr>
              <w:rPr>
                <w:rFonts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14:paraId="0CFCE1A3">
            <w:pPr>
              <w:pStyle w:val="41"/>
              <w:kinsoku w:val="0"/>
              <w:overflowPunct w:val="0"/>
              <w:spacing w:before="4"/>
              <w:rPr>
                <w:rFonts w:ascii="仿宋" w:hAnsi="仿宋" w:eastAsia="仿宋" w:cs="仿宋"/>
                <w:b/>
                <w:bCs/>
                <w:color w:val="auto"/>
                <w:sz w:val="20"/>
                <w:szCs w:val="20"/>
              </w:rPr>
            </w:pPr>
          </w:p>
          <w:p w14:paraId="53EA8517">
            <w:pPr>
              <w:pStyle w:val="41"/>
              <w:kinsoku w:val="0"/>
              <w:overflowPunct w:val="0"/>
              <w:ind w:left="366"/>
              <w:rPr>
                <w:rFonts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0FF3F20B">
            <w:pPr>
              <w:rPr>
                <w:rFonts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14:paraId="2F4BF516">
            <w:pPr>
              <w:pStyle w:val="41"/>
              <w:kinsoku w:val="0"/>
              <w:overflowPunct w:val="0"/>
              <w:spacing w:before="4"/>
              <w:rPr>
                <w:rFonts w:ascii="仿宋" w:hAnsi="仿宋" w:eastAsia="仿宋" w:cs="仿宋"/>
                <w:b/>
                <w:bCs/>
                <w:color w:val="auto"/>
                <w:sz w:val="20"/>
                <w:szCs w:val="20"/>
              </w:rPr>
            </w:pPr>
          </w:p>
          <w:p w14:paraId="59A71BCE">
            <w:pPr>
              <w:pStyle w:val="41"/>
              <w:kinsoku w:val="0"/>
              <w:overflowPunct w:val="0"/>
              <w:ind w:left="383"/>
              <w:rPr>
                <w:rFonts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14:paraId="33041076">
            <w:pPr>
              <w:rPr>
                <w:rFonts w:ascii="仿宋" w:hAnsi="仿宋" w:eastAsia="仿宋" w:cs="仿宋"/>
                <w:color w:val="auto"/>
              </w:rPr>
            </w:pPr>
          </w:p>
        </w:tc>
      </w:tr>
      <w:tr w14:paraId="1D5FB049">
        <w:tblPrEx>
          <w:tblCellMar>
            <w:top w:w="0" w:type="dxa"/>
            <w:left w:w="0" w:type="dxa"/>
            <w:bottom w:w="0" w:type="dxa"/>
            <w:right w:w="0" w:type="dxa"/>
          </w:tblCellMar>
        </w:tblPrEx>
        <w:trPr>
          <w:trHeight w:val="698"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617799E3">
            <w:pPr>
              <w:pStyle w:val="41"/>
              <w:kinsoku w:val="0"/>
              <w:overflowPunct w:val="0"/>
              <w:rPr>
                <w:rFonts w:ascii="仿宋" w:hAnsi="仿宋" w:eastAsia="仿宋" w:cs="仿宋"/>
                <w:b/>
                <w:bCs/>
                <w:color w:val="auto"/>
              </w:rPr>
            </w:pPr>
          </w:p>
          <w:p w14:paraId="3AAC5CBB">
            <w:pPr>
              <w:pStyle w:val="41"/>
              <w:kinsoku w:val="0"/>
              <w:overflowPunct w:val="0"/>
              <w:rPr>
                <w:rFonts w:ascii="仿宋" w:hAnsi="仿宋" w:eastAsia="仿宋" w:cs="仿宋"/>
                <w:b/>
                <w:bCs/>
                <w:color w:val="auto"/>
              </w:rPr>
            </w:pPr>
          </w:p>
          <w:p w14:paraId="734ED796">
            <w:pPr>
              <w:pStyle w:val="41"/>
              <w:kinsoku w:val="0"/>
              <w:overflowPunct w:val="0"/>
              <w:rPr>
                <w:rFonts w:ascii="仿宋" w:hAnsi="仿宋" w:eastAsia="仿宋" w:cs="仿宋"/>
                <w:b/>
                <w:bCs/>
                <w:color w:val="auto"/>
              </w:rPr>
            </w:pPr>
          </w:p>
          <w:p w14:paraId="02329871">
            <w:pPr>
              <w:pStyle w:val="41"/>
              <w:kinsoku w:val="0"/>
              <w:overflowPunct w:val="0"/>
              <w:spacing w:line="475" w:lineRule="auto"/>
              <w:ind w:left="497" w:right="493"/>
              <w:jc w:val="both"/>
              <w:rPr>
                <w:rFonts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7C45548A">
            <w:pPr>
              <w:pStyle w:val="41"/>
              <w:kinsoku w:val="0"/>
              <w:overflowPunct w:val="0"/>
              <w:spacing w:before="144"/>
              <w:ind w:left="236"/>
              <w:rPr>
                <w:rFonts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0EF32E68">
            <w:pPr>
              <w:rPr>
                <w:rFonts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14:paraId="73E7E238">
            <w:pPr>
              <w:pStyle w:val="41"/>
              <w:kinsoku w:val="0"/>
              <w:overflowPunct w:val="0"/>
              <w:spacing w:before="144"/>
              <w:ind w:left="118"/>
              <w:rPr>
                <w:rFonts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40A63410">
            <w:pPr>
              <w:rPr>
                <w:rFonts w:ascii="仿宋" w:hAnsi="仿宋" w:eastAsia="仿宋" w:cs="仿宋"/>
                <w:color w:val="auto"/>
              </w:rPr>
            </w:pPr>
          </w:p>
        </w:tc>
      </w:tr>
      <w:tr w14:paraId="4F682C45">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DF29F8F">
            <w:pPr>
              <w:rPr>
                <w:rFonts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14:paraId="6B582BD7">
            <w:pPr>
              <w:pStyle w:val="41"/>
              <w:kinsoku w:val="0"/>
              <w:overflowPunct w:val="0"/>
              <w:spacing w:before="145"/>
              <w:jc w:val="center"/>
              <w:rPr>
                <w:rFonts w:ascii="仿宋" w:hAnsi="仿宋" w:eastAsia="仿宋" w:cs="仿宋"/>
                <w:color w:val="auto"/>
                <w:lang w:eastAsia="zh-CN"/>
              </w:rPr>
            </w:pPr>
            <w:r>
              <w:rPr>
                <w:rFonts w:hint="eastAsia" w:ascii="仿宋" w:hAnsi="仿宋" w:eastAsia="仿宋" w:cs="仿宋"/>
                <w:color w:val="auto"/>
                <w:lang w:eastAsia="zh-CN"/>
              </w:rPr>
              <w:t>单位行政和技术负责人</w:t>
            </w:r>
          </w:p>
        </w:tc>
      </w:tr>
      <w:tr w14:paraId="7854517D">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1CEE459">
            <w:pPr>
              <w:pStyle w:val="41"/>
              <w:kinsoku w:val="0"/>
              <w:overflowPunct w:val="0"/>
              <w:spacing w:before="145"/>
              <w:jc w:val="center"/>
              <w:rPr>
                <w:rFonts w:ascii="仿宋" w:hAnsi="仿宋" w:eastAsia="仿宋" w:cs="仿宋"/>
                <w:color w:val="auto"/>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749CC935">
            <w:pPr>
              <w:pStyle w:val="41"/>
              <w:kinsoku w:val="0"/>
              <w:overflowPunct w:val="0"/>
              <w:spacing w:before="145"/>
              <w:ind w:left="416"/>
              <w:rPr>
                <w:rFonts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1C869A31">
            <w:pPr>
              <w:pStyle w:val="41"/>
              <w:kinsoku w:val="0"/>
              <w:overflowPunct w:val="0"/>
              <w:spacing w:before="145"/>
              <w:ind w:left="452"/>
              <w:rPr>
                <w:rFonts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2DE3F133">
            <w:pPr>
              <w:pStyle w:val="41"/>
              <w:kinsoku w:val="0"/>
              <w:overflowPunct w:val="0"/>
              <w:spacing w:before="145"/>
              <w:ind w:left="450"/>
              <w:rPr>
                <w:rFonts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659E4721">
            <w:pPr>
              <w:pStyle w:val="41"/>
              <w:tabs>
                <w:tab w:val="left" w:pos="479"/>
              </w:tabs>
              <w:kinsoku w:val="0"/>
              <w:overflowPunct w:val="0"/>
              <w:spacing w:before="145"/>
              <w:ind w:right="1"/>
              <w:jc w:val="center"/>
              <w:rPr>
                <w:rFonts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2FDDDC04">
        <w:tblPrEx>
          <w:tblCellMar>
            <w:top w:w="0" w:type="dxa"/>
            <w:left w:w="0" w:type="dxa"/>
            <w:bottom w:w="0" w:type="dxa"/>
            <w:right w:w="0" w:type="dxa"/>
          </w:tblCellMar>
        </w:tblPrEx>
        <w:trPr>
          <w:trHeight w:val="45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150C422">
            <w:pPr>
              <w:pStyle w:val="41"/>
              <w:tabs>
                <w:tab w:val="left" w:pos="479"/>
              </w:tabs>
              <w:kinsoku w:val="0"/>
              <w:overflowPunct w:val="0"/>
              <w:spacing w:before="145"/>
              <w:ind w:right="1"/>
              <w:jc w:val="cente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734ADE80">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39B0C609">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0898CB1">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7F0C4AFB">
            <w:pPr>
              <w:rPr>
                <w:rFonts w:ascii="仿宋" w:hAnsi="仿宋" w:eastAsia="仿宋" w:cs="仿宋"/>
                <w:color w:val="auto"/>
              </w:rPr>
            </w:pPr>
          </w:p>
        </w:tc>
      </w:tr>
      <w:tr w14:paraId="074FF83F">
        <w:tblPrEx>
          <w:tblCellMar>
            <w:top w:w="0" w:type="dxa"/>
            <w:left w:w="0" w:type="dxa"/>
            <w:bottom w:w="0" w:type="dxa"/>
            <w:right w:w="0" w:type="dxa"/>
          </w:tblCellMar>
        </w:tblPrEx>
        <w:trPr>
          <w:trHeight w:val="4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41CC5F3">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7647FA04">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A14EE5B">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26D16F57">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358B73F5">
            <w:pPr>
              <w:rPr>
                <w:rFonts w:ascii="仿宋" w:hAnsi="仿宋" w:eastAsia="仿宋" w:cs="仿宋"/>
                <w:color w:val="auto"/>
              </w:rPr>
            </w:pPr>
          </w:p>
        </w:tc>
      </w:tr>
      <w:tr w14:paraId="2ADE9AD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4A95700">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3D6A716D">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B745897">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92699ED">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37A8DBA">
            <w:pPr>
              <w:rPr>
                <w:rFonts w:ascii="仿宋" w:hAnsi="仿宋" w:eastAsia="仿宋" w:cs="仿宋"/>
                <w:color w:val="auto"/>
              </w:rPr>
            </w:pPr>
          </w:p>
        </w:tc>
      </w:tr>
      <w:tr w14:paraId="194304F2">
        <w:tblPrEx>
          <w:tblCellMar>
            <w:top w:w="0" w:type="dxa"/>
            <w:left w:w="0" w:type="dxa"/>
            <w:bottom w:w="0" w:type="dxa"/>
            <w:right w:w="0" w:type="dxa"/>
          </w:tblCellMar>
        </w:tblPrEx>
        <w:trPr>
          <w:trHeight w:val="3475"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51DC3C8">
            <w:pPr>
              <w:pStyle w:val="41"/>
              <w:kinsoku w:val="0"/>
              <w:overflowPunct w:val="0"/>
              <w:spacing w:before="1"/>
              <w:rPr>
                <w:rFonts w:ascii="仿宋" w:hAnsi="仿宋" w:eastAsia="仿宋" w:cs="仿宋"/>
                <w:b/>
                <w:bCs/>
                <w:color w:val="auto"/>
                <w:sz w:val="23"/>
                <w:szCs w:val="23"/>
              </w:rPr>
            </w:pPr>
          </w:p>
          <w:p w14:paraId="71EF2692">
            <w:pPr>
              <w:pStyle w:val="41"/>
              <w:kinsoku w:val="0"/>
              <w:overflowPunct w:val="0"/>
              <w:spacing w:line="237" w:lineRule="auto"/>
              <w:ind w:left="497" w:right="493"/>
              <w:jc w:val="both"/>
              <w:rPr>
                <w:rFonts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0FBFA139">
            <w:pPr>
              <w:rPr>
                <w:rFonts w:ascii="仿宋" w:hAnsi="仿宋" w:eastAsia="仿宋" w:cs="仿宋"/>
                <w:color w:val="auto"/>
              </w:rPr>
            </w:pPr>
          </w:p>
        </w:tc>
      </w:tr>
    </w:tbl>
    <w:p w14:paraId="71181764">
      <w:pPr>
        <w:pStyle w:val="38"/>
        <w:spacing w:line="440" w:lineRule="exact"/>
        <w:ind w:firstLine="0"/>
        <w:jc w:val="both"/>
        <w:rPr>
          <w:rFonts w:ascii="仿宋" w:hAnsi="仿宋" w:eastAsia="仿宋" w:cs="仿宋"/>
          <w:b/>
          <w:color w:val="auto"/>
          <w:sz w:val="30"/>
          <w:szCs w:val="30"/>
        </w:rPr>
      </w:pPr>
    </w:p>
    <w:p w14:paraId="1C1C363D">
      <w:pPr>
        <w:spacing w:line="360" w:lineRule="auto"/>
        <w:jc w:val="both"/>
        <w:rPr>
          <w:rFonts w:hint="eastAsia" w:ascii="仿宋" w:hAnsi="仿宋" w:eastAsia="仿宋" w:cs="仿宋"/>
          <w:bCs/>
          <w:color w:val="auto"/>
          <w:sz w:val="32"/>
          <w:szCs w:val="32"/>
          <w:lang w:eastAsia="zh-CN"/>
        </w:rPr>
      </w:pPr>
    </w:p>
    <w:p w14:paraId="07B813EB">
      <w:pPr>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8、中标服务费支付承诺书</w:t>
      </w:r>
    </w:p>
    <w:p w14:paraId="137EAD3A">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4E144CF6">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向贵公司交纳招标文件规定的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p w14:paraId="7F73FBE5">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47DBEE1F">
      <w:pPr>
        <w:spacing w:line="440" w:lineRule="exact"/>
        <w:ind w:firstLine="960" w:firstLineChars="400"/>
        <w:rPr>
          <w:rFonts w:hint="eastAsia" w:ascii="仿宋" w:hAnsi="仿宋" w:eastAsia="仿宋" w:cs="仿宋"/>
          <w:color w:val="auto"/>
          <w:sz w:val="24"/>
          <w:szCs w:val="24"/>
          <w:highlight w:val="none"/>
        </w:rPr>
      </w:pPr>
    </w:p>
    <w:p w14:paraId="11103BE9">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266DC7AA">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146714A0">
      <w:pPr>
        <w:adjustRightInd w:val="0"/>
        <w:snapToGrid w:val="0"/>
        <w:spacing w:line="440" w:lineRule="exact"/>
        <w:rPr>
          <w:rFonts w:hint="eastAsia" w:ascii="仿宋" w:hAnsi="仿宋" w:eastAsia="仿宋" w:cs="仿宋"/>
          <w:color w:val="auto"/>
          <w:sz w:val="24"/>
          <w:szCs w:val="24"/>
          <w:highlight w:val="none"/>
        </w:rPr>
      </w:pPr>
    </w:p>
    <w:p w14:paraId="3CE335B4">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4E4A355A">
      <w:pPr>
        <w:adjustRightInd w:val="0"/>
        <w:snapToGrid w:val="0"/>
        <w:spacing w:line="440" w:lineRule="exact"/>
        <w:rPr>
          <w:rFonts w:hint="eastAsia" w:ascii="仿宋" w:hAnsi="仿宋" w:eastAsia="仿宋" w:cs="仿宋"/>
          <w:color w:val="auto"/>
          <w:sz w:val="24"/>
          <w:szCs w:val="24"/>
          <w:highlight w:val="none"/>
        </w:rPr>
      </w:pPr>
    </w:p>
    <w:p w14:paraId="37570EC5">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3FD6368">
      <w:pPr>
        <w:adjustRightInd w:val="0"/>
        <w:snapToGrid w:val="0"/>
        <w:spacing w:line="440" w:lineRule="exact"/>
        <w:rPr>
          <w:rFonts w:hint="eastAsia" w:ascii="仿宋" w:hAnsi="仿宋" w:eastAsia="仿宋" w:cs="仿宋"/>
          <w:color w:val="auto"/>
          <w:sz w:val="24"/>
          <w:szCs w:val="24"/>
          <w:highlight w:val="none"/>
        </w:rPr>
      </w:pPr>
    </w:p>
    <w:p w14:paraId="3A33E24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68577F25">
      <w:pPr>
        <w:pStyle w:val="9"/>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458717FA">
      <w:pPr>
        <w:spacing w:line="360" w:lineRule="auto"/>
        <w:jc w:val="center"/>
        <w:rPr>
          <w:rFonts w:hint="eastAsia" w:ascii="仿宋" w:hAnsi="仿宋" w:eastAsia="仿宋" w:cs="仿宋"/>
          <w:bCs/>
          <w:color w:val="auto"/>
          <w:sz w:val="32"/>
          <w:szCs w:val="32"/>
          <w:lang w:eastAsia="zh-CN"/>
        </w:rPr>
      </w:pPr>
    </w:p>
    <w:p w14:paraId="79E0C4B0">
      <w:pPr>
        <w:spacing w:line="360" w:lineRule="auto"/>
        <w:jc w:val="center"/>
        <w:rPr>
          <w:rFonts w:hint="eastAsia" w:ascii="仿宋" w:hAnsi="仿宋" w:eastAsia="仿宋" w:cs="仿宋"/>
          <w:bCs/>
          <w:color w:val="auto"/>
          <w:sz w:val="32"/>
          <w:szCs w:val="32"/>
          <w:lang w:eastAsia="zh-CN"/>
        </w:rPr>
      </w:pPr>
    </w:p>
    <w:p w14:paraId="7D45324B">
      <w:pPr>
        <w:spacing w:line="360" w:lineRule="auto"/>
        <w:jc w:val="center"/>
        <w:rPr>
          <w:rFonts w:hint="eastAsia" w:ascii="仿宋" w:hAnsi="仿宋" w:eastAsia="仿宋" w:cs="仿宋"/>
          <w:bCs/>
          <w:color w:val="auto"/>
          <w:sz w:val="32"/>
          <w:szCs w:val="32"/>
          <w:lang w:eastAsia="zh-CN"/>
        </w:rPr>
      </w:pPr>
    </w:p>
    <w:p w14:paraId="35B462B9">
      <w:pPr>
        <w:spacing w:line="360" w:lineRule="auto"/>
        <w:jc w:val="center"/>
        <w:rPr>
          <w:rFonts w:hint="eastAsia" w:ascii="仿宋" w:hAnsi="仿宋" w:eastAsia="仿宋" w:cs="仿宋"/>
          <w:bCs/>
          <w:color w:val="auto"/>
          <w:sz w:val="32"/>
          <w:szCs w:val="32"/>
          <w:lang w:eastAsia="zh-CN"/>
        </w:rPr>
      </w:pPr>
    </w:p>
    <w:p w14:paraId="79070341">
      <w:pPr>
        <w:spacing w:line="360" w:lineRule="auto"/>
        <w:jc w:val="center"/>
        <w:rPr>
          <w:rFonts w:hint="eastAsia" w:ascii="仿宋" w:hAnsi="仿宋" w:eastAsia="仿宋" w:cs="仿宋"/>
          <w:bCs/>
          <w:color w:val="auto"/>
          <w:sz w:val="32"/>
          <w:szCs w:val="32"/>
          <w:lang w:eastAsia="zh-CN"/>
        </w:rPr>
      </w:pPr>
    </w:p>
    <w:p w14:paraId="5DA5024A">
      <w:pPr>
        <w:spacing w:line="360" w:lineRule="auto"/>
        <w:jc w:val="center"/>
        <w:rPr>
          <w:rFonts w:hint="eastAsia" w:ascii="仿宋" w:hAnsi="仿宋" w:eastAsia="仿宋" w:cs="仿宋"/>
          <w:bCs/>
          <w:color w:val="auto"/>
          <w:sz w:val="32"/>
          <w:szCs w:val="32"/>
          <w:lang w:eastAsia="zh-CN"/>
        </w:rPr>
      </w:pPr>
    </w:p>
    <w:p w14:paraId="5297B58B">
      <w:pPr>
        <w:pStyle w:val="32"/>
        <w:rPr>
          <w:rFonts w:hint="eastAsia"/>
          <w:lang w:eastAsia="zh-CN"/>
        </w:rPr>
      </w:pPr>
    </w:p>
    <w:p w14:paraId="2B4C7B34">
      <w:pPr>
        <w:spacing w:line="360" w:lineRule="auto"/>
        <w:jc w:val="center"/>
        <w:rPr>
          <w:rFonts w:hint="eastAsia" w:ascii="仿宋" w:hAnsi="仿宋" w:eastAsia="仿宋" w:cs="仿宋"/>
          <w:bCs/>
          <w:color w:val="auto"/>
          <w:sz w:val="32"/>
          <w:szCs w:val="32"/>
          <w:lang w:eastAsia="zh-CN"/>
        </w:rPr>
      </w:pPr>
    </w:p>
    <w:p w14:paraId="4C6EA8CF">
      <w:pPr>
        <w:spacing w:line="360" w:lineRule="auto"/>
        <w:jc w:val="center"/>
        <w:rPr>
          <w:rFonts w:hint="eastAsia" w:ascii="仿宋" w:hAnsi="仿宋" w:eastAsia="仿宋" w:cs="仿宋"/>
          <w:bCs/>
          <w:color w:val="auto"/>
          <w:sz w:val="32"/>
          <w:szCs w:val="32"/>
          <w:lang w:eastAsia="zh-CN"/>
        </w:rPr>
      </w:pPr>
    </w:p>
    <w:p w14:paraId="4AD2D636">
      <w:pPr>
        <w:spacing w:line="360" w:lineRule="auto"/>
        <w:jc w:val="center"/>
        <w:rPr>
          <w:rFonts w:ascii="仿宋" w:hAnsi="仿宋" w:eastAsia="仿宋" w:cs="仿宋"/>
          <w:b/>
          <w:color w:val="auto"/>
          <w:sz w:val="32"/>
          <w:szCs w:val="32"/>
          <w:lang w:eastAsia="zh-CN"/>
        </w:rPr>
      </w:pPr>
      <w:r>
        <w:rPr>
          <w:rFonts w:hint="eastAsia" w:ascii="仿宋" w:hAnsi="仿宋" w:eastAsia="仿宋" w:cs="仿宋"/>
          <w:bCs/>
          <w:color w:val="auto"/>
          <w:sz w:val="32"/>
          <w:szCs w:val="32"/>
          <w:lang w:val="en-US" w:eastAsia="zh-CN"/>
        </w:rPr>
        <w:t>9、</w:t>
      </w:r>
      <w:r>
        <w:rPr>
          <w:rFonts w:hint="eastAsia" w:ascii="仿宋" w:hAnsi="仿宋" w:eastAsia="仿宋" w:cs="仿宋"/>
          <w:b/>
          <w:color w:val="auto"/>
          <w:sz w:val="36"/>
          <w:szCs w:val="36"/>
          <w:lang w:eastAsia="zh-CN"/>
        </w:rPr>
        <w:t>中小企业声明函（服务）</w:t>
      </w:r>
    </w:p>
    <w:p w14:paraId="4BD3B8F3">
      <w:pPr>
        <w:spacing w:line="360" w:lineRule="auto"/>
        <w:ind w:firstLine="480" w:firstLineChars="200"/>
        <w:rPr>
          <w:rFonts w:hint="eastAsia" w:ascii="宋体" w:hAnsi="宋体" w:cs="宋体"/>
          <w:color w:val="auto"/>
          <w:kern w:val="0"/>
          <w:sz w:val="24"/>
        </w:rPr>
      </w:pPr>
    </w:p>
    <w:p w14:paraId="4A133413">
      <w:pPr>
        <w:spacing w:line="360" w:lineRule="auto"/>
        <w:ind w:firstLine="480" w:firstLineChars="200"/>
        <w:rPr>
          <w:rFonts w:hint="eastAsia" w:ascii="仿宋" w:hAnsi="仿宋" w:eastAsia="仿宋" w:cs="仿宋"/>
          <w:color w:val="auto"/>
          <w:kern w:val="0"/>
          <w:sz w:val="24"/>
        </w:rPr>
      </w:pPr>
      <w:r>
        <w:rPr>
          <w:rFonts w:hint="eastAsia" w:ascii="宋体" w:hAnsi="宋体" w:cs="宋体"/>
          <w:color w:val="auto"/>
          <w:kern w:val="0"/>
          <w:sz w:val="24"/>
        </w:rPr>
        <w:t>本</w:t>
      </w:r>
      <w:r>
        <w:rPr>
          <w:rFonts w:hint="eastAsia" w:ascii="仿宋" w:hAnsi="仿宋" w:eastAsia="仿宋" w:cs="仿宋"/>
          <w:color w:val="auto"/>
          <w:kern w:val="0"/>
          <w:sz w:val="24"/>
        </w:rPr>
        <w:t>公司（联合体）郑重声明，根据《政府采购促进中小企业发展管理办法》（财库[2020]46号）的规定，本公司（联合体）参加</w:t>
      </w:r>
      <w:r>
        <w:rPr>
          <w:rFonts w:hint="eastAsia" w:ascii="仿宋" w:hAnsi="仿宋" w:eastAsia="仿宋" w:cs="仿宋"/>
          <w:color w:val="auto"/>
          <w:kern w:val="0"/>
          <w:sz w:val="24"/>
          <w:u w:val="single"/>
        </w:rPr>
        <w:t xml:space="preserve">      （单位名称）</w:t>
      </w:r>
      <w:r>
        <w:rPr>
          <w:rFonts w:hint="eastAsia" w:ascii="仿宋" w:hAnsi="仿宋" w:eastAsia="仿宋" w:cs="仿宋"/>
          <w:color w:val="auto"/>
          <w:kern w:val="0"/>
          <w:sz w:val="24"/>
        </w:rPr>
        <w:t>的</w:t>
      </w:r>
      <w:r>
        <w:rPr>
          <w:rFonts w:hint="eastAsia" w:ascii="仿宋" w:hAnsi="仿宋" w:eastAsia="仿宋" w:cs="仿宋"/>
          <w:color w:val="auto"/>
          <w:kern w:val="0"/>
          <w:sz w:val="24"/>
          <w:u w:val="single"/>
        </w:rPr>
        <w:t xml:space="preserve">            （项目名称）</w:t>
      </w:r>
      <w:r>
        <w:rPr>
          <w:rFonts w:hint="eastAsia" w:ascii="仿宋" w:hAnsi="仿宋" w:eastAsia="仿宋" w:cs="仿宋"/>
          <w:color w:val="auto"/>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1610B138">
      <w:pPr>
        <w:numPr>
          <w:ilvl w:val="0"/>
          <w:numId w:val="11"/>
        </w:num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u w:val="single"/>
        </w:rPr>
        <w:t>（标的名称）</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（采购文件中明确的所属行业）</w:t>
      </w:r>
      <w:r>
        <w:rPr>
          <w:rFonts w:hint="eastAsia" w:ascii="仿宋" w:hAnsi="仿宋" w:eastAsia="仿宋" w:cs="仿宋"/>
          <w:color w:val="auto"/>
          <w:kern w:val="0"/>
          <w:sz w:val="24"/>
        </w:rPr>
        <w:t>；承建（承接）企业为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（企业名称），从业人员</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万元，属于</w:t>
      </w:r>
      <w:r>
        <w:rPr>
          <w:rFonts w:hint="eastAsia" w:ascii="仿宋" w:hAnsi="仿宋" w:eastAsia="仿宋" w:cs="仿宋"/>
          <w:color w:val="auto"/>
          <w:kern w:val="0"/>
          <w:sz w:val="24"/>
          <w:u w:val="single"/>
        </w:rPr>
        <w:t xml:space="preserve">       （中型企业、小型企业、微型企业）</w:t>
      </w:r>
      <w:r>
        <w:rPr>
          <w:rFonts w:hint="eastAsia" w:ascii="仿宋" w:hAnsi="仿宋" w:eastAsia="仿宋" w:cs="仿宋"/>
          <w:color w:val="auto"/>
          <w:kern w:val="0"/>
          <w:sz w:val="24"/>
        </w:rPr>
        <w:t>；</w:t>
      </w:r>
    </w:p>
    <w:p w14:paraId="17E9997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color w:val="auto"/>
          <w:kern w:val="0"/>
          <w:sz w:val="24"/>
          <w:u w:val="single"/>
        </w:rPr>
        <w:t>（标的名称）</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 xml:space="preserve"> （采购文件中明确的所属行业）</w:t>
      </w:r>
      <w:r>
        <w:rPr>
          <w:rFonts w:hint="eastAsia" w:ascii="仿宋" w:hAnsi="仿宋" w:eastAsia="仿宋" w:cs="仿宋"/>
          <w:color w:val="auto"/>
          <w:kern w:val="0"/>
          <w:sz w:val="24"/>
        </w:rPr>
        <w:t>；承建（承接）企业为</w:t>
      </w:r>
      <w:r>
        <w:rPr>
          <w:rFonts w:hint="eastAsia" w:ascii="仿宋" w:hAnsi="仿宋" w:eastAsia="仿宋" w:cs="仿宋"/>
          <w:color w:val="auto"/>
          <w:kern w:val="0"/>
          <w:sz w:val="24"/>
          <w:u w:val="single"/>
        </w:rPr>
        <w:t xml:space="preserve">      （企业名称）</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万元，属于</w:t>
      </w:r>
      <w:r>
        <w:rPr>
          <w:rFonts w:hint="eastAsia" w:ascii="仿宋" w:hAnsi="仿宋" w:eastAsia="仿宋" w:cs="仿宋"/>
          <w:color w:val="auto"/>
          <w:kern w:val="0"/>
          <w:sz w:val="24"/>
          <w:u w:val="single"/>
        </w:rPr>
        <w:t xml:space="preserve">    （中型企业、小型企业、微型企业）</w:t>
      </w:r>
      <w:r>
        <w:rPr>
          <w:rFonts w:hint="eastAsia" w:ascii="仿宋" w:hAnsi="仿宋" w:eastAsia="仿宋" w:cs="仿宋"/>
          <w:color w:val="auto"/>
          <w:kern w:val="0"/>
          <w:sz w:val="24"/>
        </w:rPr>
        <w:t>；</w:t>
      </w:r>
    </w:p>
    <w:p w14:paraId="48648A2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p>
    <w:p w14:paraId="4226E9A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以上企业，不属于大企业的分支机构，不存在控股股东为大企业的情形，也不存在与大企业的负责人为同一人的情形。</w:t>
      </w:r>
    </w:p>
    <w:p w14:paraId="5DFA6D8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本企业对上述声明内容的真实性负责。如有虚假，将依法承担相应责任。</w:t>
      </w:r>
    </w:p>
    <w:p w14:paraId="5FEAC1A2">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p>
    <w:p w14:paraId="226427A5">
      <w:pPr>
        <w:spacing w:line="360" w:lineRule="auto"/>
        <w:ind w:firstLine="480" w:firstLineChars="200"/>
        <w:rPr>
          <w:rFonts w:hint="eastAsia" w:ascii="仿宋" w:hAnsi="仿宋" w:eastAsia="仿宋" w:cs="仿宋"/>
          <w:color w:val="auto"/>
          <w:kern w:val="0"/>
          <w:sz w:val="24"/>
        </w:rPr>
      </w:pPr>
    </w:p>
    <w:p w14:paraId="4562FC8B">
      <w:pPr>
        <w:spacing w:line="360" w:lineRule="auto"/>
        <w:ind w:firstLine="480" w:firstLineChars="200"/>
        <w:rPr>
          <w:rFonts w:hint="eastAsia" w:ascii="仿宋" w:hAnsi="仿宋" w:eastAsia="仿宋" w:cs="仿宋"/>
          <w:color w:val="auto"/>
          <w:kern w:val="0"/>
          <w:sz w:val="24"/>
        </w:rPr>
      </w:pPr>
    </w:p>
    <w:p w14:paraId="717E3A28">
      <w:pPr>
        <w:spacing w:line="360" w:lineRule="auto"/>
        <w:ind w:firstLine="3840" w:firstLineChars="1600"/>
        <w:rPr>
          <w:rFonts w:hint="eastAsia" w:ascii="仿宋" w:hAnsi="仿宋" w:eastAsia="仿宋" w:cs="仿宋"/>
          <w:color w:val="auto"/>
          <w:kern w:val="0"/>
          <w:sz w:val="24"/>
        </w:rPr>
      </w:pPr>
      <w:r>
        <w:rPr>
          <w:rFonts w:hint="eastAsia" w:ascii="仿宋" w:hAnsi="仿宋" w:eastAsia="仿宋" w:cs="仿宋"/>
          <w:color w:val="auto"/>
          <w:kern w:val="0"/>
          <w:sz w:val="24"/>
        </w:rPr>
        <w:t>企业名称（盖章）：</w:t>
      </w:r>
    </w:p>
    <w:p w14:paraId="5337E29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                                    日    期：</w:t>
      </w:r>
      <w:r>
        <w:rPr>
          <w:rFonts w:hint="eastAsia" w:ascii="仿宋" w:hAnsi="仿宋" w:eastAsia="仿宋" w:cs="仿宋"/>
          <w:color w:val="auto"/>
          <w:sz w:val="24"/>
        </w:rPr>
        <w:t xml:space="preserve">   年   月   日</w:t>
      </w:r>
      <w:r>
        <w:rPr>
          <w:rFonts w:hint="eastAsia" w:ascii="仿宋" w:hAnsi="仿宋" w:eastAsia="仿宋" w:cs="仿宋"/>
          <w:bCs/>
          <w:color w:val="auto"/>
          <w:sz w:val="24"/>
        </w:rPr>
        <w:t xml:space="preserve"> </w:t>
      </w:r>
    </w:p>
    <w:p w14:paraId="783E0566">
      <w:pPr>
        <w:pStyle w:val="18"/>
        <w:rPr>
          <w:rFonts w:ascii="仿宋" w:hAnsi="仿宋" w:eastAsia="仿宋" w:cs="仿宋"/>
          <w:color w:val="auto"/>
          <w:lang w:eastAsia="zh-CN"/>
        </w:rPr>
      </w:pPr>
    </w:p>
    <w:p w14:paraId="70FDFA1B">
      <w:pPr>
        <w:pStyle w:val="18"/>
        <w:rPr>
          <w:rFonts w:ascii="仿宋" w:hAnsi="仿宋" w:eastAsia="仿宋" w:cs="仿宋"/>
          <w:color w:val="auto"/>
          <w:lang w:eastAsia="zh-CN"/>
        </w:rPr>
      </w:pPr>
    </w:p>
    <w:p w14:paraId="7CBE22EC">
      <w:pPr>
        <w:pStyle w:val="18"/>
        <w:rPr>
          <w:rFonts w:ascii="仿宋" w:hAnsi="仿宋" w:eastAsia="仿宋" w:cs="仿宋"/>
          <w:color w:val="auto"/>
          <w:lang w:eastAsia="zh-CN"/>
        </w:rPr>
      </w:pPr>
    </w:p>
    <w:p w14:paraId="129DBC19">
      <w:pPr>
        <w:pStyle w:val="18"/>
        <w:rPr>
          <w:rFonts w:ascii="仿宋" w:hAnsi="仿宋" w:eastAsia="仿宋" w:cs="仿宋"/>
          <w:color w:val="auto"/>
          <w:lang w:eastAsia="zh-CN"/>
        </w:rPr>
      </w:pPr>
    </w:p>
    <w:p w14:paraId="3541F004">
      <w:pPr>
        <w:pStyle w:val="18"/>
        <w:rPr>
          <w:rFonts w:ascii="仿宋" w:hAnsi="仿宋" w:eastAsia="仿宋" w:cs="仿宋"/>
          <w:color w:val="auto"/>
          <w:lang w:eastAsia="zh-CN"/>
        </w:rPr>
      </w:pPr>
    </w:p>
    <w:p w14:paraId="2D5CBA95">
      <w:pPr>
        <w:pStyle w:val="18"/>
        <w:rPr>
          <w:rFonts w:ascii="仿宋" w:hAnsi="仿宋" w:eastAsia="仿宋" w:cs="仿宋"/>
          <w:color w:val="auto"/>
          <w:lang w:eastAsia="zh-CN"/>
        </w:rPr>
      </w:pPr>
    </w:p>
    <w:p w14:paraId="067B8474">
      <w:pPr>
        <w:pStyle w:val="18"/>
        <w:rPr>
          <w:rFonts w:ascii="仿宋" w:hAnsi="仿宋" w:eastAsia="仿宋" w:cs="仿宋"/>
          <w:color w:val="auto"/>
          <w:lang w:eastAsia="zh-CN"/>
        </w:rPr>
      </w:pPr>
    </w:p>
    <w:p w14:paraId="5F255AFD">
      <w:pPr>
        <w:pStyle w:val="18"/>
        <w:rPr>
          <w:rFonts w:ascii="仿宋" w:hAnsi="仿宋" w:eastAsia="仿宋" w:cs="仿宋"/>
          <w:color w:val="auto"/>
          <w:lang w:eastAsia="zh-CN"/>
        </w:rPr>
      </w:pPr>
    </w:p>
    <w:p w14:paraId="7927D542">
      <w:pPr>
        <w:pStyle w:val="18"/>
        <w:rPr>
          <w:rFonts w:ascii="仿宋" w:hAnsi="仿宋" w:eastAsia="仿宋" w:cs="仿宋"/>
          <w:color w:val="auto"/>
          <w:lang w:eastAsia="zh-CN"/>
        </w:rPr>
      </w:pPr>
    </w:p>
    <w:p w14:paraId="1264BDE0">
      <w:pPr>
        <w:pStyle w:val="18"/>
        <w:rPr>
          <w:rFonts w:ascii="仿宋" w:hAnsi="仿宋" w:eastAsia="仿宋" w:cs="仿宋"/>
          <w:color w:val="auto"/>
          <w:lang w:eastAsia="zh-CN"/>
        </w:rPr>
      </w:pPr>
    </w:p>
    <w:p w14:paraId="1FFD0095">
      <w:pPr>
        <w:pStyle w:val="18"/>
        <w:rPr>
          <w:rFonts w:ascii="仿宋" w:hAnsi="仿宋" w:eastAsia="仿宋" w:cs="仿宋"/>
          <w:color w:val="auto"/>
          <w:lang w:eastAsia="zh-CN"/>
        </w:rPr>
      </w:pPr>
    </w:p>
    <w:p w14:paraId="02812E74">
      <w:pPr>
        <w:tabs>
          <w:tab w:val="left" w:pos="3600"/>
        </w:tabs>
        <w:adjustRightInd w:val="0"/>
        <w:snapToGrid w:val="0"/>
        <w:spacing w:line="440" w:lineRule="exact"/>
        <w:jc w:val="center"/>
        <w:rPr>
          <w:rFonts w:ascii="仿宋" w:hAnsi="仿宋" w:eastAsia="仿宋" w:cs="仿宋"/>
          <w:color w:val="auto"/>
          <w:sz w:val="36"/>
          <w:szCs w:val="36"/>
          <w:lang w:eastAsia="zh-CN"/>
        </w:rPr>
      </w:pPr>
    </w:p>
    <w:p w14:paraId="2BB7280D">
      <w:pPr>
        <w:pStyle w:val="34"/>
        <w:rPr>
          <w:color w:val="auto"/>
          <w:lang w:eastAsia="zh-CN"/>
        </w:rPr>
      </w:pPr>
    </w:p>
    <w:p w14:paraId="406D980D">
      <w:pPr>
        <w:tabs>
          <w:tab w:val="left" w:pos="3600"/>
        </w:tabs>
        <w:adjustRightInd w:val="0"/>
        <w:snapToGrid w:val="0"/>
        <w:spacing w:line="440" w:lineRule="exact"/>
        <w:jc w:val="center"/>
        <w:rPr>
          <w:rFonts w:ascii="仿宋" w:hAnsi="仿宋" w:eastAsia="仿宋" w:cs="仿宋"/>
          <w:color w:val="auto"/>
          <w:sz w:val="36"/>
          <w:szCs w:val="36"/>
          <w:lang w:eastAsia="zh-CN"/>
        </w:rPr>
      </w:pPr>
    </w:p>
    <w:p w14:paraId="524D60BA">
      <w:pPr>
        <w:tabs>
          <w:tab w:val="left" w:pos="3600"/>
        </w:tabs>
        <w:adjustRightInd w:val="0"/>
        <w:snapToGrid w:val="0"/>
        <w:spacing w:line="440" w:lineRule="exact"/>
        <w:jc w:val="center"/>
        <w:rPr>
          <w:rFonts w:ascii="仿宋" w:hAnsi="仿宋" w:eastAsia="仿宋" w:cs="仿宋"/>
          <w:b/>
          <w:bCs/>
          <w:color w:val="auto"/>
          <w:spacing w:val="6"/>
          <w:sz w:val="36"/>
          <w:szCs w:val="36"/>
          <w:lang w:eastAsia="zh-CN"/>
        </w:rPr>
      </w:pPr>
      <w:r>
        <w:rPr>
          <w:rFonts w:hint="eastAsia" w:ascii="仿宋" w:hAnsi="仿宋" w:eastAsia="仿宋" w:cs="仿宋"/>
          <w:color w:val="auto"/>
          <w:sz w:val="36"/>
          <w:szCs w:val="36"/>
          <w:lang w:val="en-US" w:eastAsia="zh-CN"/>
        </w:rPr>
        <w:t>10</w:t>
      </w:r>
      <w:r>
        <w:rPr>
          <w:rFonts w:hint="eastAsia" w:ascii="仿宋" w:hAnsi="仿宋" w:eastAsia="仿宋" w:cs="仿宋"/>
          <w:color w:val="auto"/>
          <w:sz w:val="36"/>
          <w:szCs w:val="36"/>
          <w:lang w:eastAsia="zh-CN"/>
        </w:rPr>
        <w:t>、</w:t>
      </w:r>
      <w:r>
        <w:rPr>
          <w:rFonts w:hint="eastAsia" w:ascii="仿宋" w:hAnsi="仿宋" w:eastAsia="仿宋" w:cs="仿宋"/>
          <w:b/>
          <w:bCs/>
          <w:color w:val="auto"/>
          <w:spacing w:val="6"/>
          <w:sz w:val="36"/>
          <w:szCs w:val="36"/>
          <w:lang w:eastAsia="zh-CN"/>
        </w:rPr>
        <w:t>残疾人福利性单位声明函</w:t>
      </w:r>
    </w:p>
    <w:p w14:paraId="454776F7">
      <w:pPr>
        <w:widowControl/>
        <w:adjustRightInd w:val="0"/>
        <w:snapToGrid w:val="0"/>
        <w:spacing w:line="440" w:lineRule="exact"/>
        <w:ind w:firstLine="504" w:firstLineChars="200"/>
        <w:rPr>
          <w:rFonts w:ascii="仿宋" w:hAnsi="仿宋" w:eastAsia="仿宋" w:cs="仿宋"/>
          <w:color w:val="auto"/>
          <w:spacing w:val="6"/>
          <w:lang w:eastAsia="zh-CN"/>
        </w:rPr>
      </w:pPr>
    </w:p>
    <w:p w14:paraId="0F8A12E5">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单位的</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项目采购活动提供本单位制造的货物（由本单位承担工程/提供服务），或者提供其他残疾人福利性单位制造的货物（不包括使用非残疾人福利性单位注册商标的货物）。</w:t>
      </w:r>
    </w:p>
    <w:p w14:paraId="5456F0F1">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本单位对上述声明的真实性负责。如有虚假，将依法承担相应责任。</w:t>
      </w:r>
    </w:p>
    <w:p w14:paraId="5254C927">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w:t>
      </w:r>
    </w:p>
    <w:p w14:paraId="23508E5A">
      <w:pPr>
        <w:widowControl/>
        <w:adjustRightInd w:val="0"/>
        <w:snapToGrid w:val="0"/>
        <w:spacing w:line="440" w:lineRule="exact"/>
        <w:ind w:firstLine="5544" w:firstLineChars="2200"/>
        <w:rPr>
          <w:rFonts w:ascii="仿宋" w:hAnsi="仿宋" w:eastAsia="仿宋" w:cs="仿宋"/>
          <w:color w:val="auto"/>
          <w:spacing w:val="6"/>
          <w:lang w:eastAsia="zh-CN"/>
        </w:rPr>
      </w:pPr>
      <w:r>
        <w:rPr>
          <w:rFonts w:hint="eastAsia" w:ascii="仿宋" w:hAnsi="仿宋" w:eastAsia="仿宋" w:cs="仿宋"/>
          <w:color w:val="auto"/>
          <w:spacing w:val="6"/>
          <w:lang w:eastAsia="zh-CN"/>
        </w:rPr>
        <w:t>单位名称（盖章）：</w:t>
      </w:r>
    </w:p>
    <w:p w14:paraId="375BE72F">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日  期：</w:t>
      </w:r>
    </w:p>
    <w:p w14:paraId="5433B856">
      <w:pPr>
        <w:pStyle w:val="4"/>
        <w:numPr>
          <w:ilvl w:val="1"/>
          <w:numId w:val="0"/>
        </w:numPr>
        <w:spacing w:line="240" w:lineRule="atLeast"/>
        <w:jc w:val="left"/>
        <w:rPr>
          <w:rFonts w:ascii="仿宋" w:hAnsi="仿宋" w:eastAsia="仿宋" w:cs="仿宋"/>
          <w:bCs/>
          <w:color w:val="auto"/>
          <w:sz w:val="24"/>
          <w:lang w:eastAsia="zh-CN"/>
        </w:rPr>
      </w:pPr>
    </w:p>
    <w:p w14:paraId="4047E129">
      <w:pPr>
        <w:pStyle w:val="4"/>
        <w:numPr>
          <w:ilvl w:val="1"/>
          <w:numId w:val="0"/>
        </w:numPr>
        <w:spacing w:line="240" w:lineRule="atLeast"/>
        <w:jc w:val="left"/>
        <w:rPr>
          <w:rFonts w:ascii="仿宋" w:hAnsi="仿宋" w:eastAsia="仿宋" w:cs="仿宋"/>
          <w:bCs/>
          <w:color w:val="auto"/>
          <w:sz w:val="24"/>
          <w:lang w:eastAsia="zh-CN"/>
        </w:rPr>
      </w:pPr>
    </w:p>
    <w:p w14:paraId="48F50C20">
      <w:pPr>
        <w:pStyle w:val="4"/>
        <w:numPr>
          <w:ilvl w:val="1"/>
          <w:numId w:val="0"/>
        </w:numPr>
        <w:spacing w:line="240" w:lineRule="atLeast"/>
        <w:jc w:val="left"/>
        <w:rPr>
          <w:rFonts w:ascii="仿宋" w:hAnsi="仿宋" w:eastAsia="仿宋" w:cs="仿宋"/>
          <w:bCs/>
          <w:color w:val="auto"/>
          <w:sz w:val="24"/>
          <w:lang w:eastAsia="zh-CN"/>
        </w:rPr>
      </w:pPr>
    </w:p>
    <w:p w14:paraId="5A34F34C">
      <w:pPr>
        <w:rPr>
          <w:rFonts w:ascii="仿宋" w:hAnsi="仿宋" w:eastAsia="仿宋" w:cs="仿宋"/>
          <w:b/>
          <w:bCs/>
          <w:color w:val="auto"/>
          <w:lang w:eastAsia="zh-CN"/>
        </w:rPr>
      </w:pPr>
    </w:p>
    <w:p w14:paraId="407D258C">
      <w:pPr>
        <w:pStyle w:val="34"/>
        <w:rPr>
          <w:rFonts w:ascii="仿宋" w:hAnsi="仿宋" w:eastAsia="仿宋" w:cs="仿宋"/>
          <w:b/>
          <w:bCs/>
          <w:color w:val="auto"/>
          <w:lang w:eastAsia="zh-CN"/>
        </w:rPr>
      </w:pPr>
    </w:p>
    <w:p w14:paraId="50FF22C7">
      <w:pPr>
        <w:pStyle w:val="34"/>
        <w:rPr>
          <w:rFonts w:ascii="仿宋" w:hAnsi="仿宋" w:eastAsia="仿宋" w:cs="仿宋"/>
          <w:b/>
          <w:bCs/>
          <w:color w:val="auto"/>
          <w:lang w:eastAsia="zh-CN"/>
        </w:rPr>
      </w:pPr>
    </w:p>
    <w:p w14:paraId="3B68710E">
      <w:pPr>
        <w:pStyle w:val="34"/>
        <w:rPr>
          <w:rFonts w:ascii="仿宋" w:hAnsi="仿宋" w:eastAsia="仿宋" w:cs="仿宋"/>
          <w:b/>
          <w:bCs/>
          <w:color w:val="auto"/>
          <w:lang w:eastAsia="zh-CN"/>
        </w:rPr>
      </w:pPr>
    </w:p>
    <w:p w14:paraId="52A9E5AF">
      <w:pPr>
        <w:pStyle w:val="34"/>
        <w:rPr>
          <w:rFonts w:ascii="仿宋" w:hAnsi="仿宋" w:eastAsia="仿宋" w:cs="仿宋"/>
          <w:b/>
          <w:bCs/>
          <w:color w:val="auto"/>
          <w:lang w:eastAsia="zh-CN"/>
        </w:rPr>
      </w:pPr>
    </w:p>
    <w:p w14:paraId="73918E7D">
      <w:pPr>
        <w:pStyle w:val="34"/>
        <w:rPr>
          <w:rFonts w:ascii="仿宋" w:hAnsi="仿宋" w:eastAsia="仿宋" w:cs="仿宋"/>
          <w:b/>
          <w:bCs/>
          <w:color w:val="auto"/>
          <w:lang w:eastAsia="zh-CN"/>
        </w:rPr>
      </w:pPr>
    </w:p>
    <w:p w14:paraId="0FC5EB5B">
      <w:pPr>
        <w:pStyle w:val="34"/>
        <w:rPr>
          <w:rFonts w:ascii="仿宋" w:hAnsi="仿宋" w:eastAsia="仿宋" w:cs="仿宋"/>
          <w:b/>
          <w:bCs/>
          <w:color w:val="auto"/>
          <w:lang w:eastAsia="zh-CN"/>
        </w:rPr>
      </w:pPr>
    </w:p>
    <w:p w14:paraId="0EED0418">
      <w:pPr>
        <w:pStyle w:val="34"/>
        <w:rPr>
          <w:rFonts w:ascii="仿宋" w:hAnsi="仿宋" w:eastAsia="仿宋" w:cs="仿宋"/>
          <w:b/>
          <w:bCs/>
          <w:color w:val="auto"/>
          <w:lang w:eastAsia="zh-CN"/>
        </w:rPr>
      </w:pPr>
    </w:p>
    <w:p w14:paraId="07B2B4E7">
      <w:pPr>
        <w:pStyle w:val="34"/>
        <w:rPr>
          <w:rFonts w:ascii="仿宋" w:hAnsi="仿宋" w:eastAsia="仿宋" w:cs="仿宋"/>
          <w:b/>
          <w:bCs/>
          <w:color w:val="auto"/>
          <w:lang w:eastAsia="zh-CN"/>
        </w:rPr>
      </w:pPr>
    </w:p>
    <w:p w14:paraId="6540CFE6">
      <w:pPr>
        <w:pStyle w:val="34"/>
        <w:rPr>
          <w:rFonts w:ascii="仿宋" w:hAnsi="仿宋" w:eastAsia="仿宋" w:cs="仿宋"/>
          <w:b/>
          <w:bCs/>
          <w:color w:val="auto"/>
          <w:lang w:eastAsia="zh-CN"/>
        </w:rPr>
      </w:pPr>
    </w:p>
    <w:p w14:paraId="5BB61597">
      <w:pPr>
        <w:pStyle w:val="34"/>
        <w:rPr>
          <w:rFonts w:ascii="仿宋" w:hAnsi="仿宋" w:eastAsia="仿宋" w:cs="仿宋"/>
          <w:b/>
          <w:bCs/>
          <w:color w:val="auto"/>
          <w:lang w:eastAsia="zh-CN"/>
        </w:rPr>
      </w:pPr>
    </w:p>
    <w:p w14:paraId="3A4E7782">
      <w:pPr>
        <w:pStyle w:val="34"/>
        <w:rPr>
          <w:rFonts w:ascii="仿宋" w:hAnsi="仿宋" w:eastAsia="仿宋" w:cs="仿宋"/>
          <w:b/>
          <w:bCs/>
          <w:color w:val="auto"/>
          <w:lang w:eastAsia="zh-CN"/>
        </w:rPr>
      </w:pPr>
    </w:p>
    <w:p w14:paraId="4178A10F">
      <w:pPr>
        <w:pStyle w:val="34"/>
        <w:rPr>
          <w:rFonts w:ascii="仿宋" w:hAnsi="仿宋" w:eastAsia="仿宋" w:cs="仿宋"/>
          <w:b/>
          <w:bCs/>
          <w:color w:val="auto"/>
          <w:lang w:eastAsia="zh-CN"/>
        </w:rPr>
      </w:pPr>
    </w:p>
    <w:p w14:paraId="476DB691">
      <w:pPr>
        <w:pStyle w:val="34"/>
        <w:rPr>
          <w:rFonts w:ascii="仿宋" w:hAnsi="仿宋" w:eastAsia="仿宋" w:cs="仿宋"/>
          <w:b/>
          <w:bCs/>
          <w:color w:val="auto"/>
          <w:lang w:eastAsia="zh-CN"/>
        </w:rPr>
      </w:pPr>
    </w:p>
    <w:p w14:paraId="03CEB9A8">
      <w:pPr>
        <w:pStyle w:val="34"/>
        <w:rPr>
          <w:rFonts w:ascii="仿宋" w:hAnsi="仿宋" w:eastAsia="仿宋" w:cs="仿宋"/>
          <w:b/>
          <w:bCs/>
          <w:color w:val="auto"/>
          <w:lang w:eastAsia="zh-CN"/>
        </w:rPr>
      </w:pPr>
    </w:p>
    <w:p w14:paraId="05442E0E">
      <w:pPr>
        <w:pStyle w:val="34"/>
        <w:rPr>
          <w:rFonts w:ascii="仿宋" w:hAnsi="仿宋" w:eastAsia="仿宋" w:cs="仿宋"/>
          <w:b/>
          <w:bCs/>
          <w:color w:val="auto"/>
          <w:lang w:eastAsia="zh-CN"/>
        </w:rPr>
      </w:pPr>
    </w:p>
    <w:p w14:paraId="274EF841">
      <w:pPr>
        <w:pStyle w:val="34"/>
        <w:rPr>
          <w:rFonts w:ascii="仿宋" w:hAnsi="仿宋" w:eastAsia="仿宋" w:cs="仿宋"/>
          <w:b/>
          <w:bCs/>
          <w:color w:val="auto"/>
          <w:lang w:eastAsia="zh-CN"/>
        </w:rPr>
      </w:pPr>
    </w:p>
    <w:p w14:paraId="66D57DF5">
      <w:pPr>
        <w:pStyle w:val="34"/>
        <w:rPr>
          <w:rFonts w:ascii="仿宋" w:hAnsi="仿宋" w:eastAsia="仿宋" w:cs="仿宋"/>
          <w:b/>
          <w:bCs/>
          <w:color w:val="auto"/>
          <w:lang w:eastAsia="zh-CN"/>
        </w:rPr>
      </w:pPr>
    </w:p>
    <w:p w14:paraId="592EF8FE">
      <w:pPr>
        <w:pStyle w:val="4"/>
        <w:numPr>
          <w:ilvl w:val="1"/>
          <w:numId w:val="0"/>
        </w:numPr>
        <w:spacing w:line="240" w:lineRule="atLeast"/>
        <w:jc w:val="left"/>
        <w:rPr>
          <w:rFonts w:ascii="仿宋" w:hAnsi="仿宋" w:eastAsia="仿宋" w:cs="仿宋"/>
          <w:bCs/>
          <w:color w:val="auto"/>
          <w:sz w:val="24"/>
          <w:lang w:eastAsia="zh-CN"/>
        </w:rPr>
      </w:pPr>
    </w:p>
    <w:p w14:paraId="7E5C7577">
      <w:pPr>
        <w:tabs>
          <w:tab w:val="left" w:pos="3600"/>
        </w:tabs>
        <w:adjustRightInd w:val="0"/>
        <w:snapToGrid w:val="0"/>
        <w:spacing w:line="440" w:lineRule="exact"/>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lang w:eastAsia="zh-CN"/>
        </w:rPr>
        <w:t>、评分标准和细则中技术部分证明材料（格式自拟</w:t>
      </w:r>
      <w:r>
        <w:rPr>
          <w:rFonts w:hint="eastAsia" w:ascii="仿宋" w:hAnsi="仿宋" w:eastAsia="仿宋" w:cs="仿宋"/>
          <w:color w:val="auto"/>
          <w:sz w:val="36"/>
          <w:szCs w:val="36"/>
          <w:lang w:eastAsia="zh-CN"/>
        </w:rPr>
        <w:t>）</w:t>
      </w:r>
    </w:p>
    <w:p w14:paraId="1E7CF01A">
      <w:pPr>
        <w:pStyle w:val="4"/>
        <w:numPr>
          <w:ilvl w:val="1"/>
          <w:numId w:val="0"/>
        </w:numPr>
        <w:spacing w:line="240" w:lineRule="atLeast"/>
        <w:ind w:left="617" w:leftChars="257"/>
        <w:rPr>
          <w:rFonts w:ascii="仿宋" w:hAnsi="仿宋" w:eastAsia="仿宋" w:cs="仿宋"/>
          <w:color w:val="auto"/>
          <w:sz w:val="24"/>
          <w:lang w:eastAsia="zh-CN"/>
        </w:rPr>
      </w:pPr>
    </w:p>
    <w:p w14:paraId="05A26B2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w:t>
      </w:r>
    </w:p>
    <w:p w14:paraId="2A8E30D8">
      <w:pPr>
        <w:pStyle w:val="12"/>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228F8574">
      <w:pPr>
        <w:pStyle w:val="5"/>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7605983B">
      <w:pPr>
        <w:rPr>
          <w:rFonts w:ascii="仿宋" w:hAnsi="仿宋" w:eastAsia="仿宋" w:cs="仿宋"/>
          <w:color w:val="auto"/>
          <w:lang w:eastAsia="zh-CN"/>
        </w:rPr>
      </w:pPr>
    </w:p>
    <w:p w14:paraId="7EC2979A">
      <w:pPr>
        <w:pStyle w:val="4"/>
        <w:numPr>
          <w:ilvl w:val="1"/>
          <w:numId w:val="0"/>
        </w:numPr>
        <w:spacing w:line="240" w:lineRule="atLeast"/>
        <w:ind w:left="617" w:leftChars="257"/>
        <w:rPr>
          <w:rFonts w:ascii="仿宋" w:hAnsi="仿宋" w:eastAsia="仿宋" w:cs="仿宋"/>
          <w:color w:val="auto"/>
          <w:sz w:val="24"/>
          <w:lang w:eastAsia="zh-CN"/>
        </w:rPr>
      </w:pPr>
    </w:p>
    <w:p w14:paraId="7E52231D">
      <w:pPr>
        <w:tabs>
          <w:tab w:val="left" w:pos="3600"/>
        </w:tabs>
        <w:adjustRightInd w:val="0"/>
        <w:snapToGrid w:val="0"/>
        <w:spacing w:line="440" w:lineRule="exact"/>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12</w:t>
      </w:r>
      <w:r>
        <w:rPr>
          <w:rFonts w:hint="eastAsia" w:ascii="仿宋" w:hAnsi="仿宋" w:eastAsia="仿宋" w:cs="仿宋"/>
          <w:b/>
          <w:bCs/>
          <w:color w:val="auto"/>
          <w:sz w:val="36"/>
          <w:szCs w:val="36"/>
          <w:lang w:eastAsia="zh-CN"/>
        </w:rPr>
        <w:t>、评分标准和细则中商务部分证明材料（格式自拟）</w:t>
      </w:r>
    </w:p>
    <w:p w14:paraId="59E2ED4E">
      <w:pPr>
        <w:pStyle w:val="12"/>
        <w:tabs>
          <w:tab w:val="left" w:pos="5580"/>
        </w:tabs>
        <w:spacing w:line="240" w:lineRule="atLeast"/>
        <w:rPr>
          <w:rFonts w:ascii="仿宋" w:hAnsi="仿宋" w:eastAsia="仿宋" w:cs="仿宋"/>
          <w:color w:val="auto"/>
          <w:lang w:eastAsia="zh-CN"/>
        </w:rPr>
      </w:pPr>
    </w:p>
    <w:p w14:paraId="0E5988CD">
      <w:pPr>
        <w:spacing w:line="44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评分标准和细则中商务部分</w:t>
      </w:r>
      <w:r>
        <w:rPr>
          <w:rFonts w:hint="eastAsia" w:ascii="仿宋" w:hAnsi="仿宋" w:eastAsia="仿宋" w:cs="仿宋"/>
          <w:color w:val="auto"/>
          <w:highlight w:val="none"/>
          <w:lang w:eastAsia="zh-CN"/>
        </w:rPr>
        <w:t>要求的其他资格证明文件。</w:t>
      </w:r>
    </w:p>
    <w:p w14:paraId="1639DEDE">
      <w:pPr>
        <w:pStyle w:val="12"/>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6EE538EF">
      <w:pPr>
        <w:pStyle w:val="4"/>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14:paraId="293BAE10">
      <w:pPr>
        <w:pStyle w:val="4"/>
        <w:numPr>
          <w:ilvl w:val="1"/>
          <w:numId w:val="0"/>
        </w:numPr>
        <w:spacing w:line="240" w:lineRule="atLeast"/>
        <w:jc w:val="left"/>
        <w:rPr>
          <w:rFonts w:ascii="仿宋" w:hAnsi="仿宋" w:eastAsia="仿宋" w:cs="仿宋"/>
          <w:bCs/>
          <w:color w:val="auto"/>
          <w:sz w:val="24"/>
          <w:lang w:eastAsia="zh-CN"/>
        </w:rPr>
      </w:pPr>
    </w:p>
    <w:p w14:paraId="16DAD6FC">
      <w:pPr>
        <w:pStyle w:val="4"/>
        <w:numPr>
          <w:ilvl w:val="1"/>
          <w:numId w:val="0"/>
        </w:numPr>
        <w:spacing w:line="240" w:lineRule="atLeast"/>
        <w:jc w:val="left"/>
        <w:rPr>
          <w:rFonts w:ascii="仿宋" w:hAnsi="仿宋" w:eastAsia="仿宋" w:cs="仿宋"/>
          <w:bCs/>
          <w:color w:val="auto"/>
          <w:sz w:val="24"/>
          <w:lang w:eastAsia="zh-CN"/>
        </w:rPr>
      </w:pPr>
    </w:p>
    <w:p w14:paraId="43A36DED">
      <w:pPr>
        <w:rPr>
          <w:rFonts w:ascii="仿宋" w:hAnsi="仿宋" w:eastAsia="仿宋" w:cs="仿宋"/>
          <w:color w:val="auto"/>
          <w:lang w:eastAsia="zh-CN"/>
        </w:rPr>
      </w:pPr>
    </w:p>
    <w:p w14:paraId="55177BAB">
      <w:pPr>
        <w:pStyle w:val="4"/>
        <w:numPr>
          <w:ilvl w:val="1"/>
          <w:numId w:val="0"/>
        </w:numPr>
        <w:spacing w:line="240" w:lineRule="atLeast"/>
        <w:jc w:val="left"/>
        <w:rPr>
          <w:rFonts w:ascii="仿宋" w:hAnsi="仿宋" w:eastAsia="仿宋" w:cs="仿宋"/>
          <w:bCs/>
          <w:color w:val="auto"/>
          <w:sz w:val="24"/>
          <w:lang w:eastAsia="zh-CN"/>
        </w:rPr>
      </w:pPr>
    </w:p>
    <w:p w14:paraId="337A5893">
      <w:pPr>
        <w:pStyle w:val="4"/>
        <w:numPr>
          <w:ilvl w:val="1"/>
          <w:numId w:val="0"/>
        </w:numPr>
        <w:spacing w:line="240" w:lineRule="atLeast"/>
        <w:jc w:val="left"/>
        <w:rPr>
          <w:rFonts w:ascii="仿宋" w:hAnsi="仿宋" w:eastAsia="仿宋" w:cs="仿宋"/>
          <w:bCs/>
          <w:color w:val="auto"/>
          <w:sz w:val="24"/>
          <w:lang w:eastAsia="zh-CN"/>
        </w:rPr>
      </w:pPr>
    </w:p>
    <w:p w14:paraId="2909BB3E">
      <w:pPr>
        <w:tabs>
          <w:tab w:val="left" w:pos="3600"/>
        </w:tabs>
        <w:adjustRightInd w:val="0"/>
        <w:snapToGrid w:val="0"/>
        <w:spacing w:line="440" w:lineRule="exact"/>
        <w:jc w:val="center"/>
        <w:rPr>
          <w:rFonts w:ascii="仿宋" w:hAnsi="仿宋" w:eastAsia="仿宋" w:cs="仿宋"/>
          <w:b/>
          <w:bCs/>
          <w:color w:val="auto"/>
          <w:w w:val="90"/>
          <w:sz w:val="36"/>
          <w:szCs w:val="36"/>
          <w:lang w:eastAsia="zh-CN"/>
        </w:rPr>
      </w:pPr>
      <w:r>
        <w:rPr>
          <w:rFonts w:hint="eastAsia" w:ascii="仿宋" w:hAnsi="仿宋" w:eastAsia="仿宋" w:cs="仿宋"/>
          <w:b/>
          <w:bCs/>
          <w:color w:val="auto"/>
          <w:sz w:val="36"/>
          <w:szCs w:val="36"/>
          <w:lang w:val="en-US" w:eastAsia="zh-CN"/>
        </w:rPr>
        <w:t>13</w:t>
      </w:r>
      <w:r>
        <w:rPr>
          <w:rFonts w:hint="eastAsia" w:ascii="仿宋" w:hAnsi="仿宋" w:eastAsia="仿宋" w:cs="仿宋"/>
          <w:b/>
          <w:bCs/>
          <w:color w:val="auto"/>
          <w:sz w:val="36"/>
          <w:szCs w:val="36"/>
          <w:lang w:eastAsia="zh-CN"/>
        </w:rPr>
        <w:t>、</w:t>
      </w:r>
      <w:r>
        <w:rPr>
          <w:rFonts w:hint="eastAsia" w:ascii="仿宋" w:hAnsi="仿宋" w:eastAsia="仿宋" w:cs="仿宋"/>
          <w:b/>
          <w:bCs/>
          <w:color w:val="auto"/>
          <w:w w:val="90"/>
          <w:sz w:val="36"/>
          <w:szCs w:val="36"/>
          <w:lang w:eastAsia="zh-CN"/>
        </w:rPr>
        <w:t>供应商认为有必要提供的其他证明材料（格式自拟）</w:t>
      </w:r>
    </w:p>
    <w:p w14:paraId="07ED7D3B">
      <w:pPr>
        <w:pStyle w:val="12"/>
        <w:tabs>
          <w:tab w:val="left" w:pos="5580"/>
        </w:tabs>
        <w:spacing w:line="240" w:lineRule="atLeast"/>
        <w:ind w:firstLine="480" w:firstLineChars="200"/>
        <w:rPr>
          <w:rFonts w:ascii="仿宋" w:hAnsi="仿宋" w:eastAsia="仿宋" w:cs="仿宋"/>
          <w:color w:val="auto"/>
          <w:lang w:eastAsia="zh-CN"/>
        </w:rPr>
      </w:pPr>
    </w:p>
    <w:p w14:paraId="3B944D67">
      <w:pPr>
        <w:pStyle w:val="12"/>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说明：复印件上应加盖本单位章（自然人投标的无需盖章，需要签字）。</w:t>
      </w:r>
    </w:p>
    <w:p w14:paraId="1FFDE4BC">
      <w:pPr>
        <w:pStyle w:val="19"/>
        <w:ind w:left="2880"/>
        <w:rPr>
          <w:color w:val="auto"/>
          <w:lang w:eastAsia="zh-CN"/>
        </w:rPr>
      </w:pP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FE29">
    <w:pPr>
      <w:pStyle w:val="16"/>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3950BE"/>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5C3950BE"/>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2EC21">
    <w:pPr>
      <w:pStyle w:val="16"/>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84DABA">
                          <w:pPr>
                            <w:pStyle w:val="16"/>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7A84DABA">
                    <w:pPr>
                      <w:pStyle w:val="16"/>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F1AB">
    <w:pPr>
      <w:widowControl w:val="0"/>
      <w:spacing w:line="187" w:lineRule="auto"/>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C179D9">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65C179D9">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58801">
    <w:pPr>
      <w:widowControl w:val="0"/>
      <w:spacing w:line="189" w:lineRule="auto"/>
      <w:ind w:left="4124"/>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EC74EB">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oXv3qzAEAAKgDAAAOAAAAAAAAAAEAIAAAAB4BAABkcnMvZTJv&#10;RG9jLnhtbFBLBQYAAAAABgAGAFkBAABcBQAAAAA=&#10;">
              <v:fill on="f" focussize="0,0"/>
              <v:stroke on="f"/>
              <v:imagedata o:title=""/>
              <o:lock v:ext="edit" aspectratio="f"/>
              <v:textbox inset="0mm,0mm,0mm,0mm" style="mso-fit-shape-to-text:t;">
                <w:txbxContent>
                  <w:p w14:paraId="25EC74EB">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280F">
    <w:pPr>
      <w:widowControl w:val="0"/>
      <w:spacing w:line="187" w:lineRule="auto"/>
      <w:ind w:left="4124"/>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BE3011">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AMwBAACo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YY2YcmZE5Ze/PLzx+XXn8vv72yV&#10;9OkDVlR2H6gwDu/8QLVzHCmYaA8t2PQlQozypO75qq4aIpPp0nq1XpeUkpSbHcIvHq4HwPheecuS&#10;UXOg58uqitNHjGPpXJK6OX+njclPaNw/AcIcIyrvwHQ7MRknTlYc9sNEb++bM7HraQ9q7mjtOTMf&#10;HMmcVmY2YDb2s3EMoA9d3qnUHcPtMdJIedLUYYQlhsmhB8xcp2VLG/LYz1UPP9j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D/p8AzAEAAKgDAAAOAAAAAAAAAAEAIAAAAB4BAABkcnMvZTJv&#10;RG9jLnhtbFBLBQYAAAAABgAGAFkBAABcBQAAAAA=&#10;">
              <v:fill on="f" focussize="0,0"/>
              <v:stroke on="f"/>
              <v:imagedata o:title=""/>
              <o:lock v:ext="edit" aspectratio="f"/>
              <v:textbox inset="0mm,0mm,0mm,0mm" style="mso-fit-shape-to-text:t;">
                <w:txbxContent>
                  <w:p w14:paraId="30BE3011">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D2A0">
    <w:pPr>
      <w:widowControl w:val="0"/>
      <w:spacing w:line="189" w:lineRule="auto"/>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89E350">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14:paraId="5289E350">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3D2B1">
    <w:pPr>
      <w:pStyle w:val="16"/>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5DB56A">
                          <w:pPr>
                            <w:pStyle w:val="1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FNE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J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lxTREMQIAAGMEAAAOAAAAAAAAAAEAIAAAAB8BAABkcnMvZTJvRG9jLnhtbFBLBQYA&#10;AAAABgAGAFkBAADCBQAAAAA=&#10;">
              <v:fill on="f" focussize="0,0"/>
              <v:stroke on="f" weight="0.5pt"/>
              <v:imagedata o:title=""/>
              <o:lock v:ext="edit" aspectratio="f"/>
              <v:textbox inset="0mm,0mm,0mm,0mm" style="mso-fit-shape-to-text:t;">
                <w:txbxContent>
                  <w:p w14:paraId="7E5DB56A">
                    <w:pPr>
                      <w:pStyle w:val="16"/>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3635BCAC">
    <w:pPr>
      <w:pStyle w:val="16"/>
      <w:tabs>
        <w:tab w:val="center" w:pos="4320"/>
        <w:tab w:val="right" w:pos="8640"/>
        <w:tab w:val="clear" w:pos="4153"/>
        <w:tab w:val="clear" w:pos="8306"/>
      </w:tabs>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1210">
    <w:pPr>
      <w:pStyle w:val="16"/>
      <w:ind w:right="360"/>
      <w:jc w:val="both"/>
    </w:pPr>
    <w:r>
      <w:rPr>
        <w:sz w:val="24"/>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49CE85">
                          <w:pPr>
                            <w:pStyle w:val="16"/>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14:paraId="2549CE85">
                    <w:pPr>
                      <w:pStyle w:val="16"/>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7630F314">
    <w:pPr>
      <w:pStyle w:val="16"/>
      <w:autoSpaceDE w:val="0"/>
      <w:autoSpaceDN w:val="0"/>
      <w:adjustRightInd w:val="0"/>
      <w:ind w:left="7200" w:hanging="7200" w:hangingChars="4000"/>
      <w:jc w:val="both"/>
    </w:pPr>
  </w:p>
  <w:p w14:paraId="706A2A5E">
    <w:pPr>
      <w:pStyle w:val="16"/>
      <w:ind w:right="36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41EB">
    <w:pPr>
      <w:pStyle w:val="16"/>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0566D3">
                          <w:pPr>
                            <w:pStyle w:val="1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180566D3">
                    <w:pPr>
                      <w:pStyle w:val="1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5DC25">
    <w:pPr>
      <w:pStyle w:val="17"/>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426C">
    <w:pPr>
      <w:pStyle w:val="17"/>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14C4D">
    <w:pPr>
      <w:pStyle w:val="17"/>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5CC2F"/>
    <w:multiLevelType w:val="singleLevel"/>
    <w:tmpl w:val="8285CC2F"/>
    <w:lvl w:ilvl="0" w:tentative="0">
      <w:start w:val="2"/>
      <w:numFmt w:val="decimal"/>
      <w:lvlText w:val="%1."/>
      <w:lvlJc w:val="left"/>
      <w:pPr>
        <w:tabs>
          <w:tab w:val="left" w:pos="312"/>
        </w:tabs>
      </w:pPr>
    </w:lvl>
  </w:abstractNum>
  <w:abstractNum w:abstractNumId="1">
    <w:nsid w:val="9FD699C2"/>
    <w:multiLevelType w:val="singleLevel"/>
    <w:tmpl w:val="9FD699C2"/>
    <w:lvl w:ilvl="0" w:tentative="0">
      <w:start w:val="2"/>
      <w:numFmt w:val="chineseCounting"/>
      <w:suff w:val="nothing"/>
      <w:lvlText w:val="%1、"/>
      <w:lvlJc w:val="left"/>
      <w:rPr>
        <w:rFonts w:hint="eastAsia"/>
      </w:rPr>
    </w:lvl>
  </w:abstractNum>
  <w:abstractNum w:abstractNumId="2">
    <w:nsid w:val="C85AF1E6"/>
    <w:multiLevelType w:val="singleLevel"/>
    <w:tmpl w:val="C85AF1E6"/>
    <w:lvl w:ilvl="0" w:tentative="0">
      <w:start w:val="1"/>
      <w:numFmt w:val="decimal"/>
      <w:suff w:val="nothing"/>
      <w:lvlText w:val="%1、"/>
      <w:lvlJc w:val="left"/>
    </w:lvl>
  </w:abstractNum>
  <w:abstractNum w:abstractNumId="3">
    <w:nsid w:val="EDD76D41"/>
    <w:multiLevelType w:val="singleLevel"/>
    <w:tmpl w:val="EDD76D41"/>
    <w:lvl w:ilvl="0" w:tentative="0">
      <w:start w:val="13"/>
      <w:numFmt w:val="chineseCounting"/>
      <w:suff w:val="nothing"/>
      <w:lvlText w:val="%1、"/>
      <w:lvlJc w:val="left"/>
      <w:rPr>
        <w:rFonts w:hint="eastAsia"/>
      </w:rPr>
    </w:lvl>
  </w:abstractNum>
  <w:abstractNum w:abstractNumId="4">
    <w:nsid w:val="FDD6DA7E"/>
    <w:multiLevelType w:val="singleLevel"/>
    <w:tmpl w:val="FDD6DA7E"/>
    <w:lvl w:ilvl="0" w:tentative="0">
      <w:start w:val="1"/>
      <w:numFmt w:val="decimal"/>
      <w:suff w:val="space"/>
      <w:lvlText w:val="%1."/>
      <w:lvlJc w:val="left"/>
    </w:lvl>
  </w:abstractNum>
  <w:abstractNum w:abstractNumId="5">
    <w:nsid w:val="FFCE2A95"/>
    <w:multiLevelType w:val="singleLevel"/>
    <w:tmpl w:val="FFCE2A95"/>
    <w:lvl w:ilvl="0" w:tentative="0">
      <w:start w:val="9"/>
      <w:numFmt w:val="chineseCounting"/>
      <w:suff w:val="nothing"/>
      <w:lvlText w:val="%1、"/>
      <w:lvlJc w:val="left"/>
      <w:rPr>
        <w:rFonts w:hint="eastAsia"/>
      </w:rPr>
    </w:lvl>
  </w:abstractNum>
  <w:abstractNum w:abstractNumId="6">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7">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199D4710"/>
    <w:multiLevelType w:val="singleLevel"/>
    <w:tmpl w:val="199D4710"/>
    <w:lvl w:ilvl="0" w:tentative="0">
      <w:start w:val="1"/>
      <w:numFmt w:val="decimal"/>
      <w:pStyle w:val="13"/>
      <w:lvlText w:val="%1."/>
      <w:lvlJc w:val="left"/>
      <w:pPr>
        <w:tabs>
          <w:tab w:val="left" w:pos="2040"/>
        </w:tabs>
        <w:ind w:left="2040" w:hanging="360"/>
      </w:pPr>
    </w:lvl>
  </w:abstractNum>
  <w:abstractNum w:abstractNumId="9">
    <w:nsid w:val="55CD4C99"/>
    <w:multiLevelType w:val="singleLevel"/>
    <w:tmpl w:val="55CD4C99"/>
    <w:lvl w:ilvl="0" w:tentative="0">
      <w:start w:val="1"/>
      <w:numFmt w:val="chineseCounting"/>
      <w:suff w:val="nothing"/>
      <w:lvlText w:val="%1、"/>
      <w:lvlJc w:val="left"/>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6"/>
  </w:num>
  <w:num w:numId="2">
    <w:abstractNumId w:val="8"/>
  </w:num>
  <w:num w:numId="3">
    <w:abstractNumId w:val="9"/>
  </w:num>
  <w:num w:numId="4">
    <w:abstractNumId w:val="7"/>
  </w:num>
  <w:num w:numId="5">
    <w:abstractNumId w:val="10"/>
  </w:num>
  <w:num w:numId="6">
    <w:abstractNumId w:val="2"/>
  </w:num>
  <w:num w:numId="7">
    <w:abstractNumId w:val="0"/>
  </w:num>
  <w:num w:numId="8">
    <w:abstractNumId w:val="1"/>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430832B2"/>
    <w:rsid w:val="00036274"/>
    <w:rsid w:val="000E7277"/>
    <w:rsid w:val="00153D08"/>
    <w:rsid w:val="001909B2"/>
    <w:rsid w:val="00232484"/>
    <w:rsid w:val="00245764"/>
    <w:rsid w:val="004259D8"/>
    <w:rsid w:val="00461E17"/>
    <w:rsid w:val="00471CA4"/>
    <w:rsid w:val="00562077"/>
    <w:rsid w:val="00597163"/>
    <w:rsid w:val="005D4E0B"/>
    <w:rsid w:val="00643BE3"/>
    <w:rsid w:val="006761BB"/>
    <w:rsid w:val="006D00E3"/>
    <w:rsid w:val="0076445C"/>
    <w:rsid w:val="008276FA"/>
    <w:rsid w:val="008849F7"/>
    <w:rsid w:val="008D1783"/>
    <w:rsid w:val="009143D6"/>
    <w:rsid w:val="00A329DF"/>
    <w:rsid w:val="00A75CA8"/>
    <w:rsid w:val="00AA277B"/>
    <w:rsid w:val="00AB0B74"/>
    <w:rsid w:val="00AF420A"/>
    <w:rsid w:val="00BA4013"/>
    <w:rsid w:val="00C26A7F"/>
    <w:rsid w:val="00C377E4"/>
    <w:rsid w:val="00C57AF5"/>
    <w:rsid w:val="00C74FD6"/>
    <w:rsid w:val="00D00791"/>
    <w:rsid w:val="00D00D67"/>
    <w:rsid w:val="00D03DFD"/>
    <w:rsid w:val="00D84377"/>
    <w:rsid w:val="00DE0124"/>
    <w:rsid w:val="00E56748"/>
    <w:rsid w:val="00EB29FB"/>
    <w:rsid w:val="00ED05CA"/>
    <w:rsid w:val="00F050C2"/>
    <w:rsid w:val="00F70359"/>
    <w:rsid w:val="00FB6C7A"/>
    <w:rsid w:val="011A7771"/>
    <w:rsid w:val="0123584C"/>
    <w:rsid w:val="014631E4"/>
    <w:rsid w:val="014A06FC"/>
    <w:rsid w:val="014F6266"/>
    <w:rsid w:val="0187402D"/>
    <w:rsid w:val="019F1EA7"/>
    <w:rsid w:val="01E44B68"/>
    <w:rsid w:val="020F7B83"/>
    <w:rsid w:val="02614ACA"/>
    <w:rsid w:val="02E7054D"/>
    <w:rsid w:val="02F37843"/>
    <w:rsid w:val="03120DC1"/>
    <w:rsid w:val="03152839"/>
    <w:rsid w:val="03531E23"/>
    <w:rsid w:val="035508BA"/>
    <w:rsid w:val="039F2474"/>
    <w:rsid w:val="03B1713F"/>
    <w:rsid w:val="03DF474E"/>
    <w:rsid w:val="042A106A"/>
    <w:rsid w:val="04EF6BBB"/>
    <w:rsid w:val="050F221F"/>
    <w:rsid w:val="051E7B81"/>
    <w:rsid w:val="05353CCD"/>
    <w:rsid w:val="0540137B"/>
    <w:rsid w:val="056205E5"/>
    <w:rsid w:val="05720B50"/>
    <w:rsid w:val="0591547A"/>
    <w:rsid w:val="059E1945"/>
    <w:rsid w:val="05CE725F"/>
    <w:rsid w:val="05D26519"/>
    <w:rsid w:val="05E43238"/>
    <w:rsid w:val="06141E47"/>
    <w:rsid w:val="062E44A1"/>
    <w:rsid w:val="06385AA9"/>
    <w:rsid w:val="063B7194"/>
    <w:rsid w:val="068F23C3"/>
    <w:rsid w:val="06A20D46"/>
    <w:rsid w:val="072C60C0"/>
    <w:rsid w:val="073826E5"/>
    <w:rsid w:val="074F6B51"/>
    <w:rsid w:val="07535B37"/>
    <w:rsid w:val="075A3765"/>
    <w:rsid w:val="079C3C62"/>
    <w:rsid w:val="08253C96"/>
    <w:rsid w:val="08323FEC"/>
    <w:rsid w:val="085D5AE7"/>
    <w:rsid w:val="086504F8"/>
    <w:rsid w:val="08863C2F"/>
    <w:rsid w:val="08896193"/>
    <w:rsid w:val="08BA69F7"/>
    <w:rsid w:val="08E8360B"/>
    <w:rsid w:val="09181A0E"/>
    <w:rsid w:val="091D420B"/>
    <w:rsid w:val="09231976"/>
    <w:rsid w:val="093F2ABC"/>
    <w:rsid w:val="095073FA"/>
    <w:rsid w:val="095A2027"/>
    <w:rsid w:val="0985298B"/>
    <w:rsid w:val="09B17236"/>
    <w:rsid w:val="09B45518"/>
    <w:rsid w:val="09E92566"/>
    <w:rsid w:val="09F94836"/>
    <w:rsid w:val="0A007485"/>
    <w:rsid w:val="0A226110"/>
    <w:rsid w:val="0A271261"/>
    <w:rsid w:val="0A442A91"/>
    <w:rsid w:val="0A51727D"/>
    <w:rsid w:val="0A622E54"/>
    <w:rsid w:val="0A8F41DF"/>
    <w:rsid w:val="0A982D0F"/>
    <w:rsid w:val="0AAA3961"/>
    <w:rsid w:val="0AEC1713"/>
    <w:rsid w:val="0AFD710E"/>
    <w:rsid w:val="0AFE7394"/>
    <w:rsid w:val="0B213EE8"/>
    <w:rsid w:val="0B2F3756"/>
    <w:rsid w:val="0B472137"/>
    <w:rsid w:val="0B5E1C97"/>
    <w:rsid w:val="0B641CFB"/>
    <w:rsid w:val="0B7B6FA1"/>
    <w:rsid w:val="0B941400"/>
    <w:rsid w:val="0B9E39F1"/>
    <w:rsid w:val="0BA66282"/>
    <w:rsid w:val="0BB54396"/>
    <w:rsid w:val="0BF26C44"/>
    <w:rsid w:val="0C1429D4"/>
    <w:rsid w:val="0C5719E5"/>
    <w:rsid w:val="0CB56FAB"/>
    <w:rsid w:val="0CBA0D8E"/>
    <w:rsid w:val="0D533015"/>
    <w:rsid w:val="0D593F1E"/>
    <w:rsid w:val="0D9030DE"/>
    <w:rsid w:val="0D9378B6"/>
    <w:rsid w:val="0D995F24"/>
    <w:rsid w:val="0E032C8D"/>
    <w:rsid w:val="0E206E08"/>
    <w:rsid w:val="0E3E1813"/>
    <w:rsid w:val="0E7C2FA3"/>
    <w:rsid w:val="0EE42D7B"/>
    <w:rsid w:val="0F631EBA"/>
    <w:rsid w:val="0FA22205"/>
    <w:rsid w:val="10015291"/>
    <w:rsid w:val="1025513D"/>
    <w:rsid w:val="10685029"/>
    <w:rsid w:val="106D27B7"/>
    <w:rsid w:val="10AF2C58"/>
    <w:rsid w:val="10D96120"/>
    <w:rsid w:val="10F15BD3"/>
    <w:rsid w:val="11390DA8"/>
    <w:rsid w:val="114227C7"/>
    <w:rsid w:val="11457119"/>
    <w:rsid w:val="116457F1"/>
    <w:rsid w:val="11A007F3"/>
    <w:rsid w:val="11F66855"/>
    <w:rsid w:val="12326DC2"/>
    <w:rsid w:val="12333415"/>
    <w:rsid w:val="12373F9F"/>
    <w:rsid w:val="12392131"/>
    <w:rsid w:val="124D1574"/>
    <w:rsid w:val="12891287"/>
    <w:rsid w:val="12E3308D"/>
    <w:rsid w:val="130308CA"/>
    <w:rsid w:val="1312560D"/>
    <w:rsid w:val="132C218A"/>
    <w:rsid w:val="134753CA"/>
    <w:rsid w:val="13486102"/>
    <w:rsid w:val="13A50763"/>
    <w:rsid w:val="13B14F39"/>
    <w:rsid w:val="13D55805"/>
    <w:rsid w:val="13F500CA"/>
    <w:rsid w:val="13F84D28"/>
    <w:rsid w:val="142B46CE"/>
    <w:rsid w:val="14513B82"/>
    <w:rsid w:val="14602089"/>
    <w:rsid w:val="147D272B"/>
    <w:rsid w:val="14841E5F"/>
    <w:rsid w:val="14953EB8"/>
    <w:rsid w:val="14A32AD4"/>
    <w:rsid w:val="14AD4D52"/>
    <w:rsid w:val="14CD6092"/>
    <w:rsid w:val="1525173B"/>
    <w:rsid w:val="153C6A85"/>
    <w:rsid w:val="15447E34"/>
    <w:rsid w:val="156C10A7"/>
    <w:rsid w:val="156D1711"/>
    <w:rsid w:val="159F732A"/>
    <w:rsid w:val="15C31338"/>
    <w:rsid w:val="15C34B46"/>
    <w:rsid w:val="15DC0BC8"/>
    <w:rsid w:val="15E839EB"/>
    <w:rsid w:val="16010E59"/>
    <w:rsid w:val="161D4B99"/>
    <w:rsid w:val="1637437F"/>
    <w:rsid w:val="167B61DA"/>
    <w:rsid w:val="171F0B4E"/>
    <w:rsid w:val="172577D0"/>
    <w:rsid w:val="173761B3"/>
    <w:rsid w:val="178644DD"/>
    <w:rsid w:val="17881C02"/>
    <w:rsid w:val="17EB3771"/>
    <w:rsid w:val="17FF44C5"/>
    <w:rsid w:val="182757CA"/>
    <w:rsid w:val="18FE29CF"/>
    <w:rsid w:val="1910625E"/>
    <w:rsid w:val="19445F08"/>
    <w:rsid w:val="19791440"/>
    <w:rsid w:val="19896869"/>
    <w:rsid w:val="198D3D53"/>
    <w:rsid w:val="199F3A59"/>
    <w:rsid w:val="19D24BCD"/>
    <w:rsid w:val="1A463753"/>
    <w:rsid w:val="1A6A7BF0"/>
    <w:rsid w:val="1A6C043C"/>
    <w:rsid w:val="1A9A08B1"/>
    <w:rsid w:val="1AA14F3E"/>
    <w:rsid w:val="1AB8732E"/>
    <w:rsid w:val="1ACD57BB"/>
    <w:rsid w:val="1B2938B4"/>
    <w:rsid w:val="1B3867B7"/>
    <w:rsid w:val="1B3917D2"/>
    <w:rsid w:val="1B47207C"/>
    <w:rsid w:val="1B526E30"/>
    <w:rsid w:val="1B5A42F2"/>
    <w:rsid w:val="1B662982"/>
    <w:rsid w:val="1B666231"/>
    <w:rsid w:val="1B671EFB"/>
    <w:rsid w:val="1B6E1AFC"/>
    <w:rsid w:val="1BA46EB4"/>
    <w:rsid w:val="1BA64380"/>
    <w:rsid w:val="1BCA4DEA"/>
    <w:rsid w:val="1BD43251"/>
    <w:rsid w:val="1BE65325"/>
    <w:rsid w:val="1BEA5C68"/>
    <w:rsid w:val="1BF54431"/>
    <w:rsid w:val="1C094033"/>
    <w:rsid w:val="1C154FA2"/>
    <w:rsid w:val="1C493567"/>
    <w:rsid w:val="1C6731C0"/>
    <w:rsid w:val="1C6C0BAE"/>
    <w:rsid w:val="1C752C38"/>
    <w:rsid w:val="1C770BAC"/>
    <w:rsid w:val="1C8812E8"/>
    <w:rsid w:val="1CBF4223"/>
    <w:rsid w:val="1CC048D1"/>
    <w:rsid w:val="1CFF3DC8"/>
    <w:rsid w:val="1D004366"/>
    <w:rsid w:val="1D28001A"/>
    <w:rsid w:val="1D6F5759"/>
    <w:rsid w:val="1D88621E"/>
    <w:rsid w:val="1D9E4F82"/>
    <w:rsid w:val="1DA35988"/>
    <w:rsid w:val="1DB45D52"/>
    <w:rsid w:val="1DDE4B7D"/>
    <w:rsid w:val="1DE066E3"/>
    <w:rsid w:val="1E435DE1"/>
    <w:rsid w:val="1E566E09"/>
    <w:rsid w:val="1E6813A9"/>
    <w:rsid w:val="1E6D1634"/>
    <w:rsid w:val="1E95493A"/>
    <w:rsid w:val="1E9C398E"/>
    <w:rsid w:val="1EB458DE"/>
    <w:rsid w:val="1ECE4F82"/>
    <w:rsid w:val="1EE5064C"/>
    <w:rsid w:val="1F086AFE"/>
    <w:rsid w:val="1F0A567B"/>
    <w:rsid w:val="1F2C6FE8"/>
    <w:rsid w:val="1F415DDB"/>
    <w:rsid w:val="1F5903F9"/>
    <w:rsid w:val="1F5B26D6"/>
    <w:rsid w:val="1F6007D8"/>
    <w:rsid w:val="1F6D08CF"/>
    <w:rsid w:val="1FB748C5"/>
    <w:rsid w:val="1FFF5AB0"/>
    <w:rsid w:val="203828DD"/>
    <w:rsid w:val="20746CEC"/>
    <w:rsid w:val="209D4381"/>
    <w:rsid w:val="20A70D34"/>
    <w:rsid w:val="20F3403C"/>
    <w:rsid w:val="21020B82"/>
    <w:rsid w:val="218454A5"/>
    <w:rsid w:val="21BE6864"/>
    <w:rsid w:val="21F7470F"/>
    <w:rsid w:val="223043CE"/>
    <w:rsid w:val="2250591D"/>
    <w:rsid w:val="22561186"/>
    <w:rsid w:val="22965E6B"/>
    <w:rsid w:val="22AE28BF"/>
    <w:rsid w:val="22C2713E"/>
    <w:rsid w:val="22D700DE"/>
    <w:rsid w:val="22F917C9"/>
    <w:rsid w:val="23226B91"/>
    <w:rsid w:val="23455B9F"/>
    <w:rsid w:val="23463622"/>
    <w:rsid w:val="235B1AD6"/>
    <w:rsid w:val="236A59AD"/>
    <w:rsid w:val="23874BA3"/>
    <w:rsid w:val="23CE1A7B"/>
    <w:rsid w:val="243478A3"/>
    <w:rsid w:val="245B2E54"/>
    <w:rsid w:val="24AC7CFE"/>
    <w:rsid w:val="24B931D1"/>
    <w:rsid w:val="24CC35FF"/>
    <w:rsid w:val="25002F8D"/>
    <w:rsid w:val="2506545C"/>
    <w:rsid w:val="25546BA5"/>
    <w:rsid w:val="25550156"/>
    <w:rsid w:val="256D43FD"/>
    <w:rsid w:val="25873D4C"/>
    <w:rsid w:val="25FB512C"/>
    <w:rsid w:val="26204460"/>
    <w:rsid w:val="262B2929"/>
    <w:rsid w:val="267D2FA7"/>
    <w:rsid w:val="26927566"/>
    <w:rsid w:val="26D37563"/>
    <w:rsid w:val="26F7280B"/>
    <w:rsid w:val="27054D57"/>
    <w:rsid w:val="27330E33"/>
    <w:rsid w:val="273677D8"/>
    <w:rsid w:val="274B4345"/>
    <w:rsid w:val="2759752E"/>
    <w:rsid w:val="275A43A8"/>
    <w:rsid w:val="27641FEC"/>
    <w:rsid w:val="27720957"/>
    <w:rsid w:val="283D072F"/>
    <w:rsid w:val="286B1BCB"/>
    <w:rsid w:val="286B44D3"/>
    <w:rsid w:val="289C366A"/>
    <w:rsid w:val="28AA18E8"/>
    <w:rsid w:val="28AE366A"/>
    <w:rsid w:val="28E55011"/>
    <w:rsid w:val="28F05E4B"/>
    <w:rsid w:val="29040935"/>
    <w:rsid w:val="290D2D52"/>
    <w:rsid w:val="290F6532"/>
    <w:rsid w:val="291C049E"/>
    <w:rsid w:val="291F0973"/>
    <w:rsid w:val="29384AB9"/>
    <w:rsid w:val="294E1863"/>
    <w:rsid w:val="29B655C0"/>
    <w:rsid w:val="29C2128B"/>
    <w:rsid w:val="29EC3DAC"/>
    <w:rsid w:val="29F20F87"/>
    <w:rsid w:val="2A015314"/>
    <w:rsid w:val="2A2953D2"/>
    <w:rsid w:val="2A6F2C28"/>
    <w:rsid w:val="2AB303AA"/>
    <w:rsid w:val="2ADC5AFD"/>
    <w:rsid w:val="2AE40947"/>
    <w:rsid w:val="2AE56C24"/>
    <w:rsid w:val="2AF23A16"/>
    <w:rsid w:val="2AF552B4"/>
    <w:rsid w:val="2AF9470D"/>
    <w:rsid w:val="2B2A724C"/>
    <w:rsid w:val="2B3002E1"/>
    <w:rsid w:val="2B6D6F0D"/>
    <w:rsid w:val="2B762634"/>
    <w:rsid w:val="2B97636B"/>
    <w:rsid w:val="2BBB0AB4"/>
    <w:rsid w:val="2C302A48"/>
    <w:rsid w:val="2C597C75"/>
    <w:rsid w:val="2D1B0C53"/>
    <w:rsid w:val="2D261D28"/>
    <w:rsid w:val="2D380A40"/>
    <w:rsid w:val="2D475908"/>
    <w:rsid w:val="2D795878"/>
    <w:rsid w:val="2D7E66F1"/>
    <w:rsid w:val="2D95546D"/>
    <w:rsid w:val="2DB43A1E"/>
    <w:rsid w:val="2DDF76A7"/>
    <w:rsid w:val="2DF1140A"/>
    <w:rsid w:val="2DF233D7"/>
    <w:rsid w:val="2DF83A39"/>
    <w:rsid w:val="2E1B0C2F"/>
    <w:rsid w:val="2E2D19AE"/>
    <w:rsid w:val="2E3662A3"/>
    <w:rsid w:val="2E5F51AF"/>
    <w:rsid w:val="2E764B34"/>
    <w:rsid w:val="2F064649"/>
    <w:rsid w:val="2F265E4E"/>
    <w:rsid w:val="2F963509"/>
    <w:rsid w:val="2FA50B1C"/>
    <w:rsid w:val="2FAD33C2"/>
    <w:rsid w:val="300C4718"/>
    <w:rsid w:val="309F3022"/>
    <w:rsid w:val="30A05CC2"/>
    <w:rsid w:val="30AE4ECA"/>
    <w:rsid w:val="30B25C47"/>
    <w:rsid w:val="30CE72A7"/>
    <w:rsid w:val="316A791C"/>
    <w:rsid w:val="31C54436"/>
    <w:rsid w:val="31DE4CF4"/>
    <w:rsid w:val="32387E25"/>
    <w:rsid w:val="32560D2E"/>
    <w:rsid w:val="328F5FEE"/>
    <w:rsid w:val="335B1D88"/>
    <w:rsid w:val="335C76C1"/>
    <w:rsid w:val="339A61A5"/>
    <w:rsid w:val="34364798"/>
    <w:rsid w:val="34404F77"/>
    <w:rsid w:val="3464452F"/>
    <w:rsid w:val="34A16D9D"/>
    <w:rsid w:val="34A55FBF"/>
    <w:rsid w:val="34AC63E7"/>
    <w:rsid w:val="34D66156"/>
    <w:rsid w:val="34E95C27"/>
    <w:rsid w:val="34F903B8"/>
    <w:rsid w:val="351A6043"/>
    <w:rsid w:val="3526053A"/>
    <w:rsid w:val="35427B0F"/>
    <w:rsid w:val="354B7BBD"/>
    <w:rsid w:val="356B5D1D"/>
    <w:rsid w:val="357F49FA"/>
    <w:rsid w:val="35B542C8"/>
    <w:rsid w:val="35DC59EE"/>
    <w:rsid w:val="36007566"/>
    <w:rsid w:val="36A4475E"/>
    <w:rsid w:val="36AA5E0A"/>
    <w:rsid w:val="36CA0C5E"/>
    <w:rsid w:val="36DF5796"/>
    <w:rsid w:val="36F93DB1"/>
    <w:rsid w:val="371C74DF"/>
    <w:rsid w:val="372E04CB"/>
    <w:rsid w:val="374E6478"/>
    <w:rsid w:val="37520F41"/>
    <w:rsid w:val="3762161D"/>
    <w:rsid w:val="378679C0"/>
    <w:rsid w:val="378F65A8"/>
    <w:rsid w:val="37A12630"/>
    <w:rsid w:val="37AC319E"/>
    <w:rsid w:val="37D44BCF"/>
    <w:rsid w:val="38083993"/>
    <w:rsid w:val="380F260F"/>
    <w:rsid w:val="386D368C"/>
    <w:rsid w:val="38895400"/>
    <w:rsid w:val="38BD4DB8"/>
    <w:rsid w:val="38C56C0D"/>
    <w:rsid w:val="38DB5751"/>
    <w:rsid w:val="38DE52AC"/>
    <w:rsid w:val="391A24A3"/>
    <w:rsid w:val="394A14BD"/>
    <w:rsid w:val="399227EF"/>
    <w:rsid w:val="39A77BA6"/>
    <w:rsid w:val="39B07817"/>
    <w:rsid w:val="39C07B4A"/>
    <w:rsid w:val="39D659CE"/>
    <w:rsid w:val="3A1273C6"/>
    <w:rsid w:val="3A1E65D5"/>
    <w:rsid w:val="3A5E2E76"/>
    <w:rsid w:val="3A6D6A80"/>
    <w:rsid w:val="3A867C43"/>
    <w:rsid w:val="3AE06945"/>
    <w:rsid w:val="3AF61300"/>
    <w:rsid w:val="3B015EE0"/>
    <w:rsid w:val="3B1339F6"/>
    <w:rsid w:val="3B6026D9"/>
    <w:rsid w:val="3B7F7C46"/>
    <w:rsid w:val="3BDE19D1"/>
    <w:rsid w:val="3C340114"/>
    <w:rsid w:val="3C3A0A68"/>
    <w:rsid w:val="3C8446EA"/>
    <w:rsid w:val="3C850B8E"/>
    <w:rsid w:val="3C893FAF"/>
    <w:rsid w:val="3CA827C1"/>
    <w:rsid w:val="3CAD59EE"/>
    <w:rsid w:val="3CC45795"/>
    <w:rsid w:val="3CDA4418"/>
    <w:rsid w:val="3D38095E"/>
    <w:rsid w:val="3D720102"/>
    <w:rsid w:val="3D723DD3"/>
    <w:rsid w:val="3D751F42"/>
    <w:rsid w:val="3D9B7F3D"/>
    <w:rsid w:val="3DA87F4F"/>
    <w:rsid w:val="3DC10F1A"/>
    <w:rsid w:val="3E3068D7"/>
    <w:rsid w:val="3E6246F2"/>
    <w:rsid w:val="3F224345"/>
    <w:rsid w:val="3F6A3151"/>
    <w:rsid w:val="3F756DAC"/>
    <w:rsid w:val="3F874C1D"/>
    <w:rsid w:val="403F2E01"/>
    <w:rsid w:val="40585637"/>
    <w:rsid w:val="40814B23"/>
    <w:rsid w:val="408E72C3"/>
    <w:rsid w:val="408E7BCF"/>
    <w:rsid w:val="40AB15B8"/>
    <w:rsid w:val="40B26236"/>
    <w:rsid w:val="40C14C05"/>
    <w:rsid w:val="416359C8"/>
    <w:rsid w:val="41670FDA"/>
    <w:rsid w:val="41681350"/>
    <w:rsid w:val="416E038B"/>
    <w:rsid w:val="416F668A"/>
    <w:rsid w:val="417B255F"/>
    <w:rsid w:val="419378A9"/>
    <w:rsid w:val="41967399"/>
    <w:rsid w:val="419F6662"/>
    <w:rsid w:val="41A72D03"/>
    <w:rsid w:val="41BC55E0"/>
    <w:rsid w:val="41BF069E"/>
    <w:rsid w:val="420B7389"/>
    <w:rsid w:val="423563C7"/>
    <w:rsid w:val="429733C9"/>
    <w:rsid w:val="42C57370"/>
    <w:rsid w:val="42D57A4D"/>
    <w:rsid w:val="42D71A17"/>
    <w:rsid w:val="430832B2"/>
    <w:rsid w:val="43095949"/>
    <w:rsid w:val="43144276"/>
    <w:rsid w:val="43264088"/>
    <w:rsid w:val="43333AFF"/>
    <w:rsid w:val="434966C0"/>
    <w:rsid w:val="43603D96"/>
    <w:rsid w:val="43672D9B"/>
    <w:rsid w:val="437C4518"/>
    <w:rsid w:val="43900453"/>
    <w:rsid w:val="43997819"/>
    <w:rsid w:val="43B2708B"/>
    <w:rsid w:val="43CA332A"/>
    <w:rsid w:val="43CB7C06"/>
    <w:rsid w:val="43CE514A"/>
    <w:rsid w:val="43F26816"/>
    <w:rsid w:val="445769C9"/>
    <w:rsid w:val="44637696"/>
    <w:rsid w:val="44740DA7"/>
    <w:rsid w:val="44C7578F"/>
    <w:rsid w:val="44D31AB8"/>
    <w:rsid w:val="44F00B6E"/>
    <w:rsid w:val="45111167"/>
    <w:rsid w:val="4517597F"/>
    <w:rsid w:val="45442C68"/>
    <w:rsid w:val="454815E5"/>
    <w:rsid w:val="45523088"/>
    <w:rsid w:val="457C2033"/>
    <w:rsid w:val="45ED51BC"/>
    <w:rsid w:val="45FA370C"/>
    <w:rsid w:val="46626244"/>
    <w:rsid w:val="46671304"/>
    <w:rsid w:val="466A125B"/>
    <w:rsid w:val="46994235"/>
    <w:rsid w:val="46A2549B"/>
    <w:rsid w:val="46A95479"/>
    <w:rsid w:val="46AF5962"/>
    <w:rsid w:val="46B856BC"/>
    <w:rsid w:val="46F77B89"/>
    <w:rsid w:val="470628CB"/>
    <w:rsid w:val="4743767B"/>
    <w:rsid w:val="4757256C"/>
    <w:rsid w:val="47590C4D"/>
    <w:rsid w:val="476944E1"/>
    <w:rsid w:val="47EA5D49"/>
    <w:rsid w:val="47F15329"/>
    <w:rsid w:val="484F3DFE"/>
    <w:rsid w:val="487B3318"/>
    <w:rsid w:val="489A183F"/>
    <w:rsid w:val="48B93029"/>
    <w:rsid w:val="48FD7BB7"/>
    <w:rsid w:val="490C7F41"/>
    <w:rsid w:val="49526703"/>
    <w:rsid w:val="49726A4B"/>
    <w:rsid w:val="497F60D3"/>
    <w:rsid w:val="4A076C56"/>
    <w:rsid w:val="4A431F7F"/>
    <w:rsid w:val="4A711501"/>
    <w:rsid w:val="4AAD01EC"/>
    <w:rsid w:val="4AAF0341"/>
    <w:rsid w:val="4ADE5F63"/>
    <w:rsid w:val="4AE253FD"/>
    <w:rsid w:val="4B097E96"/>
    <w:rsid w:val="4B105AC6"/>
    <w:rsid w:val="4B466A81"/>
    <w:rsid w:val="4B4B6AFE"/>
    <w:rsid w:val="4B687997"/>
    <w:rsid w:val="4B7B64DF"/>
    <w:rsid w:val="4BA10E14"/>
    <w:rsid w:val="4BB73B85"/>
    <w:rsid w:val="4BF478AD"/>
    <w:rsid w:val="4C140314"/>
    <w:rsid w:val="4C17384D"/>
    <w:rsid w:val="4C257A37"/>
    <w:rsid w:val="4C64712B"/>
    <w:rsid w:val="4C700EF1"/>
    <w:rsid w:val="4C760354"/>
    <w:rsid w:val="4C7C3456"/>
    <w:rsid w:val="4C8A18A8"/>
    <w:rsid w:val="4CC27294"/>
    <w:rsid w:val="4CC36B68"/>
    <w:rsid w:val="4CC533FF"/>
    <w:rsid w:val="4CE3606E"/>
    <w:rsid w:val="4D0305B0"/>
    <w:rsid w:val="4D2F41FE"/>
    <w:rsid w:val="4D7F6F33"/>
    <w:rsid w:val="4D8A2DE7"/>
    <w:rsid w:val="4DAA2F7A"/>
    <w:rsid w:val="4DF50B78"/>
    <w:rsid w:val="4DF570E6"/>
    <w:rsid w:val="4E0D2791"/>
    <w:rsid w:val="4E15367F"/>
    <w:rsid w:val="4E1A6C5C"/>
    <w:rsid w:val="4E346F72"/>
    <w:rsid w:val="4E432C71"/>
    <w:rsid w:val="4E6938E7"/>
    <w:rsid w:val="4E6A5759"/>
    <w:rsid w:val="4E701DC0"/>
    <w:rsid w:val="4E93713A"/>
    <w:rsid w:val="4EBB21ED"/>
    <w:rsid w:val="4ECA741E"/>
    <w:rsid w:val="4EF851EF"/>
    <w:rsid w:val="4F006719"/>
    <w:rsid w:val="4F0802D6"/>
    <w:rsid w:val="4F2E489B"/>
    <w:rsid w:val="4F4C72E9"/>
    <w:rsid w:val="4F5166AD"/>
    <w:rsid w:val="4F5D25FD"/>
    <w:rsid w:val="4F643265"/>
    <w:rsid w:val="4F741231"/>
    <w:rsid w:val="4F8052EF"/>
    <w:rsid w:val="4F9D1BDA"/>
    <w:rsid w:val="4FB05ACA"/>
    <w:rsid w:val="4FB41D44"/>
    <w:rsid w:val="4FB93303"/>
    <w:rsid w:val="4FBC32D6"/>
    <w:rsid w:val="50105D76"/>
    <w:rsid w:val="50397007"/>
    <w:rsid w:val="50BF6E81"/>
    <w:rsid w:val="50FF0870"/>
    <w:rsid w:val="513D513B"/>
    <w:rsid w:val="513F080C"/>
    <w:rsid w:val="515E08F1"/>
    <w:rsid w:val="517B177C"/>
    <w:rsid w:val="518E2B89"/>
    <w:rsid w:val="52654DCD"/>
    <w:rsid w:val="52734B8D"/>
    <w:rsid w:val="527E1EAF"/>
    <w:rsid w:val="52DA541F"/>
    <w:rsid w:val="52E44F60"/>
    <w:rsid w:val="5306542C"/>
    <w:rsid w:val="5336489E"/>
    <w:rsid w:val="533662E6"/>
    <w:rsid w:val="53390376"/>
    <w:rsid w:val="533C1C56"/>
    <w:rsid w:val="536203AC"/>
    <w:rsid w:val="53842532"/>
    <w:rsid w:val="538F0970"/>
    <w:rsid w:val="53FF4927"/>
    <w:rsid w:val="540A24A6"/>
    <w:rsid w:val="540D34EB"/>
    <w:rsid w:val="541D6439"/>
    <w:rsid w:val="5421450D"/>
    <w:rsid w:val="542D593B"/>
    <w:rsid w:val="546A09A4"/>
    <w:rsid w:val="546E0331"/>
    <w:rsid w:val="54846008"/>
    <w:rsid w:val="549E4143"/>
    <w:rsid w:val="54CF07A0"/>
    <w:rsid w:val="552029CE"/>
    <w:rsid w:val="552535BC"/>
    <w:rsid w:val="553813F1"/>
    <w:rsid w:val="557E3F74"/>
    <w:rsid w:val="55821076"/>
    <w:rsid w:val="560F45CE"/>
    <w:rsid w:val="56493792"/>
    <w:rsid w:val="56777341"/>
    <w:rsid w:val="56D402F0"/>
    <w:rsid w:val="57064221"/>
    <w:rsid w:val="572F4B71"/>
    <w:rsid w:val="574D1E50"/>
    <w:rsid w:val="575329D5"/>
    <w:rsid w:val="57706630"/>
    <w:rsid w:val="579E0408"/>
    <w:rsid w:val="57C2639A"/>
    <w:rsid w:val="57D8796C"/>
    <w:rsid w:val="57F860F5"/>
    <w:rsid w:val="586C3E75"/>
    <w:rsid w:val="58C370A9"/>
    <w:rsid w:val="58F20481"/>
    <w:rsid w:val="5933291A"/>
    <w:rsid w:val="594015B1"/>
    <w:rsid w:val="59554FEC"/>
    <w:rsid w:val="595A0DC1"/>
    <w:rsid w:val="596D4A2C"/>
    <w:rsid w:val="599B0EFC"/>
    <w:rsid w:val="59BD150F"/>
    <w:rsid w:val="59C4289D"/>
    <w:rsid w:val="59E97291"/>
    <w:rsid w:val="5A130C2C"/>
    <w:rsid w:val="5A2F2B6C"/>
    <w:rsid w:val="5A39563D"/>
    <w:rsid w:val="5AE0581C"/>
    <w:rsid w:val="5AE7369A"/>
    <w:rsid w:val="5AE96334"/>
    <w:rsid w:val="5B31213F"/>
    <w:rsid w:val="5B5F738D"/>
    <w:rsid w:val="5B7D2DDF"/>
    <w:rsid w:val="5BA54009"/>
    <w:rsid w:val="5BAB5397"/>
    <w:rsid w:val="5BE43388"/>
    <w:rsid w:val="5C0768C4"/>
    <w:rsid w:val="5C0F0191"/>
    <w:rsid w:val="5C1E5834"/>
    <w:rsid w:val="5C4A3285"/>
    <w:rsid w:val="5C643EC4"/>
    <w:rsid w:val="5C6D01F8"/>
    <w:rsid w:val="5CAF244F"/>
    <w:rsid w:val="5CCF1148"/>
    <w:rsid w:val="5CD53D28"/>
    <w:rsid w:val="5CF320E1"/>
    <w:rsid w:val="5CF718B7"/>
    <w:rsid w:val="5D0460DC"/>
    <w:rsid w:val="5D2366CB"/>
    <w:rsid w:val="5D243653"/>
    <w:rsid w:val="5D3331A6"/>
    <w:rsid w:val="5D6E1084"/>
    <w:rsid w:val="5D765574"/>
    <w:rsid w:val="5D8A153C"/>
    <w:rsid w:val="5D99194B"/>
    <w:rsid w:val="5DB416A9"/>
    <w:rsid w:val="5DC23DE3"/>
    <w:rsid w:val="5DE1497B"/>
    <w:rsid w:val="5DE1630B"/>
    <w:rsid w:val="5E135BA1"/>
    <w:rsid w:val="5E1D1079"/>
    <w:rsid w:val="5E211941"/>
    <w:rsid w:val="5E6D59C3"/>
    <w:rsid w:val="5E9341CF"/>
    <w:rsid w:val="5E9C0CBE"/>
    <w:rsid w:val="5EDA6373"/>
    <w:rsid w:val="5EF46D8B"/>
    <w:rsid w:val="5F0E0117"/>
    <w:rsid w:val="5F5A15AE"/>
    <w:rsid w:val="5F5D4BFA"/>
    <w:rsid w:val="5F9C1BC7"/>
    <w:rsid w:val="5FB661FF"/>
    <w:rsid w:val="5FBF0B9E"/>
    <w:rsid w:val="5FFB68ED"/>
    <w:rsid w:val="601D3F1F"/>
    <w:rsid w:val="601F4136"/>
    <w:rsid w:val="60200102"/>
    <w:rsid w:val="6022031E"/>
    <w:rsid w:val="602A68DF"/>
    <w:rsid w:val="6075117A"/>
    <w:rsid w:val="60AA3EE7"/>
    <w:rsid w:val="60AA69DE"/>
    <w:rsid w:val="60BC56A6"/>
    <w:rsid w:val="61183C2B"/>
    <w:rsid w:val="611C2181"/>
    <w:rsid w:val="617D1400"/>
    <w:rsid w:val="61903A3C"/>
    <w:rsid w:val="61C24BFD"/>
    <w:rsid w:val="6200468F"/>
    <w:rsid w:val="62514EEA"/>
    <w:rsid w:val="62AF1C11"/>
    <w:rsid w:val="634A483E"/>
    <w:rsid w:val="637A3FCD"/>
    <w:rsid w:val="63C51B85"/>
    <w:rsid w:val="63E97D64"/>
    <w:rsid w:val="641F1B04"/>
    <w:rsid w:val="642B45E0"/>
    <w:rsid w:val="64462101"/>
    <w:rsid w:val="645E34C9"/>
    <w:rsid w:val="64604EAC"/>
    <w:rsid w:val="64740A1C"/>
    <w:rsid w:val="6480231A"/>
    <w:rsid w:val="64805FF8"/>
    <w:rsid w:val="64D70FAB"/>
    <w:rsid w:val="64D7429C"/>
    <w:rsid w:val="64DA6028"/>
    <w:rsid w:val="65434447"/>
    <w:rsid w:val="657F3B1C"/>
    <w:rsid w:val="65D200F0"/>
    <w:rsid w:val="65E0009B"/>
    <w:rsid w:val="65F04443"/>
    <w:rsid w:val="65F73581"/>
    <w:rsid w:val="66457796"/>
    <w:rsid w:val="66A5387A"/>
    <w:rsid w:val="66AD6611"/>
    <w:rsid w:val="66C2621A"/>
    <w:rsid w:val="66CD6B5E"/>
    <w:rsid w:val="66D82907"/>
    <w:rsid w:val="67293E65"/>
    <w:rsid w:val="67466057"/>
    <w:rsid w:val="67470482"/>
    <w:rsid w:val="67656B1B"/>
    <w:rsid w:val="679542C8"/>
    <w:rsid w:val="67AE419D"/>
    <w:rsid w:val="67B22635"/>
    <w:rsid w:val="67BE74C9"/>
    <w:rsid w:val="68035227"/>
    <w:rsid w:val="683769EB"/>
    <w:rsid w:val="683C3F47"/>
    <w:rsid w:val="68495D7C"/>
    <w:rsid w:val="684F37DE"/>
    <w:rsid w:val="68617509"/>
    <w:rsid w:val="68B2669E"/>
    <w:rsid w:val="68D31B4E"/>
    <w:rsid w:val="68E22B52"/>
    <w:rsid w:val="68EB131E"/>
    <w:rsid w:val="69182A19"/>
    <w:rsid w:val="69274DD3"/>
    <w:rsid w:val="69764EE6"/>
    <w:rsid w:val="698C50B9"/>
    <w:rsid w:val="698E1753"/>
    <w:rsid w:val="69D47128"/>
    <w:rsid w:val="69D65CD5"/>
    <w:rsid w:val="69EC2D98"/>
    <w:rsid w:val="69EE62B3"/>
    <w:rsid w:val="69F07ED0"/>
    <w:rsid w:val="69FE3890"/>
    <w:rsid w:val="69FE414B"/>
    <w:rsid w:val="6A10379F"/>
    <w:rsid w:val="6A36539E"/>
    <w:rsid w:val="6A7A0A2B"/>
    <w:rsid w:val="6A7F636D"/>
    <w:rsid w:val="6A9F255F"/>
    <w:rsid w:val="6AA732A6"/>
    <w:rsid w:val="6ADE7537"/>
    <w:rsid w:val="6AE20F6F"/>
    <w:rsid w:val="6AE47A33"/>
    <w:rsid w:val="6B133F99"/>
    <w:rsid w:val="6B1D747F"/>
    <w:rsid w:val="6B221B0E"/>
    <w:rsid w:val="6B426B13"/>
    <w:rsid w:val="6B68305E"/>
    <w:rsid w:val="6B9419A4"/>
    <w:rsid w:val="6BB8150B"/>
    <w:rsid w:val="6BC4672D"/>
    <w:rsid w:val="6C0009AD"/>
    <w:rsid w:val="6C0C37DA"/>
    <w:rsid w:val="6C3222CB"/>
    <w:rsid w:val="6C364F34"/>
    <w:rsid w:val="6C3A4520"/>
    <w:rsid w:val="6C6204DD"/>
    <w:rsid w:val="6C7543E1"/>
    <w:rsid w:val="6C7D42B4"/>
    <w:rsid w:val="6C8A3E98"/>
    <w:rsid w:val="6C963B87"/>
    <w:rsid w:val="6CA96079"/>
    <w:rsid w:val="6CAC1F8A"/>
    <w:rsid w:val="6CAD0F6F"/>
    <w:rsid w:val="6CC81EA4"/>
    <w:rsid w:val="6D0B633D"/>
    <w:rsid w:val="6D37776E"/>
    <w:rsid w:val="6D44057B"/>
    <w:rsid w:val="6D4D393B"/>
    <w:rsid w:val="6D69517B"/>
    <w:rsid w:val="6DD644F6"/>
    <w:rsid w:val="6DF901E4"/>
    <w:rsid w:val="6EC8214A"/>
    <w:rsid w:val="6EF966EE"/>
    <w:rsid w:val="6F027367"/>
    <w:rsid w:val="6F176B74"/>
    <w:rsid w:val="6F1976C8"/>
    <w:rsid w:val="6F344690"/>
    <w:rsid w:val="6F382A27"/>
    <w:rsid w:val="6F404482"/>
    <w:rsid w:val="6F845605"/>
    <w:rsid w:val="6F9208F0"/>
    <w:rsid w:val="6FFC5967"/>
    <w:rsid w:val="70021CEB"/>
    <w:rsid w:val="702A28D7"/>
    <w:rsid w:val="703412AA"/>
    <w:rsid w:val="704838FD"/>
    <w:rsid w:val="707F6878"/>
    <w:rsid w:val="709119F6"/>
    <w:rsid w:val="70AF7F0C"/>
    <w:rsid w:val="70D16063"/>
    <w:rsid w:val="70F562D7"/>
    <w:rsid w:val="713D64DC"/>
    <w:rsid w:val="71941D4C"/>
    <w:rsid w:val="71F7318A"/>
    <w:rsid w:val="721A3870"/>
    <w:rsid w:val="72873F22"/>
    <w:rsid w:val="728E35F1"/>
    <w:rsid w:val="72DB435C"/>
    <w:rsid w:val="72EC194C"/>
    <w:rsid w:val="72F24901"/>
    <w:rsid w:val="72FF622E"/>
    <w:rsid w:val="731750C1"/>
    <w:rsid w:val="73263829"/>
    <w:rsid w:val="737C6513"/>
    <w:rsid w:val="73947A6D"/>
    <w:rsid w:val="739641CD"/>
    <w:rsid w:val="73F76C73"/>
    <w:rsid w:val="73F950CC"/>
    <w:rsid w:val="746135D3"/>
    <w:rsid w:val="74B017A6"/>
    <w:rsid w:val="74C9106A"/>
    <w:rsid w:val="753541F8"/>
    <w:rsid w:val="75477675"/>
    <w:rsid w:val="75781DD0"/>
    <w:rsid w:val="75824D9D"/>
    <w:rsid w:val="759C397F"/>
    <w:rsid w:val="75AB1C93"/>
    <w:rsid w:val="761B163F"/>
    <w:rsid w:val="761F3505"/>
    <w:rsid w:val="76486327"/>
    <w:rsid w:val="76810114"/>
    <w:rsid w:val="76E41762"/>
    <w:rsid w:val="76E46ECE"/>
    <w:rsid w:val="77051815"/>
    <w:rsid w:val="7712634F"/>
    <w:rsid w:val="7717316E"/>
    <w:rsid w:val="77603777"/>
    <w:rsid w:val="77901BB9"/>
    <w:rsid w:val="779B3C6B"/>
    <w:rsid w:val="77AB5706"/>
    <w:rsid w:val="77C7479C"/>
    <w:rsid w:val="78211D8C"/>
    <w:rsid w:val="787B3EF7"/>
    <w:rsid w:val="787D26D8"/>
    <w:rsid w:val="788E3223"/>
    <w:rsid w:val="78E06AB0"/>
    <w:rsid w:val="78E454E3"/>
    <w:rsid w:val="790A3D76"/>
    <w:rsid w:val="792C5912"/>
    <w:rsid w:val="794669D3"/>
    <w:rsid w:val="798E0318"/>
    <w:rsid w:val="79AF62F8"/>
    <w:rsid w:val="7A1E525A"/>
    <w:rsid w:val="7A1F0FD2"/>
    <w:rsid w:val="7A326EC1"/>
    <w:rsid w:val="7A831952"/>
    <w:rsid w:val="7AC415A1"/>
    <w:rsid w:val="7AD93877"/>
    <w:rsid w:val="7B2E771F"/>
    <w:rsid w:val="7B5F4220"/>
    <w:rsid w:val="7BAB5214"/>
    <w:rsid w:val="7BB57C80"/>
    <w:rsid w:val="7BF53DED"/>
    <w:rsid w:val="7BFC0690"/>
    <w:rsid w:val="7C120DEF"/>
    <w:rsid w:val="7C1D50F5"/>
    <w:rsid w:val="7C250650"/>
    <w:rsid w:val="7C6106D5"/>
    <w:rsid w:val="7C6151AF"/>
    <w:rsid w:val="7CBE043E"/>
    <w:rsid w:val="7CC540BD"/>
    <w:rsid w:val="7CF86F98"/>
    <w:rsid w:val="7D363C2B"/>
    <w:rsid w:val="7D3B4375"/>
    <w:rsid w:val="7D423759"/>
    <w:rsid w:val="7D605B8A"/>
    <w:rsid w:val="7D695F1A"/>
    <w:rsid w:val="7D7B29C4"/>
    <w:rsid w:val="7D7D15ED"/>
    <w:rsid w:val="7D811AE7"/>
    <w:rsid w:val="7DD956AA"/>
    <w:rsid w:val="7DF33F09"/>
    <w:rsid w:val="7E2D5B39"/>
    <w:rsid w:val="7E42351F"/>
    <w:rsid w:val="7E5106EB"/>
    <w:rsid w:val="7E7C69F3"/>
    <w:rsid w:val="7E9E06D8"/>
    <w:rsid w:val="7EBA4E3C"/>
    <w:rsid w:val="7ED160D1"/>
    <w:rsid w:val="7EDB5E10"/>
    <w:rsid w:val="7F0F44D4"/>
    <w:rsid w:val="7F132979"/>
    <w:rsid w:val="7F2B4D67"/>
    <w:rsid w:val="7F9F5AC1"/>
    <w:rsid w:val="7FD0465C"/>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szCs w:val="20"/>
    </w:rPr>
  </w:style>
  <w:style w:type="paragraph" w:styleId="6">
    <w:name w:val="Normal Indent"/>
    <w:basedOn w:val="1"/>
    <w:next w:val="7"/>
    <w:qFormat/>
    <w:uiPriority w:val="0"/>
    <w:pPr>
      <w:autoSpaceDE w:val="0"/>
      <w:autoSpaceDN w:val="0"/>
      <w:adjustRightInd w:val="0"/>
      <w:ind w:firstLine="420"/>
    </w:pPr>
    <w:rPr>
      <w:rFonts w:ascii="宋体"/>
      <w:szCs w:val="20"/>
    </w:rPr>
  </w:style>
  <w:style w:type="paragraph" w:styleId="7">
    <w:name w:val="toa heading"/>
    <w:basedOn w:val="1"/>
    <w:next w:val="1"/>
    <w:qFormat/>
    <w:uiPriority w:val="0"/>
    <w:pPr>
      <w:spacing w:before="120"/>
    </w:pPr>
    <w:rPr>
      <w:rFonts w:ascii="Cambria" w:hAnsi="Cambria"/>
      <w:szCs w:val="20"/>
    </w:rPr>
  </w:style>
  <w:style w:type="paragraph" w:styleId="8">
    <w:name w:val="annotation text"/>
    <w:basedOn w:val="1"/>
    <w:qFormat/>
    <w:uiPriority w:val="0"/>
    <w:pPr>
      <w:jc w:val="left"/>
    </w:pPr>
  </w:style>
  <w:style w:type="paragraph" w:styleId="9">
    <w:name w:val="Body Text"/>
    <w:basedOn w:val="1"/>
    <w:next w:val="1"/>
    <w:qFormat/>
    <w:uiPriority w:val="99"/>
    <w:pPr>
      <w:numPr>
        <w:ilvl w:val="0"/>
        <w:numId w:val="1"/>
      </w:numPr>
      <w:tabs>
        <w:tab w:val="clear" w:pos="780"/>
      </w:tabs>
      <w:ind w:left="0" w:firstLine="0"/>
    </w:pPr>
    <w:rPr>
      <w:rFonts w:ascii="黑体" w:eastAsia="黑体"/>
      <w:sz w:val="22"/>
    </w:rPr>
  </w:style>
  <w:style w:type="paragraph" w:styleId="10">
    <w:name w:val="Body Text Indent"/>
    <w:basedOn w:val="1"/>
    <w:next w:val="11"/>
    <w:qFormat/>
    <w:uiPriority w:val="0"/>
    <w:pPr>
      <w:spacing w:after="120"/>
      <w:ind w:left="200" w:leftChars="200"/>
    </w:pPr>
  </w:style>
  <w:style w:type="paragraph" w:styleId="11">
    <w:name w:val="envelope return"/>
    <w:basedOn w:val="1"/>
    <w:qFormat/>
    <w:uiPriority w:val="0"/>
    <w:pPr>
      <w:snapToGrid w:val="0"/>
    </w:pPr>
    <w:rPr>
      <w:rFonts w:ascii="Arial" w:hAnsi="Arial"/>
    </w:rPr>
  </w:style>
  <w:style w:type="paragraph" w:styleId="12">
    <w:name w:val="Plain Text"/>
    <w:basedOn w:val="1"/>
    <w:next w:val="13"/>
    <w:qFormat/>
    <w:uiPriority w:val="0"/>
    <w:rPr>
      <w:rFonts w:ascii="宋体"/>
      <w:szCs w:val="20"/>
      <w:u w:color="000000"/>
    </w:rPr>
  </w:style>
  <w:style w:type="paragraph" w:styleId="13">
    <w:name w:val="List Number 5"/>
    <w:basedOn w:val="1"/>
    <w:qFormat/>
    <w:uiPriority w:val="0"/>
    <w:pPr>
      <w:numPr>
        <w:ilvl w:val="0"/>
        <w:numId w:val="2"/>
      </w:numPr>
    </w:pPr>
  </w:style>
  <w:style w:type="paragraph" w:styleId="14">
    <w:name w:val="Date"/>
    <w:basedOn w:val="1"/>
    <w:next w:val="1"/>
    <w:qFormat/>
    <w:uiPriority w:val="0"/>
    <w:rPr>
      <w:rFonts w:ascii="Arial" w:hAnsi="Arial" w:eastAsia="仿宋_GB2312"/>
      <w:sz w:val="32"/>
      <w:szCs w:val="20"/>
      <w:u w:color="000000"/>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footnote text"/>
    <w:basedOn w:val="1"/>
    <w:next w:val="9"/>
    <w:semiHidden/>
    <w:unhideWhenUsed/>
    <w:qFormat/>
    <w:uiPriority w:val="99"/>
    <w:pPr>
      <w:snapToGrid w:val="0"/>
    </w:pPr>
    <w:rPr>
      <w:sz w:val="18"/>
      <w:szCs w:val="18"/>
    </w:rPr>
  </w:style>
  <w:style w:type="paragraph" w:styleId="19">
    <w:name w:val="index 7"/>
    <w:basedOn w:val="1"/>
    <w:next w:val="1"/>
    <w:qFormat/>
    <w:uiPriority w:val="0"/>
    <w:pPr>
      <w:ind w:left="1200" w:leftChars="1200"/>
    </w:pPr>
    <w:rPr>
      <w:color w:val="auto"/>
      <w:kern w:val="2"/>
    </w:rPr>
  </w:style>
  <w:style w:type="paragraph" w:styleId="20">
    <w:name w:val="Body Text 2"/>
    <w:basedOn w:val="1"/>
    <w:qFormat/>
    <w:uiPriority w:val="0"/>
    <w:pPr>
      <w:tabs>
        <w:tab w:val="left" w:pos="0"/>
      </w:tabs>
      <w:spacing w:line="400" w:lineRule="atLeast"/>
    </w:pPr>
    <w:rPr>
      <w:rFonts w:ascii="Arial" w:hAnsi="Arial"/>
    </w:rPr>
  </w:style>
  <w:style w:type="paragraph" w:styleId="21">
    <w:name w:val="Normal (Web)"/>
    <w:basedOn w:val="1"/>
    <w:qFormat/>
    <w:uiPriority w:val="99"/>
    <w:pPr>
      <w:widowControl/>
    </w:pPr>
    <w:rPr>
      <w:rFonts w:ascii="宋体" w:hAnsi="宋体" w:eastAsia="宋体" w:cs="宋体"/>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First Indent"/>
    <w:basedOn w:val="9"/>
    <w:next w:val="24"/>
    <w:unhideWhenUsed/>
    <w:qFormat/>
    <w:uiPriority w:val="99"/>
    <w:pPr>
      <w:tabs>
        <w:tab w:val="left" w:pos="567"/>
        <w:tab w:val="left" w:pos="780"/>
      </w:tabs>
      <w:ind w:firstLine="420" w:firstLineChars="100"/>
    </w:pPr>
  </w:style>
  <w:style w:type="paragraph" w:styleId="24">
    <w:name w:val="Body Text First Indent 2"/>
    <w:basedOn w:val="10"/>
    <w:next w:val="1"/>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qFormat/>
    <w:uiPriority w:val="99"/>
    <w:rPr>
      <w:color w:val="0000FF"/>
      <w:u w:val="single"/>
    </w:rPr>
  </w:style>
  <w:style w:type="character" w:styleId="30">
    <w:name w:val="footnote reference"/>
    <w:basedOn w:val="27"/>
    <w:semiHidden/>
    <w:unhideWhenUsed/>
    <w:qFormat/>
    <w:uiPriority w:val="99"/>
    <w:rPr>
      <w:vertAlign w:val="superscript"/>
    </w:rPr>
  </w:style>
  <w:style w:type="character" w:styleId="31">
    <w:name w:val="HTML Sample"/>
    <w:basedOn w:val="27"/>
    <w:qFormat/>
    <w:uiPriority w:val="0"/>
    <w:rPr>
      <w:rFonts w:ascii="Courier New" w:hAnsi="Courier New"/>
    </w:rPr>
  </w:style>
  <w:style w:type="paragraph" w:customStyle="1" w:styleId="32">
    <w:name w:val="Default"/>
    <w:basedOn w:val="2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4">
    <w:name w:val="正文格式"/>
    <w:basedOn w:val="1"/>
    <w:qFormat/>
    <w:uiPriority w:val="99"/>
    <w:pPr>
      <w:widowControl/>
      <w:adjustRightInd w:val="0"/>
      <w:snapToGrid w:val="0"/>
      <w:spacing w:line="400" w:lineRule="atLeast"/>
      <w:ind w:firstLine="482"/>
      <w:textAlignment w:val="baseline"/>
    </w:pPr>
  </w:style>
  <w:style w:type="paragraph" w:customStyle="1" w:styleId="35">
    <w:name w:val="文档正文"/>
    <w:basedOn w:val="6"/>
    <w:qFormat/>
    <w:uiPriority w:val="0"/>
    <w:pPr>
      <w:spacing w:line="360" w:lineRule="auto"/>
    </w:pPr>
    <w:rPr>
      <w:rFonts w:hAnsi="宋体"/>
      <w:b/>
      <w:bCs/>
    </w:rPr>
  </w:style>
  <w:style w:type="paragraph" w:customStyle="1" w:styleId="36">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7">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8">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9">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0">
    <w:name w:val="Table caption|1"/>
    <w:basedOn w:val="1"/>
    <w:qFormat/>
    <w:uiPriority w:val="0"/>
    <w:rPr>
      <w:rFonts w:ascii="宋体" w:hAnsi="宋体" w:eastAsia="宋体" w:cs="宋体"/>
      <w:sz w:val="22"/>
      <w:szCs w:val="22"/>
      <w:lang w:val="zh-TW" w:eastAsia="zh-TW" w:bidi="zh-TW"/>
    </w:rPr>
  </w:style>
  <w:style w:type="paragraph" w:customStyle="1" w:styleId="41">
    <w:name w:val="Table Paragraph"/>
    <w:basedOn w:val="1"/>
    <w:qFormat/>
    <w:uiPriority w:val="1"/>
    <w:pPr>
      <w:autoSpaceDE w:val="0"/>
      <w:autoSpaceDN w:val="0"/>
      <w:adjustRightInd w:val="0"/>
    </w:pPr>
    <w:rPr>
      <w:rFonts w:eastAsia="宋体"/>
    </w:rPr>
  </w:style>
  <w:style w:type="paragraph" w:customStyle="1" w:styleId="42">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3">
    <w:name w:val="图例"/>
    <w:basedOn w:val="1"/>
    <w:qFormat/>
    <w:uiPriority w:val="0"/>
    <w:pPr>
      <w:spacing w:before="120" w:after="120" w:line="360" w:lineRule="auto"/>
      <w:jc w:val="center"/>
    </w:pPr>
    <w:rPr>
      <w:rFonts w:eastAsia="仿宋_GB2312"/>
      <w:b/>
    </w:rPr>
  </w:style>
  <w:style w:type="paragraph" w:customStyle="1" w:styleId="44">
    <w:name w:val="WPS Plain"/>
    <w:qFormat/>
    <w:uiPriority w:val="0"/>
    <w:rPr>
      <w:rFonts w:ascii="Times New Roman" w:hAnsi="Times New Roman" w:eastAsia="宋体" w:cs="Times New Roman"/>
      <w:lang w:val="en-US" w:eastAsia="zh-CN" w:bidi="ar-SA"/>
    </w:rPr>
  </w:style>
  <w:style w:type="paragraph" w:customStyle="1" w:styleId="45">
    <w:name w:val="样式 左侧:  0 厘米 悬挂缩进: 2.5 字符"/>
    <w:basedOn w:val="1"/>
    <w:qFormat/>
    <w:uiPriority w:val="0"/>
    <w:pPr>
      <w:ind w:left="525" w:hanging="525" w:hangingChars="250"/>
    </w:pPr>
    <w:rPr>
      <w:szCs w:val="20"/>
    </w:rPr>
  </w:style>
  <w:style w:type="character" w:customStyle="1" w:styleId="46">
    <w:name w:val="font11"/>
    <w:basedOn w:val="27"/>
    <w:qFormat/>
    <w:uiPriority w:val="0"/>
    <w:rPr>
      <w:rFonts w:ascii="Calibri" w:hAnsi="Calibri" w:cs="Calibri"/>
      <w:color w:val="000000"/>
      <w:sz w:val="20"/>
      <w:szCs w:val="20"/>
      <w:u w:val="none"/>
    </w:rPr>
  </w:style>
  <w:style w:type="paragraph" w:styleId="47">
    <w:name w:val="List Paragraph"/>
    <w:basedOn w:val="1"/>
    <w:qFormat/>
    <w:uiPriority w:val="0"/>
    <w:pPr>
      <w:widowControl/>
      <w:ind w:firstLine="420" w:firstLineChars="200"/>
    </w:pPr>
  </w:style>
  <w:style w:type="paragraph" w:customStyle="1" w:styleId="48">
    <w:name w:val="列出段落1"/>
    <w:basedOn w:val="1"/>
    <w:qFormat/>
    <w:uiPriority w:val="34"/>
    <w:pPr>
      <w:ind w:firstLine="420" w:firstLineChars="200"/>
    </w:pPr>
  </w:style>
  <w:style w:type="table" w:customStyle="1" w:styleId="49">
    <w:name w:val="Table Normal"/>
    <w:semiHidden/>
    <w:unhideWhenUsed/>
    <w:qFormat/>
    <w:uiPriority w:val="0"/>
    <w:tblPr>
      <w:tblCellMar>
        <w:top w:w="0" w:type="dxa"/>
        <w:left w:w="0" w:type="dxa"/>
        <w:bottom w:w="0" w:type="dxa"/>
        <w:right w:w="0" w:type="dxa"/>
      </w:tblCellMar>
    </w:tblPr>
  </w:style>
  <w:style w:type="paragraph" w:customStyle="1" w:styleId="50">
    <w:name w:val="p15"/>
    <w:basedOn w:val="1"/>
    <w:qFormat/>
    <w:uiPriority w:val="0"/>
    <w:pPr>
      <w:snapToGrid/>
      <w:spacing w:after="0"/>
    </w:pPr>
    <w:rPr>
      <w:rFonts w:ascii="Arial Unicode MS" w:hAnsi="Arial Unicode MS" w:eastAsia="宋体" w:cs="宋体"/>
      <w:color w:val="000000"/>
      <w:sz w:val="24"/>
      <w:szCs w:val="24"/>
    </w:rPr>
  </w:style>
  <w:style w:type="paragraph" w:customStyle="1" w:styleId="51">
    <w:name w:val="Body text|4"/>
    <w:basedOn w:val="1"/>
    <w:qFormat/>
    <w:uiPriority w:val="0"/>
    <w:pPr>
      <w:spacing w:after="580"/>
    </w:pPr>
    <w:rPr>
      <w:rFonts w:ascii="MingLiU" w:hAnsi="MingLiU" w:eastAsia="MingLiU" w:cs="MingLiU"/>
      <w:color w:val="00005D"/>
      <w:sz w:val="56"/>
      <w:szCs w:val="56"/>
      <w:lang w:val="zh-TW" w:eastAsia="zh-TW" w:bidi="zh-TW"/>
    </w:rPr>
  </w:style>
  <w:style w:type="character" w:customStyle="1" w:styleId="52">
    <w:name w:val="font91"/>
    <w:basedOn w:val="27"/>
    <w:qFormat/>
    <w:uiPriority w:val="0"/>
    <w:rPr>
      <w:rFonts w:hint="eastAsia" w:ascii="宋体" w:hAnsi="宋体" w:eastAsia="宋体" w:cs="宋体"/>
      <w:color w:val="000000"/>
      <w:sz w:val="22"/>
      <w:szCs w:val="22"/>
      <w:u w:val="none"/>
      <w:vertAlign w:val="superscript"/>
    </w:rPr>
  </w:style>
  <w:style w:type="paragraph" w:customStyle="1" w:styleId="53">
    <w:name w:val="首行缩进"/>
    <w:basedOn w:val="1"/>
    <w:qFormat/>
    <w:uiPriority w:val="0"/>
    <w:pPr>
      <w:spacing w:line="360" w:lineRule="auto"/>
      <w:ind w:firstLine="480" w:firstLineChars="200"/>
    </w:pPr>
    <w:rPr>
      <w:rFonts w:ascii="Calibri" w:hAnsi="Calibri" w:cs="Times New Roman"/>
      <w:sz w:val="24"/>
      <w:szCs w:val="22"/>
      <w:lang w:val="zh-CN"/>
    </w:rPr>
  </w:style>
  <w:style w:type="paragraph" w:customStyle="1" w:styleId="54">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89</Pages>
  <Words>44801</Words>
  <Characters>47049</Characters>
  <Lines>389</Lines>
  <Paragraphs>109</Paragraphs>
  <TotalTime>107</TotalTime>
  <ScaleCrop>false</ScaleCrop>
  <LinksUpToDate>false</LinksUpToDate>
  <CharactersWithSpaces>52296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*^_^*燕儿*^_^*</cp:lastModifiedBy>
  <cp:lastPrinted>2025-06-26T02:10:00Z</cp:lastPrinted>
  <dcterms:modified xsi:type="dcterms:W3CDTF">2025-07-11T10:00:42Z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5E5BA2C37AFC4D74A48BA6287380E40C_13</vt:lpwstr>
  </property>
  <property fmtid="{D5CDD505-2E9C-101B-9397-08002B2CF9AE}" pid="4" name="KSOTemplateDocerSaveRecord">
    <vt:lpwstr>eyJoZGlkIjoiNTA4ODcxMTkxNmEwYzAzYTA5NzZlOTM1ZGVkNTE1NjQiLCJ1c2VySWQiOiI3NDE1MTI1NzgifQ==</vt:lpwstr>
  </property>
</Properties>
</file>