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3B2B7"/>
    <w:p w14:paraId="73C71805">
      <w:pPr>
        <w:jc w:val="center"/>
        <w:rPr>
          <w:b/>
          <w:sz w:val="84"/>
          <w:szCs w:val="84"/>
        </w:rPr>
      </w:pPr>
    </w:p>
    <w:p w14:paraId="7763D3BD">
      <w:pPr>
        <w:jc w:val="center"/>
        <w:rPr>
          <w:b/>
          <w:sz w:val="84"/>
          <w:szCs w:val="84"/>
        </w:rPr>
      </w:pPr>
    </w:p>
    <w:p w14:paraId="78EC735B">
      <w:pPr>
        <w:jc w:val="center"/>
        <w:rPr>
          <w:b/>
          <w:sz w:val="84"/>
          <w:szCs w:val="84"/>
        </w:rPr>
      </w:pPr>
    </w:p>
    <w:p w14:paraId="78BA6F6E">
      <w:pPr>
        <w:jc w:val="center"/>
        <w:rPr>
          <w:b/>
          <w:sz w:val="120"/>
          <w:szCs w:val="120"/>
        </w:rPr>
      </w:pPr>
      <w:r>
        <w:rPr>
          <w:rFonts w:hint="eastAsia"/>
          <w:b/>
          <w:sz w:val="120"/>
          <w:szCs w:val="120"/>
        </w:rPr>
        <w:t>政府采购</w:t>
      </w:r>
    </w:p>
    <w:p w14:paraId="0795B1B2">
      <w:pPr>
        <w:jc w:val="center"/>
        <w:rPr>
          <w:b/>
          <w:sz w:val="120"/>
          <w:szCs w:val="120"/>
        </w:rPr>
      </w:pPr>
      <w:r>
        <w:rPr>
          <w:rFonts w:hint="eastAsia"/>
          <w:b/>
          <w:sz w:val="120"/>
          <w:szCs w:val="120"/>
        </w:rPr>
        <w:t>招标文件</w:t>
      </w:r>
    </w:p>
    <w:p w14:paraId="09387663"/>
    <w:p w14:paraId="0D343DC4"/>
    <w:p w14:paraId="4653092E"/>
    <w:p w14:paraId="7B555BFC"/>
    <w:p w14:paraId="77D29F8B"/>
    <w:p w14:paraId="2C7211FC"/>
    <w:p w14:paraId="725A8D17"/>
    <w:p w14:paraId="611DACC2"/>
    <w:p w14:paraId="642AABD7"/>
    <w:p w14:paraId="4E131044"/>
    <w:p w14:paraId="5E795857"/>
    <w:p w14:paraId="323CD436"/>
    <w:p w14:paraId="56878995">
      <w:pPr>
        <w:jc w:val="center"/>
        <w:rPr>
          <w:rFonts w:hint="eastAsia" w:eastAsia="宋体"/>
          <w:b/>
          <w:sz w:val="44"/>
          <w:szCs w:val="44"/>
          <w:lang w:eastAsia="zh-CN"/>
        </w:rPr>
      </w:pPr>
      <w:r>
        <w:rPr>
          <w:rFonts w:hint="eastAsia" w:eastAsia="宋体"/>
          <w:b/>
          <w:sz w:val="44"/>
          <w:szCs w:val="44"/>
          <w:lang w:eastAsia="zh-CN"/>
        </w:rPr>
        <w:t>喀什市招投标中心</w:t>
      </w:r>
    </w:p>
    <w:p w14:paraId="6125CB95">
      <w:pPr>
        <w:rPr>
          <w:rFonts w:ascii="宋体" w:hAnsi="宋体" w:eastAsia="黑体"/>
          <w:b/>
          <w:bCs/>
          <w:color w:val="0000FF"/>
          <w:kern w:val="44"/>
          <w:sz w:val="36"/>
          <w:szCs w:val="44"/>
        </w:rPr>
      </w:pPr>
      <w:r>
        <w:br w:type="page"/>
      </w:r>
    </w:p>
    <w:p w14:paraId="6DB7FC4B">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14:paraId="6FAD01EF">
      <w:pPr>
        <w:outlineLvl w:val="0"/>
        <w:rPr>
          <w:b/>
        </w:rPr>
      </w:pPr>
      <w:r>
        <w:rPr>
          <w:rFonts w:hint="eastAsia"/>
          <w:b/>
        </w:rPr>
        <w:t>第一册专用条款</w:t>
      </w:r>
    </w:p>
    <w:p w14:paraId="133DD0F7">
      <w:pPr>
        <w:rPr>
          <w:b/>
        </w:rPr>
      </w:pPr>
      <w:r>
        <w:rPr>
          <w:rFonts w:hint="eastAsia"/>
          <w:b/>
        </w:rPr>
        <w:tab/>
      </w:r>
      <w:r>
        <w:rPr>
          <w:rFonts w:hint="eastAsia"/>
          <w:b/>
        </w:rPr>
        <w:t>关键信息</w:t>
      </w:r>
    </w:p>
    <w:p w14:paraId="7034C7ED">
      <w:pPr>
        <w:ind w:left="720" w:leftChars="300" w:firstLine="470" w:firstLineChars="196"/>
        <w:rPr>
          <w:rFonts w:ascii="宋体" w:hAnsi="宋体"/>
          <w:szCs w:val="21"/>
        </w:rPr>
      </w:pPr>
      <w:r>
        <w:rPr>
          <w:rFonts w:hint="eastAsia" w:ascii="宋体" w:hAnsi="宋体"/>
          <w:szCs w:val="21"/>
        </w:rPr>
        <w:t>第一章  招标公告</w:t>
      </w:r>
    </w:p>
    <w:p w14:paraId="1E6AA82D">
      <w:pPr>
        <w:ind w:left="720" w:leftChars="300" w:firstLine="470" w:firstLineChars="196"/>
        <w:rPr>
          <w:rFonts w:ascii="宋体" w:hAnsi="宋体"/>
          <w:szCs w:val="21"/>
        </w:rPr>
      </w:pPr>
      <w:r>
        <w:rPr>
          <w:rFonts w:hint="eastAsia" w:ascii="宋体" w:hAnsi="宋体"/>
          <w:szCs w:val="21"/>
        </w:rPr>
        <w:t>第二章  对通用条款的补充内容及其他关键信息</w:t>
      </w:r>
    </w:p>
    <w:p w14:paraId="142D2282">
      <w:pPr>
        <w:ind w:left="720" w:leftChars="300" w:firstLine="470" w:firstLineChars="196"/>
        <w:rPr>
          <w:rFonts w:ascii="宋体" w:hAnsi="宋体"/>
          <w:szCs w:val="21"/>
        </w:rPr>
      </w:pPr>
      <w:r>
        <w:rPr>
          <w:rFonts w:hint="eastAsia" w:ascii="宋体" w:hAnsi="宋体"/>
          <w:szCs w:val="21"/>
        </w:rPr>
        <w:t>第三章 用户需求书</w:t>
      </w:r>
    </w:p>
    <w:p w14:paraId="4982B332">
      <w:pPr>
        <w:ind w:left="720" w:leftChars="300" w:firstLine="470" w:firstLineChars="196"/>
        <w:rPr>
          <w:rFonts w:ascii="宋体" w:hAnsi="宋体"/>
          <w:szCs w:val="21"/>
        </w:rPr>
      </w:pPr>
      <w:r>
        <w:rPr>
          <w:rFonts w:hint="eastAsia" w:ascii="宋体" w:hAnsi="宋体"/>
          <w:szCs w:val="21"/>
        </w:rPr>
        <w:t>第四章 投标文件组成要求及格式</w:t>
      </w:r>
    </w:p>
    <w:p w14:paraId="3638FF51">
      <w:pPr>
        <w:ind w:left="720" w:leftChars="300" w:firstLine="470" w:firstLineChars="196"/>
        <w:rPr>
          <w:rFonts w:ascii="宋体" w:hAnsi="宋体"/>
          <w:szCs w:val="21"/>
        </w:rPr>
      </w:pPr>
      <w:r>
        <w:rPr>
          <w:rFonts w:hint="eastAsia" w:ascii="宋体" w:hAnsi="宋体"/>
          <w:szCs w:val="21"/>
        </w:rPr>
        <w:t>第五章  合同条款及格式</w:t>
      </w:r>
    </w:p>
    <w:p w14:paraId="5E800368">
      <w:pPr>
        <w:rPr>
          <w:b/>
        </w:rPr>
      </w:pPr>
    </w:p>
    <w:p w14:paraId="7DC7483D">
      <w:pPr>
        <w:outlineLvl w:val="0"/>
        <w:rPr>
          <w:b/>
        </w:rPr>
      </w:pPr>
      <w:r>
        <w:rPr>
          <w:rFonts w:hint="eastAsia"/>
          <w:b/>
        </w:rPr>
        <w:t>第二册通用条款</w:t>
      </w:r>
    </w:p>
    <w:p w14:paraId="1F12FA4B">
      <w:pPr>
        <w:ind w:left="720" w:leftChars="300" w:firstLine="470" w:firstLineChars="196"/>
        <w:rPr>
          <w:rFonts w:ascii="宋体" w:hAnsi="宋体"/>
          <w:szCs w:val="21"/>
        </w:rPr>
      </w:pPr>
      <w:r>
        <w:rPr>
          <w:rFonts w:hint="eastAsia" w:ascii="宋体" w:hAnsi="宋体"/>
          <w:szCs w:val="21"/>
        </w:rPr>
        <w:t>第一章  总则</w:t>
      </w:r>
    </w:p>
    <w:p w14:paraId="78468994">
      <w:pPr>
        <w:ind w:left="720" w:leftChars="300" w:firstLine="470" w:firstLineChars="196"/>
        <w:rPr>
          <w:rFonts w:ascii="宋体" w:hAnsi="宋体"/>
          <w:szCs w:val="21"/>
        </w:rPr>
      </w:pPr>
      <w:r>
        <w:rPr>
          <w:rFonts w:hint="eastAsia" w:ascii="宋体" w:hAnsi="宋体"/>
          <w:szCs w:val="21"/>
        </w:rPr>
        <w:t>第二章  招标文件</w:t>
      </w:r>
    </w:p>
    <w:p w14:paraId="77A5CF3C">
      <w:pPr>
        <w:ind w:left="720" w:leftChars="300" w:firstLine="470" w:firstLineChars="196"/>
        <w:rPr>
          <w:rFonts w:ascii="宋体" w:hAnsi="宋体"/>
          <w:szCs w:val="21"/>
        </w:rPr>
      </w:pPr>
      <w:r>
        <w:rPr>
          <w:rFonts w:hint="eastAsia" w:ascii="宋体" w:hAnsi="宋体"/>
          <w:szCs w:val="21"/>
        </w:rPr>
        <w:t>第三章  投标文件的编制</w:t>
      </w:r>
    </w:p>
    <w:p w14:paraId="28D218DC">
      <w:pPr>
        <w:ind w:left="720" w:leftChars="300" w:firstLine="470" w:firstLineChars="196"/>
        <w:rPr>
          <w:rFonts w:ascii="宋体" w:hAnsi="宋体"/>
          <w:szCs w:val="21"/>
        </w:rPr>
      </w:pPr>
      <w:r>
        <w:rPr>
          <w:rFonts w:hint="eastAsia" w:ascii="宋体" w:hAnsi="宋体"/>
          <w:szCs w:val="21"/>
        </w:rPr>
        <w:t>第四章  投标文件的递交</w:t>
      </w:r>
    </w:p>
    <w:p w14:paraId="0E2DC245">
      <w:pPr>
        <w:ind w:left="720" w:leftChars="300" w:firstLine="470" w:firstLineChars="196"/>
        <w:rPr>
          <w:rFonts w:ascii="宋体" w:hAnsi="宋体"/>
          <w:szCs w:val="21"/>
        </w:rPr>
      </w:pPr>
      <w:r>
        <w:rPr>
          <w:rFonts w:hint="eastAsia" w:ascii="宋体" w:hAnsi="宋体"/>
          <w:szCs w:val="21"/>
        </w:rPr>
        <w:t>第五章  开标</w:t>
      </w:r>
    </w:p>
    <w:p w14:paraId="03F3B4B1">
      <w:pPr>
        <w:ind w:left="720" w:leftChars="300" w:firstLine="470" w:firstLineChars="196"/>
        <w:rPr>
          <w:rFonts w:ascii="宋体" w:hAnsi="宋体"/>
          <w:szCs w:val="21"/>
        </w:rPr>
      </w:pPr>
      <w:r>
        <w:rPr>
          <w:rFonts w:hint="eastAsia" w:ascii="宋体" w:hAnsi="宋体"/>
          <w:szCs w:val="21"/>
        </w:rPr>
        <w:t>第六章  评审要求</w:t>
      </w:r>
    </w:p>
    <w:p w14:paraId="03B0F64E">
      <w:pPr>
        <w:ind w:left="720" w:leftChars="300" w:firstLine="470" w:firstLineChars="196"/>
        <w:rPr>
          <w:rFonts w:ascii="宋体" w:hAnsi="宋体"/>
          <w:szCs w:val="21"/>
        </w:rPr>
      </w:pPr>
      <w:r>
        <w:rPr>
          <w:rFonts w:hint="eastAsia" w:ascii="宋体" w:hAnsi="宋体"/>
          <w:szCs w:val="21"/>
        </w:rPr>
        <w:t>第七章  评审程序及评审方法</w:t>
      </w:r>
    </w:p>
    <w:p w14:paraId="0B37BA94">
      <w:pPr>
        <w:ind w:left="720" w:leftChars="300" w:firstLine="470" w:firstLineChars="196"/>
        <w:rPr>
          <w:rFonts w:ascii="宋体" w:hAnsi="宋体"/>
          <w:szCs w:val="21"/>
        </w:rPr>
      </w:pPr>
      <w:r>
        <w:rPr>
          <w:rFonts w:hint="eastAsia" w:ascii="宋体" w:hAnsi="宋体"/>
          <w:szCs w:val="21"/>
        </w:rPr>
        <w:t>第八章  定标及公示</w:t>
      </w:r>
    </w:p>
    <w:p w14:paraId="0423A5FB">
      <w:pPr>
        <w:ind w:left="720" w:leftChars="300" w:firstLine="470" w:firstLineChars="196"/>
        <w:rPr>
          <w:rFonts w:ascii="宋体" w:hAnsi="宋体"/>
          <w:szCs w:val="21"/>
        </w:rPr>
      </w:pPr>
      <w:r>
        <w:rPr>
          <w:rFonts w:hint="eastAsia" w:ascii="宋体" w:hAnsi="宋体"/>
          <w:szCs w:val="21"/>
        </w:rPr>
        <w:t>第九章  公开招标失败的后续处理</w:t>
      </w:r>
    </w:p>
    <w:p w14:paraId="4966C6CE">
      <w:pPr>
        <w:ind w:left="720" w:leftChars="300" w:firstLine="470" w:firstLineChars="196"/>
        <w:rPr>
          <w:rFonts w:ascii="宋体" w:hAnsi="宋体"/>
          <w:szCs w:val="21"/>
        </w:rPr>
      </w:pPr>
      <w:r>
        <w:rPr>
          <w:rFonts w:hint="eastAsia" w:ascii="宋体" w:hAnsi="宋体"/>
          <w:szCs w:val="21"/>
        </w:rPr>
        <w:t>第十章  合同的授予与备案</w:t>
      </w:r>
    </w:p>
    <w:p w14:paraId="25D9F7CB">
      <w:r>
        <w:rPr>
          <w:rFonts w:hint="eastAsia"/>
        </w:rPr>
        <w:t>第十一章质疑处理</w:t>
      </w:r>
    </w:p>
    <w:p w14:paraId="24936AD9"/>
    <w:p w14:paraId="78CE2DD5"/>
    <w:p w14:paraId="023260C4">
      <w:r>
        <w:br w:type="page"/>
      </w:r>
    </w:p>
    <w:p w14:paraId="5C9F53E7">
      <w:pPr>
        <w:pStyle w:val="22"/>
        <w:spacing w:after="60"/>
        <w:jc w:val="center"/>
        <w:rPr>
          <w:sz w:val="32"/>
          <w:szCs w:val="32"/>
        </w:rPr>
      </w:pPr>
      <w:r>
        <w:rPr>
          <w:rFonts w:hint="eastAsia"/>
          <w:sz w:val="32"/>
          <w:szCs w:val="32"/>
        </w:rPr>
        <w:t>第一册专用条款</w:t>
      </w:r>
    </w:p>
    <w:p w14:paraId="09F4BB60">
      <w:pPr>
        <w:tabs>
          <w:tab w:val="left" w:pos="2790"/>
        </w:tabs>
        <w:snapToGrid w:val="0"/>
        <w:jc w:val="center"/>
        <w:rPr>
          <w:b/>
        </w:rPr>
      </w:pPr>
      <w:r>
        <w:rPr>
          <w:rFonts w:hint="eastAsia"/>
          <w:b/>
        </w:rPr>
        <w:t>关键信息</w:t>
      </w:r>
    </w:p>
    <w:p w14:paraId="3B6C74A3">
      <w:pPr>
        <w:tabs>
          <w:tab w:val="left" w:pos="2790"/>
        </w:tabs>
        <w:snapToGrid w:val="0"/>
        <w:rPr>
          <w:rFonts w:hint="eastAsia" w:eastAsia="宋体"/>
          <w:lang w:eastAsia="zh-CN"/>
        </w:rPr>
      </w:pPr>
      <w:r>
        <w:t>项目编号：</w:t>
      </w:r>
      <w:r>
        <w:rPr>
          <w:rFonts w:hint="eastAsia" w:eastAsia="宋体"/>
          <w:lang w:eastAsia="zh-CN"/>
        </w:rPr>
        <w:t>KSS(GK)2025-034</w:t>
      </w:r>
    </w:p>
    <w:p w14:paraId="40DAF5E6">
      <w:pPr>
        <w:tabs>
          <w:tab w:val="left" w:pos="2790"/>
        </w:tabs>
        <w:snapToGrid w:val="0"/>
        <w:rPr>
          <w:rFonts w:hint="eastAsia" w:eastAsia="宋体"/>
          <w:lang w:eastAsia="zh-CN"/>
        </w:rPr>
      </w:pPr>
      <w:r>
        <w:t>项目名称：</w:t>
      </w:r>
      <w:r>
        <w:rPr>
          <w:rFonts w:hint="eastAsia" w:ascii="宋体" w:hAnsi="宋体" w:eastAsia="宋体" w:cs="宋体"/>
          <w:lang w:eastAsia="zh-CN"/>
        </w:rPr>
        <w:t>喀什市公安局DNA室、物证室设备及耗材采购项目(二次)</w:t>
      </w:r>
    </w:p>
    <w:p w14:paraId="2EFF4F1C">
      <w:pPr>
        <w:tabs>
          <w:tab w:val="left" w:pos="2790"/>
        </w:tabs>
        <w:snapToGrid w:val="0"/>
        <w:rPr>
          <w:rFonts w:hint="eastAsia" w:eastAsia="宋体"/>
          <w:lang w:eastAsia="zh-CN"/>
        </w:rPr>
      </w:pPr>
      <w:r>
        <w:t>采购</w:t>
      </w:r>
      <w:r>
        <w:rPr>
          <w:rFonts w:hint="eastAsia"/>
        </w:rPr>
        <w:t>单位</w:t>
      </w:r>
      <w:r>
        <w:t>：</w:t>
      </w:r>
      <w:r>
        <w:rPr>
          <w:rFonts w:hint="eastAsia" w:ascii="Arial" w:hAnsi="Arial" w:eastAsia="宋体" w:cs="Arial"/>
          <w:u w:val="single"/>
          <w:lang w:eastAsia="zh-CN"/>
        </w:rPr>
        <w:t>喀什市公安局</w:t>
      </w:r>
    </w:p>
    <w:p w14:paraId="413A2432">
      <w:pPr>
        <w:tabs>
          <w:tab w:val="left" w:pos="2790"/>
        </w:tabs>
        <w:snapToGrid w:val="0"/>
        <w:rPr>
          <w:rFonts w:hint="default"/>
          <w:lang w:val="en-US"/>
        </w:rPr>
      </w:pPr>
      <w:r>
        <w:rPr>
          <w:rFonts w:hint="eastAsia"/>
        </w:rPr>
        <w:t>项目类型：</w:t>
      </w:r>
      <w:r>
        <w:rPr>
          <w:rFonts w:hint="eastAsia" w:eastAsia="宋体"/>
          <w:lang w:eastAsia="zh-CN"/>
        </w:rPr>
        <w:t>货物类</w:t>
      </w:r>
    </w:p>
    <w:p w14:paraId="681CD3F5">
      <w:pPr>
        <w:tabs>
          <w:tab w:val="left" w:pos="2790"/>
        </w:tabs>
        <w:snapToGrid w:val="0"/>
      </w:pPr>
      <w:r>
        <w:rPr>
          <w:rFonts w:hint="eastAsia"/>
        </w:rPr>
        <w:t>评审方法：综合评分法</w:t>
      </w:r>
    </w:p>
    <w:tbl>
      <w:tblPr>
        <w:tblStyle w:val="1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14:paraId="3F9A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2AB9453E">
            <w:pPr>
              <w:jc w:val="center"/>
              <w:rPr>
                <w:rFonts w:ascii="Calibri" w:hAnsi="Calibri" w:eastAsia="宋体"/>
                <w:b/>
              </w:rPr>
            </w:pPr>
            <w:r>
              <w:rPr>
                <w:rFonts w:hint="eastAsia" w:ascii="Calibri" w:hAnsi="Calibri" w:eastAsia="宋体"/>
                <w:b/>
              </w:rPr>
              <w:t>资格性检查表</w:t>
            </w:r>
          </w:p>
        </w:tc>
      </w:tr>
      <w:tr w14:paraId="2092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88633C0">
            <w:pPr>
              <w:rPr>
                <w:rFonts w:ascii="Calibri" w:hAnsi="Calibri" w:eastAsia="宋体"/>
              </w:rPr>
            </w:pPr>
            <w:r>
              <w:rPr>
                <w:rFonts w:ascii="Calibri" w:hAnsi="Calibri" w:eastAsia="宋体"/>
              </w:rPr>
              <w:t>1</w:t>
            </w:r>
          </w:p>
        </w:tc>
        <w:tc>
          <w:tcPr>
            <w:tcW w:w="8229" w:type="dxa"/>
          </w:tcPr>
          <w:p w14:paraId="025086A6">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14:paraId="3D5A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5B0EF563">
            <w:pPr>
              <w:jc w:val="center"/>
              <w:rPr>
                <w:rFonts w:ascii="Calibri" w:hAnsi="Calibri" w:eastAsia="宋体"/>
                <w:b/>
              </w:rPr>
            </w:pPr>
            <w:r>
              <w:rPr>
                <w:rFonts w:hint="eastAsia" w:ascii="Calibri" w:hAnsi="Calibri" w:eastAsia="宋体"/>
                <w:b/>
              </w:rPr>
              <w:t>符合性检查表</w:t>
            </w:r>
          </w:p>
        </w:tc>
      </w:tr>
      <w:tr w14:paraId="07AA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DC507BA">
            <w:pPr>
              <w:rPr>
                <w:rFonts w:ascii="Calibri" w:hAnsi="Calibri" w:eastAsia="宋体"/>
              </w:rPr>
            </w:pPr>
            <w:r>
              <w:rPr>
                <w:rFonts w:ascii="Calibri" w:hAnsi="Calibri" w:eastAsia="宋体"/>
              </w:rPr>
              <w:t>1</w:t>
            </w:r>
          </w:p>
        </w:tc>
        <w:tc>
          <w:tcPr>
            <w:tcW w:w="8229" w:type="dxa"/>
          </w:tcPr>
          <w:p w14:paraId="60530D82">
            <w:pPr>
              <w:rPr>
                <w:rFonts w:ascii="Calibri" w:hAnsi="Calibri" w:eastAsia="宋体"/>
              </w:rPr>
            </w:pPr>
            <w:r>
              <w:rPr>
                <w:rFonts w:ascii="Calibri" w:hAnsi="Calibri" w:eastAsia="宋体"/>
              </w:rPr>
              <w:t>按要求提供法定代表人证明书及法定代表人授权书。</w:t>
            </w:r>
          </w:p>
        </w:tc>
      </w:tr>
      <w:tr w14:paraId="6349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31630F92">
            <w:pPr>
              <w:rPr>
                <w:rFonts w:ascii="Calibri" w:hAnsi="Calibri" w:eastAsia="宋体"/>
              </w:rPr>
            </w:pPr>
            <w:r>
              <w:rPr>
                <w:rFonts w:ascii="Calibri" w:hAnsi="Calibri" w:eastAsia="宋体"/>
              </w:rPr>
              <w:t>2</w:t>
            </w:r>
          </w:p>
        </w:tc>
        <w:tc>
          <w:tcPr>
            <w:tcW w:w="8229" w:type="dxa"/>
          </w:tcPr>
          <w:p w14:paraId="38BF04AF">
            <w:pPr>
              <w:rPr>
                <w:rFonts w:ascii="Calibri" w:hAnsi="Calibri" w:eastAsia="宋体"/>
              </w:rPr>
            </w:pPr>
            <w:r>
              <w:rPr>
                <w:rFonts w:hint="eastAsia" w:ascii="Calibri" w:hAnsi="Calibri" w:eastAsia="宋体"/>
              </w:rPr>
              <w:t>按要求提供《投标函》</w:t>
            </w:r>
            <w:r>
              <w:rPr>
                <w:rFonts w:ascii="Calibri" w:hAnsi="Calibri" w:eastAsia="宋体"/>
              </w:rPr>
              <w:t>。</w:t>
            </w:r>
          </w:p>
        </w:tc>
      </w:tr>
      <w:tr w14:paraId="1022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356284E0">
            <w:pPr>
              <w:rPr>
                <w:rFonts w:ascii="Calibri" w:hAnsi="Calibri" w:eastAsia="宋体"/>
              </w:rPr>
            </w:pPr>
            <w:r>
              <w:rPr>
                <w:rFonts w:ascii="Calibri" w:hAnsi="Calibri" w:eastAsia="宋体"/>
              </w:rPr>
              <w:t>3</w:t>
            </w:r>
          </w:p>
        </w:tc>
        <w:tc>
          <w:tcPr>
            <w:tcW w:w="8229" w:type="dxa"/>
          </w:tcPr>
          <w:p w14:paraId="6709FDD9">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14:paraId="20C7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45B864AC">
            <w:pPr>
              <w:rPr>
                <w:rFonts w:ascii="Calibri" w:hAnsi="Calibri" w:eastAsia="宋体"/>
              </w:rPr>
            </w:pPr>
            <w:r>
              <w:rPr>
                <w:rFonts w:ascii="Calibri" w:hAnsi="Calibri" w:eastAsia="宋体"/>
              </w:rPr>
              <w:t>4</w:t>
            </w:r>
          </w:p>
        </w:tc>
        <w:tc>
          <w:tcPr>
            <w:tcW w:w="8229" w:type="dxa"/>
          </w:tcPr>
          <w:p w14:paraId="3ABC38A6">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511F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1B9A4422">
            <w:pPr>
              <w:rPr>
                <w:rFonts w:ascii="Calibri" w:hAnsi="Calibri" w:eastAsia="宋体"/>
              </w:rPr>
            </w:pPr>
            <w:r>
              <w:rPr>
                <w:rFonts w:ascii="Calibri" w:hAnsi="Calibri" w:eastAsia="宋体"/>
              </w:rPr>
              <w:t>5</w:t>
            </w:r>
          </w:p>
        </w:tc>
        <w:tc>
          <w:tcPr>
            <w:tcW w:w="8229" w:type="dxa"/>
          </w:tcPr>
          <w:p w14:paraId="55D79781">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14:paraId="53C1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12D5C6D5">
            <w:pPr>
              <w:rPr>
                <w:rFonts w:ascii="Calibri" w:hAnsi="Calibri" w:eastAsia="宋体"/>
              </w:rPr>
            </w:pPr>
            <w:r>
              <w:rPr>
                <w:rFonts w:ascii="Calibri" w:hAnsi="Calibri" w:eastAsia="宋体"/>
              </w:rPr>
              <w:t>6</w:t>
            </w:r>
          </w:p>
        </w:tc>
        <w:tc>
          <w:tcPr>
            <w:tcW w:w="8229" w:type="dxa"/>
          </w:tcPr>
          <w:p w14:paraId="5DBCD1BC">
            <w:pPr>
              <w:rPr>
                <w:rFonts w:ascii="Calibri" w:hAnsi="Calibri" w:eastAsia="宋体"/>
              </w:rPr>
            </w:pPr>
            <w:r>
              <w:rPr>
                <w:rFonts w:ascii="Calibri" w:hAnsi="Calibri" w:eastAsia="宋体"/>
              </w:rPr>
              <w:t>可只对其中一个包或几个包内容进行投标（如有的话），但不得将一个包中的内容拆开投标。</w:t>
            </w:r>
          </w:p>
        </w:tc>
      </w:tr>
      <w:tr w14:paraId="704D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7F1E369F">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14:paraId="649237AB">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14:paraId="6ED92BE9">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14:paraId="7C3D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39453746">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14:paraId="589320CA">
            <w:pPr>
              <w:rPr>
                <w:rFonts w:ascii="Calibri" w:hAnsi="Calibri" w:eastAsia="宋体"/>
              </w:rPr>
            </w:pPr>
            <w:r>
              <w:rPr>
                <w:rFonts w:hint="eastAsia" w:ascii="Calibri" w:hAnsi="Calibri" w:eastAsia="宋体"/>
              </w:rPr>
              <w:t>投标文件电子文档不得携带病毒。</w:t>
            </w:r>
          </w:p>
        </w:tc>
      </w:tr>
      <w:tr w14:paraId="46BA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23A6A643">
            <w:pPr>
              <w:rPr>
                <w:rFonts w:ascii="Calibri" w:hAnsi="Calibri" w:eastAsia="宋体"/>
              </w:rPr>
            </w:pPr>
            <w:r>
              <w:rPr>
                <w:rFonts w:ascii="Calibri" w:hAnsi="Calibri" w:eastAsia="宋体"/>
              </w:rPr>
              <w:t>9</w:t>
            </w:r>
          </w:p>
        </w:tc>
        <w:tc>
          <w:tcPr>
            <w:tcW w:w="8229" w:type="dxa"/>
          </w:tcPr>
          <w:p w14:paraId="2A6ED0DB">
            <w:pPr>
              <w:rPr>
                <w:rFonts w:ascii="Calibri" w:hAnsi="Calibri" w:eastAsia="宋体"/>
              </w:rPr>
            </w:pPr>
            <w:r>
              <w:rPr>
                <w:rFonts w:ascii="Calibri" w:hAnsi="Calibri" w:eastAsia="宋体"/>
              </w:rPr>
              <w:t>对招标文件中带</w:t>
            </w:r>
            <w:r>
              <w:rPr>
                <w:rFonts w:hint="eastAsia" w:ascii="Calibri" w:hAnsi="Calibri" w:eastAsia="宋体"/>
              </w:rPr>
              <w:t>★</w:t>
            </w:r>
            <w:r>
              <w:rPr>
                <w:rFonts w:ascii="Calibri" w:hAnsi="Calibri" w:eastAsia="宋体"/>
              </w:rPr>
              <w:t>号条款的响应没有负偏离、不满足或未响应的情形。</w:t>
            </w:r>
          </w:p>
        </w:tc>
      </w:tr>
      <w:tr w14:paraId="12FB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78A497F9">
            <w:pPr>
              <w:rPr>
                <w:rFonts w:ascii="Calibri" w:hAnsi="Calibri" w:eastAsia="宋体"/>
              </w:rPr>
            </w:pPr>
            <w:r>
              <w:rPr>
                <w:rFonts w:ascii="Calibri" w:hAnsi="Calibri" w:eastAsia="宋体"/>
              </w:rPr>
              <w:t>10</w:t>
            </w:r>
          </w:p>
        </w:tc>
        <w:tc>
          <w:tcPr>
            <w:tcW w:w="8229" w:type="dxa"/>
          </w:tcPr>
          <w:p w14:paraId="050F2AFA">
            <w:pPr>
              <w:rPr>
                <w:rFonts w:ascii="Calibri" w:hAnsi="Calibri" w:eastAsia="宋体"/>
              </w:rPr>
            </w:pPr>
            <w:r>
              <w:rPr>
                <w:rFonts w:ascii="Calibri" w:hAnsi="Calibri" w:eastAsia="宋体"/>
              </w:rPr>
              <w:t>无招标文件中列明导致投标无效的其他因素。</w:t>
            </w:r>
          </w:p>
        </w:tc>
      </w:tr>
      <w:tr w14:paraId="6129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3289ADDB">
            <w:pPr>
              <w:rPr>
                <w:rFonts w:ascii="Calibri" w:hAnsi="Calibri" w:eastAsia="宋体"/>
              </w:rPr>
            </w:pPr>
            <w:r>
              <w:rPr>
                <w:rFonts w:ascii="Calibri" w:hAnsi="Calibri" w:eastAsia="宋体"/>
              </w:rPr>
              <w:t>11</w:t>
            </w:r>
          </w:p>
        </w:tc>
        <w:tc>
          <w:tcPr>
            <w:tcW w:w="8229" w:type="dxa"/>
          </w:tcPr>
          <w:p w14:paraId="3A6CD40F">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14:paraId="489908F7">
      <w:pPr>
        <w:jc w:val="center"/>
        <w:rPr>
          <w:b/>
        </w:rPr>
      </w:pPr>
      <w:r>
        <w:rPr>
          <w:rFonts w:hint="eastAsia"/>
          <w:b/>
        </w:rPr>
        <w:t>评标信息</w:t>
      </w:r>
    </w:p>
    <w:p w14:paraId="172040B6">
      <w:pPr>
        <w:pStyle w:val="15"/>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68A7CA6F">
      <w:pPr>
        <w:pStyle w:val="15"/>
        <w:snapToGrid w:val="0"/>
        <w:spacing w:before="0" w:beforeAutospacing="0" w:afterAutospacing="0"/>
        <w:ind w:firstLine="420"/>
        <w:rPr>
          <w:sz w:val="21"/>
          <w:szCs w:val="21"/>
        </w:rPr>
      </w:pPr>
      <w:r>
        <w:rPr>
          <w:sz w:val="21"/>
          <w:szCs w:val="21"/>
        </w:rPr>
        <w:t>价格分计算方法：</w:t>
      </w:r>
    </w:p>
    <w:p w14:paraId="5EA20EC1">
      <w:pPr>
        <w:snapToGrid w:val="0"/>
        <w:rPr>
          <w:rFonts w:hint="eastAsia" w:eastAsia="宋体"/>
          <w:szCs w:val="21"/>
          <w:lang w:eastAsia="zh-CN"/>
        </w:rPr>
      </w:pPr>
      <w:r>
        <w:rPr>
          <w:szCs w:val="21"/>
        </w:rPr>
        <w:t>采用低价优先法计算，即满足招标文件要求且投标价格最低的投标报价为评标基准价，其价格分为满分。其他投标人的价格分统一按照下列公式计算：</w:t>
      </w:r>
    </w:p>
    <w:p w14:paraId="213C5665">
      <w:pPr>
        <w:snapToGrid w:val="0"/>
        <w:rPr>
          <w:rFonts w:hint="eastAsia" w:eastAsia="宋体"/>
          <w:szCs w:val="21"/>
          <w:lang w:eastAsia="zh-CN"/>
        </w:rPr>
      </w:pPr>
      <w:r>
        <w:rPr>
          <w:szCs w:val="21"/>
        </w:rPr>
        <w:t xml:space="preserve">投标报价得分=(评标基准价／投标报价)×100 </w:t>
      </w:r>
    </w:p>
    <w:p w14:paraId="494C4E84">
      <w:pPr>
        <w:snapToGrid w:val="0"/>
        <w:rPr>
          <w:rFonts w:hint="eastAsia" w:eastAsia="宋体"/>
          <w:szCs w:val="21"/>
          <w:lang w:eastAsia="zh-CN"/>
        </w:rPr>
      </w:pPr>
      <w:r>
        <w:rPr>
          <w:szCs w:val="21"/>
        </w:rPr>
        <w:t xml:space="preserve">评标总得分＝F1×A1＋F2×A2＋……＋Fn×An </w:t>
      </w:r>
    </w:p>
    <w:p w14:paraId="4AAA51E5">
      <w:pPr>
        <w:snapToGrid w:val="0"/>
        <w:rPr>
          <w:rFonts w:hint="eastAsia" w:eastAsia="宋体"/>
          <w:szCs w:val="21"/>
          <w:lang w:eastAsia="zh-CN"/>
        </w:rPr>
      </w:pPr>
      <w:r>
        <w:rPr>
          <w:szCs w:val="21"/>
        </w:rPr>
        <w:t>F1、F2……Fn分别为各项评审因素的得分；</w:t>
      </w:r>
    </w:p>
    <w:p w14:paraId="4D8FC13C">
      <w:pPr>
        <w:snapToGrid w:val="0"/>
        <w:rPr>
          <w:rFonts w:hint="eastAsia" w:eastAsia="宋体"/>
          <w:szCs w:val="21"/>
          <w:lang w:eastAsia="zh-CN"/>
        </w:rPr>
      </w:pPr>
      <w:r>
        <w:rPr>
          <w:szCs w:val="21"/>
        </w:rPr>
        <w:t>A1、A2、……An 分别为各项评审因素所占的权重(A1＋A2＋……＋An＝1)。</w:t>
      </w:r>
    </w:p>
    <w:p w14:paraId="14CC797B">
      <w:pPr>
        <w:snapToGrid w:val="0"/>
        <w:rPr>
          <w:rFonts w:hint="eastAsia" w:eastAsia="宋体"/>
          <w:szCs w:val="21"/>
          <w:lang w:eastAsia="zh-CN"/>
        </w:rPr>
      </w:pPr>
      <w:r>
        <w:rPr>
          <w:szCs w:val="21"/>
        </w:rPr>
        <w:t>评标过程中，不得去掉报价中的最高报价和最低报价。</w:t>
      </w:r>
    </w:p>
    <w:p w14:paraId="6519CAE8">
      <w:pPr>
        <w:snapToGrid w:val="0"/>
      </w:pPr>
      <w:r>
        <w:rPr>
          <w:szCs w:val="21"/>
        </w:rPr>
        <w:t>此方法适用于</w:t>
      </w:r>
      <w:r>
        <w:rPr>
          <w:rFonts w:hint="eastAsia" w:eastAsia="宋体"/>
          <w:szCs w:val="21"/>
          <w:lang w:eastAsia="zh-CN"/>
        </w:rPr>
        <w:t>货物类、工程类、服务类</w:t>
      </w:r>
      <w:r>
        <w:rPr>
          <w:szCs w:val="21"/>
        </w:rPr>
        <w:t>项目。</w:t>
      </w:r>
    </w:p>
    <w:p w14:paraId="14DFD211">
      <w:pPr>
        <w:autoSpaceDE w:val="0"/>
        <w:autoSpaceDN w:val="0"/>
        <w:adjustRightInd w:val="0"/>
        <w:snapToGrid w:val="0"/>
        <w:spacing w:line="400" w:lineRule="exact"/>
        <w:jc w:val="both"/>
        <w:outlineLvl w:val="1"/>
        <w:rPr>
          <w:rFonts w:hint="eastAsia" w:ascii="宋体" w:cs="仿宋_GB2312"/>
          <w:b/>
          <w:sz w:val="28"/>
          <w:szCs w:val="28"/>
          <w:lang w:val="zh-CN"/>
        </w:rPr>
      </w:pPr>
    </w:p>
    <w:p w14:paraId="401DEA3A">
      <w:pPr>
        <w:spacing w:line="440" w:lineRule="exact"/>
        <w:jc w:val="center"/>
        <w:outlineLvl w:val="0"/>
        <w:rPr>
          <w:rFonts w:ascii="Arial" w:hAnsi="Arial" w:cs="Arial"/>
          <w:b/>
          <w:sz w:val="24"/>
        </w:rPr>
      </w:pPr>
      <w:bookmarkStart w:id="0" w:name="_Toc523257134"/>
      <w:r>
        <w:rPr>
          <w:rFonts w:hint="eastAsia" w:ascii="宋体" w:hAnsi="宋体"/>
          <w:b/>
          <w:sz w:val="28"/>
          <w:szCs w:val="28"/>
        </w:rPr>
        <w:t>综合评分表</w:t>
      </w:r>
      <w:bookmarkEnd w:id="0"/>
    </w:p>
    <w:p w14:paraId="691E02A3">
      <w:pPr>
        <w:spacing w:line="69" w:lineRule="exact"/>
      </w:pPr>
    </w:p>
    <w:p w14:paraId="3A8338A5">
      <w:pPr>
        <w:autoSpaceDE w:val="0"/>
        <w:autoSpaceDN w:val="0"/>
        <w:adjustRightInd w:val="0"/>
        <w:snapToGrid w:val="0"/>
        <w:spacing w:line="400" w:lineRule="exact"/>
        <w:jc w:val="center"/>
        <w:outlineLvl w:val="1"/>
        <w:rPr>
          <w:rFonts w:ascii="宋体" w:cs="仿宋_GB2312"/>
          <w:b/>
          <w:bCs/>
          <w:sz w:val="28"/>
          <w:szCs w:val="28"/>
          <w:lang w:val="zh-CN"/>
        </w:rPr>
      </w:pPr>
      <w:r>
        <w:rPr>
          <w:rFonts w:hint="eastAsia" w:ascii="宋体" w:cs="仿宋_GB2312"/>
          <w:b/>
          <w:sz w:val="28"/>
          <w:szCs w:val="28"/>
          <w:lang w:val="zh-CN"/>
        </w:rPr>
        <w:t>评标方法：综合评分法</w:t>
      </w:r>
      <w:r>
        <w:rPr>
          <w:rFonts w:hint="eastAsia" w:ascii="宋体" w:cs="仿宋_GB2312"/>
          <w:b/>
          <w:bCs/>
          <w:sz w:val="28"/>
          <w:szCs w:val="28"/>
          <w:lang w:val="zh-CN"/>
        </w:rPr>
        <w:t>（总计</w:t>
      </w:r>
      <w:r>
        <w:rPr>
          <w:rFonts w:hint="eastAsia" w:ascii="宋体" w:cs="仿宋_GB2312"/>
          <w:b/>
          <w:bCs/>
          <w:sz w:val="28"/>
          <w:szCs w:val="28"/>
        </w:rPr>
        <w:t>100</w:t>
      </w:r>
      <w:r>
        <w:rPr>
          <w:rFonts w:hint="eastAsia" w:ascii="宋体" w:cs="仿宋_GB2312"/>
          <w:b/>
          <w:bCs/>
          <w:sz w:val="28"/>
          <w:szCs w:val="28"/>
          <w:lang w:val="zh-CN"/>
        </w:rPr>
        <w:t>分）</w:t>
      </w:r>
    </w:p>
    <w:p w14:paraId="3C66CA74">
      <w:pPr>
        <w:rPr>
          <w:rFonts w:hint="eastAsia"/>
          <w:sz w:val="18"/>
          <w:szCs w:val="18"/>
          <w:lang w:val="en-US" w:eastAsia="zh-CN"/>
        </w:rPr>
      </w:pPr>
    </w:p>
    <w:p w14:paraId="382289F0">
      <w:pPr>
        <w:pStyle w:val="8"/>
      </w:pPr>
    </w:p>
    <w:tbl>
      <w:tblPr>
        <w:tblStyle w:val="18"/>
        <w:tblW w:w="0" w:type="auto"/>
        <w:tblInd w:w="9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108" w:type="dxa"/>
          <w:bottom w:w="0" w:type="dxa"/>
          <w:right w:w="108" w:type="dxa"/>
        </w:tblCellMar>
      </w:tblPr>
      <w:tblGrid>
        <w:gridCol w:w="475"/>
        <w:gridCol w:w="1129"/>
        <w:gridCol w:w="711"/>
        <w:gridCol w:w="6928"/>
      </w:tblGrid>
      <w:tr w14:paraId="7C72EB9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375" w:hRule="atLeast"/>
        </w:trPr>
        <w:tc>
          <w:tcPr>
            <w:tcW w:w="9255" w:type="dxa"/>
            <w:gridSpan w:val="4"/>
            <w:tcBorders>
              <w:top w:val="single" w:color="000000" w:sz="4" w:space="0"/>
              <w:left w:val="single" w:color="000000" w:sz="4" w:space="0"/>
              <w:bottom w:val="single" w:color="000000" w:sz="4" w:space="0"/>
              <w:right w:val="single" w:color="000000" w:sz="4" w:space="0"/>
            </w:tcBorders>
            <w:noWrap w:val="0"/>
            <w:vAlign w:val="center"/>
          </w:tcPr>
          <w:p w14:paraId="400A3657">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outlineLvl w:val="9"/>
              <w:rPr>
                <w:rFonts w:hint="eastAsia" w:ascii="宋体" w:eastAsia="宋体" w:cs="宋体"/>
                <w:b/>
                <w:bCs/>
                <w:snapToGrid/>
                <w:color w:val="000000"/>
                <w:sz w:val="28"/>
                <w:szCs w:val="28"/>
                <w:u w:val="none"/>
                <w:vertAlign w:val="baseline"/>
                <w:lang w:bidi="ar-SA"/>
              </w:rPr>
            </w:pPr>
            <w:r>
              <w:rPr>
                <w:rFonts w:hint="eastAsia" w:ascii="宋体" w:eastAsia="宋体" w:cs="宋体"/>
                <w:b/>
                <w:bCs/>
                <w:snapToGrid/>
                <w:color w:val="000000"/>
                <w:kern w:val="0"/>
                <w:sz w:val="28"/>
                <w:szCs w:val="28"/>
                <w:u w:val="none"/>
                <w:vertAlign w:val="baseline"/>
                <w:lang w:val="en-US" w:eastAsia="zh-CN" w:bidi="ar-SA"/>
              </w:rPr>
              <w:t>报价部分（30分）</w:t>
            </w:r>
          </w:p>
        </w:tc>
      </w:tr>
      <w:tr w14:paraId="1E2205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570"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14:paraId="49F33CE9">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outlineLvl w:val="9"/>
              <w:rPr>
                <w:rFonts w:hint="eastAsia" w:ascii="宋体" w:eastAsia="宋体" w:cs="宋体"/>
                <w:b/>
                <w:bCs/>
                <w:snapToGrid/>
                <w:color w:val="000000"/>
                <w:sz w:val="24"/>
                <w:szCs w:val="24"/>
                <w:u w:val="none"/>
                <w:vertAlign w:val="baseline"/>
                <w:lang w:bidi="ar-SA"/>
              </w:rPr>
            </w:pPr>
            <w:r>
              <w:rPr>
                <w:rFonts w:hint="eastAsia" w:ascii="宋体" w:eastAsia="宋体" w:cs="宋体"/>
                <w:b/>
                <w:bCs/>
                <w:snapToGrid/>
                <w:color w:val="000000"/>
                <w:kern w:val="0"/>
                <w:sz w:val="24"/>
                <w:szCs w:val="24"/>
                <w:u w:val="none"/>
                <w:vertAlign w:val="baseline"/>
                <w:lang w:val="en-US" w:eastAsia="zh-CN" w:bidi="ar-SA"/>
              </w:rPr>
              <w:t>序号</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3B5153CE">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outlineLvl w:val="9"/>
              <w:rPr>
                <w:rFonts w:hint="eastAsia" w:ascii="宋体" w:eastAsia="宋体" w:cs="宋体"/>
                <w:b/>
                <w:bCs/>
                <w:snapToGrid/>
                <w:color w:val="000000"/>
                <w:sz w:val="24"/>
                <w:szCs w:val="24"/>
                <w:u w:val="none"/>
                <w:vertAlign w:val="baseline"/>
                <w:lang w:bidi="ar-SA"/>
              </w:rPr>
            </w:pPr>
            <w:r>
              <w:rPr>
                <w:rFonts w:hint="eastAsia" w:ascii="宋体" w:eastAsia="宋体" w:cs="宋体"/>
                <w:b/>
                <w:bCs/>
                <w:snapToGrid/>
                <w:color w:val="000000"/>
                <w:kern w:val="0"/>
                <w:sz w:val="24"/>
                <w:szCs w:val="24"/>
                <w:u w:val="none"/>
                <w:vertAlign w:val="baseline"/>
                <w:lang w:val="en-US" w:eastAsia="zh-CN" w:bidi="ar-SA"/>
              </w:rPr>
              <w:t>评分内容</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66125DC">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outlineLvl w:val="9"/>
              <w:rPr>
                <w:rFonts w:hint="eastAsia" w:ascii="宋体" w:eastAsia="宋体" w:cs="宋体"/>
                <w:b/>
                <w:bCs/>
                <w:snapToGrid/>
                <w:color w:val="000000"/>
                <w:sz w:val="24"/>
                <w:szCs w:val="24"/>
                <w:u w:val="none"/>
                <w:vertAlign w:val="baseline"/>
                <w:lang w:bidi="ar-SA"/>
              </w:rPr>
            </w:pPr>
            <w:r>
              <w:rPr>
                <w:rFonts w:hint="eastAsia" w:ascii="宋体" w:eastAsia="宋体" w:cs="宋体"/>
                <w:b/>
                <w:bCs/>
                <w:snapToGrid/>
                <w:color w:val="000000"/>
                <w:kern w:val="0"/>
                <w:sz w:val="24"/>
                <w:szCs w:val="24"/>
                <w:u w:val="none"/>
                <w:vertAlign w:val="baseline"/>
                <w:lang w:val="en-US" w:eastAsia="zh-CN" w:bidi="ar-SA"/>
              </w:rPr>
              <w:t>分值</w:t>
            </w:r>
          </w:p>
        </w:tc>
        <w:tc>
          <w:tcPr>
            <w:tcW w:w="6940" w:type="dxa"/>
            <w:tcBorders>
              <w:top w:val="single" w:color="000000" w:sz="4" w:space="0"/>
              <w:left w:val="single" w:color="000000" w:sz="4" w:space="0"/>
              <w:bottom w:val="single" w:color="000000" w:sz="4" w:space="0"/>
              <w:right w:val="single" w:color="000000" w:sz="4" w:space="0"/>
            </w:tcBorders>
            <w:noWrap w:val="0"/>
            <w:vAlign w:val="center"/>
          </w:tcPr>
          <w:p w14:paraId="04D97106">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outlineLvl w:val="9"/>
              <w:rPr>
                <w:rFonts w:hint="eastAsia" w:ascii="宋体" w:eastAsia="宋体" w:cs="宋体"/>
                <w:b/>
                <w:bCs/>
                <w:snapToGrid/>
                <w:color w:val="000000"/>
                <w:sz w:val="24"/>
                <w:szCs w:val="24"/>
                <w:u w:val="none"/>
                <w:vertAlign w:val="baseline"/>
                <w:lang w:bidi="ar-SA"/>
              </w:rPr>
            </w:pPr>
            <w:r>
              <w:rPr>
                <w:rFonts w:hint="eastAsia" w:ascii="宋体" w:eastAsia="宋体" w:cs="宋体"/>
                <w:b/>
                <w:bCs/>
                <w:snapToGrid/>
                <w:color w:val="000000"/>
                <w:kern w:val="0"/>
                <w:sz w:val="24"/>
                <w:szCs w:val="24"/>
                <w:u w:val="none"/>
                <w:vertAlign w:val="baseline"/>
                <w:lang w:val="en-US" w:eastAsia="zh-CN" w:bidi="ar-SA"/>
              </w:rPr>
              <w:t>评分标准</w:t>
            </w:r>
          </w:p>
        </w:tc>
      </w:tr>
      <w:tr w14:paraId="343751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10" w:hRule="atLeast"/>
        </w:trPr>
        <w:tc>
          <w:tcPr>
            <w:tcW w:w="4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892FE06">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outlineLvl w:val="9"/>
              <w:rPr>
                <w:rFonts w:hint="eastAsia" w:ascii="宋体" w:eastAsia="宋体" w:cs="宋体"/>
                <w:snapToGrid/>
                <w:color w:val="000000"/>
                <w:sz w:val="22"/>
                <w:szCs w:val="22"/>
                <w:u w:val="none"/>
                <w:vertAlign w:val="baseline"/>
                <w:lang w:bidi="ar-SA"/>
              </w:rPr>
            </w:pPr>
            <w:r>
              <w:rPr>
                <w:rFonts w:hint="eastAsia" w:ascii="宋体" w:eastAsia="宋体" w:cs="宋体"/>
                <w:snapToGrid/>
                <w:color w:val="000000"/>
                <w:kern w:val="0"/>
                <w:sz w:val="22"/>
                <w:szCs w:val="22"/>
                <w:u w:val="none"/>
                <w:vertAlign w:val="baseline"/>
                <w:lang w:val="en-US" w:eastAsia="zh-CN" w:bidi="ar-SA"/>
              </w:rPr>
              <w:t>1</w:t>
            </w:r>
          </w:p>
        </w:tc>
        <w:tc>
          <w:tcPr>
            <w:tcW w:w="1129" w:type="dxa"/>
            <w:vMerge w:val="restart"/>
            <w:tcBorders>
              <w:top w:val="single" w:color="000000" w:sz="4" w:space="0"/>
              <w:left w:val="single" w:color="000000" w:sz="4" w:space="0"/>
              <w:bottom w:val="single" w:color="000000" w:sz="4" w:space="0"/>
              <w:right w:val="single" w:color="000000" w:sz="4" w:space="0"/>
            </w:tcBorders>
            <w:noWrap w:val="0"/>
            <w:vAlign w:val="center"/>
          </w:tcPr>
          <w:p w14:paraId="52AEBC13">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outlineLvl w:val="9"/>
              <w:rPr>
                <w:rFonts w:hint="eastAsia" w:ascii="宋体" w:eastAsia="宋体" w:cs="宋体"/>
                <w:snapToGrid/>
                <w:color w:val="000000"/>
                <w:sz w:val="22"/>
                <w:szCs w:val="22"/>
                <w:u w:val="none"/>
                <w:vertAlign w:val="baseline"/>
                <w:lang w:bidi="ar-SA"/>
              </w:rPr>
            </w:pPr>
            <w:r>
              <w:rPr>
                <w:rFonts w:hint="eastAsia" w:ascii="宋体" w:eastAsia="宋体" w:cs="宋体"/>
                <w:snapToGrid/>
                <w:color w:val="000000"/>
                <w:kern w:val="0"/>
                <w:sz w:val="22"/>
                <w:szCs w:val="22"/>
                <w:u w:val="none"/>
                <w:vertAlign w:val="baseline"/>
                <w:lang w:val="en-US" w:eastAsia="zh-CN" w:bidi="ar-SA"/>
              </w:rPr>
              <w:t>报价得分</w:t>
            </w:r>
          </w:p>
        </w:tc>
        <w:tc>
          <w:tcPr>
            <w:tcW w:w="711" w:type="dxa"/>
            <w:vMerge w:val="restart"/>
            <w:tcBorders>
              <w:top w:val="single" w:color="000000" w:sz="4" w:space="0"/>
              <w:left w:val="single" w:color="000000" w:sz="4" w:space="0"/>
              <w:bottom w:val="single" w:color="000000" w:sz="4" w:space="0"/>
              <w:right w:val="single" w:color="000000" w:sz="4" w:space="0"/>
            </w:tcBorders>
            <w:noWrap w:val="0"/>
            <w:vAlign w:val="center"/>
          </w:tcPr>
          <w:p w14:paraId="546D68F7">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outlineLvl w:val="9"/>
              <w:rPr>
                <w:rFonts w:hint="eastAsia" w:ascii="宋体" w:eastAsia="宋体" w:cs="宋体"/>
                <w:snapToGrid/>
                <w:color w:val="000000"/>
                <w:sz w:val="22"/>
                <w:szCs w:val="22"/>
                <w:u w:val="none"/>
                <w:vertAlign w:val="baseline"/>
                <w:lang w:bidi="ar-SA"/>
              </w:rPr>
            </w:pPr>
            <w:r>
              <w:rPr>
                <w:rFonts w:hint="eastAsia" w:ascii="宋体" w:eastAsia="宋体" w:cs="宋体"/>
                <w:snapToGrid/>
                <w:color w:val="000000"/>
                <w:kern w:val="0"/>
                <w:sz w:val="22"/>
                <w:szCs w:val="22"/>
                <w:u w:val="none"/>
                <w:vertAlign w:val="baseline"/>
                <w:lang w:val="en-US" w:eastAsia="zh-CN" w:bidi="ar-SA"/>
              </w:rPr>
              <w:t>30分</w:t>
            </w:r>
          </w:p>
        </w:tc>
        <w:tc>
          <w:tcPr>
            <w:tcW w:w="6940" w:type="dxa"/>
            <w:tcBorders>
              <w:top w:val="single" w:color="000000" w:sz="4" w:space="0"/>
              <w:left w:val="single" w:color="000000" w:sz="4" w:space="0"/>
              <w:bottom w:val="single" w:color="000000" w:sz="4" w:space="0"/>
              <w:right w:val="single" w:color="000000" w:sz="4" w:space="0"/>
            </w:tcBorders>
            <w:noWrap w:val="0"/>
            <w:vAlign w:val="center"/>
          </w:tcPr>
          <w:p w14:paraId="62FFA43F">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en-US" w:bidi="ar-SA"/>
              </w:rPr>
            </w:pPr>
            <w:r>
              <w:rPr>
                <w:rFonts w:hint="eastAsia" w:ascii="宋体" w:eastAsia="宋体" w:cs="宋体"/>
                <w:snapToGrid/>
                <w:color w:val="000000"/>
                <w:kern w:val="0"/>
                <w:sz w:val="22"/>
                <w:szCs w:val="22"/>
                <w:u w:val="none"/>
                <w:vertAlign w:val="baseline"/>
                <w:lang w:val="en-US" w:eastAsia="en-US" w:bidi="ar-SA"/>
              </w:rPr>
              <w:t>满足招标文件要求且评标报价最低的评标报价为评标基准价，其价格分为满分。</w:t>
            </w:r>
          </w:p>
          <w:p w14:paraId="0F106B5A">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sz w:val="22"/>
                <w:szCs w:val="22"/>
                <w:u w:val="none"/>
                <w:vertAlign w:val="baseline"/>
                <w:lang w:bidi="ar-SA"/>
              </w:rPr>
            </w:pPr>
            <w:r>
              <w:rPr>
                <w:rFonts w:hint="eastAsia" w:ascii="宋体" w:eastAsia="宋体" w:cs="宋体"/>
                <w:snapToGrid/>
                <w:color w:val="000000"/>
                <w:kern w:val="0"/>
                <w:sz w:val="22"/>
                <w:szCs w:val="22"/>
                <w:u w:val="none"/>
                <w:vertAlign w:val="baseline"/>
                <w:lang w:val="en-US" w:eastAsia="en-US" w:bidi="ar-SA"/>
              </w:rPr>
              <w:t>价格分计算公式：价格分=(评标基准价／评标报价)×</w:t>
            </w:r>
            <w:r>
              <w:rPr>
                <w:rFonts w:hint="eastAsia" w:ascii="宋体" w:eastAsia="宋体" w:cs="宋体"/>
                <w:snapToGrid/>
                <w:color w:val="000000"/>
                <w:kern w:val="0"/>
                <w:sz w:val="22"/>
                <w:szCs w:val="22"/>
                <w:u w:val="none"/>
                <w:vertAlign w:val="baseline"/>
                <w:lang w:val="en-US" w:eastAsia="zh-CN" w:bidi="ar-SA"/>
              </w:rPr>
              <w:t>30</w:t>
            </w:r>
            <w:r>
              <w:rPr>
                <w:rFonts w:hint="eastAsia" w:ascii="宋体" w:eastAsia="宋体" w:cs="宋体"/>
                <w:snapToGrid/>
                <w:color w:val="000000"/>
                <w:kern w:val="0"/>
                <w:sz w:val="22"/>
                <w:szCs w:val="22"/>
                <w:u w:val="none"/>
                <w:vertAlign w:val="baseline"/>
                <w:lang w:val="en-US" w:eastAsia="en-US" w:bidi="ar-SA"/>
              </w:rPr>
              <w:t>分</w:t>
            </w:r>
          </w:p>
        </w:tc>
      </w:tr>
      <w:tr w14:paraId="5E0B5E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860783"/>
        </w:tc>
        <w:tc>
          <w:tcPr>
            <w:tcW w:w="11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E7B4B3"/>
        </w:tc>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38F61D"/>
        </w:tc>
        <w:tc>
          <w:tcPr>
            <w:tcW w:w="6940" w:type="dxa"/>
            <w:tcBorders>
              <w:top w:val="single" w:color="000000" w:sz="4" w:space="0"/>
              <w:left w:val="single" w:color="000000" w:sz="4" w:space="0"/>
              <w:bottom w:val="single" w:color="000000" w:sz="4" w:space="0"/>
              <w:right w:val="single" w:color="000000" w:sz="4" w:space="0"/>
            </w:tcBorders>
            <w:noWrap w:val="0"/>
            <w:vAlign w:val="center"/>
          </w:tcPr>
          <w:p w14:paraId="42A8E7FA">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sz w:val="22"/>
                <w:szCs w:val="22"/>
                <w:u w:val="none"/>
                <w:vertAlign w:val="baseline"/>
                <w:lang w:bidi="ar-SA"/>
              </w:rPr>
            </w:pPr>
            <w:r>
              <w:rPr>
                <w:rFonts w:hint="eastAsia" w:ascii="宋体" w:eastAsia="宋体" w:cs="宋体"/>
                <w:snapToGrid/>
                <w:color w:val="000000"/>
                <w:kern w:val="0"/>
                <w:sz w:val="22"/>
                <w:szCs w:val="22"/>
                <w:u w:val="none"/>
                <w:vertAlign w:val="baseline"/>
                <w:lang w:val="en-US" w:eastAsia="zh-CN" w:bidi="ar-S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满足招标文件要求且投标报价最低的投标报价为评标基准价。</w:t>
            </w:r>
          </w:p>
        </w:tc>
      </w:tr>
      <w:tr w14:paraId="1867A1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616" w:hRule="atLeast"/>
        </w:trPr>
        <w:tc>
          <w:tcPr>
            <w:tcW w:w="9255" w:type="dxa"/>
            <w:gridSpan w:val="4"/>
            <w:tcBorders>
              <w:top w:val="single" w:color="000000" w:sz="4" w:space="0"/>
              <w:left w:val="single" w:color="000000" w:sz="4" w:space="0"/>
              <w:bottom w:val="single" w:color="000000" w:sz="4" w:space="0"/>
              <w:right w:val="single" w:color="000000" w:sz="4" w:space="0"/>
            </w:tcBorders>
            <w:noWrap w:val="0"/>
            <w:vAlign w:val="center"/>
          </w:tcPr>
          <w:p w14:paraId="7080887D">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b/>
                <w:bCs/>
                <w:snapToGrid/>
                <w:color w:val="000000"/>
                <w:kern w:val="0"/>
                <w:sz w:val="28"/>
                <w:szCs w:val="28"/>
                <w:u w:val="none"/>
                <w:vertAlign w:val="baseline"/>
                <w:lang w:val="en-US" w:eastAsia="zh-CN" w:bidi="ar-SA"/>
              </w:rPr>
              <w:t>技术部分（68分）</w:t>
            </w:r>
          </w:p>
        </w:tc>
      </w:tr>
      <w:tr w14:paraId="5983284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320"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14:paraId="0A19E79C">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2</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0F772566">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技术参数响应</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4B55342">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50分</w:t>
            </w:r>
          </w:p>
        </w:tc>
        <w:tc>
          <w:tcPr>
            <w:tcW w:w="6940" w:type="dxa"/>
            <w:tcBorders>
              <w:top w:val="single" w:color="000000" w:sz="4" w:space="0"/>
              <w:left w:val="single" w:color="000000" w:sz="4" w:space="0"/>
              <w:bottom w:val="single" w:color="000000" w:sz="4" w:space="0"/>
              <w:right w:val="single" w:color="000000" w:sz="4" w:space="0"/>
            </w:tcBorders>
            <w:noWrap w:val="0"/>
            <w:vAlign w:val="center"/>
          </w:tcPr>
          <w:p w14:paraId="75279C5C">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投标方在应标过程中应充分考虑用户需求，在产品选型过程中，拟提供的投标产品功能、质量、产品配置、性能状况均优良，满足用户对产品功能、质量、使用、操作等方面的需求的，得47分；经评审：所投产品的技术参数、功能、质量、产品配置、性能状况等，每有一项优于招标文件的，加0.5分，最多加3分；每有一项技术参数不满足要求的，扣0.5分；扣完为止。</w:t>
            </w:r>
          </w:p>
          <w:p w14:paraId="28E4F613">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sz w:val="22"/>
                <w:szCs w:val="22"/>
                <w:u w:val="none"/>
                <w:vertAlign w:val="baseline"/>
                <w:lang w:val="en-US" w:eastAsia="zh-CN" w:bidi="ar-SA"/>
              </w:rPr>
              <w:t>应提供相应佐证材料进行证明（如参数内无特殊说明及要求，说明书、白皮书、演示图片等均可）</w:t>
            </w:r>
          </w:p>
        </w:tc>
      </w:tr>
      <w:tr w14:paraId="269F72B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320"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14:paraId="3D6D27D2">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3</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586A2403">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项目实施方案</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E1FAACE">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8分</w:t>
            </w:r>
          </w:p>
        </w:tc>
        <w:tc>
          <w:tcPr>
            <w:tcW w:w="6940" w:type="dxa"/>
            <w:tcBorders>
              <w:top w:val="single" w:color="000000" w:sz="4" w:space="0"/>
              <w:left w:val="single" w:color="000000" w:sz="4" w:space="0"/>
              <w:bottom w:val="single" w:color="000000" w:sz="4" w:space="0"/>
              <w:right w:val="single" w:color="000000" w:sz="4" w:space="0"/>
            </w:tcBorders>
            <w:noWrap w:val="0"/>
            <w:vAlign w:val="center"/>
          </w:tcPr>
          <w:p w14:paraId="4CD9599F">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根据投标人提供的项目实施方案进行评审，需包含但不限于以下几方面内容：①项目实施进度计划及保障措施；②产品销售管理制度建设；③使用操作及维护保养；④质量保证措施等。</w:t>
            </w:r>
          </w:p>
          <w:p w14:paraId="7BA6546A">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上述4项内容，每项内容完整，可行性较强、且具有针对性的，得8分；每缺一项内容，扣2分；每有一项内容不完整（或逻辑性不强或无针对性等）的，扣0.5分，扣完为止。</w:t>
            </w:r>
          </w:p>
        </w:tc>
      </w:tr>
      <w:tr w14:paraId="7A295A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2749"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14:paraId="593E4D9C">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3</w:t>
            </w:r>
          </w:p>
        </w:tc>
        <w:tc>
          <w:tcPr>
            <w:tcW w:w="1129" w:type="dxa"/>
            <w:tcBorders>
              <w:top w:val="single" w:color="000000" w:sz="4" w:space="0"/>
              <w:left w:val="single" w:color="000000" w:sz="4" w:space="0"/>
              <w:bottom w:val="single" w:color="000000" w:sz="4" w:space="0"/>
              <w:right w:val="single" w:color="000000" w:sz="4" w:space="0"/>
            </w:tcBorders>
            <w:noWrap/>
            <w:vAlign w:val="center"/>
          </w:tcPr>
          <w:p w14:paraId="2695788B">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售后服务及响应</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9EDF63E">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5分</w:t>
            </w:r>
          </w:p>
        </w:tc>
        <w:tc>
          <w:tcPr>
            <w:tcW w:w="6940" w:type="dxa"/>
            <w:tcBorders>
              <w:top w:val="single" w:color="000000" w:sz="4" w:space="0"/>
              <w:left w:val="single" w:color="000000" w:sz="4" w:space="0"/>
              <w:bottom w:val="single" w:color="000000" w:sz="4" w:space="0"/>
              <w:right w:val="single" w:color="000000" w:sz="4" w:space="0"/>
            </w:tcBorders>
            <w:noWrap w:val="0"/>
            <w:vAlign w:val="center"/>
          </w:tcPr>
          <w:p w14:paraId="1C3A2834">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包含但不限于以下内容：</w:t>
            </w:r>
          </w:p>
          <w:p w14:paraId="773836A8">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①售后及应急服务场所设立情况；</w:t>
            </w:r>
          </w:p>
          <w:p w14:paraId="55F9D9EC">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②应急配送和节假日配送保障、响应时间、到场时间；</w:t>
            </w:r>
          </w:p>
          <w:p w14:paraId="7AFE4D8A">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③人员调配；</w:t>
            </w:r>
          </w:p>
          <w:p w14:paraId="2D68A357">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④配送登记和服务流程及配送可追溯性；</w:t>
            </w:r>
          </w:p>
          <w:p w14:paraId="1630FF14">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⑤售后承诺及退换货承诺等；</w:t>
            </w:r>
          </w:p>
          <w:p w14:paraId="799A75C2">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上述5项内容，每项内容完整，可行性较强、且具有针对性的，得5分；</w:t>
            </w:r>
          </w:p>
          <w:p w14:paraId="36A09C32">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每缺一项内容，扣1分；每项内容中每有一处内容不完整的，扣0.5分，</w:t>
            </w:r>
          </w:p>
          <w:p w14:paraId="0D5DEC23">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扣完为止。</w:t>
            </w:r>
          </w:p>
        </w:tc>
      </w:tr>
      <w:tr w14:paraId="477A6C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363"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14:paraId="0F79B2D1">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4</w:t>
            </w:r>
          </w:p>
        </w:tc>
        <w:tc>
          <w:tcPr>
            <w:tcW w:w="1129" w:type="dxa"/>
            <w:tcBorders>
              <w:top w:val="single" w:color="000000" w:sz="4" w:space="0"/>
              <w:left w:val="single" w:color="000000" w:sz="4" w:space="0"/>
              <w:bottom w:val="single" w:color="000000" w:sz="4" w:space="0"/>
              <w:right w:val="single" w:color="000000" w:sz="4" w:space="0"/>
            </w:tcBorders>
            <w:noWrap/>
            <w:vAlign w:val="center"/>
          </w:tcPr>
          <w:p w14:paraId="505981F5">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培训方案</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3D436C2E">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5分</w:t>
            </w:r>
          </w:p>
        </w:tc>
        <w:tc>
          <w:tcPr>
            <w:tcW w:w="6940" w:type="dxa"/>
            <w:tcBorders>
              <w:top w:val="single" w:color="000000" w:sz="4" w:space="0"/>
              <w:left w:val="single" w:color="000000" w:sz="4" w:space="0"/>
              <w:bottom w:val="single" w:color="000000" w:sz="4" w:space="0"/>
              <w:right w:val="single" w:color="000000" w:sz="4" w:space="0"/>
            </w:tcBorders>
            <w:noWrap w:val="0"/>
            <w:vAlign w:val="center"/>
          </w:tcPr>
          <w:p w14:paraId="0E873BEC">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供应商提供针对本项目详细的培训方案，至少包括：</w:t>
            </w:r>
          </w:p>
          <w:p w14:paraId="31DF9D70">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培训计划；</w:t>
            </w:r>
          </w:p>
          <w:p w14:paraId="1CD8F187">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培训内容；</w:t>
            </w:r>
          </w:p>
          <w:p w14:paraId="29A9A59B">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培训方式；</w:t>
            </w:r>
          </w:p>
          <w:p w14:paraId="3B2E58EC">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培训材料；</w:t>
            </w:r>
          </w:p>
          <w:p w14:paraId="397ABA6B">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各阶段培训质量的保证措施，</w:t>
            </w:r>
          </w:p>
          <w:p w14:paraId="109EA241">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上述培训方案完整、详细、与采购需求吻合、思路清晰、层次结构细化且完全符合本项目实际需求的得5分，每缺一项少得1分；每项内容里有一处内容存在错误或不符合本项目实际或缺乏可操作性或要素描述不合理、不完整少得0.5分。</w:t>
            </w:r>
          </w:p>
        </w:tc>
      </w:tr>
      <w:tr w14:paraId="5633B1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10" w:hRule="atLeast"/>
        </w:trPr>
        <w:tc>
          <w:tcPr>
            <w:tcW w:w="9255" w:type="dxa"/>
            <w:gridSpan w:val="4"/>
            <w:tcBorders>
              <w:top w:val="single" w:color="000000" w:sz="4" w:space="0"/>
              <w:left w:val="single" w:color="000000" w:sz="4" w:space="0"/>
              <w:bottom w:val="single" w:color="000000" w:sz="4" w:space="0"/>
              <w:right w:val="single" w:color="000000" w:sz="4" w:space="0"/>
            </w:tcBorders>
            <w:noWrap w:val="0"/>
            <w:vAlign w:val="center"/>
          </w:tcPr>
          <w:p w14:paraId="5F86858F">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b/>
                <w:bCs/>
                <w:snapToGrid/>
                <w:color w:val="000000"/>
                <w:kern w:val="0"/>
                <w:sz w:val="28"/>
                <w:szCs w:val="28"/>
                <w:u w:val="none"/>
                <w:vertAlign w:val="baseline"/>
                <w:lang w:val="en-US" w:eastAsia="zh-CN" w:bidi="ar-SA"/>
              </w:rPr>
              <w:t>商务部分（2分）</w:t>
            </w:r>
          </w:p>
        </w:tc>
      </w:tr>
      <w:tr w14:paraId="5816A5B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10"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14:paraId="3F87F3C6">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5</w:t>
            </w:r>
          </w:p>
        </w:tc>
        <w:tc>
          <w:tcPr>
            <w:tcW w:w="1129" w:type="dxa"/>
            <w:tcBorders>
              <w:top w:val="single" w:color="000000" w:sz="4" w:space="0"/>
              <w:left w:val="single" w:color="000000" w:sz="4" w:space="0"/>
              <w:bottom w:val="single" w:color="000000" w:sz="4" w:space="0"/>
              <w:right w:val="single" w:color="000000" w:sz="4" w:space="0"/>
            </w:tcBorders>
            <w:noWrap/>
            <w:vAlign w:val="center"/>
          </w:tcPr>
          <w:p w14:paraId="60EB1BBF">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类似项目业绩</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29164F3F">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2分</w:t>
            </w:r>
          </w:p>
        </w:tc>
        <w:tc>
          <w:tcPr>
            <w:tcW w:w="6940" w:type="dxa"/>
            <w:tcBorders>
              <w:top w:val="single" w:color="000000" w:sz="4" w:space="0"/>
              <w:left w:val="single" w:color="000000" w:sz="4" w:space="0"/>
              <w:bottom w:val="single" w:color="000000" w:sz="4" w:space="0"/>
              <w:right w:val="single" w:color="000000" w:sz="4" w:space="0"/>
            </w:tcBorders>
            <w:noWrap w:val="0"/>
            <w:vAlign w:val="center"/>
          </w:tcPr>
          <w:p w14:paraId="6BB5FD04">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投标人近三年（2022年6月1日至今）已完成类似项目业绩，每提供1个类似业绩证明材料得1分，本项最多得2分。</w:t>
            </w:r>
          </w:p>
          <w:p w14:paraId="29C07AC0">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center"/>
              <w:outlineLvl w:val="9"/>
              <w:rPr>
                <w:rFonts w:hint="eastAsia" w:ascii="宋体" w:eastAsia="宋体" w:cs="宋体"/>
                <w:snapToGrid/>
                <w:color w:val="000000"/>
                <w:kern w:val="0"/>
                <w:sz w:val="22"/>
                <w:szCs w:val="22"/>
                <w:highlight w:val="yellow"/>
                <w:u w:val="none"/>
                <w:vertAlign w:val="baseline"/>
                <w:lang w:val="en-US" w:eastAsia="zh-CN" w:bidi="ar-SA"/>
              </w:rPr>
            </w:pPr>
            <w:r>
              <w:rPr>
                <w:rFonts w:hint="eastAsia" w:ascii="宋体" w:eastAsia="宋体" w:cs="宋体"/>
                <w:snapToGrid/>
                <w:color w:val="000000"/>
                <w:kern w:val="0"/>
                <w:sz w:val="22"/>
                <w:szCs w:val="22"/>
                <w:u w:val="none"/>
                <w:vertAlign w:val="baseline"/>
                <w:lang w:val="en-US" w:eastAsia="zh-CN" w:bidi="ar-SA"/>
              </w:rPr>
              <w:t>业绩证明材料为：合同。</w:t>
            </w:r>
          </w:p>
        </w:tc>
      </w:tr>
    </w:tbl>
    <w:p w14:paraId="5095976F">
      <w:pPr>
        <w:sectPr>
          <w:footerReference r:id="rId3" w:type="default"/>
          <w:pgSz w:w="11905" w:h="16839"/>
          <w:pgMar w:top="1236" w:right="1449" w:bottom="652" w:left="1336" w:header="0" w:footer="490" w:gutter="0"/>
          <w:cols w:space="720" w:num="1"/>
        </w:sectPr>
      </w:pPr>
    </w:p>
    <w:p w14:paraId="09D474EA">
      <w:pPr>
        <w:spacing w:line="360" w:lineRule="auto"/>
        <w:rPr>
          <w:rFonts w:ascii="宋体" w:hAnsi="宋体"/>
          <w:szCs w:val="21"/>
        </w:rPr>
      </w:pPr>
      <w:r>
        <w:rPr>
          <w:rFonts w:hint="eastAsia" w:ascii="宋体" w:hAnsi="宋体"/>
          <w:szCs w:val="21"/>
        </w:rPr>
        <w:t>备注：</w:t>
      </w:r>
      <w:r>
        <w:rPr>
          <w:rFonts w:ascii="宋体" w:hAnsi="宋体"/>
          <w:szCs w:val="21"/>
        </w:rPr>
        <w:t>1</w:t>
      </w:r>
      <w:r>
        <w:rPr>
          <w:rFonts w:hint="eastAsia" w:ascii="宋体" w:hAnsi="宋体"/>
          <w:szCs w:val="21"/>
        </w:rPr>
        <w:t>、评委应在认真理解本招标文件和项目有关情况后，做出需自己负责的按上述内容对投标人进行评审。</w:t>
      </w:r>
    </w:p>
    <w:p w14:paraId="443431CD">
      <w:pPr>
        <w:spacing w:line="360" w:lineRule="auto"/>
        <w:ind w:firstLine="480" w:firstLineChars="200"/>
        <w:rPr>
          <w:rFonts w:hint="eastAsia" w:ascii="宋体" w:hAnsi="宋体"/>
          <w:szCs w:val="21"/>
        </w:rPr>
      </w:pPr>
      <w:r>
        <w:rPr>
          <w:rFonts w:hint="eastAsia" w:ascii="宋体" w:hAnsi="宋体"/>
          <w:szCs w:val="21"/>
        </w:rPr>
        <w:t>2、技术、商务部分权重</w:t>
      </w:r>
      <w:r>
        <w:rPr>
          <w:rFonts w:hint="eastAsia" w:ascii="宋体" w:hAnsi="宋体" w:eastAsia="宋体"/>
          <w:szCs w:val="21"/>
          <w:lang w:val="en-US" w:eastAsia="zh-CN"/>
        </w:rPr>
        <w:t>7</w:t>
      </w:r>
      <w:r>
        <w:rPr>
          <w:rFonts w:ascii="宋体" w:hAnsi="宋体"/>
          <w:szCs w:val="21"/>
        </w:rPr>
        <w:t>0%</w:t>
      </w:r>
      <w:r>
        <w:rPr>
          <w:rFonts w:hint="eastAsia" w:ascii="宋体" w:hAnsi="宋体"/>
          <w:szCs w:val="21"/>
        </w:rPr>
        <w:t>；投标投标报价部分权重</w:t>
      </w:r>
      <w:r>
        <w:rPr>
          <w:rFonts w:hint="eastAsia" w:ascii="宋体" w:hAnsi="宋体" w:eastAsia="宋体"/>
          <w:szCs w:val="21"/>
          <w:lang w:val="en-US" w:eastAsia="zh-CN"/>
        </w:rPr>
        <w:t>3</w:t>
      </w:r>
      <w:r>
        <w:rPr>
          <w:rFonts w:ascii="宋体" w:hAnsi="宋体"/>
          <w:szCs w:val="21"/>
        </w:rPr>
        <w:t>0%</w:t>
      </w:r>
    </w:p>
    <w:p w14:paraId="53543060">
      <w:pPr>
        <w:spacing w:line="360" w:lineRule="auto"/>
        <w:ind w:firstLine="480" w:firstLineChars="200"/>
        <w:rPr>
          <w:rFonts w:ascii="宋体" w:hAnsi="宋体"/>
          <w:szCs w:val="21"/>
        </w:rPr>
      </w:pPr>
      <w:r>
        <w:rPr>
          <w:rFonts w:hint="eastAsia" w:ascii="宋体" w:hAnsi="宋体"/>
          <w:szCs w:val="21"/>
        </w:rPr>
        <w:t>3、投标人最终得分等于技术、商务部分、报价二者得分之和。</w:t>
      </w:r>
    </w:p>
    <w:p w14:paraId="689286AB">
      <w:pPr>
        <w:pStyle w:val="8"/>
        <w:tabs>
          <w:tab w:val="clear" w:pos="567"/>
        </w:tabs>
        <w:spacing w:before="0" w:line="360" w:lineRule="auto"/>
        <w:ind w:left="-206" w:leftChars="-86" w:firstLine="660" w:firstLineChars="275"/>
        <w:rPr>
          <w:rFonts w:hint="eastAsia"/>
        </w:rPr>
      </w:pPr>
      <w:r>
        <w:rPr>
          <w:rFonts w:hint="eastAsia"/>
          <w:szCs w:val="21"/>
        </w:rPr>
        <w:t>4、评标委员会按照投标人最终得分由高到底顺序确定出各投标人排名顺序。</w:t>
      </w:r>
    </w:p>
    <w:p w14:paraId="1F2BB543">
      <w:r>
        <w:br w:type="page"/>
      </w:r>
    </w:p>
    <w:p w14:paraId="66DC80EC">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第一章  招标公告</w:t>
      </w:r>
    </w:p>
    <w:p w14:paraId="772F7A0A">
      <w:pPr>
        <w:snapToGrid w:val="0"/>
        <w:spacing w:line="300" w:lineRule="exact"/>
        <w:outlineLvl w:val="2"/>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14:paraId="69BD0FDB">
      <w:pPr>
        <w:snapToGrid w:val="0"/>
        <w:spacing w:line="300" w:lineRule="exact"/>
        <w:ind w:firstLine="465"/>
        <w:rPr>
          <w:bCs/>
          <w:highlight w:val="green"/>
        </w:rPr>
      </w:pPr>
      <w:r>
        <w:rPr>
          <w:rFonts w:hint="eastAsia"/>
          <w:bCs/>
          <w:highlight w:val="green"/>
        </w:rPr>
        <w:t>1）具有独立法人资格或是具有独立承担民事责任能力的其它组织（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14:paraId="06BFC6E1">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1571B805">
      <w:pPr>
        <w:snapToGrid w:val="0"/>
        <w:spacing w:line="300" w:lineRule="exact"/>
        <w:ind w:firstLine="465"/>
        <w:rPr>
          <w:bCs/>
          <w:highlight w:val="green"/>
        </w:rPr>
      </w:pPr>
      <w:r>
        <w:rPr>
          <w:rFonts w:hint="eastAsia" w:eastAsia="宋体"/>
          <w:bCs/>
          <w:highlight w:val="green"/>
          <w:lang w:val="en-US" w:eastAsia="zh-CN"/>
        </w:rPr>
        <w:t>3</w:t>
      </w:r>
      <w:r>
        <w:rPr>
          <w:rFonts w:hint="eastAsia"/>
          <w:bCs/>
          <w:highlight w:val="green"/>
        </w:rPr>
        <w:t>）未被列入失信被执行人、重大税收违法案件当事人名单、政府采购严重违法失信行为记录名单（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r>
        <w:rPr>
          <w:bCs/>
          <w:highlight w:val="green"/>
        </w:rPr>
        <w:t>。</w:t>
      </w:r>
    </w:p>
    <w:p w14:paraId="0D65091B">
      <w:pPr>
        <w:snapToGrid w:val="0"/>
        <w:spacing w:line="300" w:lineRule="exact"/>
        <w:ind w:firstLine="465"/>
        <w:rPr>
          <w:rFonts w:hint="eastAsia"/>
          <w:bCs/>
          <w:highlight w:val="green"/>
        </w:rPr>
      </w:pPr>
      <w:r>
        <w:rPr>
          <w:rFonts w:hint="eastAsia" w:eastAsia="宋体"/>
          <w:bCs/>
          <w:highlight w:val="green"/>
          <w:lang w:val="en-US" w:eastAsia="zh-CN"/>
        </w:rPr>
        <w:t>4</w:t>
      </w:r>
      <w:r>
        <w:rPr>
          <w:rFonts w:hint="eastAsia"/>
          <w:bCs/>
          <w:highlight w:val="green"/>
        </w:rPr>
        <w:t>）具有良好的商业信誉和健全的财务会计制度（会计事务所出具的</w:t>
      </w:r>
      <w:r>
        <w:rPr>
          <w:rFonts w:hint="eastAsia" w:eastAsia="宋体"/>
          <w:bCs/>
          <w:highlight w:val="green"/>
          <w:lang w:val="en-US" w:eastAsia="zh-CN"/>
        </w:rPr>
        <w:t>2022-2024年度任意一年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14:paraId="2C27E908">
      <w:pPr>
        <w:snapToGrid w:val="0"/>
        <w:spacing w:line="300" w:lineRule="exact"/>
        <w:ind w:firstLine="465"/>
        <w:rPr>
          <w:bCs/>
          <w:highlight w:val="green"/>
        </w:rPr>
      </w:pPr>
      <w:r>
        <w:rPr>
          <w:rFonts w:hint="eastAsia" w:eastAsia="宋体"/>
          <w:bCs/>
          <w:highlight w:val="green"/>
          <w:lang w:val="en-US" w:eastAsia="zh-CN"/>
        </w:rPr>
        <w:t>5</w:t>
      </w:r>
      <w:r>
        <w:rPr>
          <w:rFonts w:hint="eastAsia"/>
          <w:bCs/>
          <w:highlight w:val="green"/>
        </w:rPr>
        <w:t>）有依法缴纳税收和社会保障资金的良好记录（近6个月内任意一个月的完税证明扫描件</w:t>
      </w:r>
      <w:r>
        <w:rPr>
          <w:rFonts w:hint="eastAsia" w:eastAsia="宋体"/>
          <w:bCs/>
          <w:highlight w:val="green"/>
          <w:lang w:eastAsia="zh-CN"/>
        </w:rPr>
        <w:t>和</w:t>
      </w:r>
      <w:r>
        <w:rPr>
          <w:rFonts w:hint="eastAsia"/>
          <w:bCs/>
          <w:highlight w:val="green"/>
        </w:rPr>
        <w:t>社保缴纳记录明细扫描件（含</w:t>
      </w:r>
      <w:r>
        <w:rPr>
          <w:rFonts w:hint="eastAsia" w:eastAsia="宋体"/>
          <w:bCs/>
          <w:highlight w:val="green"/>
          <w:lang w:eastAsia="zh-CN"/>
        </w:rPr>
        <w:t>员工</w:t>
      </w:r>
      <w:r>
        <w:rPr>
          <w:rFonts w:hint="eastAsia"/>
          <w:bCs/>
          <w:highlight w:val="green"/>
        </w:rPr>
        <w:t>社保明细</w:t>
      </w:r>
      <w:r>
        <w:rPr>
          <w:rFonts w:hint="eastAsia" w:eastAsia="宋体"/>
          <w:bCs/>
          <w:highlight w:val="green"/>
          <w:lang w:eastAsia="zh-CN"/>
        </w:rPr>
        <w:t>。注：1.无需提供委托人代理人或被授权委托人社保明细。2.若供应商某月税收为零申报，须提供当月加盖税务局公章的无欠税证明。3.完税证明中“税种”非养老保险、医疗保险、失业保险、工伤保险和生育保险</w:t>
      </w:r>
      <w:r>
        <w:rPr>
          <w:rFonts w:hint="eastAsia"/>
          <w:bCs/>
          <w:highlight w:val="green"/>
        </w:rPr>
        <w:t>））；</w:t>
      </w:r>
    </w:p>
    <w:p w14:paraId="32C9C579">
      <w:pPr>
        <w:snapToGrid w:val="0"/>
        <w:spacing w:line="300" w:lineRule="exact"/>
        <w:ind w:firstLine="465"/>
        <w:rPr>
          <w:bCs/>
          <w:highlight w:val="green"/>
        </w:rPr>
      </w:pPr>
      <w:r>
        <w:rPr>
          <w:rFonts w:hint="eastAsia" w:eastAsia="宋体"/>
          <w:b/>
          <w:bCs w:val="0"/>
          <w:highlight w:val="green"/>
          <w:lang w:val="en-US" w:eastAsia="zh-CN"/>
        </w:rPr>
        <w:t>6</w:t>
      </w:r>
      <w:r>
        <w:rPr>
          <w:rFonts w:hint="eastAsia"/>
          <w:b/>
          <w:bCs w:val="0"/>
          <w:highlight w:val="green"/>
        </w:rPr>
        <w:t>）</w:t>
      </w:r>
      <w:r>
        <w:rPr>
          <w:rFonts w:hint="eastAsia" w:eastAsia="宋体"/>
          <w:b/>
          <w:bCs w:val="0"/>
          <w:highlight w:val="green"/>
          <w:lang w:eastAsia="zh-CN"/>
        </w:rPr>
        <w:t>本项目不接受联合体投标及不允许进口产品参与投标</w:t>
      </w:r>
      <w:r>
        <w:rPr>
          <w:rFonts w:hint="eastAsia"/>
          <w:b/>
          <w:bCs w:val="0"/>
          <w:highlight w:val="green"/>
        </w:rPr>
        <w:t>（提供非联合体</w:t>
      </w:r>
      <w:r>
        <w:rPr>
          <w:rFonts w:hint="eastAsia" w:eastAsia="宋体"/>
          <w:b/>
          <w:bCs w:val="0"/>
          <w:highlight w:val="green"/>
          <w:lang w:eastAsia="zh-CN"/>
        </w:rPr>
        <w:t>及</w:t>
      </w:r>
      <w:r>
        <w:rPr>
          <w:rFonts w:hint="eastAsia"/>
          <w:b/>
          <w:highlight w:val="green"/>
        </w:rPr>
        <w:t>非进口产品投标承诺函</w:t>
      </w:r>
      <w:r>
        <w:rPr>
          <w:rFonts w:hint="eastAsia"/>
          <w:b/>
          <w:bCs w:val="0"/>
          <w:highlight w:val="green"/>
        </w:rPr>
        <w:t>投标承诺函，承诺函格式自拟）；</w:t>
      </w:r>
    </w:p>
    <w:p w14:paraId="41099D04">
      <w:pPr>
        <w:keepNext w:val="0"/>
        <w:keepLines w:val="0"/>
        <w:pageBreakBefore w:val="0"/>
        <w:widowControl/>
        <w:kinsoku/>
        <w:wordWrap/>
        <w:overflowPunct/>
        <w:topLinePunct w:val="0"/>
        <w:autoSpaceDE/>
        <w:autoSpaceDN/>
        <w:bidi w:val="0"/>
        <w:adjustRightInd/>
        <w:snapToGrid w:val="0"/>
        <w:spacing w:line="300" w:lineRule="exact"/>
        <w:ind w:left="0" w:leftChars="0" w:firstLine="480" w:firstLineChars="200"/>
        <w:jc w:val="both"/>
        <w:textAlignment w:val="auto"/>
        <w:rPr>
          <w:rFonts w:hint="eastAsia" w:eastAsia="宋体"/>
          <w:b/>
          <w:highlight w:val="green"/>
          <w:lang w:eastAsia="zh-CN"/>
        </w:rPr>
      </w:pPr>
      <w:r>
        <w:rPr>
          <w:rFonts w:hint="eastAsia" w:eastAsia="宋体"/>
          <w:b/>
          <w:highlight w:val="green"/>
          <w:lang w:val="en-US" w:eastAsia="zh-CN"/>
        </w:rPr>
        <w:t>7</w:t>
      </w:r>
      <w:r>
        <w:rPr>
          <w:rFonts w:hint="eastAsia"/>
          <w:b/>
          <w:highlight w:val="green"/>
        </w:rPr>
        <w:t>）</w:t>
      </w:r>
      <w:r>
        <w:rPr>
          <w:rFonts w:hint="eastAsia" w:eastAsia="宋体"/>
          <w:b/>
          <w:highlight w:val="green"/>
          <w:lang w:eastAsia="zh-CN"/>
        </w:rPr>
        <w:t>本项目为专门面向小微企业采购项目</w:t>
      </w:r>
      <w:r>
        <w:rPr>
          <w:rFonts w:hint="eastAsia"/>
          <w:b/>
          <w:highlight w:val="green"/>
        </w:rPr>
        <w:t>，</w:t>
      </w:r>
      <w:r>
        <w:rPr>
          <w:rFonts w:hint="eastAsia"/>
          <w:b/>
          <w:highlight w:val="green"/>
          <w:lang w:eastAsia="zh-CN"/>
        </w:rPr>
        <w:t>供应商必须出具相应声明函。【</w:t>
      </w:r>
      <w:r>
        <w:rPr>
          <w:rFonts w:hint="eastAsia"/>
          <w:b/>
          <w:color w:val="FF0000"/>
          <w:highlight w:val="green"/>
        </w:rPr>
        <w:t>供应商要求</w:t>
      </w:r>
      <w:r>
        <w:rPr>
          <w:rFonts w:hint="eastAsia" w:eastAsia="宋体"/>
          <w:b/>
          <w:color w:val="FF0000"/>
          <w:highlight w:val="green"/>
          <w:lang w:eastAsia="zh-CN"/>
        </w:rPr>
        <w:t>及声明函要求</w:t>
      </w:r>
      <w:r>
        <w:rPr>
          <w:rFonts w:hint="eastAsia"/>
          <w:b/>
          <w:color w:val="FF0000"/>
          <w:highlight w:val="green"/>
        </w:rPr>
        <w:t>详见《政府采购促进中小企业发展管理办法》（财库〔2020〕46 号）、《关于促进残疾人就业政府采购政策的通知》（财库〔2017〕141号）、《关于政府采购支持监狱企业发展有关问题的通知》（财库〔2014〕68号）</w:t>
      </w:r>
      <w:r>
        <w:rPr>
          <w:rFonts w:hint="eastAsia" w:eastAsia="宋体"/>
          <w:b/>
          <w:color w:val="FF0000"/>
          <w:highlight w:val="green"/>
          <w:lang w:eastAsia="zh-CN"/>
        </w:rPr>
        <w:t>。</w:t>
      </w:r>
      <w:r>
        <w:rPr>
          <w:rFonts w:hint="eastAsia"/>
          <w:b/>
          <w:highlight w:val="green"/>
          <w:lang w:eastAsia="zh-CN"/>
        </w:rPr>
        <w:t>】</w:t>
      </w:r>
    </w:p>
    <w:p w14:paraId="6FD7D1EB">
      <w:pPr>
        <w:pStyle w:val="6"/>
      </w:pPr>
    </w:p>
    <w:p w14:paraId="49042764">
      <w:pPr>
        <w:snapToGrid w:val="0"/>
        <w:spacing w:line="300" w:lineRule="exact"/>
        <w:ind w:firstLine="465"/>
        <w:rPr>
          <w:b/>
          <w:highlight w:val="green"/>
        </w:rPr>
      </w:pPr>
    </w:p>
    <w:p w14:paraId="6BB59BF8">
      <w:pPr>
        <w:snapToGrid w:val="0"/>
        <w:spacing w:line="300" w:lineRule="exact"/>
        <w:ind w:firstLine="465"/>
        <w:rPr>
          <w:rFonts w:ascii="Arial" w:hAnsi="Arial" w:eastAsia="宋体"/>
        </w:rPr>
      </w:pPr>
    </w:p>
    <w:p w14:paraId="63E50435">
      <w:pPr>
        <w:rPr>
          <w:rFonts w:ascii="Arial" w:hAnsi="Arial" w:eastAsia="宋体"/>
        </w:rPr>
      </w:pPr>
      <w:r>
        <w:rPr>
          <w:rFonts w:ascii="Arial" w:hAnsi="Arial" w:eastAsia="宋体"/>
        </w:rPr>
        <w:br w:type="page"/>
      </w:r>
    </w:p>
    <w:p w14:paraId="1FD82C72">
      <w:pPr>
        <w:snapToGrid w:val="0"/>
        <w:spacing w:line="300" w:lineRule="exact"/>
        <w:ind w:firstLine="465"/>
        <w:rPr>
          <w:rFonts w:ascii="Arial" w:hAnsi="Arial" w:eastAsia="宋体"/>
        </w:rPr>
      </w:pPr>
    </w:p>
    <w:p w14:paraId="3DC8DABC">
      <w:pPr>
        <w:snapToGrid w:val="0"/>
        <w:spacing w:line="300" w:lineRule="exact"/>
        <w:ind w:firstLine="465"/>
        <w:rPr>
          <w:rFonts w:ascii="Arial" w:hAnsi="Arial" w:eastAsia="宋体"/>
        </w:rPr>
      </w:pPr>
    </w:p>
    <w:p w14:paraId="39FD983A">
      <w:pPr>
        <w:snapToGrid w:val="0"/>
        <w:spacing w:line="300" w:lineRule="exact"/>
        <w:ind w:firstLine="465"/>
        <w:rPr>
          <w:rFonts w:ascii="Arial" w:hAnsi="Arial" w:eastAsia="宋体"/>
        </w:rPr>
      </w:pPr>
    </w:p>
    <w:p w14:paraId="174757CF">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18"/>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189299EF">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267FBC54">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51D0457E">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015B22A1">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73E7A376">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04931B20">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5E4119CB">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3A57DC91">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6FB53DDC">
            <w:pPr>
              <w:jc w:val="center"/>
              <w:rPr>
                <w:rFonts w:hint="eastAsia" w:ascii="宋体" w:hAnsi="宋体"/>
                <w:bCs/>
              </w:rPr>
            </w:pPr>
            <w:r>
              <w:rPr>
                <w:rFonts w:hint="eastAsia" w:eastAsia="宋体"/>
                <w:lang w:eastAsia="zh-CN"/>
              </w:rPr>
              <w:t>KSS(GK)2025-034</w:t>
            </w:r>
          </w:p>
        </w:tc>
        <w:tc>
          <w:tcPr>
            <w:tcW w:w="2906" w:type="dxa"/>
            <w:tcBorders>
              <w:top w:val="single" w:color="auto" w:sz="4" w:space="0"/>
              <w:left w:val="single" w:color="000000" w:sz="4" w:space="0"/>
              <w:bottom w:val="single" w:color="auto" w:sz="4" w:space="0"/>
              <w:right w:val="single" w:color="000000" w:sz="4" w:space="0"/>
            </w:tcBorders>
            <w:vAlign w:val="center"/>
          </w:tcPr>
          <w:p w14:paraId="35863C98">
            <w:pPr>
              <w:jc w:val="center"/>
              <w:rPr>
                <w:b/>
                <w:bCs/>
              </w:rPr>
            </w:pPr>
            <w:r>
              <w:rPr>
                <w:rFonts w:hint="eastAsia" w:eastAsia="宋体" w:cs="Times New Roman"/>
                <w:lang w:eastAsia="zh-CN"/>
              </w:rPr>
              <w:t>喀什市公安局DNA室、物证室设备及耗材采购项目(二次)</w:t>
            </w:r>
          </w:p>
        </w:tc>
        <w:tc>
          <w:tcPr>
            <w:tcW w:w="2622" w:type="dxa"/>
            <w:tcBorders>
              <w:top w:val="single" w:color="000000" w:sz="4" w:space="0"/>
              <w:left w:val="single" w:color="000000" w:sz="4" w:space="0"/>
              <w:bottom w:val="single" w:color="000000" w:sz="4" w:space="0"/>
              <w:right w:val="single" w:color="000000" w:sz="4" w:space="0"/>
            </w:tcBorders>
            <w:vAlign w:val="center"/>
          </w:tcPr>
          <w:p w14:paraId="3B25660F">
            <w:pPr>
              <w:jc w:val="center"/>
              <w:rPr>
                <w:rFonts w:hint="eastAsia" w:ascii="宋体" w:hAnsi="宋体" w:eastAsia="宋体"/>
                <w:bCs/>
                <w:lang w:eastAsia="zh-CN"/>
              </w:rPr>
            </w:pPr>
            <w:r>
              <w:rPr>
                <w:rFonts w:hint="eastAsia" w:ascii="宋体" w:hAnsi="宋体" w:eastAsia="宋体"/>
                <w:bCs/>
                <w:lang w:eastAsia="zh-CN"/>
              </w:rPr>
              <w:t>1116640.00元（壹佰壹拾壹万陆仟陆佰肆拾元整）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22BED023">
            <w:pPr>
              <w:jc w:val="center"/>
              <w:rPr>
                <w:rFonts w:hint="eastAsia" w:ascii="宋体" w:hAnsi="宋体" w:eastAsia="宋体"/>
                <w:bCs/>
                <w:lang w:eastAsia="zh-CN"/>
              </w:rPr>
            </w:pPr>
            <w:r>
              <w:rPr>
                <w:rFonts w:hint="eastAsia" w:ascii="宋体" w:hAnsi="宋体" w:eastAsia="宋体"/>
                <w:bCs/>
                <w:lang w:eastAsia="zh-CN"/>
              </w:rPr>
              <w:t>工业</w:t>
            </w:r>
          </w:p>
        </w:tc>
      </w:tr>
    </w:tbl>
    <w:p w14:paraId="194C71A2">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的潜在投标人应在政府采购云平台获取招标文件，并于</w:t>
      </w:r>
      <w:r>
        <w:rPr>
          <w:rFonts w:hint="eastAsia" w:ascii="仿宋" w:hAnsi="仿宋" w:eastAsia="仿宋"/>
          <w:b/>
          <w:color w:val="000000"/>
          <w:sz w:val="28"/>
          <w:szCs w:val="28"/>
        </w:rPr>
        <w:t>投标截止时间</w:t>
      </w:r>
      <w:r>
        <w:rPr>
          <w:rFonts w:hint="eastAsia" w:ascii="仿宋" w:hAnsi="仿宋" w:eastAsia="仿宋"/>
          <w:color w:val="000000"/>
          <w:sz w:val="28"/>
          <w:szCs w:val="28"/>
        </w:rPr>
        <w:t>前</w:t>
      </w:r>
      <w:r>
        <w:rPr>
          <w:rFonts w:hint="eastAsia" w:ascii="仿宋" w:hAnsi="仿宋" w:eastAsia="仿宋" w:cs="仿宋"/>
          <w:color w:val="000000"/>
          <w:kern w:val="0"/>
          <w:sz w:val="28"/>
          <w:szCs w:val="28"/>
        </w:rPr>
        <w:t>上传电子加密响应文件至政府采购云平台投标客户端。</w:t>
      </w:r>
    </w:p>
    <w:p w14:paraId="42412814">
      <w:pPr>
        <w:pStyle w:val="6"/>
        <w:rPr>
          <w:rFonts w:hint="eastAsia"/>
          <w:lang w:val="en-US" w:eastAsia="zh-CN"/>
        </w:rPr>
      </w:pPr>
    </w:p>
    <w:p w14:paraId="3A56CB59">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二、获取招标文件时间、地点和方式：</w:t>
      </w:r>
    </w:p>
    <w:p w14:paraId="1B9A1004">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时间：</w:t>
      </w:r>
      <w:r>
        <w:rPr>
          <w:rFonts w:hint="eastAsia" w:ascii="仿宋" w:hAnsi="仿宋" w:eastAsia="仿宋"/>
          <w:color w:val="000000"/>
          <w:sz w:val="28"/>
          <w:szCs w:val="28"/>
          <w:lang w:eastAsia="zh-CN"/>
        </w:rPr>
        <w:t>2025年7月17日至2025年8月11日11:00:00</w:t>
      </w:r>
      <w:r>
        <w:rPr>
          <w:rFonts w:hint="eastAsia" w:ascii="仿宋" w:hAnsi="仿宋" w:eastAsia="仿宋"/>
          <w:color w:val="000000"/>
          <w:sz w:val="28"/>
          <w:szCs w:val="28"/>
        </w:rPr>
        <w:t>（法定节假日除外）</w:t>
      </w:r>
    </w:p>
    <w:p w14:paraId="59F29D86">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p>
    <w:p w14:paraId="61BBD772">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14:paraId="5A9FF0A0">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三、投标截止时间、投标文件递交地点、开标时间及地点：</w:t>
      </w:r>
    </w:p>
    <w:p w14:paraId="446974C0">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000000"/>
          <w:sz w:val="28"/>
          <w:szCs w:val="28"/>
          <w:lang w:eastAsia="zh-CN"/>
        </w:rPr>
        <w:t>2025年8月11日11:00:00</w:t>
      </w:r>
    </w:p>
    <w:p w14:paraId="7A302F00">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电子加密投标文件上传至政府采购云平台投标客户端</w:t>
      </w:r>
      <w:r>
        <w:rPr>
          <w:rFonts w:hint="eastAsia" w:ascii="仿宋" w:hAnsi="仿宋" w:eastAsia="仿宋" w:cs="仿宋"/>
          <w:color w:val="000000"/>
          <w:sz w:val="28"/>
          <w:szCs w:val="28"/>
        </w:rPr>
        <w:t>。</w:t>
      </w:r>
    </w:p>
    <w:p w14:paraId="0A0734FE">
      <w:pPr>
        <w:pStyle w:val="14"/>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14:paraId="52BF93A9">
      <w:pPr>
        <w:pStyle w:val="14"/>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四、投标保证金</w:t>
      </w:r>
    </w:p>
    <w:p w14:paraId="6332978C">
      <w:pPr>
        <w:snapToGrid w:val="0"/>
        <w:spacing w:line="300" w:lineRule="exact"/>
        <w:outlineLvl w:val="2"/>
        <w:rPr>
          <w:rFonts w:hint="eastAsia" w:ascii="Arial" w:hAnsi="Arial" w:eastAsia="宋体" w:cs="Times New Roman"/>
          <w:b/>
          <w:bCs/>
          <w:color w:val="FF0000"/>
          <w:szCs w:val="21"/>
          <w:lang w:eastAsia="zh-CN"/>
        </w:rPr>
      </w:pPr>
      <w:r>
        <w:rPr>
          <w:rFonts w:hint="eastAsia" w:ascii="Arial" w:hAnsi="Arial" w:eastAsia="宋体" w:cs="Times New Roman"/>
          <w:b/>
          <w:bCs/>
          <w:color w:val="FF0000"/>
          <w:szCs w:val="21"/>
          <w:lang w:eastAsia="zh-CN"/>
        </w:rPr>
        <w:t>本项目不收取投标保证金，无需提供此项。</w:t>
      </w:r>
    </w:p>
    <w:p w14:paraId="09078205">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14:paraId="70256A28">
      <w:pPr>
        <w:pStyle w:val="14"/>
        <w:spacing w:after="0" w:line="560" w:lineRule="exact"/>
        <w:ind w:firstLine="560" w:firstLineChars="200"/>
        <w:rPr>
          <w:rFonts w:ascii="仿宋" w:hAnsi="仿宋" w:eastAsia="仿宋"/>
          <w:color w:val="000000"/>
          <w:sz w:val="28"/>
          <w:szCs w:val="28"/>
          <w:lang w:val="en-US" w:eastAsia="zh-CN"/>
        </w:rPr>
      </w:pPr>
      <w:r>
        <w:rPr>
          <w:rFonts w:hint="eastAsia" w:ascii="仿宋" w:hAnsi="仿宋" w:eastAsia="仿宋"/>
          <w:color w:val="000000"/>
          <w:sz w:val="28"/>
          <w:szCs w:val="28"/>
          <w:lang w:val="en-US" w:eastAsia="zh-CN"/>
        </w:rPr>
        <w:t>自本公告发布之日起6个工作日。</w:t>
      </w:r>
    </w:p>
    <w:p w14:paraId="7452F10B">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p>
    <w:p w14:paraId="40CB4219">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（1）相互关联的存在实际控制、管理关系的两个企业，不得参加同一项目的投标。</w:t>
      </w:r>
    </w:p>
    <w:p w14:paraId="18FE6965">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14:paraId="1EDCB4CB">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1"/>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14:paraId="6BE3445A">
      <w:pPr>
        <w:pStyle w:val="15"/>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，或咨询政采云客服95763或在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14:paraId="2AFFC26D">
      <w:pPr>
        <w:pStyle w:val="15"/>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14:paraId="1258FA45">
      <w:pPr>
        <w:spacing w:line="560" w:lineRule="exact"/>
        <w:ind w:firstLine="560" w:firstLineChars="200"/>
        <w:outlineLvl w:val="2"/>
        <w:rPr>
          <w:rFonts w:hint="eastAsia" w:ascii="仿宋" w:hAnsi="仿宋" w:eastAsia="仿宋"/>
          <w:b/>
          <w:bCs/>
          <w:color w:val="000000"/>
          <w:sz w:val="28"/>
          <w:szCs w:val="28"/>
        </w:rPr>
      </w:pPr>
      <w:r>
        <w:rPr>
          <w:rFonts w:hint="eastAsia" w:ascii="仿宋" w:hAnsi="仿宋" w:eastAsia="仿宋"/>
          <w:b/>
          <w:bCs/>
          <w:color w:val="000000"/>
          <w:sz w:val="28"/>
          <w:szCs w:val="28"/>
        </w:rPr>
        <w:t>七、凡对本次招标提出询问，请按以下方式联系：</w:t>
      </w:r>
    </w:p>
    <w:p w14:paraId="2F9DE983">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14:paraId="5617AE7D">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喀什市公安局</w:t>
      </w:r>
    </w:p>
    <w:p w14:paraId="52081B17">
      <w:pPr>
        <w:spacing w:line="5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000000"/>
          <w:sz w:val="28"/>
          <w:szCs w:val="28"/>
          <w:lang w:eastAsia="zh-CN"/>
        </w:rPr>
        <w:t>喀什市公安局</w:t>
      </w:r>
    </w:p>
    <w:p w14:paraId="2A0CEACB">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刘荣飞 17809983068</w:t>
      </w:r>
    </w:p>
    <w:p w14:paraId="2CF8B9F7">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集采</w:t>
      </w:r>
      <w:r>
        <w:rPr>
          <w:rFonts w:hint="eastAsia" w:ascii="仿宋" w:hAnsi="仿宋" w:eastAsia="仿宋"/>
          <w:color w:val="000000"/>
          <w:sz w:val="28"/>
          <w:szCs w:val="28"/>
        </w:rPr>
        <w:t>机构信息</w:t>
      </w:r>
    </w:p>
    <w:p w14:paraId="3BBF13C1">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喀什市招投标中心</w:t>
      </w:r>
    </w:p>
    <w:p w14:paraId="28135810">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喀什市政务服务中心4楼</w:t>
      </w:r>
    </w:p>
    <w:p w14:paraId="5D731329">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联系方式：0998-2319965　</w:t>
      </w:r>
    </w:p>
    <w:p w14:paraId="3649B6B3">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eastAsia="zh-CN"/>
        </w:rPr>
        <w:t>财政监管</w:t>
      </w:r>
      <w:r>
        <w:rPr>
          <w:rFonts w:hint="eastAsia" w:ascii="仿宋" w:hAnsi="仿宋" w:eastAsia="仿宋"/>
          <w:color w:val="000000"/>
          <w:sz w:val="28"/>
          <w:szCs w:val="28"/>
        </w:rPr>
        <w:t>信息</w:t>
      </w:r>
    </w:p>
    <w:p w14:paraId="0506BC53">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喀什市财政局政府采购管理办公室</w:t>
      </w:r>
    </w:p>
    <w:p w14:paraId="1DE432EF">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楼</w:t>
      </w:r>
    </w:p>
    <w:p w14:paraId="5645EFC6">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联系方式：0998-</w:t>
      </w:r>
      <w:r>
        <w:rPr>
          <w:rFonts w:hint="eastAsia" w:ascii="仿宋" w:hAnsi="仿宋" w:eastAsia="仿宋"/>
          <w:color w:val="000000"/>
          <w:sz w:val="28"/>
          <w:szCs w:val="28"/>
          <w:lang w:val="en-US" w:eastAsia="zh-CN"/>
        </w:rPr>
        <w:t>2839905</w:t>
      </w:r>
    </w:p>
    <w:p w14:paraId="127AA170">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.项目经办人联系方式</w:t>
      </w:r>
    </w:p>
    <w:p w14:paraId="52D4043D">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eastAsia="zh-CN"/>
        </w:rPr>
        <w:t>刘荣飞 17809983068</w:t>
      </w:r>
    </w:p>
    <w:p w14:paraId="3E9A1167">
      <w:pPr>
        <w:spacing w:line="560" w:lineRule="exact"/>
        <w:ind w:firstLine="560" w:firstLineChars="200"/>
        <w:rPr>
          <w:rFonts w:hint="eastAsia" w:ascii="仿宋" w:hAnsi="仿宋" w:eastAsia="仿宋"/>
          <w:color w:val="000000"/>
          <w:sz w:val="28"/>
          <w:szCs w:val="28"/>
        </w:rPr>
      </w:pPr>
    </w:p>
    <w:p w14:paraId="7DA00343">
      <w:pPr>
        <w:pStyle w:val="14"/>
        <w:spacing w:after="0" w:line="560" w:lineRule="exact"/>
        <w:rPr>
          <w:rFonts w:hint="eastAsia" w:ascii="仿宋" w:hAnsi="仿宋" w:eastAsia="仿宋"/>
          <w:color w:val="000000"/>
          <w:sz w:val="28"/>
          <w:szCs w:val="28"/>
        </w:rPr>
      </w:pPr>
    </w:p>
    <w:p w14:paraId="7361BF84">
      <w:pPr>
        <w:rPr>
          <w:rFonts w:ascii="Arial" w:hAnsi="Arial" w:eastAsia="宋体"/>
          <w:b/>
          <w:color w:val="FF0000"/>
          <w:sz w:val="32"/>
          <w:szCs w:val="32"/>
        </w:rPr>
      </w:pPr>
      <w:r>
        <w:br w:type="page"/>
      </w:r>
    </w:p>
    <w:p w14:paraId="164E74AE">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1" w:name="_Hlk71926094"/>
      <w:r>
        <w:rPr>
          <w:rFonts w:hint="eastAsia" w:ascii="宋体" w:hAnsi="宋体" w:eastAsia="宋体"/>
          <w:b/>
          <w:bCs/>
          <w:sz w:val="28"/>
          <w:szCs w:val="28"/>
        </w:rPr>
        <w:t>对通用条款的补充内容及其他关键信息</w:t>
      </w:r>
      <w:bookmarkEnd w:id="1"/>
    </w:p>
    <w:p w14:paraId="6E375BE2">
      <w:pPr>
        <w:keepNext/>
        <w:keepLines/>
        <w:adjustRightInd w:val="0"/>
        <w:spacing w:before="120" w:beforeLines="50" w:after="120" w:afterLines="50"/>
        <w:jc w:val="center"/>
        <w:textAlignment w:val="baseline"/>
        <w:outlineLvl w:val="2"/>
        <w:rPr>
          <w:rFonts w:ascii="宋体" w:hAnsi="宋体" w:eastAsia="宋体"/>
          <w:b/>
          <w:bCs/>
        </w:rPr>
      </w:pPr>
      <w:bookmarkStart w:id="2" w:name="_Toc73517639"/>
      <w:bookmarkStart w:id="3" w:name="_Toc60631620"/>
      <w:bookmarkStart w:id="4" w:name="_Toc73521547"/>
      <w:bookmarkStart w:id="5" w:name="_Toc100052364"/>
      <w:bookmarkStart w:id="6" w:name="_Toc73521635"/>
      <w:bookmarkStart w:id="7" w:name="_Toc73518117"/>
      <w:bookmarkStart w:id="8" w:name="_Toc60560625"/>
      <w:bookmarkStart w:id="9" w:name="_Toc101074876"/>
      <w:r>
        <w:rPr>
          <w:rFonts w:hint="eastAsia" w:ascii="宋体" w:hAnsi="宋体" w:eastAsia="宋体"/>
          <w:b/>
          <w:bCs/>
        </w:rPr>
        <w:t>一、对通用条款的补充内容</w:t>
      </w:r>
      <w:bookmarkEnd w:id="2"/>
      <w:bookmarkEnd w:id="3"/>
      <w:bookmarkEnd w:id="4"/>
      <w:bookmarkEnd w:id="5"/>
      <w:bookmarkEnd w:id="6"/>
      <w:bookmarkEnd w:id="7"/>
      <w:bookmarkEnd w:id="8"/>
      <w:bookmarkEnd w:id="9"/>
    </w:p>
    <w:tbl>
      <w:tblPr>
        <w:tblStyle w:val="18"/>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14:paraId="069E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222256AC">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14:paraId="3E371852">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14:paraId="222D9D43">
            <w:pPr>
              <w:snapToGrid w:val="0"/>
              <w:jc w:val="center"/>
              <w:rPr>
                <w:rFonts w:ascii="宋体" w:hAnsi="宋体" w:eastAsia="宋体" w:cs="Arial"/>
                <w:b/>
                <w:szCs w:val="21"/>
              </w:rPr>
            </w:pPr>
            <w:r>
              <w:rPr>
                <w:rFonts w:hint="eastAsia" w:ascii="宋体" w:hAnsi="宋体" w:eastAsia="宋体" w:cs="Arial"/>
                <w:b/>
                <w:szCs w:val="21"/>
              </w:rPr>
              <w:t>具体补充内容</w:t>
            </w:r>
          </w:p>
        </w:tc>
      </w:tr>
      <w:tr w14:paraId="1E52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7498B438">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14:paraId="335AAE06">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14:paraId="7DA48D2F">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喀什市公安局</w:t>
            </w:r>
          </w:p>
        </w:tc>
      </w:tr>
      <w:tr w14:paraId="6306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14:paraId="70CB6ABF">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14:paraId="4A05DCB8">
            <w:pPr>
              <w:snapToGrid w:val="0"/>
              <w:jc w:val="center"/>
              <w:rPr>
                <w:rFonts w:ascii="宋体" w:hAnsi="宋体" w:eastAsia="宋体" w:cs="Arial"/>
                <w:szCs w:val="21"/>
              </w:rPr>
            </w:pPr>
            <w:r>
              <w:rPr>
                <w:rFonts w:hint="eastAsia" w:ascii="宋体" w:hAnsi="宋体" w:eastAsia="宋体" w:cs="Arial"/>
                <w:szCs w:val="21"/>
              </w:rPr>
              <w:t>政府集中采购机构</w:t>
            </w:r>
          </w:p>
        </w:tc>
        <w:tc>
          <w:tcPr>
            <w:tcW w:w="7424" w:type="dxa"/>
            <w:vAlign w:val="center"/>
          </w:tcPr>
          <w:p w14:paraId="406DA393">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lang w:eastAsia="zh-CN"/>
              </w:rPr>
              <w:t>喀什市招投标中心</w:t>
            </w:r>
            <w:r>
              <w:rPr>
                <w:rFonts w:hint="eastAsia" w:ascii="Arial" w:hAnsi="Arial" w:eastAsia="宋体"/>
              </w:rPr>
              <w:t>。</w:t>
            </w:r>
          </w:p>
        </w:tc>
      </w:tr>
      <w:tr w14:paraId="0482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58841E87">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14:paraId="40E3B653">
            <w:pPr>
              <w:snapToGrid w:val="0"/>
              <w:jc w:val="center"/>
              <w:rPr>
                <w:rFonts w:ascii="宋体" w:hAnsi="宋体" w:eastAsia="宋体" w:cs="Arial"/>
                <w:szCs w:val="21"/>
              </w:rPr>
            </w:pPr>
            <w:r>
              <w:rPr>
                <w:rFonts w:hint="eastAsia" w:ascii="宋体" w:hAnsi="宋体" w:eastAsia="宋体" w:cs="Arial"/>
                <w:szCs w:val="21"/>
              </w:rPr>
              <w:t>招标文件澄清和修改</w:t>
            </w:r>
          </w:p>
        </w:tc>
        <w:tc>
          <w:tcPr>
            <w:tcW w:w="7424" w:type="dxa"/>
          </w:tcPr>
          <w:p w14:paraId="6CD8FB57">
            <w:pPr>
              <w:snapToGrid w:val="0"/>
              <w:rPr>
                <w:rFonts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14:paraId="0F40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3AB0ED3">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14:paraId="09EE1F3F">
            <w:pPr>
              <w:snapToGrid w:val="0"/>
              <w:jc w:val="center"/>
              <w:rPr>
                <w:rFonts w:ascii="宋体" w:hAnsi="宋体" w:eastAsia="宋体" w:cs="Arial"/>
                <w:szCs w:val="21"/>
              </w:rPr>
            </w:pPr>
            <w:r>
              <w:rPr>
                <w:rFonts w:hint="eastAsia" w:ascii="宋体" w:hAnsi="宋体" w:eastAsia="宋体" w:cs="Arial"/>
                <w:szCs w:val="21"/>
              </w:rPr>
              <w:t>投标有效期</w:t>
            </w:r>
          </w:p>
        </w:tc>
        <w:tc>
          <w:tcPr>
            <w:tcW w:w="7424" w:type="dxa"/>
          </w:tcPr>
          <w:p w14:paraId="3ABECA92">
            <w:pPr>
              <w:snapToGrid w:val="0"/>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w:t>
            </w:r>
            <w:r>
              <w:rPr>
                <w:rFonts w:hint="eastAsia" w:ascii="宋体" w:hAnsi="宋体" w:eastAsia="宋体"/>
                <w:b/>
                <w:color w:val="0000FF"/>
                <w:u w:val="single"/>
                <w:lang w:val="en-US" w:eastAsia="zh-CN"/>
              </w:rPr>
              <w:t>90</w:t>
            </w:r>
            <w:r>
              <w:rPr>
                <w:rFonts w:hint="eastAsia" w:ascii="宋体" w:hAnsi="宋体" w:eastAsia="宋体"/>
                <w:b/>
                <w:color w:val="0000FF"/>
                <w:u w:val="single"/>
              </w:rPr>
              <w:t xml:space="preserve"> </w:t>
            </w:r>
            <w:r>
              <w:rPr>
                <w:rFonts w:hint="eastAsia" w:ascii="宋体" w:hAnsi="宋体" w:eastAsia="宋体" w:cs="Arial"/>
                <w:szCs w:val="21"/>
              </w:rPr>
              <w:t>个日历日。</w:t>
            </w:r>
          </w:p>
        </w:tc>
      </w:tr>
      <w:tr w14:paraId="1D1F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415A576D">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14:paraId="036D856D">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14:paraId="46AF583B">
            <w:pPr>
              <w:snapToGrid w:val="0"/>
              <w:ind w:firstLine="480" w:firstLineChars="200"/>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，评审委员会有权做出不利于投标人的判断，投标供应商自行承担由此产生的后果。</w:t>
            </w:r>
          </w:p>
        </w:tc>
      </w:tr>
      <w:tr w14:paraId="562F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520DC420">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14:paraId="6566672B">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14:paraId="041D679E">
            <w:pPr>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14:paraId="4560D5AD">
            <w:pPr>
              <w:snapToGrid w:val="0"/>
              <w:rPr>
                <w:rFonts w:ascii="Arial" w:hAnsi="Arial" w:eastAsia="宋体"/>
                <w:color w:val="0000FF"/>
                <w:szCs w:val="21"/>
              </w:rPr>
            </w:pPr>
            <w:r>
              <w:rPr>
                <w:rFonts w:hint="eastAsia" w:ascii="Arial" w:hAnsi="Arial" w:eastAsia="宋体"/>
                <w:color w:val="0000FF"/>
                <w:szCs w:val="21"/>
              </w:rPr>
              <w:t>推荐候选中标供应商数量为</w:t>
            </w:r>
            <w:r>
              <w:rPr>
                <w:rFonts w:hint="eastAsia" w:ascii="Arial" w:hAnsi="Arial" w:eastAsia="宋体"/>
                <w:color w:val="0000FF"/>
                <w:szCs w:val="21"/>
                <w:u w:val="single"/>
                <w:lang w:val="en-US" w:eastAsia="zh-CN"/>
              </w:rPr>
              <w:t>3</w:t>
            </w:r>
            <w:r>
              <w:rPr>
                <w:rFonts w:hint="eastAsia" w:ascii="Arial" w:hAnsi="Arial" w:eastAsia="宋体"/>
                <w:color w:val="0000FF"/>
                <w:szCs w:val="21"/>
              </w:rPr>
              <w:t>家，中标供应商数量为</w:t>
            </w:r>
            <w:r>
              <w:rPr>
                <w:rFonts w:hint="eastAsia" w:ascii="Arial" w:hAnsi="Arial" w:eastAsia="宋体"/>
                <w:color w:val="0000FF"/>
                <w:u w:val="single"/>
              </w:rPr>
              <w:t xml:space="preserve"> 1 </w:t>
            </w:r>
            <w:r>
              <w:rPr>
                <w:rFonts w:hint="eastAsia" w:ascii="Arial" w:hAnsi="Arial" w:eastAsia="宋体"/>
                <w:color w:val="0000FF"/>
                <w:szCs w:val="21"/>
              </w:rPr>
              <w:t>家。</w:t>
            </w:r>
          </w:p>
        </w:tc>
      </w:tr>
      <w:tr w14:paraId="3D35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55589C78">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14:paraId="281B146E">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14:paraId="76E2ABB2">
            <w:pPr>
              <w:snapToGrid w:val="0"/>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14:paraId="3474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9120AE1">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14:paraId="66A65D7C">
            <w:pPr>
              <w:snapToGrid w:val="0"/>
              <w:jc w:val="center"/>
              <w:rPr>
                <w:rFonts w:hint="eastAsia" w:ascii="宋体" w:hAnsi="宋体" w:eastAsia="宋体" w:cs="Arial"/>
                <w:sz w:val="24"/>
                <w:szCs w:val="21"/>
                <w:lang w:eastAsia="zh-CN"/>
              </w:rPr>
            </w:pPr>
            <w:r>
              <w:rPr>
                <w:rFonts w:hint="eastAsia" w:ascii="宋体" w:hAnsi="宋体" w:eastAsia="宋体" w:cs="Arial"/>
                <w:szCs w:val="21"/>
              </w:rPr>
              <w:t>本项目评标委员</w:t>
            </w:r>
          </w:p>
        </w:tc>
        <w:tc>
          <w:tcPr>
            <w:tcW w:w="7424" w:type="dxa"/>
            <w:vAlign w:val="top"/>
          </w:tcPr>
          <w:p w14:paraId="31AA5EF2">
            <w:pPr>
              <w:spacing w:line="240" w:lineRule="atLeast"/>
              <w:ind w:left="814" w:hanging="814" w:hangingChars="354"/>
              <w:rPr>
                <w:rFonts w:hint="eastAsia" w:ascii="宋体" w:hAnsi="宋体" w:cs="宋体"/>
                <w:b/>
                <w:bCs/>
                <w:color w:val="auto"/>
                <w:sz w:val="23"/>
                <w:szCs w:val="23"/>
                <w:u w:val="single"/>
                <w:shd w:val="clear" w:color="auto" w:fill="auto"/>
              </w:rPr>
            </w:pPr>
          </w:p>
          <w:p w14:paraId="72217531">
            <w:pPr>
              <w:snapToGrid w:val="0"/>
              <w:rPr>
                <w:rFonts w:hint="eastAsia" w:ascii="宋体" w:hAnsi="宋体" w:eastAsia="宋体"/>
                <w:szCs w:val="21"/>
              </w:rPr>
            </w:pPr>
            <w:r>
              <w:rPr>
                <w:rFonts w:hint="eastAsia" w:ascii="宋体" w:hAnsi="宋体" w:eastAsia="宋体"/>
                <w:szCs w:val="21"/>
              </w:rPr>
              <w:t>本项目评标委员会由</w:t>
            </w:r>
            <w:r>
              <w:rPr>
                <w:rFonts w:hint="eastAsia" w:ascii="宋体" w:hAnsi="宋体" w:eastAsia="宋体"/>
                <w:szCs w:val="21"/>
                <w:lang w:val="en-US" w:eastAsia="zh-CN"/>
              </w:rPr>
              <w:t>5</w:t>
            </w:r>
            <w:r>
              <w:rPr>
                <w:rFonts w:hint="eastAsia" w:ascii="宋体" w:hAnsi="宋体" w:eastAsia="宋体"/>
                <w:szCs w:val="21"/>
              </w:rPr>
              <w:t>人组成（采购人代表</w:t>
            </w:r>
            <w:r>
              <w:rPr>
                <w:rFonts w:hint="eastAsia" w:ascii="宋体" w:hAnsi="宋体" w:eastAsia="宋体"/>
                <w:szCs w:val="21"/>
                <w:lang w:val="en-US" w:eastAsia="zh-CN"/>
              </w:rPr>
              <w:t>0</w:t>
            </w:r>
            <w:r>
              <w:rPr>
                <w:rFonts w:hint="eastAsia" w:ascii="宋体" w:hAnsi="宋体" w:eastAsia="宋体"/>
                <w:szCs w:val="21"/>
              </w:rPr>
              <w:t>名，随机抽取专家</w:t>
            </w:r>
            <w:r>
              <w:rPr>
                <w:rFonts w:hint="eastAsia" w:ascii="宋体" w:hAnsi="宋体" w:eastAsia="宋体"/>
                <w:szCs w:val="21"/>
                <w:lang w:val="en-US" w:eastAsia="zh-CN"/>
              </w:rPr>
              <w:t>5</w:t>
            </w:r>
            <w:r>
              <w:rPr>
                <w:rFonts w:hint="eastAsia" w:ascii="宋体" w:hAnsi="宋体" w:eastAsia="宋体"/>
                <w:szCs w:val="21"/>
              </w:rPr>
              <w:t>名）</w:t>
            </w:r>
          </w:p>
          <w:p w14:paraId="6B62031A">
            <w:pPr>
              <w:snapToGrid w:val="0"/>
              <w:jc w:val="center"/>
              <w:rPr>
                <w:rFonts w:hint="eastAsia" w:ascii="宋体" w:hAnsi="宋体" w:eastAsia="宋体" w:cs="Arial"/>
                <w:sz w:val="24"/>
                <w:szCs w:val="21"/>
              </w:rPr>
            </w:pPr>
          </w:p>
        </w:tc>
      </w:tr>
      <w:tr w14:paraId="13AD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55380B42">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0" w:type="auto"/>
            <w:vAlign w:val="center"/>
          </w:tcPr>
          <w:p w14:paraId="462AE2F2">
            <w:pPr>
              <w:snapToGrid w:val="0"/>
              <w:jc w:val="center"/>
              <w:rPr>
                <w:rFonts w:hint="eastAsia" w:ascii="宋体" w:hAnsi="宋体" w:eastAsia="宋体" w:cs="Arial"/>
                <w:sz w:val="24"/>
                <w:szCs w:val="21"/>
                <w:lang w:eastAsia="zh-CN"/>
              </w:rPr>
            </w:pPr>
            <w:r>
              <w:rPr>
                <w:rFonts w:hint="eastAsia" w:ascii="宋体" w:hAnsi="宋体" w:eastAsia="宋体" w:cs="Arial"/>
                <w:szCs w:val="21"/>
                <w:lang w:eastAsia="zh-CN"/>
              </w:rPr>
              <w:t>履约保证金</w:t>
            </w:r>
          </w:p>
        </w:tc>
        <w:tc>
          <w:tcPr>
            <w:tcW w:w="0" w:type="auto"/>
            <w:vAlign w:val="top"/>
          </w:tcPr>
          <w:p w14:paraId="53003EC4">
            <w:pPr>
              <w:snapToGrid w:val="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履约保证金：合同总价的5%。</w:t>
            </w:r>
          </w:p>
          <w:p w14:paraId="1BB481AE">
            <w:pPr>
              <w:pStyle w:val="16"/>
              <w:ind w:left="0" w:leftChars="0" w:firstLine="0" w:firstLineChars="0"/>
              <w:rPr>
                <w:rFonts w:hint="eastAsia" w:ascii="Arial" w:hAnsi="Arial" w:eastAsia="Times New Roman" w:cs="Times New Roman"/>
                <w:sz w:val="21"/>
                <w:szCs w:val="24"/>
                <w:lang w:val="en-US"/>
              </w:rPr>
            </w:pPr>
            <w:r>
              <w:rPr>
                <w:rFonts w:hint="eastAsia" w:ascii="宋体" w:hAnsi="宋体" w:eastAsia="宋体" w:cs="Arial"/>
                <w:szCs w:val="21"/>
                <w:lang w:val="en-US" w:eastAsia="zh-CN"/>
              </w:rPr>
              <w:t>提交履约保证金的时间：签订合同前。</w:t>
            </w:r>
          </w:p>
        </w:tc>
      </w:tr>
    </w:tbl>
    <w:p w14:paraId="75189659">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14:paraId="15B547AE">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p>
    <w:p w14:paraId="50BF3D23">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14:paraId="771EFD99">
      <w:pPr>
        <w:tabs>
          <w:tab w:val="left" w:pos="720"/>
        </w:tabs>
        <w:rPr>
          <w:rFonts w:ascii="黑体" w:hAnsi="宋体" w:eastAsia="黑体"/>
          <w:bCs/>
        </w:rPr>
      </w:pPr>
      <w:r>
        <w:rPr>
          <w:rFonts w:hint="eastAsia" w:ascii="黑体" w:hAnsi="宋体" w:eastAsia="黑体"/>
          <w:bCs/>
        </w:rPr>
        <w:t>1、关于标项的定义</w:t>
      </w:r>
    </w:p>
    <w:p w14:paraId="002ACC6F">
      <w:pPr>
        <w:tabs>
          <w:tab w:val="left" w:pos="720"/>
        </w:tabs>
        <w:ind w:firstLine="480" w:firstLineChars="200"/>
        <w:rPr>
          <w:rFonts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lang w:eastAsia="zh-CN"/>
        </w:rPr>
        <w:t>标项</w:t>
      </w:r>
      <w:r>
        <w:rPr>
          <w:rFonts w:hint="eastAsia" w:ascii="宋体" w:hAnsi="宋体"/>
        </w:rPr>
        <w:t>结果。</w:t>
      </w:r>
    </w:p>
    <w:p w14:paraId="5E273AFE">
      <w:pPr>
        <w:tabs>
          <w:tab w:val="left" w:pos="720"/>
        </w:tabs>
        <w:rPr>
          <w:rFonts w:ascii="黑体" w:hAnsi="宋体" w:eastAsia="黑体"/>
        </w:rPr>
      </w:pPr>
      <w:r>
        <w:rPr>
          <w:rFonts w:hint="eastAsia" w:ascii="黑体" w:hAnsi="宋体" w:eastAsia="黑体"/>
        </w:rPr>
        <w:t>（二）其他事项</w:t>
      </w:r>
    </w:p>
    <w:p w14:paraId="0BF98E66">
      <w:pPr>
        <w:tabs>
          <w:tab w:val="left" w:pos="720"/>
        </w:tabs>
        <w:rPr>
          <w:rFonts w:ascii="黑体" w:hAnsi="宋体" w:eastAsia="黑体"/>
        </w:rPr>
      </w:pPr>
      <w:r>
        <w:rPr>
          <w:rFonts w:hint="eastAsia" w:ascii="黑体" w:hAnsi="宋体" w:eastAsia="黑体"/>
        </w:rPr>
        <w:t>1、关于享受优惠政策的主体及价格扣除比例</w:t>
      </w:r>
    </w:p>
    <w:p w14:paraId="7FC11E00">
      <w:pPr>
        <w:ind w:firstLine="470" w:firstLineChars="196"/>
        <w:rPr>
          <w:rFonts w:hint="eastAsia" w:ascii="宋体" w:hAnsi="宋体" w:eastAsia="宋体"/>
          <w:lang w:eastAsia="zh-CN"/>
        </w:rPr>
      </w:pPr>
      <w:r>
        <w:rPr>
          <w:rFonts w:hint="eastAsia" w:ascii="宋体" w:hAnsi="宋体" w:eastAsia="宋体"/>
          <w:b/>
          <w:bCs/>
          <w:color w:val="FF0000"/>
          <w:lang w:eastAsia="zh-CN"/>
        </w:rPr>
        <w:t>本项目为专门面向小微企业采购项目，不进行价格扣除</w:t>
      </w:r>
      <w:r>
        <w:rPr>
          <w:rFonts w:hint="eastAsia" w:ascii="宋体" w:hAnsi="宋体" w:eastAsia="宋体"/>
          <w:lang w:eastAsia="zh-CN"/>
        </w:rPr>
        <w:t>。</w:t>
      </w:r>
    </w:p>
    <w:p w14:paraId="6D1D0CF1">
      <w:pPr>
        <w:tabs>
          <w:tab w:val="left" w:pos="720"/>
        </w:tabs>
        <w:rPr>
          <w:rFonts w:ascii="黑体" w:hAnsi="宋体" w:eastAsia="黑体"/>
        </w:rPr>
      </w:pPr>
    </w:p>
    <w:p w14:paraId="67229F07">
      <w:pPr>
        <w:rPr>
          <w:rFonts w:ascii="宋体" w:hAnsi="宋体" w:eastAsia="黑体"/>
          <w:bCs/>
          <w:kern w:val="44"/>
          <w:sz w:val="28"/>
          <w:szCs w:val="44"/>
        </w:rPr>
      </w:pPr>
      <w:r>
        <w:br w:type="page"/>
      </w:r>
    </w:p>
    <w:p w14:paraId="3DFD7307">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14:paraId="281246A5">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18"/>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47A7CBEE">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28D385C5">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418206B7">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7AD23A3C">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6CEEA4F5">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6DA99EB0">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05F5CEB6">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2FBFB1C3">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38B91A99">
            <w:pPr>
              <w:jc w:val="center"/>
              <w:rPr>
                <w:rFonts w:hint="eastAsia" w:ascii="宋体" w:hAnsi="宋体"/>
                <w:bCs/>
              </w:rPr>
            </w:pPr>
            <w:r>
              <w:rPr>
                <w:rFonts w:hint="eastAsia" w:eastAsia="宋体"/>
                <w:lang w:eastAsia="zh-CN"/>
              </w:rPr>
              <w:t>KSS(GK)2025-034</w:t>
            </w:r>
          </w:p>
        </w:tc>
        <w:tc>
          <w:tcPr>
            <w:tcW w:w="2906" w:type="dxa"/>
            <w:tcBorders>
              <w:top w:val="single" w:color="auto" w:sz="4" w:space="0"/>
              <w:left w:val="single" w:color="000000" w:sz="4" w:space="0"/>
              <w:bottom w:val="single" w:color="auto" w:sz="4" w:space="0"/>
              <w:right w:val="single" w:color="000000" w:sz="4" w:space="0"/>
            </w:tcBorders>
            <w:vAlign w:val="center"/>
          </w:tcPr>
          <w:p w14:paraId="7D72AFE4">
            <w:pPr>
              <w:jc w:val="center"/>
              <w:rPr>
                <w:b/>
                <w:bCs/>
              </w:rPr>
            </w:pPr>
            <w:r>
              <w:rPr>
                <w:rFonts w:hint="eastAsia" w:eastAsia="宋体" w:cs="Times New Roman"/>
                <w:lang w:eastAsia="zh-CN"/>
              </w:rPr>
              <w:t>喀什市公安局DNA室、物证室设备及耗材采购项目(二次)</w:t>
            </w:r>
          </w:p>
        </w:tc>
        <w:tc>
          <w:tcPr>
            <w:tcW w:w="2622" w:type="dxa"/>
            <w:tcBorders>
              <w:top w:val="single" w:color="000000" w:sz="4" w:space="0"/>
              <w:left w:val="single" w:color="000000" w:sz="4" w:space="0"/>
              <w:bottom w:val="single" w:color="000000" w:sz="4" w:space="0"/>
              <w:right w:val="single" w:color="000000" w:sz="4" w:space="0"/>
            </w:tcBorders>
            <w:vAlign w:val="center"/>
          </w:tcPr>
          <w:p w14:paraId="51CB115A">
            <w:pPr>
              <w:jc w:val="center"/>
              <w:rPr>
                <w:rFonts w:hint="eastAsia" w:ascii="宋体" w:hAnsi="宋体" w:eastAsia="宋体"/>
                <w:bCs/>
                <w:lang w:eastAsia="zh-CN"/>
              </w:rPr>
            </w:pPr>
            <w:r>
              <w:rPr>
                <w:rFonts w:hint="eastAsia" w:ascii="宋体" w:hAnsi="宋体" w:eastAsia="宋体"/>
                <w:bCs/>
                <w:lang w:eastAsia="zh-CN"/>
              </w:rPr>
              <w:t>1116640.00元（壹佰壹拾壹万陆仟陆佰肆拾元整）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7FC24C7E">
            <w:pPr>
              <w:jc w:val="center"/>
              <w:rPr>
                <w:rFonts w:hint="eastAsia" w:ascii="宋体" w:hAnsi="宋体" w:eastAsia="宋体"/>
                <w:bCs/>
                <w:lang w:eastAsia="zh-CN"/>
              </w:rPr>
            </w:pPr>
            <w:r>
              <w:rPr>
                <w:rFonts w:hint="eastAsia" w:ascii="宋体" w:hAnsi="宋体" w:eastAsia="宋体"/>
                <w:bCs/>
                <w:lang w:eastAsia="zh-CN"/>
              </w:rPr>
              <w:t>工业</w:t>
            </w:r>
          </w:p>
        </w:tc>
      </w:tr>
    </w:tbl>
    <w:p w14:paraId="6D7FA0C8">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1116640.00元（壹佰壹拾壹万陆仟陆佰肆拾元整）</w:t>
      </w:r>
      <w:r>
        <w:rPr>
          <w:rFonts w:hint="eastAsia" w:ascii="Arial" w:hAnsi="Arial" w:eastAsia="宋体"/>
          <w:b/>
          <w:color w:val="FF0000"/>
          <w:highlight w:val="green"/>
        </w:rPr>
        <w:t>，</w:t>
      </w:r>
      <w:r>
        <w:rPr>
          <w:rFonts w:hint="eastAsia" w:ascii="Arial" w:hAnsi="Arial" w:eastAsia="宋体"/>
          <w:b/>
          <w:color w:val="FF0000"/>
        </w:rPr>
        <w:t>投标报价超出控制金额将作投标无效处理。</w:t>
      </w:r>
    </w:p>
    <w:p w14:paraId="5BC4CF11">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w:t>
      </w:r>
      <w:r>
        <w:rPr>
          <w:rFonts w:hint="eastAsia" w:ascii="Arial" w:hAnsi="Arial" w:eastAsia="宋体"/>
          <w:b/>
          <w:sz w:val="32"/>
          <w:szCs w:val="32"/>
          <w:lang w:eastAsia="zh-CN"/>
        </w:rPr>
        <w:t>货物需求</w:t>
      </w:r>
      <w:r>
        <w:rPr>
          <w:rFonts w:hint="eastAsia" w:ascii="Arial" w:hAnsi="Arial" w:eastAsia="宋体"/>
          <w:b/>
          <w:sz w:val="32"/>
          <w:szCs w:val="32"/>
        </w:rPr>
        <w:t>明细</w:t>
      </w:r>
    </w:p>
    <w:p w14:paraId="6AA4016D">
      <w:pPr>
        <w:rPr>
          <w:rFonts w:hint="eastAsia" w:ascii="Arial" w:hAnsi="Arial" w:eastAsia="宋体"/>
          <w:b/>
          <w:color w:val="FF0000"/>
          <w:sz w:val="32"/>
          <w:szCs w:val="32"/>
          <w:highlight w:val="cyan"/>
          <w:lang w:val="en-US" w:eastAsia="zh-CN"/>
        </w:rPr>
      </w:pPr>
      <w:r>
        <w:rPr>
          <w:rFonts w:hint="eastAsia" w:ascii="宋体" w:hAnsi="宋体"/>
          <w:b/>
          <w:color w:val="FF0000"/>
          <w:sz w:val="32"/>
          <w:szCs w:val="32"/>
        </w:rPr>
        <w:t>本项目核心产品为：检测试剂盒</w:t>
      </w:r>
    </w:p>
    <w:p w14:paraId="53FE67F7">
      <w:pPr>
        <w:rPr>
          <w:rFonts w:hint="eastAsia" w:eastAsia="宋体"/>
          <w:b/>
          <w:bCs/>
          <w:sz w:val="40"/>
          <w:szCs w:val="40"/>
          <w:lang w:eastAsia="zh-CN"/>
        </w:rPr>
      </w:pPr>
      <w:r>
        <w:rPr>
          <w:rFonts w:hint="eastAsia" w:eastAsia="宋体"/>
          <w:b/>
          <w:bCs/>
          <w:sz w:val="40"/>
          <w:szCs w:val="40"/>
          <w:lang w:eastAsia="zh-CN"/>
        </w:rPr>
        <w:t>货物需求明细：</w:t>
      </w:r>
    </w:p>
    <w:p w14:paraId="370B2DF6">
      <w:pPr>
        <w:rPr>
          <w:rFonts w:hint="eastAsia" w:eastAsia="宋体"/>
          <w:b/>
          <w:bCs/>
          <w:sz w:val="40"/>
          <w:szCs w:val="40"/>
          <w:lang w:eastAsia="zh-CN"/>
        </w:rPr>
      </w:pPr>
      <w:bookmarkStart w:id="70" w:name="_GoBack"/>
      <w:bookmarkEnd w:id="70"/>
    </w:p>
    <w:p w14:paraId="49FEDA5C">
      <w:pPr>
        <w:rPr>
          <w:rFonts w:hint="eastAsia" w:eastAsia="宋体"/>
          <w:b/>
          <w:bCs/>
          <w:sz w:val="40"/>
          <w:szCs w:val="40"/>
          <w:lang w:eastAsia="zh-CN"/>
        </w:rPr>
        <w:sectPr>
          <w:footerReference r:id="rId5" w:type="first"/>
          <w:footerReference r:id="rId4" w:type="default"/>
          <w:pgSz w:w="11906" w:h="16838"/>
          <w:pgMar w:top="1440" w:right="1797" w:bottom="1440" w:left="1797" w:header="851" w:footer="992" w:gutter="0"/>
          <w:pgNumType w:fmt="decimal" w:start="1"/>
          <w:cols w:space="720" w:num="1"/>
          <w:titlePg/>
          <w:docGrid w:type="linesAndChars" w:linePitch="312" w:charSpace="0"/>
        </w:sectPr>
      </w:pPr>
      <w:r>
        <w:rPr>
          <w:rFonts w:hint="default" w:eastAsia="宋体"/>
          <w:color w:val="FF0000"/>
          <w:sz w:val="32"/>
          <w:szCs w:val="32"/>
          <w:lang w:val="en-US" w:eastAsia="zh-CN"/>
        </w:rPr>
        <w:t>★所有设备单价不得超过《新疆维吾尔自治区本级行政事业单位通用办公设备家具配置标准 新管发〔2023〕61号单价标准，否则废标</w:t>
      </w:r>
    </w:p>
    <w:p w14:paraId="30BF5ED6">
      <w:pPr>
        <w:rPr>
          <w:rFonts w:hint="eastAsia" w:eastAsia="宋体"/>
          <w:b/>
          <w:bCs/>
          <w:sz w:val="40"/>
          <w:szCs w:val="40"/>
          <w:lang w:eastAsia="zh-CN"/>
        </w:rPr>
      </w:pPr>
    </w:p>
    <w:tbl>
      <w:tblPr>
        <w:tblStyle w:val="18"/>
        <w:tblW w:w="83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842"/>
        <w:gridCol w:w="684"/>
        <w:gridCol w:w="588"/>
        <w:gridCol w:w="5508"/>
      </w:tblGrid>
      <w:tr w14:paraId="7E71C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331" w:type="dxa"/>
            <w:gridSpan w:val="5"/>
            <w:tcBorders>
              <w:top w:val="nil"/>
              <w:left w:val="nil"/>
              <w:bottom w:val="nil"/>
              <w:right w:val="nil"/>
            </w:tcBorders>
            <w:shd w:val="clear" w:color="auto" w:fill="auto"/>
            <w:noWrap/>
            <w:vAlign w:val="center"/>
          </w:tcPr>
          <w:p w14:paraId="727117F6">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eastAsia="宋体" w:cs="宋体"/>
                <w:b/>
                <w:bCs/>
                <w:i w:val="0"/>
                <w:iCs w:val="0"/>
                <w:color w:val="auto"/>
                <w:kern w:val="0"/>
                <w:sz w:val="44"/>
                <w:szCs w:val="44"/>
                <w:u w:val="none"/>
                <w:lang w:val="en-US" w:eastAsia="zh-CN" w:bidi="ar"/>
              </w:rPr>
              <w:t>DNA实验室耗材参数</w:t>
            </w:r>
          </w:p>
        </w:tc>
      </w:tr>
      <w:tr w14:paraId="1A98C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3F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1E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产品名称</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64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1A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5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FC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参数</w:t>
            </w:r>
          </w:p>
        </w:tc>
      </w:tr>
      <w:tr w14:paraId="2661E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12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1F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刑事勘查手套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8F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78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11A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里面面料为纯棉材质，特点：柔软舒适，亲肤透气，吸汗性强，可生物降解，穿着舒适，适合长时间佩戴。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掌心面料为涤纶材质，特点：具有较好的耐磨性和抗皱性，不易变形，易于清洗和干燥，如涤纶背三筋耐磨防滑手套，采用涤纶材质制作手套背部。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手掌背面面料为尼龙面料材质，特点：强度高，耐磨性好，质地轻盈，透气性佳，部分尼龙材质的手套还具有良好的弹性，能贴合手部。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2.重量：每付手套约30g，佩戴起来不会给手部增加过多负担。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3.点塑防滑：在手套的手掌和手指部位采用点塑工艺，均匀分布着防滑颗粒，增加手套与物体表面的摩擦力，能有效防止物品滑落，适用于需要拿取物品的场合。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4.三筋防滑：在手套的手掌部位有三条纵向的筋条设计，起到一定的防滑作用，还能使手套更加贴合手部，增强佩戴的舒适度和稳定性。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5.外观为白色制式，带警徽。</w:t>
            </w:r>
          </w:p>
        </w:tc>
      </w:tr>
      <w:tr w14:paraId="7A8C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54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79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一次性现场勘查鞋套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11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8F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AB6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1.材质：选用15g/m²以上的CPE薄膜。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2.化学性能：耐受酸碱效果良好。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3.颜色：蓝色。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4.尺码：均码（适用于36-44号）。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5.防滑：具有良好的防滑功能。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6.性能指标：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抗合成血液穿透性：不低于1.7kp；断裂强度：纵向不低于45N，横向不低于30N；断裂伸长率不小于15%；表面抗湿性：沾水等级≥2级；过滤效率：对非油性颗粒物的过滤效率不低于70%。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7.用途: 现场勘查人员穿戴本品，防止自身鞋印遗存现场；防止自身鞋底上的脱落无遗存现场。</w:t>
            </w:r>
          </w:p>
        </w:tc>
      </w:tr>
      <w:tr w14:paraId="39E2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86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D1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一次性现场勘查帽子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4F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B6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顶</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D2E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1.材质：采用SMMS无纺布，具有良好的阻隔性、透气性和柔软性。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2.克重：所用非织造布克重不低于20g/㎡，克重较高的无纺布能提供更好的防护性能和耐用性。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3.尺寸：61cm。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4.外观：洁净、平整、色泽一致，无油渍、黄斑、污渍、杂质和破损。缝制平整、牢固，针码均匀、平直，每40mm不少于8针。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5.断裂强力：纵向断裂强力≥13N，横向断裂强力≥8N，确保帽子在使用过程中不易破损。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6.针距：每10cm内不少于24针。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7.松紧带：伸长比为1:2.2至1:3.0，拉伸弹性回复率为75.0%，保证帽子佩戴时的舒适度和稳固性。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8.微生物学指标：产品经环氧乙烷灭菌，无菌，且环氧乙烷残留量不超过10μg/g。</w:t>
            </w:r>
          </w:p>
        </w:tc>
      </w:tr>
      <w:tr w14:paraId="0907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48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26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一次性现场勘查口罩</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08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42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CFE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1.口罩佩戴方式：耳戴式。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2.类型：折叠式。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3.是否灭菌级：灭菌级，环氧乙烷残留不超过10μg/g，符合GB/T14233.2-2005及GB/T14233.1-2008标准。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4.贮藏条件：常温储存（10℃-30℃）。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5.规格：50只/盒，独立包装。</w:t>
            </w:r>
          </w:p>
        </w:tc>
      </w:tr>
      <w:tr w14:paraId="5A111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CA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DC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502熏显胶</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41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D5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574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1.产品用途：502胶熏显法用于显现非渗透性客体上汗液潜在指纹，不适用于显现富含油脂的指纹。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2.工作原理：502胶中的氰基丙烯酸乙酯单体挥发后，其气体分子在指纹纹线上聚合形成白色物质。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3.产品优点：普通502试剂粘附在熏显柜观察窗上，形成白色附着物，极难清除，阻碍人们观察柜内指纹显现的状态；脱胶502试剂也会在观察窗上形成白色附着物，但易于清除。</w:t>
            </w:r>
          </w:p>
        </w:tc>
      </w:tr>
      <w:tr w14:paraId="64157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98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0D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银/黑双色磁性粉</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08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47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D37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1.产品用途：用于显现非渗透性、非磁性、光滑客体上指纹。适用于花色客体、水平面客体。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2.产品介绍：对于花色客体表面（如彩色画报）上的指纹，用银/黑双色指纹粉显现，指纹纹线在深色区域呈现出银白色，在浅色区域呈现出黑色，纹线保持连贯性。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3.规格：480ml。</w:t>
            </w:r>
          </w:p>
        </w:tc>
      </w:tr>
      <w:tr w14:paraId="63245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18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24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匀光勘查灯</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E0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76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896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1.结构特点：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高光效、长寿命的LED光源，平均使用寿命长达100000小时；采用仿生复眼技术行配光设计，配光均匀度高达0.9以上；外形美观、操作简单、携带方便，可手持、手提以及肩挎携带；具有搜索光和拍照光两种工作模式，两种工作模式之间可随意切换；人性化的低电量警示功能，当电量不足时，灯具会自动频闪提醒进行充电；尾部独特的支撑脚设计，保证光线从痕迹的侧面照射，立体感更强。同时可防止灯具在水平面流动，解放双手，拍照时实现单人操作；大空间提手和大按钮设计，满足冬天穿戴棉手套时仍方便携带及操作灯具的需求；采用高能聚合物锂子电池，电池内部保护电路具有防止过充、过放及短路保护功能。双重保护技术，安全可靠，性能优越；搜索光工作时间不少于4小时，拍照光工作时间不少于10小时；可通过增加滤光片形成多波段光源，实现一灯多能（仅限精装配置）。红（6500nm-810nm）、蓝（475nm-510nm）、紫（410nm-475nm）绿（510nm-605nm）橙（620nm-650n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电压：DC7.4V；额定容量：6.6A；额定功率（LED）：10W；配光均匀度：0.9；电流：3500mA（搜索光）/1600mA（拍照光）；连续放电时间：≥8h（搜索光）/≥16h（拍照光）；光通量：850Lm（搜索光）/650Lm（拍照光）；充电时间：≤3h；外壳防护等级：IP65；电池使用寿命：约1500循环；外形尺寸（外径x长度）：Φ64x250mm；电筒重量：1.1kg。</w:t>
            </w:r>
          </w:p>
        </w:tc>
      </w:tr>
      <w:tr w14:paraId="28D74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42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E7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测距仪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25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AA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D4E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1.量程：150米。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2.尺寸：114mm*52mm*28mm。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3.产品毛重：260g。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4.工作电压：3.7V。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5.精确度：±3mm。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6.功能：具备电子水平功能、60组储数功能，采用双供电模式，支持锂电池充电，具有语音播报功能。</w:t>
            </w:r>
          </w:p>
        </w:tc>
      </w:tr>
      <w:tr w14:paraId="3F128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46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AB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物证牌</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96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89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84E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1.外观：外观平整，无杂色；一面是黑底白字，另一面是白底黑字。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2.包装：每包10个铝制支架。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3.材质：铝合金。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4.尺寸：6.0cm*9cm*6.8cm±0.1cm。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5.重量：单个23g±0.1g，总体230g±0.5g。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6.需提供检测机构出具的检验报告进行佐证（中标后、签订合同前提供检测报告原件复查）。</w:t>
            </w:r>
          </w:p>
        </w:tc>
      </w:tr>
      <w:tr w14:paraId="29637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F9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2E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照相机电池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3E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98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E59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1.电池类型：锂离子电池。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2.标准电压：7.2V。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3.电池容量：2130mAh。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4.最大持续放电电流：6.0A。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5.尺寸：约35mm*21mm*56mm。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6.重量：约78g（含保护电路）。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7.充电性能：适用于支持USB-C端子充电的相机。</w:t>
            </w:r>
          </w:p>
        </w:tc>
      </w:tr>
      <w:tr w14:paraId="620FB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C9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22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照相机电池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1F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39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B7B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1.电池类型：锂离子电池。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2.标准电压：7.2V。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3.电池容量：2130mAh。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4.最大持续放电电流：6.0A。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5.尺寸：约35mm*21mm*56mm。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6.重量：约78g（含保护电路）。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7.充电性能：适用于支持USB-C端子充电的相机。</w:t>
            </w:r>
          </w:p>
        </w:tc>
      </w:tr>
      <w:tr w14:paraId="4AB66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3A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7E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胶带</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97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A9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卷</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E95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1.宽度：60mm。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2.长度：100米。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3.厚度：50μm。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4.结构组成：50μm指基材（BOPP薄膜）+胶层的总厚度，其中基材厚度约25-30μm，胶层厚度约20-25μm。</w:t>
            </w:r>
          </w:p>
        </w:tc>
      </w:tr>
      <w:tr w14:paraId="2BFB8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7F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9D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刻录机</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43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BA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415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1.接口类型：USB。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2.光盘加载方式：吸入式。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3.缓存容量：8MB。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4.功能特点：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读刻能力：支持蓝光光盘的读取和刻录，也能兼容DVD和CD光盘的读刻，可实现3D超清读刻。</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刻录格式：支持多种常见的刻录格式，如CD-R、CD-RW、DVD-R、DVD-RW、BD-R、BD-RE等。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5.性能参数：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读取速度：8倍速蓝光光驱，蓝光光盘读取速度为8倍速，约为12MB/s。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写入速度：蓝光光盘写入速度为8倍速；DVD-R写入速度为8X，约15MB/s，DVD-RW写入速度为6X，约10MB/s，CD-R写入速度为24X，约5MB/s。</w:t>
            </w:r>
          </w:p>
        </w:tc>
      </w:tr>
      <w:tr w14:paraId="743CF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16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B0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卷尺</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1D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3F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740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1.重量：0.1Kg。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2.尺寸参数：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测量范围：30米；尺带宽度：25毫米；产品尺寸（长*宽*高）：约8.5cm*4cm*8cm。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3.材质：尺带为金属材质，外壳为硬塑料，采用全包胶设计，具有较好的耐磨性和耐摔性。</w:t>
            </w:r>
          </w:p>
        </w:tc>
      </w:tr>
      <w:tr w14:paraId="4E1A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11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02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双面黑白直角比例尺</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BA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41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7A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1.测量范围：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长度测量范围：20cm至30cm。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宽度测量范围：8cm至12cm，用于测量足迹的前掌、足弓、脚跟等部位宽度。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深度/高度测量：足迹尺配备探针，用于测量足迹在软质地面（如泥土、沙地）中的凹陷深度，范围为0cm至5cm。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2.尺寸与材质: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主体尺寸：足迹尺为长条形，长度约30cm至40cm，宽度约5cm至8cm，便于手持和覆盖足迹。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材质：采用高强度塑料ABS、铝合金，确保耐磨、耐腐蚀，且不易变形，适合户外或复杂环境使用。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3.刻度与精度参数: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刻度单位:厘米，刻度清晰。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最小刻度精度：1mm，确保测量数据的准确性。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刻度标识：尺身印有醒目的数字和刻度线，标注“前掌”、“足弓”、“脚跟”等区域的参考位置，方便快速定位测量点。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4.功能设计参数：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定位槽/孔：尺身上设有多个定位孔或凹槽，用于固定测量探针或标记足迹关键点。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角度测量：配备量角器或角度刻度，用于测量足迹的行走角度、步幅角度等，辅助分析行走姿态。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水平泡：内置气泡水平仪，确保测量时尺身处于水平状态，避免因倾斜导致误差。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重量：通常在100g至300g之间，便于携带。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防水/防尘：材质经过处理，可在潮湿或尘土环境中使用，具备IP54级防护。</w:t>
            </w:r>
          </w:p>
        </w:tc>
      </w:tr>
      <w:tr w14:paraId="6F7A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90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23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打印机墨水</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DB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EE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342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1.产品特性：采用原装密封包装技术，确保墨水在运输存储过程中无泄漏风险；芯片识别系统可实时监测墨量状态，兼容Windows与Mac操作系统。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色彩定位：黄色墨水盒，适用于照片级色彩输出需求。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打印量标准：基于ISO/IEC 24711测试标准测得黑色约2万张，彩色约2万页，550页单色文本覆盖率。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物理尺寸：长46mm*宽35mm*高102mm（含包装盒尺寸）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存储温度：建议在-10℃至35℃环境存放，未开封保质期3年。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3.具有以下适配特性：支持最高5760*1440dpi打印分辨率，充分发挥原装墨水色彩表现力；采用微压电打印头技术，适用于专业照片纸、亚光纸等多种介质。</w:t>
            </w:r>
          </w:p>
        </w:tc>
      </w:tr>
      <w:tr w14:paraId="2FA9E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32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28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打印机墨水</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32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C8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4E2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1.产品特性：采用原装密封包装技术，确保墨水在运输存储过程中无泄漏风险；芯片识别系统可实时监测墨量状态，兼容Windows与Mac操作系统。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色彩定位：黄色墨水盒，适用于照片级色彩输出需求。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打印量标准：基于ISO/IEC 24711测试标准测得黑色约2万张，彩色约2万页，550页单色文本覆盖率。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物理尺寸：长46mm*宽35mm*高102mm（含包装盒尺寸）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存储温度：建议在-10℃至35℃环境存放，未开封保质期3年。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3.具有以下适配特性：支持最高5760*1440dpi打印分辨率，充分发挥原装墨水色彩表现力；采用微压电打印头技术，适用于专业照片纸、亚光纸等多种介质。</w:t>
            </w:r>
          </w:p>
        </w:tc>
      </w:tr>
      <w:tr w14:paraId="0B409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5D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D7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相机包</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09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E3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9CE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1.外观与尺寸：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颜色：深空黑；外部尺寸：540mm*330mm*260mm；重量：1.96kg。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基层面料：采用CORDURA（考杜拉）面料，交叉编织而成，具有抗撕裂、抗穿刺以及耐磨的特性。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表面涂层：拥有高性能PU涂层，具备防泼、耐刮和易清洁的特性。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3.容量与收纳：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常规容量：40L，扩容后可达50L。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内胆配置：可搭配S和M尺寸内胆包，也可选择L尺寸内胆包。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主仓收纳：有顶端吊袋与M尺寸内胆包、S尺寸内胆包与M尺寸内胆包两种组合形式。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其他收纳：超大顶仓可放随身衣服和日用品，两侧有三脚架插袋，一侧有侧开快取功能，另一侧是侧储物空间，主仓还有笔记本电脑仓，最大能放16寸笔记本电脑和一个iPad。</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4.背负系统：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AceFrame空气悬浮背负系统：采用7系航空硬铝设计的3D拱形框架结构，背部悬浮镂空，支撑性强且透气性好。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FreeFit四档背长调节：用户可根据自身情况调节合适长度，让背负更舒适。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肩带和腰带：加宽加厚，并采用多层衬垫设计，肩带处有弹力口袋可收纳水壶，腰带处有拉链口袋可放置手机等细碎物品。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5.细节设计：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拉链：主仓配备双相拉链，三面拉开，设有快开保险扣。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防雨罩：顶仓小兜内有防雨罩，应对恶劣天气。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分仓小包：主仓上部带有分仓小包，半仓摄影包时可存放衣服或其他用品。</w:t>
            </w:r>
          </w:p>
        </w:tc>
      </w:tr>
      <w:tr w14:paraId="749A0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7C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77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摄像机</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27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54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6FF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1.影像传感器：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传感器类型：背照式Exmor R CMOS；传感器尺寸：1/2.5英寸；总像素：约857万像素。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2.记录：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记录介质：SDHC存储卡；较大扩展容量：256GB；容量：64GB；静态影像记录格式：JPEG；音频格式：线性PCM 2ch(48kHz/16bit)；扬声器：单声道扬声器；视频信号：UHDTV；双摄录制：是。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3.光学/镜头：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镜头：蔡司镜头；防抖：平稳光学防抖；光圈：F2.0-3.8；光学变焦：20x；数码变焦：250x*9；滤镜直径：55mm；较近对焦距离：约1cm-80cm。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4.液晶屏：3.0寸约46万像素液晶屏；触摸屏：是；翻转角度：约270度。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5.对焦：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对焦系统：对比度对焦；对焦模式：自动/手动（触摸屏）；快速智能对焦：是。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6.曝光系统：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测光模式：多区分割/点测光；曝光补偿 ：自动；低照度模式：是；逆光补偿：是；降噪：是；白平衡模式：自动/一键式/户外/室内；手动白平衡：是。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7.快门：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自动快门速度：1/6-1/10000；标准快门速度：1/50-1/10000；快门速度(手动光圈)：1/25-1/10000；快门速度(手动快门)：1/6-1/10000。 </w:t>
            </w:r>
          </w:p>
        </w:tc>
      </w:tr>
      <w:tr w14:paraId="5BCD8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F2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7C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照相机</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35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D7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F11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一、相机镜头参数：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1.主要性能：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镜头分类：微单镜头；镜头结构：14组18片；镜头卡口：RF卡口；滤镜尺寸：77mm。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2.光学参数：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焦距范围：24-105mm；最近对焦距离：0.45m。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3.其它参数：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镜头直径：83.5mm；镜头长度：107.3mm；镜头重量：700g。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二、内存卡参数：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类型：SD卡、SDXC卡；容量：128GB；尺寸：32mm×24mm×2.1mm；重量：约1.5g；速度参数：数据读取速度：最高可达140MB/s；数据写入速度：约为20MB/s；速度等级：CLASS 10，满足全高清视频录制和播放等需求。工作温度：-25℃至85℃；存储温度：-40℃至85℃。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三、照相机参数：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1.传感器：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全画幅（约36*24mm)有效像素：2420万普通像素：显示屏尺寸：3英寸；显示屏像素：约162万像素；短片拍摄时间：23℃时拍摄4K约1小时20分钟、全高清约3小时50分钟；传感器描述长宽比：3:2；除尘功能：自动、添加除尘；数据有效像素：2420万普通像素；最高分辨率：5472×3648。</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2.显示屏：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寸：3英寸；显示屏像素：约162万像素液晶屏；液晶屏特性视野率：垂直/水平约100%；亮度调节：手动（7级）；色调调整：暖色、标准、冷色；显示性能：节电、流畅；界面语言：29种（含简体中文）；触摸屏：电容式取景器类型电子取景器描述监视器尺寸和点数：0.5”，约369万点；视野率：垂直/水平方向约为100%；放大倍率：约0.76倍；眼点：约23毫米；屈光度调节范围：约-4.0～+2.0m-1（dpt）；亮度调节：自动/手动（5级）；色调调节：暖色、标准、冷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四、三脚架参数：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材质：铝合金；自重：1.45kg；最高工作高度：156cm；收纳长度：45cm；最大承重：10kg。</w:t>
            </w:r>
          </w:p>
        </w:tc>
      </w:tr>
      <w:tr w14:paraId="1B685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E8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AA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视频编辑笔记本电脑</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0B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16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64C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1.核心硬件：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处理器：通过安全可靠测评的cpu；内存：32GB LPDDR5（7467MHz，高速低功耗）；存储：2TB NVMe SSD（大容量高速存储）。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2.屏幕与触控：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尺寸：14.2英寸柔性OLED原色屏；分辨率：3120×2080（3.1K，3:2 比例，264ppi，画面细腻，适合办公/设计）；刷新率：120Hz；显示：1000nits峰值亮度，1000000:1对比度，10.7亿色（ΔE&lt;1色准），莱茵护眼认证（1440Hz PWM 调光，低蓝光）；触控：10点精准触控，支持手写笔。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3.机身与便携：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重量：980g；厚度：13.5mm。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4.系统与功能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系统：通过安全可靠测评的操作系统；续航：70Wh 电池+140W 快充；网络：WiFi6E（AX211，高速稳定连接）。</w:t>
            </w:r>
          </w:p>
        </w:tc>
      </w:tr>
      <w:tr w14:paraId="7328D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2C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FF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摄像机电池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87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C4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180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1.电池类型：锂离子电池。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2.电压：14.4V。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3.容量：72Wh（4950mAh）。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4.尺寸：长84.5mm、宽41.5mm、厚69.7mm。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5.重量：约450g。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6.颜色：黑色。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7.其他特点：电池状态数据可与摄像机持续通信，剩余容量能显示在摄像机的液晶监视器和寻像器上。</w:t>
            </w:r>
          </w:p>
        </w:tc>
      </w:tr>
      <w:tr w14:paraId="3A941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43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B8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四连卡纸打印机</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10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A7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86B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1.打印技术：PrecisionCore 行式喷墨技术，商用级喷头，高耐久性。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2.打印速度:黑白/彩色同速最高可达24页/分钟（A4）；首页输出时间：黑白约4秒，彩色约3秒；分辨率:4800*2400dpi(高质量模式）。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3.纸张尺寸：支持A3+、A3、A4、A5、B4、B5、信封、标签纸。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4.最大幅面：330mm*1200mm（横幅打印)。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5.纸张容量：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标准纸盒：250页（A4）+80页（多功能进纸器）；可选大容量纸盒：最大总容量1130页（需选配）。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6.纸张重量：64至300g/m²（支持厚纸、铜版纸）。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7.四色分体式墨仓（黑色C13T774140，青色/品红/黄色C13T774240），单瓶墨水容量：黑色140ml，彩色70ml（高容量设计）。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8.印量估算（ISO标准）：黑色约7000页，彩色约6000页（5%覆盖率）。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9.多功能一体机：打印/复印/扫描/传真（支持网络传真）。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10.扫描分辨率：1200*2400dpi（平板+ADF自动进稿器）。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11.ADF容量：50页（双面扫描支持）。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12.接口：USB 2.0、千兆以太网、Wi-Fi 5（802.11ac）、Wi-Fi Direct、NFC。</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13.移动打印：支持。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14.月负荷量：高达50000页（商用级耐久性）。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15.双面打印：自动双面（标配），节省纸张。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16.节能模式：待机功耗约2.3W。</w:t>
            </w:r>
          </w:p>
        </w:tc>
      </w:tr>
      <w:tr w14:paraId="484B6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AB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DE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胶棒</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AE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54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C9E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1.规格：12支/盒。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2.胶体颜色：白色。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3.单支尺寸：95.15mm*25.3mm。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4.产品净含量：36g。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5.材质：PVP无甲醛。</w:t>
            </w:r>
          </w:p>
        </w:tc>
      </w:tr>
      <w:tr w14:paraId="7A17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96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47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小号纸质物证袋</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39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08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EE6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1.材质：牛皮纸。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2.包装：每包配有10个物证袋、10个物证袋封口条。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3.封装方式：用物证袋封口条封口后，物证袋不能无损开启。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4.尺寸：15cm*8cm*25cm±0.2cm。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5.标识：物证袋上印有：“案件名称”、“物证名称”、“案件号”、“案件号”、“勘察单位”、“提取人”、“物证状态描述”、“物证位置描述”、“移交人”、“接收人”、“日期”等字样。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6.需提供检测机构出具的检验报告进行佐证（中标后、签订合同前提供检测报告原件复查）。</w:t>
            </w:r>
          </w:p>
        </w:tc>
      </w:tr>
      <w:tr w14:paraId="16FC4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7F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A8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中号纸质物证袋</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04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65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E23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1.材质：牛皮纸。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2.包装：每包配有10个物证袋、10个物证袋封口条。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3.封装方式：用物证袋封口条封口后，物证袋不能无损开启。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4.尺寸：30cm*17cm*46cm。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5.标识：物证袋上印有：“案件名称”、“物证名称”、“案件号”、“案件号”、“勘察单位”、“提取人”、“物证状态描述”、“物证位置描述”、“移交人”、“接收人”、“日期”等字样。</w:t>
            </w:r>
          </w:p>
        </w:tc>
      </w:tr>
      <w:tr w14:paraId="63796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AF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CB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一次性手术手套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10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E1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500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1.结构与组成：由天然橡胶胶乳制成。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2.表面型式：麻面。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3.尺码：6、6.5、7、7.5、8。</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4.颜色：乳白色。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5.长度：26cm。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6.厚度：0.3mm。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7.灭菌方式：经环氧乙烷辐射灭菌，残留量≤10ug/g。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8.包装规格：1副/纸塑袋。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9.拉伸性能：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老化前：扯断力的最小值12.5N；扯断伸长率的最小值700%；300%定伸负荷最大值2.0N。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老化后：扯断力的最小值9.5N；扯断伸长率的最小值550%。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10.不透水性：手套应不漏水。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11.化学性能：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水抽提蛋白质限量：≤200ug/dm²。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表面残余粉末限量：无粉手套≤2.0mg/只。</w:t>
            </w:r>
          </w:p>
        </w:tc>
      </w:tr>
      <w:tr w14:paraId="465D5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ED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D9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纱布卷</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B5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91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330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1.规格:82cm*1000cm。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2.产品尺寸：测量结果均在公差范围内。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3.产品外观：外观白净，手感柔软，无异味，霉斑污渍，杂质破洞等缺陷；无毛边外漏等现象，无多余线头。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4.色牢度：按照YY0594-2006实验，白棉布不被染色。</w:t>
            </w:r>
          </w:p>
        </w:tc>
      </w:tr>
      <w:tr w14:paraId="1B4B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A7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A8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一次性检查乳胶手套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33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81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181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1.规格：100只/盒。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2.结构及组成：采用天然橡胶材料制造，有足够的强度和阻隔性能。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3.非无菌提供，一次性使用。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4.颜色：乳白色。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5.产品特点：有粉光面、顺滑不粘手、柔软服帖、耐磨不易破、防水耐污。</w:t>
            </w:r>
          </w:p>
        </w:tc>
      </w:tr>
      <w:tr w14:paraId="4A762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FB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D9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注射器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D1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1E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C85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1.规格：10ml。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2.针筒内直径：1.5cm。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3.筒长：7.5cm。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4.针筒全长：10.5cm。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5.内直径：0.2cm。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产品特点：环氧乙烷灭菌、无菌；独立包装、即拆即用；高密封性液体不泄露，双层胶塞，胶塞与管壁贴合度高，不易进空气，不漏液，不浪费；管壁透明，刻度清晰，易于观察管内液体情况，油墨附着力强，刻度清晰不掉色；采用磨尖技术，针头圆正不偏，无毛刺弯钩进针顺畅，痛感若有似无。</w:t>
            </w:r>
          </w:p>
        </w:tc>
      </w:tr>
      <w:tr w14:paraId="7F0CA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D9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58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一次性PE手套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B4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24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532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1.材质：TPE（热塑性弹性体），这种材料兼具橡胶弹性和塑料加工性能，无毒无味，符合环保和可持续发展的要求。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2.规格：有多种尺码可选，100只/盒。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3.厚度：约3丝，加厚设计使其更加耐用，不易破损。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4.功能特性：具有极好的拉力和弹性，耐腐蚀、耐油污，贴附性好，手感绵软，不易滑手，防静电性好，且不含天然乳胶成分，对人体皮肤无过敏反应。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5.保质期：5年。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6.颜色与图案：颜色通常为透明，图案为透明无图案，方便查看手部操作。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7.毛重：约 240g。</w:t>
            </w:r>
          </w:p>
        </w:tc>
      </w:tr>
      <w:tr w14:paraId="7ABD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12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0C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一次性真空采血管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5A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F0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3A2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1.管身尺寸：12.4mm*75mm。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2.容量：2ml。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3.产品结构与组成：由试管、塞子、添加剂等组成。试管材质一般为PET，管帽为PP材质，胶塞为丁基胶塞。采血管内含有抗凝剂乙二胺四乙酸二钾（EDTA-K2），内壁喷涂有防止挂壁的药剂。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4.颜色标识：管帽为紫色，方便在采集和检测过程中进行识别和区分。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5.灭菌方式：辐照灭菌。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6.保质期：2年。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7.包装规格：100支/板。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8.适用范围：适用于临床血液学检测，常用于血型检测、血细胞计数、血红蛋白测定等血常规检查。EDTA-K2抗凝剂能与血液中的钙离子结合，阻止血液凝固，且对血球的凝集及血细胞的形态影响较小。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9.性能指标：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抽吸体积：容量（含液体附加剂）的90%-110%之间。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容器泄漏试验：不得检出荧光。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容器强度试验：承受3000g的加速度，且无断裂、塌陷、裂缝或其他物理缺陷。</w:t>
            </w:r>
          </w:p>
        </w:tc>
      </w:tr>
      <w:tr w14:paraId="08D48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7C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82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手术刀片</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E6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61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片</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599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1.高硬度和耐磨性：经过淬火和回火处理后，硬度可达58-62HRC，适用于长期切割各类组织，能保持刀刃锋利，减少磨损。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2.良好的耐腐蚀性：铬含量较高，能抵抗血液、组织液等的腐蚀，钼元素进一步增强抗点蚀和缝隙腐蚀能力，确保刀片在手术环境中性能稳定。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3.较好的淬透性：可在较大尺寸工件中获得均匀硬度和组织，保证整体性能一致性。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4.一定的韧性：通过合理热处理，在高硬度和耐磨性的基础上，具备一定韧性，防止脆性断裂。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刀刃角度：一般在15°-30°左右，不易在切割过程中崩裂。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锋利度：根据YY/T 0174-2019 标准，通过切割力测试法和刃口微观检测法来衡量。切割力为≤0.5N/mm，以实现轻松切割，减少对组织的牵拉和损伤。刃口微观上，刃口角度偏差小，粗糙度低，表面光滑且无缺口或崩刃现象，确保切割的精准性和流畅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硬度与韧性平衡：硬度需达到55HRC以上，以保证刀片在多次使用和切割坚韧组织时不易卷刃。同时，通过合适的热处理工艺，使刀片具有一定的韧性，能承受一定的冲击力，避免在切割过程中刀刃突然断裂，尤其是在处理一些坚韧的筋膜、韧带等组织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生物相容性：需通过环氧乙烷（EO）灭菌或辐照灭菌，无菌保证水平（SAL）达 10</w:t>
            </w:r>
            <w:r>
              <w:rPr>
                <w:rFonts w:hint="default" w:ascii="Times New Roman" w:hAnsi="Times New Roman" w:eastAsia="宋体" w:cs="Times New Roman"/>
                <w:i w:val="0"/>
                <w:iCs w:val="0"/>
                <w:color w:val="auto"/>
                <w:kern w:val="0"/>
                <w:sz w:val="22"/>
                <w:szCs w:val="22"/>
                <w:u w:val="none"/>
                <w:lang w:val="en-US" w:eastAsia="zh-CN" w:bidi="ar"/>
              </w:rPr>
              <w:t>⁻⁶</w:t>
            </w:r>
            <w:r>
              <w:rPr>
                <w:rFonts w:hint="eastAsia" w:ascii="宋体" w:hAnsi="宋体" w:eastAsia="宋体" w:cs="宋体"/>
                <w:i w:val="0"/>
                <w:iCs w:val="0"/>
                <w:color w:val="auto"/>
                <w:kern w:val="0"/>
                <w:sz w:val="22"/>
                <w:szCs w:val="22"/>
                <w:u w:val="none"/>
                <w:lang w:val="en-US" w:eastAsia="zh-CN" w:bidi="ar"/>
              </w:rPr>
              <w:t>。</w:t>
            </w:r>
          </w:p>
        </w:tc>
      </w:tr>
      <w:tr w14:paraId="77FC1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6D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00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非吸收性医用缝合线</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BD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AB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卷</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6FE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1.型号规格：9-0圆针，3/8弧度，针尺寸为1*5（通常表示针径1mm，弦长5mm），双针。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2.有效期：3年。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3.产品组成：由医用缝合针和非吸收性外科缝线连接而成，缝合针由30Cr13不锈钢制成，具有良好的强度和耐腐蚀性。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4.适用范围：供外科手术中对人体组织缝合、结扎之用。</w:t>
            </w:r>
          </w:p>
        </w:tc>
      </w:tr>
      <w:tr w14:paraId="7A75A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42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F7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兽医用缝合针</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75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A0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899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1.尺寸：针体长度约为40mm，直径约为1.1mm。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2.材质：通常采用不锈钢材质，具有坚固耐用、不易生锈的特点，能保证针体在多次使用和消毒过程中保持良好的性能。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3.针型：可能有三角针和圆针等不同针型可供选择。三角针针尖呈三角形，较为锐利，适合穿透皮肤、韧带等较坚韧的组织；圆针针尖圆钝，用于缝合肌肉、脏器等软组织，可减少组织损伤。</w:t>
            </w:r>
          </w:p>
        </w:tc>
      </w:tr>
      <w:tr w14:paraId="39789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0E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B9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组织固定液</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D1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81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C84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1.主要成分：一般含有36%-38%的甲醛（CH</w:t>
            </w:r>
            <w:r>
              <w:rPr>
                <w:rFonts w:hint="default" w:ascii="Times New Roman" w:hAnsi="Times New Roman" w:eastAsia="宋体" w:cs="Times New Roman"/>
                <w:i w:val="0"/>
                <w:iCs w:val="0"/>
                <w:color w:val="auto"/>
                <w:kern w:val="0"/>
                <w:sz w:val="22"/>
                <w:szCs w:val="22"/>
                <w:u w:val="none"/>
                <w:lang w:val="en-US" w:eastAsia="zh-CN" w:bidi="ar"/>
              </w:rPr>
              <w:t>₂</w:t>
            </w:r>
            <w:r>
              <w:rPr>
                <w:rFonts w:hint="eastAsia" w:ascii="宋体" w:hAnsi="宋体" w:eastAsia="宋体" w:cs="宋体"/>
                <w:i w:val="0"/>
                <w:iCs w:val="0"/>
                <w:color w:val="auto"/>
                <w:kern w:val="0"/>
                <w:sz w:val="22"/>
                <w:szCs w:val="22"/>
                <w:u w:val="none"/>
                <w:lang w:val="en-US" w:eastAsia="zh-CN" w:bidi="ar"/>
              </w:rPr>
              <w:t>O），还可能含有8%-10%的甲醇作为稳定剂。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2.外观：无色透明液体，具有强烈刺激性气味。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3.物理性质：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密度：约为1.083g/mL。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熔点：-15℃。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沸点：97℃。</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闪点：60℃。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折射率：1.3755-1.3775。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溶解性：能与水、乙醇、丙酮等任意混溶。</w:t>
            </w:r>
          </w:p>
        </w:tc>
      </w:tr>
      <w:tr w14:paraId="2E72A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14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D0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医用酒精</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DB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AE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34E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1.规格：500ml/瓶。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2.密度：约0.81g/ml（20℃时），500ml的质量约405g。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3.主要成分：乙醇含量95%（v/v），其余为水。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4.用途：常用于燃料（如酒精灯）、工业清洗、实验室试剂等。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5.燃点：约15℃，属于易燃液体，需远离火源。</w:t>
            </w:r>
          </w:p>
        </w:tc>
      </w:tr>
      <w:tr w14:paraId="193E3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F2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6E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尸体袋</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E1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A6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D58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1.尺寸：200*75*25cm。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镉、铅、汞、六价铬、多休联苯总量、一溴联苯、二溴联苯、三溴联苯、四溴联苯、五溴联苯、六溴联苯、七溴联苯、八溴联苯、九溴联苯、十溴联苯、多溴二苯醚总量、一溴二苯醚、二溴二苯醚、三溴二苯醚、四溴二苯醚、五溴二苯醚检测结果均未检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3.需提供检验报告，进行佐证（中标后、签订合同前提供检测报告原件复查）。</w:t>
            </w:r>
          </w:p>
        </w:tc>
      </w:tr>
      <w:tr w14:paraId="6B518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1A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10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开颅锯圆形锯片</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FB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2F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8B0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1.切割材质适配性：专用于切割人体颅骨（成分主要为羟基磷灰石和胶原蛋白）；不适用于金属、木材等非生物硬组织。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2.摆动角度：2°-4°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3.切割精度与切口质量：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切口宽度：0.8mm-1.5mm±0.1mm。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切口平整度：切割后骨面相对平整，无过度崩裂或阶梯状不平。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4.材质与涂层：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基体材质：高强度不锈钢304医用级、特种合金钢。要求高硬度、高韧性、耐腐蚀。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齿尖材质/涂层：金刚石涂层、碳化钨颗粒烧结齿尖是主流，金刚石涂层提供极高耐磨性。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5.几何结构：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齿形：梯形齿；齿数：TPI 4-8；锯齿排：三左一右。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6.尺寸规格：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外径：Ø40mm-Ø60mm；内孔直径：Ø15.875mm/5/8"；厚度：1.5mm。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7.表面光洁度/粗糙度：表面应高度光滑 (Ra ≤0.8μm)，减少组织残留，便于彻底清洗和消毒灭菌。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w:t>
            </w:r>
            <w:r>
              <w:rPr>
                <w:rFonts w:hint="eastAsia" w:ascii="宋体" w:hAnsi="宋体" w:eastAsia="宋体" w:cs="宋体"/>
                <w:i w:val="0"/>
                <w:iCs w:val="0"/>
                <w:color w:val="auto"/>
                <w:kern w:val="0"/>
                <w:sz w:val="22"/>
                <w:szCs w:val="22"/>
                <w:u w:val="none"/>
                <w:lang w:val="en-US" w:eastAsia="zh-CN" w:bidi="ar"/>
              </w:rPr>
              <w:t>耐腐蚀性：必须耐受常用消毒剂（如含氯消毒液、酒精、戊二醛）和高温高压灭菌。最高耐受灭菌温度/次数121°C/135°C, ≥100次循环。</w:t>
            </w:r>
          </w:p>
        </w:tc>
      </w:tr>
      <w:tr w14:paraId="50EA2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55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41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电动剃须刀</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71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59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0D3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1.适用电压：100V-240V。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2.功率：15W恒压。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3.频率：50/60Hz。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4.充电时间：约1小时。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5.电池容量：2200mAh。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6.使用时间：约210分钟满电运行。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7.使用方式：充插两用。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8.产品长度：18cm.</w:t>
            </w:r>
          </w:p>
        </w:tc>
      </w:tr>
      <w:tr w14:paraId="54F1A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B9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AF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导尿包</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60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56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A1A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1.导尿管：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材质：乳胶；2.规格：14F；类型：三腔。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2.辅助器械：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无菌手套、洞巾、碘伏棉球（或消毒棉片）、润滑剂、引流袋、标本杯等。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3.包装：独立无菌包装，有效期为3年，包装破损不可使用。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4.气囊容量：容量为15ml，注水后可固定于膀胱内。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5.柔韧性：材质柔软，减少尿道黏膜损伤风险。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6.密封性：引流袋接口需密封良好，避免漏尿。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7.使用条件：仅限一次性使用，开封后需在无菌环境下操作。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8.储存条件：常温干燥处存放，避免阳光直射。</w:t>
            </w:r>
          </w:p>
        </w:tc>
      </w:tr>
      <w:tr w14:paraId="4EDB9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63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70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检测试剂盒</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A6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27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5A4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1.PCR标准反应体系25微升，可按10微升扩增体系。</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2.采用六色荧光技术，使用具有专利技术的LIZ作为分子量内标，在维持扩增产物大小不变的条件下，有效提高单个泳道分辨的片段数。多色荧光标记，便于更清晰的分辨基因座标记。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3.单管同时扩增24个基因座：D3S1358、vWA、D16S539、CSF1PO、TPOX、Y indel、Amelogenin、D8S1179、D21S11、D18S51、DYS391、D2S441、D19S433、TH01、FGA、D22S1045、D5S818、D13S317、D7S820、SE33、D10S1248、D1S1656、D12S391、D2S1338</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4.24个基因座中包含10个长度低于220bp的mini-STR基因座，用于严重降解样品。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5.在25ul扩增体系中，试剂盒的检测灵敏度为125pgDNA模板量 。</w:t>
            </w:r>
          </w:p>
        </w:tc>
      </w:tr>
      <w:tr w14:paraId="75BEB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5A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14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扩增试剂盒</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77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56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FD3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1.标准反应体系25微升，可按10微升体系扩增。</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2.采用六色荧光技术，试剂盒至少包含23个常染色体STR基因座位，并包含以下基因座位：D8S1179、D21S11、D7S820、CSF1PO、D3S1358、TH01、D13S317、D16S539、D2S1338、D19S433、vWA、TPOX、D18S51、D5S818、FGA、Amelogenin等基因座。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3.试剂盒包含1个Y-indel基因座，用于辅助判断性别。</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4.基因座包含至少10个长度低于250bp的常染色体mini-STR基因座，用于严重降解样品。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5.试剂盒最大扩增片段长度不超过425bp。</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6.试剂盒包含两个内部质量参考（IQC），用于判断样本受抑制及降解情况。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7.真实Bin和虚拟Bin的个数合计大于610个，有效降低OL峰产生。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8.在25ul扩增体系中，DNA模板量最大可加至17.5ul。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9.试剂盒中针对不同基因座均设置真实的Stutter峰阈值，以保证较低峰样品的分型更可靠。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10.试剂盒已通过法医DNA分析方法科学工作组(Scientific Working Group on DNA Analysis Methods, SWGDAM)指南的验证，可用于人类身份鉴定相关的应用。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11.试剂盒具有《中国公共安全产品认证证书》。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12.试剂盒生产厂家通过IOS 18385认证。</w:t>
            </w:r>
          </w:p>
        </w:tc>
      </w:tr>
      <w:tr w14:paraId="48295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5D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36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扩增荧光检测试剂盒</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5A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4A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786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试剂盒为六色荧光技术，可检测以下基因座:核心基因座20个:DYS19、DYS385a/b、DYS3891、DYS389l1、DYS390、DYS391、DYS392、DYS393、DYS437、DYS438、DYS439、DYS456、DYS458、DYS448、DYS635、GATA-H4、DYS481、DYS533、DYS576。优选基因座15个:DYS643、DYS460、DYS549、DYS449、DYS518、DYF387S1a/b、DYS627、DYS570、DYS527a/b、DYS447、DYS444、DYS557、DYS596。5个备选基因座及3个Y-indel:DYS522、DYS593、DYS645、DYS404S1a/b、rs771783753、rs759551978、rs199815934。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2.试剂盒实体bin 数量不少于480个，bin 总数不少于700个，减少数据分析中OL峰出现的机率，提高数据准确性.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3.试剂盒最大片段长度不超过550bp,且核心和优选基因座均小于500bp，提高降解检材的检出率。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4.规格：100人份/盒。</w:t>
            </w:r>
          </w:p>
        </w:tc>
      </w:tr>
      <w:tr w14:paraId="71FBA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4C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23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毛细管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A8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51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B0C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毛细管数量和长度</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：配备24道毛细管，毛细管长度为50cm</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温度控制</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：采用先进的导热系统设计，满足DNA片段分析时对温度控制的严格要求。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激光源</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：使用505nm单波长固态长寿激光源，采用标准电源供电，无需散热。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信号一致性</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：不同仪器、不同运行以及不同毛细管之间的信号强度一致性显著改善。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数据采集和分析</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：配备强大、综合的数据采集和初步分析软件，提供数据质量的实时评估。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多色荧光检测</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：具备先进的多色荧光分析能力，可对DNA片段进行多达6种不同荧光染料的多重检测。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无线射频识别（RFID）</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：追踪关键消耗品数据并记录管理信息。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应用灵活性</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：一种毛细管阵列和一种聚合物分离胶适用于大部分研究应用。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应用场景</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：适用于从头测序和重测序（突变分析）、微卫星分析、MLPA™、LOH、MLST和SNP验证或筛选等广泛的应用场景。</w:t>
            </w:r>
            <w:r>
              <w:rPr>
                <w:rFonts w:hint="default" w:ascii="Times New Roman" w:hAnsi="Times New Roman" w:eastAsia="宋体" w:cs="Times New Roman"/>
                <w:i w:val="0"/>
                <w:iCs w:val="0"/>
                <w:color w:val="auto"/>
                <w:kern w:val="0"/>
                <w:sz w:val="22"/>
                <w:szCs w:val="22"/>
                <w:u w:val="none"/>
                <w:lang w:val="en-US" w:eastAsia="zh-CN" w:bidi="ar"/>
              </w:rPr>
              <w:t>‌</w:t>
            </w:r>
          </w:p>
        </w:tc>
      </w:tr>
      <w:tr w14:paraId="57B43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A2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A5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甲酰胺</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AE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2D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C0F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1.基本信息：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化学式：CH₃NO；分子量：45.04。</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2.物理性质：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性状：无色透明油状液体，有氨味，吸湿，可燃；熔点：2.5~3℃（20/4℃时 2.55℃）；沸点：210℃（101.3kPa，部分分解，180℃开始分解）；相对密度：1.133（20/4℃），1.134（25/4℃）；折射率：1.4468（25℃），1.447（20℃）；黏度：2.926mPa·s（20℃），3.302mPa·s（25℃）；闪点：154℃（开杯），175℃（闭口）；燃点：&gt;500℃；溶解性：与水、甲醇、乙醇等混溶，微溶于苯，不溶于醚、氯代烃；可溶解酪蛋白、明胶、部分无机盐（如铜、铅氯化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3.化学性质：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反应性：含羰基和酰胺基，易水解（酸碱/加热加速）、分解（35℃以下释放氰化氢）、环合（生成杂环化合物，如维生素 B4 中间体）；禁配物：强氧化剂、酸、碱；腐蚀性：腐蚀铜、黄铜、铅、橡胶，储存需防接触。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4.毒性与安全：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毒性：有毒（中毒），大鼠经口 LD₅₀ 6.1g/kg；蒸气刺激眼、呼吸道，皮肤可致敏；安全标识：S45（就医）、S53（避免接触）、S26（洗眼就医）、S36/S37/S39（防护装备）；危险标识：R61（致畸）、R36/37/38（刺激眼 / 呼吸 / 皮肤）。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5.制备与储存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制备：甲酸甲酯氨解后蒸馏除甲醇；储存：阴凉通风，远离火种、酸碱，防腐蚀（铜、铅材质容器禁用）。</w:t>
            </w:r>
          </w:p>
        </w:tc>
      </w:tr>
      <w:tr w14:paraId="65546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BD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A1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384胶</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8F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EA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082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1.包装规格：384样品袋，支持3500系列最多60次进样，或3500xl系统最多20次进样。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2.更换周期：开封后需在14天内用完（以先到期的进样次数或时间为准）。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3.毛细管长度：36cm；读取长度≥420bp（片段分析）；分辨率：≤1bp（50-400bp片段）。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4.性能设计：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温度控制：动态控温范围18℃–70℃，确保电泳稳定性。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分离效率：优化电渗流控制，实现高分辨率片段分离。荧光兼容性：支持6色荧光多重检测，适用于SNP分型及微卫星分析。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预配制包装：开袋即用，避免配制误差，节省时间。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RFID追踪：包装含无线射频标签，自动记录批次、有效期及使用量。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快速运行：POP-4™配合HID36模块时，35分钟完成1次分析（36cm毛细管）。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5.存储条件：2℃–8℃冷藏，避免冻结（有效期见标签）。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6.开封后寿命：上机后7天内或完成指定样本量（如384样品袋）需更换。</w:t>
            </w:r>
          </w:p>
        </w:tc>
      </w:tr>
      <w:tr w14:paraId="6750F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2F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22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阳极缓冲液</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BA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9C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9F1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1.规格：4条/套。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2.材料透明、无色且无颗粒。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3.pH价值：7.898。</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4.电导率：1771μs/cm。</w:t>
            </w:r>
          </w:p>
        </w:tc>
      </w:tr>
      <w:tr w14:paraId="13063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CD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B1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阴极缓冲液</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A9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4D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FEB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1.规格：4条/套。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2.澄清、无颗粒、粘稠溶液。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3.pH价值7.898。</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4.电导率：1771μs/cm。</w:t>
            </w:r>
          </w:p>
        </w:tc>
      </w:tr>
      <w:tr w14:paraId="7DB9C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86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46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清洗液</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24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10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89A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1.规格：250ml/瓶；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2.物理状态与外观：清澈、无色至淡黄色的液体浓缩液。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3.浓度：这是一种10倍浓缩液(10X Concentrate)。使用前必须用高纯度去离子水(Type I，18.2 MΩ·cm) 稀释10倍。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主要成分/功能：包含表面活性剂（如十二烷基硫酸钠或类似物）、缓冲盐（维持pH）和防腐剂（如叠氮化钠）；主要功能是在测序运行之间彻底冲洗毛细管阵列，去除残留的聚合物、荧光染料碎片和盐分，防止交叉污染和背景升高，确保后续运行的数据质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5.pH值：典型值在7.0-7.5范围内（在稀释后测量或由浓缩液性质决定）。这个pH范围对于毛细管电泳和系统稳定性非常重要。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6.稀释要求：必须严格按照操作手册要求，使用高纯度去离子水稀释成1X工作液。稀释比例是1份浓缩液+9份去离子水。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7.储存条件：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未开封浓缩液：应在2℃至8℃(冰箱冷藏) 条件下储存。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稀释后的工作液(1X)：通常可在室温(15℃至28℃)下储存数周（具体参考产品说明书或实验室SOP），但建议根据使用频率少量配制，并在瓶子上标注配制日期。长期储存或稳定性有疑虑时，也可冷藏（2℃至8℃），使用前需平衡至室温并混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8.保质期：查看瓶子标签上的有效期。未开封浓缩液在推荐储存条件下通常有较长的保质期（例如18个月到2年或更长）。稀释液的保质期较短。</w:t>
            </w:r>
          </w:p>
        </w:tc>
      </w:tr>
      <w:tr w14:paraId="1D37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79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19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10ul枪头</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6F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E5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3AD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1.规格：1000个/包，非灭菌，袋装。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2.材质：进口聚丙烯（PP)材质制成，符合USP Class-VI标准。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3.温度试用范围：-80℃至121℃，高温高压后不变形。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4.量程：0.5-10ul。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5.产品特点：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通用适配吸头，兼容大多数科研级移液器；滤芯吸头，防止气体和液体污染；多种包装形式，通用和滤芯吸头有散装，支架和重装模式；锥形孔，减少了样本残留，增加了移液器的精确性；刻度标识，允许视觉确认移液器吸取量；洁净室生产环境，确保产品无DNA酶/RNA酶和无热原；稳定的产品质量，每一批次生产都进行严格测试；无菌产品，通用和滤芯吸头提供有无菌包装；低吸附，允许珍贵样品的最大回收。</w:t>
            </w:r>
          </w:p>
        </w:tc>
      </w:tr>
      <w:tr w14:paraId="40A27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EB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1E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200ul枪头</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70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1C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585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1.规格：1000个/包，斜嘴，未灭菌，袋装。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2.口径：5.5mm；长度50mm；材质：环保聚丙烯pp。</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3.产品适用：与移液器联合使用，定量吸取微量液体，适用于实验室，科研单位等科学领域。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产品特点：一次性使用，耐高温耐高压，采用纯聚丙烯PP制作，表面润湿性佳，吸附液体残留少，吸头尖端无毛尖，凸起，划痕，气泡或杂志与仪器实现完好匹配与密封，无DNA、RNA酶，无热源，可高压灭菌，强度适中，确保吸嘴与移液器接触紧密，移液准确，推出吸嘴更加省力，适合大部分单道或多道移液器使用</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w:t>
            </w:r>
          </w:p>
        </w:tc>
      </w:tr>
      <w:tr w14:paraId="11B45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8B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B0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1000ul枪头</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B3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09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2BB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1.规格：1000个/包，斜嘴，未灭菌，袋装。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2.口径：7mm；长度70mm；材质：环保聚丙烯pp。</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3.产品适用：与移液器联合使用，定量吸取微量液体，适用于实验室，科研单位等科学领域。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4.产品特点：一次性使用，耐高温耐高压，采用纯聚丙烯PP制作，表面润湿性佳，吸附液体残留少，吸头尖端无毛尖，凸起，划痕，气泡或杂志与仪器实现完好匹配与密封。</w:t>
            </w:r>
          </w:p>
        </w:tc>
      </w:tr>
      <w:tr w14:paraId="3C94E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CA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9D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0.2ml离心管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50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D9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6F0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1.容量</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：0.2ml。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材质</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：聚丙烯（PP）。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管盖设计</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：平盖（防蒸发，适配标准96孔板）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4.生物安全性：</w:t>
            </w:r>
            <w:r>
              <w:rPr>
                <w:rFonts w:hint="eastAsia" w:ascii="宋体" w:hAnsi="宋体" w:eastAsia="宋体" w:cs="宋体"/>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无污染认证</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：不含RNase、DNase及热原；</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热传导性能</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：超薄均匀管壁，确保PCR反应中快速精准的热传递。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5.包装规格：1000支/盒。</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6.适用场景：常规PCR、qPCR实验；适配标准96孔板离心机和热循环仪。</w:t>
            </w:r>
          </w:p>
        </w:tc>
      </w:tr>
      <w:tr w14:paraId="77AEA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29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D7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0.6ml离心管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8E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83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B4D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1.规格：1000个/盒。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2.材质与安全性：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原料：99.9%生物级聚丙烯（不含重金属、金属离子）。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透明度：玻璃般高透明度，表面光洁无污染。生物兼容性：部分型号标注无RNase/DNase、无热原。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3.容量：0.6ml（标准设计）。离心耐受性：通用型：耐受20000g离心力。薄壁型：耐受14000g。密封性：按扣盖可承受55psi压力，螺旋盖带密封圈（长期储存适用）。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3.管盖与标识：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盖类型：按扣盖（8种颜色可选）或螺旋盖（11种颜色可选）。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标识设计：磨砂盖面及管身侧壁，便于标记；盖中央带针孔穿刺膜。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4.关键应用场景：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常规离心：血液、尿液、细胞培养液分离（透明型便于观察沉淀）。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微量样品处理：DNA/RNA提取、PCR分装（低吸附型减少损失）。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长期储存：螺旋盖型号推荐用于冷藏或冻存样品。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无菌操作：灭菌型适用于无菌环境及敏感实验。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5.使用注意事项：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禁止超容：样品量勿超过标称容量，避免离心破裂。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单次使用：所有型号均为一次性，防止交叉污染。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温度限制：避免高温酸碱环境存放，影响材质稳定性。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避光要求：透明管需避光保存，棕色管适用于光敏感样品。</w:t>
            </w:r>
          </w:p>
        </w:tc>
      </w:tr>
      <w:tr w14:paraId="2A569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7E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59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1.5ml离心管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03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04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B75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1.容量：1.5ml。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2.材质：聚丙烯（PP）。</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3.颜色：透明。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4.灭菌状态：非无菌。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5.酶/热源：无DNA酶、无RNA酶、无热源。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6.物理特性：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管盖：弹扣式（Snaplock），确保密封性，中心带薄膜便于针头取样。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标记区：磨砂盖表面和侧面磨砂面板，便于书写标签。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底部：尖底设计（部分来源标注为平底，需确认具体批次）。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离心力：最高承受14,000×g（约20,000×g耐高温型号）。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温度范围：耐高温（可煮沸，具体温度未明确标注）。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7.包装规格：500支/盒。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8.应用场景：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常规用途：血清/血浆分离、细胞培养、PCR反应等生物实验。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特殊适配：兼容多数1.5ml离心机转子。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9.非重复使用：一次性耗材，避免交叉污染。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10.存储条件：室温干燥环境，避免强酸强碱。</w:t>
            </w:r>
          </w:p>
        </w:tc>
      </w:tr>
      <w:tr w14:paraId="0C1FA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C7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C7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抗人精检测试剂条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A4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22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2A9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1.产品尺寸：3*7cm。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2.包装规格：100人份/盒。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3.主要功能：该试剂条快速定性检测人精斑。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4.判定时间：5分钟内。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5.判定办法：观察区内色带。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镉：≤100mg/k。</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铅：≤1000mg/k。</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汞：1000mg/k。</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多溴联苯总量：≤1000mg/k。</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6.需提供检验报告，进行佐证（中标后、签订合同前提供检测报告原件复查）。</w:t>
            </w:r>
          </w:p>
        </w:tc>
      </w:tr>
      <w:tr w14:paraId="1D76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0B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DA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抗人血红蛋白检测试剂条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76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4E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CDC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1.产品尺寸：3*7cm。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2.规格：100条/盒。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3.主要功能：快速定性检测人类血液。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4.依据方法：能检测出样本中高于1ng/ml浓度的人类血红素。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5.判定时间：5分钟内。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6.判定办法：观察区内色带。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镉：≤100mg/k。</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铅：≤1000mg/k。</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汞：1000mg/k。</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多溴联苯总量：≤1000mg/k。</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7.需提供检验报告，进行佐证（中标后、签订合同前提供检测报告原件复查）。</w:t>
            </w:r>
          </w:p>
        </w:tc>
      </w:tr>
      <w:tr w14:paraId="2095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16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1D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全自动混合斑DNA提取试剂盒</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11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8B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FAE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产品介绍：专用于性侵案件混合斑类检材的DNA提取，采用全新试剂体系，可以专项高效裂解女性成分，结合精子细胞富集膜，有效回收精子细胞，从而达到混合斑检材男女成分快速分离的目的；速度快：提取1-4份混合斑样本全程2小时35分钟，提取5-24（或5-8）份混合斑样本全程2小时50分钟；效果好：整体方案以全自动微量DNA提取工作站为平台，采用“分离膜+富集膜”技术提取效果可以媲美手工；一“点”即可：点击实验启动按键，实验结束后即可同时获得男性、女性成分DNA模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2.适用场景：性侵案件混合斑检材的男女成分分离。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3.规格：8次/盒。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4.包装内容：一体式封装试剂板（含预分装磁珠、消化液、洗脱液等）；配套混合斑处理套装（含精子细胞富集膜）；适配吸头、离心套板等辅助耗材。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5.技术特点与工作原理：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女性成分裂解技术：采用专用试剂体系高效裂解阴道上皮细胞，保留完整精子细胞。精子细胞富集膜：选择性吸附精子细胞，实现男女成分物理分离。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自动化兼容性：适配全自动工作站。撕开密封膜即可直接上机，全程无需人工干预。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性能标准：分离效果接近手工精细化操作，满足疑难案件检验要求。</w:t>
            </w:r>
            <w:r>
              <w:rPr>
                <w:rFonts w:hint="eastAsia" w:ascii="宋体" w:hAnsi="宋体" w:eastAsia="宋体" w:cs="宋体"/>
                <w:i w:val="0"/>
                <w:iCs w:val="0"/>
                <w:color w:val="auto"/>
                <w:kern w:val="0"/>
                <w:sz w:val="22"/>
                <w:szCs w:val="22"/>
                <w:u w:val="none"/>
                <w:lang w:val="en-US" w:eastAsia="zh-CN" w:bidi="ar"/>
              </w:rPr>
              <w:br w:type="textWrapping"/>
            </w:r>
            <w:r>
              <w:rPr>
                <w:rStyle w:val="47"/>
                <w:color w:val="auto"/>
                <w:lang w:val="en-US" w:eastAsia="zh-CN" w:bidi="ar"/>
              </w:rPr>
              <w:t xml:space="preserve">6.需提供质量管理体系认证证书（认证范围包含生物试剂、耗材及实验室设备的销售；生物样本采集与分离纯化试剂、耗材及设备的研发、生产和技术服务）。 </w:t>
            </w:r>
          </w:p>
        </w:tc>
      </w:tr>
      <w:tr w14:paraId="38A56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AF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A4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超微量磁珠法DNA提取试剂盒</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F8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BA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431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产品介绍：专用于各种疑难检材的DNA提取，尤其是针对杂质含量高的检材，全面升级了缓冲液配方，大大提高了抗杂质干扰能力；快速高效、DNA回收效率高；DNA纯度高，STR均衡性好，数据质量高；抗抑制能力强，检材适用性广；优化洗脱液配方，模板DNA保存更稳定；完美适配全自动工作站、大体系提取仪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2.一体化封装：试剂（磁珠、消化液、洗脱液等）预封装在塑料反应板内，覆密封膜，直接撕膜即可使用，无需人工配制。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3.配套组件：含盒装吸头（预封装）、离心套板（嵌套式，可分离）、洗脱条（支持25μl小体积洗脱）。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4.提取原理：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裂解方式：高温裂解或低温消化（针对不同检材），提升DNA释放效率。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磁珠技术：高灵敏度磁珠吸附DNA，结合洗涤和洗脱步骤，抗杂质干扰能力强。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5.性能优势：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高效处理：3小时内完成8份混合斑检材的男女成分分离。</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高兼容性：适用于降解、陈旧、微量（如单指纹、手套印痕）及污染检材，STR分型均衡性更优。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小体积洗脱：洗脱条支持25μl洗脱，提升DNA浓度。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6.适用样本类型：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类别：常规检材，具体检材：唾液（斑）、血液（斑）、精液（斑）、指甲、毛发、肌肉组织等。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类别：疑难检材，具体检材：陈旧样本、降解组织、微量接触性检材。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类别：特殊检材，具体检材：混合斑（性侵案件）、骨骼、烟头、脱落细胞等。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7.兼容性：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工作站匹配：专为全自动24道微量DNA提取工作站设计，直接置入即可运行。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自动化流程：内置配套程序，支持全自动提取（吸附、洗涤、洗脱），无需人工干预。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8.规格：8次/盒。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9.主要用途：混合斑分离（自动化）。</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10.应用场景：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法医物证：接触性DNA提取（如指纹、工具痕迹）。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刑事案件：混合斑快速分离（性侵案件）、降解组织DNA回收。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批量检验：适配高通量工作站，满足实验室大批量样本处理需求。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11.需提供检测机构出具的检验报告进行佐证（中标后、签订合同前提供检测报告原件复查）。</w:t>
            </w:r>
          </w:p>
        </w:tc>
      </w:tr>
      <w:tr w14:paraId="1DF2A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C1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58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密封胶垫</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58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FE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F38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1.规格：10块/包。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2.灭菌状态：未灭菌。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3.材质：研究级硅胶（Silicone），具有高化学稳定性和耐温性。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4.密封性能：在宽温度范围（-80℃至120℃）内有效减少蒸发，适用于PCR热循环及低温存储。设计可承受高压热循环，避免样品挥发或污染。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5.重复使用性：支持高压蒸汽灭菌（121℃, 15-20 psi）。可经漂白剂清洗和乙醇冲洗后重复使用。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6.操作与维护注意事项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灭菌要求：使用前需高压蒸汽灭菌（若实验要求无菌环境）。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清洗方法：漂白剂浸泡后彻底冲洗，再用乙醇消毒，避免残留影响后续实验。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使用限制：仅适用于匹配的96孔PCR板，不兼容384孔或其他深孔板。</w:t>
            </w:r>
          </w:p>
        </w:tc>
      </w:tr>
      <w:tr w14:paraId="015D3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BA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6B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96孔板</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13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D2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97F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1.规格：10块/包，带单切角，未灭菌。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2.孔数与容积</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：96孔板通常具有96个孔位，每个孔的容积可以为0.2ml或0.1ml。0.1ml的孔位可以最大程度地减少反应体系上方的空间，降低蒸发影响，提高热传导效率</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，最大容积250μl；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3.切角设计：带单切角。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材质与颜色</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：96孔板通常由聚丙烯（PP）等高分子材料制成，具有良好的耐热性和耐化学性。管体颜色可以是透明、磨砂或白色，其中磨砂和白色管体在荧光定量PCR实验中能减少荧光损失，提高信噪比</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裙边类型</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：96孔板可以根据需要选择无裙边、半裙边或全裙边设计。无裙边板易于剪裁，但需配合板托使用，不适用于自动化操作；半裙边板适用于部分自动化操作；全裙边板适用于自动化操作，便于机械抓取</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；材质：医用级聚丙烯（PP），无DNA酶/RNA酶、无热源；透明度：高度透明，便于样本观察。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6.板面类型</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：板面可以是全平面或边缘凸起设计。全平面板适用于大多数PCR仪，便于密封和处理；边缘凸起板有助于平衡热盖压力，实现更好的热传递</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7.封盖选项：需搭配硅胶盖、封板膜或八联管盖使用。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8.温度耐受：-30℃至140℃（PP材质熔点165℃）。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9.管壁厚度：超薄设计，提升热传导效率。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10.无菌性：未灭菌（需用户自行灭菌或直接用于非无菌实验）。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11.污染控制：无人类DNA残留，符合ISO 13485标准。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12.实验步骤</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：准备工作</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：检查96孔板是否完好无损，准备所需的试剂、引物、模板等。</w:t>
            </w:r>
            <w:r>
              <w:rPr>
                <w:rFonts w:hint="eastAsia" w:ascii="宋体" w:hAnsi="宋体" w:eastAsia="宋体" w:cs="宋体"/>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13.样本处理</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：将样本分配到各个孔位中，加入PCR反应体系，确保试剂充分混合。</w:t>
            </w:r>
            <w:r>
              <w:rPr>
                <w:rFonts w:hint="eastAsia" w:ascii="宋体" w:hAnsi="宋体" w:eastAsia="宋体" w:cs="宋体"/>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14.PCR反应</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：将96孔板放入PCR仪中，设置反应程序并启动PCR反应。</w:t>
            </w:r>
            <w:r>
              <w:rPr>
                <w:rFonts w:hint="eastAsia" w:ascii="宋体" w:hAnsi="宋体" w:eastAsia="宋体" w:cs="宋体"/>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15.结果分析</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：反应结束后，取出96孔板，采用凝胶电泳或荧光定量等方法分析PCR产物，统计和解读数据</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w:t>
            </w:r>
          </w:p>
        </w:tc>
      </w:tr>
      <w:tr w14:paraId="4BA50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AC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1D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蛋白酶K</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83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A5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6D4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1.规格：100mg/瓶。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2.应用范围：主要用于基因组DNA提取，适用于组织、细胞等样本的核酸纯化。可辅助失活RNase、DNase等核酸酶，防止核酸降解。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3.酶学特性：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酶活力：虽未明确标注具体值，但符合分子生物学级标准（参考同类产品：≥30 U/mg）。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pH范围：7.5–8.0。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温度：50–55℃（65℃以上易自降解）。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增强剂：在0.2–1% SDS或1–4M尿素存在时活性显著提升。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4.兼容性：耐受常用试剂（如EDTA、Triton X-100、盐酸胍），但受丝氨酸蛋白酶抑制剂（如PMSF）抑制。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5.储存与稳定性：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储存条件：15–30℃（短期运输）；长期保存需-20℃，避免反复冻融。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有效期：2年（-20℃下）。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6.产品优势与使用提示：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纯度保障：无DNase/RNase污染，确保核酸提取完整性。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工作浓度：推荐0.05–1 mg/mL，具体需根据样本类型及缓冲液成分调整。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安全性：仅限科研使用，操作需佩戴防护装备（手套、实验服）。</w:t>
            </w:r>
          </w:p>
        </w:tc>
      </w:tr>
      <w:tr w14:paraId="2271D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DA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0D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Lize600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13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7D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678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1.基本特性：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标记系统：采用LIZ™染料（第五种荧光染料）标记，与四染料系统（FAM™/VIC™/NED™/PET™）兼容，可同时在单泳道内进行更多样本的基因分型。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物理形态：包含36种单链DNA片段，在变性电泳条件下呈现单峰，减少杂峰干扰。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2.片段范围与组成：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覆盖范围：20–600核苷酸（nt）。</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具体片段尺寸（nt）：20, 40, 60, 80, 100, 114, 120, 140, 160, 180, 200, 214, 220, 240, 250, 260, 280, 300, 314, 320, 340, 360, 380, 400, 414, 420, 440, 460, 480, 500, 514, 520, 540, 560, 580, 600（加粗尺寸为新增或关键校准点，优化高密度分辨率）。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3.批次一致性优化：v2.0版本通过生产工艺增强，显著提升批次间一致性与峰高度平衡性，减少实验误差。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3.应用场景：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适用分析类型：微卫星（SSR）、片段长度多态性（FLP）、相对荧光定量（如基因表达差异）。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系统兼容性：全系毛细管电泳系统。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特殊要求：在仪器上需进行均一化。</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4.储存条件：2–8℃冷藏，运输需湿冰环境。</w:t>
            </w:r>
          </w:p>
        </w:tc>
      </w:tr>
      <w:tr w14:paraId="14E4F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5D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43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手工提取硅珠试剂盒</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43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8B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78A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1.适用检材类型：脱落细胞（如衣物、手套、帽子、口罩、运动鞋等表面残留）；微量/疑难检材（如指纹、陈旧骨骼、泥土中血迹等）。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2.硅珠吸附法：通过硅珠在高盐条件下特异性吸附DNA，去除蛋白质、色素等杂质，可提取极微量DNA。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3.裂解液：25mL（含蛋白酶K，用于细胞裂解）。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4.硅珠吸附液：75mL（高盐缓冲液，促进DNA结合硅珠）。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5.漂洗液：100mL×2（去除杂质）。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6.洗脱液：40mL（低盐缓冲液，释放纯化DNA）。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7.硅珠悬液：2mL（二氧化硅微球，直径约1μm），步骤简化：裂解→硅珠吸附→漂洗→洗脱，全程约1.5小时。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8.提取效率：硅珠法对脱落细胞的STR分型成功率显著高于磁珠法（如检出率提升20%-40%）。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9.兼容性：适配后续PCR扩增、STR分型等下游分析。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10.规格为200人份/盒。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11.试剂盒包含漂洗液、吸附液、TES、SLS、TC、硅珠颗粒。</w:t>
            </w:r>
          </w:p>
        </w:tc>
      </w:tr>
      <w:tr w14:paraId="6969E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49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44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DTT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98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43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C5B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1.规格：5g/瓶。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2.浓度与形式: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标准浓度：在Promega的酶反应缓冲液中，DTT的典型浓度为10mM（例如T4 DNA聚合酶10X缓冲液）。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产品形态：未明确独立包装的DTT形态（推测为液体溶液或冻干粉），但配套试剂中均以溶液形式提供。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3.化学功能: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作用机制：作为强还原剂，破坏蛋白质二硫键，防止酶氧化失活，维持反应体系稳定性。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兼容性：适用于多种酶反应体系（如T4 DNA聚合酶、逆转录系统等），且在多种内切酶缓冲液中保持活性。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4.纯度与认证: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无核酸酶污染：符合分子生物学级标准，不含DNase、RNase及蛋白酶活性（行业通用要求）。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适用领域：限科研使用，禁止临床诊断。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5.储存与使用要求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储存条件：未明确独立DTT的储存温度，但参考同类试剂（如dNTP混合物、酶制剂），建议-20℃避光保存。液态DTT易氧化，需严格密封（可充惰性气体保护）并避免反复冻融。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稳定性：长期储存需分装，溶液状态在4℃下有效期约1周，-20℃下可达1年。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6.关键实验：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核酸操作：用于T4 DNA聚合酶的悬臂补平、引物延伸等。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蛋白保护：在逆转录系统、萤光素酶检测中防止酶失活。</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缓冲液添加剂：常见浓度为1-10mM（如10X缓冲液含10mM DTT）。</w:t>
            </w:r>
          </w:p>
        </w:tc>
      </w:tr>
      <w:tr w14:paraId="0769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96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9A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TNE</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CF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99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855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1.提取原理：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硅珠吸附法：通过硅珠在高盐条件下特异性吸附DNA，去除蛋白质、色素等杂质。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2.包装规格：500ml/瓶（预灭菌液体）或粉末套装。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组分：Tris-HCl，浓度/配方：10mM (pH7.4–7.6)，作用：维持渗透压和pH稳定。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组分：NaCl，浓度/配方：150mM，作用：维持等渗环境。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组分：EDTA，浓度/配方：1mM，作用：螯合金属离子，抑制核酸酶活性。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4.关键特性：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标准pH：7.4–7.6（接近生理环境，减少细胞损伤）。可根据实验需求调整pH（如DNA保存需pH 8.0）。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5.应用场景：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细胞裂解：温和裂解细胞膜，释放胞内物质（需搭配去污剂）。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核酸保存：短期储存DNA/RNA样本（4℃下1–2周）。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膜蛋白研究：维持膜蛋白天然构象。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6.兼容性：可添加蛋白酶抑制剂（如PMSF）、去污剂（如Triton X-100）或还原剂（如DTT），禁忌：避免与高浓度金属离子共存（EDTA会螯合失效）。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7.储存与配制：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项目：储存条件，要求：室温（配制后灭菌溶液）。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项目：有效期，要求：6个月（未污染）。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项目：灭菌建议，要求：0.22 μm滤膜过滤或高压灭菌。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项目：工作温度，要求：4℃（样本保存）或室温（裂解操作）。</w:t>
            </w:r>
          </w:p>
        </w:tc>
      </w:tr>
      <w:tr w14:paraId="29CF1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80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3A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Cheliex-100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17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57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1B3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1.灵敏度：可提取极微量DNA。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2.规格：25g/瓶。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3.基础特性：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基质：苯乙烯-二乙烯基苯共聚物。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功能基团：亚氨基二乙酸盐，作为螯合基团结合多价金属离子。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4.离子选择性：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对二价阳离子（如 Cu²</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、Fe²</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、Mg²</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、Ca²</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）的选择性远高于单价阳离子（如 Na</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、K</w:t>
            </w: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），选择性比例达5,000:1。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对过渡金属（如重金属离子）具有强吸附性，即使在高浓度盐溶液中仍有效。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5.工作条件：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pH适用范围：碱性、中性及弱酸性（pH≥4）；极低pH时转为阳离子交换树脂。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再生方式：可通过稀酸回收金属离子。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6.规格物理参数：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参数项：交联度，数值/描述：1%；参数项：分子量限制(MW)：3,500。网目（干态）：50-100目、100-200目、200-400目等。珠尺寸（湿态）：50-100目：300-1,180μm，100-200目：150-300μm，200-400目：75-150μm。</w:t>
            </w:r>
          </w:p>
        </w:tc>
      </w:tr>
      <w:tr w14:paraId="2F276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36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9A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超纯水</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3C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84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箱</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A3D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1.容量：单桶5.5升。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2.水源为多重净化处理水源。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3.pH值：6.5-7.0（弱酸性）。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4.安全性：符合国家饮用水卫生标准，无菌灌装技术。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5.存储建议：避免阳光直射，常温保存，天然矿泉水款不宜冷冻。</w:t>
            </w:r>
          </w:p>
        </w:tc>
      </w:tr>
      <w:tr w14:paraId="777D2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D6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1F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现场DNA专用提取液</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F1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DB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05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1.规格：20ml/瓶。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2.灵敏度：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检出限：可稳定检出≤100pg（皮克）的DNA样本，适用于指纹、手套印痕、血迹等痕量生物检材。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模板保有量：最终DNA回收率高达75%，显著高于硅珠法（15%）、硅膜法（20%）及磁珠法（15%）。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3.操作流程：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步骤简化：仅需裂解→结合→漂洗→洗脱四步，无需移管或更换容器。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专用离心套管：集成滤杂与去载体功能，直接离心去除杂质，减少污染风险。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4.试剂盒组成与规格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组分：裂解液，功能说明：破坏细胞膜/核膜，释放DNA，技术特点：含高效蛋白酶，快速裂解顽固样本（如角质化毛发）。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组分：吸附液，功能说明：促进DNA与吸附珠结合，技术特点：优化离子浓度，提升微量DNA捕获效率。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组分：吸附珠，功能说明：磁性微球特异性结合DNA，技术特点：表面修饰高亲和力官能团，减少非特异性吸附。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组分：漂洗液，功能说明：去除蛋白质、盐类等杂质，技术特点：低pH缓冲体系，保留DNA完整性。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组分：洗脱液，功能说明：解离DNA-磁珠复合物，获得纯化DNA，技术特点：无螯合剂设计，兼容后续PCR/STR扩增。</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组分：专用套管，功能说明：离心去杂，技术特点：一体化设计，避免转移污染。</w:t>
            </w:r>
          </w:p>
        </w:tc>
      </w:tr>
      <w:tr w14:paraId="38088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6B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6D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DNA物证提取棉签</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6F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FF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030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1.规格：2支/包，250包/盒。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2.测试项目：环氧乙烷（EO），短期接触器械限值：≤4，单位：mg，测试结果：≤0.018，判定结果：合格。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3.需提供检验报告，原件备查。</w:t>
            </w:r>
          </w:p>
        </w:tc>
      </w:tr>
      <w:tr w14:paraId="417E9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F7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E4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脱落细胞粘取器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9D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C3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308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1.配套提取耗材。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2.测试项目：环氧乙烷（EO），短期接触器械限值：≤4，单位：mg，测试结果：≤0.027，判定结果：合格。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3.需提供检验报告，原件备查。</w:t>
            </w:r>
          </w:p>
        </w:tc>
      </w:tr>
      <w:tr w14:paraId="79E9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9B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B2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医用小镊子（宽头）</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2D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F9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61C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1.规格：长度10厘米。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2.材质：医用304不锈钢，具备耐腐蚀性、耐用性，需严格无菌处理后重复使用。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3.设计特点：镊臂细长，便于精细操作；有齿设计可防滑，提升夹持稳定性；部分可旋转镊臂，方便调整操作角度。</w:t>
            </w:r>
          </w:p>
        </w:tc>
      </w:tr>
      <w:tr w14:paraId="2982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C5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84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医用小镊子（尖头）</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BF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D0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51C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1.规格：长度10cm。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2.材质：多采用医用304不锈钢，具备耐腐蚀、强度高、易清洁消毒等特性。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3.消毒适配：可耐受高温高压灭菌（如压力蒸汽灭菌）、酒精消毒等常见医用消毒方式，便于重复使用保障无菌操作。</w:t>
            </w:r>
          </w:p>
        </w:tc>
      </w:tr>
      <w:tr w14:paraId="3E53D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C2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3A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医用小剪刀</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F9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19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8D0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1.规格：总长约10厘米，直尖头设计。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2.材质：医用304不锈钢，耐腐蚀、强度高，保障耐用性与安全性。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3.是否一次性：否，可经规范消毒后重复使用。</w:t>
            </w:r>
          </w:p>
        </w:tc>
      </w:tr>
      <w:tr w14:paraId="12F4B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96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03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医用消毒酒精</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EB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9C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D50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1.主要成分：乙醇，含量：75%±5%。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2.规格：500ml/瓶。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3.杀菌率：经检测可杀灭常见四大类细菌，杀菌率 99.9%。</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4.适用范围：用于手部清洁、皮肤消毒，也可用于物品表面消毒。</w:t>
            </w:r>
          </w:p>
        </w:tc>
      </w:tr>
      <w:tr w14:paraId="54923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88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1B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无水乙醇</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E0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3C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CB9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1.主要成分：以药用或食用级酒精配制而成，酒精含量为95%±5%。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2.规格：500ml/瓶。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3.有效期：5年。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4.适用范围：适用于人体完整皮肤和物体表面的消毒，也可作为燃料用于酒精灯、拔火罐等。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5.贮藏条件：应贮存在阴暗干燥和通风良好的室内。</w:t>
            </w:r>
          </w:p>
        </w:tc>
      </w:tr>
      <w:tr w14:paraId="4CF3E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06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08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高效洗洁精</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8C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D8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DE3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1.酶制剂：含有多种酶，如蛋白酶、淀粉酶、脂肪酶、纤维素酶等，可迅速、有效地分解蛋白质、碳水化合物、粘多糖及脂肪等有机物。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2.表面活性剂：通常为非离子表面活性剂等，能降低表面张力，使油污等更易分散和去除，同时对器械表面温和，减少损伤。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3.缓蚀剂：用于保护医疗器械，防止清洗过程中金属器械被腐蚀。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4.其他成分：可能还包括稳定剂等，以保证产品在储存和使用过程中的稳定性。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5.产品特性：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高效清洁：能快速分解器械上的血液、组织、粘液、分泌物等污物，对于顽固污渍也有很好的清洁效果。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适用范围广：适用于自动清洗系统和手工清洗，可用于软式、硬式内窥镜，口腔科器械，内、外科用具，外科手术器械，橡胶，医用塑料，仪器和实验室器皿等多种医疗器械的清洗。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中性pH值：呈中性，对医疗器械无腐蚀性，可有效避免洗涤剂对器械造成的腐蚀，延长器械使用寿命。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低泡沫或无泡沫：使用时泡沫少，便于在清洗过程中观察清洗效果，也有利于后续的漂洗，减少泡沫残留的风险。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生物可降解：成分可生物降解，环保性好，清洗后的污水可直接倒入下水道，符合环保要求。</w:t>
            </w:r>
          </w:p>
        </w:tc>
      </w:tr>
      <w:tr w14:paraId="630B7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29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23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医用口罩</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BB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77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279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1.口罩佩戴方式：耳戴式。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2.类型：折叠式。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3.是否灭菌级：灭菌级，环氧乙烷残留不超过10μg/g，符合GB/T14233.2-2005及GB/T14233.1-2008标准。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4.贮藏条件：常温储存（10℃-30℃）。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5.规格：50只/盒，独立包装。</w:t>
            </w:r>
          </w:p>
        </w:tc>
      </w:tr>
      <w:tr w14:paraId="06F25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45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7C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丁腈手套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10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FF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07F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1.规格：100只/盒。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2.感官要求、总迁移量、高锰酸钾消耗量、重金属（以Pb计），以上测试结果均符合。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3.需提供检测报告，原件备查。</w:t>
            </w:r>
          </w:p>
        </w:tc>
      </w:tr>
      <w:tr w14:paraId="059AB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10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91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丁腈手套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AB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C6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A47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1.规格：100只/盒。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2.感官要求、总迁移量、高锰酸钾消耗量、重金属（以Pb计），以上测试结果均符合。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3.需提供检测报告，原件备查。</w:t>
            </w:r>
          </w:p>
        </w:tc>
      </w:tr>
      <w:tr w14:paraId="7B54B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0E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A1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丁腈手套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9A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FB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011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1.规格：100只/盒。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2.感官要求、总迁移量、高锰酸钾消耗量、重金属（以Pb计），以上测试结果均符合。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3.需提供检测报告，原件备查。</w:t>
            </w:r>
          </w:p>
        </w:tc>
      </w:tr>
      <w:tr w14:paraId="79C6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49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38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医用垃圾桶（大）</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40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A8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0FB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1.容积：120L±5%。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2.尺寸：长宽高约为 560mm*475mm*945mm±5mm。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3.整体重量：≥9.0kg，其中桶身约 5.6kg±0.1kg。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4.橡胶轮：直径185mm，宽度68mm，内圈为聚乙烯，内置钢套，外圈为橡胶。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5.钢轴规格：直径21.5mm，长度456mm。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6.材料：采用全新高密度聚乙烯（HDPE）；桶体及桶盖采用100%高密度聚乙烯，插销为ABS材质，原料中注入高质量防紫外线原料占3%，颜料色素占5% 以确保塑料桶颜色保持鲜艳耐久不褪色长达6年。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7.桶体壁厚：桶体平均壁厚≥3mm，底部≥4mm，加强筋厚度6mm，桶底镶嵌10颗ABS材质耐磨钉，底部左右两侧安装塑胶耐磨块。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8.桶盖：桶盖两侧拉手有加固加强筋，投料口有明显防火标记、垃圾桶型号和最大载重量标志。桶盖耳朵部位连接桶体部位无缝隙，密封性良好，无泄漏，把手位置平滑，容易清洗。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9.桶体与桶盖连接：采用长销子三点链接，销子长度大于20cm，采用100%ABS原料，一次性注塑成型，倒刺设计使桶身与桶盖紧密相连，不会脱落。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10.手柄：桶身与把手连接设纵向8条加强筋，并在把手柄上添加防滑装置，把手下方有符合人体工程学的凹凸握感。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11.其他：靠近把手位置带有垃圾桶收紧挂钩，桶体内部有一体成型的刻度线，每隔10L有刻度线和升数。</w:t>
            </w:r>
          </w:p>
        </w:tc>
      </w:tr>
      <w:tr w14:paraId="569B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7A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B9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医用垃圾桶（小）</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8B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D9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769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1.材质：通常采用高密度抗冲击聚乙烯（HDPE），全新料制作，环保健康无害，坚固耐摔，抗打击，耐腐蚀，耐酸碱，耐冻耐高温，卫生易清洗。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2.尺寸：长480mm*宽420mm*高630mm。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3.自重：约2.45kg。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4.容积：50L。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5.颜色：明黄色，印有“医疗废物警示标识”，符合国家相关标准。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6.桶盖开启方式：脚踏式，能将垃圾桶的盖子开口大于90度打开并定位，方便投放废物，同时避免手与垃圾接触，符合医院工作对医疗废物处理的规范要求。一脚踏关，使用方便。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7.轮子：配备优质万向轮，方便转运，灵活耐用，可承受一定重量且移动顺畅，便于在医院各科室等不同区域移动。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8.工艺：一次注塑成型，桶身坚固平滑，不易破裂变形，易于清洗。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9.适用场景：适用于医院、诊所等医疗卫生机构，用于收集各类医疗废物。</w:t>
            </w:r>
          </w:p>
        </w:tc>
      </w:tr>
      <w:tr w14:paraId="182E3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73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4F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医用垃圾袋（大）</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47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D1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30A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1.规格尺寸：展开尺寸为120cm*140cm，适合用于较大容量的垃圾桶，如240L桶。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2.数量：每包50只。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3.材质：通常采用全新聚乙烯（PE）塑料制造，不含聚氯乙烯（PVC）成分，具有韧性好、拉力强、结实耐用的特点，能承受一定重量的医疗废物而不易破裂。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4.厚度：一般为3.5丝或更厚，如名羽旗舰店的该款产品有厚度5丝的选择，较厚的材质使得垃圾袋更加坚固，不易渗漏，能有效防止医疗废物中的液体渗出污染环境。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5.颜色：黄色，按照《医疗废物专用包装物容器标准和警示标识规定》，医用垃圾袋需为黄色，且印有医疗专用图案及警示标识，便于识别和区分，提醒人们注意医疗废物的特殊性质。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6.款式：平口设计，方便将医疗废物放入袋中，也便于扎口密封，防止废物泄漏。</w:t>
            </w:r>
          </w:p>
        </w:tc>
      </w:tr>
      <w:tr w14:paraId="0895F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EE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4F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医用垃圾袋（小）</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40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13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E16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1.尺寸：展开尺寸为70cm*80cm，适合50L垃圾桶使用。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2.数量：100个/包。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3.材质：通常采用全新聚乙烯（PE）塑料制造。不含聚氯乙烯（PVC）成分，具有韧性好、拉力强、结实耐用的特点。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4.厚度：8丝。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5.颜色：黄色，按照《医疗废物专用包装物容器标准和警示标识规定》，医用垃圾袋需为黄色，且印有医疗专用图案及警示标识，便于识别和区分，提醒人们注意医疗废物的特殊性质。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6.款式：平口式设计，方便将医疗废物放入袋中，也便于扎口密封，防止废物泄漏。</w:t>
            </w:r>
          </w:p>
        </w:tc>
      </w:tr>
      <w:tr w14:paraId="02283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8E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C7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无菌布</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D9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ED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5AF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1.尺寸：100cm*200cm。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表面层：通常为无纺布，柔软亲肤、透气，对皮肤刺激性小，不起毛、不落絮，避免纤维脱落影响卫生或伤害人体。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吸收层：由高分子复合纸组成，吸水性好，能快速吸收检查中可能产生的分泌物等，保持表面干爽。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底层：为PE膜，防水防油、防渗透，有效阻挡液体渗透到下方床单或床垫，防止污染。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3.颜色：天蓝色。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4.包装：独立包装5片/包，便无菌性：经环氧乙烷等方式灭菌，环氧乙烷残留量应不大于10μg/g，确保使用时为无菌状态，防止细菌或其他病原体感染患者。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5.物理性能：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断裂强力：纵向≥20N，横向≥10N，有一定拉伸强度，使用中不易撕裂。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伸长率：纵向≥20%，横向≥15%，能承受一定程度拉伸而不断裂。</w:t>
            </w:r>
          </w:p>
        </w:tc>
      </w:tr>
      <w:tr w14:paraId="63819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8C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B3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记号笔</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9D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11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847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1.包装：12支/盒，笔身通常采用铝质材料设计，无毒素。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2.尺寸：笔长123mm，整体尺寸小巧，便于携带和使用。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3.颜色：笔杆颜色通常为黑色，与墨水颜色一致，笔帽颜色可能与笔杆相同或为其他对比色，方便识别和区分。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4.笔头：采用特制纤维笔头，笔头粗约2.4-2.8mm，书写顺滑，不易断墨，能提供流畅的书写体验。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5.墨水：油性墨水，色泽明亮，具有速干、防水、耐热的特性，不易褪色，可在多种介质表面书写，如金属、玻璃、木材、石材、塑料、纸张等，满足不同的使用需求。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6.保质期：两年，在保质期内使用可确保墨水性能和书写质量。</w:t>
            </w:r>
          </w:p>
        </w:tc>
      </w:tr>
      <w:tr w14:paraId="23BDF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AE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5D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碳纸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63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92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卷</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649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1.尺寸规格：单张标签纸尺寸为50mm*30mm，每卷有230张。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2.外观颜色：白色。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3.包装形式：通常为单卷包装。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材质特点：采用优质热敏不干胶材料，表面光滑细腻，打印效果清晰，能完美呈现文字和图案。具有防水、防油、耐刮擦、抗褪色的特性，即使在潮湿、油腻环境或长时间阳光下，也能保持稳定，长久不变形、不脱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5.功能用途：适用于多种场景，如文件归档、资产标记、服装吊牌、食品价签、固定资产标签、商品标签等。</w:t>
            </w:r>
          </w:p>
        </w:tc>
      </w:tr>
      <w:tr w14:paraId="2EB6B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3C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56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碳带</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E6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69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卷</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AC0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1.尺寸规格：宽度为110mm，长度为300m，这种规格适用于宽度不超过110mm的打印区域，可满足大量标签的连续打印需求，减少碳带更换频率。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2.碳带类型：属于水洗唛碳带，按原材料和成分归类为树脂基碳带，具有良好的耐水洗、耐熨烫、耐刮擦和耐化学物性能，能确保在各种洗涤条件下标签上的信息完整且清晰。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打印特性：配合佳博热转印条码打印机，能在铜版纸、不干胶标签纸等材质上打印出清晰、牢固的图案和文字。在推荐的打印机型号和正确的打印设置下，可实现较高的打印分辨率，文字和图像边缘清晰，无模糊或锯齿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4.卷向：通常有外卷式和内卷式两种选择，具体取决于打印机的碳带安装方式和用户需求。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使用环境：使用环境温度为5℃-35℃，相对湿度45%-85%；运输环境温度为-5℃-45℃，相对湿度20%-85%，时间不多于一个月；存放环境温度为-5℃-40℃，相对湿度20%-85%，存放时间不能多于一年，且要避免将碳带直接暴露在阳光和潮湿的环境下，以免对碳带产生损坏。</w:t>
            </w:r>
          </w:p>
        </w:tc>
      </w:tr>
      <w:tr w14:paraId="0F697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E0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FD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热转印条码打印机</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A4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59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00B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1.基本参数：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产品类型：桌面式；打印方式：热敏式；打印分辨率：203×203dpi；打印速度：125mm/s；标签口宽度：110mm；用途：标签打印，小票打印。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2.打印性能：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通讯接口：USB；CPU：RISC控制内芯。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3.其它特性：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产品尺寸：180x195x290mm；产品重量：2kg；产品颜色：黑色。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4.打印机需适配国产操作系统。</w:t>
            </w:r>
          </w:p>
        </w:tc>
      </w:tr>
      <w:tr w14:paraId="55ED7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AC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9C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抽纸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A7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7E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166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1.尺寸：每张纸巾尺寸为160mm*195mm，比普通抽纸面积增加约15%，能更好地满足擦拭需求。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2.层数：4层加厚设计，单张厚度提升至普通纸巾的1.5倍，纸质厚实柔软。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3.抽取数量：每盒90抽，32盒为一箱，满足日常大量使用需求。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4.纸张材质：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原料：采用原生木浆，不添加任何荧光剂，呈现天然木浆原色，安全健康，母婴人群可安心使用。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工艺：采用2408个点纹压合工艺，纤维间结合紧密，既避免了擦拭时松散破损，又降低了掉屑率。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5.产品特性：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湿水柔韧：具有黄金长短纤配比，长纤维提供骨架支撑，短纤维填充空隙，使纸巾在吸水后仍保持柔韧状态，浸泡水中30秒后，其抗拉强度仍达干燥时的 80%，湿水不易破，可重复利用。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无香配方：不添加香精、化学染色剂，无刺鼻气味，适合对气味敏感人群，如鼻炎患者、婴儿等。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6.包装设计：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盒装：每盒抽纸配备防尘盖，可避免纸巾污染，减少浪费。</w:t>
            </w:r>
          </w:p>
        </w:tc>
      </w:tr>
      <w:tr w14:paraId="799B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7D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5B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毛刷</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D7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8C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201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1.整体尺寸：通常刷子总长170mm。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2.刷柄材质：采用花梨木材质，纹理清晰，质感十足，拿在手上有分量，握持感舒适。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3.刷毛部分：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黑猪鬃毛：采用黑色纯野猪鬃，刚韧有弹性，不易变形，耐潮湿，不受冷热影响。一般刷毛区长度约50mm，宽度约20mm，净高约18mm。植毛方式常见为4排*11排=44株刷毛，也有6排82孔等不同规格。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万毛纳米细毛刷：通常由高密度的纳米材质制成，刷毛非常细密柔软。</w:t>
            </w:r>
          </w:p>
        </w:tc>
      </w:tr>
      <w:tr w14:paraId="1EC2E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37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99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安全U盘</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F0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B4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331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1.产品功能：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双向U盘：比普通U盘更安全的U盘数据加密储存，访问需要输入正确的口令；防病毒U盘：可以拷贝走，无法删除修改格式化，插入带病毒电脑U盘资料不会感染木马；时间次数：可以确定使用者使用权限，包括日期、次数等，以多种精细化的权限、控制方式确保安全；数据自毁：定时自动销毁文件，让数据更安全；只读U盘：U盘里的资料只能看，带不走删不了、改不了，事先限定使用次数、使用权限；防复制U盘：可任意编辑、修改、阅读打印，就是拿不走，没有权限无法复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2.产品特点：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挂绳设计，使用方便：保护盖与U盘连为一体，方便携带使用；自带保护盖，保护U口：方便随身携带，安全耐用，提高工作效率；精致小巧，不占空间：简单流线设计，时尚美观，伴你轻松出行；操作简单：避免复杂繁琐操作，提高效率；单机运行，只需电脑；USB插口，即插即用；零安装；输入合法口令，认证即可使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3.产品尺寸：长6.5mm*宽1.7cm*高0.9mm。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4.内存：8G。</w:t>
            </w:r>
          </w:p>
        </w:tc>
      </w:tr>
      <w:tr w14:paraId="7F311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96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7B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安全U盘</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30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16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41D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1.产品功能：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双向U盘：比普通U盘更安全的U盘数据加密储存，访问需要输入正确的口令；防病毒U盘：可以拷贝走，无法删除修改格式化，插入带病毒电脑U盘资料不会感染木马；时间次数：可以确定使用者使用权限，包括日期、次数等，以多种精细化的权限、控制方式确保安全；数据自毁：定时自动销毁文件，让数据更安全；只读U盘：U盘里的资料只能看，带不走删不了、改不了，事先限定使用次数、使用权限；防复制U盘：可任意编辑、修改、阅读打印，就是拿不走，没有权限无法复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2.产品特点：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挂绳设计，使用方便：保护盖与U盘连为一体，方便携带使用；自带保护盖，保护U口：方便随身携带，安全耐用，提高工作效率；精致小巧，不占空间：简单流线设计，时尚美观，伴你轻松出行；操作简单：避免复杂繁琐操作，提高效率；单机运行，只需电脑；USB插口，即插即用；零安装；输入合法口令，认证即可使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3.产品尺寸：长6.5mm*宽1.7cm*高0.9mm。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4.内存：16G。</w:t>
            </w:r>
          </w:p>
        </w:tc>
      </w:tr>
    </w:tbl>
    <w:p w14:paraId="64EE5BBA">
      <w:pPr>
        <w:rPr>
          <w:rFonts w:hint="eastAsia" w:eastAsia="宋体"/>
          <w:b/>
          <w:bCs/>
          <w:sz w:val="40"/>
          <w:szCs w:val="40"/>
          <w:lang w:eastAsia="zh-CN"/>
        </w:rPr>
        <w:sectPr>
          <w:pgSz w:w="11906" w:h="16838"/>
          <w:pgMar w:top="1440" w:right="1797" w:bottom="1440" w:left="1797" w:header="851" w:footer="992" w:gutter="0"/>
          <w:pgNumType w:fmt="decimal" w:start="1"/>
          <w:cols w:space="720" w:num="1"/>
          <w:titlePg/>
          <w:docGrid w:type="linesAndChars" w:linePitch="312" w:charSpace="0"/>
        </w:sectPr>
      </w:pPr>
    </w:p>
    <w:p w14:paraId="1E744B85">
      <w:pPr>
        <w:rPr>
          <w:rFonts w:ascii="Arial"/>
          <w:sz w:val="21"/>
        </w:rPr>
      </w:pPr>
    </w:p>
    <w:p w14:paraId="44108997">
      <w:pPr>
        <w:pStyle w:val="6"/>
        <w:rPr>
          <w:rFonts w:hint="eastAsia" w:ascii="宋体" w:hAnsi="宋体" w:eastAsia="宋体"/>
          <w:b/>
          <w:color w:val="FF0000"/>
          <w:szCs w:val="21"/>
        </w:rPr>
      </w:pPr>
      <w:r>
        <w:rPr>
          <w:rFonts w:hint="eastAsia" w:ascii="宋体" w:hAnsi="宋体" w:eastAsia="宋体"/>
          <w:b/>
          <w:color w:val="FF0000"/>
          <w:szCs w:val="21"/>
        </w:rPr>
        <w:t>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w:t>
      </w:r>
    </w:p>
    <w:p w14:paraId="293F3CCF">
      <w:pPr>
        <w:pStyle w:val="6"/>
        <w:rPr>
          <w:rFonts w:hint="eastAsia"/>
          <w:lang w:eastAsia="zh-CN"/>
        </w:rPr>
      </w:pPr>
    </w:p>
    <w:p w14:paraId="057198E2">
      <w:pPr>
        <w:rPr>
          <w:color w:val="FF0000"/>
        </w:rPr>
      </w:pPr>
      <w:r>
        <w:rPr>
          <w:rFonts w:hint="eastAsia"/>
          <w:color w:val="FF0000"/>
        </w:rPr>
        <w:t>备注：</w:t>
      </w:r>
    </w:p>
    <w:p w14:paraId="3C67BE06">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14:paraId="6F491000">
      <w:pPr>
        <w:ind w:firstLine="480" w:firstLineChars="200"/>
        <w:rPr>
          <w:color w:val="FF0000"/>
        </w:rPr>
      </w:pPr>
      <w:r>
        <w:rPr>
          <w:rFonts w:hint="eastAsia"/>
          <w:color w:val="FF0000"/>
        </w:rPr>
        <w:t>2、如注明有单价控制金额的产品，投标人对该产品的报价不得超过控制金额，否则将作投标无效处理。</w:t>
      </w:r>
    </w:p>
    <w:p w14:paraId="52387A9B">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14:paraId="19559D46">
      <w:pPr>
        <w:spacing w:after="60" w:afterLines="25" w:line="300" w:lineRule="auto"/>
        <w:rPr>
          <w:rFonts w:ascii="Arial" w:hAnsi="Arial" w:eastAsia="宋体"/>
          <w:b/>
          <w:color w:val="FF0000"/>
        </w:rPr>
      </w:pPr>
      <w:r>
        <w:rPr>
          <w:rFonts w:hint="eastAsia" w:ascii="宋体" w:hAnsi="宋体" w:eastAsia="宋体"/>
          <w:b/>
          <w:color w:val="FF0000"/>
          <w:szCs w:val="21"/>
        </w:rPr>
        <w:t xml:space="preserve">    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tbl>
      <w:tblPr>
        <w:tblStyle w:val="18"/>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14:paraId="792E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20D7FCDA">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14:paraId="517E94A7">
            <w:pPr>
              <w:snapToGrid w:val="0"/>
              <w:spacing w:line="360" w:lineRule="exact"/>
              <w:rPr>
                <w:rFonts w:ascii="宋体" w:hAnsi="宋体" w:eastAsia="宋体" w:cs="宋体"/>
                <w:sz w:val="22"/>
                <w:szCs w:val="21"/>
              </w:rPr>
            </w:pPr>
            <w:r>
              <w:rPr>
                <w:rFonts w:hint="eastAsia" w:ascii="宋体" w:hAnsi="宋体" w:eastAsia="宋体" w:cs="仿宋_GB2312"/>
                <w:sz w:val="22"/>
                <w:szCs w:val="28"/>
              </w:rPr>
              <w:t>投标总价必须是完成该项目的一切费用总和，包括投标费、设备费、运输费、装卸费、保险费、技术培训费、设备安装费、调试费、检测费、国家规定的各项税费等。</w:t>
            </w:r>
          </w:p>
        </w:tc>
      </w:tr>
      <w:tr w14:paraId="197A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7802C451">
            <w:pPr>
              <w:spacing w:after="60" w:afterLines="25" w:line="360" w:lineRule="exact"/>
              <w:rPr>
                <w:rFonts w:ascii="宋体" w:hAnsi="宋体" w:eastAsia="宋体" w:cs="宋体"/>
                <w:b/>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交货地点</w:t>
            </w:r>
          </w:p>
        </w:tc>
        <w:tc>
          <w:tcPr>
            <w:tcW w:w="8389" w:type="dxa"/>
            <w:tcBorders>
              <w:top w:val="single" w:color="auto" w:sz="4" w:space="0"/>
              <w:left w:val="single" w:color="auto" w:sz="4" w:space="0"/>
              <w:bottom w:val="single" w:color="auto" w:sz="4" w:space="0"/>
              <w:right w:val="single" w:color="auto" w:sz="4" w:space="0"/>
            </w:tcBorders>
            <w:vAlign w:val="center"/>
          </w:tcPr>
          <w:p w14:paraId="2A8F99D7">
            <w:pPr>
              <w:spacing w:after="60" w:afterLines="25" w:line="360" w:lineRule="exact"/>
              <w:rPr>
                <w:rFonts w:hint="eastAsia" w:ascii="宋体" w:hAnsi="宋体" w:eastAsia="宋体" w:cs="宋体"/>
                <w:sz w:val="22"/>
                <w:szCs w:val="21"/>
                <w:lang w:val="en-US" w:eastAsia="zh-CN"/>
              </w:rPr>
            </w:pPr>
            <w:r>
              <w:rPr>
                <w:sz w:val="22"/>
                <w:szCs w:val="22"/>
              </w:rPr>
              <w:t>采购人指定地点</w:t>
            </w:r>
            <w:r>
              <w:rPr>
                <w:rFonts w:hint="eastAsia" w:eastAsia="宋体"/>
                <w:sz w:val="22"/>
                <w:szCs w:val="22"/>
                <w:lang w:eastAsia="zh-CN"/>
              </w:rPr>
              <w:t>。</w:t>
            </w:r>
          </w:p>
        </w:tc>
      </w:tr>
      <w:tr w14:paraId="3364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84" w:type="dxa"/>
            <w:tcBorders>
              <w:top w:val="single" w:color="auto" w:sz="4" w:space="0"/>
              <w:left w:val="single" w:color="auto" w:sz="4" w:space="0"/>
              <w:bottom w:val="single" w:color="auto" w:sz="4" w:space="0"/>
              <w:right w:val="single" w:color="auto" w:sz="4" w:space="0"/>
            </w:tcBorders>
            <w:vAlign w:val="center"/>
          </w:tcPr>
          <w:p w14:paraId="18A6DB9F">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交货期或完工期</w:t>
            </w:r>
          </w:p>
        </w:tc>
        <w:tc>
          <w:tcPr>
            <w:tcW w:w="8389" w:type="dxa"/>
            <w:tcBorders>
              <w:top w:val="single" w:color="auto" w:sz="4" w:space="0"/>
              <w:left w:val="single" w:color="auto" w:sz="4" w:space="0"/>
              <w:bottom w:val="single" w:color="auto" w:sz="4" w:space="0"/>
              <w:right w:val="single" w:color="auto" w:sz="4" w:space="0"/>
            </w:tcBorders>
            <w:vAlign w:val="center"/>
          </w:tcPr>
          <w:p w14:paraId="2CD160A6">
            <w:pPr>
              <w:spacing w:after="60" w:afterLines="25" w:line="360" w:lineRule="exact"/>
              <w:rPr>
                <w:rFonts w:hint="default" w:ascii="宋体" w:hAnsi="宋体" w:eastAsia="微软雅黑" w:cs="宋体"/>
                <w:sz w:val="22"/>
                <w:szCs w:val="21"/>
                <w:lang w:val="en-US" w:eastAsia="zh-CN"/>
              </w:rPr>
            </w:pPr>
            <w:r>
              <w:rPr>
                <w:spacing w:val="-3"/>
                <w:sz w:val="22"/>
                <w:szCs w:val="22"/>
              </w:rPr>
              <w:t>本项目要求</w:t>
            </w:r>
            <w:r>
              <w:rPr>
                <w:rFonts w:hint="eastAsia" w:eastAsia="宋体"/>
                <w:spacing w:val="-3"/>
                <w:sz w:val="22"/>
                <w:szCs w:val="22"/>
                <w:lang w:eastAsia="zh-CN"/>
              </w:rPr>
              <w:t>甲方通知后</w:t>
            </w:r>
            <w:r>
              <w:rPr>
                <w:rFonts w:hint="eastAsia"/>
                <w:spacing w:val="-3"/>
                <w:sz w:val="22"/>
                <w:szCs w:val="22"/>
                <w:lang w:val="en-US" w:eastAsia="zh-CN"/>
              </w:rPr>
              <w:t xml:space="preserve"> 15 </w:t>
            </w:r>
            <w:r>
              <w:rPr>
                <w:spacing w:val="-3"/>
                <w:sz w:val="22"/>
                <w:szCs w:val="22"/>
              </w:rPr>
              <w:t>日内完成供货及安装调试完毕</w:t>
            </w:r>
          </w:p>
        </w:tc>
      </w:tr>
      <w:tr w14:paraId="0EAE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14:paraId="6690C97D">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14:paraId="60759F3C">
            <w:pPr>
              <w:spacing w:after="60" w:afterLines="25" w:line="360" w:lineRule="exact"/>
              <w:rPr>
                <w:rFonts w:ascii="宋体" w:hAnsi="宋体" w:eastAsia="宋体"/>
                <w:sz w:val="22"/>
                <w:szCs w:val="21"/>
              </w:rPr>
            </w:pPr>
            <w:r>
              <w:rPr>
                <w:rFonts w:hint="eastAsia" w:ascii="宋体" w:hAnsi="宋体" w:eastAsia="宋体" w:cs="仿宋_GB2312"/>
                <w:sz w:val="22"/>
                <w:szCs w:val="28"/>
                <w:lang w:eastAsia="zh-CN"/>
              </w:rPr>
              <w:t>合同签订完毕后</w:t>
            </w:r>
            <w:r>
              <w:rPr>
                <w:rFonts w:hint="eastAsia" w:ascii="宋体" w:hAnsi="宋体" w:eastAsia="宋体" w:cs="仿宋_GB2312"/>
                <w:sz w:val="22"/>
                <w:szCs w:val="28"/>
              </w:rPr>
              <w:t>支付合同总额</w:t>
            </w:r>
            <w:r>
              <w:rPr>
                <w:rFonts w:hint="eastAsia" w:ascii="宋体" w:hAnsi="宋体" w:eastAsia="宋体" w:cs="仿宋_GB2312"/>
                <w:sz w:val="22"/>
                <w:szCs w:val="28"/>
                <w:lang w:val="en-US" w:eastAsia="zh-CN"/>
              </w:rPr>
              <w:t>30%。</w:t>
            </w:r>
            <w:r>
              <w:rPr>
                <w:rFonts w:hint="eastAsia" w:ascii="宋体" w:hAnsi="宋体" w:eastAsia="宋体" w:cs="仿宋_GB2312"/>
                <w:sz w:val="22"/>
                <w:szCs w:val="28"/>
              </w:rPr>
              <w:t>全部货物按要求供货完毕经招标人检查数量、质量等无问题，并验收合格后支付合同总额的</w:t>
            </w:r>
            <w:r>
              <w:rPr>
                <w:rFonts w:hint="eastAsia" w:ascii="宋体" w:hAnsi="宋体" w:eastAsia="宋体" w:cs="仿宋_GB2312"/>
                <w:sz w:val="22"/>
                <w:szCs w:val="28"/>
                <w:lang w:val="en-US" w:eastAsia="zh-CN"/>
              </w:rPr>
              <w:t>70</w:t>
            </w:r>
            <w:r>
              <w:rPr>
                <w:rFonts w:hint="eastAsia" w:ascii="宋体" w:hAnsi="宋体" w:eastAsia="宋体" w:cs="仿宋_GB2312"/>
                <w:sz w:val="22"/>
                <w:szCs w:val="28"/>
              </w:rPr>
              <w:t>%。</w:t>
            </w:r>
          </w:p>
        </w:tc>
      </w:tr>
      <w:tr w14:paraId="7E04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14:paraId="3A93E879">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szCs w:val="21"/>
              </w:rPr>
              <w:t>验收方式</w:t>
            </w:r>
          </w:p>
        </w:tc>
        <w:tc>
          <w:tcPr>
            <w:tcW w:w="8389" w:type="dxa"/>
            <w:tcBorders>
              <w:top w:val="single" w:color="auto" w:sz="4" w:space="0"/>
              <w:left w:val="single" w:color="auto" w:sz="4" w:space="0"/>
              <w:right w:val="single" w:color="auto" w:sz="4" w:space="0"/>
            </w:tcBorders>
            <w:vAlign w:val="center"/>
          </w:tcPr>
          <w:p w14:paraId="538E45AF">
            <w:pPr>
              <w:spacing w:after="60" w:afterLines="25" w:line="360" w:lineRule="exact"/>
              <w:rPr>
                <w:rFonts w:ascii="宋体" w:hAnsi="宋体" w:eastAsia="宋体"/>
                <w:bCs/>
                <w:sz w:val="22"/>
                <w:szCs w:val="21"/>
              </w:rPr>
            </w:pPr>
            <w:r>
              <w:rPr>
                <w:rFonts w:hint="eastAsia" w:ascii="宋体" w:hAnsi="宋体" w:eastAsia="宋体" w:cs="仿宋_GB2312"/>
                <w:sz w:val="22"/>
                <w:szCs w:val="28"/>
              </w:rPr>
              <w:t>由</w:t>
            </w:r>
            <w:r>
              <w:rPr>
                <w:rFonts w:hint="eastAsia" w:ascii="宋体" w:hAnsi="宋体" w:eastAsia="宋体" w:cs="仿宋_GB2312"/>
                <w:bCs/>
                <w:sz w:val="22"/>
                <w:szCs w:val="28"/>
                <w:lang w:eastAsia="zh-CN"/>
              </w:rPr>
              <w:t>喀什市公安局</w:t>
            </w:r>
            <w:r>
              <w:rPr>
                <w:rFonts w:hint="eastAsia" w:ascii="宋体" w:hAnsi="宋体" w:eastAsia="宋体" w:cs="仿宋_GB2312"/>
                <w:sz w:val="22"/>
                <w:szCs w:val="28"/>
              </w:rPr>
              <w:t>组织验收。</w:t>
            </w:r>
          </w:p>
        </w:tc>
      </w:tr>
      <w:tr w14:paraId="51EB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14:paraId="115D29B9">
            <w:pPr>
              <w:spacing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售后服务要求</w:t>
            </w:r>
          </w:p>
        </w:tc>
        <w:tc>
          <w:tcPr>
            <w:tcW w:w="8389" w:type="dxa"/>
            <w:tcBorders>
              <w:top w:val="single" w:color="auto" w:sz="4" w:space="0"/>
              <w:left w:val="single" w:color="auto" w:sz="4" w:space="0"/>
              <w:bottom w:val="single" w:color="auto" w:sz="4" w:space="0"/>
              <w:right w:val="single" w:color="auto" w:sz="4" w:space="0"/>
            </w:tcBorders>
            <w:vAlign w:val="center"/>
          </w:tcPr>
          <w:p w14:paraId="4356581D">
            <w:pPr>
              <w:spacing w:after="60" w:afterLines="25" w:line="360" w:lineRule="exact"/>
              <w:ind w:left="-86" w:leftChars="-36"/>
              <w:rPr>
                <w:rFonts w:hint="eastAsia" w:ascii="宋体" w:hAnsi="宋体" w:eastAsia="宋体" w:cs="Arial"/>
                <w:sz w:val="22"/>
                <w:szCs w:val="21"/>
                <w:lang w:eastAsia="zh-CN"/>
              </w:rPr>
            </w:pPr>
            <w:r>
              <w:rPr>
                <w:sz w:val="22"/>
                <w:szCs w:val="22"/>
              </w:rPr>
              <w:t>要求成交方对本项目所采购的各项货物和货物集成</w:t>
            </w:r>
            <w:r>
              <w:rPr>
                <w:spacing w:val="-1"/>
                <w:sz w:val="22"/>
                <w:szCs w:val="22"/>
              </w:rPr>
              <w:t>提供</w:t>
            </w:r>
            <w:r>
              <w:rPr>
                <w:rFonts w:hint="eastAsia" w:eastAsia="宋体"/>
                <w:spacing w:val="-1"/>
                <w:sz w:val="22"/>
                <w:szCs w:val="22"/>
                <w:lang w:val="en-US" w:eastAsia="zh-CN"/>
              </w:rPr>
              <w:t>1</w:t>
            </w:r>
            <w:r>
              <w:rPr>
                <w:spacing w:val="-1"/>
                <w:sz w:val="22"/>
                <w:szCs w:val="22"/>
              </w:rPr>
              <w:t>年质保期（有注明的</w:t>
            </w:r>
            <w:r>
              <w:rPr>
                <w:spacing w:val="-10"/>
                <w:sz w:val="22"/>
                <w:szCs w:val="22"/>
              </w:rPr>
              <w:t>除外）。</w:t>
            </w:r>
          </w:p>
        </w:tc>
      </w:tr>
    </w:tbl>
    <w:p w14:paraId="14D6EFD2">
      <w:pPr>
        <w:tabs>
          <w:tab w:val="left" w:pos="7016"/>
        </w:tabs>
        <w:rPr>
          <w:rFonts w:ascii="Arial" w:hAnsi="Arial" w:eastAsia="宋体"/>
        </w:rPr>
      </w:pPr>
      <w:r>
        <w:rPr>
          <w:rFonts w:ascii="Arial" w:hAnsi="Arial" w:eastAsia="宋体"/>
        </w:rPr>
        <w:tab/>
      </w:r>
    </w:p>
    <w:p w14:paraId="1BB284B7">
      <w:pPr>
        <w:pStyle w:val="6"/>
        <w:rPr>
          <w:rFonts w:ascii="Arial" w:hAnsi="Arial" w:eastAsia="宋体"/>
        </w:rPr>
      </w:pPr>
    </w:p>
    <w:p w14:paraId="36C8C996">
      <w:pPr>
        <w:rPr>
          <w:rFonts w:ascii="Arial" w:hAnsi="Arial" w:eastAsia="宋体"/>
        </w:rPr>
      </w:pPr>
    </w:p>
    <w:p w14:paraId="2D5131A3">
      <w:pPr>
        <w:pStyle w:val="6"/>
        <w:rPr>
          <w:rFonts w:ascii="Arial" w:hAnsi="Arial" w:eastAsia="宋体"/>
        </w:rPr>
      </w:pPr>
    </w:p>
    <w:p w14:paraId="023F7106">
      <w:pPr>
        <w:rPr>
          <w:rFonts w:ascii="Arial" w:hAnsi="Arial" w:eastAsia="宋体"/>
        </w:rPr>
      </w:pPr>
    </w:p>
    <w:p w14:paraId="0BF92198">
      <w:pPr>
        <w:pStyle w:val="6"/>
        <w:rPr>
          <w:rFonts w:ascii="Arial" w:hAnsi="Arial" w:eastAsia="宋体"/>
        </w:rPr>
      </w:pPr>
    </w:p>
    <w:p w14:paraId="08D09C57">
      <w:pPr>
        <w:rPr>
          <w:rFonts w:ascii="Arial" w:hAnsi="Arial" w:eastAsia="宋体"/>
        </w:rPr>
      </w:pPr>
    </w:p>
    <w:p w14:paraId="574CC98D">
      <w:pPr>
        <w:pStyle w:val="6"/>
        <w:rPr>
          <w:rFonts w:ascii="Arial" w:hAnsi="Arial" w:eastAsia="宋体"/>
        </w:rPr>
      </w:pPr>
    </w:p>
    <w:p w14:paraId="75F950D1">
      <w:pPr>
        <w:rPr>
          <w:rFonts w:ascii="Arial" w:hAnsi="Arial" w:eastAsia="宋体"/>
        </w:rPr>
      </w:pPr>
    </w:p>
    <w:p w14:paraId="5E9038E3">
      <w:pPr>
        <w:pStyle w:val="16"/>
        <w:rPr>
          <w:rFonts w:ascii="Arial" w:hAnsi="Arial" w:eastAsia="宋体"/>
        </w:rPr>
      </w:pPr>
    </w:p>
    <w:p w14:paraId="07FD2D6E">
      <w:pPr>
        <w:rPr>
          <w:rFonts w:ascii="Arial" w:hAnsi="Arial" w:eastAsia="宋体"/>
        </w:rPr>
      </w:pPr>
    </w:p>
    <w:p w14:paraId="5509E57D">
      <w:pPr>
        <w:pStyle w:val="16"/>
        <w:rPr>
          <w:rFonts w:ascii="Arial" w:hAnsi="Arial" w:eastAsia="宋体"/>
        </w:rPr>
      </w:pPr>
    </w:p>
    <w:p w14:paraId="503B75AD"/>
    <w:p w14:paraId="6F59A5A4">
      <w:pPr>
        <w:keepNext/>
        <w:keepLines/>
        <w:numPr>
          <w:ilvl w:val="0"/>
          <w:numId w:val="3"/>
        </w:numPr>
        <w:tabs>
          <w:tab w:val="left" w:pos="1680"/>
        </w:tabs>
        <w:spacing w:before="260" w:after="60" w:afterLines="25"/>
        <w:jc w:val="center"/>
        <w:outlineLvl w:val="2"/>
        <w:rPr>
          <w:rFonts w:hint="eastAsia" w:ascii="Arial" w:hAnsi="Arial" w:eastAsia="宋体"/>
          <w:b/>
          <w:bCs/>
          <w:sz w:val="32"/>
          <w:szCs w:val="32"/>
        </w:rPr>
      </w:pPr>
      <w:r>
        <w:rPr>
          <w:rFonts w:hint="eastAsia" w:ascii="Arial" w:hAnsi="Arial" w:eastAsia="宋体"/>
          <w:b/>
          <w:bCs/>
          <w:sz w:val="32"/>
          <w:szCs w:val="32"/>
        </w:rPr>
        <w:t>技术规格及具体参数部分</w:t>
      </w:r>
    </w:p>
    <w:p w14:paraId="2842F76F">
      <w:pPr>
        <w:pStyle w:val="6"/>
        <w:numPr>
          <w:ilvl w:val="0"/>
          <w:numId w:val="0"/>
        </w:numPr>
      </w:pPr>
    </w:p>
    <w:p w14:paraId="1D1C2E6E"/>
    <w:p w14:paraId="5D304E47">
      <w:pPr>
        <w:pStyle w:val="6"/>
        <w:ind w:left="0" w:leftChars="0" w:firstLine="0" w:firstLineChars="0"/>
        <w:rPr>
          <w:rFonts w:hint="eastAsia" w:eastAsia="宋体"/>
          <w:lang w:eastAsia="zh-CN"/>
        </w:rPr>
      </w:pPr>
      <w:r>
        <w:rPr>
          <w:rFonts w:hint="eastAsia" w:eastAsia="宋体"/>
          <w:lang w:eastAsia="zh-CN"/>
        </w:rPr>
        <w:t>详见二、货物需求明细</w:t>
      </w:r>
    </w:p>
    <w:p w14:paraId="7390E515">
      <w:pPr>
        <w:rPr>
          <w:rFonts w:hint="eastAsia" w:eastAsia="宋体"/>
          <w:lang w:eastAsia="zh-CN"/>
        </w:rPr>
      </w:pPr>
    </w:p>
    <w:p w14:paraId="1B6E656D">
      <w:pPr>
        <w:pStyle w:val="6"/>
        <w:rPr>
          <w:rFonts w:hint="eastAsia" w:eastAsia="宋体"/>
          <w:lang w:eastAsia="zh-CN"/>
        </w:rPr>
      </w:pPr>
    </w:p>
    <w:p w14:paraId="660D7B88"/>
    <w:p w14:paraId="5A02CC7C">
      <w:pPr>
        <w:rPr>
          <w:rFonts w:ascii="宋体" w:hAnsi="宋体" w:eastAsia="黑体"/>
          <w:bCs/>
          <w:kern w:val="44"/>
          <w:sz w:val="28"/>
          <w:szCs w:val="44"/>
        </w:rPr>
      </w:pPr>
      <w:r>
        <w:rPr>
          <w:rFonts w:hint="eastAsia" w:ascii="宋体" w:hAnsi="宋体" w:eastAsia="宋体"/>
          <w:b/>
          <w:color w:val="FF0000"/>
          <w:szCs w:val="21"/>
        </w:rPr>
        <w:t>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r>
        <w:br w:type="page"/>
      </w:r>
    </w:p>
    <w:p w14:paraId="3AD1A8C0">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14:paraId="56C75FB3">
      <w:pPr>
        <w:jc w:val="center"/>
        <w:rPr>
          <w:rFonts w:ascii="黑体" w:eastAsia="黑体"/>
          <w:b/>
          <w:bCs/>
          <w:color w:val="FF0000"/>
          <w:sz w:val="28"/>
        </w:rPr>
      </w:pPr>
    </w:p>
    <w:p w14:paraId="2FA73802">
      <w:pPr>
        <w:rPr>
          <w:rFonts w:ascii="宋体" w:hAnsi="宋体" w:eastAsia="黑体"/>
          <w:bCs/>
          <w:kern w:val="44"/>
          <w:sz w:val="32"/>
          <w:szCs w:val="32"/>
        </w:rPr>
      </w:pPr>
      <w:r>
        <w:rPr>
          <w:rFonts w:hint="eastAsia" w:ascii="宋体" w:hAnsi="宋体" w:eastAsia="黑体"/>
          <w:bCs/>
          <w:kern w:val="44"/>
          <w:sz w:val="32"/>
          <w:szCs w:val="32"/>
        </w:rPr>
        <w:t>投标文件组成：</w:t>
      </w:r>
    </w:p>
    <w:p w14:paraId="1D0DBFD2">
      <w:pPr>
        <w:snapToGrid w:val="0"/>
        <w:rPr>
          <w:rFonts w:ascii="Arial" w:hAnsi="Arial" w:eastAsia="宋体" w:cs="Arial"/>
          <w:b/>
          <w:sz w:val="32"/>
          <w:szCs w:val="32"/>
        </w:rPr>
      </w:pPr>
      <w:r>
        <w:rPr>
          <w:rFonts w:hint="eastAsia" w:ascii="宋体" w:hAnsi="宋体" w:eastAsia="宋体" w:cs="宋体"/>
          <w:b/>
          <w:sz w:val="32"/>
          <w:szCs w:val="32"/>
        </w:rPr>
        <w:t>开标一览表及资格证明文件：</w:t>
      </w:r>
    </w:p>
    <w:p w14:paraId="43831F3E">
      <w:pPr>
        <w:numPr>
          <w:ilvl w:val="0"/>
          <w:numId w:val="4"/>
        </w:numPr>
        <w:snapToGrid w:val="0"/>
        <w:spacing w:after="60" w:afterLines="25"/>
        <w:rPr>
          <w:rFonts w:ascii="宋体" w:hAnsi="宋体" w:eastAsia="宋体"/>
          <w:sz w:val="30"/>
          <w:szCs w:val="30"/>
        </w:rPr>
      </w:pPr>
      <w:r>
        <w:rPr>
          <w:rFonts w:hint="eastAsia" w:ascii="宋体" w:hAnsi="宋体" w:eastAsia="宋体"/>
          <w:sz w:val="30"/>
          <w:szCs w:val="30"/>
          <w:lang w:eastAsia="zh-CN"/>
        </w:rPr>
        <w:t>开标一览表；</w:t>
      </w:r>
    </w:p>
    <w:p w14:paraId="1490C8CE">
      <w:pPr>
        <w:numPr>
          <w:ilvl w:val="0"/>
          <w:numId w:val="4"/>
        </w:numPr>
        <w:snapToGrid w:val="0"/>
        <w:spacing w:after="60" w:afterLines="25"/>
        <w:rPr>
          <w:rFonts w:ascii="宋体" w:hAnsi="宋体" w:eastAsia="宋体"/>
          <w:sz w:val="30"/>
          <w:szCs w:val="30"/>
        </w:rPr>
      </w:pPr>
      <w:bookmarkStart w:id="10" w:name="_Hlk72062521"/>
      <w:r>
        <w:rPr>
          <w:rFonts w:hint="eastAsia" w:ascii="宋体" w:hAnsi="宋体" w:eastAsia="宋体"/>
          <w:sz w:val="30"/>
          <w:szCs w:val="30"/>
        </w:rPr>
        <w:t>政府采购投标及履约承诺函</w:t>
      </w:r>
      <w:bookmarkEnd w:id="10"/>
      <w:r>
        <w:rPr>
          <w:rFonts w:hint="eastAsia" w:ascii="宋体" w:hAnsi="宋体" w:eastAsia="宋体"/>
          <w:sz w:val="30"/>
          <w:szCs w:val="30"/>
        </w:rPr>
        <w:t>；</w:t>
      </w:r>
    </w:p>
    <w:p w14:paraId="30B45D46">
      <w:pPr>
        <w:numPr>
          <w:ilvl w:val="0"/>
          <w:numId w:val="4"/>
        </w:numPr>
        <w:snapToGrid w:val="0"/>
        <w:spacing w:after="60" w:afterLines="25"/>
        <w:rPr>
          <w:rFonts w:hint="eastAsia"/>
          <w:lang w:eastAsia="zh-CN"/>
        </w:rPr>
      </w:pP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14:paraId="146E90D2">
      <w:pPr>
        <w:numPr>
          <w:ilvl w:val="0"/>
          <w:numId w:val="4"/>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会计事务所出具的2022-2024年度任意一年的年度财务审计报告书扫描件或影印件；（新办企业（营业执照所标注的成立日期距本项目开标日期一年内为新办企业）提供银行资信证明扫描件或影印件）；</w:t>
      </w:r>
    </w:p>
    <w:p w14:paraId="2A1FE099">
      <w:pPr>
        <w:numPr>
          <w:ilvl w:val="0"/>
          <w:numId w:val="4"/>
        </w:numPr>
        <w:snapToGrid w:val="0"/>
        <w:spacing w:after="60" w:afterLines="25"/>
        <w:rPr>
          <w:rFonts w:ascii="宋体" w:hAnsi="宋体" w:eastAsia="宋体"/>
          <w:sz w:val="30"/>
          <w:szCs w:val="30"/>
        </w:rPr>
      </w:pPr>
      <w:r>
        <w:rPr>
          <w:rFonts w:hint="eastAsia" w:ascii="宋体" w:hAnsi="宋体" w:eastAsia="宋体"/>
          <w:kern w:val="2"/>
          <w:sz w:val="30"/>
          <w:szCs w:val="30"/>
          <w:lang w:eastAsia="zh-CN"/>
        </w:rPr>
        <w:t>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78D4B85A">
      <w:pPr>
        <w:numPr>
          <w:ilvl w:val="0"/>
          <w:numId w:val="4"/>
        </w:numPr>
        <w:snapToGrid w:val="0"/>
        <w:spacing w:after="60" w:afterLines="25"/>
        <w:rPr>
          <w:rFonts w:hint="eastAsia" w:ascii="宋体" w:hAnsi="宋体" w:eastAsia="宋体"/>
          <w:kern w:val="2"/>
          <w:sz w:val="30"/>
          <w:szCs w:val="30"/>
          <w:lang w:eastAsia="zh-CN"/>
        </w:rPr>
      </w:pPr>
      <w:r>
        <w:rPr>
          <w:rFonts w:hint="eastAsia" w:ascii="宋体" w:hAnsi="宋体" w:eastAsia="宋体"/>
          <w:sz w:val="30"/>
          <w:szCs w:val="30"/>
        </w:rPr>
        <w:t>评标优惠政策声明函；</w:t>
      </w:r>
    </w:p>
    <w:p w14:paraId="5D1B147F">
      <w:pPr>
        <w:numPr>
          <w:ilvl w:val="0"/>
          <w:numId w:val="4"/>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非联合体投标承诺函及非进口产品投标承诺函（承诺函格式自拟）；</w:t>
      </w:r>
    </w:p>
    <w:p w14:paraId="29A381C1">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14:paraId="6CC09ED2">
      <w:pPr>
        <w:numPr>
          <w:ilvl w:val="0"/>
          <w:numId w:val="4"/>
        </w:numPr>
        <w:snapToGrid w:val="0"/>
        <w:spacing w:after="60" w:afterLines="25"/>
        <w:rPr>
          <w:rFonts w:hint="eastAsia"/>
          <w:lang w:eastAsia="zh-CN"/>
        </w:rPr>
      </w:pPr>
      <w:r>
        <w:rPr>
          <w:rFonts w:hint="eastAsia" w:ascii="宋体" w:hAnsi="宋体" w:eastAsia="宋体"/>
          <w:sz w:val="30"/>
          <w:szCs w:val="30"/>
        </w:rPr>
        <w:t>投标函；</w:t>
      </w:r>
    </w:p>
    <w:p w14:paraId="31DDE200">
      <w:pPr>
        <w:numPr>
          <w:ilvl w:val="0"/>
          <w:numId w:val="4"/>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14:paraId="484877F0">
      <w:pPr>
        <w:numPr>
          <w:ilvl w:val="0"/>
          <w:numId w:val="4"/>
        </w:numPr>
        <w:snapToGrid w:val="0"/>
        <w:spacing w:after="60" w:afterLines="25"/>
        <w:rPr>
          <w:rFonts w:hint="eastAsia"/>
          <w:lang w:eastAsia="zh-CN"/>
        </w:rPr>
      </w:pPr>
      <w:r>
        <w:rPr>
          <w:rFonts w:hint="eastAsia" w:ascii="宋体" w:hAnsi="宋体" w:eastAsia="宋体"/>
          <w:kern w:val="2"/>
          <w:sz w:val="30"/>
          <w:szCs w:val="30"/>
        </w:rPr>
        <w:t>法定代表人授权书（附有效身份证正反面扫描件）</w:t>
      </w:r>
      <w:r>
        <w:rPr>
          <w:rFonts w:hint="eastAsia" w:ascii="宋体" w:hAnsi="宋体" w:eastAsia="宋体"/>
          <w:kern w:val="2"/>
          <w:sz w:val="30"/>
          <w:szCs w:val="30"/>
          <w:lang w:eastAsia="zh-CN"/>
        </w:rPr>
        <w:t>；</w:t>
      </w:r>
    </w:p>
    <w:p w14:paraId="1DDEA94A">
      <w:pPr>
        <w:numPr>
          <w:ilvl w:val="0"/>
          <w:numId w:val="4"/>
        </w:numPr>
        <w:snapToGrid w:val="0"/>
        <w:spacing w:after="60" w:afterLines="25"/>
        <w:ind w:left="1456"/>
        <w:rPr>
          <w:rFonts w:hint="eastAsia" w:ascii="宋体" w:hAnsi="宋体" w:eastAsia="宋体" w:cs="Times New Roman"/>
          <w:bCs/>
          <w:sz w:val="30"/>
          <w:szCs w:val="30"/>
        </w:rPr>
      </w:pPr>
      <w:r>
        <w:rPr>
          <w:rFonts w:hint="eastAsia" w:ascii="宋体" w:hAnsi="宋体" w:eastAsia="宋体"/>
          <w:bCs/>
          <w:sz w:val="30"/>
          <w:szCs w:val="30"/>
        </w:rPr>
        <w:t>分项报价清</w:t>
      </w:r>
      <w:r>
        <w:rPr>
          <w:rFonts w:hint="eastAsia" w:ascii="宋体" w:hAnsi="宋体" w:eastAsia="宋体" w:cs="Times New Roman"/>
          <w:bCs/>
          <w:sz w:val="30"/>
          <w:szCs w:val="30"/>
        </w:rPr>
        <w:t>单</w:t>
      </w:r>
      <w:r>
        <w:rPr>
          <w:rFonts w:hint="eastAsia" w:ascii="宋体" w:hAnsi="宋体" w:eastAsia="宋体" w:cs="Times New Roman"/>
          <w:bCs/>
          <w:sz w:val="30"/>
          <w:szCs w:val="30"/>
          <w:lang w:eastAsia="zh-CN"/>
        </w:rPr>
        <w:t>（本项目为货物类，如有需求参照本表填写）</w:t>
      </w:r>
      <w:r>
        <w:rPr>
          <w:rFonts w:hint="eastAsia" w:ascii="宋体" w:hAnsi="宋体" w:eastAsia="宋体" w:cs="Times New Roman"/>
          <w:bCs/>
          <w:sz w:val="30"/>
          <w:szCs w:val="30"/>
        </w:rPr>
        <w:t>；</w:t>
      </w:r>
    </w:p>
    <w:p w14:paraId="60069883">
      <w:pPr>
        <w:numPr>
          <w:ilvl w:val="0"/>
          <w:numId w:val="4"/>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14:paraId="0B3D6305">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14:paraId="4EB17063">
      <w:pPr>
        <w:numPr>
          <w:ilvl w:val="0"/>
          <w:numId w:val="4"/>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14:paraId="7E3B8233">
      <w:pPr>
        <w:numPr>
          <w:ilvl w:val="0"/>
          <w:numId w:val="4"/>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14:paraId="0D87F37D">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14:paraId="60DCF531">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14:paraId="4148B106">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14:paraId="3F4E3A30">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r>
        <w:rPr>
          <w:rFonts w:hint="eastAsia" w:ascii="宋体" w:hAnsi="宋体" w:eastAsia="宋体"/>
          <w:kern w:val="2"/>
          <w:sz w:val="30"/>
          <w:szCs w:val="30"/>
        </w:rPr>
        <w:t>。</w:t>
      </w:r>
    </w:p>
    <w:p w14:paraId="19217193">
      <w:pPr>
        <w:snapToGrid w:val="0"/>
        <w:spacing w:after="60" w:afterLines="25"/>
        <w:rPr>
          <w:rFonts w:ascii="宋体" w:hAnsi="宋体" w:eastAsia="宋体" w:cs="宋体"/>
          <w:b/>
          <w:color w:val="FF0000"/>
          <w:sz w:val="32"/>
          <w:szCs w:val="32"/>
        </w:rPr>
      </w:pPr>
      <w:r>
        <w:br w:type="page"/>
      </w:r>
    </w:p>
    <w:p w14:paraId="590C194B">
      <w:pPr>
        <w:keepNext/>
        <w:keepLines/>
        <w:adjustRightInd w:val="0"/>
        <w:snapToGrid w:val="0"/>
        <w:spacing w:line="360" w:lineRule="auto"/>
        <w:jc w:val="center"/>
        <w:textAlignment w:val="baseline"/>
        <w:outlineLvl w:val="3"/>
        <w:rPr>
          <w:rFonts w:hint="eastAsia" w:ascii="宋体" w:hAnsi="宋体" w:eastAsia="宋体" w:cs="Times New Roman"/>
          <w:b/>
          <w:bCs/>
          <w:szCs w:val="20"/>
        </w:rPr>
      </w:pPr>
      <w:r>
        <w:rPr>
          <w:rFonts w:hint="eastAsia" w:ascii="宋体" w:hAnsi="宋体" w:eastAsia="宋体" w:cs="Times New Roman"/>
          <w:b/>
          <w:bCs/>
          <w:szCs w:val="20"/>
          <w:lang w:val="en-US" w:eastAsia="zh-CN"/>
        </w:rPr>
        <w:t>1.</w:t>
      </w:r>
      <w:r>
        <w:rPr>
          <w:rFonts w:hint="eastAsia" w:ascii="宋体" w:hAnsi="宋体" w:eastAsia="宋体" w:cs="Times New Roman"/>
          <w:b/>
          <w:bCs/>
          <w:szCs w:val="20"/>
        </w:rPr>
        <w:t>开标一览表</w:t>
      </w:r>
    </w:p>
    <w:p w14:paraId="01B41B20">
      <w:pPr>
        <w:spacing w:line="440" w:lineRule="exact"/>
        <w:rPr>
          <w:rFonts w:hint="eastAsia" w:asciiTheme="minorEastAsia" w:hAnsiTheme="minorEastAsia" w:eastAsiaTheme="minorEastAsia" w:cstheme="minorEastAsia"/>
          <w:b w:val="0"/>
          <w:bCs w:val="0"/>
          <w:szCs w:val="21"/>
        </w:rPr>
      </w:pPr>
    </w:p>
    <w:p w14:paraId="0A458EEF">
      <w:pPr>
        <w:spacing w:line="440" w:lineRule="exact"/>
        <w:rPr>
          <w:rFonts w:hint="eastAsia" w:asciiTheme="minorEastAsia" w:hAnsiTheme="minorEastAsia" w:eastAsiaTheme="minorEastAsia" w:cstheme="minorEastAsia"/>
          <w:b w:val="0"/>
          <w:bCs w:val="0"/>
          <w:szCs w:val="21"/>
        </w:rPr>
      </w:pPr>
    </w:p>
    <w:p w14:paraId="0944572D">
      <w:pPr>
        <w:spacing w:line="440" w:lineRule="exact"/>
        <w:rPr>
          <w:rFonts w:hint="eastAsia" w:asciiTheme="minorEastAsia" w:hAnsiTheme="minorEastAsia" w:eastAsiaTheme="minorEastAsia" w:cstheme="minorEastAsia"/>
          <w:b w:val="0"/>
          <w:bCs w:val="0"/>
          <w:szCs w:val="21"/>
        </w:rPr>
      </w:pPr>
    </w:p>
    <w:p w14:paraId="714DDA64">
      <w:pPr>
        <w:spacing w:line="44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                          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tblGrid>
      <w:tr w14:paraId="361B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14:paraId="21A056E3">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序号</w:t>
            </w:r>
          </w:p>
        </w:tc>
        <w:tc>
          <w:tcPr>
            <w:tcW w:w="3322" w:type="dxa"/>
            <w:noWrap w:val="0"/>
            <w:vAlign w:val="center"/>
          </w:tcPr>
          <w:p w14:paraId="314835E4">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项目名称</w:t>
            </w:r>
          </w:p>
        </w:tc>
        <w:tc>
          <w:tcPr>
            <w:tcW w:w="2420" w:type="dxa"/>
            <w:noWrap w:val="0"/>
            <w:vAlign w:val="center"/>
          </w:tcPr>
          <w:p w14:paraId="4CDF05F0">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投标</w:t>
            </w:r>
            <w:r>
              <w:rPr>
                <w:rFonts w:hint="eastAsia" w:asciiTheme="minorEastAsia" w:hAnsiTheme="minorEastAsia" w:eastAsiaTheme="minorEastAsia" w:cstheme="minorEastAsia"/>
                <w:b w:val="0"/>
                <w:bCs w:val="0"/>
                <w:sz w:val="24"/>
                <w:szCs w:val="28"/>
                <w:lang w:eastAsia="zh-CN"/>
              </w:rPr>
              <w:t>总</w:t>
            </w:r>
            <w:r>
              <w:rPr>
                <w:rFonts w:hint="eastAsia" w:asciiTheme="minorEastAsia" w:hAnsiTheme="minorEastAsia" w:eastAsiaTheme="minorEastAsia" w:cstheme="minorEastAsia"/>
                <w:b w:val="0"/>
                <w:bCs w:val="0"/>
                <w:sz w:val="24"/>
                <w:szCs w:val="28"/>
              </w:rPr>
              <w:t>价（元）</w:t>
            </w:r>
          </w:p>
        </w:tc>
      </w:tr>
      <w:tr w14:paraId="2797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14:paraId="3A7E7B5F">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w:t>
            </w:r>
          </w:p>
        </w:tc>
        <w:tc>
          <w:tcPr>
            <w:tcW w:w="3322" w:type="dxa"/>
            <w:noWrap w:val="0"/>
            <w:vAlign w:val="center"/>
          </w:tcPr>
          <w:p w14:paraId="44BEFE8B">
            <w:pPr>
              <w:spacing w:line="440" w:lineRule="exact"/>
              <w:jc w:val="center"/>
              <w:rPr>
                <w:rFonts w:hint="eastAsia" w:asciiTheme="minorEastAsia" w:hAnsiTheme="minorEastAsia" w:eastAsiaTheme="minorEastAsia" w:cstheme="minorEastAsia"/>
                <w:b w:val="0"/>
                <w:bCs w:val="0"/>
                <w:sz w:val="24"/>
                <w:szCs w:val="28"/>
              </w:rPr>
            </w:pPr>
          </w:p>
        </w:tc>
        <w:tc>
          <w:tcPr>
            <w:tcW w:w="2420" w:type="dxa"/>
            <w:noWrap w:val="0"/>
            <w:vAlign w:val="center"/>
          </w:tcPr>
          <w:p w14:paraId="2D2F4FB2">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大写：</w:t>
            </w:r>
          </w:p>
          <w:p w14:paraId="1BEE10EC">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小写：</w:t>
            </w:r>
          </w:p>
        </w:tc>
      </w:tr>
    </w:tbl>
    <w:p w14:paraId="294D8420">
      <w:pPr>
        <w:spacing w:line="600" w:lineRule="exact"/>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注：此表作为唱标的依据。</w:t>
      </w:r>
    </w:p>
    <w:p w14:paraId="2AA31F55">
      <w:pPr>
        <w:pStyle w:val="16"/>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投标总价应和投标分项报价表的总价相一致。</w:t>
      </w:r>
    </w:p>
    <w:p w14:paraId="0F1CF7C2">
      <w:pPr>
        <w:spacing w:line="600" w:lineRule="exact"/>
        <w:ind w:firstLine="560" w:firstLineChars="200"/>
        <w:rPr>
          <w:rFonts w:hint="eastAsia" w:asciiTheme="minorEastAsia" w:hAnsiTheme="minorEastAsia" w:eastAsiaTheme="minorEastAsia" w:cstheme="minorEastAsia"/>
          <w:sz w:val="28"/>
          <w:szCs w:val="28"/>
        </w:rPr>
      </w:pPr>
    </w:p>
    <w:p w14:paraId="10FDE426">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投标方：（单位盖章）</w:t>
      </w:r>
    </w:p>
    <w:p w14:paraId="5FA935A9">
      <w:pPr>
        <w:pStyle w:val="17"/>
        <w:rPr>
          <w:rFonts w:hint="eastAsia" w:asciiTheme="minorEastAsia" w:hAnsiTheme="minorEastAsia" w:eastAsiaTheme="minorEastAsia" w:cstheme="minorEastAsia"/>
        </w:rPr>
      </w:pPr>
    </w:p>
    <w:p w14:paraId="396406D3">
      <w:pPr>
        <w:spacing w:line="600" w:lineRule="exact"/>
        <w:jc w:val="right"/>
        <w:rPr>
          <w:rFonts w:hint="eastAsia"/>
        </w:rPr>
      </w:pPr>
      <w:r>
        <w:rPr>
          <w:rFonts w:hint="eastAsia" w:asciiTheme="minorEastAsia" w:hAnsiTheme="minorEastAsia" w:eastAsiaTheme="minorEastAsia" w:cstheme="minorEastAsia"/>
          <w:sz w:val="28"/>
          <w:szCs w:val="28"/>
        </w:rPr>
        <w:t>法定代表人或委托全权代理人： （签字或盖章）</w:t>
      </w:r>
    </w:p>
    <w:p w14:paraId="61130FC4">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0EACBA04">
      <w:pPr>
        <w:pStyle w:val="14"/>
        <w:rPr>
          <w:rFonts w:hint="eastAsia" w:ascii="仿宋" w:hAnsi="仿宋" w:eastAsia="仿宋"/>
          <w:sz w:val="28"/>
          <w:szCs w:val="28"/>
        </w:rPr>
      </w:pPr>
    </w:p>
    <w:p w14:paraId="3AF212EE">
      <w:pPr>
        <w:pStyle w:val="14"/>
        <w:rPr>
          <w:rFonts w:hint="eastAsia" w:ascii="仿宋" w:hAnsi="仿宋" w:eastAsia="仿宋"/>
          <w:sz w:val="28"/>
          <w:szCs w:val="28"/>
        </w:rPr>
      </w:pPr>
    </w:p>
    <w:p w14:paraId="2A8E734E">
      <w:pPr>
        <w:pStyle w:val="14"/>
        <w:rPr>
          <w:rFonts w:hint="eastAsia" w:ascii="仿宋" w:hAnsi="仿宋" w:eastAsia="仿宋"/>
          <w:sz w:val="28"/>
          <w:szCs w:val="28"/>
        </w:rPr>
      </w:pPr>
    </w:p>
    <w:p w14:paraId="4827A889">
      <w:pPr>
        <w:pStyle w:val="14"/>
        <w:rPr>
          <w:rFonts w:hint="eastAsia" w:ascii="仿宋" w:hAnsi="仿宋" w:eastAsia="仿宋"/>
          <w:sz w:val="28"/>
          <w:szCs w:val="28"/>
        </w:rPr>
      </w:pPr>
    </w:p>
    <w:p w14:paraId="760C23BC">
      <w:pPr>
        <w:spacing w:after="60" w:afterLines="25" w:line="300" w:lineRule="auto"/>
      </w:pPr>
    </w:p>
    <w:p w14:paraId="23888928">
      <w:pPr>
        <w:spacing w:after="60" w:afterLines="25" w:line="300" w:lineRule="auto"/>
      </w:pPr>
    </w:p>
    <w:p w14:paraId="1BE76D89">
      <w:pPr>
        <w:spacing w:after="60" w:afterLines="25" w:line="300" w:lineRule="auto"/>
        <w:jc w:val="center"/>
        <w:outlineLvl w:val="3"/>
        <w:rPr>
          <w:rFonts w:hint="eastAsia" w:ascii="宋体" w:hAnsi="宋体" w:eastAsia="宋体" w:cs="Times New Roman"/>
          <w:b/>
          <w:bCs/>
          <w:szCs w:val="20"/>
          <w:lang w:val="en-US" w:eastAsia="zh-CN"/>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.政府采购投标及履约承诺函</w:t>
      </w:r>
    </w:p>
    <w:p w14:paraId="5539A98C">
      <w:pPr>
        <w:snapToGrid w:val="0"/>
        <w:spacing w:line="360" w:lineRule="auto"/>
        <w:rPr>
          <w:rFonts w:ascii="Arial" w:hAnsi="Arial" w:eastAsia="宋体"/>
        </w:rPr>
      </w:pPr>
    </w:p>
    <w:p w14:paraId="2D5491B4">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喀什市公安局</w:t>
      </w:r>
    </w:p>
    <w:p w14:paraId="6855BE39">
      <w:pPr>
        <w:ind w:right="-815" w:firstLine="480" w:firstLineChars="200"/>
        <w:rPr>
          <w:rFonts w:ascii="宋体" w:hAnsi="宋体"/>
          <w:szCs w:val="21"/>
        </w:rPr>
      </w:pPr>
      <w:r>
        <w:rPr>
          <w:rFonts w:hint="eastAsia" w:ascii="宋体" w:hAnsi="宋体"/>
          <w:szCs w:val="21"/>
        </w:rPr>
        <w:t>我单位承诺：</w:t>
      </w:r>
    </w:p>
    <w:p w14:paraId="6A444102">
      <w:pPr>
        <w:ind w:firstLine="480" w:firstLineChars="200"/>
        <w:rPr>
          <w:rFonts w:ascii="宋体" w:hAnsi="宋体"/>
          <w:szCs w:val="21"/>
        </w:rPr>
      </w:pPr>
      <w:r>
        <w:rPr>
          <w:rFonts w:hint="eastAsia" w:ascii="宋体" w:hAnsi="宋体"/>
          <w:szCs w:val="21"/>
        </w:rPr>
        <w:t>1.我单位本招标项目所提供的货物或服务未侵犯知识产权。</w:t>
      </w:r>
    </w:p>
    <w:p w14:paraId="636F169E">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14:paraId="5A3B59EC">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57572A06">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14:paraId="4B68F122">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6A707C58">
      <w:pPr>
        <w:ind w:firstLine="480" w:firstLineChars="200"/>
        <w:rPr>
          <w:rFonts w:ascii="宋体" w:hAnsi="宋体"/>
          <w:szCs w:val="21"/>
        </w:rPr>
      </w:pPr>
      <w:r>
        <w:rPr>
          <w:rFonts w:hint="eastAsia" w:ascii="宋体" w:hAnsi="宋体"/>
          <w:szCs w:val="21"/>
        </w:rPr>
        <w:t>6.</w:t>
      </w:r>
      <w:bookmarkStart w:id="11" w:name="_Hlk72587269"/>
      <w:bookmarkStart w:id="12"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1"/>
      <w:r>
        <w:rPr>
          <w:rFonts w:hint="eastAsia" w:ascii="宋体" w:hAnsi="宋体"/>
          <w:szCs w:val="21"/>
        </w:rPr>
        <w:t>。</w:t>
      </w:r>
      <w:bookmarkEnd w:id="12"/>
    </w:p>
    <w:p w14:paraId="4569E2A5">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FC7136D">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85CBCEF">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4B547D9">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422361F4">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7896E4A">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11F5CCAF">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14:paraId="7CEC4B81">
      <w:pPr>
        <w:snapToGrid w:val="0"/>
        <w:ind w:firstLine="480" w:firstLineChars="200"/>
        <w:rPr>
          <w:rFonts w:ascii="宋体" w:hAnsi="宋体" w:eastAsia="宋体"/>
        </w:rPr>
      </w:pPr>
    </w:p>
    <w:p w14:paraId="17FE9A7F">
      <w:pPr>
        <w:snapToGrid w:val="0"/>
        <w:ind w:firstLine="480" w:firstLineChars="200"/>
        <w:rPr>
          <w:rFonts w:ascii="宋体" w:hAnsi="宋体" w:eastAsia="宋体"/>
        </w:rPr>
      </w:pPr>
    </w:p>
    <w:p w14:paraId="400F0EC4">
      <w:pPr>
        <w:snapToGrid w:val="0"/>
        <w:ind w:right="420"/>
        <w:rPr>
          <w:rFonts w:ascii="宋体" w:hAnsi="宋体" w:eastAsia="宋体"/>
        </w:rPr>
      </w:pPr>
      <w:r>
        <w:rPr>
          <w:rFonts w:hint="eastAsia" w:ascii="宋体" w:hAnsi="宋体" w:eastAsia="宋体"/>
        </w:rPr>
        <w:t xml:space="preserve">                        投标单位（投标人）名称：</w:t>
      </w:r>
    </w:p>
    <w:p w14:paraId="7C47E2DF">
      <w:pPr>
        <w:snapToGrid w:val="0"/>
        <w:ind w:right="450" w:firstLine="480" w:firstLineChars="200"/>
        <w:jc w:val="right"/>
        <w:rPr>
          <w:rFonts w:ascii="宋体" w:hAnsi="宋体" w:eastAsia="宋体"/>
        </w:rPr>
      </w:pPr>
      <w:r>
        <w:rPr>
          <w:rFonts w:hint="eastAsia" w:ascii="宋体" w:hAnsi="宋体" w:eastAsia="宋体"/>
        </w:rPr>
        <w:t>年月日</w:t>
      </w:r>
    </w:p>
    <w:p w14:paraId="76DEA7B9">
      <w:pPr>
        <w:snapToGrid w:val="0"/>
        <w:spacing w:line="360" w:lineRule="auto"/>
        <w:ind w:right="450" w:firstLine="480" w:firstLineChars="200"/>
        <w:jc w:val="right"/>
        <w:rPr>
          <w:rFonts w:ascii="仿宋" w:hAnsi="仿宋" w:eastAsia="仿宋"/>
        </w:rPr>
      </w:pPr>
    </w:p>
    <w:p w14:paraId="1B5574EF">
      <w:pPr>
        <w:snapToGrid w:val="0"/>
        <w:spacing w:line="360" w:lineRule="auto"/>
        <w:ind w:right="450" w:firstLine="480" w:firstLineChars="200"/>
        <w:jc w:val="right"/>
        <w:rPr>
          <w:rFonts w:ascii="仿宋" w:hAnsi="仿宋" w:eastAsia="仿宋"/>
        </w:rPr>
      </w:pPr>
    </w:p>
    <w:p w14:paraId="5214DE77">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0D0A3B85">
      <w:pPr>
        <w:jc w:val="center"/>
        <w:outlineLvl w:val="3"/>
        <w:rPr>
          <w:rFonts w:hint="eastAsia"/>
        </w:rPr>
      </w:pPr>
      <w:r>
        <w:br w:type="page"/>
      </w:r>
      <w:r>
        <w:rPr>
          <w:rFonts w:hint="eastAsia" w:eastAsia="宋体"/>
          <w:lang w:val="en-US" w:eastAsia="zh-CN"/>
        </w:rPr>
        <w:t>3</w:t>
      </w:r>
      <w:r>
        <w:rPr>
          <w:rFonts w:hint="eastAsia" w:asciiTheme="majorEastAsia" w:hAnsiTheme="majorEastAsia" w:eastAsiaTheme="majorEastAsia" w:cstheme="majorEastAsia"/>
          <w:b/>
          <w:bCs/>
          <w:szCs w:val="20"/>
          <w:lang w:val="en-US" w:eastAsia="zh-CN"/>
        </w:rPr>
        <w:t>.法人或者非法人组织的营业执照等证明文件扫描件</w:t>
      </w:r>
    </w:p>
    <w:p w14:paraId="2A475F66">
      <w:pPr>
        <w:rPr>
          <w:rFonts w:hint="eastAsia"/>
        </w:rPr>
      </w:pPr>
    </w:p>
    <w:p w14:paraId="0679DF90">
      <w:pPr>
        <w:rPr>
          <w:rFonts w:hint="eastAsia"/>
        </w:rPr>
      </w:pPr>
    </w:p>
    <w:p w14:paraId="3C660905">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说明：1.提供有效的营业执照等证明文件</w:t>
      </w:r>
      <w:r>
        <w:rPr>
          <w:rFonts w:hint="eastAsia" w:asciiTheme="minorEastAsia" w:hAnsiTheme="minorEastAsia" w:eastAsiaTheme="minorEastAsia" w:cstheme="minorEastAsia"/>
          <w:lang w:eastAsia="zh-CN"/>
        </w:rPr>
        <w:t>。</w:t>
      </w:r>
    </w:p>
    <w:p w14:paraId="5F98554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 投标人为自然人的，应提供身份证明</w:t>
      </w:r>
      <w:r>
        <w:rPr>
          <w:rFonts w:hint="eastAsia" w:asciiTheme="minorEastAsia" w:hAnsiTheme="minorEastAsia" w:eastAsiaTheme="minorEastAsia" w:cstheme="minorEastAsia"/>
          <w:lang w:val="en-US" w:eastAsia="zh-CN"/>
        </w:rPr>
        <w:t>扫描件</w:t>
      </w:r>
      <w:r>
        <w:rPr>
          <w:rFonts w:hint="eastAsia" w:asciiTheme="minorEastAsia" w:hAnsiTheme="minorEastAsia" w:eastAsiaTheme="minorEastAsia" w:cstheme="minorEastAsia"/>
        </w:rPr>
        <w:t>。</w:t>
      </w:r>
    </w:p>
    <w:p w14:paraId="2FE1830E">
      <w:pPr>
        <w:rPr>
          <w:rFonts w:hint="eastAsia"/>
        </w:rPr>
      </w:pPr>
      <w:r>
        <w:rPr>
          <w:rFonts w:hint="eastAsia" w:asciiTheme="minorEastAsia" w:hAnsiTheme="minorEastAsia" w:eastAsiaTheme="minorEastAsia" w:cstheme="minorEastAsia"/>
        </w:rPr>
        <w:t xml:space="preserve">      3.联合体投标应提供联合体各方满足以上要求的证明文件。</w:t>
      </w:r>
    </w:p>
    <w:p w14:paraId="2E20AAB2">
      <w:pPr>
        <w:pStyle w:val="16"/>
        <w:rPr>
          <w:rFonts w:hint="eastAsia"/>
        </w:rPr>
      </w:pPr>
    </w:p>
    <w:p w14:paraId="528E8627">
      <w:pPr>
        <w:rPr>
          <w:rFonts w:hint="eastAsia"/>
        </w:rPr>
      </w:pPr>
      <w:r>
        <w:rPr>
          <w:rFonts w:hint="eastAsia"/>
        </w:rPr>
        <w:br w:type="page"/>
      </w:r>
    </w:p>
    <w:p w14:paraId="7ADA75B6">
      <w:pPr>
        <w:rPr>
          <w:rFonts w:hint="eastAsia"/>
        </w:rPr>
      </w:pPr>
    </w:p>
    <w:p w14:paraId="051E2FBC">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4.年度财务审计报告书扫描件或银行资信证明扫描件</w:t>
      </w:r>
    </w:p>
    <w:p w14:paraId="0A46CF8E">
      <w:pPr>
        <w:tabs>
          <w:tab w:val="left" w:pos="5580"/>
        </w:tabs>
        <w:spacing w:line="240" w:lineRule="atLeast"/>
        <w:ind w:left="1157" w:leftChars="257" w:hanging="540"/>
        <w:rPr>
          <w:rFonts w:hint="eastAsia" w:ascii="仿宋_GB2312" w:eastAsia="仿宋_GB2312"/>
          <w:sz w:val="24"/>
        </w:rPr>
      </w:pPr>
    </w:p>
    <w:p w14:paraId="37CD7DDA">
      <w:pPr>
        <w:pStyle w:val="24"/>
        <w:numPr>
          <w:ilvl w:val="0"/>
          <w:numId w:val="0"/>
        </w:numPr>
        <w:ind w:left="900" w:leftChars="0"/>
        <w:jc w:val="both"/>
        <w:rPr>
          <w:rFonts w:hint="eastAsia" w:eastAsia="宋体"/>
          <w:lang w:eastAsia="zh-CN"/>
        </w:rPr>
      </w:pPr>
      <w:r>
        <w:rPr>
          <w:rFonts w:hint="eastAsia" w:eastAsia="宋体"/>
          <w:lang w:eastAsia="zh-CN"/>
        </w:rPr>
        <w:t>说明：</w:t>
      </w:r>
    </w:p>
    <w:p w14:paraId="70DCDFA3">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1、提供本单位</w:t>
      </w:r>
      <w:r>
        <w:rPr>
          <w:rFonts w:hint="eastAsia" w:ascii="仿宋_GB2312" w:eastAsia="仿宋_GB2312"/>
          <w:sz w:val="24"/>
          <w:lang w:val="en-US" w:eastAsia="zh-CN"/>
        </w:rPr>
        <w:t>2022-2024</w:t>
      </w:r>
      <w:r>
        <w:rPr>
          <w:rFonts w:hint="eastAsia" w:ascii="仿宋_GB2312" w:eastAsia="仿宋_GB2312"/>
          <w:sz w:val="24"/>
        </w:rPr>
        <w:t>年度</w:t>
      </w:r>
      <w:r>
        <w:rPr>
          <w:rFonts w:hint="eastAsia" w:ascii="仿宋_GB2312" w:eastAsia="仿宋_GB2312"/>
          <w:sz w:val="24"/>
          <w:lang w:eastAsia="zh-CN"/>
        </w:rPr>
        <w:t>任意一年</w:t>
      </w:r>
      <w:r>
        <w:rPr>
          <w:rFonts w:hint="eastAsia" w:ascii="仿宋_GB2312" w:eastAsia="仿宋_GB2312"/>
          <w:sz w:val="24"/>
        </w:rPr>
        <w:t>经会计师事务所出具的审计报告复印件扫描件或影印件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14:paraId="04B68634">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14:paraId="4E296A0F">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如果是联合体投标，联合体各方均需提供上述证明。</w:t>
      </w:r>
    </w:p>
    <w:p w14:paraId="583FBA9C">
      <w:pPr>
        <w:jc w:val="center"/>
        <w:rPr>
          <w:rFonts w:hint="eastAsia" w:asciiTheme="majorEastAsia" w:hAnsiTheme="majorEastAsia" w:eastAsiaTheme="majorEastAsia" w:cstheme="majorEastAsia"/>
          <w:b/>
          <w:bCs/>
          <w:szCs w:val="20"/>
          <w:lang w:val="en-US" w:eastAsia="zh-CN"/>
        </w:rPr>
      </w:pPr>
    </w:p>
    <w:p w14:paraId="791DB17A">
      <w:pPr>
        <w:jc w:val="center"/>
        <w:rPr>
          <w:rFonts w:hint="eastAsia" w:asciiTheme="majorEastAsia" w:hAnsiTheme="majorEastAsia" w:eastAsiaTheme="majorEastAsia" w:cstheme="majorEastAsia"/>
          <w:b/>
          <w:bCs/>
          <w:szCs w:val="20"/>
          <w:lang w:val="en-US" w:eastAsia="zh-CN"/>
        </w:rPr>
      </w:pPr>
    </w:p>
    <w:p w14:paraId="745AE2D5">
      <w:pPr>
        <w:pStyle w:val="16"/>
        <w:rPr>
          <w:rFonts w:hint="eastAsia" w:asciiTheme="majorEastAsia" w:hAnsiTheme="majorEastAsia" w:eastAsiaTheme="majorEastAsia" w:cstheme="majorEastAsia"/>
          <w:b/>
          <w:bCs/>
          <w:szCs w:val="20"/>
          <w:lang w:val="en-US" w:eastAsia="zh-CN"/>
        </w:rPr>
      </w:pPr>
    </w:p>
    <w:p w14:paraId="36069B09">
      <w:pPr>
        <w:rPr>
          <w:rFonts w:hint="eastAsia" w:asciiTheme="majorEastAsia" w:hAnsiTheme="majorEastAsia" w:eastAsiaTheme="majorEastAsia" w:cstheme="majorEastAsia"/>
          <w:b/>
          <w:bCs/>
          <w:szCs w:val="20"/>
          <w:lang w:val="en-US" w:eastAsia="zh-CN"/>
        </w:rPr>
      </w:pPr>
    </w:p>
    <w:p w14:paraId="4B931286">
      <w:pPr>
        <w:pStyle w:val="16"/>
        <w:rPr>
          <w:rFonts w:hint="eastAsia" w:asciiTheme="majorEastAsia" w:hAnsiTheme="majorEastAsia" w:eastAsiaTheme="majorEastAsia" w:cstheme="majorEastAsia"/>
          <w:b/>
          <w:bCs/>
          <w:szCs w:val="20"/>
          <w:lang w:val="en-US" w:eastAsia="zh-CN"/>
        </w:rPr>
      </w:pPr>
    </w:p>
    <w:p w14:paraId="239356C4">
      <w:pPr>
        <w:rPr>
          <w:rFonts w:hint="eastAsia" w:asciiTheme="majorEastAsia" w:hAnsiTheme="majorEastAsia" w:eastAsiaTheme="majorEastAsia" w:cstheme="majorEastAsia"/>
          <w:b/>
          <w:bCs/>
          <w:szCs w:val="20"/>
          <w:lang w:val="en-US" w:eastAsia="zh-CN"/>
        </w:rPr>
      </w:pPr>
    </w:p>
    <w:p w14:paraId="723830E6">
      <w:pPr>
        <w:pStyle w:val="16"/>
        <w:rPr>
          <w:rFonts w:hint="eastAsia" w:asciiTheme="majorEastAsia" w:hAnsiTheme="majorEastAsia" w:eastAsiaTheme="majorEastAsia" w:cstheme="majorEastAsia"/>
          <w:b/>
          <w:bCs/>
          <w:szCs w:val="20"/>
          <w:lang w:val="en-US" w:eastAsia="zh-CN"/>
        </w:rPr>
      </w:pPr>
    </w:p>
    <w:p w14:paraId="6AB918C4">
      <w:pPr>
        <w:rPr>
          <w:rFonts w:hint="eastAsia" w:asciiTheme="majorEastAsia" w:hAnsiTheme="majorEastAsia" w:eastAsiaTheme="majorEastAsia" w:cstheme="majorEastAsia"/>
          <w:b/>
          <w:bCs/>
          <w:szCs w:val="20"/>
          <w:lang w:val="en-US" w:eastAsia="zh-CN"/>
        </w:rPr>
      </w:pPr>
    </w:p>
    <w:p w14:paraId="0B166A8B">
      <w:pPr>
        <w:pStyle w:val="16"/>
        <w:rPr>
          <w:rFonts w:hint="eastAsia" w:asciiTheme="majorEastAsia" w:hAnsiTheme="majorEastAsia" w:eastAsiaTheme="majorEastAsia" w:cstheme="majorEastAsia"/>
          <w:b/>
          <w:bCs/>
          <w:szCs w:val="20"/>
          <w:lang w:val="en-US" w:eastAsia="zh-CN"/>
        </w:rPr>
      </w:pPr>
    </w:p>
    <w:p w14:paraId="650673D1">
      <w:pPr>
        <w:rPr>
          <w:rFonts w:hint="eastAsia" w:asciiTheme="majorEastAsia" w:hAnsiTheme="majorEastAsia" w:eastAsiaTheme="majorEastAsia" w:cstheme="majorEastAsia"/>
          <w:b/>
          <w:bCs/>
          <w:szCs w:val="20"/>
          <w:lang w:val="en-US" w:eastAsia="zh-CN"/>
        </w:rPr>
      </w:pPr>
    </w:p>
    <w:p w14:paraId="28CA579D">
      <w:pPr>
        <w:pStyle w:val="16"/>
        <w:rPr>
          <w:rFonts w:hint="eastAsia" w:asciiTheme="majorEastAsia" w:hAnsiTheme="majorEastAsia" w:eastAsiaTheme="majorEastAsia" w:cstheme="majorEastAsia"/>
          <w:b/>
          <w:bCs/>
          <w:szCs w:val="20"/>
          <w:lang w:val="en-US" w:eastAsia="zh-CN"/>
        </w:rPr>
      </w:pPr>
    </w:p>
    <w:p w14:paraId="090E5FC5">
      <w:pPr>
        <w:rPr>
          <w:rFonts w:hint="eastAsia" w:asciiTheme="majorEastAsia" w:hAnsiTheme="majorEastAsia" w:eastAsiaTheme="majorEastAsia" w:cstheme="majorEastAsia"/>
          <w:b/>
          <w:bCs/>
          <w:szCs w:val="20"/>
          <w:lang w:val="en-US" w:eastAsia="zh-CN"/>
        </w:rPr>
      </w:pPr>
    </w:p>
    <w:p w14:paraId="043DA164">
      <w:pPr>
        <w:pStyle w:val="16"/>
        <w:rPr>
          <w:rFonts w:hint="eastAsia" w:asciiTheme="majorEastAsia" w:hAnsiTheme="majorEastAsia" w:eastAsiaTheme="majorEastAsia" w:cstheme="majorEastAsia"/>
          <w:b/>
          <w:bCs/>
          <w:szCs w:val="20"/>
          <w:lang w:val="en-US" w:eastAsia="zh-CN"/>
        </w:rPr>
      </w:pPr>
    </w:p>
    <w:p w14:paraId="6EA36385">
      <w:pPr>
        <w:rPr>
          <w:rFonts w:hint="eastAsia" w:asciiTheme="majorEastAsia" w:hAnsiTheme="majorEastAsia" w:eastAsiaTheme="majorEastAsia" w:cstheme="majorEastAsia"/>
          <w:b/>
          <w:bCs/>
          <w:szCs w:val="20"/>
          <w:lang w:val="en-US" w:eastAsia="zh-CN"/>
        </w:rPr>
      </w:pPr>
    </w:p>
    <w:p w14:paraId="10D1E6B6">
      <w:pPr>
        <w:pStyle w:val="16"/>
        <w:rPr>
          <w:rFonts w:hint="eastAsia" w:asciiTheme="majorEastAsia" w:hAnsiTheme="majorEastAsia" w:eastAsiaTheme="majorEastAsia" w:cstheme="majorEastAsia"/>
          <w:b/>
          <w:bCs/>
          <w:szCs w:val="20"/>
          <w:lang w:val="en-US" w:eastAsia="zh-CN"/>
        </w:rPr>
      </w:pPr>
    </w:p>
    <w:p w14:paraId="144A7454">
      <w:pPr>
        <w:rPr>
          <w:rFonts w:hint="eastAsia" w:asciiTheme="majorEastAsia" w:hAnsiTheme="majorEastAsia" w:eastAsiaTheme="majorEastAsia" w:cstheme="majorEastAsia"/>
          <w:b/>
          <w:bCs/>
          <w:szCs w:val="20"/>
          <w:lang w:val="en-US" w:eastAsia="zh-CN"/>
        </w:rPr>
      </w:pPr>
    </w:p>
    <w:p w14:paraId="3990E387">
      <w:pPr>
        <w:pStyle w:val="16"/>
        <w:rPr>
          <w:rFonts w:hint="eastAsia" w:asciiTheme="majorEastAsia" w:hAnsiTheme="majorEastAsia" w:eastAsiaTheme="majorEastAsia" w:cstheme="majorEastAsia"/>
          <w:b/>
          <w:bCs/>
          <w:szCs w:val="20"/>
          <w:lang w:val="en-US" w:eastAsia="zh-CN"/>
        </w:rPr>
      </w:pPr>
    </w:p>
    <w:p w14:paraId="6A4CA1E7">
      <w:pPr>
        <w:rPr>
          <w:rFonts w:hint="eastAsia" w:asciiTheme="majorEastAsia" w:hAnsiTheme="majorEastAsia" w:eastAsiaTheme="majorEastAsia" w:cstheme="majorEastAsia"/>
          <w:b/>
          <w:bCs/>
          <w:szCs w:val="20"/>
          <w:lang w:val="en-US" w:eastAsia="zh-CN"/>
        </w:rPr>
      </w:pPr>
    </w:p>
    <w:p w14:paraId="25B9BC43">
      <w:pPr>
        <w:pStyle w:val="16"/>
        <w:rPr>
          <w:rFonts w:hint="eastAsia" w:asciiTheme="majorEastAsia" w:hAnsiTheme="majorEastAsia" w:eastAsiaTheme="majorEastAsia" w:cstheme="majorEastAsia"/>
          <w:b/>
          <w:bCs/>
          <w:szCs w:val="20"/>
          <w:lang w:val="en-US" w:eastAsia="zh-CN"/>
        </w:rPr>
      </w:pPr>
    </w:p>
    <w:p w14:paraId="4E38BF44">
      <w:pPr>
        <w:rPr>
          <w:rFonts w:hint="eastAsia" w:asciiTheme="majorEastAsia" w:hAnsiTheme="majorEastAsia" w:eastAsiaTheme="majorEastAsia" w:cstheme="majorEastAsia"/>
          <w:b/>
          <w:bCs/>
          <w:szCs w:val="20"/>
          <w:lang w:val="en-US" w:eastAsia="zh-CN"/>
        </w:rPr>
      </w:pPr>
    </w:p>
    <w:p w14:paraId="72680B0D">
      <w:pPr>
        <w:pStyle w:val="16"/>
        <w:rPr>
          <w:rFonts w:hint="eastAsia" w:asciiTheme="majorEastAsia" w:hAnsiTheme="majorEastAsia" w:eastAsiaTheme="majorEastAsia" w:cstheme="majorEastAsia"/>
          <w:b/>
          <w:bCs/>
          <w:szCs w:val="20"/>
          <w:lang w:val="en-US" w:eastAsia="zh-CN"/>
        </w:rPr>
      </w:pPr>
    </w:p>
    <w:p w14:paraId="4E71527B">
      <w:pPr>
        <w:rPr>
          <w:rFonts w:hint="eastAsia" w:asciiTheme="majorEastAsia" w:hAnsiTheme="majorEastAsia" w:eastAsiaTheme="majorEastAsia" w:cstheme="majorEastAsia"/>
          <w:b/>
          <w:bCs/>
          <w:szCs w:val="20"/>
          <w:lang w:val="en-US" w:eastAsia="zh-CN"/>
        </w:rPr>
      </w:pPr>
    </w:p>
    <w:p w14:paraId="20C4DA53">
      <w:pPr>
        <w:pStyle w:val="16"/>
        <w:rPr>
          <w:rFonts w:hint="eastAsia" w:asciiTheme="majorEastAsia" w:hAnsiTheme="majorEastAsia" w:eastAsiaTheme="majorEastAsia" w:cstheme="majorEastAsia"/>
          <w:b/>
          <w:bCs/>
          <w:szCs w:val="20"/>
          <w:lang w:val="en-US" w:eastAsia="zh-CN"/>
        </w:rPr>
      </w:pPr>
    </w:p>
    <w:p w14:paraId="49599BF6">
      <w:pPr>
        <w:rPr>
          <w:rFonts w:hint="eastAsia" w:asciiTheme="majorEastAsia" w:hAnsiTheme="majorEastAsia" w:eastAsiaTheme="majorEastAsia" w:cstheme="majorEastAsia"/>
          <w:b/>
          <w:bCs/>
          <w:szCs w:val="20"/>
          <w:lang w:val="en-US" w:eastAsia="zh-CN"/>
        </w:rPr>
      </w:pPr>
    </w:p>
    <w:p w14:paraId="0CEB1F0B">
      <w:pPr>
        <w:pStyle w:val="16"/>
        <w:ind w:left="0" w:leftChars="0" w:firstLine="0" w:firstLineChars="0"/>
        <w:rPr>
          <w:rFonts w:hint="eastAsia"/>
          <w:lang w:val="en-US" w:eastAsia="zh-CN"/>
        </w:rPr>
      </w:pPr>
    </w:p>
    <w:p w14:paraId="763C6C8D">
      <w:pPr>
        <w:rPr>
          <w:rFonts w:hint="eastAsia"/>
          <w:lang w:val="en-US" w:eastAsia="zh-CN"/>
        </w:rPr>
      </w:pPr>
    </w:p>
    <w:p w14:paraId="2D0CDD3C">
      <w:pPr>
        <w:rPr>
          <w:rFonts w:hint="eastAsia"/>
          <w:lang w:val="en-US" w:eastAsia="zh-CN"/>
        </w:rPr>
      </w:pPr>
    </w:p>
    <w:p w14:paraId="760AF459">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5.完税证明扫描件和社保缴纳记录明细扫描件</w:t>
      </w:r>
    </w:p>
    <w:p w14:paraId="4C0CE65A">
      <w:pPr>
        <w:tabs>
          <w:tab w:val="left" w:pos="5580"/>
        </w:tabs>
        <w:spacing w:line="240" w:lineRule="atLeast"/>
        <w:ind w:left="540"/>
        <w:rPr>
          <w:rFonts w:hint="eastAsia" w:ascii="仿宋_GB2312" w:eastAsia="仿宋_GB2312"/>
          <w:sz w:val="24"/>
          <w:lang w:val="en-US" w:eastAsia="zh-CN"/>
        </w:rPr>
      </w:pPr>
    </w:p>
    <w:p w14:paraId="490455D6">
      <w:pPr>
        <w:tabs>
          <w:tab w:val="left" w:pos="5580"/>
        </w:tabs>
        <w:spacing w:line="240" w:lineRule="atLeast"/>
        <w:ind w:left="540"/>
        <w:rPr>
          <w:rFonts w:hint="eastAsia" w:ascii="仿宋_GB2312" w:eastAsia="仿宋_GB2312"/>
          <w:sz w:val="24"/>
          <w:lang w:val="en-US" w:eastAsia="zh-CN"/>
        </w:rPr>
      </w:pPr>
    </w:p>
    <w:p w14:paraId="4D3A3228">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4232B4EE">
      <w:pPr>
        <w:numPr>
          <w:ilvl w:val="0"/>
          <w:numId w:val="5"/>
        </w:numPr>
        <w:tabs>
          <w:tab w:val="left" w:pos="5580"/>
        </w:tabs>
        <w:spacing w:line="240" w:lineRule="atLeast"/>
        <w:ind w:left="540"/>
        <w:rPr>
          <w:rFonts w:ascii="仿宋_GB2312" w:eastAsia="仿宋_GB2312"/>
          <w:sz w:val="24"/>
        </w:rPr>
      </w:pPr>
      <w:r>
        <w:rPr>
          <w:rFonts w:hint="eastAsia" w:ascii="仿宋_GB2312" w:eastAsia="仿宋_GB2312"/>
          <w:sz w:val="24"/>
        </w:rPr>
        <w:t>如果是联合体投标，联合体各方均需提供上述证明。</w:t>
      </w:r>
    </w:p>
    <w:p w14:paraId="21CA6906">
      <w:pPr>
        <w:pStyle w:val="16"/>
        <w:numPr>
          <w:ilvl w:val="0"/>
          <w:numId w:val="0"/>
        </w:numPr>
        <w:rPr>
          <w:rFonts w:hint="eastAsia"/>
          <w:lang w:val="en-US" w:eastAsia="zh-CN"/>
        </w:rPr>
      </w:pPr>
    </w:p>
    <w:p w14:paraId="16519D22">
      <w:pPr>
        <w:rPr>
          <w:rFonts w:hint="eastAsia"/>
          <w:lang w:val="en-US" w:eastAsia="zh-CN"/>
        </w:rPr>
      </w:pPr>
    </w:p>
    <w:p w14:paraId="6CA1A16C">
      <w:pPr>
        <w:pStyle w:val="16"/>
        <w:rPr>
          <w:rFonts w:hint="eastAsia"/>
          <w:lang w:val="en-US" w:eastAsia="zh-CN"/>
        </w:rPr>
      </w:pPr>
    </w:p>
    <w:p w14:paraId="5E207797">
      <w:pPr>
        <w:rPr>
          <w:rFonts w:hint="eastAsia"/>
          <w:lang w:val="en-US" w:eastAsia="zh-CN"/>
        </w:rPr>
      </w:pPr>
    </w:p>
    <w:p w14:paraId="19632AA4">
      <w:pPr>
        <w:pStyle w:val="16"/>
        <w:rPr>
          <w:rFonts w:hint="eastAsia"/>
          <w:lang w:val="en-US" w:eastAsia="zh-CN"/>
        </w:rPr>
      </w:pPr>
    </w:p>
    <w:p w14:paraId="790C7102">
      <w:pPr>
        <w:rPr>
          <w:rFonts w:hint="eastAsia"/>
          <w:lang w:val="en-US" w:eastAsia="zh-CN"/>
        </w:rPr>
      </w:pPr>
    </w:p>
    <w:p w14:paraId="424024CF">
      <w:pPr>
        <w:pStyle w:val="16"/>
        <w:rPr>
          <w:rFonts w:hint="eastAsia"/>
          <w:lang w:val="en-US" w:eastAsia="zh-CN"/>
        </w:rPr>
      </w:pPr>
    </w:p>
    <w:p w14:paraId="7A3B0CCD">
      <w:pPr>
        <w:rPr>
          <w:rFonts w:hint="eastAsia"/>
          <w:lang w:val="en-US" w:eastAsia="zh-CN"/>
        </w:rPr>
      </w:pPr>
    </w:p>
    <w:p w14:paraId="325AC414">
      <w:pPr>
        <w:pStyle w:val="16"/>
        <w:rPr>
          <w:rFonts w:hint="eastAsia"/>
          <w:lang w:val="en-US" w:eastAsia="zh-CN"/>
        </w:rPr>
      </w:pPr>
    </w:p>
    <w:p w14:paraId="030D60B1">
      <w:pPr>
        <w:rPr>
          <w:rFonts w:hint="eastAsia"/>
          <w:lang w:val="en-US" w:eastAsia="zh-CN"/>
        </w:rPr>
      </w:pPr>
    </w:p>
    <w:p w14:paraId="5D80CE1C">
      <w:pPr>
        <w:pStyle w:val="16"/>
        <w:rPr>
          <w:rFonts w:hint="eastAsia"/>
          <w:lang w:val="en-US" w:eastAsia="zh-CN"/>
        </w:rPr>
      </w:pPr>
    </w:p>
    <w:p w14:paraId="01A1F74C">
      <w:pPr>
        <w:rPr>
          <w:rFonts w:hint="eastAsia"/>
          <w:lang w:val="en-US" w:eastAsia="zh-CN"/>
        </w:rPr>
      </w:pPr>
    </w:p>
    <w:p w14:paraId="3F8E7F84">
      <w:pPr>
        <w:rPr>
          <w:rFonts w:hint="eastAsia"/>
          <w:lang w:val="en-US" w:eastAsia="zh-CN"/>
        </w:rPr>
      </w:pPr>
    </w:p>
    <w:p w14:paraId="1DF7AB9F">
      <w:pPr>
        <w:pStyle w:val="16"/>
        <w:rPr>
          <w:rFonts w:hint="eastAsia"/>
          <w:lang w:val="en-US" w:eastAsia="zh-CN"/>
        </w:rPr>
      </w:pPr>
    </w:p>
    <w:p w14:paraId="3FBFD160">
      <w:pPr>
        <w:rPr>
          <w:rFonts w:hint="eastAsia"/>
          <w:lang w:val="en-US" w:eastAsia="zh-CN"/>
        </w:rPr>
      </w:pPr>
    </w:p>
    <w:p w14:paraId="5128E75F">
      <w:pPr>
        <w:pStyle w:val="16"/>
        <w:rPr>
          <w:rFonts w:hint="eastAsia"/>
          <w:lang w:val="en-US" w:eastAsia="zh-CN"/>
        </w:rPr>
      </w:pPr>
    </w:p>
    <w:p w14:paraId="6D58C9D1">
      <w:pPr>
        <w:rPr>
          <w:rFonts w:hint="eastAsia"/>
          <w:lang w:val="en-US" w:eastAsia="zh-CN"/>
        </w:rPr>
      </w:pPr>
    </w:p>
    <w:p w14:paraId="649378F3">
      <w:pPr>
        <w:pStyle w:val="16"/>
        <w:rPr>
          <w:rFonts w:hint="eastAsia"/>
          <w:lang w:val="en-US" w:eastAsia="zh-CN"/>
        </w:rPr>
      </w:pPr>
    </w:p>
    <w:p w14:paraId="08ADE3E5">
      <w:pPr>
        <w:rPr>
          <w:rFonts w:hint="eastAsia"/>
          <w:lang w:val="en-US" w:eastAsia="zh-CN"/>
        </w:rPr>
      </w:pPr>
    </w:p>
    <w:p w14:paraId="786076E3">
      <w:pPr>
        <w:pStyle w:val="16"/>
        <w:rPr>
          <w:rFonts w:hint="eastAsia"/>
          <w:lang w:val="en-US" w:eastAsia="zh-CN"/>
        </w:rPr>
      </w:pPr>
    </w:p>
    <w:p w14:paraId="1682304B">
      <w:pPr>
        <w:rPr>
          <w:rFonts w:hint="eastAsia"/>
          <w:lang w:val="en-US" w:eastAsia="zh-CN"/>
        </w:rPr>
      </w:pPr>
    </w:p>
    <w:p w14:paraId="52FF6B59">
      <w:pPr>
        <w:pStyle w:val="16"/>
        <w:rPr>
          <w:rFonts w:hint="eastAsia"/>
          <w:lang w:val="en-US" w:eastAsia="zh-CN"/>
        </w:rPr>
      </w:pPr>
    </w:p>
    <w:p w14:paraId="2E72D9DA">
      <w:pPr>
        <w:rPr>
          <w:rFonts w:hint="eastAsia"/>
          <w:lang w:val="en-US" w:eastAsia="zh-CN"/>
        </w:rPr>
      </w:pPr>
    </w:p>
    <w:p w14:paraId="7ED4C5DE">
      <w:pPr>
        <w:pStyle w:val="16"/>
        <w:rPr>
          <w:rFonts w:hint="eastAsia"/>
          <w:lang w:val="en-US" w:eastAsia="zh-CN"/>
        </w:rPr>
      </w:pPr>
    </w:p>
    <w:p w14:paraId="0C78CA11">
      <w:pPr>
        <w:rPr>
          <w:rFonts w:hint="eastAsia"/>
          <w:lang w:val="en-US" w:eastAsia="zh-CN"/>
        </w:rPr>
      </w:pPr>
    </w:p>
    <w:p w14:paraId="3DD83396">
      <w:pPr>
        <w:pStyle w:val="16"/>
        <w:ind w:left="0" w:leftChars="0" w:firstLine="0" w:firstLineChars="0"/>
        <w:rPr>
          <w:rFonts w:hint="eastAsia"/>
          <w:lang w:val="en-US" w:eastAsia="zh-CN"/>
        </w:rPr>
      </w:pPr>
    </w:p>
    <w:p w14:paraId="4AA30126">
      <w:pPr>
        <w:pStyle w:val="16"/>
        <w:numPr>
          <w:ilvl w:val="0"/>
          <w:numId w:val="0"/>
        </w:numPr>
      </w:pPr>
    </w:p>
    <w:p w14:paraId="7BB554E1">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6</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p>
    <w:p w14:paraId="66196CFA">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14:paraId="1682FBAC">
      <w:pPr>
        <w:snapToGrid w:val="0"/>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color w:val="FF0000"/>
          <w:sz w:val="25"/>
          <w:szCs w:val="25"/>
          <w:highlight w:val="green"/>
          <w:lang w:eastAsia="zh-CN"/>
        </w:rPr>
        <w:t>本项目为专门面向小微企业采购项目，</w:t>
      </w:r>
      <w:r>
        <w:rPr>
          <w:rFonts w:hint="eastAsia" w:ascii="仿宋" w:hAnsi="仿宋" w:eastAsia="仿宋"/>
          <w:b/>
          <w:color w:val="FF0000"/>
          <w:sz w:val="25"/>
          <w:szCs w:val="25"/>
          <w:highlight w:val="green"/>
        </w:rPr>
        <w:t>需提供相应的声明函</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14:paraId="7D4CB3B4">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14:paraId="64FD0D4C">
      <w:pPr>
        <w:snapToGrid w:val="0"/>
        <w:ind w:left="499" w:leftChars="208" w:firstLine="75" w:firstLineChars="30"/>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w:t>
      </w:r>
      <w:r>
        <w:rPr>
          <w:rFonts w:ascii="仿宋" w:hAnsi="仿宋" w:eastAsia="仿宋"/>
          <w:color w:val="FF0000"/>
          <w:sz w:val="25"/>
          <w:szCs w:val="25"/>
        </w:rPr>
        <w:t>2</w:t>
      </w:r>
      <w:r>
        <w:rPr>
          <w:rFonts w:hint="eastAsia" w:ascii="仿宋" w:hAnsi="仿宋" w:eastAsia="仿宋"/>
          <w:color w:val="FF0000"/>
          <w:sz w:val="25"/>
          <w:szCs w:val="25"/>
        </w:rPr>
        <w:t>)</w:t>
      </w:r>
      <w:bookmarkStart w:id="13" w:name="_Hlk71925120"/>
      <w:r>
        <w:rPr>
          <w:rFonts w:hint="eastAsia" w:ascii="仿宋" w:hAnsi="仿宋" w:eastAsia="仿宋"/>
          <w:color w:val="FF0000"/>
          <w:sz w:val="25"/>
          <w:szCs w:val="25"/>
        </w:rPr>
        <w:t>《关于印发中小企业划型标准规定的通知》（工信部联企业〔2011〕300 号</w:t>
      </w:r>
      <w:bookmarkEnd w:id="13"/>
      <w:r>
        <w:rPr>
          <w:rFonts w:hint="eastAsia" w:ascii="仿宋" w:hAnsi="仿宋" w:eastAsia="仿宋"/>
          <w:color w:val="FF0000"/>
          <w:sz w:val="25"/>
          <w:szCs w:val="25"/>
        </w:rPr>
        <w:t>），</w:t>
      </w:r>
    </w:p>
    <w:p w14:paraId="487A4EF9">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w:t>
      </w:r>
    </w:p>
    <w:p w14:paraId="46A57359">
      <w:pPr>
        <w:snapToGrid w:val="0"/>
        <w:ind w:firstLine="555"/>
        <w:rPr>
          <w:rFonts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w:t>
      </w:r>
    </w:p>
    <w:p w14:paraId="79BB1FDF">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w:t>
      </w:r>
    </w:p>
    <w:p w14:paraId="0732E4BE">
      <w:pPr>
        <w:snapToGrid w:val="0"/>
        <w:rPr>
          <w:rFonts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3、请依照招标文件提供的格式和内容填写声明函，不要随意变更格式；满足多项优惠政策的投标人，不重复享受多项价格扣除政策。</w:t>
      </w:r>
    </w:p>
    <w:p w14:paraId="790EF29D">
      <w:pPr>
        <w:snapToGrid w:val="0"/>
        <w:rPr>
          <w:rFonts w:ascii="仿宋" w:hAnsi="仿宋" w:eastAsia="仿宋"/>
          <w:color w:val="FF0000"/>
          <w:sz w:val="25"/>
          <w:szCs w:val="25"/>
        </w:rPr>
      </w:pPr>
      <w:r>
        <w:rPr>
          <w:rFonts w:hint="eastAsia" w:ascii="仿宋" w:hAnsi="仿宋" w:eastAsia="仿宋"/>
          <w:color w:val="FF0000"/>
          <w:sz w:val="25"/>
          <w:szCs w:val="25"/>
        </w:rPr>
        <w:t xml:space="preserve">    4、声明函具体填写要求：</w:t>
      </w:r>
    </w:p>
    <w:p w14:paraId="27E50F43">
      <w:pPr>
        <w:snapToGrid w:val="0"/>
        <w:rPr>
          <w:rFonts w:ascii="仿宋" w:hAnsi="仿宋" w:eastAsia="仿宋"/>
          <w:color w:val="FF0000"/>
          <w:sz w:val="25"/>
          <w:szCs w:val="25"/>
        </w:rPr>
      </w:pPr>
      <w:r>
        <w:rPr>
          <w:rFonts w:hint="eastAsia" w:ascii="仿宋" w:hAnsi="仿宋" w:eastAsia="仿宋"/>
          <w:color w:val="FF0000"/>
          <w:sz w:val="25"/>
          <w:szCs w:val="25"/>
        </w:rPr>
        <w:t xml:space="preserve">    （1）声明是中小企业须填写《中小企业声明函》的以下内容：</w:t>
      </w:r>
    </w:p>
    <w:p w14:paraId="57B12823">
      <w:pPr>
        <w:snapToGrid w:val="0"/>
        <w:rPr>
          <w:rFonts w:ascii="仿宋" w:hAnsi="仿宋" w:eastAsia="仿宋"/>
          <w:color w:val="FF0000"/>
          <w:sz w:val="25"/>
          <w:szCs w:val="25"/>
        </w:rPr>
      </w:pPr>
      <w:r>
        <w:rPr>
          <w:rFonts w:hint="eastAsia" w:ascii="仿宋" w:hAnsi="仿宋" w:eastAsia="仿宋"/>
          <w:color w:val="FF0000"/>
          <w:sz w:val="25"/>
          <w:szCs w:val="25"/>
        </w:rPr>
        <w:t xml:space="preserve">    第一处，在“单位名称”下划线处如实填写采购人名称（</w:t>
      </w:r>
      <w:r>
        <w:rPr>
          <w:rFonts w:hint="eastAsia" w:ascii="仿宋" w:hAnsi="仿宋" w:eastAsia="仿宋"/>
          <w:color w:val="FF0000"/>
          <w:sz w:val="25"/>
          <w:szCs w:val="25"/>
          <w:lang w:eastAsia="zh-CN"/>
        </w:rPr>
        <w:t>喀什市招投标中心</w:t>
      </w:r>
      <w:r>
        <w:rPr>
          <w:rFonts w:hint="eastAsia" w:ascii="仿宋" w:hAnsi="仿宋" w:eastAsia="仿宋"/>
          <w:color w:val="FF0000"/>
          <w:sz w:val="25"/>
          <w:szCs w:val="25"/>
        </w:rPr>
        <w:t>不是本项目的采购人，而是组织实施机构）；</w:t>
      </w:r>
    </w:p>
    <w:p w14:paraId="098C22D5">
      <w:pPr>
        <w:snapToGrid w:val="0"/>
        <w:rPr>
          <w:rFonts w:ascii="仿宋" w:hAnsi="仿宋" w:eastAsia="仿宋"/>
          <w:color w:val="FF0000"/>
          <w:sz w:val="25"/>
          <w:szCs w:val="25"/>
        </w:rPr>
      </w:pPr>
      <w:r>
        <w:rPr>
          <w:rFonts w:hint="eastAsia" w:ascii="仿宋" w:hAnsi="仿宋" w:eastAsia="仿宋"/>
          <w:color w:val="FF0000"/>
          <w:sz w:val="25"/>
          <w:szCs w:val="25"/>
        </w:rPr>
        <w:t xml:space="preserve">    第二处，在“项目名称”下划线处如实填写采购项目名称；</w:t>
      </w:r>
    </w:p>
    <w:p w14:paraId="31493B90">
      <w:pPr>
        <w:snapToGrid w:val="0"/>
        <w:rPr>
          <w:rFonts w:ascii="仿宋" w:hAnsi="仿宋" w:eastAsia="仿宋"/>
          <w:color w:val="FF0000"/>
          <w:sz w:val="25"/>
          <w:szCs w:val="25"/>
        </w:rPr>
      </w:pPr>
      <w:r>
        <w:rPr>
          <w:rFonts w:hint="eastAsia" w:ascii="仿宋" w:hAnsi="仿宋" w:eastAsia="仿宋"/>
          <w:color w:val="FF0000"/>
          <w:sz w:val="25"/>
          <w:szCs w:val="25"/>
        </w:rPr>
        <w:t xml:space="preserve">    第三处，在“标的名称”下划线处填写所采购标的（货物或服务）的具体名称；如果涉及多项标的（货物或服务）为同一企业制造或承接，“标的名称”下划线处可以如实填写多项标的名称；</w:t>
      </w:r>
    </w:p>
    <w:p w14:paraId="507A78C3">
      <w:pPr>
        <w:snapToGrid w:val="0"/>
        <w:rPr>
          <w:rFonts w:ascii="仿宋" w:hAnsi="仿宋" w:eastAsia="仿宋"/>
          <w:color w:val="FF0000"/>
          <w:sz w:val="25"/>
          <w:szCs w:val="25"/>
        </w:rPr>
      </w:pPr>
      <w:r>
        <w:rPr>
          <w:rFonts w:hint="eastAsia" w:ascii="仿宋" w:hAnsi="仿宋" w:eastAsia="仿宋"/>
          <w:color w:val="FF0000"/>
          <w:sz w:val="25"/>
          <w:szCs w:val="25"/>
        </w:rPr>
        <w:t xml:space="preserve">    第四处，在“招标文件中明确的所属行业”下划线处填写采购标的对应的中小企业划分标准所属行业；</w:t>
      </w:r>
    </w:p>
    <w:p w14:paraId="57F69DBD">
      <w:pPr>
        <w:snapToGrid w:val="0"/>
        <w:rPr>
          <w:rFonts w:ascii="仿宋" w:hAnsi="仿宋" w:eastAsia="仿宋"/>
          <w:color w:val="FF0000"/>
          <w:sz w:val="25"/>
          <w:szCs w:val="25"/>
        </w:rPr>
      </w:pPr>
      <w:r>
        <w:rPr>
          <w:rFonts w:hint="eastAsia" w:ascii="仿宋" w:hAnsi="仿宋" w:eastAsia="仿宋"/>
          <w:color w:val="FF0000"/>
          <w:sz w:val="25"/>
          <w:szCs w:val="25"/>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39D1AE50">
      <w:pPr>
        <w:snapToGrid w:val="0"/>
        <w:rPr>
          <w:rFonts w:ascii="仿宋" w:hAnsi="仿宋" w:eastAsia="仿宋"/>
          <w:color w:val="FF0000"/>
          <w:sz w:val="25"/>
          <w:szCs w:val="25"/>
        </w:rPr>
      </w:pPr>
      <w:r>
        <w:rPr>
          <w:rFonts w:hint="eastAsia" w:ascii="仿宋" w:hAnsi="仿宋" w:eastAsia="仿宋"/>
          <w:color w:val="FF0000"/>
          <w:sz w:val="25"/>
          <w:szCs w:val="25"/>
        </w:rPr>
        <w:t xml:space="preserve">    （2）声明是残疾人福利性单位须填写《残疾人福利性单位声明函》的相关内容，具体参照以上《中小企业声明函》填写要求执行。</w:t>
      </w:r>
    </w:p>
    <w:p w14:paraId="3BB00CED">
      <w:pPr>
        <w:snapToGrid w:val="0"/>
        <w:rPr>
          <w:rFonts w:ascii="仿宋" w:hAnsi="仿宋" w:eastAsia="仿宋"/>
          <w:color w:val="FF0000"/>
          <w:sz w:val="25"/>
          <w:szCs w:val="25"/>
        </w:rPr>
      </w:pPr>
      <w:r>
        <w:rPr>
          <w:rFonts w:hint="eastAsia" w:ascii="仿宋" w:hAnsi="仿宋" w:eastAsia="仿宋"/>
          <w:color w:val="FF0000"/>
          <w:sz w:val="25"/>
          <w:szCs w:val="25"/>
        </w:rPr>
        <w:t xml:space="preserve">    （3）声明是监狱企业须填写《监狱企业声明函》的三项内容（填写位置的字体已加粗），具体参照以上《中小企业声明函》填写要求执行。</w:t>
      </w:r>
    </w:p>
    <w:p w14:paraId="268C69F6">
      <w:pPr>
        <w:snapToGrid w:val="0"/>
        <w:rPr>
          <w:rFonts w:ascii="仿宋" w:hAnsi="仿宋" w:eastAsia="仿宋"/>
          <w:b/>
          <w:color w:val="FF0000"/>
          <w:sz w:val="25"/>
          <w:szCs w:val="25"/>
        </w:rPr>
      </w:pPr>
      <w:r>
        <w:rPr>
          <w:rFonts w:hint="eastAsia" w:ascii="仿宋" w:hAnsi="仿宋" w:eastAsia="仿宋"/>
          <w:b/>
          <w:color w:val="FF0000"/>
          <w:sz w:val="25"/>
          <w:szCs w:val="25"/>
        </w:rPr>
        <w:t xml:space="preserve">   </w:t>
      </w:r>
    </w:p>
    <w:p w14:paraId="73233C52">
      <w:pPr>
        <w:jc w:val="center"/>
        <w:outlineLvl w:val="4"/>
        <w:rPr>
          <w:rFonts w:hint="eastAsia" w:ascii="Arial" w:hAnsi="Arial" w:eastAsia="宋体"/>
          <w:b/>
        </w:rPr>
      </w:pP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w:t>
      </w:r>
    </w:p>
    <w:p w14:paraId="1F1F06B4">
      <w:pPr>
        <w:pStyle w:val="6"/>
      </w:pPr>
    </w:p>
    <w:p w14:paraId="38F715B4">
      <w:pPr>
        <w:spacing w:after="60" w:afterLines="25" w:line="300" w:lineRule="auto"/>
        <w:ind w:right="420"/>
        <w:rPr>
          <w:rFonts w:ascii="Arial" w:hAnsi="Arial" w:eastAsia="宋体"/>
          <w:szCs w:val="21"/>
        </w:rPr>
      </w:pPr>
      <w:bookmarkStart w:id="14" w:name="_Hlk73562203"/>
      <w:r>
        <w:rPr>
          <w:rFonts w:hint="eastAsia" w:ascii="Arial" w:hAnsi="Arial" w:eastAsia="宋体"/>
          <w:szCs w:val="21"/>
          <w:lang w:eastAsia="zh-CN"/>
        </w:rPr>
        <w:t>详见</w:t>
      </w:r>
      <w:r>
        <w:rPr>
          <w:rFonts w:ascii="Arial" w:hAnsi="Arial" w:eastAsia="宋体"/>
          <w:szCs w:val="21"/>
        </w:rPr>
        <w:t>《政府采购促进中小企业发展管理办法》（财库〔2020〕46 号）</w:t>
      </w:r>
      <w:bookmarkEnd w:id="14"/>
    </w:p>
    <w:p w14:paraId="5BACC05B">
      <w:pPr>
        <w:spacing w:after="60" w:afterLines="25" w:line="300" w:lineRule="auto"/>
        <w:ind w:right="420" w:firstLine="6385" w:firstLineChars="2650"/>
        <w:rPr>
          <w:rFonts w:ascii="Arial" w:hAnsi="Arial" w:eastAsia="宋体"/>
          <w:b/>
          <w:szCs w:val="21"/>
        </w:rPr>
      </w:pPr>
    </w:p>
    <w:p w14:paraId="1ED3E05B">
      <w:pPr>
        <w:spacing w:after="60" w:afterLines="25" w:line="300" w:lineRule="auto"/>
        <w:ind w:right="420" w:firstLine="6385" w:firstLineChars="2650"/>
        <w:rPr>
          <w:rFonts w:hint="eastAsia" w:ascii="Arial" w:hAnsi="Arial" w:eastAsia="宋体"/>
          <w:b/>
          <w:szCs w:val="21"/>
          <w:lang w:val="en-US" w:eastAsia="zh-CN"/>
        </w:rPr>
      </w:pPr>
      <w:r>
        <w:rPr>
          <w:rFonts w:hint="eastAsia" w:ascii="Arial" w:hAnsi="Arial" w:eastAsia="宋体"/>
          <w:b/>
          <w:szCs w:val="21"/>
          <w:lang w:val="en-US" w:eastAsia="zh-CN"/>
        </w:rPr>
        <w:t xml:space="preserve">   </w:t>
      </w:r>
    </w:p>
    <w:p w14:paraId="4C64765D">
      <w:pPr>
        <w:pStyle w:val="6"/>
        <w:rPr>
          <w:rFonts w:hint="eastAsia" w:ascii="Arial" w:hAnsi="Arial" w:eastAsia="宋体"/>
          <w:b/>
          <w:szCs w:val="21"/>
          <w:lang w:val="en-US" w:eastAsia="zh-CN"/>
        </w:rPr>
      </w:pPr>
    </w:p>
    <w:p w14:paraId="650D8158">
      <w:pPr>
        <w:rPr>
          <w:rFonts w:hint="eastAsia" w:ascii="Arial" w:hAnsi="Arial" w:eastAsia="宋体"/>
          <w:b/>
          <w:szCs w:val="21"/>
          <w:lang w:val="en-US" w:eastAsia="zh-CN"/>
        </w:rPr>
      </w:pPr>
    </w:p>
    <w:p w14:paraId="576AC785">
      <w:pPr>
        <w:pStyle w:val="6"/>
        <w:rPr>
          <w:rFonts w:hint="eastAsia" w:ascii="Arial" w:hAnsi="Arial" w:eastAsia="宋体"/>
          <w:b/>
          <w:szCs w:val="21"/>
          <w:lang w:val="en-US" w:eastAsia="zh-CN"/>
        </w:rPr>
      </w:pPr>
    </w:p>
    <w:p w14:paraId="268C92CF">
      <w:pPr>
        <w:rPr>
          <w:rFonts w:hint="eastAsia" w:ascii="Arial" w:hAnsi="Arial" w:eastAsia="宋体"/>
          <w:b/>
          <w:szCs w:val="21"/>
          <w:lang w:val="en-US" w:eastAsia="zh-CN"/>
        </w:rPr>
      </w:pPr>
    </w:p>
    <w:p w14:paraId="613E0ABD">
      <w:pPr>
        <w:pStyle w:val="6"/>
        <w:rPr>
          <w:rFonts w:hint="eastAsia" w:ascii="Arial" w:hAnsi="Arial" w:eastAsia="宋体"/>
          <w:b/>
          <w:szCs w:val="21"/>
          <w:lang w:val="en-US" w:eastAsia="zh-CN"/>
        </w:rPr>
      </w:pPr>
    </w:p>
    <w:p w14:paraId="37AFE83B">
      <w:pPr>
        <w:rPr>
          <w:rFonts w:hint="eastAsia" w:ascii="Arial" w:hAnsi="Arial" w:eastAsia="宋体"/>
          <w:b/>
          <w:szCs w:val="21"/>
          <w:lang w:val="en-US" w:eastAsia="zh-CN"/>
        </w:rPr>
      </w:pPr>
    </w:p>
    <w:p w14:paraId="019404FE">
      <w:pPr>
        <w:pStyle w:val="6"/>
        <w:rPr>
          <w:rFonts w:hint="eastAsia" w:ascii="Arial" w:hAnsi="Arial" w:eastAsia="宋体"/>
          <w:b/>
          <w:szCs w:val="21"/>
          <w:lang w:val="en-US" w:eastAsia="zh-CN"/>
        </w:rPr>
      </w:pPr>
    </w:p>
    <w:p w14:paraId="01BED027">
      <w:pPr>
        <w:rPr>
          <w:rFonts w:hint="eastAsia" w:ascii="Arial" w:hAnsi="Arial" w:eastAsia="宋体"/>
          <w:b/>
          <w:szCs w:val="21"/>
          <w:lang w:val="en-US" w:eastAsia="zh-CN"/>
        </w:rPr>
      </w:pPr>
    </w:p>
    <w:p w14:paraId="5A3D9119">
      <w:pPr>
        <w:pStyle w:val="6"/>
        <w:rPr>
          <w:rFonts w:hint="eastAsia" w:ascii="Arial" w:hAnsi="Arial" w:eastAsia="宋体"/>
          <w:b/>
          <w:szCs w:val="21"/>
          <w:lang w:val="en-US" w:eastAsia="zh-CN"/>
        </w:rPr>
      </w:pPr>
    </w:p>
    <w:p w14:paraId="29779737">
      <w:pPr>
        <w:rPr>
          <w:rFonts w:hint="eastAsia" w:ascii="Arial" w:hAnsi="Arial" w:eastAsia="宋体"/>
          <w:b/>
          <w:szCs w:val="21"/>
          <w:lang w:val="en-US" w:eastAsia="zh-CN"/>
        </w:rPr>
      </w:pPr>
    </w:p>
    <w:p w14:paraId="450C059F">
      <w:pPr>
        <w:pStyle w:val="6"/>
        <w:rPr>
          <w:rFonts w:hint="default"/>
          <w:lang w:val="en-US" w:eastAsia="zh-CN"/>
        </w:rPr>
      </w:pPr>
    </w:p>
    <w:p w14:paraId="60A7F7F1">
      <w:pPr>
        <w:spacing w:after="60" w:afterLines="25" w:line="300" w:lineRule="auto"/>
        <w:ind w:firstLine="482" w:firstLineChars="200"/>
        <w:rPr>
          <w:rFonts w:ascii="宋体" w:hAnsi="宋体" w:eastAsia="宋体"/>
          <w:color w:val="FF0000"/>
          <w:highlight w:val="yellow"/>
        </w:rPr>
      </w:pPr>
      <w:r>
        <w:rPr>
          <w:rFonts w:hint="eastAsia" w:ascii="宋体" w:hAnsi="宋体" w:eastAsia="宋体"/>
          <w:b/>
          <w:color w:val="FF0000"/>
          <w:highlight w:val="yellow"/>
        </w:rPr>
        <w:t>说明：</w:t>
      </w:r>
      <w:r>
        <w:rPr>
          <w:rFonts w:hint="eastAsia" w:ascii="宋体" w:hAnsi="宋体" w:eastAsia="宋体"/>
          <w:color w:val="FF0000"/>
          <w:highlight w:val="yellow"/>
        </w:rPr>
        <w:t>对中小企业的认定，由货物制造商或者工程、服务供应商注册登记所在地的县级以上人民政府中小企业主管部门负责。</w:t>
      </w:r>
      <w:r>
        <w:rPr>
          <w:rFonts w:hint="eastAsia" w:ascii="宋体" w:hAnsi="宋体" w:eastAsia="宋体"/>
          <w:color w:val="0000FF"/>
          <w:highlight w:val="yellow"/>
        </w:rPr>
        <w:t>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6F9CFD35">
      <w:pPr>
        <w:rPr>
          <w:rFonts w:ascii="宋体" w:hAnsi="宋体" w:eastAsia="宋体"/>
          <w:b/>
        </w:rPr>
      </w:pPr>
      <w:r>
        <w:br w:type="page"/>
      </w:r>
    </w:p>
    <w:p w14:paraId="1816B3A5">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残疾人福利性单位声明函（货物）</w:t>
      </w:r>
    </w:p>
    <w:p w14:paraId="7C510E6D">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14:paraId="46596771">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292B7DB2">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7EEA612D">
      <w:pPr>
        <w:spacing w:after="60" w:afterLines="25" w:line="300" w:lineRule="auto"/>
        <w:ind w:firstLine="480" w:firstLineChars="200"/>
        <w:rPr>
          <w:rFonts w:ascii="宋体" w:hAnsi="宋体"/>
          <w:szCs w:val="21"/>
        </w:rPr>
      </w:pPr>
      <w:r>
        <w:rPr>
          <w:rFonts w:ascii="宋体" w:hAnsi="宋体"/>
          <w:szCs w:val="21"/>
        </w:rPr>
        <w:t xml:space="preserve">…… </w:t>
      </w:r>
    </w:p>
    <w:p w14:paraId="57ADB809">
      <w:pPr>
        <w:spacing w:after="60" w:afterLines="25" w:line="300" w:lineRule="auto"/>
        <w:ind w:firstLine="480" w:firstLineChars="200"/>
        <w:rPr>
          <w:rFonts w:ascii="宋体" w:hAnsi="宋体"/>
          <w:szCs w:val="21"/>
        </w:rPr>
      </w:pPr>
      <w:bookmarkStart w:id="15"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15"/>
    </w:p>
    <w:p w14:paraId="433409B1">
      <w:pPr>
        <w:spacing w:after="60" w:afterLines="25" w:line="300" w:lineRule="auto"/>
        <w:jc w:val="right"/>
        <w:rPr>
          <w:rFonts w:ascii="宋体" w:hAnsi="宋体"/>
          <w:szCs w:val="21"/>
        </w:rPr>
      </w:pPr>
    </w:p>
    <w:p w14:paraId="126278E0">
      <w:pPr>
        <w:spacing w:after="60" w:afterLines="25" w:line="300" w:lineRule="auto"/>
        <w:ind w:right="420" w:firstLine="3840" w:firstLineChars="1600"/>
        <w:rPr>
          <w:rFonts w:ascii="宋体" w:hAnsi="宋体"/>
          <w:szCs w:val="21"/>
        </w:rPr>
      </w:pPr>
      <w:r>
        <w:rPr>
          <w:rFonts w:hint="eastAsia" w:ascii="宋体" w:hAnsi="宋体"/>
          <w:szCs w:val="21"/>
        </w:rPr>
        <w:t>投标人（投标单位）：</w:t>
      </w:r>
    </w:p>
    <w:p w14:paraId="4A127A04">
      <w:pPr>
        <w:spacing w:after="60" w:afterLines="25" w:line="300" w:lineRule="auto"/>
        <w:ind w:right="420" w:firstLine="5280" w:firstLineChars="2200"/>
        <w:rPr>
          <w:rFonts w:ascii="宋体" w:hAnsi="宋体"/>
          <w:szCs w:val="21"/>
        </w:rPr>
      </w:pPr>
      <w:r>
        <w:rPr>
          <w:rFonts w:hint="eastAsia" w:ascii="宋体" w:hAnsi="宋体"/>
          <w:szCs w:val="21"/>
        </w:rPr>
        <w:t>日期：</w:t>
      </w:r>
    </w:p>
    <w:p w14:paraId="01069EB8">
      <w:pPr>
        <w:spacing w:after="60" w:afterLines="25" w:line="300" w:lineRule="auto"/>
        <w:jc w:val="right"/>
        <w:rPr>
          <w:rFonts w:ascii="宋体" w:hAnsi="宋体"/>
          <w:b/>
          <w:color w:val="FF0000"/>
          <w:sz w:val="28"/>
          <w:szCs w:val="28"/>
        </w:rPr>
      </w:pPr>
    </w:p>
    <w:p w14:paraId="2E2E89C3">
      <w:pPr>
        <w:spacing w:after="60" w:afterLines="25" w:line="300" w:lineRule="auto"/>
        <w:jc w:val="right"/>
        <w:rPr>
          <w:rFonts w:ascii="Arial" w:hAnsi="Arial" w:eastAsia="宋体"/>
          <w:b/>
          <w:color w:val="FF0000"/>
          <w:sz w:val="28"/>
          <w:szCs w:val="28"/>
        </w:rPr>
      </w:pPr>
    </w:p>
    <w:p w14:paraId="1C96C7C4">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14:paraId="1D867270">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14:paraId="6851D7E6">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14:paraId="4C122CE2">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14:paraId="193E7FFE">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14:paraId="6B61998F">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395DF7B">
      <w:pPr>
        <w:jc w:val="center"/>
        <w:outlineLvl w:val="4"/>
        <w:rPr>
          <w:rFonts w:hint="eastAsia" w:ascii="Arial" w:hAnsi="Arial" w:eastAsia="宋体"/>
          <w:b/>
        </w:rPr>
      </w:pPr>
      <w:r>
        <w:br w:type="page"/>
      </w:r>
      <w:r>
        <w:rPr>
          <w:rFonts w:hint="eastAsia" w:ascii="宋体" w:hAnsi="宋体" w:eastAsia="宋体"/>
          <w:b/>
        </w:rPr>
        <w:t>③</w:t>
      </w:r>
      <w:r>
        <w:rPr>
          <w:rFonts w:hint="eastAsia" w:ascii="Arial" w:hAnsi="Arial" w:eastAsia="宋体"/>
          <w:b/>
        </w:rPr>
        <w:t>监狱企业声明函（货物）</w:t>
      </w:r>
    </w:p>
    <w:p w14:paraId="5A26D49F">
      <w:pPr>
        <w:pStyle w:val="24"/>
        <w:numPr>
          <w:ilvl w:val="0"/>
          <w:numId w:val="0"/>
        </w:numPr>
        <w:ind w:left="3600" w:leftChars="0"/>
        <w:jc w:val="both"/>
      </w:pPr>
    </w:p>
    <w:p w14:paraId="7EA9E19B">
      <w:pPr>
        <w:spacing w:after="60"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w:t>
      </w:r>
      <w:r>
        <w:rPr>
          <w:rFonts w:hint="eastAsia" w:ascii="Arial" w:hAnsi="Arial" w:eastAsia="宋体"/>
          <w:szCs w:val="21"/>
        </w:rPr>
        <w:t>监狱企业</w:t>
      </w:r>
      <w:r>
        <w:rPr>
          <w:rFonts w:ascii="Arial" w:hAnsi="Arial" w:eastAsia="宋体"/>
          <w:szCs w:val="21"/>
        </w:rPr>
        <w:t>制造。相关</w:t>
      </w:r>
      <w:r>
        <w:rPr>
          <w:rFonts w:hint="eastAsia" w:ascii="Arial" w:hAnsi="Arial" w:eastAsia="宋体"/>
          <w:szCs w:val="21"/>
        </w:rPr>
        <w:t>监狱企业</w:t>
      </w:r>
      <w:r>
        <w:rPr>
          <w:rFonts w:ascii="Arial" w:hAnsi="Arial" w:eastAsia="宋体"/>
          <w:szCs w:val="21"/>
        </w:rPr>
        <w:t>的具体情况如下：</w:t>
      </w:r>
    </w:p>
    <w:p w14:paraId="32B37412">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14:paraId="07623854">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14:paraId="0796457E">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14:paraId="10F55562">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14:paraId="6CDA9043">
      <w:pPr>
        <w:spacing w:after="60" w:afterLines="25" w:line="300" w:lineRule="auto"/>
        <w:ind w:firstLine="482" w:firstLineChars="200"/>
        <w:rPr>
          <w:rFonts w:ascii="Arial" w:hAnsi="Arial" w:eastAsia="宋体"/>
          <w:b/>
          <w:color w:val="FF0000"/>
          <w:szCs w:val="21"/>
        </w:rPr>
      </w:pPr>
    </w:p>
    <w:p w14:paraId="23739AFD">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14:paraId="6343B922">
      <w:pPr>
        <w:spacing w:after="60" w:afterLines="25" w:line="300" w:lineRule="auto"/>
        <w:ind w:firstLine="482" w:firstLineChars="200"/>
        <w:rPr>
          <w:rFonts w:ascii="Arial" w:hAnsi="Arial" w:eastAsia="宋体"/>
          <w:b/>
          <w:color w:val="FF0000"/>
          <w:szCs w:val="21"/>
        </w:rPr>
      </w:pPr>
    </w:p>
    <w:p w14:paraId="52075DD3">
      <w:pPr>
        <w:spacing w:after="60" w:afterLines="25" w:line="300" w:lineRule="auto"/>
        <w:ind w:firstLine="482" w:firstLineChars="200"/>
        <w:rPr>
          <w:rFonts w:ascii="Arial" w:hAnsi="Arial" w:eastAsia="宋体"/>
          <w:b/>
          <w:color w:val="FF0000"/>
          <w:szCs w:val="21"/>
        </w:rPr>
      </w:pPr>
    </w:p>
    <w:p w14:paraId="4A637262">
      <w:pPr>
        <w:wordWrap w:val="0"/>
        <w:spacing w:after="60" w:afterLines="25" w:line="300" w:lineRule="auto"/>
        <w:ind w:right="420" w:firstLine="4560" w:firstLineChars="1900"/>
        <w:jc w:val="both"/>
        <w:rPr>
          <w:rFonts w:ascii="Arial" w:hAnsi="Arial" w:eastAsia="宋体"/>
          <w:szCs w:val="21"/>
        </w:rPr>
      </w:pPr>
      <w:r>
        <w:rPr>
          <w:rFonts w:hint="eastAsia" w:ascii="Arial" w:hAnsi="Arial" w:eastAsia="宋体"/>
          <w:szCs w:val="21"/>
        </w:rPr>
        <w:t>投标人（投标单位）：</w:t>
      </w:r>
    </w:p>
    <w:p w14:paraId="37B33C8B">
      <w:pPr>
        <w:wordWrap w:val="0"/>
        <w:spacing w:after="60" w:afterLines="25" w:line="300" w:lineRule="auto"/>
        <w:ind w:right="420" w:firstLine="6000" w:firstLineChars="2500"/>
        <w:jc w:val="both"/>
        <w:rPr>
          <w:rFonts w:ascii="Arial" w:hAnsi="Arial" w:eastAsia="宋体"/>
          <w:szCs w:val="21"/>
        </w:rPr>
      </w:pPr>
      <w:r>
        <w:rPr>
          <w:rFonts w:hint="eastAsia" w:ascii="Arial" w:hAnsi="Arial" w:eastAsia="宋体"/>
          <w:szCs w:val="21"/>
        </w:rPr>
        <w:t>日期：</w:t>
      </w:r>
    </w:p>
    <w:p w14:paraId="79A3F608">
      <w:pPr>
        <w:rPr>
          <w:rFonts w:ascii="宋体" w:hAnsi="宋体" w:eastAsia="宋体"/>
          <w:b/>
        </w:rPr>
      </w:pPr>
      <w:r>
        <w:br w:type="page"/>
      </w:r>
    </w:p>
    <w:p w14:paraId="582BED3A">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14:paraId="3F901636">
      <w:pPr>
        <w:spacing w:after="60" w:afterLines="25" w:line="300" w:lineRule="auto"/>
        <w:ind w:right="420"/>
        <w:rPr>
          <w:rFonts w:ascii="Arial" w:hAnsi="Arial" w:eastAsia="宋体"/>
          <w:szCs w:val="21"/>
        </w:rPr>
      </w:pPr>
      <w:r>
        <w:rPr>
          <w:rFonts w:hint="eastAsia" w:ascii="Arial" w:hAnsi="Arial" w:eastAsia="宋体"/>
          <w:szCs w:val="21"/>
          <w:lang w:eastAsia="zh-CN"/>
        </w:rPr>
        <w:t>详见</w:t>
      </w:r>
      <w:r>
        <w:rPr>
          <w:rFonts w:ascii="Arial" w:hAnsi="Arial" w:eastAsia="宋体"/>
          <w:szCs w:val="21"/>
        </w:rPr>
        <w:t>《政府采购促进中小企业发展管理办法》（财库〔2020〕46 号）</w:t>
      </w:r>
    </w:p>
    <w:p w14:paraId="50801B4A">
      <w:pPr>
        <w:spacing w:after="60" w:afterLines="25" w:line="300" w:lineRule="auto"/>
        <w:rPr>
          <w:rFonts w:ascii="宋体" w:hAnsi="宋体" w:eastAsia="宋体"/>
          <w:szCs w:val="21"/>
        </w:rPr>
      </w:pPr>
      <w:r>
        <w:rPr>
          <w:rFonts w:hint="eastAsia" w:ascii="宋体" w:hAnsi="宋体" w:eastAsia="宋体"/>
          <w:szCs w:val="21"/>
        </w:rPr>
        <w:t xml:space="preserve">  </w:t>
      </w:r>
    </w:p>
    <w:p w14:paraId="6A34202C">
      <w:pPr>
        <w:spacing w:after="60" w:afterLines="25" w:line="300" w:lineRule="auto"/>
        <w:rPr>
          <w:rFonts w:ascii="Arial" w:hAnsi="Arial" w:eastAsia="宋体"/>
        </w:rPr>
      </w:pPr>
    </w:p>
    <w:p w14:paraId="21E748AA">
      <w:pPr>
        <w:spacing w:after="60" w:afterLines="25" w:line="300" w:lineRule="auto"/>
        <w:rPr>
          <w:rFonts w:ascii="Arial" w:hAnsi="Arial" w:eastAsia="宋体"/>
        </w:rPr>
      </w:pPr>
    </w:p>
    <w:p w14:paraId="42DF4723">
      <w:pPr>
        <w:spacing w:after="60" w:afterLines="25" w:line="300" w:lineRule="auto"/>
        <w:rPr>
          <w:rFonts w:ascii="Arial" w:hAnsi="Arial" w:eastAsia="宋体"/>
        </w:rPr>
      </w:pPr>
    </w:p>
    <w:p w14:paraId="5757129B">
      <w:pPr>
        <w:snapToGrid w:val="0"/>
        <w:spacing w:after="60" w:afterLines="25" w:line="300" w:lineRule="auto"/>
        <w:ind w:firstLine="480" w:firstLineChars="200"/>
        <w:jc w:val="center"/>
        <w:rPr>
          <w:rFonts w:hint="eastAsia" w:ascii="Arial" w:hAnsi="Arial" w:eastAsia="宋体"/>
          <w:color w:val="FF0000"/>
          <w:highlight w:val="yellow"/>
        </w:rPr>
      </w:pPr>
    </w:p>
    <w:p w14:paraId="1492EAFE">
      <w:pPr>
        <w:snapToGrid w:val="0"/>
        <w:spacing w:after="60" w:afterLines="25" w:line="300" w:lineRule="auto"/>
        <w:ind w:firstLine="480" w:firstLineChars="200"/>
        <w:jc w:val="center"/>
        <w:rPr>
          <w:rFonts w:hint="eastAsia" w:ascii="Arial" w:hAnsi="Arial" w:eastAsia="宋体"/>
          <w:color w:val="FF0000"/>
          <w:highlight w:val="yellow"/>
        </w:rPr>
      </w:pPr>
    </w:p>
    <w:p w14:paraId="4DBE2901">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7.非联合体投标承诺函及非进口产品投标承诺函（承诺函格式自拟）</w:t>
      </w:r>
    </w:p>
    <w:p w14:paraId="0408BD77">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E9AB472">
      <w:pPr>
        <w:pStyle w:val="13"/>
        <w:numPr>
          <w:ilvl w:val="0"/>
          <w:numId w:val="0"/>
        </w:numPr>
        <w:rPr>
          <w:rFonts w:hint="eastAsia"/>
          <w:lang w:val="en-US" w:eastAsia="zh-CN"/>
        </w:rPr>
      </w:pPr>
    </w:p>
    <w:p w14:paraId="4F7705A6">
      <w:pPr>
        <w:snapToGrid w:val="0"/>
        <w:spacing w:after="60" w:afterLines="25" w:line="300" w:lineRule="auto"/>
        <w:ind w:firstLine="480" w:firstLineChars="200"/>
        <w:jc w:val="center"/>
        <w:rPr>
          <w:rFonts w:hint="eastAsia" w:ascii="Arial" w:hAnsi="Arial" w:eastAsia="宋体"/>
          <w:color w:val="FF0000"/>
          <w:highlight w:val="yellow"/>
        </w:rPr>
      </w:pPr>
    </w:p>
    <w:p w14:paraId="3676327E">
      <w:pPr>
        <w:snapToGrid w:val="0"/>
        <w:spacing w:after="60" w:afterLines="25" w:line="300" w:lineRule="auto"/>
        <w:ind w:firstLine="480" w:firstLineChars="200"/>
        <w:jc w:val="center"/>
      </w:pPr>
      <w:r>
        <w:br w:type="page"/>
      </w:r>
    </w:p>
    <w:p w14:paraId="27DF3939">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8</w:t>
      </w:r>
      <w:r>
        <w:rPr>
          <w:rFonts w:ascii="宋体" w:hAnsi="宋体" w:eastAsia="宋体"/>
          <w:b/>
          <w:bCs/>
          <w:szCs w:val="20"/>
        </w:rPr>
        <w:t>.投标</w:t>
      </w:r>
      <w:r>
        <w:rPr>
          <w:rFonts w:hint="eastAsia" w:ascii="宋体" w:hAnsi="宋体" w:eastAsia="宋体"/>
          <w:b/>
          <w:bCs/>
          <w:szCs w:val="20"/>
        </w:rPr>
        <w:t>函</w:t>
      </w:r>
    </w:p>
    <w:p w14:paraId="68D6FE36">
      <w:pPr>
        <w:snapToGrid w:val="0"/>
        <w:spacing w:line="360" w:lineRule="auto"/>
        <w:rPr>
          <w:rFonts w:ascii="Arial" w:hAnsi="Arial" w:eastAsia="宋体"/>
        </w:rPr>
      </w:pPr>
    </w:p>
    <w:p w14:paraId="387F992E">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喀什市公安局</w:t>
      </w:r>
    </w:p>
    <w:p w14:paraId="34C7F621">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KSS(GK)2025-034</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喀什市公安局DNA室、物证室设备及耗材采购项目(二次)</w:t>
      </w:r>
      <w:r>
        <w:rPr>
          <w:rFonts w:hint="eastAsia" w:ascii="Arial" w:hAnsi="Arial" w:eastAsia="宋体" w:cs="Arial"/>
        </w:rPr>
        <w:t>项目的招标文件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14:paraId="4C566137">
      <w:pPr>
        <w:numPr>
          <w:ilvl w:val="0"/>
          <w:numId w:val="6"/>
        </w:numPr>
        <w:snapToGrid w:val="0"/>
        <w:spacing w:after="60"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14:paraId="3AA2F8BB">
      <w:pPr>
        <w:numPr>
          <w:ilvl w:val="0"/>
          <w:numId w:val="6"/>
        </w:numPr>
        <w:snapToGrid w:val="0"/>
        <w:spacing w:after="60"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14:paraId="687E2072">
      <w:pPr>
        <w:numPr>
          <w:ilvl w:val="0"/>
          <w:numId w:val="6"/>
        </w:numPr>
        <w:snapToGrid w:val="0"/>
        <w:spacing w:after="60"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___</w:t>
      </w:r>
      <w:r>
        <w:rPr>
          <w:rFonts w:ascii="Arial" w:hAnsi="Arial" w:eastAsia="宋体" w:cs="Arial"/>
        </w:rPr>
        <w:t>个日历日。</w:t>
      </w:r>
    </w:p>
    <w:p w14:paraId="32142661">
      <w:pPr>
        <w:numPr>
          <w:ilvl w:val="0"/>
          <w:numId w:val="6"/>
        </w:numPr>
        <w:snapToGrid w:val="0"/>
        <w:spacing w:after="60"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14:paraId="549145D6">
      <w:pPr>
        <w:snapToGrid w:val="0"/>
        <w:spacing w:line="360" w:lineRule="auto"/>
        <w:ind w:firstLine="560"/>
        <w:rPr>
          <w:rFonts w:ascii="Arial" w:hAnsi="Arial" w:eastAsia="宋体" w:cs="Arial"/>
        </w:rPr>
      </w:pPr>
    </w:p>
    <w:p w14:paraId="1B1E631B">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14:paraId="070AA7E4">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14:paraId="7C55FE27">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14:paraId="626FF738">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14:paraId="694A9EB7">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14:paraId="658C10B3">
      <w:pPr>
        <w:snapToGrid w:val="0"/>
        <w:spacing w:line="360" w:lineRule="auto"/>
        <w:ind w:firstLine="560"/>
        <w:rPr>
          <w:rFonts w:ascii="Arial" w:hAnsi="Arial" w:eastAsia="宋体" w:cs="Arial"/>
        </w:rPr>
      </w:pPr>
    </w:p>
    <w:p w14:paraId="2B818AF4">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14:paraId="419B300A">
      <w:pPr>
        <w:snapToGrid w:val="0"/>
        <w:spacing w:line="360" w:lineRule="auto"/>
        <w:rPr>
          <w:rFonts w:ascii="Arial" w:hAnsi="Arial" w:eastAsia="宋体" w:cs="Arial"/>
        </w:rPr>
      </w:pPr>
      <w:r>
        <w:rPr>
          <w:rFonts w:hint="eastAsia" w:ascii="Arial" w:hAnsi="Arial" w:eastAsia="宋体" w:cs="Arial"/>
        </w:rPr>
        <w:t>联系电话：</w:t>
      </w:r>
    </w:p>
    <w:p w14:paraId="2BFFD96B">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14:paraId="663BE03E">
      <w:pPr>
        <w:snapToGrid w:val="0"/>
        <w:spacing w:line="360" w:lineRule="auto"/>
        <w:rPr>
          <w:rFonts w:ascii="Arial" w:hAnsi="Arial" w:eastAsia="宋体"/>
        </w:rPr>
      </w:pPr>
    </w:p>
    <w:p w14:paraId="316E6174">
      <w:pPr>
        <w:spacing w:after="60" w:afterLines="25" w:line="300" w:lineRule="auto"/>
      </w:pPr>
    </w:p>
    <w:p w14:paraId="524E1380">
      <w:pPr>
        <w:pStyle w:val="16"/>
      </w:pPr>
    </w:p>
    <w:p w14:paraId="438F65E9"/>
    <w:p w14:paraId="6239E1CF">
      <w:pPr>
        <w:spacing w:after="60" w:afterLines="25" w:line="300" w:lineRule="auto"/>
      </w:pPr>
    </w:p>
    <w:p w14:paraId="684C467C">
      <w:pPr>
        <w:spacing w:after="60" w:afterLines="25" w:line="300" w:lineRule="auto"/>
      </w:pPr>
    </w:p>
    <w:p w14:paraId="601E345B">
      <w:pPr>
        <w:spacing w:after="60" w:afterLines="25" w:line="300" w:lineRule="auto"/>
      </w:pPr>
    </w:p>
    <w:p w14:paraId="2250EB59">
      <w:pPr>
        <w:spacing w:after="60" w:afterLines="25" w:line="300" w:lineRule="auto"/>
      </w:pPr>
    </w:p>
    <w:p w14:paraId="07B2CF25">
      <w:pPr>
        <w:pStyle w:val="6"/>
      </w:pPr>
    </w:p>
    <w:p w14:paraId="083EFD13">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9.法定代表人证明书（附有效身份证正反面扫描件）</w:t>
      </w:r>
    </w:p>
    <w:p w14:paraId="00447589">
      <w:pPr>
        <w:spacing w:line="300" w:lineRule="auto"/>
        <w:ind w:left="140"/>
        <w:jc w:val="center"/>
        <w:rPr>
          <w:rFonts w:hint="eastAsia" w:ascii="Arial" w:hAnsi="Arial" w:eastAsia="宋体" w:cs="Arial"/>
          <w:b/>
        </w:rPr>
      </w:pPr>
    </w:p>
    <w:p w14:paraId="4D38A8F8">
      <w:pPr>
        <w:spacing w:line="300" w:lineRule="auto"/>
        <w:ind w:left="140"/>
        <w:jc w:val="center"/>
        <w:rPr>
          <w:rFonts w:ascii="Arial" w:hAnsi="Arial" w:eastAsia="宋体" w:cs="Arial"/>
          <w:b/>
        </w:rPr>
      </w:pPr>
      <w:r>
        <w:rPr>
          <w:rFonts w:hint="eastAsia" w:ascii="Arial" w:hAnsi="Arial" w:eastAsia="宋体" w:cs="Arial"/>
          <w:b/>
        </w:rPr>
        <w:t>法定代表人资格证明书</w:t>
      </w:r>
    </w:p>
    <w:p w14:paraId="4B48E637">
      <w:pPr>
        <w:spacing w:line="480" w:lineRule="atLeast"/>
        <w:ind w:firstLine="480" w:firstLineChars="200"/>
        <w:rPr>
          <w:rFonts w:ascii="Arial" w:hAnsi="Arial" w:eastAsia="仿宋_GB2312"/>
        </w:rPr>
      </w:pPr>
    </w:p>
    <w:p w14:paraId="43EBEF26">
      <w:pPr>
        <w:spacing w:line="300" w:lineRule="auto"/>
        <w:rPr>
          <w:rFonts w:ascii="Arial" w:hAnsi="Arial" w:eastAsia="宋体"/>
          <w:szCs w:val="21"/>
          <w:u w:val="single"/>
        </w:rPr>
      </w:pPr>
      <w:r>
        <w:rPr>
          <w:rFonts w:hint="eastAsia" w:ascii="Arial" w:hAnsi="Arial" w:eastAsia="宋体"/>
          <w:szCs w:val="21"/>
        </w:rPr>
        <w:t>单位名称：</w:t>
      </w:r>
    </w:p>
    <w:p w14:paraId="3DD42F43">
      <w:pPr>
        <w:spacing w:line="300" w:lineRule="auto"/>
        <w:rPr>
          <w:rFonts w:ascii="Arial" w:hAnsi="Arial" w:eastAsia="宋体"/>
          <w:szCs w:val="21"/>
          <w:u w:val="single"/>
        </w:rPr>
      </w:pPr>
      <w:r>
        <w:rPr>
          <w:rFonts w:hint="eastAsia" w:ascii="Arial" w:hAnsi="Arial" w:eastAsia="宋体"/>
          <w:szCs w:val="21"/>
        </w:rPr>
        <w:t>地址：</w:t>
      </w:r>
    </w:p>
    <w:p w14:paraId="17C1FE5B">
      <w:pPr>
        <w:spacing w:line="300" w:lineRule="auto"/>
        <w:rPr>
          <w:rFonts w:ascii="Arial" w:hAnsi="Arial" w:eastAsia="宋体"/>
          <w:szCs w:val="21"/>
          <w:u w:val="single"/>
        </w:rPr>
      </w:pPr>
      <w:r>
        <w:rPr>
          <w:rFonts w:hint="eastAsia" w:ascii="Arial" w:hAnsi="Arial" w:eastAsia="宋体"/>
          <w:szCs w:val="21"/>
        </w:rPr>
        <w:t>姓名：性别：年龄：职务：</w:t>
      </w:r>
    </w:p>
    <w:p w14:paraId="58071297">
      <w:pPr>
        <w:spacing w:line="300" w:lineRule="auto"/>
        <w:rPr>
          <w:rFonts w:ascii="Arial" w:hAnsi="Arial" w:eastAsia="宋体"/>
          <w:szCs w:val="21"/>
        </w:rPr>
      </w:pPr>
      <w:r>
        <w:rPr>
          <w:rFonts w:hint="eastAsia" w:ascii="Arial" w:hAnsi="Arial" w:eastAsia="宋体"/>
          <w:szCs w:val="21"/>
        </w:rPr>
        <w:t>系的法定代表人。</w:t>
      </w:r>
    </w:p>
    <w:p w14:paraId="5FD03FEB">
      <w:pPr>
        <w:spacing w:line="300" w:lineRule="auto"/>
        <w:rPr>
          <w:rFonts w:ascii="Arial" w:hAnsi="Arial" w:eastAsia="宋体"/>
          <w:szCs w:val="21"/>
        </w:rPr>
      </w:pPr>
      <w:r>
        <w:rPr>
          <w:rFonts w:hint="eastAsia" w:ascii="Arial" w:hAnsi="Arial" w:eastAsia="宋体"/>
          <w:szCs w:val="21"/>
        </w:rPr>
        <w:t>特此证明</w:t>
      </w:r>
    </w:p>
    <w:p w14:paraId="0997087F">
      <w:pPr>
        <w:spacing w:line="300" w:lineRule="auto"/>
        <w:rPr>
          <w:rFonts w:ascii="Arial" w:hAnsi="Arial" w:eastAsia="宋体"/>
          <w:szCs w:val="21"/>
        </w:rPr>
      </w:pPr>
    </w:p>
    <w:p w14:paraId="03676BA4">
      <w:pPr>
        <w:spacing w:line="300" w:lineRule="auto"/>
        <w:rPr>
          <w:rFonts w:ascii="Arial" w:hAnsi="Arial" w:eastAsia="宋体"/>
          <w:szCs w:val="21"/>
        </w:rPr>
      </w:pPr>
      <w:r>
        <w:rPr>
          <w:rFonts w:hint="eastAsia" w:ascii="Arial" w:hAnsi="Arial" w:eastAsia="宋体"/>
          <w:szCs w:val="21"/>
        </w:rPr>
        <w:t>投标人（投标单位）：</w:t>
      </w:r>
    </w:p>
    <w:p w14:paraId="1223E6F9">
      <w:pPr>
        <w:spacing w:line="300" w:lineRule="auto"/>
        <w:rPr>
          <w:rFonts w:ascii="Arial" w:hAnsi="Arial" w:eastAsia="宋体"/>
          <w:szCs w:val="21"/>
        </w:rPr>
      </w:pPr>
      <w:r>
        <w:rPr>
          <w:rFonts w:hint="eastAsia" w:ascii="Arial" w:hAnsi="Arial" w:eastAsia="宋体"/>
          <w:szCs w:val="21"/>
        </w:rPr>
        <w:t>日期：年月日</w:t>
      </w:r>
    </w:p>
    <w:p w14:paraId="1C3E9800">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14:paraId="3A8259D6">
      <w:pPr>
        <w:spacing w:line="500" w:lineRule="exact"/>
        <w:ind w:firstLine="480" w:firstLineChars="200"/>
        <w:rPr>
          <w:rFonts w:ascii="Arial" w:hAnsi="Arial" w:eastAsia="宋体"/>
        </w:rPr>
      </w:pPr>
    </w:p>
    <w:p w14:paraId="58DA449E">
      <w:pPr>
        <w:spacing w:line="500" w:lineRule="exact"/>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14:paraId="77D399E7">
      <w:pPr>
        <w:spacing w:line="500" w:lineRule="exact"/>
        <w:rPr>
          <w:rFonts w:ascii="宋体" w:hAnsi="宋体" w:eastAsia="宋体"/>
          <w:b/>
          <w:color w:val="FF0000"/>
          <w:sz w:val="32"/>
          <w:szCs w:val="32"/>
        </w:rPr>
      </w:pPr>
    </w:p>
    <w:p w14:paraId="56C0A206">
      <w:pPr>
        <w:snapToGrid w:val="0"/>
        <w:rPr>
          <w:rFonts w:ascii="宋体" w:hAnsi="宋体" w:eastAsia="宋体"/>
          <w:color w:val="FF0000"/>
          <w:sz w:val="28"/>
          <w:szCs w:val="28"/>
        </w:rPr>
      </w:pPr>
      <w:r>
        <w:rPr>
          <w:rFonts w:hint="eastAsia" w:ascii="宋体" w:hAnsi="宋体" w:eastAsia="宋体"/>
          <w:color w:val="FF0000"/>
          <w:sz w:val="28"/>
          <w:szCs w:val="28"/>
        </w:rPr>
        <w:t>备注：</w:t>
      </w:r>
    </w:p>
    <w:p w14:paraId="51F47122">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14:paraId="1432A0F8">
      <w:pPr>
        <w:spacing w:line="500" w:lineRule="exact"/>
        <w:ind w:firstLine="480" w:firstLineChars="200"/>
        <w:rPr>
          <w:rFonts w:ascii="Arial" w:hAnsi="Arial" w:eastAsia="宋体"/>
        </w:rPr>
      </w:pPr>
    </w:p>
    <w:p w14:paraId="502523D9">
      <w:pPr>
        <w:pStyle w:val="16"/>
        <w:rPr>
          <w:rFonts w:hint="eastAsia"/>
          <w:lang w:val="en-US" w:eastAsia="zh-CN"/>
        </w:rPr>
      </w:pPr>
    </w:p>
    <w:p w14:paraId="4159835B">
      <w:pPr>
        <w:rPr>
          <w:rFonts w:hint="eastAsia"/>
          <w:lang w:val="en-US" w:eastAsia="zh-CN"/>
        </w:rPr>
      </w:pPr>
    </w:p>
    <w:p w14:paraId="097B59A0">
      <w:pPr>
        <w:pStyle w:val="16"/>
        <w:rPr>
          <w:rFonts w:hint="eastAsia"/>
          <w:lang w:val="en-US" w:eastAsia="zh-CN"/>
        </w:rPr>
      </w:pPr>
    </w:p>
    <w:p w14:paraId="0F539145">
      <w:pPr>
        <w:rPr>
          <w:rFonts w:hint="eastAsia"/>
          <w:lang w:val="en-US" w:eastAsia="zh-CN"/>
        </w:rPr>
      </w:pPr>
    </w:p>
    <w:p w14:paraId="694BF631">
      <w:pPr>
        <w:pStyle w:val="16"/>
        <w:rPr>
          <w:rFonts w:hint="eastAsia"/>
          <w:lang w:val="en-US" w:eastAsia="zh-CN"/>
        </w:rPr>
      </w:pPr>
    </w:p>
    <w:p w14:paraId="57B817C6">
      <w:pPr>
        <w:rPr>
          <w:rFonts w:hint="eastAsia"/>
          <w:lang w:val="en-US" w:eastAsia="zh-CN"/>
        </w:rPr>
      </w:pPr>
    </w:p>
    <w:p w14:paraId="5C39954C">
      <w:pPr>
        <w:pStyle w:val="6"/>
        <w:rPr>
          <w:rFonts w:hint="eastAsia"/>
          <w:lang w:val="en-US" w:eastAsia="zh-CN"/>
        </w:rPr>
      </w:pPr>
    </w:p>
    <w:p w14:paraId="68E509F4">
      <w:pPr>
        <w:rPr>
          <w:rFonts w:hint="eastAsia"/>
          <w:lang w:val="en-US" w:eastAsia="zh-CN"/>
        </w:rPr>
      </w:pPr>
    </w:p>
    <w:p w14:paraId="303656A0">
      <w:pPr>
        <w:pStyle w:val="16"/>
        <w:rPr>
          <w:rFonts w:hint="eastAsia"/>
          <w:lang w:val="en-US" w:eastAsia="zh-CN"/>
        </w:rPr>
      </w:pPr>
    </w:p>
    <w:p w14:paraId="05F9EDDF">
      <w:pPr>
        <w:rPr>
          <w:rFonts w:hint="eastAsia"/>
          <w:lang w:val="en-US" w:eastAsia="zh-CN"/>
        </w:rPr>
      </w:pPr>
    </w:p>
    <w:p w14:paraId="4734199B">
      <w:pPr>
        <w:pStyle w:val="6"/>
        <w:rPr>
          <w:rFonts w:hint="eastAsia"/>
          <w:lang w:val="en-US" w:eastAsia="zh-CN"/>
        </w:rPr>
      </w:pPr>
    </w:p>
    <w:p w14:paraId="09F53E29">
      <w:pPr>
        <w:pStyle w:val="16"/>
        <w:ind w:left="0" w:leftChars="0" w:firstLine="0" w:firstLineChars="0"/>
        <w:rPr>
          <w:rFonts w:hint="eastAsia"/>
          <w:lang w:val="en-US" w:eastAsia="zh-CN"/>
        </w:rPr>
      </w:pPr>
    </w:p>
    <w:p w14:paraId="456B4209">
      <w:pPr>
        <w:rPr>
          <w:rFonts w:hint="eastAsia"/>
          <w:lang w:val="en-US" w:eastAsia="zh-CN"/>
        </w:rPr>
      </w:pPr>
    </w:p>
    <w:p w14:paraId="6BE198B3">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10.法定代表人授权书（附有效身份证正反面扫描件）</w:t>
      </w:r>
    </w:p>
    <w:p w14:paraId="65A6F851">
      <w:pPr>
        <w:spacing w:line="300" w:lineRule="auto"/>
        <w:ind w:left="140"/>
        <w:jc w:val="center"/>
        <w:rPr>
          <w:rFonts w:hint="eastAsia" w:ascii="Arial" w:hAnsi="Arial" w:eastAsia="宋体" w:cs="Arial"/>
          <w:b/>
        </w:rPr>
      </w:pPr>
    </w:p>
    <w:p w14:paraId="1223B7E2">
      <w:pPr>
        <w:spacing w:line="300" w:lineRule="auto"/>
        <w:ind w:left="140"/>
        <w:jc w:val="center"/>
        <w:rPr>
          <w:rFonts w:hint="eastAsia" w:ascii="Arial" w:hAnsi="Arial" w:eastAsia="宋体" w:cs="Arial"/>
          <w:b/>
        </w:rPr>
      </w:pPr>
    </w:p>
    <w:p w14:paraId="532ABDDD">
      <w:pPr>
        <w:spacing w:line="300" w:lineRule="auto"/>
        <w:ind w:left="140"/>
        <w:jc w:val="center"/>
        <w:rPr>
          <w:rFonts w:ascii="Arial" w:hAnsi="Arial" w:eastAsia="宋体" w:cs="Arial"/>
          <w:b/>
        </w:rPr>
      </w:pPr>
      <w:r>
        <w:rPr>
          <w:rFonts w:hint="eastAsia" w:ascii="Arial" w:hAnsi="Arial" w:eastAsia="宋体" w:cs="Arial"/>
          <w:b/>
        </w:rPr>
        <w:t>法定代表人授权书</w:t>
      </w:r>
    </w:p>
    <w:p w14:paraId="18A889E5">
      <w:pPr>
        <w:spacing w:line="360" w:lineRule="auto"/>
        <w:ind w:firstLine="480" w:firstLineChars="200"/>
        <w:rPr>
          <w:rFonts w:ascii="Arial" w:hAnsi="Arial" w:eastAsia="宋体"/>
          <w:szCs w:val="21"/>
        </w:rPr>
      </w:pPr>
    </w:p>
    <w:p w14:paraId="6A30EBDB">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14:paraId="6BBFF4E9">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14:paraId="6CC13F20">
      <w:pPr>
        <w:spacing w:line="300" w:lineRule="auto"/>
        <w:rPr>
          <w:rFonts w:ascii="Arial" w:hAnsi="Arial" w:eastAsia="宋体"/>
          <w:szCs w:val="21"/>
        </w:rPr>
      </w:pPr>
    </w:p>
    <w:p w14:paraId="2FB3ECC9">
      <w:pPr>
        <w:spacing w:line="360" w:lineRule="auto"/>
        <w:ind w:left="3840" w:leftChars="1600"/>
        <w:rPr>
          <w:rFonts w:ascii="仿宋" w:hAnsi="仿宋" w:eastAsia="仿宋"/>
          <w:sz w:val="28"/>
          <w:szCs w:val="28"/>
          <w:u w:val="single"/>
        </w:rPr>
      </w:pPr>
      <w:r>
        <w:rPr>
          <w:rFonts w:hint="eastAsia" w:ascii="Arial" w:hAnsi="Arial" w:eastAsia="宋体"/>
          <w:szCs w:val="21"/>
        </w:rPr>
        <w:t>投标人代表：性别：</w:t>
      </w:r>
    </w:p>
    <w:p w14:paraId="5FA0A186">
      <w:pPr>
        <w:spacing w:line="360" w:lineRule="auto"/>
        <w:ind w:left="3840" w:leftChars="1600"/>
        <w:rPr>
          <w:rFonts w:ascii="Arial" w:hAnsi="Arial" w:eastAsia="宋体"/>
          <w:szCs w:val="21"/>
        </w:rPr>
      </w:pPr>
      <w:r>
        <w:rPr>
          <w:rFonts w:hint="eastAsia" w:ascii="Arial" w:hAnsi="Arial" w:eastAsia="宋体"/>
          <w:szCs w:val="21"/>
        </w:rPr>
        <w:t>联系电话：手机：</w:t>
      </w:r>
    </w:p>
    <w:p w14:paraId="2B105E29">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14:paraId="4C626FEE">
      <w:pPr>
        <w:spacing w:line="360" w:lineRule="auto"/>
        <w:ind w:left="3840" w:leftChars="1600"/>
        <w:rPr>
          <w:rFonts w:ascii="Arial" w:hAnsi="Arial" w:eastAsia="宋体"/>
          <w:szCs w:val="21"/>
        </w:rPr>
      </w:pPr>
      <w:r>
        <w:rPr>
          <w:rFonts w:hint="eastAsia" w:ascii="Arial" w:hAnsi="Arial" w:eastAsia="宋体"/>
          <w:szCs w:val="21"/>
        </w:rPr>
        <w:t>投标人（投标单位）：</w:t>
      </w:r>
    </w:p>
    <w:p w14:paraId="4AFCC6D0">
      <w:pPr>
        <w:spacing w:line="360" w:lineRule="auto"/>
        <w:ind w:left="3840" w:leftChars="1600"/>
        <w:rPr>
          <w:rFonts w:ascii="Arial" w:hAnsi="Arial" w:eastAsia="宋体"/>
          <w:szCs w:val="21"/>
        </w:rPr>
      </w:pPr>
      <w:r>
        <w:rPr>
          <w:rFonts w:hint="eastAsia" w:ascii="Arial" w:hAnsi="Arial" w:eastAsia="宋体"/>
          <w:szCs w:val="21"/>
        </w:rPr>
        <w:t>法定代表人：</w:t>
      </w:r>
    </w:p>
    <w:p w14:paraId="4ED486BB">
      <w:pPr>
        <w:spacing w:line="360" w:lineRule="auto"/>
        <w:ind w:left="3840" w:leftChars="1600"/>
        <w:rPr>
          <w:rFonts w:ascii="Arial" w:hAnsi="Arial" w:eastAsia="宋体"/>
          <w:szCs w:val="21"/>
        </w:rPr>
      </w:pPr>
      <w:r>
        <w:rPr>
          <w:rFonts w:hint="eastAsia" w:ascii="Arial" w:hAnsi="Arial" w:eastAsia="宋体"/>
          <w:szCs w:val="21"/>
        </w:rPr>
        <w:t>授权委托日期：年月日</w:t>
      </w:r>
    </w:p>
    <w:p w14:paraId="181AA302">
      <w:pPr>
        <w:spacing w:line="500" w:lineRule="exact"/>
        <w:ind w:firstLine="480" w:firstLineChars="200"/>
        <w:rPr>
          <w:rFonts w:ascii="Arial" w:hAnsi="Arial" w:eastAsia="宋体"/>
        </w:rPr>
      </w:pPr>
    </w:p>
    <w:p w14:paraId="32618BD9">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rPr>
        <w:t>★必须提供投标人代表有效期内身份证的正反面扫描件（港澳台居民可提供往来通行证），非中国国籍管辖范围的，可提供公安部门认可的身份证明材料，否则将导致投标无效。</w:t>
      </w:r>
    </w:p>
    <w:p w14:paraId="2D094CA2">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14:paraId="7087B779">
      <w:p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1、若投标人代表为法定代表人则不需提供《法定代表人授权书》，但需在《法定代表人证明书》中提供法定代表人联系方式。</w:t>
      </w:r>
    </w:p>
    <w:p w14:paraId="5F5C3450">
      <w:pPr>
        <w:rPr>
          <w:rFonts w:hint="eastAsia"/>
          <w:lang w:val="en-US" w:eastAsia="zh-CN"/>
        </w:rPr>
      </w:pPr>
    </w:p>
    <w:p w14:paraId="76C30307">
      <w:pPr>
        <w:pStyle w:val="14"/>
        <w:rPr>
          <w:rFonts w:hint="eastAsia"/>
          <w:lang w:val="en-US" w:eastAsia="zh-CN"/>
        </w:rPr>
      </w:pPr>
    </w:p>
    <w:p w14:paraId="2DE3B5CB">
      <w:pPr>
        <w:pStyle w:val="14"/>
        <w:rPr>
          <w:rFonts w:hint="eastAsia"/>
          <w:lang w:val="en-US" w:eastAsia="zh-CN"/>
        </w:rPr>
      </w:pPr>
    </w:p>
    <w:p w14:paraId="2E75C86C">
      <w:pPr>
        <w:snapToGrid w:val="0"/>
        <w:spacing w:after="60" w:afterLines="25" w:line="300" w:lineRule="auto"/>
        <w:ind w:firstLine="482" w:firstLineChars="200"/>
        <w:jc w:val="center"/>
        <w:outlineLvl w:val="3"/>
        <w:rPr>
          <w:rFonts w:hint="eastAsia" w:ascii="宋体" w:hAnsi="宋体" w:eastAsia="宋体"/>
          <w:b/>
          <w:bCs/>
          <w:szCs w:val="20"/>
          <w:lang w:eastAsia="zh-CN"/>
        </w:rPr>
      </w:pPr>
      <w:r>
        <w:rPr>
          <w:rFonts w:hint="eastAsia" w:ascii="宋体" w:hAnsi="宋体" w:eastAsia="宋体"/>
          <w:b/>
          <w:bCs/>
          <w:szCs w:val="20"/>
          <w:lang w:val="en-US" w:eastAsia="zh-CN"/>
        </w:rPr>
        <w:t>11</w:t>
      </w:r>
      <w:r>
        <w:rPr>
          <w:rFonts w:ascii="宋体" w:hAnsi="宋体" w:eastAsia="宋体"/>
          <w:b/>
          <w:bCs/>
          <w:szCs w:val="20"/>
        </w:rPr>
        <w:t>.</w:t>
      </w:r>
      <w:r>
        <w:rPr>
          <w:rFonts w:hint="eastAsia" w:ascii="宋体" w:hAnsi="宋体" w:eastAsia="宋体"/>
          <w:b/>
          <w:bCs/>
          <w:szCs w:val="20"/>
        </w:rPr>
        <w:t>分项报价清单</w:t>
      </w:r>
      <w:r>
        <w:rPr>
          <w:rFonts w:hint="eastAsia" w:ascii="宋体" w:hAnsi="宋体" w:eastAsia="宋体"/>
          <w:b/>
          <w:bCs/>
          <w:szCs w:val="20"/>
          <w:lang w:eastAsia="zh-CN"/>
        </w:rPr>
        <w:t>（本项目为货物类，如有需求参照本表填写）</w:t>
      </w:r>
    </w:p>
    <w:p w14:paraId="780FD07E">
      <w:pPr>
        <w:spacing w:after="60" w:afterLines="25" w:line="300" w:lineRule="auto"/>
        <w:rPr>
          <w:rFonts w:ascii="Arial" w:hAnsi="Arial" w:eastAsia="宋体" w:cs="Arial"/>
        </w:rPr>
      </w:pPr>
      <w:r>
        <w:rPr>
          <w:rFonts w:hint="eastAsia" w:ascii="Arial" w:hAnsi="Arial" w:eastAsia="宋体" w:cs="Arial"/>
          <w:color w:val="000000"/>
        </w:rPr>
        <w:t>投标单位（投标人）名称：</w:t>
      </w:r>
    </w:p>
    <w:p w14:paraId="1B72F1EF">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14:paraId="1636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14:paraId="4BF20F82">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14:paraId="17D46670">
            <w:pPr>
              <w:spacing w:after="60" w:afterLines="25" w:line="300" w:lineRule="auto"/>
              <w:jc w:val="center"/>
              <w:rPr>
                <w:rFonts w:ascii="Arial" w:hAnsi="Arial" w:eastAsia="宋体"/>
              </w:rPr>
            </w:pPr>
            <w:r>
              <w:rPr>
                <w:rFonts w:hint="eastAsia" w:ascii="Arial" w:hAnsi="Arial" w:eastAsia="宋体"/>
              </w:rPr>
              <w:t>货物</w:t>
            </w:r>
            <w:r>
              <w:rPr>
                <w:rFonts w:hint="eastAsia" w:ascii="Arial" w:hAnsi="Arial" w:eastAsia="宋体"/>
                <w:lang w:val="en-US" w:eastAsia="zh-CN"/>
              </w:rPr>
              <w:t>/服务</w:t>
            </w:r>
            <w:r>
              <w:rPr>
                <w:rFonts w:hint="eastAsia" w:ascii="Arial" w:hAnsi="Arial" w:eastAsia="宋体"/>
              </w:rPr>
              <w:t>名称</w:t>
            </w:r>
          </w:p>
        </w:tc>
        <w:tc>
          <w:tcPr>
            <w:tcW w:w="1417" w:type="dxa"/>
            <w:vAlign w:val="center"/>
          </w:tcPr>
          <w:p w14:paraId="3B71DA37">
            <w:pPr>
              <w:spacing w:after="60"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14:paraId="5374D4E2">
            <w:pPr>
              <w:spacing w:after="60" w:afterLines="25" w:line="300" w:lineRule="auto"/>
              <w:jc w:val="center"/>
              <w:rPr>
                <w:rFonts w:ascii="Arial" w:hAnsi="Arial" w:eastAsia="宋体"/>
                <w:b/>
              </w:rPr>
            </w:pPr>
            <w:r>
              <w:rPr>
                <w:rFonts w:hint="eastAsia" w:ascii="Arial" w:hAnsi="Arial" w:eastAsia="宋体"/>
              </w:rPr>
              <w:t>品牌</w:t>
            </w:r>
          </w:p>
        </w:tc>
        <w:tc>
          <w:tcPr>
            <w:tcW w:w="992" w:type="dxa"/>
            <w:vAlign w:val="center"/>
          </w:tcPr>
          <w:p w14:paraId="2CC05BE2">
            <w:pPr>
              <w:spacing w:after="60" w:afterLines="25" w:line="300" w:lineRule="auto"/>
              <w:jc w:val="center"/>
              <w:rPr>
                <w:rFonts w:ascii="Arial" w:hAnsi="Arial" w:eastAsia="宋体"/>
              </w:rPr>
            </w:pPr>
            <w:r>
              <w:rPr>
                <w:rFonts w:hint="eastAsia" w:ascii="Arial" w:hAnsi="Arial" w:eastAsia="宋体"/>
              </w:rPr>
              <w:t>原产地</w:t>
            </w:r>
          </w:p>
        </w:tc>
        <w:tc>
          <w:tcPr>
            <w:tcW w:w="709" w:type="dxa"/>
            <w:vAlign w:val="center"/>
          </w:tcPr>
          <w:p w14:paraId="4E1D6E18">
            <w:pPr>
              <w:spacing w:after="60" w:afterLines="25" w:line="300" w:lineRule="auto"/>
              <w:jc w:val="center"/>
              <w:rPr>
                <w:rFonts w:ascii="Arial" w:hAnsi="Arial" w:eastAsia="宋体"/>
              </w:rPr>
            </w:pPr>
            <w:r>
              <w:rPr>
                <w:rFonts w:hint="eastAsia" w:ascii="Arial" w:hAnsi="Arial" w:eastAsia="宋体"/>
              </w:rPr>
              <w:t>数量</w:t>
            </w:r>
          </w:p>
        </w:tc>
        <w:tc>
          <w:tcPr>
            <w:tcW w:w="708" w:type="dxa"/>
          </w:tcPr>
          <w:p w14:paraId="1A8219D9">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14:paraId="30F28536">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14:paraId="39D49DEB">
            <w:pPr>
              <w:spacing w:after="60" w:afterLines="25" w:line="300" w:lineRule="auto"/>
              <w:jc w:val="center"/>
              <w:rPr>
                <w:rFonts w:ascii="Arial" w:hAnsi="Arial" w:eastAsia="宋体"/>
              </w:rPr>
            </w:pPr>
            <w:r>
              <w:rPr>
                <w:rFonts w:hint="eastAsia" w:ascii="Arial" w:hAnsi="Arial" w:eastAsia="宋体"/>
              </w:rPr>
              <w:t>合价(元)</w:t>
            </w:r>
          </w:p>
        </w:tc>
      </w:tr>
      <w:tr w14:paraId="25CD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14:paraId="54855DAA">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14:paraId="6F9BB99C">
            <w:pPr>
              <w:spacing w:after="60" w:afterLines="25" w:line="300" w:lineRule="auto"/>
              <w:rPr>
                <w:rFonts w:ascii="Arial" w:hAnsi="Arial" w:eastAsia="宋体"/>
                <w:b/>
              </w:rPr>
            </w:pPr>
          </w:p>
        </w:tc>
        <w:tc>
          <w:tcPr>
            <w:tcW w:w="1417" w:type="dxa"/>
          </w:tcPr>
          <w:p w14:paraId="7AAC88B9">
            <w:pPr>
              <w:spacing w:after="60" w:afterLines="25" w:line="300" w:lineRule="auto"/>
              <w:rPr>
                <w:rFonts w:ascii="Arial" w:hAnsi="Arial" w:eastAsia="宋体"/>
              </w:rPr>
            </w:pPr>
          </w:p>
        </w:tc>
        <w:tc>
          <w:tcPr>
            <w:tcW w:w="993" w:type="dxa"/>
          </w:tcPr>
          <w:p w14:paraId="1A6FC129">
            <w:pPr>
              <w:spacing w:after="60" w:afterLines="25" w:line="300" w:lineRule="auto"/>
              <w:rPr>
                <w:rFonts w:ascii="Arial" w:hAnsi="Arial" w:eastAsia="宋体"/>
              </w:rPr>
            </w:pPr>
          </w:p>
        </w:tc>
        <w:tc>
          <w:tcPr>
            <w:tcW w:w="992" w:type="dxa"/>
          </w:tcPr>
          <w:p w14:paraId="0E928D33">
            <w:pPr>
              <w:spacing w:after="60" w:afterLines="25" w:line="300" w:lineRule="auto"/>
              <w:rPr>
                <w:rFonts w:ascii="Arial" w:hAnsi="Arial" w:eastAsia="宋体"/>
              </w:rPr>
            </w:pPr>
          </w:p>
        </w:tc>
        <w:tc>
          <w:tcPr>
            <w:tcW w:w="709" w:type="dxa"/>
          </w:tcPr>
          <w:p w14:paraId="0F7E8ED0">
            <w:pPr>
              <w:spacing w:after="60" w:afterLines="25" w:line="300" w:lineRule="auto"/>
              <w:rPr>
                <w:rFonts w:ascii="Arial" w:hAnsi="Arial" w:eastAsia="宋体"/>
              </w:rPr>
            </w:pPr>
          </w:p>
        </w:tc>
        <w:tc>
          <w:tcPr>
            <w:tcW w:w="708" w:type="dxa"/>
          </w:tcPr>
          <w:p w14:paraId="701FD270">
            <w:pPr>
              <w:spacing w:after="60" w:afterLines="25" w:line="300" w:lineRule="auto"/>
              <w:rPr>
                <w:rFonts w:ascii="Arial" w:hAnsi="Arial" w:eastAsia="宋体"/>
              </w:rPr>
            </w:pPr>
          </w:p>
        </w:tc>
        <w:tc>
          <w:tcPr>
            <w:tcW w:w="993" w:type="dxa"/>
          </w:tcPr>
          <w:p w14:paraId="017F8F66">
            <w:pPr>
              <w:spacing w:after="60" w:afterLines="25" w:line="300" w:lineRule="auto"/>
              <w:rPr>
                <w:rFonts w:ascii="Arial" w:hAnsi="Arial" w:eastAsia="宋体"/>
              </w:rPr>
            </w:pPr>
          </w:p>
        </w:tc>
        <w:tc>
          <w:tcPr>
            <w:tcW w:w="1322" w:type="dxa"/>
          </w:tcPr>
          <w:p w14:paraId="7F00990E">
            <w:pPr>
              <w:spacing w:after="60" w:afterLines="25" w:line="300" w:lineRule="auto"/>
              <w:rPr>
                <w:rFonts w:ascii="Arial" w:hAnsi="Arial" w:eastAsia="宋体"/>
              </w:rPr>
            </w:pPr>
          </w:p>
        </w:tc>
      </w:tr>
      <w:tr w14:paraId="3C59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14:paraId="0435C02F">
            <w:pPr>
              <w:spacing w:after="60" w:afterLines="25" w:line="300" w:lineRule="auto"/>
              <w:jc w:val="center"/>
              <w:rPr>
                <w:rFonts w:ascii="Arial" w:hAnsi="Arial" w:eastAsia="宋体"/>
              </w:rPr>
            </w:pPr>
            <w:r>
              <w:rPr>
                <w:rFonts w:hint="eastAsia" w:ascii="Arial" w:hAnsi="Arial" w:eastAsia="宋体"/>
              </w:rPr>
              <w:t>2</w:t>
            </w:r>
          </w:p>
        </w:tc>
        <w:tc>
          <w:tcPr>
            <w:tcW w:w="2127" w:type="dxa"/>
          </w:tcPr>
          <w:p w14:paraId="3CDA3E89">
            <w:pPr>
              <w:spacing w:after="60" w:afterLines="25" w:line="300" w:lineRule="auto"/>
              <w:rPr>
                <w:rFonts w:ascii="Arial" w:hAnsi="Arial" w:eastAsia="宋体"/>
                <w:b/>
              </w:rPr>
            </w:pPr>
          </w:p>
        </w:tc>
        <w:tc>
          <w:tcPr>
            <w:tcW w:w="1417" w:type="dxa"/>
          </w:tcPr>
          <w:p w14:paraId="136B5E53">
            <w:pPr>
              <w:spacing w:after="60" w:afterLines="25" w:line="300" w:lineRule="auto"/>
              <w:rPr>
                <w:rFonts w:ascii="Arial" w:hAnsi="Arial" w:eastAsia="宋体"/>
              </w:rPr>
            </w:pPr>
          </w:p>
        </w:tc>
        <w:tc>
          <w:tcPr>
            <w:tcW w:w="993" w:type="dxa"/>
          </w:tcPr>
          <w:p w14:paraId="1F7F44A3">
            <w:pPr>
              <w:spacing w:after="60" w:afterLines="25" w:line="300" w:lineRule="auto"/>
              <w:rPr>
                <w:rFonts w:ascii="Arial" w:hAnsi="Arial" w:eastAsia="宋体"/>
              </w:rPr>
            </w:pPr>
          </w:p>
        </w:tc>
        <w:tc>
          <w:tcPr>
            <w:tcW w:w="992" w:type="dxa"/>
          </w:tcPr>
          <w:p w14:paraId="3F77F96B">
            <w:pPr>
              <w:spacing w:after="60" w:afterLines="25" w:line="300" w:lineRule="auto"/>
              <w:rPr>
                <w:rFonts w:ascii="Arial" w:hAnsi="Arial" w:eastAsia="宋体"/>
              </w:rPr>
            </w:pPr>
          </w:p>
        </w:tc>
        <w:tc>
          <w:tcPr>
            <w:tcW w:w="709" w:type="dxa"/>
          </w:tcPr>
          <w:p w14:paraId="47AAF93B">
            <w:pPr>
              <w:spacing w:after="60" w:afterLines="25" w:line="300" w:lineRule="auto"/>
              <w:rPr>
                <w:rFonts w:ascii="Arial" w:hAnsi="Arial" w:eastAsia="宋体"/>
              </w:rPr>
            </w:pPr>
          </w:p>
        </w:tc>
        <w:tc>
          <w:tcPr>
            <w:tcW w:w="708" w:type="dxa"/>
          </w:tcPr>
          <w:p w14:paraId="3323E1A2">
            <w:pPr>
              <w:spacing w:after="60" w:afterLines="25" w:line="300" w:lineRule="auto"/>
              <w:rPr>
                <w:rFonts w:ascii="Arial" w:hAnsi="Arial" w:eastAsia="宋体"/>
              </w:rPr>
            </w:pPr>
          </w:p>
        </w:tc>
        <w:tc>
          <w:tcPr>
            <w:tcW w:w="993" w:type="dxa"/>
          </w:tcPr>
          <w:p w14:paraId="374D9E1A">
            <w:pPr>
              <w:spacing w:after="60" w:afterLines="25" w:line="300" w:lineRule="auto"/>
              <w:rPr>
                <w:rFonts w:ascii="Arial" w:hAnsi="Arial" w:eastAsia="宋体"/>
              </w:rPr>
            </w:pPr>
          </w:p>
        </w:tc>
        <w:tc>
          <w:tcPr>
            <w:tcW w:w="1322" w:type="dxa"/>
          </w:tcPr>
          <w:p w14:paraId="615A25AA">
            <w:pPr>
              <w:spacing w:after="60" w:afterLines="25" w:line="300" w:lineRule="auto"/>
              <w:rPr>
                <w:rFonts w:ascii="Arial" w:hAnsi="Arial" w:eastAsia="宋体"/>
              </w:rPr>
            </w:pPr>
          </w:p>
        </w:tc>
      </w:tr>
      <w:tr w14:paraId="50CD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14:paraId="5AB086D1">
            <w:pPr>
              <w:spacing w:after="60" w:afterLines="25" w:line="300" w:lineRule="auto"/>
              <w:jc w:val="center"/>
              <w:rPr>
                <w:rFonts w:ascii="Arial" w:hAnsi="Arial" w:eastAsia="宋体"/>
              </w:rPr>
            </w:pPr>
            <w:r>
              <w:rPr>
                <w:rFonts w:hint="eastAsia" w:ascii="Arial" w:hAnsi="Arial" w:eastAsia="宋体"/>
              </w:rPr>
              <w:t>3</w:t>
            </w:r>
          </w:p>
        </w:tc>
        <w:tc>
          <w:tcPr>
            <w:tcW w:w="2127" w:type="dxa"/>
          </w:tcPr>
          <w:p w14:paraId="24854DE8">
            <w:pPr>
              <w:spacing w:after="60" w:afterLines="25" w:line="300" w:lineRule="auto"/>
              <w:rPr>
                <w:rFonts w:ascii="Arial" w:hAnsi="Arial" w:eastAsia="宋体"/>
                <w:b/>
              </w:rPr>
            </w:pPr>
          </w:p>
        </w:tc>
        <w:tc>
          <w:tcPr>
            <w:tcW w:w="1417" w:type="dxa"/>
          </w:tcPr>
          <w:p w14:paraId="3A579E95">
            <w:pPr>
              <w:spacing w:after="60" w:afterLines="25" w:line="300" w:lineRule="auto"/>
              <w:rPr>
                <w:rFonts w:ascii="Arial" w:hAnsi="Arial" w:eastAsia="宋体"/>
              </w:rPr>
            </w:pPr>
          </w:p>
        </w:tc>
        <w:tc>
          <w:tcPr>
            <w:tcW w:w="993" w:type="dxa"/>
          </w:tcPr>
          <w:p w14:paraId="46ED25BD">
            <w:pPr>
              <w:spacing w:after="60" w:afterLines="25" w:line="300" w:lineRule="auto"/>
              <w:rPr>
                <w:rFonts w:ascii="Arial" w:hAnsi="Arial" w:eastAsia="宋体"/>
              </w:rPr>
            </w:pPr>
          </w:p>
        </w:tc>
        <w:tc>
          <w:tcPr>
            <w:tcW w:w="992" w:type="dxa"/>
          </w:tcPr>
          <w:p w14:paraId="202B5634">
            <w:pPr>
              <w:spacing w:after="60" w:afterLines="25" w:line="300" w:lineRule="auto"/>
              <w:rPr>
                <w:rFonts w:ascii="Arial" w:hAnsi="Arial" w:eastAsia="宋体"/>
              </w:rPr>
            </w:pPr>
          </w:p>
        </w:tc>
        <w:tc>
          <w:tcPr>
            <w:tcW w:w="709" w:type="dxa"/>
          </w:tcPr>
          <w:p w14:paraId="000FFEF1">
            <w:pPr>
              <w:spacing w:after="60" w:afterLines="25" w:line="300" w:lineRule="auto"/>
              <w:rPr>
                <w:rFonts w:ascii="Arial" w:hAnsi="Arial" w:eastAsia="宋体"/>
              </w:rPr>
            </w:pPr>
          </w:p>
        </w:tc>
        <w:tc>
          <w:tcPr>
            <w:tcW w:w="708" w:type="dxa"/>
          </w:tcPr>
          <w:p w14:paraId="361EE2F8">
            <w:pPr>
              <w:spacing w:after="60" w:afterLines="25" w:line="300" w:lineRule="auto"/>
              <w:rPr>
                <w:rFonts w:ascii="Arial" w:hAnsi="Arial" w:eastAsia="宋体"/>
              </w:rPr>
            </w:pPr>
          </w:p>
        </w:tc>
        <w:tc>
          <w:tcPr>
            <w:tcW w:w="993" w:type="dxa"/>
          </w:tcPr>
          <w:p w14:paraId="7212B518">
            <w:pPr>
              <w:spacing w:after="60" w:afterLines="25" w:line="300" w:lineRule="auto"/>
              <w:rPr>
                <w:rFonts w:ascii="Arial" w:hAnsi="Arial" w:eastAsia="宋体"/>
              </w:rPr>
            </w:pPr>
          </w:p>
        </w:tc>
        <w:tc>
          <w:tcPr>
            <w:tcW w:w="1322" w:type="dxa"/>
          </w:tcPr>
          <w:p w14:paraId="6F5B3AC2">
            <w:pPr>
              <w:spacing w:after="60" w:afterLines="25" w:line="300" w:lineRule="auto"/>
              <w:rPr>
                <w:rFonts w:ascii="Arial" w:hAnsi="Arial" w:eastAsia="宋体"/>
              </w:rPr>
            </w:pPr>
          </w:p>
        </w:tc>
      </w:tr>
      <w:tr w14:paraId="03FD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14:paraId="1F907A92">
            <w:pPr>
              <w:spacing w:after="60" w:afterLines="25" w:line="300" w:lineRule="auto"/>
              <w:jc w:val="center"/>
              <w:rPr>
                <w:rFonts w:ascii="Arial" w:hAnsi="Arial" w:eastAsia="宋体"/>
              </w:rPr>
            </w:pPr>
            <w:r>
              <w:rPr>
                <w:rFonts w:hint="eastAsia" w:ascii="Arial" w:hAnsi="Arial" w:eastAsia="宋体"/>
              </w:rPr>
              <w:t>……</w:t>
            </w:r>
          </w:p>
        </w:tc>
        <w:tc>
          <w:tcPr>
            <w:tcW w:w="2127" w:type="dxa"/>
          </w:tcPr>
          <w:p w14:paraId="2D33A596">
            <w:pPr>
              <w:spacing w:after="60" w:afterLines="25" w:line="300" w:lineRule="auto"/>
              <w:rPr>
                <w:rFonts w:ascii="Arial" w:hAnsi="Arial" w:eastAsia="宋体"/>
                <w:b/>
              </w:rPr>
            </w:pPr>
          </w:p>
        </w:tc>
        <w:tc>
          <w:tcPr>
            <w:tcW w:w="1417" w:type="dxa"/>
          </w:tcPr>
          <w:p w14:paraId="4ACAFE45">
            <w:pPr>
              <w:spacing w:after="60" w:afterLines="25" w:line="300" w:lineRule="auto"/>
              <w:rPr>
                <w:rFonts w:ascii="Arial" w:hAnsi="Arial" w:eastAsia="宋体"/>
              </w:rPr>
            </w:pPr>
          </w:p>
        </w:tc>
        <w:tc>
          <w:tcPr>
            <w:tcW w:w="993" w:type="dxa"/>
          </w:tcPr>
          <w:p w14:paraId="02A1E4FE">
            <w:pPr>
              <w:spacing w:after="60" w:afterLines="25" w:line="300" w:lineRule="auto"/>
              <w:rPr>
                <w:rFonts w:ascii="Arial" w:hAnsi="Arial" w:eastAsia="宋体"/>
              </w:rPr>
            </w:pPr>
          </w:p>
        </w:tc>
        <w:tc>
          <w:tcPr>
            <w:tcW w:w="992" w:type="dxa"/>
          </w:tcPr>
          <w:p w14:paraId="45530D3D">
            <w:pPr>
              <w:spacing w:after="60" w:afterLines="25" w:line="300" w:lineRule="auto"/>
              <w:rPr>
                <w:rFonts w:ascii="Arial" w:hAnsi="Arial" w:eastAsia="宋体"/>
              </w:rPr>
            </w:pPr>
          </w:p>
        </w:tc>
        <w:tc>
          <w:tcPr>
            <w:tcW w:w="709" w:type="dxa"/>
          </w:tcPr>
          <w:p w14:paraId="7C435AEC">
            <w:pPr>
              <w:spacing w:after="60" w:afterLines="25" w:line="300" w:lineRule="auto"/>
              <w:rPr>
                <w:rFonts w:ascii="Arial" w:hAnsi="Arial" w:eastAsia="宋体"/>
              </w:rPr>
            </w:pPr>
          </w:p>
        </w:tc>
        <w:tc>
          <w:tcPr>
            <w:tcW w:w="708" w:type="dxa"/>
          </w:tcPr>
          <w:p w14:paraId="51BBE67D">
            <w:pPr>
              <w:spacing w:after="60" w:afterLines="25" w:line="300" w:lineRule="auto"/>
              <w:rPr>
                <w:rFonts w:ascii="Arial" w:hAnsi="Arial" w:eastAsia="宋体"/>
              </w:rPr>
            </w:pPr>
          </w:p>
        </w:tc>
        <w:tc>
          <w:tcPr>
            <w:tcW w:w="993" w:type="dxa"/>
          </w:tcPr>
          <w:p w14:paraId="564EAFEA">
            <w:pPr>
              <w:spacing w:after="60" w:afterLines="25" w:line="300" w:lineRule="auto"/>
              <w:rPr>
                <w:rFonts w:ascii="Arial" w:hAnsi="Arial" w:eastAsia="宋体"/>
              </w:rPr>
            </w:pPr>
          </w:p>
        </w:tc>
        <w:tc>
          <w:tcPr>
            <w:tcW w:w="1322" w:type="dxa"/>
          </w:tcPr>
          <w:p w14:paraId="5D82B948">
            <w:pPr>
              <w:spacing w:after="60" w:afterLines="25" w:line="300" w:lineRule="auto"/>
              <w:rPr>
                <w:rFonts w:ascii="Arial" w:hAnsi="Arial" w:eastAsia="宋体"/>
              </w:rPr>
            </w:pPr>
          </w:p>
        </w:tc>
      </w:tr>
      <w:tr w14:paraId="0C2A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14:paraId="5D83CE8A">
            <w:pPr>
              <w:spacing w:after="60"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14:paraId="2948D6A7">
            <w:pPr>
              <w:spacing w:after="60" w:afterLines="25" w:line="300" w:lineRule="auto"/>
              <w:rPr>
                <w:rFonts w:ascii="Arial" w:hAnsi="Arial" w:eastAsia="宋体"/>
              </w:rPr>
            </w:pPr>
          </w:p>
        </w:tc>
      </w:tr>
    </w:tbl>
    <w:p w14:paraId="53AE9B18">
      <w:pPr>
        <w:tabs>
          <w:tab w:val="left" w:pos="720"/>
        </w:tabs>
        <w:rPr>
          <w:rFonts w:eastAsia="宋体"/>
          <w:b/>
        </w:rPr>
      </w:pPr>
    </w:p>
    <w:p w14:paraId="0524674B">
      <w:pPr>
        <w:tabs>
          <w:tab w:val="left" w:pos="720"/>
        </w:tabs>
        <w:rPr>
          <w:rFonts w:eastAsia="宋体"/>
          <w:b/>
          <w:color w:val="FF0000"/>
        </w:rPr>
      </w:pPr>
      <w:r>
        <w:rPr>
          <w:rFonts w:hint="eastAsia" w:eastAsia="宋体"/>
          <w:b/>
          <w:color w:val="FF0000"/>
        </w:rPr>
        <w:t>（二）核心产品品牌</w:t>
      </w:r>
    </w:p>
    <w:p w14:paraId="1D333946">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14:paraId="416CE73D">
      <w:pPr>
        <w:spacing w:after="60" w:afterLines="25" w:line="300" w:lineRule="auto"/>
        <w:rPr>
          <w:rFonts w:ascii="Arial" w:hAnsi="Arial" w:eastAsia="宋体"/>
          <w:b/>
        </w:rPr>
      </w:pPr>
      <w:r>
        <w:rPr>
          <w:rFonts w:hint="eastAsia" w:ascii="宋体" w:hAnsi="宋体" w:eastAsia="宋体"/>
          <w:color w:val="FF0000"/>
        </w:rPr>
        <w:t>备注：如招标文件未列明核心产品的，无需填写该项。</w:t>
      </w:r>
    </w:p>
    <w:p w14:paraId="2668D241">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14:paraId="3627EF69">
      <w:pPr>
        <w:spacing w:after="60" w:afterLines="25" w:line="300" w:lineRule="auto"/>
        <w:rPr>
          <w:rFonts w:ascii="Arial" w:hAnsi="Arial" w:eastAsia="宋体"/>
          <w:b/>
        </w:rPr>
      </w:pPr>
      <w:r>
        <w:rPr>
          <w:rFonts w:hint="eastAsia" w:ascii="Arial" w:hAnsi="Arial" w:eastAsia="宋体"/>
          <w:b/>
        </w:rPr>
        <w:t>（四）供应商认为需要涉及的其他内容报价清单</w:t>
      </w:r>
    </w:p>
    <w:p w14:paraId="3310FBFA">
      <w:pPr>
        <w:spacing w:after="60" w:afterLines="25" w:line="300" w:lineRule="auto"/>
        <w:rPr>
          <w:rFonts w:ascii="Arial" w:hAnsi="Arial" w:eastAsia="宋体"/>
        </w:rPr>
      </w:pPr>
    </w:p>
    <w:p w14:paraId="2458E920">
      <w:pPr>
        <w:snapToGrid w:val="0"/>
        <w:rPr>
          <w:rFonts w:ascii="宋体" w:hAnsi="宋体"/>
          <w:b/>
          <w:color w:val="FF0000"/>
        </w:rPr>
      </w:pPr>
      <w:r>
        <w:rPr>
          <w:rFonts w:hint="eastAsia" w:ascii="宋体" w:hAnsi="宋体"/>
          <w:bCs/>
          <w:color w:val="FF0000"/>
        </w:rPr>
        <w:t>★</w:t>
      </w:r>
      <w:r>
        <w:rPr>
          <w:rFonts w:hint="eastAsia" w:ascii="宋体" w:hAnsi="宋体"/>
          <w:b/>
          <w:color w:val="FF0000"/>
        </w:rPr>
        <w:t>填写</w:t>
      </w:r>
      <w:r>
        <w:rPr>
          <w:rFonts w:ascii="宋体" w:hAnsi="宋体"/>
          <w:b/>
          <w:color w:val="FF0000"/>
        </w:rPr>
        <w:t>要求：</w:t>
      </w:r>
    </w:p>
    <w:p w14:paraId="619016A4">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14:paraId="73300BFF">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内容，但原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p>
    <w:p w14:paraId="29729BCE">
      <w:pPr>
        <w:snapToGrid w:val="0"/>
        <w:rPr>
          <w:rFonts w:ascii="宋体" w:hAnsi="宋体"/>
          <w:b/>
        </w:rPr>
      </w:pPr>
    </w:p>
    <w:p w14:paraId="07D8935B">
      <w:pPr>
        <w:snapToGrid w:val="0"/>
        <w:rPr>
          <w:rFonts w:ascii="宋体" w:hAnsi="宋体"/>
          <w:b/>
        </w:rPr>
      </w:pPr>
      <w:r>
        <w:rPr>
          <w:rFonts w:hint="eastAsia" w:ascii="宋体" w:hAnsi="宋体"/>
          <w:b/>
        </w:rPr>
        <w:t>填写说明：</w:t>
      </w:r>
    </w:p>
    <w:p w14:paraId="7D67C44B">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14:paraId="305F7C4E">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型号、品牌”属于“按招标定制”产品</w:t>
      </w:r>
      <w:r>
        <w:rPr>
          <w:rFonts w:hint="eastAsia" w:ascii="宋体" w:hAnsi="宋体"/>
          <w:b/>
        </w:rPr>
        <w:t>，</w:t>
      </w:r>
      <w:r>
        <w:rPr>
          <w:rFonts w:ascii="宋体" w:hAnsi="宋体"/>
          <w:b/>
        </w:rPr>
        <w:t>可依招标要求响应填报；属于有明确品牌型号的产品报出具体</w:t>
      </w:r>
      <w:r>
        <w:rPr>
          <w:rFonts w:hint="eastAsia" w:ascii="宋体" w:hAnsi="宋体"/>
          <w:b/>
        </w:rPr>
        <w:t>品牌</w:t>
      </w:r>
      <w:r>
        <w:rPr>
          <w:rFonts w:ascii="宋体" w:hAnsi="宋体"/>
          <w:b/>
        </w:rPr>
        <w:t>型号。</w:t>
      </w:r>
    </w:p>
    <w:p w14:paraId="06A67960">
      <w:pPr>
        <w:snapToGrid w:val="0"/>
        <w:rPr>
          <w:rFonts w:ascii="宋体" w:hAnsi="宋体"/>
          <w:b/>
        </w:rPr>
      </w:pPr>
      <w:r>
        <w:rPr>
          <w:rFonts w:hint="eastAsia" w:ascii="宋体" w:hAnsi="宋体"/>
          <w:b/>
        </w:rPr>
        <w:t>3、</w:t>
      </w:r>
      <w:r>
        <w:rPr>
          <w:rFonts w:ascii="宋体" w:hAnsi="宋体"/>
          <w:b/>
        </w:rPr>
        <w:t>投标人根据本项目采购需求方案中的配置清单或明细列表按此表格式要求进行填报（对规格型号、品牌的要求执行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如不填报、漏报或错报评标委员会有权对投标人做出不利的判断。</w:t>
      </w:r>
      <w:r>
        <w:rPr>
          <w:rFonts w:ascii="宋体" w:hAnsi="宋体"/>
          <w:b/>
        </w:rPr>
        <w:t>（如有涉及采购需求有要求但无法明确具体量化标准的配套工程施工、安装、装修等，可依要求只报出相应报价即可）</w:t>
      </w:r>
    </w:p>
    <w:p w14:paraId="02A69EE5">
      <w:pPr>
        <w:snapToGrid w:val="0"/>
        <w:rPr>
          <w:rFonts w:ascii="宋体" w:hAnsi="宋体"/>
        </w:rPr>
      </w:pPr>
      <w:r>
        <w:rPr>
          <w:rFonts w:hint="eastAsia" w:ascii="宋体" w:hAnsi="宋体"/>
          <w:b/>
        </w:rPr>
        <w:t>4、《（三）可选配件报价清单》格式参照《（一）项目报价表》表格，但需提供相应的品牌、规格型号、原产地、数量、单价等详细信息。</w:t>
      </w:r>
    </w:p>
    <w:p w14:paraId="531AFA4E">
      <w:pPr>
        <w:snapToGrid w:val="0"/>
        <w:rPr>
          <w:rFonts w:ascii="宋体" w:hAnsi="宋体"/>
        </w:rPr>
      </w:pPr>
    </w:p>
    <w:p w14:paraId="32A6CB63">
      <w:pPr>
        <w:tabs>
          <w:tab w:val="left" w:pos="651"/>
        </w:tabs>
        <w:snapToGrid w:val="0"/>
        <w:rPr>
          <w:rFonts w:ascii="宋体" w:hAnsi="宋体" w:eastAsia="宋体"/>
          <w:color w:val="FF0000"/>
          <w:sz w:val="28"/>
          <w:szCs w:val="28"/>
        </w:rPr>
      </w:pPr>
    </w:p>
    <w:p w14:paraId="256BABC9">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12</w:t>
      </w:r>
      <w:r>
        <w:rPr>
          <w:rFonts w:ascii="宋体" w:hAnsi="宋体" w:eastAsia="宋体"/>
          <w:b/>
          <w:bCs/>
          <w:szCs w:val="20"/>
        </w:rPr>
        <w:t>.</w:t>
      </w:r>
      <w:r>
        <w:rPr>
          <w:rFonts w:hint="eastAsia" w:ascii="宋体" w:hAnsi="宋体" w:eastAsia="宋体"/>
          <w:b/>
          <w:bCs/>
          <w:szCs w:val="20"/>
        </w:rPr>
        <w:t>商务（服务）条款偏离表</w:t>
      </w:r>
    </w:p>
    <w:p w14:paraId="33210D85">
      <w:pPr>
        <w:snapToGrid w:val="0"/>
        <w:rPr>
          <w:rFonts w:ascii="Arial" w:hAnsi="Arial" w:eastAsia="宋体" w:cs="Arial"/>
        </w:rPr>
      </w:pPr>
      <w:r>
        <w:rPr>
          <w:rFonts w:hint="eastAsia" w:ascii="Arial" w:hAnsi="Arial" w:eastAsia="宋体" w:cs="Arial"/>
          <w:color w:val="000000"/>
        </w:rPr>
        <w:t>投标单位（投标人）名称：</w:t>
      </w:r>
    </w:p>
    <w:p w14:paraId="7B761CDF">
      <w:pPr>
        <w:snapToGrid w:val="0"/>
        <w:rPr>
          <w:rFonts w:ascii="宋体" w:hAnsi="宋体"/>
          <w:b/>
        </w:rPr>
      </w:pP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14:paraId="0808433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3ABAA0D8">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14:paraId="4F40F9A9">
            <w:pPr>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14:paraId="529685D6">
            <w:pPr>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14:paraId="7523C7BA">
            <w:pPr>
              <w:jc w:val="center"/>
              <w:rPr>
                <w:rFonts w:ascii="宋体" w:hAnsi="宋体" w:eastAsia="宋体" w:cs="Arial"/>
                <w:b/>
                <w:szCs w:val="21"/>
              </w:rPr>
            </w:pPr>
            <w:r>
              <w:rPr>
                <w:rFonts w:hint="eastAsia" w:ascii="宋体" w:hAnsi="宋体" w:eastAsia="宋体" w:cs="Arial"/>
                <w:b/>
                <w:szCs w:val="21"/>
              </w:rPr>
              <w:t>说明</w:t>
            </w:r>
          </w:p>
        </w:tc>
      </w:tr>
      <w:tr w14:paraId="3A11E3D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5438D657">
            <w:pPr>
              <w:spacing w:line="300" w:lineRule="auto"/>
              <w:jc w:val="center"/>
              <w:rPr>
                <w:rFonts w:ascii="Arial" w:hAnsi="Arial" w:eastAsia="宋体"/>
              </w:rPr>
            </w:pPr>
            <w:r>
              <w:rPr>
                <w:rFonts w:hint="eastAsia" w:ascii="Arial" w:hAnsi="Arial" w:eastAsia="宋体"/>
              </w:rPr>
              <w:t>1</w:t>
            </w:r>
          </w:p>
        </w:tc>
        <w:tc>
          <w:tcPr>
            <w:tcW w:w="3901" w:type="dxa"/>
            <w:vAlign w:val="center"/>
          </w:tcPr>
          <w:p w14:paraId="3EA6F9B7">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14:paraId="0B6D15D9">
            <w:pPr>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14:paraId="74B5327E">
            <w:pPr>
              <w:rPr>
                <w:rFonts w:ascii="宋体" w:hAnsi="宋体" w:eastAsia="宋体" w:cs="Arial"/>
                <w:szCs w:val="21"/>
              </w:rPr>
            </w:pPr>
            <w:r>
              <w:rPr>
                <w:rFonts w:hint="eastAsia" w:ascii="宋体" w:hAnsi="宋体" w:eastAsia="宋体" w:cs="Arial"/>
                <w:szCs w:val="21"/>
              </w:rPr>
              <w:t>无偏离</w:t>
            </w:r>
          </w:p>
        </w:tc>
      </w:tr>
    </w:tbl>
    <w:p w14:paraId="31FB2A36">
      <w:pPr>
        <w:snapToGrid w:val="0"/>
        <w:rPr>
          <w:rFonts w:ascii="宋体" w:hAnsi="宋体"/>
        </w:rPr>
      </w:pPr>
    </w:p>
    <w:p w14:paraId="0286EC0D">
      <w:pPr>
        <w:snapToGrid w:val="0"/>
        <w:rPr>
          <w:rFonts w:ascii="宋体" w:hAnsi="宋体"/>
          <w:b/>
        </w:rPr>
      </w:pPr>
      <w:r>
        <w:rPr>
          <w:rFonts w:hint="eastAsia" w:ascii="宋体" w:hAnsi="宋体" w:eastAsia="宋体"/>
          <w:b/>
        </w:rPr>
        <w:t>填写说明：</w:t>
      </w:r>
    </w:p>
    <w:p w14:paraId="624BFFF6">
      <w:pPr>
        <w:numPr>
          <w:ilvl w:val="0"/>
          <w:numId w:val="7"/>
        </w:numPr>
        <w:snapToGrid w:val="0"/>
        <w:spacing w:after="60" w:afterLines="25" w:line="300" w:lineRule="auto"/>
        <w:rPr>
          <w:rFonts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14:paraId="5017EE89">
      <w:pPr>
        <w:numPr>
          <w:ilvl w:val="0"/>
          <w:numId w:val="7"/>
        </w:numPr>
        <w:snapToGrid w:val="0"/>
        <w:spacing w:after="60" w:afterLines="25" w:line="300" w:lineRule="auto"/>
        <w:rPr>
          <w:rFonts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1CD7375C">
      <w:pPr>
        <w:numPr>
          <w:ilvl w:val="0"/>
          <w:numId w:val="7"/>
        </w:numPr>
        <w:snapToGrid w:val="0"/>
        <w:spacing w:after="60" w:afterLines="25" w:line="300" w:lineRule="auto"/>
        <w:rPr>
          <w:rFonts w:ascii="宋体" w:hAnsi="宋体" w:eastAsia="宋体"/>
          <w:b/>
          <w:color w:val="FF0000"/>
        </w:rPr>
      </w:pPr>
      <w:r>
        <w:rPr>
          <w:rFonts w:hint="eastAsia" w:ascii="宋体" w:hAnsi="宋体" w:eastAsia="宋体"/>
          <w:b/>
          <w:color w:val="FF0000"/>
        </w:rPr>
        <w:t>带★号条款为不可偏离条款，如未响应或出现负偏离的，将作投标无效处理。</w:t>
      </w:r>
    </w:p>
    <w:p w14:paraId="6AD11965">
      <w:pPr>
        <w:rPr>
          <w:rFonts w:ascii="宋体" w:hAnsi="宋体" w:eastAsia="宋体"/>
          <w:color w:val="FF0000"/>
          <w:sz w:val="32"/>
          <w:szCs w:val="32"/>
        </w:rPr>
      </w:pPr>
    </w:p>
    <w:p w14:paraId="4262B4C1">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13</w:t>
      </w:r>
      <w:r>
        <w:rPr>
          <w:rFonts w:hint="eastAsia" w:ascii="宋体" w:hAnsi="宋体" w:eastAsia="宋体"/>
          <w:b/>
          <w:bCs/>
          <w:szCs w:val="20"/>
        </w:rPr>
        <w:t>.技术规格偏离表</w:t>
      </w:r>
    </w:p>
    <w:p w14:paraId="0B00A70C">
      <w:pPr>
        <w:snapToGrid w:val="0"/>
        <w:rPr>
          <w:rFonts w:ascii="Arial" w:hAnsi="Arial" w:eastAsia="宋体" w:cs="Arial"/>
          <w:color w:val="000000"/>
          <w:u w:val="single"/>
        </w:rPr>
      </w:pPr>
      <w:r>
        <w:rPr>
          <w:rFonts w:hint="eastAsia" w:ascii="Arial" w:hAnsi="Arial" w:eastAsia="宋体" w:cs="Arial"/>
          <w:color w:val="000000"/>
        </w:rPr>
        <w:t>投标单位（投标人）名称：</w:t>
      </w:r>
    </w:p>
    <w:p w14:paraId="6C635F18">
      <w:pPr>
        <w:snapToGrid w:val="0"/>
        <w:rPr>
          <w:rFonts w:ascii="宋体" w:hAnsi="宋体"/>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14:paraId="2512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C035697">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14:paraId="13D924F2">
            <w:pPr>
              <w:snapToGrid w:val="0"/>
              <w:jc w:val="center"/>
              <w:rPr>
                <w:rFonts w:ascii="宋体" w:hAnsi="宋体"/>
                <w:b/>
              </w:rPr>
            </w:pPr>
            <w:r>
              <w:rPr>
                <w:rFonts w:hint="eastAsia" w:ascii="宋体" w:hAnsi="宋体" w:eastAsia="宋体"/>
                <w:b/>
                <w:lang w:eastAsia="zh-CN"/>
              </w:rPr>
              <w:t>服务</w:t>
            </w:r>
            <w:r>
              <w:rPr>
                <w:rFonts w:hint="eastAsia" w:ascii="宋体" w:hAnsi="宋体"/>
                <w:b/>
              </w:rPr>
              <w:t>名称</w:t>
            </w:r>
          </w:p>
        </w:tc>
        <w:tc>
          <w:tcPr>
            <w:tcW w:w="2835" w:type="dxa"/>
            <w:tcBorders>
              <w:top w:val="double" w:color="auto" w:sz="4" w:space="0"/>
              <w:left w:val="double" w:color="auto" w:sz="4" w:space="0"/>
              <w:bottom w:val="double" w:color="auto" w:sz="4" w:space="0"/>
              <w:right w:val="double" w:color="auto" w:sz="4" w:space="0"/>
            </w:tcBorders>
            <w:vAlign w:val="center"/>
          </w:tcPr>
          <w:p w14:paraId="14065190">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14:paraId="15325CAF">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14:paraId="3FDCECF4">
            <w:pPr>
              <w:snapToGrid w:val="0"/>
              <w:jc w:val="center"/>
              <w:rPr>
                <w:rFonts w:ascii="宋体" w:hAnsi="宋体"/>
                <w:b/>
              </w:rPr>
            </w:pPr>
            <w:r>
              <w:rPr>
                <w:rFonts w:hint="eastAsia" w:ascii="宋体" w:hAnsi="宋体"/>
                <w:b/>
              </w:rPr>
              <w:t>说明</w:t>
            </w:r>
          </w:p>
        </w:tc>
      </w:tr>
      <w:tr w14:paraId="3DD7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A95AFD9">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14:paraId="7904D2CA">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0FD06367">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00FF2E2D">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17481843">
            <w:pPr>
              <w:snapToGrid w:val="0"/>
              <w:rPr>
                <w:rFonts w:ascii="宋体" w:hAnsi="宋体"/>
              </w:rPr>
            </w:pPr>
          </w:p>
        </w:tc>
      </w:tr>
      <w:tr w14:paraId="6537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37E9D9A9">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61ED10F8">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4F091FA9">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423148CD">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5173B2C5">
            <w:pPr>
              <w:snapToGrid w:val="0"/>
              <w:rPr>
                <w:rFonts w:ascii="宋体" w:hAnsi="宋体"/>
              </w:rPr>
            </w:pPr>
          </w:p>
        </w:tc>
      </w:tr>
      <w:tr w14:paraId="7971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4EF4C47A">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247941B4">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9C6F5B0">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EDE5EBC">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612EF0BF">
            <w:pPr>
              <w:snapToGrid w:val="0"/>
              <w:rPr>
                <w:rFonts w:ascii="宋体" w:hAnsi="宋体"/>
              </w:rPr>
            </w:pPr>
          </w:p>
        </w:tc>
      </w:tr>
    </w:tbl>
    <w:p w14:paraId="773480E5">
      <w:pPr>
        <w:snapToGrid w:val="0"/>
        <w:rPr>
          <w:rFonts w:ascii="宋体" w:hAnsi="宋体"/>
        </w:rPr>
      </w:pPr>
      <w:r>
        <w:rPr>
          <w:rFonts w:hint="eastAsia" w:ascii="宋体" w:hAnsi="宋体"/>
        </w:rPr>
        <w:t>此表可延长。</w:t>
      </w:r>
    </w:p>
    <w:p w14:paraId="10FBBBEC">
      <w:pPr>
        <w:snapToGrid w:val="0"/>
        <w:rPr>
          <w:rFonts w:ascii="宋体" w:hAnsi="宋体"/>
        </w:rPr>
      </w:pPr>
    </w:p>
    <w:p w14:paraId="3EBC2DB5">
      <w:pPr>
        <w:snapToGrid w:val="0"/>
        <w:rPr>
          <w:rFonts w:ascii="宋体" w:hAnsi="宋体"/>
          <w:b/>
        </w:rPr>
      </w:pPr>
      <w:r>
        <w:rPr>
          <w:rFonts w:hint="eastAsia" w:ascii="宋体" w:hAnsi="宋体"/>
          <w:b/>
        </w:rPr>
        <w:t>填写说明：</w:t>
      </w:r>
    </w:p>
    <w:p w14:paraId="6D95D87F">
      <w:pPr>
        <w:numPr>
          <w:ilvl w:val="0"/>
          <w:numId w:val="8"/>
        </w:numPr>
        <w:snapToGrid w:val="0"/>
        <w:spacing w:after="60" w:afterLines="25" w:line="300" w:lineRule="auto"/>
        <w:rPr>
          <w:rFonts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000F8AD2">
      <w:pPr>
        <w:numPr>
          <w:ilvl w:val="0"/>
          <w:numId w:val="8"/>
        </w:numPr>
        <w:snapToGrid w:val="0"/>
        <w:spacing w:after="60" w:afterLines="25" w:line="300" w:lineRule="auto"/>
        <w:rPr>
          <w:rFonts w:ascii="宋体" w:hAnsi="宋体" w:eastAsia="宋体"/>
        </w:rPr>
      </w:pPr>
      <w:r>
        <w:rPr>
          <w:rFonts w:hint="eastAsia" w:ascii="宋体" w:hAnsi="宋体" w:eastAsia="宋体"/>
        </w:rPr>
        <w:t>投标人投标响应时若存在虚假响应情况，均视为提供虚假材料，按相关法律规定处理；</w:t>
      </w:r>
    </w:p>
    <w:p w14:paraId="37D52404">
      <w:pPr>
        <w:numPr>
          <w:ilvl w:val="0"/>
          <w:numId w:val="8"/>
        </w:numPr>
        <w:snapToGrid w:val="0"/>
        <w:spacing w:after="60" w:afterLines="25" w:line="300" w:lineRule="auto"/>
        <w:rPr>
          <w:rFonts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14:paraId="79FE33C6">
      <w:pPr>
        <w:rPr>
          <w:rFonts w:ascii="宋体" w:hAnsi="宋体" w:eastAsia="宋体"/>
          <w:color w:val="FF0000"/>
          <w:sz w:val="32"/>
          <w:szCs w:val="32"/>
        </w:rPr>
      </w:pPr>
      <w:r>
        <w:br w:type="page"/>
      </w:r>
    </w:p>
    <w:p w14:paraId="25D5A6C6">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14.</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14:paraId="4390FAF0">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5311ACC8">
      <w:pPr>
        <w:pStyle w:val="16"/>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15.售后服务相关资料</w:t>
      </w:r>
      <w:r>
        <w:rPr>
          <w:rFonts w:hint="eastAsia" w:ascii="宋体" w:hAnsi="宋体" w:eastAsia="宋体" w:cs="Times New Roman"/>
          <w:b/>
          <w:bCs/>
          <w:sz w:val="21"/>
          <w:szCs w:val="20"/>
          <w:lang w:val="en-US" w:eastAsia="zh-CN"/>
        </w:rPr>
        <w:t>(如有)</w:t>
      </w:r>
    </w:p>
    <w:p w14:paraId="2F2CE29C">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7BDCB80">
      <w:pPr>
        <w:pStyle w:val="16"/>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16.产品检测报告(如有)</w:t>
      </w:r>
    </w:p>
    <w:p w14:paraId="165E9E00">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4139BEE3">
      <w:pPr>
        <w:pStyle w:val="16"/>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17.节能产品认证证书(如有)</w:t>
      </w:r>
    </w:p>
    <w:p w14:paraId="752B2BCB">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3762F574">
      <w:pPr>
        <w:pStyle w:val="16"/>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18.设计、施工方案的合理性评价(如有)</w:t>
      </w:r>
    </w:p>
    <w:p w14:paraId="486C13E4">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44389D8C">
      <w:pPr>
        <w:pStyle w:val="16"/>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19.其他招标文件要求或投标人认为需要补充的内容(如有)</w:t>
      </w:r>
    </w:p>
    <w:p w14:paraId="55251175">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3E096A6B">
      <w:pPr>
        <w:spacing w:after="60" w:afterLines="25" w:line="300" w:lineRule="auto"/>
        <w:rPr>
          <w:rFonts w:ascii="宋体" w:hAnsi="宋体" w:eastAsia="宋体"/>
          <w:color w:val="FF0000"/>
          <w:sz w:val="32"/>
          <w:szCs w:val="32"/>
        </w:rPr>
      </w:pPr>
      <w:r>
        <w:br w:type="page"/>
      </w:r>
    </w:p>
    <w:p w14:paraId="53AE0147">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14:paraId="0D42EE1A">
      <w:pPr>
        <w:jc w:val="center"/>
        <w:rPr>
          <w:rFonts w:ascii="宋体" w:hAnsi="宋体" w:eastAsia="黑体"/>
          <w:bCs/>
          <w:kern w:val="44"/>
          <w:sz w:val="28"/>
          <w:szCs w:val="44"/>
        </w:rPr>
      </w:pPr>
      <w:bookmarkStart w:id="16" w:name="_Hlk72574405"/>
      <w:r>
        <w:rPr>
          <w:rFonts w:hint="eastAsia"/>
          <w:b/>
        </w:rPr>
        <w:t>（仅供参考，具体以项目需求及采购结果为准）</w:t>
      </w:r>
      <w:bookmarkEnd w:id="16"/>
    </w:p>
    <w:p w14:paraId="691A6233">
      <w:pPr>
        <w:snapToGrid w:val="0"/>
        <w:spacing w:line="300" w:lineRule="auto"/>
        <w:jc w:val="center"/>
        <w:rPr>
          <w:rFonts w:ascii="仿宋" w:hAnsi="仿宋" w:eastAsia="仿宋"/>
          <w:sz w:val="28"/>
          <w:szCs w:val="28"/>
        </w:rPr>
      </w:pPr>
    </w:p>
    <w:p w14:paraId="17D3091C">
      <w:pPr>
        <w:snapToGrid w:val="0"/>
        <w:spacing w:line="300" w:lineRule="auto"/>
        <w:rPr>
          <w:rFonts w:ascii="仿宋" w:hAnsi="仿宋" w:eastAsia="仿宋"/>
          <w:sz w:val="28"/>
          <w:szCs w:val="28"/>
          <w:u w:val="single"/>
        </w:rPr>
      </w:pPr>
      <w:r>
        <w:rPr>
          <w:rFonts w:ascii="仿宋" w:hAnsi="仿宋" w:eastAsia="仿宋"/>
          <w:sz w:val="28"/>
          <w:szCs w:val="28"/>
        </w:rPr>
        <w:t>甲方：</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 xml:space="preserve">乙方: </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p>
    <w:p w14:paraId="02CDF205">
      <w:pPr>
        <w:snapToGrid w:val="0"/>
        <w:spacing w:line="300" w:lineRule="auto"/>
        <w:rPr>
          <w:rFonts w:ascii="仿宋" w:hAnsi="仿宋" w:eastAsia="仿宋"/>
          <w:sz w:val="28"/>
          <w:szCs w:val="28"/>
        </w:rPr>
      </w:pPr>
      <w:r>
        <w:rPr>
          <w:rFonts w:ascii="仿宋" w:hAnsi="仿宋" w:eastAsia="仿宋"/>
          <w:sz w:val="28"/>
          <w:szCs w:val="28"/>
        </w:rPr>
        <w:t>住所地：住所地：</w:t>
      </w:r>
    </w:p>
    <w:p w14:paraId="3D890B87">
      <w:pPr>
        <w:snapToGrid w:val="0"/>
        <w:spacing w:line="300" w:lineRule="auto"/>
        <w:rPr>
          <w:rFonts w:ascii="仿宋" w:hAnsi="仿宋" w:eastAsia="仿宋"/>
          <w:sz w:val="28"/>
          <w:szCs w:val="28"/>
        </w:rPr>
      </w:pPr>
      <w:r>
        <w:rPr>
          <w:rFonts w:ascii="仿宋" w:hAnsi="仿宋" w:eastAsia="仿宋"/>
          <w:sz w:val="28"/>
          <w:szCs w:val="28"/>
        </w:rPr>
        <w:t>法定代表人：法定代表人：</w:t>
      </w:r>
    </w:p>
    <w:p w14:paraId="218A8B7D">
      <w:pPr>
        <w:snapToGrid w:val="0"/>
        <w:spacing w:line="300" w:lineRule="auto"/>
        <w:rPr>
          <w:rFonts w:ascii="仿宋" w:hAnsi="仿宋" w:eastAsia="仿宋"/>
          <w:sz w:val="28"/>
          <w:szCs w:val="28"/>
        </w:rPr>
      </w:pPr>
      <w:r>
        <w:rPr>
          <w:rFonts w:ascii="仿宋" w:hAnsi="仿宋" w:eastAsia="仿宋"/>
          <w:sz w:val="28"/>
          <w:szCs w:val="28"/>
        </w:rPr>
        <w:t>联系人：</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联系人：</w:t>
      </w:r>
    </w:p>
    <w:p w14:paraId="522A1415">
      <w:pPr>
        <w:snapToGrid w:val="0"/>
        <w:spacing w:line="300" w:lineRule="auto"/>
        <w:rPr>
          <w:rFonts w:ascii="仿宋" w:hAnsi="仿宋" w:eastAsia="仿宋"/>
          <w:sz w:val="28"/>
          <w:szCs w:val="28"/>
        </w:rPr>
      </w:pPr>
      <w:r>
        <w:rPr>
          <w:rFonts w:ascii="仿宋" w:hAnsi="仿宋" w:eastAsia="仿宋"/>
          <w:sz w:val="28"/>
          <w:szCs w:val="28"/>
        </w:rPr>
        <w:t>电话：</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电话：</w:t>
      </w:r>
    </w:p>
    <w:p w14:paraId="37A4DCC6">
      <w:pPr>
        <w:snapToGrid w:val="0"/>
        <w:spacing w:line="300" w:lineRule="auto"/>
        <w:rPr>
          <w:rFonts w:ascii="仿宋" w:hAnsi="仿宋" w:eastAsia="仿宋"/>
          <w:sz w:val="28"/>
          <w:szCs w:val="28"/>
        </w:rPr>
      </w:pPr>
      <w:r>
        <w:rPr>
          <w:rFonts w:ascii="仿宋" w:hAnsi="仿宋" w:eastAsia="仿宋"/>
          <w:sz w:val="28"/>
          <w:szCs w:val="28"/>
        </w:rPr>
        <w:t>传真：传真：</w:t>
      </w:r>
    </w:p>
    <w:p w14:paraId="07ACAABB">
      <w:pPr>
        <w:snapToGrid w:val="0"/>
        <w:spacing w:line="300" w:lineRule="auto"/>
        <w:rPr>
          <w:rFonts w:ascii="仿宋" w:hAnsi="仿宋" w:eastAsia="仿宋"/>
          <w:sz w:val="28"/>
          <w:szCs w:val="28"/>
        </w:rPr>
      </w:pPr>
    </w:p>
    <w:p w14:paraId="18A697F2">
      <w:pPr>
        <w:numPr>
          <w:ilvl w:val="0"/>
          <w:numId w:val="9"/>
        </w:num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项目基本情况</w:t>
      </w:r>
    </w:p>
    <w:p w14:paraId="7C5E2BCD">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 xml:space="preserve">    根据</w:t>
      </w:r>
      <w:r>
        <w:rPr>
          <w:rFonts w:hint="eastAsia" w:ascii="仿宋" w:hAnsi="仿宋" w:eastAsia="仿宋"/>
          <w:sz w:val="28"/>
          <w:szCs w:val="28"/>
          <w:u w:val="single"/>
          <w:lang w:eastAsia="zh-CN"/>
        </w:rPr>
        <w:t>采购人</w:t>
      </w:r>
      <w:r>
        <w:rPr>
          <w:rFonts w:hint="eastAsia" w:ascii="仿宋" w:hAnsi="仿宋" w:eastAsia="仿宋"/>
          <w:sz w:val="28"/>
          <w:szCs w:val="28"/>
        </w:rPr>
        <w:t>项目（招标编号：</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）结果，</w:t>
      </w:r>
      <w:r>
        <w:rPr>
          <w:rFonts w:hint="eastAsia" w:ascii="仿宋" w:hAnsi="仿宋" w:eastAsia="仿宋"/>
          <w:sz w:val="28"/>
          <w:szCs w:val="28"/>
          <w:u w:val="single"/>
          <w:lang w:val="en-US" w:eastAsia="zh-CN"/>
        </w:rPr>
        <w:t xml:space="preserve">    </w:t>
      </w:r>
      <w:r>
        <w:rPr>
          <w:rFonts w:hint="eastAsia" w:ascii="仿宋" w:hAnsi="仿宋" w:eastAsia="仿宋"/>
          <w:sz w:val="28"/>
          <w:szCs w:val="28"/>
        </w:rPr>
        <w:t>为中标人。按照《中华人民共和国民法典》（第三编 合同）》和《</w:t>
      </w:r>
      <w:r>
        <w:rPr>
          <w:rFonts w:hint="eastAsia" w:ascii="仿宋" w:hAnsi="仿宋" w:eastAsia="仿宋"/>
          <w:sz w:val="28"/>
          <w:szCs w:val="28"/>
          <w:lang w:eastAsia="zh-CN"/>
        </w:rPr>
        <w:t>中华人民共和国政府采购法</w:t>
      </w:r>
      <w:r>
        <w:rPr>
          <w:rFonts w:hint="eastAsia" w:ascii="仿宋" w:hAnsi="仿宋" w:eastAsia="仿宋"/>
          <w:sz w:val="28"/>
          <w:szCs w:val="28"/>
        </w:rPr>
        <w:t>》，经（以下简称甲方）和（以下简称乙方）协商，达成本合同条款。</w:t>
      </w:r>
    </w:p>
    <w:p w14:paraId="7B175423">
      <w:pPr>
        <w:tabs>
          <w:tab w:val="left" w:pos="0"/>
        </w:tabs>
        <w:snapToGrid w:val="0"/>
        <w:spacing w:line="300" w:lineRule="auto"/>
        <w:outlineLvl w:val="2"/>
        <w:rPr>
          <w:rFonts w:ascii="仿宋" w:hAnsi="仿宋" w:eastAsia="仿宋"/>
          <w:sz w:val="28"/>
          <w:szCs w:val="28"/>
        </w:rPr>
      </w:pPr>
      <w:r>
        <w:rPr>
          <w:rFonts w:hint="eastAsia" w:ascii="仿宋" w:hAnsi="仿宋" w:eastAsia="仿宋"/>
          <w:b/>
          <w:sz w:val="28"/>
          <w:szCs w:val="28"/>
        </w:rPr>
        <w:t>第二条 合同标的内容（标的数量或质量等）</w:t>
      </w:r>
    </w:p>
    <w:p w14:paraId="58F288FC">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第三条 合同价款（金额）</w:t>
      </w:r>
    </w:p>
    <w:p w14:paraId="62D9C72D">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第四条 项目履约（交付、交货）地点</w:t>
      </w:r>
    </w:p>
    <w:p w14:paraId="3860908F">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lang w:eastAsia="zh-CN"/>
        </w:rPr>
        <w:t>采购人指定地点</w:t>
      </w:r>
      <w:r>
        <w:rPr>
          <w:rFonts w:hint="eastAsia" w:ascii="仿宋" w:hAnsi="仿宋" w:eastAsia="仿宋"/>
          <w:sz w:val="28"/>
          <w:szCs w:val="28"/>
        </w:rPr>
        <w:t>。</w:t>
      </w:r>
    </w:p>
    <w:p w14:paraId="17874D15">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第五条 项目服务期（完工期、履约时间、交货时间）</w:t>
      </w:r>
    </w:p>
    <w:p w14:paraId="1F11665C">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32D75788">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第六条 付款期限及方式</w:t>
      </w:r>
    </w:p>
    <w:p w14:paraId="1741D420">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582C7A2C">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第七条 项目验收标准及方式</w:t>
      </w:r>
    </w:p>
    <w:p w14:paraId="4C18D9CF">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165F90B3">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第八条 甲方的权利和义务</w:t>
      </w:r>
    </w:p>
    <w:p w14:paraId="0397AB12">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第九条 乙方的权利和义务</w:t>
      </w:r>
    </w:p>
    <w:p w14:paraId="417B6264">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第十条 违约责任与争议解决办法</w:t>
      </w:r>
    </w:p>
    <w:p w14:paraId="23625040">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1、合同双方之任何一方不能全面履行合同条款，均属违约。违约所造成的经济损失概由违约方承担赔偿。违约造成工期延误责任分担：甲方违约，工期相应顺延；乙方违约，工期不得顺延。</w:t>
      </w:r>
    </w:p>
    <w:p w14:paraId="0B37F9EB">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2、协商或仲裁：如果发生与本合同的解释或执行中的有关争议，双方首先应通过友好协商解决，否则任何一方可将该争议提交仲裁。仲裁事项应提交</w:t>
      </w:r>
      <w:r>
        <w:rPr>
          <w:rFonts w:hint="eastAsia" w:ascii="仿宋" w:hAnsi="仿宋" w:eastAsia="仿宋"/>
          <w:sz w:val="28"/>
          <w:szCs w:val="28"/>
          <w:lang w:eastAsia="zh-CN"/>
        </w:rPr>
        <w:t>有关部门</w:t>
      </w:r>
      <w:r>
        <w:rPr>
          <w:rFonts w:hint="eastAsia" w:ascii="仿宋" w:hAnsi="仿宋" w:eastAsia="仿宋"/>
          <w:sz w:val="28"/>
          <w:szCs w:val="28"/>
        </w:rPr>
        <w:t>进行裁决。</w:t>
      </w:r>
    </w:p>
    <w:p w14:paraId="165F1EF8">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w:t>
      </w:r>
    </w:p>
    <w:p w14:paraId="4818D319">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第十一条 知识产权、保密或其他事项要求</w:t>
      </w:r>
    </w:p>
    <w:p w14:paraId="2955AEF5">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1、除政府采购合同继续履行将损害国家利益和社会公共利益外，双方不得擅自变更、中止或者终止合同。</w:t>
      </w:r>
    </w:p>
    <w:p w14:paraId="0B75AD2D">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乙方所提供的货物或服务未侵犯知识产权，不会产生因第三方提出的包括但不限于侵犯其专利权、商标权、工业设计权等知识产权和侵犯其所有权、抵押权等物权及其他权利而引发的纠纷。如有纠纷，乙方应承担全部责任。</w:t>
      </w:r>
    </w:p>
    <w:p w14:paraId="2D7B9D4A">
      <w:pPr>
        <w:tabs>
          <w:tab w:val="left" w:pos="0"/>
        </w:tabs>
        <w:snapToGrid w:val="0"/>
        <w:spacing w:line="300" w:lineRule="auto"/>
        <w:rPr>
          <w:rFonts w:ascii="仿宋" w:hAnsi="仿宋" w:eastAsia="仿宋"/>
          <w:sz w:val="28"/>
          <w:szCs w:val="28"/>
        </w:rPr>
      </w:pPr>
      <w:r>
        <w:rPr>
          <w:rFonts w:hint="eastAsia" w:ascii="仿宋_GB2312" w:hAnsi="华文仿宋" w:eastAsia="仿宋_GB2312"/>
          <w:sz w:val="28"/>
          <w:szCs w:val="28"/>
        </w:rPr>
        <w:t>……。</w:t>
      </w:r>
    </w:p>
    <w:p w14:paraId="43114A7A">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第十二条 附件（附录）</w:t>
      </w:r>
      <w:r>
        <w:rPr>
          <w:rFonts w:hint="eastAsia" w:ascii="仿宋" w:hAnsi="仿宋" w:eastAsia="仿宋"/>
          <w:sz w:val="28"/>
          <w:szCs w:val="28"/>
        </w:rPr>
        <w:t>（如有，可填写，并附相关内容）</w:t>
      </w:r>
    </w:p>
    <w:p w14:paraId="0CEE1EDD">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w:t>
      </w:r>
    </w:p>
    <w:p w14:paraId="714632DE">
      <w:pPr>
        <w:snapToGrid w:val="0"/>
        <w:spacing w:line="300" w:lineRule="auto"/>
        <w:ind w:firstLine="200"/>
        <w:rPr>
          <w:rFonts w:ascii="仿宋" w:hAnsi="仿宋" w:eastAsia="仿宋"/>
          <w:sz w:val="28"/>
          <w:szCs w:val="28"/>
        </w:rPr>
      </w:pPr>
    </w:p>
    <w:p w14:paraId="1DDD1B2E">
      <w:pPr>
        <w:snapToGrid w:val="0"/>
        <w:spacing w:line="300" w:lineRule="auto"/>
        <w:ind w:firstLine="200"/>
        <w:rPr>
          <w:rFonts w:ascii="仿宋" w:hAnsi="仿宋" w:eastAsia="仿宋"/>
          <w:sz w:val="28"/>
          <w:szCs w:val="28"/>
        </w:rPr>
      </w:pPr>
    </w:p>
    <w:p w14:paraId="569873A4">
      <w:pPr>
        <w:snapToGrid w:val="0"/>
        <w:spacing w:line="300" w:lineRule="auto"/>
        <w:ind w:firstLine="200"/>
        <w:rPr>
          <w:rFonts w:ascii="仿宋" w:hAnsi="仿宋" w:eastAsia="仿宋"/>
          <w:sz w:val="28"/>
          <w:szCs w:val="28"/>
        </w:rPr>
      </w:pPr>
    </w:p>
    <w:p w14:paraId="0BE1DEE3">
      <w:pPr>
        <w:snapToGrid w:val="0"/>
        <w:spacing w:line="300" w:lineRule="auto"/>
        <w:rPr>
          <w:rFonts w:ascii="仿宋_GB2312" w:hAnsi="华文仿宋" w:eastAsia="仿宋_GB2312"/>
          <w:sz w:val="28"/>
        </w:rPr>
      </w:pPr>
      <w:r>
        <w:rPr>
          <w:rFonts w:ascii="仿宋_GB2312" w:hAnsi="华文仿宋" w:eastAsia="仿宋_GB2312"/>
          <w:sz w:val="28"/>
        </w:rPr>
        <w:t>甲方（公章）</w:t>
      </w:r>
      <w:r>
        <w:rPr>
          <w:rFonts w:hint="eastAsia" w:ascii="仿宋_GB2312" w:hAnsi="华文仿宋" w:eastAsia="仿宋_GB2312"/>
          <w:sz w:val="28"/>
        </w:rPr>
        <w:t>：</w:t>
      </w:r>
      <w:r>
        <w:rPr>
          <w:rFonts w:ascii="仿宋_GB2312" w:hAnsi="华文仿宋" w:eastAsia="仿宋_GB2312"/>
          <w:sz w:val="28"/>
        </w:rPr>
        <w:t>乙方（公章）</w:t>
      </w:r>
      <w:r>
        <w:rPr>
          <w:rFonts w:hint="eastAsia" w:ascii="仿宋_GB2312" w:hAnsi="华文仿宋" w:eastAsia="仿宋_GB2312"/>
          <w:sz w:val="28"/>
        </w:rPr>
        <w:t>：</w:t>
      </w:r>
    </w:p>
    <w:p w14:paraId="0C5C38E8">
      <w:pPr>
        <w:snapToGrid w:val="0"/>
        <w:spacing w:line="300" w:lineRule="auto"/>
        <w:rPr>
          <w:rFonts w:ascii="仿宋_GB2312" w:hAnsi="华文仿宋" w:eastAsia="仿宋_GB2312"/>
          <w:sz w:val="28"/>
        </w:rPr>
      </w:pPr>
      <w:r>
        <w:rPr>
          <w:rFonts w:ascii="仿宋_GB2312" w:hAnsi="华文仿宋" w:eastAsia="仿宋_GB2312"/>
          <w:sz w:val="28"/>
        </w:rPr>
        <w:t>法定代表人（签章）</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法定代表人（签章）</w:t>
      </w:r>
    </w:p>
    <w:p w14:paraId="28BCABBC">
      <w:pPr>
        <w:snapToGrid w:val="0"/>
        <w:spacing w:line="300" w:lineRule="auto"/>
        <w:rPr>
          <w:rFonts w:ascii="仿宋_GB2312" w:hAnsi="华文仿宋" w:eastAsia="仿宋_GB2312"/>
          <w:sz w:val="28"/>
        </w:rPr>
      </w:pPr>
      <w:r>
        <w:rPr>
          <w:rFonts w:ascii="仿宋_GB2312" w:hAnsi="华文仿宋" w:eastAsia="仿宋_GB2312"/>
          <w:sz w:val="28"/>
        </w:rPr>
        <w:t>或授权代表：</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或授权代表：</w:t>
      </w:r>
    </w:p>
    <w:p w14:paraId="4160B796">
      <w:pPr>
        <w:snapToGrid w:val="0"/>
        <w:spacing w:line="300" w:lineRule="auto"/>
        <w:rPr>
          <w:rFonts w:ascii="仿宋_GB2312" w:hAnsi="华文仿宋" w:eastAsia="仿宋_GB2312"/>
          <w:sz w:val="28"/>
        </w:rPr>
      </w:pP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 xml:space="preserve">年   月   日     </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年   月   日</w:t>
      </w:r>
    </w:p>
    <w:p w14:paraId="557E17A8">
      <w:pPr>
        <w:rPr>
          <w:rFonts w:ascii="Arial" w:hAnsi="Arial" w:eastAsia="宋体"/>
          <w:color w:val="FF0000"/>
        </w:rPr>
      </w:pPr>
    </w:p>
    <w:p w14:paraId="7CB6FDF7">
      <w:pPr>
        <w:rPr>
          <w:rFonts w:ascii="宋体" w:hAnsi="宋体" w:eastAsia="黑体"/>
          <w:b/>
          <w:bCs/>
          <w:color w:val="0000FF"/>
          <w:kern w:val="44"/>
          <w:sz w:val="36"/>
          <w:szCs w:val="44"/>
        </w:rPr>
      </w:pPr>
      <w:r>
        <w:br w:type="page"/>
      </w:r>
    </w:p>
    <w:p w14:paraId="156718A0">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14:paraId="05DABB6B">
      <w:pPr>
        <w:keepNext/>
        <w:keepLines/>
        <w:numPr>
          <w:ilvl w:val="0"/>
          <w:numId w:val="10"/>
        </w:numPr>
        <w:adjustRightInd w:val="0"/>
        <w:spacing w:before="120" w:beforeLines="50" w:after="120" w:afterLines="50"/>
        <w:ind w:left="562" w:hanging="562"/>
        <w:jc w:val="center"/>
        <w:textAlignment w:val="baseline"/>
        <w:outlineLvl w:val="1"/>
        <w:rPr>
          <w:rFonts w:ascii="Cambria" w:hAnsi="Cambria" w:eastAsia="宋体"/>
          <w:b/>
          <w:bCs/>
          <w:sz w:val="28"/>
          <w:szCs w:val="28"/>
        </w:rPr>
      </w:pPr>
      <w:bookmarkStart w:id="17" w:name="_Hlk72399513"/>
      <w:r>
        <w:rPr>
          <w:rFonts w:hint="eastAsia" w:ascii="Cambria" w:hAnsi="Cambria" w:eastAsia="宋体"/>
          <w:b/>
          <w:bCs/>
          <w:sz w:val="28"/>
          <w:szCs w:val="28"/>
        </w:rPr>
        <w:t>总则</w:t>
      </w:r>
      <w:bookmarkEnd w:id="17"/>
    </w:p>
    <w:p w14:paraId="5FB4D4CC">
      <w:pPr>
        <w:outlineLvl w:val="2"/>
        <w:rPr>
          <w:rFonts w:ascii="黑体" w:hAnsi="宋体" w:eastAsia="黑体"/>
        </w:rPr>
      </w:pPr>
      <w:r>
        <w:rPr>
          <w:rFonts w:hint="eastAsia" w:ascii="黑体" w:hAnsi="宋体" w:eastAsia="黑体"/>
        </w:rPr>
        <w:t>1. 通用条款说明</w:t>
      </w:r>
    </w:p>
    <w:p w14:paraId="3C76D0CC">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w:t>
      </w:r>
      <w:r>
        <w:rPr>
          <w:rFonts w:hint="eastAsia" w:ascii="宋体" w:hAnsi="宋体" w:eastAsia="宋体"/>
          <w:szCs w:val="21"/>
        </w:rPr>
        <w:t>招标文件通用条款版本，</w:t>
      </w:r>
      <w:bookmarkStart w:id="18"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18"/>
    </w:p>
    <w:p w14:paraId="0B22FEDA">
      <w:pPr>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14:paraId="71BFB224">
      <w:pPr>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14:paraId="62D6A2EE">
      <w:pPr>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14:paraId="692C8167">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14:paraId="4A23C277">
      <w:pPr>
        <w:outlineLvl w:val="2"/>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14:paraId="144D6998">
      <w:pPr>
        <w:ind w:firstLine="470" w:firstLineChars="196"/>
        <w:rPr>
          <w:rFonts w:ascii="宋体" w:hAnsi="宋体" w:eastAsia="宋体"/>
          <w:szCs w:val="21"/>
        </w:rPr>
      </w:pPr>
      <w:r>
        <w:rPr>
          <w:rFonts w:hint="eastAsia" w:ascii="宋体" w:hAnsi="宋体" w:eastAsia="宋体"/>
          <w:szCs w:val="21"/>
        </w:rPr>
        <w:t>本项目按照政府采购其他法律法规，通过公开招标方式确定中标供应商。</w:t>
      </w:r>
    </w:p>
    <w:p w14:paraId="348F9D52">
      <w:pPr>
        <w:outlineLvl w:val="2"/>
        <w:rPr>
          <w:rFonts w:ascii="黑体" w:hAnsi="宋体" w:eastAsia="黑体"/>
        </w:rPr>
      </w:pPr>
      <w:r>
        <w:rPr>
          <w:rFonts w:hint="eastAsia" w:ascii="黑体" w:hAnsi="宋体" w:eastAsia="黑体"/>
        </w:rPr>
        <w:t>3．定义</w:t>
      </w:r>
    </w:p>
    <w:p w14:paraId="6D11FFEB">
      <w:pPr>
        <w:ind w:firstLine="480" w:firstLineChars="200"/>
        <w:rPr>
          <w:rFonts w:ascii="宋体" w:hAnsi="宋体" w:eastAsia="宋体"/>
          <w:szCs w:val="21"/>
        </w:rPr>
      </w:pPr>
      <w:r>
        <w:rPr>
          <w:rFonts w:ascii="宋体" w:hAnsi="宋体" w:eastAsia="宋体"/>
          <w:szCs w:val="21"/>
        </w:rPr>
        <w:t>招标文件中下列术语应解释为：</w:t>
      </w:r>
    </w:p>
    <w:p w14:paraId="26CADFE0">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14:paraId="007BAB2F">
      <w:pPr>
        <w:ind w:firstLine="470" w:firstLineChars="196"/>
        <w:rPr>
          <w:rFonts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lang w:eastAsia="zh-CN"/>
        </w:rPr>
        <w:t>喀什市招投标中心</w:t>
      </w:r>
      <w:r>
        <w:rPr>
          <w:rFonts w:hint="eastAsia" w:ascii="宋体" w:hAnsi="宋体" w:eastAsia="宋体"/>
          <w:szCs w:val="21"/>
        </w:rPr>
        <w:t>；</w:t>
      </w:r>
    </w:p>
    <w:p w14:paraId="67CC4544">
      <w:pPr>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14:paraId="4E8E58A4">
      <w:pPr>
        <w:ind w:firstLine="470" w:firstLineChars="196"/>
        <w:rPr>
          <w:rFonts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14:paraId="38D82E52">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14:paraId="00DCF014">
      <w:pPr>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14:paraId="774B3E7A">
      <w:pPr>
        <w:ind w:firstLine="470" w:firstLineChars="196"/>
        <w:rPr>
          <w:rFonts w:ascii="宋体" w:hAnsi="宋体" w:eastAsia="宋体"/>
          <w:szCs w:val="21"/>
        </w:rPr>
      </w:pPr>
      <w:r>
        <w:rPr>
          <w:rFonts w:hint="eastAsia" w:ascii="宋体" w:hAnsi="宋体" w:eastAsia="宋体"/>
          <w:szCs w:val="21"/>
        </w:rPr>
        <w:t>3.7“电子投标文件”指利用政府采购云平台投标客户端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加密的投标文件,适用于网上投标</w:t>
      </w:r>
      <w:bookmarkStart w:id="19" w:name="_Hlk72398581"/>
      <w:r>
        <w:rPr>
          <w:rFonts w:hint="eastAsia" w:ascii="宋体" w:hAnsi="宋体" w:eastAsia="宋体"/>
          <w:szCs w:val="21"/>
        </w:rPr>
        <w:t>；</w:t>
      </w:r>
      <w:bookmarkEnd w:id="19"/>
    </w:p>
    <w:p w14:paraId="17B69F91">
      <w:pPr>
        <w:ind w:firstLine="470" w:firstLineChars="196"/>
        <w:rPr>
          <w:rFonts w:ascii="宋体" w:hAnsi="宋体" w:eastAsia="宋体"/>
          <w:szCs w:val="21"/>
        </w:rPr>
      </w:pPr>
      <w:r>
        <w:rPr>
          <w:rFonts w:hint="eastAsia" w:ascii="宋体" w:hAnsi="宋体" w:eastAsia="宋体"/>
          <w:szCs w:val="21"/>
        </w:rPr>
        <w:t>3.8“网上投标”指通过政府采购云平台投标客户端上传电子投标文件；</w:t>
      </w:r>
    </w:p>
    <w:p w14:paraId="268D55F8">
      <w:pPr>
        <w:ind w:firstLine="470"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14:paraId="12DD08B6">
      <w:pPr>
        <w:outlineLvl w:val="2"/>
        <w:rPr>
          <w:rFonts w:ascii="黑体" w:hAnsi="宋体" w:eastAsia="黑体"/>
        </w:rPr>
      </w:pPr>
      <w:r>
        <w:rPr>
          <w:rFonts w:hint="eastAsia" w:ascii="黑体" w:hAnsi="宋体" w:eastAsia="黑体"/>
        </w:rPr>
        <w:t xml:space="preserve">4. </w:t>
      </w:r>
      <w:bookmarkStart w:id="20" w:name="_Hlk72398643"/>
      <w:r>
        <w:rPr>
          <w:rFonts w:hint="eastAsia" w:ascii="黑体" w:hAnsi="宋体" w:eastAsia="黑体"/>
        </w:rPr>
        <w:t>政府采购供应商责任</w:t>
      </w:r>
    </w:p>
    <w:p w14:paraId="5D8FAA73">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14:paraId="49B8EC4C">
      <w:pPr>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14:paraId="3D7F456A">
      <w:pPr>
        <w:outlineLvl w:val="2"/>
        <w:rPr>
          <w:rFonts w:ascii="黑体" w:hAnsi="宋体" w:eastAsia="黑体"/>
        </w:rPr>
      </w:pPr>
      <w:r>
        <w:rPr>
          <w:rFonts w:hint="eastAsia" w:ascii="黑体" w:hAnsi="宋体" w:eastAsia="黑体"/>
        </w:rPr>
        <w:t>5．投标人参加政府采购的条件</w:t>
      </w:r>
    </w:p>
    <w:p w14:paraId="2581FD7B">
      <w:pPr>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14:paraId="1D8D1BF4">
      <w:pPr>
        <w:ind w:firstLine="470" w:firstLineChars="196"/>
        <w:rPr>
          <w:rFonts w:ascii="宋体" w:hAnsi="宋体" w:eastAsia="宋体"/>
          <w:szCs w:val="21"/>
        </w:rPr>
      </w:pPr>
      <w:r>
        <w:rPr>
          <w:rFonts w:hint="eastAsia" w:ascii="宋体" w:hAnsi="宋体" w:eastAsia="宋体"/>
          <w:szCs w:val="21"/>
        </w:rPr>
        <w:t>5.2投标人资格要求</w:t>
      </w:r>
    </w:p>
    <w:p w14:paraId="12F04404">
      <w:pPr>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14:paraId="06EE704A">
      <w:pPr>
        <w:ind w:firstLine="470" w:firstLineChars="196"/>
        <w:rPr>
          <w:rFonts w:ascii="宋体" w:hAnsi="宋体" w:eastAsia="宋体"/>
          <w:szCs w:val="21"/>
        </w:rPr>
      </w:pPr>
      <w:r>
        <w:rPr>
          <w:rFonts w:hint="eastAsia" w:ascii="宋体" w:hAnsi="宋体" w:eastAsia="宋体"/>
          <w:szCs w:val="21"/>
        </w:rPr>
        <w:t>5.3联合体投标</w:t>
      </w:r>
    </w:p>
    <w:p w14:paraId="79311B25">
      <w:pPr>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14:paraId="482F22EF">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14:paraId="360DEB20">
      <w:pPr>
        <w:ind w:firstLine="470" w:firstLineChars="196"/>
        <w:rPr>
          <w:rFonts w:ascii="宋体" w:hAnsi="宋体" w:eastAsia="宋体"/>
        </w:rPr>
      </w:pPr>
      <w:r>
        <w:rPr>
          <w:rFonts w:hint="eastAsia" w:ascii="宋体" w:hAnsi="宋体" w:eastAsia="宋体"/>
        </w:rPr>
        <w:t>（1）投标联合体各方参加政府采购活动应当具备下列条件：</w:t>
      </w:r>
    </w:p>
    <w:p w14:paraId="1AD38F08">
      <w:pPr>
        <w:ind w:left="480" w:leftChars="200" w:firstLine="470" w:firstLineChars="196"/>
        <w:rPr>
          <w:rFonts w:ascii="宋体" w:hAnsi="宋体" w:eastAsia="宋体"/>
        </w:rPr>
      </w:pPr>
      <w:r>
        <w:rPr>
          <w:rFonts w:hint="eastAsia" w:ascii="宋体" w:hAnsi="宋体" w:eastAsia="宋体"/>
        </w:rPr>
        <w:t>1、具有独立承担民事责任的能力；</w:t>
      </w:r>
    </w:p>
    <w:p w14:paraId="17D8E4A5">
      <w:pPr>
        <w:ind w:left="420" w:firstLine="470" w:firstLineChars="196"/>
        <w:rPr>
          <w:rFonts w:ascii="宋体" w:hAnsi="宋体" w:eastAsia="宋体"/>
        </w:rPr>
      </w:pPr>
      <w:r>
        <w:rPr>
          <w:rFonts w:hint="eastAsia" w:ascii="宋体" w:hAnsi="宋体" w:eastAsia="宋体"/>
        </w:rPr>
        <w:t>2、有良好的商业信誉和健全的财务会计制度；</w:t>
      </w:r>
    </w:p>
    <w:p w14:paraId="2607CC84">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14:paraId="7B4D513C">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14:paraId="0BDE4EE7">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14:paraId="12ED74D8">
      <w:pPr>
        <w:ind w:left="480" w:leftChars="200" w:firstLine="470" w:firstLineChars="196"/>
        <w:rPr>
          <w:rFonts w:ascii="宋体" w:hAnsi="宋体" w:eastAsia="宋体"/>
        </w:rPr>
      </w:pPr>
      <w:r>
        <w:rPr>
          <w:rFonts w:hint="eastAsia" w:ascii="宋体" w:hAnsi="宋体" w:eastAsia="宋体"/>
        </w:rPr>
        <w:t>6、法律、行政法规规定的其他条件。</w:t>
      </w:r>
    </w:p>
    <w:p w14:paraId="1C26BE44">
      <w:pPr>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lang w:eastAsia="zh-CN"/>
        </w:rPr>
        <w:t>政府采购云平台</w:t>
      </w:r>
      <w:r>
        <w:rPr>
          <w:rFonts w:hint="eastAsia" w:ascii="宋体" w:hAnsi="宋体" w:eastAsia="宋体"/>
        </w:rPr>
        <w:t>供应商；</w:t>
      </w:r>
    </w:p>
    <w:p w14:paraId="46F8D3F8">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14:paraId="56ED8331">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14:paraId="650CE2BE">
      <w:pPr>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14:paraId="3FD1A987">
      <w:pPr>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w:t>
      </w:r>
      <w:r>
        <w:rPr>
          <w:rFonts w:hint="eastAsia" w:ascii="宋体" w:hAnsi="宋体" w:eastAsia="宋体"/>
          <w:lang w:eastAsia="zh-CN"/>
        </w:rPr>
        <w:t>采购人</w:t>
      </w:r>
      <w:r>
        <w:rPr>
          <w:rFonts w:hint="eastAsia" w:ascii="宋体" w:hAnsi="宋体" w:eastAsia="宋体"/>
        </w:rPr>
        <w:t>；</w:t>
      </w:r>
    </w:p>
    <w:p w14:paraId="15AA0476">
      <w:pPr>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14:paraId="010D9935">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6EA6887E">
      <w:pPr>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14:paraId="61770795">
      <w:pPr>
        <w:outlineLvl w:val="2"/>
        <w:rPr>
          <w:rFonts w:ascii="黑体" w:hAnsi="宋体" w:eastAsia="黑体"/>
        </w:rPr>
      </w:pPr>
      <w:r>
        <w:rPr>
          <w:rFonts w:hint="eastAsia" w:ascii="黑体" w:hAnsi="宋体" w:eastAsia="黑体"/>
        </w:rPr>
        <w:t>6．政策导向</w:t>
      </w:r>
    </w:p>
    <w:p w14:paraId="474EEC51">
      <w:pPr>
        <w:ind w:firstLine="405"/>
        <w:rPr>
          <w:rFonts w:eastAsia="宋体"/>
          <w:shd w:val="clear" w:color="auto" w:fill="FFFFFF"/>
        </w:rPr>
      </w:pPr>
      <w:r>
        <w:rPr>
          <w:rFonts w:hint="eastAsia" w:ascii="宋体" w:hAnsi="宋体" w:eastAsia="宋体"/>
          <w:lang w:eastAsia="zh-CN"/>
        </w:rPr>
        <w:t>无</w:t>
      </w:r>
    </w:p>
    <w:p w14:paraId="7AD2D5EA">
      <w:pPr>
        <w:outlineLvl w:val="2"/>
        <w:rPr>
          <w:rFonts w:ascii="黑体" w:hAnsi="宋体" w:eastAsia="黑体"/>
        </w:rPr>
      </w:pPr>
      <w:r>
        <w:rPr>
          <w:rFonts w:hint="eastAsia" w:ascii="黑体" w:hAnsi="宋体" w:eastAsia="黑体"/>
        </w:rPr>
        <w:t>7. 本项目若涉及采购货物，则合格的货物及相应服务应满足以下要求：</w:t>
      </w:r>
    </w:p>
    <w:p w14:paraId="25126181">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14:paraId="2E012807">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14:paraId="29FF1627">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6F116E3">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21"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21"/>
    </w:p>
    <w:p w14:paraId="065FD5DF">
      <w:pPr>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0A4BB9DC">
      <w:pPr>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14:paraId="4D1A5C37">
      <w:pPr>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14:paraId="24A9BF08">
      <w:pPr>
        <w:outlineLvl w:val="2"/>
        <w:rPr>
          <w:rFonts w:ascii="黑体" w:hAnsi="宋体" w:eastAsia="黑体"/>
        </w:rPr>
      </w:pPr>
      <w:r>
        <w:rPr>
          <w:rFonts w:hint="eastAsia" w:ascii="黑体" w:hAnsi="宋体" w:eastAsia="黑体"/>
        </w:rPr>
        <w:t>8．投标费用</w:t>
      </w:r>
    </w:p>
    <w:p w14:paraId="661EC641">
      <w:pPr>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14:paraId="3ACD6DC9">
      <w:pPr>
        <w:outlineLvl w:val="2"/>
        <w:rPr>
          <w:rFonts w:ascii="黑体" w:hAnsi="宋体" w:eastAsia="黑体"/>
        </w:rPr>
      </w:pPr>
      <w:r>
        <w:rPr>
          <w:rFonts w:hint="eastAsia" w:ascii="黑体" w:hAnsi="宋体" w:eastAsia="黑体"/>
        </w:rPr>
        <w:t>9．踏勘现场</w:t>
      </w:r>
    </w:p>
    <w:p w14:paraId="259902B8">
      <w:pPr>
        <w:ind w:firstLine="470" w:firstLineChars="196"/>
        <w:rPr>
          <w:rFonts w:ascii="宋体" w:hAnsi="宋体" w:eastAsia="宋体"/>
          <w:szCs w:val="21"/>
        </w:rPr>
      </w:pPr>
      <w:r>
        <w:rPr>
          <w:rFonts w:hint="eastAsia" w:ascii="宋体" w:hAnsi="宋体" w:eastAsia="宋体"/>
          <w:szCs w:val="21"/>
        </w:rPr>
        <w:t>9.1如有需要，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170577BB">
      <w:pPr>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14:paraId="3981BE79">
      <w:pPr>
        <w:ind w:firstLine="470" w:firstLineChars="196"/>
        <w:rPr>
          <w:rFonts w:ascii="宋体" w:hAnsi="宋体" w:eastAsia="宋体"/>
        </w:rPr>
      </w:pPr>
      <w:r>
        <w:rPr>
          <w:rFonts w:hint="eastAsia" w:ascii="宋体" w:hAnsi="宋体" w:eastAsia="宋体"/>
        </w:rPr>
        <w:t>9.3采购人应当通过政府集中采购机构向投标人提供有关现场的书面资料和数据。</w:t>
      </w:r>
    </w:p>
    <w:p w14:paraId="4D062E1D">
      <w:pPr>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14:paraId="4B1312EA">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14:paraId="4C6C0EEC">
      <w:pPr>
        <w:outlineLvl w:val="2"/>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14:paraId="4725D7E0">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14:paraId="660C6EEC">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14:paraId="39406230">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20"/>
    </w:p>
    <w:p w14:paraId="4839C9F4">
      <w:pPr>
        <w:keepNext/>
        <w:keepLines/>
        <w:numPr>
          <w:ilvl w:val="0"/>
          <w:numId w:val="10"/>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招标文件</w:t>
      </w:r>
    </w:p>
    <w:p w14:paraId="2074249E">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22" w:name="_Hlk72399819"/>
      <w:r>
        <w:rPr>
          <w:rFonts w:hint="eastAsia" w:ascii="黑体" w:hAnsi="宋体" w:eastAsia="黑体"/>
        </w:rPr>
        <w:t>招标文件的编制与组成</w:t>
      </w:r>
    </w:p>
    <w:p w14:paraId="0C5D90D9">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w:t>
      </w:r>
      <w:r>
        <w:rPr>
          <w:rFonts w:hint="eastAsia" w:ascii="宋体" w:hAnsi="宋体" w:eastAsia="宋体"/>
          <w:szCs w:val="21"/>
          <w:lang w:eastAsia="zh-CN"/>
        </w:rPr>
        <w:t>采购人</w:t>
      </w:r>
      <w:r>
        <w:rPr>
          <w:rFonts w:hint="eastAsia" w:ascii="宋体" w:hAnsi="宋体" w:eastAsia="宋体"/>
          <w:szCs w:val="21"/>
        </w:rPr>
        <w:t>在招标期间发出的澄清或修改等相关公告或通知内容，均是招标文件的组成部分，对投标人起约束作用；</w:t>
      </w:r>
    </w:p>
    <w:p w14:paraId="697CB4EC">
      <w:pPr>
        <w:ind w:firstLine="470" w:firstLineChars="196"/>
        <w:rPr>
          <w:rFonts w:ascii="宋体" w:hAnsi="宋体" w:eastAsia="宋体"/>
          <w:szCs w:val="21"/>
        </w:rPr>
      </w:pPr>
      <w:r>
        <w:rPr>
          <w:rFonts w:hint="eastAsia" w:ascii="宋体" w:hAnsi="宋体" w:eastAsia="宋体"/>
          <w:szCs w:val="21"/>
        </w:rPr>
        <w:t>招标文件包括下列内容：</w:t>
      </w:r>
    </w:p>
    <w:p w14:paraId="62102134">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14:paraId="33661545">
      <w:pPr>
        <w:ind w:left="1234" w:leftChars="514"/>
        <w:rPr>
          <w:rFonts w:ascii="宋体" w:hAnsi="宋体" w:eastAsia="宋体"/>
          <w:b/>
          <w:szCs w:val="21"/>
        </w:rPr>
      </w:pPr>
      <w:r>
        <w:rPr>
          <w:rFonts w:hint="eastAsia" w:ascii="宋体" w:hAnsi="宋体" w:eastAsia="宋体"/>
          <w:b/>
          <w:szCs w:val="21"/>
        </w:rPr>
        <w:t>关键信息</w:t>
      </w:r>
    </w:p>
    <w:p w14:paraId="2B48560D">
      <w:pPr>
        <w:ind w:left="720" w:leftChars="300" w:firstLine="470" w:firstLineChars="196"/>
        <w:rPr>
          <w:rFonts w:ascii="宋体" w:hAnsi="宋体" w:eastAsia="宋体"/>
          <w:szCs w:val="21"/>
        </w:rPr>
      </w:pPr>
      <w:r>
        <w:rPr>
          <w:rFonts w:hint="eastAsia" w:ascii="宋体" w:hAnsi="宋体" w:eastAsia="宋体"/>
          <w:szCs w:val="21"/>
        </w:rPr>
        <w:t>第一章  招标公告</w:t>
      </w:r>
    </w:p>
    <w:p w14:paraId="56F2E240">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14:paraId="2365A5E3">
      <w:pPr>
        <w:ind w:left="720" w:leftChars="300" w:firstLine="470" w:firstLineChars="196"/>
        <w:rPr>
          <w:rFonts w:ascii="宋体" w:hAnsi="宋体" w:eastAsia="宋体"/>
          <w:szCs w:val="21"/>
        </w:rPr>
      </w:pPr>
      <w:r>
        <w:rPr>
          <w:rFonts w:hint="eastAsia" w:ascii="宋体" w:hAnsi="宋体" w:eastAsia="宋体"/>
          <w:szCs w:val="21"/>
        </w:rPr>
        <w:t>第三章  用户需求书</w:t>
      </w:r>
    </w:p>
    <w:p w14:paraId="227E3819">
      <w:pPr>
        <w:ind w:left="720" w:leftChars="300" w:firstLine="470" w:firstLineChars="196"/>
        <w:rPr>
          <w:rFonts w:ascii="宋体" w:hAnsi="宋体" w:eastAsia="宋体"/>
          <w:szCs w:val="21"/>
        </w:rPr>
      </w:pPr>
      <w:r>
        <w:rPr>
          <w:rFonts w:hint="eastAsia" w:eastAsia="宋体"/>
        </w:rPr>
        <w:t>第四章投标文件格式及附件</w:t>
      </w:r>
    </w:p>
    <w:p w14:paraId="0E648909">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14:paraId="37F01539">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14:paraId="5E4AA023">
      <w:pPr>
        <w:ind w:left="720" w:leftChars="300" w:firstLine="470" w:firstLineChars="196"/>
        <w:rPr>
          <w:rFonts w:ascii="宋体" w:hAnsi="宋体" w:eastAsia="宋体"/>
          <w:szCs w:val="21"/>
        </w:rPr>
      </w:pPr>
      <w:r>
        <w:rPr>
          <w:rFonts w:hint="eastAsia" w:ascii="宋体" w:hAnsi="宋体" w:eastAsia="宋体"/>
          <w:szCs w:val="21"/>
        </w:rPr>
        <w:t>第一章  总则</w:t>
      </w:r>
    </w:p>
    <w:p w14:paraId="1E6240EA">
      <w:pPr>
        <w:ind w:left="720" w:leftChars="300" w:firstLine="470" w:firstLineChars="196"/>
        <w:rPr>
          <w:rFonts w:ascii="宋体" w:hAnsi="宋体" w:eastAsia="宋体"/>
          <w:szCs w:val="21"/>
        </w:rPr>
      </w:pPr>
      <w:r>
        <w:rPr>
          <w:rFonts w:hint="eastAsia" w:ascii="宋体" w:hAnsi="宋体" w:eastAsia="宋体"/>
          <w:szCs w:val="21"/>
        </w:rPr>
        <w:t>第二章  招标文件</w:t>
      </w:r>
    </w:p>
    <w:p w14:paraId="18C0FD60">
      <w:pPr>
        <w:ind w:left="720" w:leftChars="300" w:firstLine="470" w:firstLineChars="196"/>
        <w:rPr>
          <w:rFonts w:ascii="宋体" w:hAnsi="宋体" w:eastAsia="宋体"/>
          <w:szCs w:val="21"/>
        </w:rPr>
      </w:pPr>
      <w:r>
        <w:rPr>
          <w:rFonts w:hint="eastAsia" w:ascii="宋体" w:hAnsi="宋体" w:eastAsia="宋体"/>
          <w:szCs w:val="21"/>
        </w:rPr>
        <w:t>第三章  投标文件的编制</w:t>
      </w:r>
    </w:p>
    <w:p w14:paraId="537252E5">
      <w:pPr>
        <w:ind w:left="720" w:leftChars="300" w:firstLine="470" w:firstLineChars="196"/>
        <w:rPr>
          <w:rFonts w:ascii="宋体" w:hAnsi="宋体" w:eastAsia="宋体"/>
          <w:szCs w:val="21"/>
        </w:rPr>
      </w:pPr>
      <w:r>
        <w:rPr>
          <w:rFonts w:hint="eastAsia" w:ascii="宋体" w:hAnsi="宋体" w:eastAsia="宋体"/>
          <w:szCs w:val="21"/>
        </w:rPr>
        <w:t>第四章  投标文件的递交</w:t>
      </w:r>
    </w:p>
    <w:p w14:paraId="3BC7EBC3">
      <w:pPr>
        <w:ind w:left="720" w:leftChars="300" w:firstLine="470" w:firstLineChars="196"/>
        <w:rPr>
          <w:rFonts w:ascii="宋体" w:hAnsi="宋体" w:eastAsia="宋体"/>
          <w:szCs w:val="21"/>
        </w:rPr>
      </w:pPr>
      <w:r>
        <w:rPr>
          <w:rFonts w:hint="eastAsia" w:ascii="宋体" w:hAnsi="宋体" w:eastAsia="宋体"/>
          <w:szCs w:val="21"/>
        </w:rPr>
        <w:t>第五章  开标</w:t>
      </w:r>
    </w:p>
    <w:p w14:paraId="03377CD3">
      <w:pPr>
        <w:ind w:left="720" w:leftChars="300" w:firstLine="470" w:firstLineChars="196"/>
        <w:rPr>
          <w:rFonts w:ascii="宋体" w:hAnsi="宋体" w:eastAsia="宋体"/>
          <w:szCs w:val="21"/>
        </w:rPr>
      </w:pPr>
      <w:r>
        <w:rPr>
          <w:rFonts w:hint="eastAsia" w:ascii="宋体" w:hAnsi="宋体" w:eastAsia="宋体"/>
          <w:szCs w:val="21"/>
        </w:rPr>
        <w:t>第六章  评审要求</w:t>
      </w:r>
    </w:p>
    <w:p w14:paraId="33D4F11E">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14:paraId="54F319DF">
      <w:pPr>
        <w:ind w:left="720" w:leftChars="300" w:firstLine="470" w:firstLineChars="196"/>
        <w:rPr>
          <w:rFonts w:ascii="宋体" w:hAnsi="宋体" w:eastAsia="宋体"/>
          <w:szCs w:val="21"/>
        </w:rPr>
      </w:pPr>
      <w:r>
        <w:rPr>
          <w:rFonts w:hint="eastAsia" w:ascii="宋体" w:hAnsi="宋体" w:eastAsia="宋体"/>
          <w:szCs w:val="21"/>
        </w:rPr>
        <w:t>第八章  定标及公示</w:t>
      </w:r>
    </w:p>
    <w:p w14:paraId="17ADA176">
      <w:pPr>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14:paraId="3658B3EE">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14:paraId="0F9791C8">
      <w:pPr>
        <w:ind w:left="720" w:leftChars="300" w:firstLine="470" w:firstLineChars="196"/>
        <w:rPr>
          <w:rFonts w:ascii="宋体" w:hAnsi="宋体" w:eastAsia="宋体"/>
          <w:szCs w:val="21"/>
        </w:rPr>
      </w:pPr>
      <w:r>
        <w:rPr>
          <w:rFonts w:hint="eastAsia" w:ascii="宋体" w:hAnsi="宋体" w:eastAsia="宋体"/>
          <w:szCs w:val="21"/>
        </w:rPr>
        <w:t>第十一章  质疑处理</w:t>
      </w:r>
    </w:p>
    <w:p w14:paraId="1603ADEA">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FEF30E2">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w:t>
      </w:r>
      <w:r>
        <w:rPr>
          <w:rFonts w:hint="eastAsia" w:ascii="宋体" w:hAnsi="宋体" w:eastAsia="宋体"/>
          <w:lang w:eastAsia="zh-CN"/>
        </w:rPr>
        <w:t>采购人或</w:t>
      </w:r>
      <w:r>
        <w:rPr>
          <w:rFonts w:hint="eastAsia" w:ascii="宋体" w:hAnsi="宋体" w:eastAsia="宋体"/>
        </w:rPr>
        <w:t>政府集中采购机构在网上发布或书面通知，均作无效处理，不得作为招标文件的组成部分。政府集中采购机构对投标人由此而做出的推论、理解和结论概不负责。</w:t>
      </w:r>
    </w:p>
    <w:p w14:paraId="70C9ADA4">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14:paraId="382780F5">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14:paraId="75CD7C02">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应当及时予以答复，但答复的内容不得涉及商业秘密。投标人询问或质疑实行实名制。投标人询问或质疑应当有事实根据，不得进行虚假、恶意询问或质疑，干扰政府采购工作秩序。</w:t>
      </w:r>
    </w:p>
    <w:p w14:paraId="02C01CA1">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w:t>
      </w:r>
      <w:r>
        <w:rPr>
          <w:rFonts w:hint="eastAsia" w:ascii="宋体" w:hAnsi="宋体" w:eastAsia="宋体"/>
          <w:szCs w:val="21"/>
        </w:rPr>
        <w:t>政府集中采购机构根据需要主动对招标文件进行必要的澄清或是根据投标人的要求对招标文件做出澄清，</w:t>
      </w:r>
      <w:r>
        <w:rPr>
          <w:rFonts w:hint="eastAsia" w:ascii="宋体" w:hAnsi="宋体" w:eastAsia="宋体"/>
          <w:szCs w:val="21"/>
          <w:lang w:eastAsia="zh-CN"/>
        </w:rPr>
        <w:t>采购人或</w:t>
      </w:r>
      <w:r>
        <w:rPr>
          <w:rFonts w:hint="eastAsia" w:ascii="宋体" w:hAnsi="宋体" w:eastAsia="宋体"/>
          <w:szCs w:val="21"/>
        </w:rPr>
        <w:t>政府集中采购机构都将在投标截止日期前以书面形式（包括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14:paraId="7F05DB18">
      <w:pPr>
        <w:rPr>
          <w:rFonts w:ascii="黑体" w:hAnsi="宋体" w:eastAsia="黑体"/>
        </w:rPr>
      </w:pPr>
      <w:r>
        <w:rPr>
          <w:rFonts w:ascii="黑体" w:hAnsi="宋体" w:eastAsia="黑体"/>
        </w:rPr>
        <w:t>1</w:t>
      </w:r>
      <w:r>
        <w:rPr>
          <w:rFonts w:hint="eastAsia" w:ascii="黑体" w:hAnsi="宋体" w:eastAsia="黑体"/>
        </w:rPr>
        <w:t>3．招标文件的修改</w:t>
      </w:r>
    </w:p>
    <w:p w14:paraId="3557EF6B">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w:t>
      </w:r>
      <w:r>
        <w:rPr>
          <w:rFonts w:hint="eastAsia" w:ascii="宋体" w:hAnsi="宋体" w:eastAsia="宋体"/>
          <w:szCs w:val="21"/>
          <w:lang w:eastAsia="zh-CN"/>
        </w:rPr>
        <w:t>采购人或</w:t>
      </w:r>
      <w:r>
        <w:rPr>
          <w:rFonts w:hint="eastAsia" w:ascii="宋体" w:hAnsi="宋体" w:eastAsia="宋体"/>
          <w:szCs w:val="21"/>
        </w:rPr>
        <w:t>政府集中采购机构可主动或在解答投标人提出的澄清问题时对招标文件进行修改。</w:t>
      </w:r>
    </w:p>
    <w:p w14:paraId="0F50CAC9">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网站发布方式，如更正公告等）发送给所有投标人，招标文件的修改内容作为招标文件的组成部分，并具有约束力。</w:t>
      </w:r>
    </w:p>
    <w:p w14:paraId="420F479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网站公开发布方式，如更正公告等）明确的内容为准。当招标文件、修改补充通知、招标文件澄清答复内容相互矛盾时，以最后发出的内容为准。</w:t>
      </w:r>
    </w:p>
    <w:p w14:paraId="444DFD63">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w:t>
      </w:r>
      <w:r>
        <w:rPr>
          <w:rFonts w:hint="eastAsia" w:ascii="宋体" w:hAnsi="宋体" w:eastAsia="宋体"/>
          <w:szCs w:val="21"/>
        </w:rPr>
        <w:t>政府集中采购机构保证招标文件澄清答复内容和招标文件修改补充内容在投标截止时间前以书面形式（包括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网站发布方式，如更正公告等）发送给所有投标人。为使投标人在编制投标文件时有充分时间对招标文件的修改部分进行研究，政府集中采购机构可以酌情延长递交投标文件的截止日期。</w:t>
      </w:r>
      <w:bookmarkEnd w:id="22"/>
    </w:p>
    <w:p w14:paraId="4691DF85">
      <w:pPr>
        <w:keepNext/>
        <w:keepLines/>
        <w:numPr>
          <w:ilvl w:val="0"/>
          <w:numId w:val="10"/>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投标文件的编制</w:t>
      </w:r>
    </w:p>
    <w:p w14:paraId="45112BD5">
      <w:pPr>
        <w:rPr>
          <w:rFonts w:ascii="黑体" w:hAnsi="宋体" w:eastAsia="黑体"/>
        </w:rPr>
      </w:pPr>
      <w:r>
        <w:rPr>
          <w:rFonts w:hint="eastAsia" w:ascii="黑体" w:hAnsi="宋体" w:eastAsia="黑体"/>
        </w:rPr>
        <w:t>14．</w:t>
      </w:r>
      <w:bookmarkStart w:id="23" w:name="_Hlk72400236"/>
      <w:r>
        <w:rPr>
          <w:rFonts w:hint="eastAsia" w:ascii="黑体" w:hAnsi="宋体" w:eastAsia="黑体"/>
        </w:rPr>
        <w:t>投标文件的语言及度量单位</w:t>
      </w:r>
    </w:p>
    <w:p w14:paraId="2C998B45">
      <w:pPr>
        <w:ind w:firstLine="470" w:firstLineChars="196"/>
        <w:rPr>
          <w:rFonts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44D8705">
      <w:pPr>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23"/>
    </w:p>
    <w:p w14:paraId="65D6F777">
      <w:pPr>
        <w:rPr>
          <w:rFonts w:ascii="黑体" w:hAnsi="宋体" w:eastAsia="黑体"/>
        </w:rPr>
      </w:pPr>
      <w:r>
        <w:rPr>
          <w:rFonts w:hint="eastAsia" w:ascii="黑体" w:hAnsi="宋体" w:eastAsia="黑体"/>
        </w:rPr>
        <w:t>15．</w:t>
      </w:r>
      <w:bookmarkStart w:id="24" w:name="_Hlk72401567"/>
      <w:r>
        <w:rPr>
          <w:rFonts w:hint="eastAsia" w:ascii="黑体" w:hAnsi="宋体" w:eastAsia="黑体"/>
        </w:rPr>
        <w:t>投标文件的组成</w:t>
      </w:r>
    </w:p>
    <w:p w14:paraId="4E2DCD02">
      <w:pPr>
        <w:ind w:firstLine="470" w:firstLineChars="196"/>
        <w:rPr>
          <w:rFonts w:ascii="宋体" w:hAnsi="宋体" w:eastAsia="宋体"/>
          <w:szCs w:val="21"/>
        </w:rPr>
      </w:pPr>
      <w:r>
        <w:rPr>
          <w:rFonts w:hint="eastAsia" w:ascii="宋体" w:hAnsi="宋体" w:eastAsia="宋体"/>
          <w:szCs w:val="21"/>
        </w:rPr>
        <w:t>具体内容在招标文件专用条款中进行规定。</w:t>
      </w:r>
    </w:p>
    <w:p w14:paraId="46101283">
      <w:pPr>
        <w:rPr>
          <w:rFonts w:ascii="黑体" w:hAnsi="宋体" w:eastAsia="黑体"/>
        </w:rPr>
      </w:pPr>
      <w:r>
        <w:rPr>
          <w:rFonts w:ascii="黑体" w:hAnsi="宋体" w:eastAsia="黑体"/>
        </w:rPr>
        <w:t>16．投标文件格式</w:t>
      </w:r>
    </w:p>
    <w:p w14:paraId="72ADFC6C">
      <w:pPr>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14:paraId="6C6035F0">
      <w:pPr>
        <w:rPr>
          <w:rFonts w:ascii="黑体" w:hAnsi="宋体" w:eastAsia="黑体"/>
        </w:rPr>
      </w:pPr>
      <w:r>
        <w:rPr>
          <w:rFonts w:hint="eastAsia" w:ascii="黑体" w:hAnsi="宋体" w:eastAsia="黑体"/>
        </w:rPr>
        <w:t>17．投标货币</w:t>
      </w:r>
    </w:p>
    <w:p w14:paraId="3B332CD6">
      <w:pPr>
        <w:ind w:firstLine="470" w:firstLineChars="196"/>
        <w:rPr>
          <w:rFonts w:ascii="宋体" w:hAnsi="宋体" w:eastAsia="宋体"/>
          <w:szCs w:val="21"/>
        </w:rPr>
      </w:pPr>
      <w:r>
        <w:rPr>
          <w:rFonts w:hint="eastAsia" w:ascii="宋体" w:hAnsi="宋体" w:eastAsia="宋体"/>
          <w:szCs w:val="21"/>
        </w:rPr>
        <w:t>本项目的投标报价应以人民币计。</w:t>
      </w:r>
      <w:bookmarkEnd w:id="24"/>
    </w:p>
    <w:p w14:paraId="34B520E9">
      <w:pPr>
        <w:rPr>
          <w:rFonts w:ascii="黑体" w:hAnsi="宋体" w:eastAsia="黑体"/>
        </w:rPr>
      </w:pPr>
      <w:r>
        <w:rPr>
          <w:rFonts w:hint="eastAsia" w:ascii="黑体" w:hAnsi="宋体" w:eastAsia="黑体"/>
        </w:rPr>
        <w:t>18．</w:t>
      </w:r>
      <w:bookmarkStart w:id="25" w:name="_Hlk72401735"/>
      <w:r>
        <w:rPr>
          <w:rFonts w:hint="eastAsia" w:ascii="黑体" w:hAnsi="宋体" w:eastAsia="黑体"/>
        </w:rPr>
        <w:t>证明投标文件投标技术方案的合格性和符合招标文件规定的文件要求</w:t>
      </w:r>
    </w:p>
    <w:p w14:paraId="6CE9E9E3">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14:paraId="6D911499">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A2927E0">
      <w:pPr>
        <w:ind w:firstLine="470" w:firstLineChars="196"/>
        <w:rPr>
          <w:rFonts w:ascii="宋体" w:hAnsi="宋体" w:eastAsia="宋体"/>
          <w:szCs w:val="21"/>
        </w:rPr>
      </w:pPr>
      <w:r>
        <w:rPr>
          <w:rFonts w:hint="eastAsia" w:ascii="宋体" w:hAnsi="宋体" w:eastAsia="宋体"/>
          <w:szCs w:val="21"/>
        </w:rPr>
        <w:t>18.2.1主要技术指标和性能的详细说明。</w:t>
      </w:r>
    </w:p>
    <w:p w14:paraId="4BD588D1">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14:paraId="11A03228">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F6D23A6">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清晰度要求能够使用电脑阅读、识别和判断</w:t>
      </w:r>
      <w:r>
        <w:rPr>
          <w:rFonts w:hint="eastAsia" w:ascii="宋体" w:hAnsi="宋体" w:eastAsia="宋体"/>
          <w:szCs w:val="21"/>
        </w:rPr>
        <w:t>；</w:t>
      </w:r>
    </w:p>
    <w:p w14:paraId="4959F0E4">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18.2.5我国政府机构出具的产品检验和核准证件应为证件正面、背面和附件标注的全部具体内容；产品检验和核准证件的尺寸和清晰度应该能够在电脑上被阅读、识别和判断，提供扫描件。</w:t>
      </w:r>
    </w:p>
    <w:p w14:paraId="6AAEE26D">
      <w:pPr>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14:paraId="31E88524">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14:paraId="6BE9E1B9">
      <w:pPr>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25"/>
    </w:p>
    <w:p w14:paraId="2A382748">
      <w:pPr>
        <w:rPr>
          <w:rFonts w:ascii="黑体" w:hAnsi="宋体" w:eastAsia="黑体"/>
        </w:rPr>
      </w:pPr>
      <w:r>
        <w:rPr>
          <w:rFonts w:hint="eastAsia" w:ascii="黑体" w:hAnsi="宋体" w:eastAsia="黑体"/>
        </w:rPr>
        <w:t>19．</w:t>
      </w:r>
      <w:bookmarkStart w:id="26" w:name="_Hlk72402034"/>
      <w:r>
        <w:rPr>
          <w:rFonts w:hint="eastAsia" w:ascii="黑体" w:hAnsi="宋体" w:eastAsia="黑体"/>
        </w:rPr>
        <w:t>投标文件其他证明文件的要求</w:t>
      </w:r>
    </w:p>
    <w:p w14:paraId="629B4BDD">
      <w:pPr>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27" w:name="_Hlk71407299"/>
      <w:bookmarkEnd w:id="27"/>
    </w:p>
    <w:p w14:paraId="184880CD">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7CF8C211">
      <w:pPr>
        <w:rPr>
          <w:rFonts w:ascii="黑体" w:hAnsi="宋体" w:eastAsia="黑体"/>
        </w:rPr>
      </w:pPr>
      <w:r>
        <w:rPr>
          <w:rFonts w:hint="eastAsia" w:ascii="黑体" w:hAnsi="宋体" w:eastAsia="黑体"/>
        </w:rPr>
        <w:t>20．投标有效期</w:t>
      </w:r>
    </w:p>
    <w:bookmarkEnd w:id="26"/>
    <w:p w14:paraId="44B0D292">
      <w:pPr>
        <w:ind w:firstLine="470" w:firstLineChars="196"/>
        <w:rPr>
          <w:rFonts w:ascii="宋体" w:hAnsi="宋体" w:eastAsia="宋体"/>
          <w:szCs w:val="21"/>
        </w:rPr>
      </w:pPr>
      <w:bookmarkStart w:id="28"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14:paraId="42CF1935">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w:t>
      </w:r>
      <w:r>
        <w:rPr>
          <w:rFonts w:hint="eastAsia" w:ascii="宋体" w:hAnsi="宋体" w:eastAsia="宋体"/>
          <w:szCs w:val="21"/>
        </w:rPr>
        <w:t>政府集中采购机构在原定的投标有效期满之前，</w:t>
      </w:r>
      <w:r>
        <w:rPr>
          <w:rFonts w:hint="eastAsia" w:ascii="宋体" w:hAnsi="宋体" w:eastAsia="宋体"/>
          <w:szCs w:val="21"/>
          <w:lang w:eastAsia="zh-CN"/>
        </w:rPr>
        <w:t>采购人或</w:t>
      </w:r>
      <w:r>
        <w:rPr>
          <w:rFonts w:hint="eastAsia" w:ascii="宋体" w:hAnsi="宋体" w:eastAsia="宋体"/>
          <w:szCs w:val="21"/>
        </w:rPr>
        <w:t>政府集中采购机构可以根据需要以书面形式（包括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93A3BE5">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28"/>
    </w:p>
    <w:p w14:paraId="1293C806">
      <w:pPr>
        <w:rPr>
          <w:rFonts w:ascii="黑体" w:hAnsi="宋体" w:eastAsia="黑体"/>
        </w:rPr>
      </w:pPr>
      <w:r>
        <w:rPr>
          <w:rFonts w:hint="eastAsia" w:ascii="黑体" w:hAnsi="宋体" w:eastAsia="黑体"/>
        </w:rPr>
        <w:t>21．</w:t>
      </w:r>
      <w:bookmarkStart w:id="29" w:name="_Hlk72402325"/>
      <w:r>
        <w:rPr>
          <w:rFonts w:hint="eastAsia" w:ascii="黑体" w:hAnsi="宋体" w:eastAsia="黑体"/>
        </w:rPr>
        <w:t xml:space="preserve">关于投标保证金 </w:t>
      </w:r>
    </w:p>
    <w:p w14:paraId="6523C2AE">
      <w:pPr>
        <w:pStyle w:val="10"/>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p w14:paraId="2E048F08">
      <w:pPr>
        <w:rPr>
          <w:rFonts w:ascii="黑体" w:hAnsi="宋体" w:eastAsia="黑体"/>
        </w:rPr>
      </w:pPr>
      <w:r>
        <w:rPr>
          <w:rFonts w:hint="eastAsia" w:ascii="黑体" w:hAnsi="宋体" w:eastAsia="黑体"/>
        </w:rPr>
        <w:t>22．投标人的替代方案</w:t>
      </w:r>
    </w:p>
    <w:p w14:paraId="338D75A2">
      <w:pPr>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02616190">
      <w:pPr>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29"/>
    </w:p>
    <w:p w14:paraId="6AA4FB24">
      <w:pPr>
        <w:rPr>
          <w:rFonts w:ascii="黑体" w:hAnsi="宋体" w:eastAsia="黑体"/>
        </w:rPr>
      </w:pPr>
      <w:r>
        <w:rPr>
          <w:rFonts w:hint="eastAsia" w:ascii="黑体" w:hAnsi="宋体" w:eastAsia="黑体"/>
        </w:rPr>
        <w:t>23．</w:t>
      </w:r>
      <w:bookmarkStart w:id="30"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14:paraId="6589999A">
      <w:pPr>
        <w:ind w:firstLine="470" w:firstLineChars="196"/>
        <w:rPr>
          <w:rFonts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14:paraId="6C6E74C3">
      <w:pPr>
        <w:ind w:firstLine="470" w:firstLineChars="196"/>
        <w:rPr>
          <w:rFonts w:ascii="宋体" w:hAnsi="宋体" w:eastAsia="宋体"/>
        </w:rPr>
      </w:pPr>
      <w:r>
        <w:rPr>
          <w:rFonts w:hint="eastAsia" w:ascii="宋体" w:hAnsi="宋体" w:eastAsia="宋体"/>
        </w:rPr>
        <w:t>23.2政府集中采购机构不接受投标截止时间后递交的纸质、电子、传真等所有形式的投标文件。由于对网上政府采购系统操作不熟悉或自身电脑、网络等原因导致不能在投标截止时间之前上传投标文件，供应商自行承担。建议于开标前一个工作日完成投标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4008817190</w:t>
      </w:r>
      <w:r>
        <w:rPr>
          <w:rFonts w:hint="eastAsia" w:ascii="宋体" w:hAnsi="宋体" w:eastAsia="宋体"/>
        </w:rPr>
        <w:t>。</w:t>
      </w:r>
    </w:p>
    <w:p w14:paraId="33938962">
      <w:pPr>
        <w:ind w:firstLine="470" w:firstLineChars="196"/>
        <w:rPr>
          <w:rFonts w:ascii="宋体" w:hAnsi="宋体" w:eastAsia="宋体"/>
        </w:rPr>
      </w:pPr>
      <w:r>
        <w:rPr>
          <w:rFonts w:hint="eastAsia" w:ascii="宋体" w:hAnsi="宋体" w:eastAsia="宋体"/>
        </w:rPr>
        <w:t>23.3电报、电话、传真形式的投标概不接受。</w:t>
      </w:r>
    </w:p>
    <w:p w14:paraId="13A32C90">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30"/>
    </w:p>
    <w:p w14:paraId="7315BC84">
      <w:pPr>
        <w:keepNext/>
        <w:keepLines/>
        <w:numPr>
          <w:ilvl w:val="0"/>
          <w:numId w:val="10"/>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投标文件的递交</w:t>
      </w:r>
    </w:p>
    <w:p w14:paraId="277F6F88">
      <w:pPr>
        <w:jc w:val="center"/>
        <w:rPr>
          <w:rFonts w:ascii="宋体" w:hAnsi="宋体" w:eastAsia="宋体" w:cs="宋体"/>
        </w:rPr>
      </w:pPr>
      <w:bookmarkStart w:id="31" w:name="_Hlk72405459"/>
      <w:r>
        <w:rPr>
          <w:rFonts w:hint="eastAsia" w:ascii="黑体" w:hAnsi="宋体" w:eastAsia="黑体"/>
        </w:rPr>
        <w:t>24．电子加密投标文件上传至政府采购云平台投标客户端</w:t>
      </w:r>
    </w:p>
    <w:p w14:paraId="73E2314A">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14:paraId="328D089C">
      <w:pPr>
        <w:jc w:val="center"/>
        <w:rPr>
          <w:rFonts w:eastAsia="宋体"/>
        </w:rPr>
      </w:pPr>
    </w:p>
    <w:bookmarkEnd w:id="31"/>
    <w:p w14:paraId="4B816325">
      <w:pPr>
        <w:rPr>
          <w:rFonts w:ascii="黑体" w:hAnsi="宋体" w:eastAsia="黑体"/>
        </w:rPr>
      </w:pPr>
      <w:bookmarkStart w:id="32"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ascii="黑体" w:hAnsi="宋体" w:eastAsia="黑体"/>
        </w:rPr>
        <w:t>投标文件的修改和撤销</w:t>
      </w:r>
    </w:p>
    <w:p w14:paraId="6E658176">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14:paraId="100398DC">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14:paraId="704F2E2F">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14:paraId="4F5A6BD4">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.4政府集中采购机构不退还投标文件，专用条款另有规定的除外。</w:t>
      </w:r>
      <w:bookmarkEnd w:id="32"/>
    </w:p>
    <w:p w14:paraId="77B97E2B">
      <w:pPr>
        <w:keepNext/>
        <w:keepLines/>
        <w:numPr>
          <w:ilvl w:val="0"/>
          <w:numId w:val="10"/>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开标</w:t>
      </w:r>
    </w:p>
    <w:p w14:paraId="39E0BAA9">
      <w:pPr>
        <w:rPr>
          <w:rFonts w:ascii="黑体" w:hAnsi="宋体" w:eastAsia="黑体"/>
        </w:rPr>
      </w:pPr>
      <w:r>
        <w:rPr>
          <w:rFonts w:hint="eastAsia" w:ascii="黑体" w:hAnsi="宋体" w:eastAsia="黑体"/>
        </w:rPr>
        <w:t>28．开标</w:t>
      </w:r>
    </w:p>
    <w:p w14:paraId="61069588">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14:paraId="2155F7FA">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14:paraId="380DE3B6">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14:paraId="02F42AA1">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14:paraId="6FE9DF42">
      <w:pPr>
        <w:ind w:firstLine="360" w:firstLineChars="150"/>
        <w:rPr>
          <w:rFonts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14:paraId="6F781402">
      <w:pPr>
        <w:keepNext/>
        <w:keepLines/>
        <w:numPr>
          <w:ilvl w:val="0"/>
          <w:numId w:val="10"/>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评审要求</w:t>
      </w:r>
    </w:p>
    <w:p w14:paraId="6D558561">
      <w:pPr>
        <w:rPr>
          <w:rFonts w:ascii="黑体" w:hAnsi="宋体" w:eastAsia="黑体"/>
          <w:color w:val="auto"/>
        </w:rPr>
      </w:pPr>
      <w:r>
        <w:rPr>
          <w:rFonts w:hint="eastAsia" w:ascii="黑体" w:hAnsi="宋体" w:eastAsia="黑体"/>
          <w:color w:val="auto"/>
        </w:rPr>
        <w:t>29．评审委员会组成</w:t>
      </w:r>
    </w:p>
    <w:p w14:paraId="1D5F29A8">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评审委员采购人将组建评标委员会。评标委员会负责对投标文件进行评审和比较，并向采购人推荐中标候选人。</w:t>
      </w:r>
      <w:bookmarkStart w:id="33"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33"/>
    </w:p>
    <w:p w14:paraId="1594A8E3">
      <w:pPr>
        <w:ind w:firstLine="470" w:firstLineChars="196"/>
        <w:rPr>
          <w:rFonts w:ascii="宋体" w:hAnsi="宋体" w:eastAsia="宋体"/>
        </w:rPr>
      </w:pPr>
      <w:r>
        <w:rPr>
          <w:rFonts w:hint="eastAsia" w:ascii="宋体" w:hAnsi="宋体" w:eastAsia="宋体"/>
        </w:rPr>
        <w:t>29.2评审定标应当遵循公平、公正、科学、择优的原则。</w:t>
      </w:r>
    </w:p>
    <w:p w14:paraId="626EB473">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14:paraId="459A6DEB">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14:paraId="22809909">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14:paraId="16DF88E1">
      <w:pPr>
        <w:rPr>
          <w:rFonts w:ascii="黑体" w:hAnsi="宋体" w:eastAsia="黑体"/>
        </w:rPr>
      </w:pPr>
      <w:r>
        <w:rPr>
          <w:rFonts w:hint="eastAsia" w:ascii="黑体" w:hAnsi="宋体" w:eastAsia="黑体"/>
        </w:rPr>
        <w:t>30．向评审委员会提供的资料</w:t>
      </w:r>
    </w:p>
    <w:p w14:paraId="2EB48454">
      <w:pPr>
        <w:ind w:firstLine="470" w:firstLineChars="196"/>
        <w:rPr>
          <w:rFonts w:ascii="宋体" w:hAnsi="宋体" w:eastAsia="宋体"/>
        </w:rPr>
      </w:pPr>
      <w:r>
        <w:rPr>
          <w:rFonts w:hint="eastAsia" w:ascii="宋体" w:hAnsi="宋体" w:eastAsia="宋体"/>
        </w:rPr>
        <w:t>30.1公开发布的招标文件，包括图纸、服务清单、答疑文件等；</w:t>
      </w:r>
    </w:p>
    <w:p w14:paraId="5607703E">
      <w:pPr>
        <w:ind w:firstLine="470" w:firstLineChars="196"/>
        <w:rPr>
          <w:rFonts w:ascii="宋体" w:hAnsi="宋体" w:eastAsia="宋体"/>
        </w:rPr>
      </w:pPr>
      <w:r>
        <w:rPr>
          <w:rFonts w:hint="eastAsia" w:ascii="宋体" w:hAnsi="宋体" w:eastAsia="宋体"/>
        </w:rPr>
        <w:t>30.2其他评标必须的资料。</w:t>
      </w:r>
    </w:p>
    <w:p w14:paraId="2853FE42">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14:paraId="278F7E38">
      <w:pPr>
        <w:ind w:firstLine="470" w:firstLineChars="196"/>
        <w:rPr>
          <w:rFonts w:ascii="宋体" w:hAnsi="宋体" w:eastAsia="宋体"/>
        </w:rPr>
      </w:pPr>
      <w:r>
        <w:rPr>
          <w:rFonts w:hint="eastAsia" w:ascii="宋体" w:hAnsi="宋体" w:eastAsia="宋体"/>
        </w:rPr>
        <w:t>（1）招标的目的；</w:t>
      </w:r>
    </w:p>
    <w:p w14:paraId="25BF9078">
      <w:pPr>
        <w:ind w:firstLine="470" w:firstLineChars="196"/>
        <w:rPr>
          <w:rFonts w:ascii="宋体" w:hAnsi="宋体" w:eastAsia="宋体"/>
        </w:rPr>
      </w:pPr>
      <w:r>
        <w:rPr>
          <w:rFonts w:hint="eastAsia" w:ascii="宋体" w:hAnsi="宋体" w:eastAsia="宋体"/>
        </w:rPr>
        <w:t>（2）招标项目需求的范围和性质；</w:t>
      </w:r>
    </w:p>
    <w:p w14:paraId="4415F75E">
      <w:pPr>
        <w:ind w:firstLine="470" w:firstLineChars="196"/>
        <w:rPr>
          <w:rFonts w:ascii="宋体" w:hAnsi="宋体" w:eastAsia="宋体"/>
        </w:rPr>
      </w:pPr>
      <w:r>
        <w:rPr>
          <w:rFonts w:hint="eastAsia" w:ascii="宋体" w:hAnsi="宋体" w:eastAsia="宋体"/>
        </w:rPr>
        <w:t>（3）招标文件规定的投标人的资格、财政预算限额、商务条款；</w:t>
      </w:r>
    </w:p>
    <w:p w14:paraId="31FAE981">
      <w:pPr>
        <w:ind w:firstLine="470" w:firstLineChars="196"/>
        <w:rPr>
          <w:rFonts w:ascii="宋体" w:hAnsi="宋体" w:eastAsia="宋体"/>
        </w:rPr>
      </w:pPr>
      <w:r>
        <w:rPr>
          <w:rFonts w:hint="eastAsia" w:ascii="宋体" w:hAnsi="宋体" w:eastAsia="宋体"/>
        </w:rPr>
        <w:t>（4）招标文件规定的评标程序、评标方法和评标因素；</w:t>
      </w:r>
    </w:p>
    <w:p w14:paraId="1A15EB81">
      <w:pPr>
        <w:ind w:firstLine="470" w:firstLineChars="196"/>
        <w:rPr>
          <w:rFonts w:ascii="宋体" w:hAnsi="宋体" w:eastAsia="宋体"/>
        </w:rPr>
      </w:pPr>
      <w:r>
        <w:rPr>
          <w:rFonts w:hint="eastAsia" w:ascii="宋体" w:hAnsi="宋体" w:eastAsia="宋体"/>
        </w:rPr>
        <w:t>（5）招标文件所列示的资格性审查表及符合性审查表。</w:t>
      </w:r>
    </w:p>
    <w:p w14:paraId="6647F25B">
      <w:pPr>
        <w:rPr>
          <w:rFonts w:ascii="黑体" w:hAnsi="宋体" w:eastAsia="黑体"/>
        </w:rPr>
      </w:pPr>
      <w:r>
        <w:rPr>
          <w:rFonts w:hint="eastAsia" w:ascii="黑体" w:hAnsi="宋体" w:eastAsia="黑体"/>
        </w:rPr>
        <w:t>31．独立评审</w:t>
      </w:r>
    </w:p>
    <w:p w14:paraId="27C4EF6A">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14:paraId="1A88B4D8">
      <w:pPr>
        <w:keepNext/>
        <w:keepLines/>
        <w:numPr>
          <w:ilvl w:val="0"/>
          <w:numId w:val="10"/>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评审程序及评审方法</w:t>
      </w:r>
    </w:p>
    <w:p w14:paraId="54E4905D">
      <w:pPr>
        <w:rPr>
          <w:rFonts w:ascii="黑体" w:hAnsi="宋体" w:eastAsia="黑体"/>
        </w:rPr>
      </w:pPr>
      <w:r>
        <w:rPr>
          <w:rFonts w:hint="eastAsia" w:ascii="黑体" w:hAnsi="宋体" w:eastAsia="黑体"/>
        </w:rPr>
        <w:t>32．投标文件初审</w:t>
      </w:r>
    </w:p>
    <w:p w14:paraId="5B686FEF">
      <w:pPr>
        <w:ind w:firstLine="470" w:firstLineChars="196"/>
        <w:rPr>
          <w:rFonts w:ascii="宋体" w:hAnsi="宋体" w:eastAsia="宋体"/>
        </w:rPr>
      </w:pPr>
      <w:r>
        <w:rPr>
          <w:rFonts w:hint="eastAsia" w:ascii="宋体" w:hAnsi="宋体" w:eastAsia="宋体"/>
        </w:rPr>
        <w:t>32.1投标文件初审包括资格性审查和符合性审查。</w:t>
      </w:r>
    </w:p>
    <w:p w14:paraId="1AF25C48">
      <w:pPr>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14:paraId="04929C0D">
      <w:pPr>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14:paraId="0FE26F20">
      <w:pPr>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14:paraId="2AEBC4F7">
      <w:pPr>
        <w:ind w:firstLine="470" w:firstLineChars="196"/>
        <w:rPr>
          <w:rFonts w:ascii="宋体" w:hAnsi="宋体" w:eastAsia="宋体"/>
          <w:bCs/>
        </w:rPr>
      </w:pPr>
      <w:r>
        <w:rPr>
          <w:rFonts w:hint="eastAsia" w:ascii="宋体" w:hAnsi="宋体" w:eastAsia="宋体"/>
          <w:bCs/>
        </w:rPr>
        <w:t>32.3 投标文件初审中关于供应商家数的计算:</w:t>
      </w:r>
    </w:p>
    <w:p w14:paraId="7A824819">
      <w:pPr>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A32EE7C">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14:paraId="4342A5FB">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14:paraId="66DFFAFA">
      <w:pPr>
        <w:ind w:firstLine="470" w:firstLineChars="196"/>
        <w:rPr>
          <w:rFonts w:ascii="宋体" w:hAnsi="宋体" w:eastAsia="宋体"/>
        </w:rPr>
      </w:pPr>
      <w:r>
        <w:rPr>
          <w:rFonts w:hint="eastAsia" w:ascii="宋体" w:hAnsi="宋体" w:eastAsia="宋体"/>
        </w:rPr>
        <w:t>32.4投标人投标文件作无效处理的情形，具体包括但不限于以下：</w:t>
      </w:r>
    </w:p>
    <w:p w14:paraId="2743D2FF">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14:paraId="3C132080">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14:paraId="310334D9">
      <w:pPr>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14:paraId="27C2E64F">
      <w:pPr>
        <w:ind w:firstLine="470" w:firstLineChars="196"/>
        <w:rPr>
          <w:rFonts w:ascii="宋体" w:hAnsi="宋体" w:eastAsia="宋体"/>
        </w:rPr>
      </w:pPr>
      <w:r>
        <w:rPr>
          <w:rFonts w:hint="eastAsia" w:ascii="宋体" w:hAnsi="宋体" w:eastAsia="宋体"/>
        </w:rPr>
        <w:t>32.4.4不同投标人的投标文件异常一致或者投标报价呈规律性差异；</w:t>
      </w:r>
    </w:p>
    <w:p w14:paraId="4AE21AAE">
      <w:pPr>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14:paraId="1A88C922">
      <w:pPr>
        <w:ind w:firstLine="470" w:firstLineChars="196"/>
        <w:rPr>
          <w:rFonts w:ascii="宋体" w:hAnsi="宋体" w:eastAsia="宋体"/>
        </w:rPr>
      </w:pPr>
      <w:r>
        <w:rPr>
          <w:rFonts w:hint="eastAsia" w:ascii="宋体" w:hAnsi="宋体" w:eastAsia="宋体"/>
        </w:rPr>
        <w:t>32.4.6投标供应商之间相互约定给予未中标的供应商利益补偿；</w:t>
      </w:r>
    </w:p>
    <w:p w14:paraId="017DE266">
      <w:pPr>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14:paraId="7F6F7C2A">
      <w:pPr>
        <w:ind w:firstLine="470" w:firstLineChars="196"/>
        <w:rPr>
          <w:rFonts w:ascii="宋体" w:hAnsi="宋体" w:eastAsia="宋体"/>
        </w:rPr>
      </w:pPr>
      <w:r>
        <w:rPr>
          <w:rFonts w:hint="eastAsia" w:ascii="宋体" w:hAnsi="宋体" w:eastAsia="宋体"/>
        </w:rPr>
        <w:t>32.4.8不同投标供应商的投标文件内容存在非正常一致；</w:t>
      </w:r>
    </w:p>
    <w:p w14:paraId="4C405972">
      <w:pPr>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14:paraId="382A8447">
      <w:pPr>
        <w:ind w:firstLine="470" w:firstLineChars="196"/>
        <w:rPr>
          <w:rFonts w:ascii="宋体" w:hAnsi="宋体" w:eastAsia="宋体"/>
        </w:rPr>
      </w:pPr>
      <w:r>
        <w:rPr>
          <w:rFonts w:hint="eastAsia" w:ascii="宋体" w:hAnsi="宋体" w:eastAsia="宋体"/>
        </w:rPr>
        <w:t>32.4.10主管部门依照法律、法规认定的其他情形。</w:t>
      </w:r>
    </w:p>
    <w:p w14:paraId="370C1340">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14:paraId="025B011E">
      <w:pPr>
        <w:rPr>
          <w:rFonts w:ascii="黑体" w:hAnsi="宋体" w:eastAsia="黑体"/>
        </w:rPr>
      </w:pPr>
      <w:r>
        <w:rPr>
          <w:rFonts w:hint="eastAsia" w:ascii="黑体" w:hAnsi="宋体" w:eastAsia="黑体"/>
        </w:rPr>
        <w:t>33．澄清有关问题</w:t>
      </w:r>
    </w:p>
    <w:p w14:paraId="0E0D2758">
      <w:pPr>
        <w:ind w:firstLine="470" w:firstLineChars="196"/>
        <w:rPr>
          <w:rFonts w:ascii="宋体" w:hAnsi="宋体" w:eastAsia="宋体"/>
        </w:rPr>
      </w:pPr>
      <w:bookmarkStart w:id="34"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34"/>
    </w:p>
    <w:p w14:paraId="428810E8">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14:paraId="1C118225">
      <w:pPr>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14:paraId="64409DBC">
      <w:pPr>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3FCEE95B">
      <w:pPr>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14:paraId="0A22209E">
      <w:pPr>
        <w:rPr>
          <w:rFonts w:ascii="黑体" w:hAnsi="宋体" w:eastAsia="黑体"/>
        </w:rPr>
      </w:pPr>
      <w:bookmarkStart w:id="35" w:name="_Toc73517673"/>
      <w:bookmarkStart w:id="36" w:name="_Toc73518151"/>
      <w:bookmarkStart w:id="37" w:name="_Toc73521669"/>
      <w:bookmarkStart w:id="38" w:name="_Toc100052400"/>
      <w:bookmarkStart w:id="39" w:name="_Toc73521581"/>
      <w:r>
        <w:rPr>
          <w:rFonts w:hint="eastAsia" w:ascii="黑体" w:hAnsi="宋体" w:eastAsia="黑体"/>
        </w:rPr>
        <w:t>34．错误的修正</w:t>
      </w:r>
      <w:bookmarkEnd w:id="35"/>
      <w:bookmarkEnd w:id="36"/>
      <w:bookmarkEnd w:id="37"/>
      <w:bookmarkEnd w:id="38"/>
      <w:bookmarkEnd w:id="39"/>
    </w:p>
    <w:p w14:paraId="37C4DF2F">
      <w:pPr>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14:paraId="612D0790">
      <w:pPr>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14:paraId="1B16A324">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14:paraId="26F7D415">
      <w:pPr>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14:paraId="7443E1EF">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14:paraId="1143F9F2">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14:paraId="611F0AB5">
      <w:pPr>
        <w:rPr>
          <w:rFonts w:ascii="黑体" w:hAnsi="宋体" w:eastAsia="黑体"/>
        </w:rPr>
      </w:pPr>
      <w:r>
        <w:rPr>
          <w:rFonts w:hint="eastAsia" w:ascii="黑体" w:hAnsi="宋体" w:eastAsia="黑体"/>
        </w:rPr>
        <w:t>35．投标文件的比较与评价</w:t>
      </w:r>
    </w:p>
    <w:p w14:paraId="2B6C611F">
      <w:pPr>
        <w:ind w:firstLine="470" w:firstLineChars="196"/>
        <w:rPr>
          <w:rFonts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14:paraId="6E6FBA68">
      <w:pPr>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14:paraId="587E8E74">
      <w:pPr>
        <w:rPr>
          <w:rFonts w:ascii="黑体" w:hAnsi="宋体" w:eastAsia="黑体"/>
        </w:rPr>
      </w:pPr>
      <w:r>
        <w:rPr>
          <w:rFonts w:hint="eastAsia" w:ascii="黑体" w:hAnsi="宋体" w:eastAsia="黑体"/>
        </w:rPr>
        <w:t>36. 实地考察或资料查验</w:t>
      </w:r>
    </w:p>
    <w:p w14:paraId="298463BB">
      <w:pPr>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14:paraId="5CBEF536">
      <w:pPr>
        <w:rPr>
          <w:rFonts w:ascii="黑体" w:hAnsi="宋体" w:eastAsia="黑体"/>
        </w:rPr>
      </w:pPr>
      <w:r>
        <w:rPr>
          <w:rFonts w:hint="eastAsia" w:ascii="黑体" w:hAnsi="宋体" w:eastAsia="黑体"/>
        </w:rPr>
        <w:t>37．评审方法</w:t>
      </w:r>
    </w:p>
    <w:p w14:paraId="2AA3C76D">
      <w:pPr>
        <w:ind w:firstLine="472" w:firstLineChars="196"/>
        <w:rPr>
          <w:rFonts w:ascii="宋体" w:hAnsi="宋体" w:eastAsia="宋体"/>
          <w:b/>
          <w:bCs/>
          <w:szCs w:val="21"/>
        </w:rPr>
      </w:pPr>
      <w:r>
        <w:rPr>
          <w:rFonts w:hint="eastAsia" w:ascii="宋体" w:hAnsi="宋体" w:eastAsia="宋体"/>
          <w:b/>
          <w:bCs/>
          <w:szCs w:val="21"/>
        </w:rPr>
        <w:t>37.1.1最低价法</w:t>
      </w:r>
    </w:p>
    <w:p w14:paraId="3E415A3E">
      <w:pPr>
        <w:ind w:firstLine="470" w:firstLineChars="196"/>
        <w:rPr>
          <w:rFonts w:ascii="ˎ̥" w:hAnsi="ˎ̥" w:eastAsia="宋体"/>
        </w:rPr>
      </w:pPr>
      <w:bookmarkStart w:id="40"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14:paraId="08F9F389">
      <w:pPr>
        <w:ind w:firstLine="472" w:firstLineChars="196"/>
        <w:rPr>
          <w:rFonts w:ascii="宋体" w:hAnsi="宋体" w:eastAsia="宋体"/>
          <w:b/>
          <w:bCs/>
          <w:szCs w:val="21"/>
        </w:rPr>
      </w:pPr>
      <w:r>
        <w:rPr>
          <w:rFonts w:hint="eastAsia" w:ascii="宋体" w:hAnsi="宋体" w:eastAsia="宋体"/>
          <w:b/>
          <w:bCs/>
          <w:szCs w:val="21"/>
        </w:rPr>
        <w:t>37.1.2综合评分法</w:t>
      </w:r>
    </w:p>
    <w:p w14:paraId="38861926">
      <w:pPr>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40"/>
    </w:p>
    <w:p w14:paraId="164EE6C9">
      <w:pPr>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14:paraId="68F14F31">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14:paraId="472352FB">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14:paraId="17A92C2D">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14:paraId="1C190768">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14:paraId="38D7D7E1">
      <w:pPr>
        <w:ind w:firstLine="470" w:firstLineChars="196"/>
        <w:rPr>
          <w:rFonts w:ascii="宋体" w:hAnsi="宋体" w:eastAsia="宋体" w:cs="宋体"/>
          <w:color w:val="FF0000"/>
          <w:szCs w:val="21"/>
        </w:rPr>
      </w:pPr>
      <w:r>
        <w:rPr>
          <w:rFonts w:hint="eastAsia" w:ascii="宋体" w:hAnsi="宋体" w:eastAsia="宋体" w:cs="宋体"/>
          <w:color w:val="FF0000"/>
          <w:szCs w:val="21"/>
        </w:rPr>
        <w:t>37.3.3评审委员会成员对客观评审因素评分不一致的；</w:t>
      </w:r>
    </w:p>
    <w:p w14:paraId="5F5A5227">
      <w:pPr>
        <w:ind w:firstLine="470" w:firstLineChars="196"/>
        <w:rPr>
          <w:rFonts w:ascii="宋体" w:hAnsi="宋体" w:eastAsia="宋体" w:cs="宋体"/>
          <w:color w:val="FF0000"/>
          <w:szCs w:val="21"/>
        </w:rPr>
      </w:pPr>
      <w:r>
        <w:rPr>
          <w:rFonts w:hint="eastAsia" w:ascii="宋体" w:hAnsi="宋体" w:eastAsia="宋体" w:cs="宋体"/>
          <w:color w:val="FF0000"/>
          <w:szCs w:val="21"/>
        </w:rPr>
        <w:t>37.3.4经评审委员会认定评分畸高、畸低的。</w:t>
      </w:r>
    </w:p>
    <w:p w14:paraId="688D08F2">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51D5D82E">
      <w:pPr>
        <w:ind w:firstLine="470" w:firstLineChars="196"/>
        <w:rPr>
          <w:rFonts w:ascii="宋体" w:hAnsi="宋体" w:eastAsia="宋体" w:cs="宋体"/>
          <w:color w:val="FF0000"/>
          <w:szCs w:val="21"/>
        </w:rPr>
      </w:pPr>
      <w:r>
        <w:rPr>
          <w:rFonts w:hint="eastAsia" w:ascii="宋体" w:hAnsi="宋体" w:eastAsia="宋体" w:cs="宋体"/>
          <w:color w:val="FF0000"/>
          <w:szCs w:val="21"/>
        </w:rPr>
        <w:t>投标人对本条第一款情形提出质疑的，采购人或者采购代理机构可以组织原评审委员会进行重新评审，重新评审改变评审结果的，应当书面报告本级财政部门。</w:t>
      </w:r>
    </w:p>
    <w:p w14:paraId="00269C4F">
      <w:pPr>
        <w:ind w:firstLine="472" w:firstLineChars="196"/>
        <w:rPr>
          <w:rFonts w:ascii="宋体" w:hAnsi="宋体" w:eastAsia="宋体"/>
          <w:b/>
          <w:bCs/>
          <w:color w:val="FF0000"/>
          <w:szCs w:val="21"/>
        </w:rPr>
      </w:pPr>
      <w:r>
        <w:rPr>
          <w:rFonts w:hint="eastAsia" w:ascii="宋体" w:hAnsi="宋体" w:eastAsia="宋体"/>
          <w:b/>
          <w:bCs/>
          <w:color w:val="FF0000"/>
          <w:szCs w:val="21"/>
        </w:rPr>
        <w:t xml:space="preserve"> 37.4重新组建评审委员会的情形</w:t>
      </w:r>
    </w:p>
    <w:p w14:paraId="2554CED2">
      <w:pPr>
        <w:ind w:firstLine="470" w:firstLineChars="196"/>
        <w:rPr>
          <w:rFonts w:ascii="宋体" w:hAnsi="宋体" w:eastAsia="宋体" w:cs="宋体"/>
          <w:color w:val="FF0000"/>
          <w:szCs w:val="21"/>
        </w:rPr>
      </w:pPr>
      <w:r>
        <w:rPr>
          <w:rFonts w:hint="eastAsia" w:ascii="宋体" w:hAnsi="宋体" w:eastAsia="宋体" w:cs="宋体"/>
          <w:color w:val="FF0000"/>
          <w:szCs w:val="21"/>
        </w:rPr>
        <w:t>评审委员会或者其成员存在下列情形导致评审结果无效的，重新组建评审委员会进行评标，并书面报告本级财政部门：</w:t>
      </w:r>
    </w:p>
    <w:p w14:paraId="4F6263B5">
      <w:pPr>
        <w:ind w:firstLine="470" w:firstLineChars="196"/>
        <w:rPr>
          <w:rFonts w:ascii="宋体" w:hAnsi="宋体" w:eastAsia="宋体" w:cs="宋体"/>
          <w:color w:val="FF0000"/>
          <w:szCs w:val="21"/>
        </w:rPr>
      </w:pPr>
      <w:r>
        <w:rPr>
          <w:rFonts w:hint="eastAsia" w:ascii="宋体" w:hAnsi="宋体" w:eastAsia="宋体" w:cs="宋体"/>
          <w:color w:val="FF0000"/>
          <w:szCs w:val="21"/>
        </w:rPr>
        <w:t>37.4.1评审委员会组成不符合《政府采购货物和服务招标投标管理办法》规定的；</w:t>
      </w:r>
    </w:p>
    <w:p w14:paraId="44462603">
      <w:pPr>
        <w:ind w:firstLine="470" w:firstLineChars="196"/>
        <w:rPr>
          <w:rFonts w:ascii="宋体" w:hAnsi="宋体" w:eastAsia="宋体" w:cs="宋体"/>
          <w:color w:val="FF0000"/>
          <w:szCs w:val="21"/>
        </w:rPr>
      </w:pPr>
      <w:r>
        <w:rPr>
          <w:rFonts w:hint="eastAsia" w:ascii="宋体" w:hAnsi="宋体" w:eastAsia="宋体" w:cs="宋体"/>
          <w:color w:val="FF0000"/>
          <w:szCs w:val="21"/>
        </w:rPr>
        <w:t>37.4.2有《政府采购货物和服务招标投标管理办法》第六十二条第一至五项情形的；</w:t>
      </w:r>
    </w:p>
    <w:p w14:paraId="73EBEFB6">
      <w:pPr>
        <w:ind w:firstLine="470" w:firstLineChars="196"/>
        <w:rPr>
          <w:rFonts w:ascii="宋体" w:hAnsi="宋体" w:eastAsia="宋体" w:cs="宋体"/>
          <w:color w:val="FF0000"/>
          <w:szCs w:val="21"/>
        </w:rPr>
      </w:pPr>
      <w:r>
        <w:rPr>
          <w:rFonts w:hint="eastAsia" w:ascii="宋体" w:hAnsi="宋体" w:eastAsia="宋体" w:cs="宋体"/>
          <w:color w:val="FF0000"/>
          <w:szCs w:val="21"/>
        </w:rPr>
        <w:t>37.4.3评审委员会及其成员独立评标受到非法干预的；</w:t>
      </w:r>
    </w:p>
    <w:p w14:paraId="0E4D540B">
      <w:pPr>
        <w:ind w:firstLine="470" w:firstLineChars="196"/>
        <w:rPr>
          <w:rFonts w:ascii="宋体" w:hAnsi="宋体" w:eastAsia="宋体" w:cs="宋体"/>
          <w:color w:val="FF0000"/>
          <w:szCs w:val="21"/>
        </w:rPr>
      </w:pPr>
      <w:r>
        <w:rPr>
          <w:rFonts w:hint="eastAsia" w:ascii="宋体" w:hAnsi="宋体" w:eastAsia="宋体" w:cs="宋体"/>
          <w:color w:val="FF0000"/>
          <w:szCs w:val="21"/>
        </w:rPr>
        <w:t>37.4.4有政府采购法实施条例第七十五条规定的违法行为的。</w:t>
      </w:r>
    </w:p>
    <w:p w14:paraId="0E81F8F0">
      <w:pPr>
        <w:ind w:firstLine="470" w:firstLineChars="196"/>
        <w:rPr>
          <w:rFonts w:ascii="宋体" w:hAnsi="宋体" w:eastAsia="宋体" w:cs="宋体"/>
          <w:szCs w:val="21"/>
        </w:rPr>
      </w:pPr>
      <w:r>
        <w:rPr>
          <w:rFonts w:hint="eastAsia" w:ascii="宋体" w:hAnsi="宋体" w:eastAsia="宋体" w:cs="宋体"/>
          <w:color w:val="FF0000"/>
          <w:szCs w:val="21"/>
        </w:rPr>
        <w:t>有违法违规行为的原评审委员会成员不得参加重新组建的评审委员会。</w:t>
      </w:r>
    </w:p>
    <w:p w14:paraId="5E3ECFE6">
      <w:pPr>
        <w:keepNext/>
        <w:keepLines/>
        <w:numPr>
          <w:ilvl w:val="0"/>
          <w:numId w:val="10"/>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定标及公示</w:t>
      </w:r>
    </w:p>
    <w:p w14:paraId="760A8BEE">
      <w:pPr>
        <w:rPr>
          <w:rFonts w:ascii="宋体" w:hAnsi="宋体" w:eastAsia="宋体"/>
          <w:szCs w:val="21"/>
        </w:rPr>
      </w:pPr>
      <w:r>
        <w:rPr>
          <w:rFonts w:hint="eastAsia" w:ascii="黑体" w:hAnsi="宋体" w:eastAsia="黑体"/>
        </w:rPr>
        <w:t>38．</w:t>
      </w:r>
      <w:bookmarkStart w:id="41" w:name="_Hlk73782795"/>
      <w:r>
        <w:rPr>
          <w:rFonts w:hint="eastAsia" w:ascii="黑体" w:hAnsi="宋体" w:eastAsia="黑体"/>
        </w:rPr>
        <w:t>中标候选人的确定原则及标准</w:t>
      </w:r>
    </w:p>
    <w:p w14:paraId="71617650">
      <w:pPr>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w:t>
      </w:r>
      <w:r>
        <w:rPr>
          <w:rFonts w:hint="eastAsia" w:ascii="宋体" w:hAnsi="宋体" w:eastAsia="宋体"/>
          <w:szCs w:val="21"/>
          <w:lang w:eastAsia="zh-CN"/>
        </w:rPr>
        <w:t>采购人</w:t>
      </w:r>
      <w:r>
        <w:rPr>
          <w:rFonts w:hint="eastAsia" w:ascii="宋体" w:hAnsi="宋体" w:eastAsia="宋体"/>
          <w:szCs w:val="21"/>
        </w:rPr>
        <w:t>提交书面评审报告，并根据评审方法比较评价结果从优到劣进行排序，确定候选中标供应商。</w:t>
      </w:r>
    </w:p>
    <w:p w14:paraId="141371B1">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42"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42"/>
      <w:r>
        <w:rPr>
          <w:rFonts w:ascii="ˎ̥" w:hAnsi="ˎ̥" w:eastAsia="宋体"/>
        </w:rPr>
        <w:t>）。</w:t>
      </w:r>
    </w:p>
    <w:p w14:paraId="0E3540B7">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41"/>
    <w:p w14:paraId="04F57C38">
      <w:pPr>
        <w:rPr>
          <w:rFonts w:ascii="黑体" w:hAnsi="宋体" w:eastAsia="黑体"/>
        </w:rPr>
      </w:pPr>
      <w:r>
        <w:rPr>
          <w:rFonts w:hint="eastAsia" w:ascii="黑体" w:hAnsi="宋体" w:eastAsia="黑体"/>
        </w:rPr>
        <w:t>39．编写评审报告</w:t>
      </w:r>
    </w:p>
    <w:p w14:paraId="6176F104">
      <w:pPr>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2B7150F8">
      <w:pPr>
        <w:rPr>
          <w:rFonts w:ascii="黑体" w:hAnsi="宋体" w:eastAsia="黑体"/>
        </w:rPr>
      </w:pPr>
      <w:r>
        <w:rPr>
          <w:rFonts w:hint="eastAsia" w:ascii="黑体" w:hAnsi="宋体" w:eastAsia="黑体"/>
        </w:rPr>
        <w:t>40．中标公告</w:t>
      </w:r>
    </w:p>
    <w:p w14:paraId="64BE03FA">
      <w:pPr>
        <w:ind w:firstLine="470" w:firstLineChars="196"/>
        <w:rPr>
          <w:rFonts w:ascii="宋体" w:hAnsi="宋体" w:eastAsia="宋体"/>
          <w:szCs w:val="21"/>
        </w:rPr>
      </w:pPr>
      <w:r>
        <w:rPr>
          <w:rFonts w:hint="eastAsia" w:ascii="宋体" w:hAnsi="宋体" w:eastAsia="宋体"/>
          <w:szCs w:val="21"/>
        </w:rPr>
        <w:t>40.1</w:t>
      </w:r>
      <w:bookmarkStart w:id="43"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w:t>
      </w:r>
      <w:r>
        <w:rPr>
          <w:rFonts w:hint="eastAsia" w:ascii="宋体" w:hAnsi="宋体" w:eastAsia="宋体"/>
          <w:szCs w:val="21"/>
        </w:rPr>
        <w:t>政府集中采购机构将在</w:t>
      </w:r>
      <w:r>
        <w:rPr>
          <w:rFonts w:hint="eastAsia" w:ascii="宋体" w:hAnsi="宋体" w:eastAsia="宋体"/>
          <w:szCs w:val="21"/>
          <w:lang w:eastAsia="zh-CN"/>
        </w:rPr>
        <w:t>新疆政府采购网</w:t>
      </w:r>
      <w:r>
        <w:rPr>
          <w:rFonts w:hint="eastAsia" w:ascii="宋体" w:hAnsi="宋体" w:eastAsia="宋体"/>
          <w:szCs w:val="21"/>
        </w:rPr>
        <w:t>网站上发布中标结果公告。</w:t>
      </w:r>
      <w:bookmarkEnd w:id="43"/>
      <w:bookmarkStart w:id="44"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44"/>
    </w:p>
    <w:p w14:paraId="4AC36E39">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14:paraId="638B08DB">
      <w:pPr>
        <w:rPr>
          <w:rFonts w:ascii="黑体" w:hAnsi="宋体" w:eastAsia="黑体"/>
        </w:rPr>
      </w:pPr>
      <w:r>
        <w:rPr>
          <w:rFonts w:hint="eastAsia" w:ascii="黑体" w:hAnsi="宋体" w:eastAsia="黑体"/>
        </w:rPr>
        <w:t>41．中标通知书</w:t>
      </w:r>
    </w:p>
    <w:p w14:paraId="48E8B3B3">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1在投标有效期内，中标人确定后，采购人或者政府集中采购机构发布中标公告，同时以书面形式向中标人发出中标通知书。</w:t>
      </w:r>
    </w:p>
    <w:p w14:paraId="19E531D7">
      <w:pPr>
        <w:ind w:firstLine="470" w:firstLineChars="196"/>
        <w:rPr>
          <w:rFonts w:ascii="宋体" w:hAnsi="宋体" w:eastAsia="宋体"/>
          <w:szCs w:val="21"/>
        </w:rPr>
      </w:pPr>
      <w:r>
        <w:rPr>
          <w:rFonts w:hint="eastAsia" w:ascii="宋体" w:hAnsi="宋体" w:eastAsia="宋体"/>
          <w:szCs w:val="21"/>
        </w:rPr>
        <w:t>采用综合评分法评审的，还将告知未中标人本人的评审得分和排序。</w:t>
      </w:r>
    </w:p>
    <w:p w14:paraId="202B6D05">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14:paraId="4DD05B7F">
      <w:pPr>
        <w:ind w:firstLine="470" w:firstLineChars="196"/>
        <w:rPr>
          <w:rFonts w:ascii="宋体" w:hAnsi="宋体" w:eastAsia="宋体"/>
          <w:szCs w:val="21"/>
        </w:rPr>
      </w:pPr>
      <w:bookmarkStart w:id="45"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w:t>
      </w:r>
      <w:r>
        <w:rPr>
          <w:rFonts w:hint="eastAsia" w:ascii="宋体" w:hAnsi="宋体" w:eastAsia="宋体"/>
          <w:szCs w:val="21"/>
        </w:rPr>
        <w:t>政府集中采购机构有权吊销中标通知书。</w:t>
      </w:r>
      <w:bookmarkEnd w:id="45"/>
    </w:p>
    <w:p w14:paraId="6652147F">
      <w:pPr>
        <w:keepNext/>
        <w:keepLines/>
        <w:numPr>
          <w:ilvl w:val="0"/>
          <w:numId w:val="10"/>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公开招标失败的后续处理</w:t>
      </w:r>
    </w:p>
    <w:p w14:paraId="24E2AA6C">
      <w:pPr>
        <w:rPr>
          <w:rFonts w:ascii="黑体" w:hAnsi="宋体" w:eastAsia="黑体"/>
        </w:rPr>
      </w:pPr>
      <w:r>
        <w:rPr>
          <w:rFonts w:hint="eastAsia" w:ascii="黑体" w:hAnsi="宋体" w:eastAsia="黑体"/>
        </w:rPr>
        <w:t>42．公开招标失败的处理</w:t>
      </w:r>
    </w:p>
    <w:p w14:paraId="75FAD1CD">
      <w:pPr>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lang w:eastAsia="zh-CN"/>
        </w:rPr>
        <w:t>采购人或</w:t>
      </w:r>
      <w:r>
        <w:rPr>
          <w:rFonts w:hint="eastAsia" w:ascii="宋体" w:hAnsi="宋体" w:eastAsia="宋体" w:cs="宋体"/>
        </w:rPr>
        <w:t>政府集中采购机构</w:t>
      </w:r>
      <w:r>
        <w:rPr>
          <w:rFonts w:hint="eastAsia" w:ascii="宋体" w:hAnsi="宋体" w:eastAsia="宋体"/>
        </w:rPr>
        <w:t>重新组织采购。</w:t>
      </w:r>
    </w:p>
    <w:p w14:paraId="19B268D6">
      <w:pPr>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14:paraId="2CA786A6">
      <w:pPr>
        <w:ind w:firstLine="470" w:firstLineChars="196"/>
        <w:rPr>
          <w:rFonts w:ascii="宋体" w:hAnsi="宋体" w:eastAsia="宋体"/>
          <w:szCs w:val="21"/>
        </w:rPr>
      </w:pPr>
      <w:r>
        <w:rPr>
          <w:rFonts w:hint="eastAsia" w:ascii="宋体" w:hAnsi="宋体" w:eastAsia="宋体"/>
          <w:szCs w:val="21"/>
        </w:rPr>
        <w:t>42.3重新组织采购有以下两种组织形式：</w:t>
      </w:r>
    </w:p>
    <w:p w14:paraId="29912C28">
      <w:pPr>
        <w:ind w:firstLine="470" w:firstLineChars="196"/>
        <w:rPr>
          <w:rFonts w:ascii="宋体" w:hAnsi="宋体" w:eastAsia="宋体"/>
        </w:rPr>
      </w:pPr>
      <w:r>
        <w:rPr>
          <w:rFonts w:hint="eastAsia" w:ascii="宋体" w:hAnsi="宋体" w:eastAsia="宋体"/>
        </w:rPr>
        <w:t>（1）由</w:t>
      </w:r>
      <w:r>
        <w:rPr>
          <w:rFonts w:hint="eastAsia" w:ascii="宋体" w:hAnsi="宋体" w:eastAsia="宋体"/>
          <w:lang w:eastAsia="zh-CN"/>
        </w:rPr>
        <w:t>采购人或</w:t>
      </w:r>
      <w:r>
        <w:rPr>
          <w:rFonts w:hint="eastAsia" w:ascii="宋体" w:hAnsi="宋体" w:eastAsia="宋体"/>
        </w:rPr>
        <w:t>政府集中采购机构重新组织公开招标；</w:t>
      </w:r>
    </w:p>
    <w:p w14:paraId="281DB6FF">
      <w:pPr>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14:paraId="5F301A03">
      <w:pPr>
        <w:ind w:firstLine="470" w:firstLineChars="196"/>
        <w:rPr>
          <w:rFonts w:ascii="宋体" w:hAnsi="宋体" w:eastAsia="宋体"/>
        </w:rPr>
      </w:pPr>
      <w:r>
        <w:rPr>
          <w:rFonts w:hint="eastAsia" w:ascii="宋体" w:hAnsi="宋体" w:eastAsia="宋体"/>
        </w:rPr>
        <w:t>42.4公开招标失败的采购项目重新组织公开招标，由</w:t>
      </w:r>
      <w:r>
        <w:rPr>
          <w:rFonts w:hint="eastAsia" w:ascii="宋体" w:hAnsi="宋体" w:eastAsia="宋体"/>
          <w:lang w:eastAsia="zh-CN"/>
        </w:rPr>
        <w:t>采购人或</w:t>
      </w:r>
      <w:r>
        <w:rPr>
          <w:rFonts w:hint="eastAsia" w:ascii="宋体" w:hAnsi="宋体" w:eastAsia="宋体"/>
        </w:rPr>
        <w:t>政府集中采购机构重新按公开招标流程组织采购活动。</w:t>
      </w:r>
    </w:p>
    <w:p w14:paraId="40B4B154">
      <w:pPr>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14:paraId="76D13E2E">
      <w:pPr>
        <w:keepNext/>
        <w:keepLines/>
        <w:numPr>
          <w:ilvl w:val="0"/>
          <w:numId w:val="10"/>
        </w:numPr>
        <w:adjustRightInd w:val="0"/>
        <w:spacing w:before="120" w:beforeLines="50" w:after="120" w:afterLines="50"/>
        <w:ind w:left="562" w:hanging="562"/>
        <w:jc w:val="center"/>
        <w:textAlignment w:val="baseline"/>
        <w:outlineLvl w:val="1"/>
        <w:rPr>
          <w:rFonts w:ascii="Cambria" w:hAnsi="Cambria" w:eastAsia="宋体"/>
          <w:b/>
          <w:bCs/>
          <w:sz w:val="28"/>
          <w:szCs w:val="28"/>
        </w:rPr>
      </w:pPr>
      <w:bookmarkStart w:id="46" w:name="_Hlk72439043"/>
      <w:r>
        <w:rPr>
          <w:rFonts w:hint="eastAsia" w:ascii="Cambria" w:hAnsi="Cambria" w:eastAsia="宋体"/>
          <w:b/>
          <w:bCs/>
          <w:sz w:val="28"/>
          <w:szCs w:val="28"/>
        </w:rPr>
        <w:t>合同的授予与备案</w:t>
      </w:r>
      <w:bookmarkEnd w:id="46"/>
    </w:p>
    <w:p w14:paraId="613726D5">
      <w:pPr>
        <w:rPr>
          <w:rFonts w:ascii="黑体" w:hAnsi="宋体" w:eastAsia="黑体"/>
        </w:rPr>
      </w:pPr>
      <w:bookmarkStart w:id="47" w:name="_Toc73517679"/>
      <w:bookmarkStart w:id="48" w:name="_Toc73521586"/>
      <w:bookmarkStart w:id="49" w:name="_Toc73521674"/>
      <w:bookmarkStart w:id="50" w:name="_Toc73518157"/>
      <w:bookmarkStart w:id="51" w:name="_Toc100052408"/>
      <w:bookmarkStart w:id="52" w:name="_Hlk72439088"/>
      <w:r>
        <w:rPr>
          <w:rFonts w:hint="eastAsia" w:ascii="黑体" w:hAnsi="宋体" w:eastAsia="黑体"/>
        </w:rPr>
        <w:t>43．合同授予标准</w:t>
      </w:r>
      <w:bookmarkEnd w:id="47"/>
      <w:bookmarkEnd w:id="48"/>
      <w:bookmarkEnd w:id="49"/>
      <w:bookmarkEnd w:id="50"/>
      <w:bookmarkEnd w:id="51"/>
    </w:p>
    <w:p w14:paraId="0B548B08">
      <w:pPr>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14:paraId="228E9B16">
      <w:pPr>
        <w:rPr>
          <w:rFonts w:ascii="黑体" w:hAnsi="宋体" w:eastAsia="黑体"/>
        </w:rPr>
      </w:pPr>
      <w:bookmarkStart w:id="53" w:name="_Toc73517680"/>
      <w:bookmarkStart w:id="54" w:name="_Toc100052409"/>
      <w:bookmarkStart w:id="55" w:name="_Toc73521587"/>
      <w:bookmarkStart w:id="56" w:name="_Toc73521675"/>
      <w:bookmarkStart w:id="57" w:name="_Toc73518158"/>
      <w:r>
        <w:rPr>
          <w:rFonts w:hint="eastAsia" w:ascii="黑体" w:hAnsi="宋体" w:eastAsia="黑体"/>
        </w:rPr>
        <w:t>44．</w:t>
      </w:r>
      <w:bookmarkEnd w:id="53"/>
      <w:bookmarkEnd w:id="54"/>
      <w:bookmarkEnd w:id="55"/>
      <w:bookmarkEnd w:id="56"/>
      <w:bookmarkEnd w:id="57"/>
      <w:r>
        <w:rPr>
          <w:rFonts w:hint="eastAsia" w:ascii="黑体" w:hAnsi="宋体" w:eastAsia="黑体"/>
        </w:rPr>
        <w:t>接受和拒绝任何或所有投标的权力</w:t>
      </w:r>
    </w:p>
    <w:p w14:paraId="7DCB2531">
      <w:pPr>
        <w:ind w:firstLine="470" w:firstLineChars="196"/>
        <w:rPr>
          <w:rFonts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0E1FC198">
      <w:pPr>
        <w:rPr>
          <w:rFonts w:ascii="黑体" w:hAnsi="宋体" w:eastAsia="黑体"/>
        </w:rPr>
      </w:pPr>
      <w:bookmarkStart w:id="58" w:name="_Toc73521677"/>
      <w:bookmarkStart w:id="59" w:name="_Toc100052410"/>
      <w:bookmarkStart w:id="60" w:name="_Toc73521589"/>
      <w:bookmarkStart w:id="61" w:name="_Toc73517682"/>
      <w:bookmarkStart w:id="62" w:name="_Toc73518160"/>
      <w:r>
        <w:rPr>
          <w:rFonts w:hint="eastAsia" w:ascii="黑体" w:hAnsi="宋体" w:eastAsia="黑体"/>
        </w:rPr>
        <w:t>45．合同的签订</w:t>
      </w:r>
      <w:bookmarkEnd w:id="58"/>
      <w:bookmarkEnd w:id="59"/>
      <w:bookmarkEnd w:id="60"/>
      <w:bookmarkEnd w:id="61"/>
      <w:bookmarkEnd w:id="62"/>
    </w:p>
    <w:p w14:paraId="5EEAB805">
      <w:pPr>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14:paraId="62BC34A6">
      <w:pPr>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14:paraId="424BA323">
      <w:pPr>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14:paraId="34E0518E">
      <w:pPr>
        <w:rPr>
          <w:rFonts w:ascii="黑体" w:hAnsi="宋体" w:eastAsia="黑体"/>
        </w:rPr>
      </w:pPr>
      <w:bookmarkStart w:id="63" w:name="_Toc73517683"/>
      <w:bookmarkStart w:id="64" w:name="_Toc73518161"/>
      <w:bookmarkStart w:id="65" w:name="_Toc73521590"/>
      <w:bookmarkStart w:id="66" w:name="_Toc73521678"/>
      <w:bookmarkStart w:id="67" w:name="_Toc100052411"/>
      <w:r>
        <w:rPr>
          <w:rFonts w:hint="eastAsia" w:ascii="黑体" w:hAnsi="宋体" w:eastAsia="黑体"/>
        </w:rPr>
        <w:t>46．履约担保</w:t>
      </w:r>
      <w:bookmarkEnd w:id="63"/>
      <w:bookmarkEnd w:id="64"/>
      <w:bookmarkEnd w:id="65"/>
      <w:bookmarkEnd w:id="66"/>
      <w:bookmarkEnd w:id="67"/>
    </w:p>
    <w:p w14:paraId="2D1AAE7F">
      <w:pPr>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14:paraId="3C9F04E8">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14:paraId="74AA1785">
      <w:pPr>
        <w:rPr>
          <w:rFonts w:ascii="黑体" w:hAnsi="宋体" w:eastAsia="黑体"/>
        </w:rPr>
      </w:pPr>
      <w:r>
        <w:rPr>
          <w:rFonts w:hint="eastAsia" w:ascii="黑体" w:hAnsi="宋体" w:eastAsia="黑体"/>
        </w:rPr>
        <w:t>47. 合同备案</w:t>
      </w:r>
    </w:p>
    <w:p w14:paraId="54500FF8">
      <w:pPr>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14:paraId="7C56CBD3">
      <w:pPr>
        <w:rPr>
          <w:rFonts w:ascii="黑体" w:hAnsi="宋体" w:eastAsia="黑体"/>
        </w:rPr>
      </w:pPr>
      <w:r>
        <w:rPr>
          <w:rFonts w:hint="eastAsia" w:ascii="黑体" w:hAnsi="宋体" w:eastAsia="黑体"/>
        </w:rPr>
        <w:t>48. 合同变更</w:t>
      </w:r>
    </w:p>
    <w:p w14:paraId="7AF0BAA1">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14:paraId="34BC5272">
      <w:pPr>
        <w:rPr>
          <w:rFonts w:ascii="黑体" w:hAnsi="宋体" w:eastAsia="黑体"/>
        </w:rPr>
      </w:pPr>
      <w:r>
        <w:rPr>
          <w:rFonts w:hint="eastAsia" w:ascii="黑体" w:hAnsi="宋体" w:eastAsia="黑体"/>
        </w:rPr>
        <w:t>49. 项目验收</w:t>
      </w:r>
    </w:p>
    <w:p w14:paraId="1D645BF9">
      <w:pPr>
        <w:ind w:right="176" w:firstLine="420"/>
        <w:rPr>
          <w:rFonts w:ascii="宋体" w:hAnsi="宋体" w:eastAsia="宋体"/>
        </w:rPr>
      </w:pPr>
      <w:r>
        <w:rPr>
          <w:rFonts w:hint="eastAsia" w:ascii="宋体" w:hAnsi="宋体" w:eastAsia="宋体"/>
        </w:rPr>
        <w:t>49.1采购人应当按照招标文件和合同规定的标准和方法，及时组织验收。</w:t>
      </w:r>
    </w:p>
    <w:p w14:paraId="4DB1974F">
      <w:pPr>
        <w:rPr>
          <w:rFonts w:ascii="黑体" w:hAnsi="宋体" w:eastAsia="黑体"/>
        </w:rPr>
      </w:pPr>
      <w:r>
        <w:rPr>
          <w:rFonts w:hint="eastAsia" w:ascii="黑体" w:hAnsi="宋体" w:eastAsia="黑体"/>
        </w:rPr>
        <w:t>50. 宣传</w:t>
      </w:r>
    </w:p>
    <w:p w14:paraId="128C2EF6">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14:paraId="38142042">
      <w:pPr>
        <w:ind w:left="240" w:leftChars="100" w:firstLine="470" w:firstLineChars="196"/>
        <w:rPr>
          <w:rFonts w:ascii="宋体" w:hAnsi="宋体" w:eastAsia="宋体"/>
        </w:rPr>
      </w:pPr>
      <w:r>
        <w:rPr>
          <w:rFonts w:ascii="宋体" w:hAnsi="宋体" w:eastAsia="宋体"/>
        </w:rPr>
        <w:t>a.名片、宣传册、广告标语等；</w:t>
      </w:r>
    </w:p>
    <w:p w14:paraId="42BF0264">
      <w:pPr>
        <w:ind w:left="240" w:leftChars="100" w:firstLine="470" w:firstLineChars="196"/>
        <w:rPr>
          <w:rFonts w:ascii="宋体" w:hAnsi="宋体" w:eastAsia="宋体"/>
        </w:rPr>
      </w:pPr>
      <w:r>
        <w:rPr>
          <w:rFonts w:ascii="宋体" w:hAnsi="宋体" w:eastAsia="宋体"/>
        </w:rPr>
        <w:t>b.案例介绍、推广等；</w:t>
      </w:r>
    </w:p>
    <w:p w14:paraId="3A2C5B9F">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52"/>
    <w:p w14:paraId="1CFAFD49">
      <w:pPr>
        <w:keepNext/>
        <w:keepLines/>
        <w:numPr>
          <w:ilvl w:val="0"/>
          <w:numId w:val="10"/>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质疑处理</w:t>
      </w:r>
    </w:p>
    <w:p w14:paraId="5FF8504D">
      <w:pPr>
        <w:rPr>
          <w:rFonts w:ascii="黑体" w:hAnsi="宋体" w:eastAsia="黑体"/>
        </w:rPr>
      </w:pPr>
      <w:bookmarkStart w:id="68" w:name="_Hlk72439706"/>
      <w:r>
        <w:rPr>
          <w:rFonts w:hint="eastAsia" w:ascii="黑体" w:hAnsi="宋体" w:eastAsia="黑体"/>
          <w:lang w:eastAsia="zh-CN"/>
        </w:rPr>
        <w:t>51.</w:t>
      </w:r>
      <w:r>
        <w:rPr>
          <w:rFonts w:hint="eastAsia" w:ascii="黑体" w:hAnsi="宋体" w:eastAsia="黑体"/>
        </w:rPr>
        <w:t>质疑提出与答复</w:t>
      </w:r>
    </w:p>
    <w:p w14:paraId="59613E15">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14:paraId="4E391891">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14:paraId="6D4E0624">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14:paraId="60E001B6">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14:paraId="2D3FAEBB">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14:paraId="0419A0A8">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69" w:name="_Hlk75374941"/>
      <w:r>
        <w:rPr>
          <w:rFonts w:hint="eastAsia" w:ascii="宋体" w:hAnsi="宋体" w:eastAsia="宋体"/>
          <w:szCs w:val="21"/>
        </w:rPr>
        <w:t>以联合体形式参与的，质疑应当由组成联合体的所有成员共同提出</w:t>
      </w:r>
      <w:bookmarkEnd w:id="69"/>
      <w:r>
        <w:rPr>
          <w:rFonts w:hint="eastAsia" w:ascii="宋体" w:hAnsi="宋体" w:eastAsia="宋体"/>
          <w:szCs w:val="21"/>
        </w:rPr>
        <w:t>；</w:t>
      </w:r>
    </w:p>
    <w:p w14:paraId="6202FC5C">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AA17CE0">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14:paraId="7CB70A3E">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14:paraId="2B60D97F">
      <w:pPr>
        <w:ind w:firstLine="480" w:firstLineChars="200"/>
        <w:rPr>
          <w:rFonts w:ascii="宋体" w:hAnsi="宋体" w:eastAsia="宋体"/>
          <w:szCs w:val="21"/>
        </w:rPr>
      </w:pPr>
      <w:r>
        <w:rPr>
          <w:rFonts w:hint="eastAsia" w:ascii="宋体" w:hAnsi="宋体" w:eastAsia="宋体"/>
          <w:szCs w:val="21"/>
        </w:rPr>
        <w:t>（2）质疑项目的名称、编号；</w:t>
      </w:r>
    </w:p>
    <w:p w14:paraId="3B17D1D3">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14:paraId="3525C220">
      <w:pPr>
        <w:ind w:firstLine="480" w:firstLineChars="200"/>
        <w:rPr>
          <w:rFonts w:ascii="宋体" w:hAnsi="宋体" w:eastAsia="宋体"/>
          <w:szCs w:val="21"/>
        </w:rPr>
      </w:pPr>
      <w:r>
        <w:rPr>
          <w:rFonts w:hint="eastAsia" w:ascii="宋体" w:hAnsi="宋体" w:eastAsia="宋体"/>
          <w:szCs w:val="21"/>
        </w:rPr>
        <w:t>（4）因质疑事项而受损害的权益；</w:t>
      </w:r>
    </w:p>
    <w:p w14:paraId="23009ADB">
      <w:pPr>
        <w:ind w:firstLine="480" w:firstLineChars="200"/>
        <w:rPr>
          <w:rFonts w:ascii="宋体" w:hAnsi="宋体" w:eastAsia="宋体"/>
          <w:szCs w:val="21"/>
        </w:rPr>
      </w:pPr>
      <w:r>
        <w:rPr>
          <w:rFonts w:hint="eastAsia" w:ascii="宋体" w:hAnsi="宋体" w:eastAsia="宋体"/>
          <w:szCs w:val="21"/>
        </w:rPr>
        <w:t>（5）事实依据；</w:t>
      </w:r>
    </w:p>
    <w:p w14:paraId="1FD811A1">
      <w:pPr>
        <w:ind w:firstLine="480" w:firstLineChars="200"/>
        <w:rPr>
          <w:rFonts w:ascii="宋体" w:hAnsi="宋体" w:eastAsia="宋体"/>
          <w:szCs w:val="21"/>
        </w:rPr>
      </w:pPr>
      <w:r>
        <w:rPr>
          <w:rFonts w:hint="eastAsia" w:ascii="宋体" w:hAnsi="宋体" w:eastAsia="宋体"/>
          <w:szCs w:val="21"/>
        </w:rPr>
        <w:t>（6）必要的法律依据；</w:t>
      </w:r>
    </w:p>
    <w:p w14:paraId="5035930A">
      <w:pPr>
        <w:ind w:firstLine="480" w:firstLineChars="200"/>
        <w:rPr>
          <w:rFonts w:ascii="宋体" w:hAnsi="宋体" w:eastAsia="宋体"/>
          <w:szCs w:val="21"/>
        </w:rPr>
      </w:pPr>
      <w:r>
        <w:rPr>
          <w:rFonts w:hint="eastAsia" w:ascii="宋体" w:hAnsi="宋体" w:eastAsia="宋体"/>
          <w:szCs w:val="21"/>
        </w:rPr>
        <w:t>（7）提出质疑的日期。</w:t>
      </w:r>
    </w:p>
    <w:p w14:paraId="3DBF04FA">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14:paraId="07B434F6">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14:paraId="3DCDC8C0">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91AA757">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68D0075">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14:paraId="5A1A9054">
      <w:pPr>
        <w:ind w:firstLine="482" w:firstLineChars="200"/>
        <w:rPr>
          <w:rFonts w:ascii="宋体" w:hAnsi="宋体" w:eastAsia="宋体"/>
          <w:b/>
          <w:bCs/>
          <w:szCs w:val="21"/>
        </w:rPr>
      </w:pPr>
      <w:r>
        <w:rPr>
          <w:rFonts w:hint="eastAsia" w:ascii="宋体" w:hAnsi="宋体" w:eastAsia="宋体"/>
          <w:b/>
          <w:bCs/>
          <w:szCs w:val="21"/>
        </w:rPr>
        <w:t>地址：</w:t>
      </w:r>
      <w:r>
        <w:rPr>
          <w:rFonts w:hint="eastAsia" w:ascii="宋体" w:hAnsi="宋体" w:eastAsia="宋体"/>
          <w:b/>
          <w:bCs/>
          <w:szCs w:val="21"/>
          <w:lang w:eastAsia="zh-CN"/>
        </w:rPr>
        <w:t>喀什市公安局</w:t>
      </w:r>
      <w:r>
        <w:rPr>
          <w:rFonts w:hint="eastAsia" w:ascii="宋体" w:hAnsi="宋体" w:eastAsia="宋体"/>
          <w:b/>
          <w:bCs/>
          <w:szCs w:val="21"/>
        </w:rPr>
        <w:t>，质疑咨询电话：</w:t>
      </w:r>
      <w:r>
        <w:rPr>
          <w:rFonts w:hint="eastAsia" w:ascii="宋体" w:hAnsi="宋体" w:eastAsia="宋体"/>
          <w:b/>
          <w:bCs/>
          <w:szCs w:val="21"/>
          <w:lang w:eastAsia="zh-CN"/>
        </w:rPr>
        <w:t>刘荣飞</w:t>
      </w:r>
      <w:r>
        <w:rPr>
          <w:rFonts w:hint="eastAsia" w:ascii="宋体" w:hAnsi="宋体" w:eastAsia="宋体"/>
          <w:b/>
          <w:bCs/>
          <w:szCs w:val="21"/>
        </w:rPr>
        <w:t>，</w:t>
      </w:r>
      <w:r>
        <w:rPr>
          <w:rFonts w:hint="eastAsia" w:ascii="宋体" w:hAnsi="宋体" w:eastAsia="宋体"/>
          <w:b/>
          <w:bCs/>
          <w:szCs w:val="21"/>
          <w:lang w:eastAsia="zh-CN"/>
        </w:rPr>
        <w:t>17809983068</w:t>
      </w:r>
      <w:r>
        <w:rPr>
          <w:rFonts w:hint="eastAsia" w:ascii="宋体" w:hAnsi="宋体" w:eastAsia="宋体"/>
          <w:b/>
          <w:bCs/>
          <w:szCs w:val="21"/>
        </w:rPr>
        <w:t>。质疑书的递交应当采取</w:t>
      </w:r>
      <w:r>
        <w:rPr>
          <w:rFonts w:hint="eastAsia" w:ascii="宋体" w:hAnsi="宋体" w:eastAsia="宋体"/>
          <w:b/>
          <w:bCs/>
          <w:color w:val="FF0000"/>
          <w:szCs w:val="21"/>
        </w:rPr>
        <w:t>当面递交</w:t>
      </w:r>
      <w:r>
        <w:rPr>
          <w:rFonts w:hint="eastAsia" w:ascii="宋体" w:hAnsi="宋体" w:eastAsia="宋体"/>
          <w:b/>
          <w:bCs/>
          <w:szCs w:val="21"/>
        </w:rPr>
        <w:t>的形式，如确需邮寄质疑书的，需于邮寄发起的前一日电联</w:t>
      </w:r>
      <w:r>
        <w:rPr>
          <w:rFonts w:hint="eastAsia" w:ascii="宋体" w:hAnsi="宋体" w:eastAsia="宋体"/>
          <w:b/>
          <w:bCs/>
          <w:szCs w:val="21"/>
          <w:lang w:eastAsia="zh-CN"/>
        </w:rPr>
        <w:t>喀什市公安局</w:t>
      </w:r>
      <w:r>
        <w:rPr>
          <w:rFonts w:hint="eastAsia" w:ascii="宋体" w:hAnsi="宋体" w:eastAsia="宋体"/>
          <w:b/>
          <w:bCs/>
          <w:szCs w:val="21"/>
        </w:rPr>
        <w:t>，未提前电联</w:t>
      </w:r>
      <w:r>
        <w:rPr>
          <w:rFonts w:hint="eastAsia" w:ascii="宋体" w:hAnsi="宋体" w:eastAsia="宋体"/>
          <w:b/>
          <w:bCs/>
          <w:szCs w:val="21"/>
          <w:lang w:eastAsia="zh-CN"/>
        </w:rPr>
        <w:t>喀什市公安局</w:t>
      </w:r>
      <w:r>
        <w:rPr>
          <w:rFonts w:hint="eastAsia" w:ascii="宋体" w:hAnsi="宋体" w:eastAsia="宋体"/>
          <w:b/>
          <w:bCs/>
          <w:color w:val="FF0000"/>
          <w:szCs w:val="21"/>
        </w:rPr>
        <w:t>约定质疑函到达日期</w:t>
      </w:r>
      <w:r>
        <w:rPr>
          <w:rFonts w:hint="eastAsia" w:ascii="宋体" w:hAnsi="宋体" w:eastAsia="宋体"/>
          <w:b/>
          <w:bCs/>
          <w:szCs w:val="21"/>
        </w:rPr>
        <w:t>及</w:t>
      </w:r>
      <w:r>
        <w:rPr>
          <w:rFonts w:hint="eastAsia" w:ascii="宋体" w:hAnsi="宋体" w:eastAsia="宋体"/>
          <w:b/>
          <w:bCs/>
          <w:color w:val="FF0000"/>
          <w:szCs w:val="21"/>
        </w:rPr>
        <w:t>质疑函接收人</w:t>
      </w:r>
      <w:r>
        <w:rPr>
          <w:rFonts w:hint="eastAsia" w:ascii="宋体" w:hAnsi="宋体" w:eastAsia="宋体"/>
          <w:b/>
          <w:bCs/>
          <w:szCs w:val="21"/>
        </w:rPr>
        <w:t>的，视同为</w:t>
      </w:r>
      <w:r>
        <w:rPr>
          <w:rFonts w:hint="eastAsia" w:ascii="宋体" w:hAnsi="宋体" w:eastAsia="宋体"/>
          <w:b/>
          <w:bCs/>
          <w:color w:val="FF0000"/>
          <w:szCs w:val="21"/>
        </w:rPr>
        <w:t>不明快递信笺</w:t>
      </w:r>
      <w:r>
        <w:rPr>
          <w:rFonts w:hint="eastAsia" w:ascii="宋体" w:hAnsi="宋体" w:eastAsia="宋体"/>
          <w:b/>
          <w:bCs/>
          <w:szCs w:val="21"/>
        </w:rPr>
        <w:t>，不予接收。</w:t>
      </w:r>
    </w:p>
    <w:p w14:paraId="1B93541D">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14:paraId="72DA623A">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14:paraId="17E802DA">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14:paraId="00809199">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14:paraId="38DFA44B">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14:paraId="38242C93">
      <w:pPr>
        <w:ind w:firstLine="480" w:firstLineChars="200"/>
        <w:rPr>
          <w:rFonts w:ascii="宋体" w:hAnsi="宋体" w:eastAsia="宋体"/>
          <w:szCs w:val="21"/>
        </w:rPr>
      </w:pPr>
      <w:r>
        <w:rPr>
          <w:rFonts w:hint="eastAsia" w:ascii="宋体" w:hAnsi="宋体" w:eastAsia="宋体"/>
          <w:szCs w:val="21"/>
        </w:rPr>
        <w:t>（1）质疑主体不满足要求的；</w:t>
      </w:r>
    </w:p>
    <w:p w14:paraId="49B06B18">
      <w:pPr>
        <w:ind w:firstLine="480" w:firstLineChars="200"/>
        <w:rPr>
          <w:rFonts w:ascii="宋体" w:hAnsi="宋体" w:eastAsia="宋体"/>
          <w:szCs w:val="21"/>
        </w:rPr>
      </w:pPr>
      <w:r>
        <w:rPr>
          <w:rFonts w:hint="eastAsia" w:ascii="宋体" w:hAnsi="宋体" w:eastAsia="宋体"/>
          <w:szCs w:val="21"/>
        </w:rPr>
        <w:t>（2）供应商自身权益未受到损害的；</w:t>
      </w:r>
    </w:p>
    <w:p w14:paraId="3297B560">
      <w:pPr>
        <w:ind w:firstLine="480" w:firstLineChars="200"/>
        <w:rPr>
          <w:rFonts w:ascii="宋体" w:hAnsi="宋体" w:eastAsia="宋体"/>
          <w:szCs w:val="21"/>
        </w:rPr>
      </w:pPr>
      <w:r>
        <w:rPr>
          <w:rFonts w:hint="eastAsia" w:ascii="宋体" w:hAnsi="宋体" w:eastAsia="宋体"/>
          <w:szCs w:val="21"/>
        </w:rPr>
        <w:t>（3）供应商未在法定质疑期限内提出质疑的；</w:t>
      </w:r>
    </w:p>
    <w:p w14:paraId="496C397D">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14:paraId="293484FE">
      <w:pPr>
        <w:ind w:firstLine="480" w:firstLineChars="200"/>
        <w:rPr>
          <w:rFonts w:ascii="宋体" w:hAnsi="宋体" w:eastAsia="宋体"/>
          <w:szCs w:val="21"/>
        </w:rPr>
      </w:pPr>
      <w:r>
        <w:rPr>
          <w:rFonts w:hint="eastAsia" w:ascii="宋体" w:hAnsi="宋体" w:eastAsia="宋体"/>
          <w:szCs w:val="21"/>
        </w:rPr>
        <w:t>（5）其他不符合受理条件情形的。</w:t>
      </w:r>
    </w:p>
    <w:p w14:paraId="6B162A58">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14:paraId="5D7CE045">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14:paraId="212FFA48">
      <w:pPr>
        <w:rPr>
          <w:rFonts w:ascii="宋体" w:hAnsi="宋体" w:eastAsia="宋体"/>
          <w:szCs w:val="21"/>
        </w:rPr>
      </w:pPr>
      <w:r>
        <w:rPr>
          <w:rFonts w:hint="eastAsia" w:ascii="宋体" w:hAnsi="宋体" w:eastAsia="宋体"/>
          <w:szCs w:val="21"/>
        </w:rPr>
        <w:t xml:space="preserve">    自收文之日起七个工作日内。</w:t>
      </w:r>
    </w:p>
    <w:p w14:paraId="6BFD9F12">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14:paraId="72CF752C">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14:paraId="4B4017B9">
      <w:pPr>
        <w:rPr>
          <w:rFonts w:ascii="黑体" w:hAnsi="宋体" w:eastAsia="黑体"/>
        </w:rPr>
      </w:pPr>
      <w:r>
        <w:rPr>
          <w:rFonts w:hint="eastAsia" w:ascii="黑体" w:hAnsi="宋体" w:eastAsia="黑体"/>
        </w:rPr>
        <w:t>53. 质疑后续处理</w:t>
      </w:r>
    </w:p>
    <w:p w14:paraId="0C7E5ECF">
      <w:pPr>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14:paraId="04A90064">
      <w:pPr>
        <w:rPr>
          <w:rFonts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5902594">
      <w:pPr>
        <w:jc w:val="center"/>
        <w:rPr>
          <w:rFonts w:eastAsia="宋体"/>
        </w:rPr>
      </w:pPr>
      <w:r>
        <w:rPr>
          <w:rFonts w:eastAsia="宋体"/>
        </w:rPr>
        <w:t>---- END ----</w:t>
      </w:r>
      <w:bookmarkEnd w:id="68"/>
    </w:p>
    <w:p w14:paraId="164BFB04">
      <w:pPr>
        <w:rPr>
          <w:rFonts w:ascii="宋体" w:hAnsi="宋体" w:eastAsia="黑体"/>
          <w:b/>
          <w:bCs/>
          <w:color w:val="0000FF"/>
          <w:kern w:val="44"/>
          <w:sz w:val="36"/>
          <w:szCs w:val="44"/>
        </w:rPr>
      </w:pPr>
    </w:p>
    <w:p w14:paraId="5B61D75E"/>
    <w:p w14:paraId="520201D2"/>
    <w:sectPr>
      <w:headerReference r:id="rId6" w:type="default"/>
      <w:footerReference r:id="rId7"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A00002EF" w:usb1="4000004B"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A6674">
    <w:pPr>
      <w:spacing w:line="176" w:lineRule="auto"/>
      <w:ind w:left="447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CE4BA">
    <w:pPr>
      <w:pStyle w:val="11"/>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C611B1">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78C611B1">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558B8">
    <w:pPr>
      <w:pStyle w:val="11"/>
      <w:rPr>
        <w:rStyle w:val="20"/>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00863E">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5B00863E">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378F2FA3">
    <w:pPr>
      <w:pStyle w:val="11"/>
      <w:ind w:right="360"/>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5A71B">
    <w:pPr>
      <w:pStyle w:val="1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DE5D15">
                          <w:pPr>
                            <w:pStyle w:val="11"/>
                            <w:rPr>
                              <w:rStyle w:val="20"/>
                            </w:rPr>
                          </w:pPr>
                          <w:r>
                            <w:fldChar w:fldCharType="begin"/>
                          </w:r>
                          <w:r>
                            <w:rPr>
                              <w:rStyle w:val="20"/>
                            </w:rPr>
                            <w:instrText xml:space="preserve">PAGE  </w:instrText>
                          </w:r>
                          <w:r>
                            <w:fldChar w:fldCharType="separate"/>
                          </w:r>
                          <w:r>
                            <w:rPr>
                              <w:rStyle w:val="20"/>
                            </w:rPr>
                            <w:t>49</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11DE5D15">
                    <w:pPr>
                      <w:pStyle w:val="11"/>
                      <w:rPr>
                        <w:rStyle w:val="20"/>
                      </w:rPr>
                    </w:pPr>
                    <w:r>
                      <w:fldChar w:fldCharType="begin"/>
                    </w:r>
                    <w:r>
                      <w:rPr>
                        <w:rStyle w:val="20"/>
                      </w:rPr>
                      <w:instrText xml:space="preserve">PAGE  </w:instrText>
                    </w:r>
                    <w:r>
                      <w:fldChar w:fldCharType="separate"/>
                    </w:r>
                    <w:r>
                      <w:rPr>
                        <w:rStyle w:val="20"/>
                      </w:rP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F3240">
    <w:pPr>
      <w:pStyle w:val="12"/>
      <w:jc w:val="both"/>
      <w:rPr>
        <w:rFonts w:hint="eastAsia"/>
      </w:rPr>
    </w:pPr>
    <w:r>
      <w:rPr>
        <w:rFonts w:hint="eastAsia"/>
        <w:lang w:eastAsia="zh-CN"/>
      </w:rPr>
      <w:t>喀什市招投标中心</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1A4BE"/>
    <w:multiLevelType w:val="singleLevel"/>
    <w:tmpl w:val="B6A1A4BE"/>
    <w:lvl w:ilvl="0" w:tentative="0">
      <w:start w:val="2"/>
      <w:numFmt w:val="decimal"/>
      <w:suff w:val="nothing"/>
      <w:lvlText w:val="%1、"/>
      <w:lvlJc w:val="left"/>
    </w:lvl>
  </w:abstractNum>
  <w:abstractNum w:abstractNumId="1">
    <w:nsid w:val="D4E84D68"/>
    <w:multiLevelType w:val="singleLevel"/>
    <w:tmpl w:val="D4E84D68"/>
    <w:lvl w:ilvl="0" w:tentative="0">
      <w:start w:val="4"/>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7"/>
    <w:multiLevelType w:val="multilevel"/>
    <w:tmpl w:val="00000007"/>
    <w:lvl w:ilvl="0" w:tentative="0">
      <w:start w:val="1"/>
      <w:numFmt w:val="japaneseCounting"/>
      <w:lvlText w:val="第%1条"/>
      <w:lvlJc w:val="left"/>
      <w:pPr>
        <w:ind w:left="975" w:hanging="9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4E409BB"/>
    <w:multiLevelType w:val="multilevel"/>
    <w:tmpl w:val="24E409BB"/>
    <w:lvl w:ilvl="0" w:tentative="0">
      <w:start w:val="1"/>
      <w:numFmt w:val="decimal"/>
      <w:pStyle w:val="24"/>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8"/>
  </w:num>
  <w:num w:numId="2">
    <w:abstractNumId w:val="9"/>
  </w:num>
  <w:num w:numId="3">
    <w:abstractNumId w:val="1"/>
  </w:num>
  <w:num w:numId="4">
    <w:abstractNumId w:val="2"/>
  </w:num>
  <w:num w:numId="5">
    <w:abstractNumId w:val="0"/>
  </w:num>
  <w:num w:numId="6">
    <w:abstractNumId w:val="3"/>
  </w:num>
  <w:num w:numId="7">
    <w:abstractNumId w:val="4"/>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DJkMTcwMGI3ODk5Y2RkZTJmNjEzOTc4ZDYzNmQifQ=="/>
  </w:docVars>
  <w:rsids>
    <w:rsidRoot w:val="00000000"/>
    <w:rsid w:val="002A37D5"/>
    <w:rsid w:val="00F62D6F"/>
    <w:rsid w:val="011E43F5"/>
    <w:rsid w:val="030750A8"/>
    <w:rsid w:val="032A2EC2"/>
    <w:rsid w:val="038251E4"/>
    <w:rsid w:val="04B6088C"/>
    <w:rsid w:val="04FB554F"/>
    <w:rsid w:val="053B5831"/>
    <w:rsid w:val="054759F4"/>
    <w:rsid w:val="061709BB"/>
    <w:rsid w:val="066F61BA"/>
    <w:rsid w:val="07061165"/>
    <w:rsid w:val="0771024E"/>
    <w:rsid w:val="07CE6076"/>
    <w:rsid w:val="07E22A0A"/>
    <w:rsid w:val="080C42F3"/>
    <w:rsid w:val="08272839"/>
    <w:rsid w:val="0889017A"/>
    <w:rsid w:val="08CE1D46"/>
    <w:rsid w:val="093C03DB"/>
    <w:rsid w:val="0A084FFE"/>
    <w:rsid w:val="0A21662D"/>
    <w:rsid w:val="0AB42B4F"/>
    <w:rsid w:val="0ABB5C50"/>
    <w:rsid w:val="0B137E4E"/>
    <w:rsid w:val="0B2E174C"/>
    <w:rsid w:val="0BEB721A"/>
    <w:rsid w:val="0CE95576"/>
    <w:rsid w:val="0CED653C"/>
    <w:rsid w:val="0D1F2ACE"/>
    <w:rsid w:val="0D223BF0"/>
    <w:rsid w:val="0D250F7C"/>
    <w:rsid w:val="0D3A744A"/>
    <w:rsid w:val="0DF57054"/>
    <w:rsid w:val="0F1778CD"/>
    <w:rsid w:val="0F255064"/>
    <w:rsid w:val="0F4136F3"/>
    <w:rsid w:val="0F815308"/>
    <w:rsid w:val="0FE53B0B"/>
    <w:rsid w:val="1046648D"/>
    <w:rsid w:val="105F0547"/>
    <w:rsid w:val="10EA6A77"/>
    <w:rsid w:val="1192589F"/>
    <w:rsid w:val="126D3473"/>
    <w:rsid w:val="12B45F9C"/>
    <w:rsid w:val="138C5906"/>
    <w:rsid w:val="13FC4E78"/>
    <w:rsid w:val="142F3F28"/>
    <w:rsid w:val="14640782"/>
    <w:rsid w:val="14D40085"/>
    <w:rsid w:val="157403EC"/>
    <w:rsid w:val="169C38B2"/>
    <w:rsid w:val="16C056AB"/>
    <w:rsid w:val="16E441B9"/>
    <w:rsid w:val="174A68DC"/>
    <w:rsid w:val="17530433"/>
    <w:rsid w:val="17DB2032"/>
    <w:rsid w:val="18861828"/>
    <w:rsid w:val="19255582"/>
    <w:rsid w:val="19492A45"/>
    <w:rsid w:val="199C6179"/>
    <w:rsid w:val="19D74121"/>
    <w:rsid w:val="1A386D0E"/>
    <w:rsid w:val="1AFA1BD0"/>
    <w:rsid w:val="1AFA79D1"/>
    <w:rsid w:val="1B9F78CD"/>
    <w:rsid w:val="1D904F08"/>
    <w:rsid w:val="1DA048C4"/>
    <w:rsid w:val="1E0E5ED3"/>
    <w:rsid w:val="1ED5358C"/>
    <w:rsid w:val="1EE24324"/>
    <w:rsid w:val="1F5C3D1D"/>
    <w:rsid w:val="1F9E5A3F"/>
    <w:rsid w:val="20596F74"/>
    <w:rsid w:val="210821C0"/>
    <w:rsid w:val="21C4062D"/>
    <w:rsid w:val="22FD2004"/>
    <w:rsid w:val="23056BE4"/>
    <w:rsid w:val="2330262C"/>
    <w:rsid w:val="245A1CC8"/>
    <w:rsid w:val="24D1617A"/>
    <w:rsid w:val="24EC66D5"/>
    <w:rsid w:val="250410F2"/>
    <w:rsid w:val="2550312A"/>
    <w:rsid w:val="267A507C"/>
    <w:rsid w:val="2729727B"/>
    <w:rsid w:val="280A4341"/>
    <w:rsid w:val="283038F0"/>
    <w:rsid w:val="287F06FD"/>
    <w:rsid w:val="296C066D"/>
    <w:rsid w:val="2A1755A3"/>
    <w:rsid w:val="2A2348E7"/>
    <w:rsid w:val="2A870AD2"/>
    <w:rsid w:val="2B675A24"/>
    <w:rsid w:val="2B7C2D1A"/>
    <w:rsid w:val="2C3122F3"/>
    <w:rsid w:val="2C366F69"/>
    <w:rsid w:val="2D4775CA"/>
    <w:rsid w:val="2D847558"/>
    <w:rsid w:val="2D9774DB"/>
    <w:rsid w:val="2DA61905"/>
    <w:rsid w:val="2EFA653D"/>
    <w:rsid w:val="2FC90BE8"/>
    <w:rsid w:val="2FCE39F5"/>
    <w:rsid w:val="302A6951"/>
    <w:rsid w:val="30334664"/>
    <w:rsid w:val="309C64CF"/>
    <w:rsid w:val="30A64860"/>
    <w:rsid w:val="310F0A0C"/>
    <w:rsid w:val="311A02B3"/>
    <w:rsid w:val="3137687A"/>
    <w:rsid w:val="317364CC"/>
    <w:rsid w:val="32265D43"/>
    <w:rsid w:val="3229728F"/>
    <w:rsid w:val="323C629C"/>
    <w:rsid w:val="325E7BE3"/>
    <w:rsid w:val="328D2734"/>
    <w:rsid w:val="33543124"/>
    <w:rsid w:val="337C7542"/>
    <w:rsid w:val="34724A5F"/>
    <w:rsid w:val="35503953"/>
    <w:rsid w:val="357F5535"/>
    <w:rsid w:val="35EA5AC8"/>
    <w:rsid w:val="36CF0EC8"/>
    <w:rsid w:val="36E02B59"/>
    <w:rsid w:val="37134E69"/>
    <w:rsid w:val="373F5A60"/>
    <w:rsid w:val="386577CF"/>
    <w:rsid w:val="38F85F83"/>
    <w:rsid w:val="39B50CD9"/>
    <w:rsid w:val="39B76241"/>
    <w:rsid w:val="3A964C7D"/>
    <w:rsid w:val="3B01630F"/>
    <w:rsid w:val="3B1B27B1"/>
    <w:rsid w:val="3BA61AF4"/>
    <w:rsid w:val="3BD5148E"/>
    <w:rsid w:val="3BE3002B"/>
    <w:rsid w:val="3C795F8F"/>
    <w:rsid w:val="3CB971DE"/>
    <w:rsid w:val="3D007123"/>
    <w:rsid w:val="3D012277"/>
    <w:rsid w:val="3D224849"/>
    <w:rsid w:val="3D484A54"/>
    <w:rsid w:val="3D551BD0"/>
    <w:rsid w:val="3D721D7A"/>
    <w:rsid w:val="3D863DAC"/>
    <w:rsid w:val="3D876C9A"/>
    <w:rsid w:val="3E2703D9"/>
    <w:rsid w:val="3E52449D"/>
    <w:rsid w:val="3E6A66F5"/>
    <w:rsid w:val="3E937CBC"/>
    <w:rsid w:val="3E9A489A"/>
    <w:rsid w:val="3EDA4ED4"/>
    <w:rsid w:val="3F332A95"/>
    <w:rsid w:val="3F4B59E3"/>
    <w:rsid w:val="403364B4"/>
    <w:rsid w:val="40B51C9C"/>
    <w:rsid w:val="41551971"/>
    <w:rsid w:val="4168282C"/>
    <w:rsid w:val="420434D8"/>
    <w:rsid w:val="426C3402"/>
    <w:rsid w:val="429750D7"/>
    <w:rsid w:val="4422077D"/>
    <w:rsid w:val="443020B6"/>
    <w:rsid w:val="45024BF8"/>
    <w:rsid w:val="4695327F"/>
    <w:rsid w:val="47077A8F"/>
    <w:rsid w:val="47A37BF3"/>
    <w:rsid w:val="48010E65"/>
    <w:rsid w:val="48AA43D6"/>
    <w:rsid w:val="48F423C2"/>
    <w:rsid w:val="498D43D6"/>
    <w:rsid w:val="49BB6E66"/>
    <w:rsid w:val="49CD5C25"/>
    <w:rsid w:val="4A29520E"/>
    <w:rsid w:val="4A4F7527"/>
    <w:rsid w:val="4BB2324E"/>
    <w:rsid w:val="4BB415B9"/>
    <w:rsid w:val="4CBD0D73"/>
    <w:rsid w:val="4D1E04AA"/>
    <w:rsid w:val="4D2C2FDF"/>
    <w:rsid w:val="4E601A65"/>
    <w:rsid w:val="50093AE6"/>
    <w:rsid w:val="51206B83"/>
    <w:rsid w:val="51300F5F"/>
    <w:rsid w:val="51570C73"/>
    <w:rsid w:val="51680854"/>
    <w:rsid w:val="51B44C64"/>
    <w:rsid w:val="524E5317"/>
    <w:rsid w:val="526B5AC6"/>
    <w:rsid w:val="52713992"/>
    <w:rsid w:val="52CE0181"/>
    <w:rsid w:val="53096FE2"/>
    <w:rsid w:val="53F83FD3"/>
    <w:rsid w:val="540C5D72"/>
    <w:rsid w:val="54113878"/>
    <w:rsid w:val="54656B86"/>
    <w:rsid w:val="546E6951"/>
    <w:rsid w:val="549A40FC"/>
    <w:rsid w:val="54CC69D8"/>
    <w:rsid w:val="562B2188"/>
    <w:rsid w:val="56606BE9"/>
    <w:rsid w:val="5662250A"/>
    <w:rsid w:val="56B32CEF"/>
    <w:rsid w:val="57195913"/>
    <w:rsid w:val="574D2CF7"/>
    <w:rsid w:val="579730CB"/>
    <w:rsid w:val="57BE3ECB"/>
    <w:rsid w:val="58155A5A"/>
    <w:rsid w:val="582D62E3"/>
    <w:rsid w:val="58F807C1"/>
    <w:rsid w:val="59112DDA"/>
    <w:rsid w:val="59D2767F"/>
    <w:rsid w:val="5A557351"/>
    <w:rsid w:val="5BCB6A19"/>
    <w:rsid w:val="5C211245"/>
    <w:rsid w:val="5C641027"/>
    <w:rsid w:val="5CBF7454"/>
    <w:rsid w:val="5E6C4478"/>
    <w:rsid w:val="5FB20F0C"/>
    <w:rsid w:val="60173081"/>
    <w:rsid w:val="604E7BD7"/>
    <w:rsid w:val="6082485E"/>
    <w:rsid w:val="620E3E31"/>
    <w:rsid w:val="621751DF"/>
    <w:rsid w:val="63B96AC2"/>
    <w:rsid w:val="63D84EDF"/>
    <w:rsid w:val="643D1580"/>
    <w:rsid w:val="643E619F"/>
    <w:rsid w:val="643E7E0D"/>
    <w:rsid w:val="653C01C1"/>
    <w:rsid w:val="6594282D"/>
    <w:rsid w:val="66590A9D"/>
    <w:rsid w:val="66AA497C"/>
    <w:rsid w:val="67283F04"/>
    <w:rsid w:val="67352DB6"/>
    <w:rsid w:val="673F14F0"/>
    <w:rsid w:val="67CB1507"/>
    <w:rsid w:val="67DC1861"/>
    <w:rsid w:val="68401777"/>
    <w:rsid w:val="68653FE4"/>
    <w:rsid w:val="68A76B92"/>
    <w:rsid w:val="68CF0BBE"/>
    <w:rsid w:val="69A725C4"/>
    <w:rsid w:val="69EB2313"/>
    <w:rsid w:val="6B1729F4"/>
    <w:rsid w:val="6BA4026E"/>
    <w:rsid w:val="6BF502A5"/>
    <w:rsid w:val="6C5B5032"/>
    <w:rsid w:val="6C7015D3"/>
    <w:rsid w:val="6C8D36A3"/>
    <w:rsid w:val="6CA60D1F"/>
    <w:rsid w:val="6CB95133"/>
    <w:rsid w:val="6CEB406B"/>
    <w:rsid w:val="6D4E436F"/>
    <w:rsid w:val="6D6B1BBF"/>
    <w:rsid w:val="6E9018A9"/>
    <w:rsid w:val="6ED332D0"/>
    <w:rsid w:val="6F421E56"/>
    <w:rsid w:val="6F450465"/>
    <w:rsid w:val="6F840FE6"/>
    <w:rsid w:val="6F9437B7"/>
    <w:rsid w:val="6FD25210"/>
    <w:rsid w:val="708B1138"/>
    <w:rsid w:val="70F16DE1"/>
    <w:rsid w:val="7112385C"/>
    <w:rsid w:val="711F649C"/>
    <w:rsid w:val="715C0B2F"/>
    <w:rsid w:val="71606F22"/>
    <w:rsid w:val="71D4290B"/>
    <w:rsid w:val="72476B05"/>
    <w:rsid w:val="72500730"/>
    <w:rsid w:val="726953A0"/>
    <w:rsid w:val="73171838"/>
    <w:rsid w:val="7375655F"/>
    <w:rsid w:val="73BF6E3A"/>
    <w:rsid w:val="73C9540C"/>
    <w:rsid w:val="741221C2"/>
    <w:rsid w:val="743F3033"/>
    <w:rsid w:val="744E3935"/>
    <w:rsid w:val="74AC7D08"/>
    <w:rsid w:val="74B45AB7"/>
    <w:rsid w:val="75020D4E"/>
    <w:rsid w:val="751A5262"/>
    <w:rsid w:val="752776A3"/>
    <w:rsid w:val="762C4BB0"/>
    <w:rsid w:val="779C18C8"/>
    <w:rsid w:val="78512F4B"/>
    <w:rsid w:val="78CF6693"/>
    <w:rsid w:val="78FF2280"/>
    <w:rsid w:val="79273811"/>
    <w:rsid w:val="795F1DBD"/>
    <w:rsid w:val="79955522"/>
    <w:rsid w:val="7A407E45"/>
    <w:rsid w:val="7AFE6E3A"/>
    <w:rsid w:val="7BAF7AFB"/>
    <w:rsid w:val="7CED4825"/>
    <w:rsid w:val="7D2700CC"/>
    <w:rsid w:val="7DF35163"/>
    <w:rsid w:val="7F0659BA"/>
    <w:rsid w:val="7F271629"/>
    <w:rsid w:val="7F661C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rPr>
  </w:style>
  <w:style w:type="paragraph" w:styleId="2">
    <w:name w:val="heading 1"/>
    <w:basedOn w:val="1"/>
    <w:next w:val="1"/>
    <w:link w:val="25"/>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6"/>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27"/>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28"/>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tabs>
        <w:tab w:val="left" w:pos="567"/>
      </w:tabs>
      <w:spacing w:before="120" w:line="22" w:lineRule="atLeast"/>
    </w:pPr>
    <w:rPr>
      <w:rFonts w:ascii="宋体" w:hAnsi="宋体"/>
      <w:sz w:val="24"/>
    </w:rPr>
  </w:style>
  <w:style w:type="paragraph" w:styleId="9">
    <w:name w:val="Body Text Indent"/>
    <w:basedOn w:val="1"/>
    <w:autoRedefine/>
    <w:qFormat/>
    <w:uiPriority w:val="0"/>
    <w:pPr>
      <w:spacing w:after="120"/>
      <w:ind w:left="420" w:leftChars="200"/>
    </w:pPr>
  </w:style>
  <w:style w:type="paragraph" w:styleId="10">
    <w:name w:val="Plain Text"/>
    <w:basedOn w:val="1"/>
    <w:autoRedefine/>
    <w:qFormat/>
    <w:uiPriority w:val="0"/>
    <w:rPr>
      <w:rFonts w:ascii="宋体" w:hAnsi="Courier New"/>
      <w:szCs w:val="20"/>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autoRedefine/>
    <w:qFormat/>
    <w:uiPriority w:val="99"/>
    <w:pPr>
      <w:snapToGrid w:val="0"/>
      <w:jc w:val="left"/>
    </w:pPr>
    <w:rPr>
      <w:sz w:val="18"/>
    </w:rPr>
  </w:style>
  <w:style w:type="paragraph" w:styleId="14">
    <w:name w:val="Body Text 2"/>
    <w:basedOn w:val="1"/>
    <w:autoRedefine/>
    <w:qFormat/>
    <w:uiPriority w:val="0"/>
    <w:pPr>
      <w:spacing w:after="120" w:line="480" w:lineRule="auto"/>
    </w:pPr>
    <w:rPr>
      <w:rFonts w:ascii="Arial" w:hAnsi="Arial"/>
      <w:sz w:val="24"/>
    </w:rPr>
  </w:style>
  <w:style w:type="paragraph" w:styleId="15">
    <w:name w:val="Normal (Web)"/>
    <w:basedOn w:val="1"/>
    <w:next w:val="12"/>
    <w:autoRedefine/>
    <w:qFormat/>
    <w:uiPriority w:val="99"/>
    <w:pPr>
      <w:widowControl/>
      <w:spacing w:before="100" w:beforeAutospacing="1" w:afterAutospacing="1"/>
      <w:jc w:val="left"/>
    </w:pPr>
    <w:rPr>
      <w:rFonts w:ascii="宋体" w:hAnsi="宋体"/>
      <w:sz w:val="24"/>
      <w:szCs w:val="24"/>
    </w:rPr>
  </w:style>
  <w:style w:type="paragraph" w:styleId="16">
    <w:name w:val="Body Text First Indent"/>
    <w:basedOn w:val="8"/>
    <w:next w:val="1"/>
    <w:autoRedefine/>
    <w:qFormat/>
    <w:uiPriority w:val="0"/>
    <w:pPr>
      <w:spacing w:after="120" w:line="240" w:lineRule="auto"/>
      <w:ind w:firstLine="420" w:firstLineChars="100"/>
      <w:jc w:val="both"/>
    </w:pPr>
    <w:rPr>
      <w:rFonts w:ascii="Arial" w:hAnsi="Arial"/>
      <w:sz w:val="21"/>
      <w:szCs w:val="24"/>
    </w:rPr>
  </w:style>
  <w:style w:type="paragraph" w:styleId="17">
    <w:name w:val="Body Text First Indent 2"/>
    <w:basedOn w:val="9"/>
    <w:autoRedefine/>
    <w:qFormat/>
    <w:uiPriority w:val="0"/>
    <w:pPr>
      <w:ind w:firstLine="420" w:firstLineChars="200"/>
    </w:pPr>
  </w:style>
  <w:style w:type="character" w:styleId="20">
    <w:name w:val="page number"/>
    <w:basedOn w:val="19"/>
    <w:autoRedefine/>
    <w:qFormat/>
    <w:uiPriority w:val="0"/>
    <w:rPr>
      <w:rFonts w:eastAsia="宋体"/>
      <w:sz w:val="24"/>
      <w:szCs w:val="24"/>
      <w:lang w:val="en-US" w:eastAsia="zh-CN" w:bidi="ar-SA"/>
    </w:rPr>
  </w:style>
  <w:style w:type="character" w:styleId="21">
    <w:name w:val="Hyperlink"/>
    <w:autoRedefine/>
    <w:qFormat/>
    <w:uiPriority w:val="0"/>
    <w:rPr>
      <w:rFonts w:eastAsia="宋体"/>
      <w:color w:val="0000FF"/>
      <w:sz w:val="24"/>
      <w:szCs w:val="24"/>
      <w:u w:val="single"/>
      <w:lang w:val="en-US" w:eastAsia="zh-CN" w:bidi="ar-SA"/>
    </w:rPr>
  </w:style>
  <w:style w:type="paragraph" w:customStyle="1" w:styleId="22">
    <w:name w:val="Heading 1"/>
    <w:basedOn w:val="1"/>
    <w:next w:val="1"/>
    <w:link w:val="23"/>
    <w:autoRedefine/>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23">
    <w:name w:val="标题 1 Char"/>
    <w:basedOn w:val="19"/>
    <w:link w:val="22"/>
    <w:autoRedefine/>
    <w:qFormat/>
    <w:uiPriority w:val="0"/>
    <w:rPr>
      <w:rFonts w:ascii="Arial" w:hAnsi="Arial" w:eastAsia="宋体" w:cs="Times New Roman"/>
      <w:b/>
      <w:bCs/>
      <w:kern w:val="44"/>
      <w:sz w:val="44"/>
      <w:szCs w:val="44"/>
    </w:rPr>
  </w:style>
  <w:style w:type="paragraph" w:customStyle="1" w:styleId="24">
    <w:name w:val="表名称"/>
    <w:basedOn w:val="6"/>
    <w:autoRedefine/>
    <w:qFormat/>
    <w:uiPriority w:val="0"/>
    <w:pPr>
      <w:numPr>
        <w:ilvl w:val="0"/>
        <w:numId w:val="1"/>
      </w:numPr>
      <w:ind w:firstLine="0" w:firstLineChars="0"/>
      <w:jc w:val="center"/>
    </w:pPr>
  </w:style>
  <w:style w:type="character" w:customStyle="1" w:styleId="25">
    <w:name w:val="标题 1 Char1"/>
    <w:link w:val="2"/>
    <w:autoRedefine/>
    <w:qFormat/>
    <w:uiPriority w:val="0"/>
    <w:rPr>
      <w:b/>
      <w:kern w:val="44"/>
      <w:sz w:val="44"/>
    </w:rPr>
  </w:style>
  <w:style w:type="character" w:customStyle="1" w:styleId="26">
    <w:name w:val="标题 2 Char"/>
    <w:link w:val="3"/>
    <w:autoRedefine/>
    <w:qFormat/>
    <w:uiPriority w:val="0"/>
    <w:rPr>
      <w:rFonts w:ascii="Arial" w:hAnsi="Arial" w:eastAsia="黑体"/>
      <w:b/>
      <w:kern w:val="0"/>
      <w:sz w:val="30"/>
      <w:szCs w:val="20"/>
    </w:rPr>
  </w:style>
  <w:style w:type="character" w:customStyle="1" w:styleId="27">
    <w:name w:val="标题 3 Char"/>
    <w:link w:val="4"/>
    <w:autoRedefine/>
    <w:qFormat/>
    <w:uiPriority w:val="0"/>
    <w:rPr>
      <w:b/>
      <w:sz w:val="32"/>
    </w:rPr>
  </w:style>
  <w:style w:type="character" w:customStyle="1" w:styleId="28">
    <w:name w:val="标题 4 Char"/>
    <w:link w:val="5"/>
    <w:autoRedefine/>
    <w:qFormat/>
    <w:uiPriority w:val="0"/>
    <w:rPr>
      <w:rFonts w:ascii="Arial" w:hAnsi="Arial" w:eastAsia="黑体"/>
      <w:b/>
      <w:sz w:val="28"/>
    </w:rPr>
  </w:style>
  <w:style w:type="paragraph" w:customStyle="1" w:styleId="29">
    <w:name w:val="标书正文"/>
    <w:basedOn w:val="1"/>
    <w:autoRedefine/>
    <w:qFormat/>
    <w:uiPriority w:val="0"/>
    <w:pPr>
      <w:spacing w:line="560" w:lineRule="exact"/>
      <w:ind w:firstLine="723" w:firstLineChars="200"/>
      <w:jc w:val="center"/>
    </w:pPr>
    <w:rPr>
      <w:rFonts w:ascii="仿宋_GB2312" w:eastAsia="仿宋_GB2312"/>
      <w:b/>
      <w:sz w:val="36"/>
    </w:rPr>
  </w:style>
  <w:style w:type="character" w:customStyle="1" w:styleId="30">
    <w:name w:val="font41"/>
    <w:basedOn w:val="19"/>
    <w:autoRedefine/>
    <w:qFormat/>
    <w:uiPriority w:val="0"/>
    <w:rPr>
      <w:rFonts w:ascii="新宋体" w:hAnsi="新宋体" w:eastAsia="新宋体" w:cs="新宋体"/>
      <w:color w:val="000000"/>
      <w:sz w:val="20"/>
      <w:szCs w:val="20"/>
      <w:u w:val="none"/>
    </w:rPr>
  </w:style>
  <w:style w:type="paragraph" w:customStyle="1" w:styleId="31">
    <w:name w:val="标题 5（有编号）（绿盟科技）"/>
    <w:basedOn w:val="1"/>
    <w:next w:val="32"/>
    <w:autoRedefine/>
    <w:qFormat/>
    <w:uiPriority w:val="0"/>
    <w:pPr>
      <w:keepNext/>
      <w:keepLines/>
      <w:numPr>
        <w:ilvl w:val="4"/>
        <w:numId w:val="2"/>
      </w:numPr>
      <w:spacing w:before="280" w:after="156" w:line="377" w:lineRule="auto"/>
      <w:outlineLvl w:val="4"/>
    </w:pPr>
    <w:rPr>
      <w:rFonts w:ascii="Arial" w:hAnsi="Arial" w:eastAsia="黑体"/>
      <w:b/>
      <w:sz w:val="24"/>
      <w:szCs w:val="28"/>
    </w:rPr>
  </w:style>
  <w:style w:type="paragraph" w:customStyle="1" w:styleId="32">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4">
    <w:name w:val="Table Text"/>
    <w:basedOn w:val="1"/>
    <w:autoRedefine/>
    <w:semiHidden/>
    <w:qFormat/>
    <w:uiPriority w:val="0"/>
    <w:rPr>
      <w:rFonts w:ascii="宋体" w:hAnsi="宋体" w:eastAsia="宋体" w:cs="宋体"/>
      <w:sz w:val="24"/>
      <w:szCs w:val="24"/>
      <w:lang w:val="en-US" w:eastAsia="en-US" w:bidi="ar-SA"/>
    </w:rPr>
  </w:style>
  <w:style w:type="table" w:customStyle="1" w:styleId="35">
    <w:name w:val="Table Normal"/>
    <w:autoRedefine/>
    <w:unhideWhenUsed/>
    <w:qFormat/>
    <w:uiPriority w:val="0"/>
    <w:tblPr>
      <w:tblCellMar>
        <w:top w:w="0" w:type="dxa"/>
        <w:left w:w="0" w:type="dxa"/>
        <w:bottom w:w="0" w:type="dxa"/>
        <w:right w:w="0" w:type="dxa"/>
      </w:tblCellMar>
    </w:tblPr>
  </w:style>
  <w:style w:type="character" w:customStyle="1" w:styleId="36">
    <w:name w:val="font51"/>
    <w:basedOn w:val="19"/>
    <w:qFormat/>
    <w:uiPriority w:val="0"/>
    <w:rPr>
      <w:rFonts w:hint="eastAsia" w:ascii="宋体" w:hAnsi="宋体" w:eastAsia="宋体" w:cs="宋体"/>
      <w:b/>
      <w:bCs/>
      <w:color w:val="000000"/>
      <w:sz w:val="21"/>
      <w:szCs w:val="21"/>
      <w:u w:val="none"/>
    </w:rPr>
  </w:style>
  <w:style w:type="character" w:customStyle="1" w:styleId="37">
    <w:name w:val="font31"/>
    <w:basedOn w:val="19"/>
    <w:qFormat/>
    <w:uiPriority w:val="0"/>
    <w:rPr>
      <w:rFonts w:hint="eastAsia" w:ascii="宋体" w:hAnsi="宋体" w:eastAsia="宋体" w:cs="宋体"/>
      <w:color w:val="000000"/>
      <w:sz w:val="21"/>
      <w:szCs w:val="21"/>
      <w:u w:val="none"/>
    </w:rPr>
  </w:style>
  <w:style w:type="character" w:customStyle="1" w:styleId="38">
    <w:name w:val="font61"/>
    <w:basedOn w:val="19"/>
    <w:qFormat/>
    <w:uiPriority w:val="0"/>
    <w:rPr>
      <w:rFonts w:hint="eastAsia" w:ascii="宋体" w:hAnsi="宋体" w:eastAsia="宋体" w:cs="宋体"/>
      <w:b/>
      <w:bCs/>
      <w:color w:val="000000"/>
      <w:sz w:val="22"/>
      <w:szCs w:val="22"/>
      <w:u w:val="none"/>
    </w:rPr>
  </w:style>
  <w:style w:type="character" w:customStyle="1" w:styleId="39">
    <w:name w:val="font81"/>
    <w:basedOn w:val="19"/>
    <w:qFormat/>
    <w:uiPriority w:val="0"/>
    <w:rPr>
      <w:rFonts w:hint="eastAsia" w:ascii="宋体" w:hAnsi="宋体" w:eastAsia="宋体" w:cs="宋体"/>
      <w:color w:val="000000"/>
      <w:sz w:val="20"/>
      <w:szCs w:val="20"/>
      <w:u w:val="none"/>
    </w:rPr>
  </w:style>
  <w:style w:type="character" w:customStyle="1" w:styleId="40">
    <w:name w:val="font01"/>
    <w:basedOn w:val="19"/>
    <w:qFormat/>
    <w:uiPriority w:val="0"/>
    <w:rPr>
      <w:rFonts w:hint="eastAsia" w:ascii="宋体" w:hAnsi="宋体" w:eastAsia="宋体" w:cs="宋体"/>
      <w:color w:val="000000"/>
      <w:sz w:val="22"/>
      <w:szCs w:val="22"/>
      <w:u w:val="none"/>
    </w:rPr>
  </w:style>
  <w:style w:type="character" w:customStyle="1" w:styleId="41">
    <w:name w:val="font101"/>
    <w:basedOn w:val="19"/>
    <w:qFormat/>
    <w:uiPriority w:val="0"/>
    <w:rPr>
      <w:rFonts w:hint="eastAsia" w:ascii="宋体" w:hAnsi="宋体" w:eastAsia="宋体" w:cs="宋体"/>
      <w:color w:val="000000"/>
      <w:sz w:val="21"/>
      <w:szCs w:val="21"/>
      <w:u w:val="none"/>
    </w:rPr>
  </w:style>
  <w:style w:type="character" w:customStyle="1" w:styleId="42">
    <w:name w:val="font112"/>
    <w:basedOn w:val="19"/>
    <w:qFormat/>
    <w:uiPriority w:val="0"/>
    <w:rPr>
      <w:rFonts w:hint="eastAsia" w:ascii="宋体" w:hAnsi="宋体" w:eastAsia="宋体" w:cs="宋体"/>
      <w:color w:val="0070C0"/>
      <w:sz w:val="20"/>
      <w:szCs w:val="20"/>
      <w:u w:val="none"/>
    </w:rPr>
  </w:style>
  <w:style w:type="character" w:customStyle="1" w:styleId="43">
    <w:name w:val="font121"/>
    <w:basedOn w:val="19"/>
    <w:qFormat/>
    <w:uiPriority w:val="0"/>
    <w:rPr>
      <w:rFonts w:hint="eastAsia" w:ascii="宋体" w:hAnsi="宋体" w:eastAsia="宋体" w:cs="宋体"/>
      <w:color w:val="000000"/>
      <w:sz w:val="20"/>
      <w:szCs w:val="20"/>
      <w:u w:val="none"/>
    </w:rPr>
  </w:style>
  <w:style w:type="character" w:customStyle="1" w:styleId="44">
    <w:name w:val="font131"/>
    <w:basedOn w:val="19"/>
    <w:qFormat/>
    <w:uiPriority w:val="0"/>
    <w:rPr>
      <w:rFonts w:hint="default" w:ascii="Times New Roman" w:hAnsi="Times New Roman" w:cs="Times New Roman"/>
      <w:color w:val="0070C0"/>
      <w:sz w:val="22"/>
      <w:szCs w:val="22"/>
      <w:u w:val="none"/>
    </w:rPr>
  </w:style>
  <w:style w:type="character" w:customStyle="1" w:styleId="45">
    <w:name w:val="font141"/>
    <w:basedOn w:val="19"/>
    <w:qFormat/>
    <w:uiPriority w:val="0"/>
    <w:rPr>
      <w:rFonts w:hint="default" w:ascii="Times New Roman" w:hAnsi="Times New Roman" w:cs="Times New Roman"/>
      <w:color w:val="000000"/>
      <w:sz w:val="22"/>
      <w:szCs w:val="22"/>
      <w:u w:val="none"/>
    </w:rPr>
  </w:style>
  <w:style w:type="character" w:customStyle="1" w:styleId="46">
    <w:name w:val="font21"/>
    <w:basedOn w:val="19"/>
    <w:qFormat/>
    <w:uiPriority w:val="0"/>
    <w:rPr>
      <w:rFonts w:hint="eastAsia" w:ascii="宋体" w:hAnsi="宋体" w:eastAsia="宋体" w:cs="宋体"/>
      <w:color w:val="000000"/>
      <w:sz w:val="22"/>
      <w:szCs w:val="22"/>
      <w:u w:val="none"/>
    </w:rPr>
  </w:style>
  <w:style w:type="character" w:customStyle="1" w:styleId="47">
    <w:name w:val="font151"/>
    <w:basedOn w:val="19"/>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86</Pages>
  <Words>1180</Words>
  <Characters>1238</Characters>
  <Lines>1</Lines>
  <Paragraphs>1</Paragraphs>
  <TotalTime>6</TotalTime>
  <ScaleCrop>false</ScaleCrop>
  <LinksUpToDate>false</LinksUpToDate>
  <CharactersWithSpaces>1271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WPS_1750420902</cp:lastModifiedBy>
  <cp:lastPrinted>2025-05-22T11:51:00Z</cp:lastPrinted>
  <dcterms:modified xsi:type="dcterms:W3CDTF">2025-07-17T04:42:50Z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738CA7A5399B4A27A039CDA860C7EEA5_13</vt:lpwstr>
  </property>
  <property fmtid="{D5CDD505-2E9C-101B-9397-08002B2CF9AE}" pid="4" name="KSOTemplateDocerSaveRecord">
    <vt:lpwstr>eyJoZGlkIjoiYWQzZDJkMTcwMGI3ODk5Y2RkZTJmNjEzOTc4ZDYzNmQiLCJ1c2VySWQiOiIxNzEyMTM0Njk0In0=</vt:lpwstr>
  </property>
</Properties>
</file>