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13E4AA"/>
    <w:p w14:paraId="7CC23AB7">
      <w:pPr>
        <w:jc w:val="center"/>
        <w:rPr>
          <w:b/>
          <w:sz w:val="84"/>
          <w:szCs w:val="84"/>
        </w:rPr>
      </w:pPr>
    </w:p>
    <w:p w14:paraId="0D576369">
      <w:pPr>
        <w:jc w:val="center"/>
        <w:rPr>
          <w:b/>
          <w:sz w:val="84"/>
          <w:szCs w:val="84"/>
        </w:rPr>
      </w:pPr>
    </w:p>
    <w:p w14:paraId="618B9D99">
      <w:pPr>
        <w:jc w:val="center"/>
        <w:rPr>
          <w:b/>
          <w:sz w:val="84"/>
          <w:szCs w:val="84"/>
        </w:rPr>
      </w:pPr>
    </w:p>
    <w:p w14:paraId="0733703D">
      <w:pPr>
        <w:jc w:val="center"/>
        <w:rPr>
          <w:b/>
          <w:sz w:val="120"/>
          <w:szCs w:val="120"/>
        </w:rPr>
      </w:pPr>
      <w:r>
        <w:rPr>
          <w:rFonts w:hint="eastAsia"/>
          <w:b/>
          <w:sz w:val="120"/>
          <w:szCs w:val="120"/>
        </w:rPr>
        <w:t>政府采购</w:t>
      </w:r>
    </w:p>
    <w:p w14:paraId="5BACE4CD">
      <w:pPr>
        <w:jc w:val="center"/>
        <w:rPr>
          <w:b/>
          <w:sz w:val="120"/>
          <w:szCs w:val="120"/>
        </w:rPr>
      </w:pPr>
      <w:r>
        <w:rPr>
          <w:rFonts w:hint="eastAsia"/>
          <w:b/>
          <w:sz w:val="120"/>
          <w:szCs w:val="120"/>
        </w:rPr>
        <w:t>招标文件</w:t>
      </w:r>
    </w:p>
    <w:p w14:paraId="0859AE20"/>
    <w:p w14:paraId="0B67BBFF"/>
    <w:p w14:paraId="798509B9"/>
    <w:p w14:paraId="52DDAC8B"/>
    <w:p w14:paraId="598485C9"/>
    <w:p w14:paraId="5794981B"/>
    <w:p w14:paraId="5A6FB770"/>
    <w:p w14:paraId="7BA54890"/>
    <w:p w14:paraId="37CA879B"/>
    <w:p w14:paraId="56B81599"/>
    <w:p w14:paraId="64E9CC38"/>
    <w:p w14:paraId="428CB892"/>
    <w:p w14:paraId="1379E292">
      <w:pPr>
        <w:jc w:val="center"/>
        <w:rPr>
          <w:rFonts w:hint="eastAsia" w:eastAsia="宋体"/>
          <w:b/>
          <w:sz w:val="44"/>
          <w:szCs w:val="44"/>
          <w:lang w:eastAsia="zh-CN"/>
        </w:rPr>
      </w:pPr>
      <w:r>
        <w:rPr>
          <w:rFonts w:hint="eastAsia" w:eastAsia="宋体"/>
          <w:b/>
          <w:sz w:val="44"/>
          <w:szCs w:val="44"/>
          <w:lang w:eastAsia="zh-CN"/>
        </w:rPr>
        <w:t>喀什市招投标中心</w:t>
      </w:r>
    </w:p>
    <w:p w14:paraId="423DDFEC">
      <w:pPr>
        <w:rPr>
          <w:rFonts w:ascii="宋体" w:hAnsi="宋体" w:eastAsia="黑体"/>
          <w:b/>
          <w:bCs/>
          <w:color w:val="0000FF"/>
          <w:kern w:val="44"/>
          <w:sz w:val="36"/>
          <w:szCs w:val="44"/>
        </w:rPr>
      </w:pPr>
      <w:r>
        <w:br w:type="page"/>
      </w:r>
    </w:p>
    <w:p w14:paraId="033A1F71">
      <w:pPr>
        <w:keepNext/>
        <w:keepLines/>
        <w:spacing w:before="340" w:after="60" w:afterLines="25" w:line="578" w:lineRule="auto"/>
        <w:jc w:val="center"/>
        <w:outlineLvl w:val="0"/>
        <w:rPr>
          <w:rFonts w:ascii="Arial" w:hAnsi="Arial" w:eastAsia="宋体"/>
          <w:b/>
          <w:bCs/>
          <w:kern w:val="44"/>
          <w:sz w:val="32"/>
          <w:szCs w:val="32"/>
        </w:rPr>
      </w:pPr>
      <w:r>
        <w:rPr>
          <w:rFonts w:hint="eastAsia" w:ascii="Arial" w:hAnsi="Arial" w:eastAsia="宋体"/>
          <w:b/>
          <w:bCs/>
          <w:kern w:val="44"/>
          <w:sz w:val="32"/>
          <w:szCs w:val="32"/>
        </w:rPr>
        <w:t>目录</w:t>
      </w:r>
    </w:p>
    <w:p w14:paraId="702F7BAD">
      <w:pPr>
        <w:outlineLvl w:val="0"/>
        <w:rPr>
          <w:b/>
        </w:rPr>
      </w:pPr>
      <w:r>
        <w:rPr>
          <w:rFonts w:hint="eastAsia"/>
          <w:b/>
        </w:rPr>
        <w:t>第一册专用条款</w:t>
      </w:r>
    </w:p>
    <w:p w14:paraId="6D5B71C8">
      <w:pPr>
        <w:rPr>
          <w:b/>
        </w:rPr>
      </w:pPr>
      <w:r>
        <w:rPr>
          <w:rFonts w:hint="eastAsia"/>
          <w:b/>
        </w:rPr>
        <w:tab/>
      </w:r>
      <w:r>
        <w:rPr>
          <w:rFonts w:hint="eastAsia"/>
          <w:b/>
        </w:rPr>
        <w:t>关键信息</w:t>
      </w:r>
    </w:p>
    <w:p w14:paraId="3ECB8251">
      <w:pPr>
        <w:ind w:left="720" w:leftChars="300" w:firstLine="470" w:firstLineChars="196"/>
        <w:rPr>
          <w:rFonts w:ascii="宋体" w:hAnsi="宋体"/>
          <w:szCs w:val="21"/>
        </w:rPr>
      </w:pPr>
      <w:r>
        <w:rPr>
          <w:rFonts w:hint="eastAsia" w:ascii="宋体" w:hAnsi="宋体"/>
          <w:szCs w:val="21"/>
        </w:rPr>
        <w:t>第一章  招标公告</w:t>
      </w:r>
    </w:p>
    <w:p w14:paraId="782B6E26">
      <w:pPr>
        <w:ind w:left="720" w:leftChars="300" w:firstLine="470" w:firstLineChars="196"/>
        <w:rPr>
          <w:rFonts w:ascii="宋体" w:hAnsi="宋体"/>
          <w:szCs w:val="21"/>
        </w:rPr>
      </w:pPr>
      <w:r>
        <w:rPr>
          <w:rFonts w:hint="eastAsia" w:ascii="宋体" w:hAnsi="宋体"/>
          <w:szCs w:val="21"/>
        </w:rPr>
        <w:t>第二章  对通用条款的补充内容及其他关键信息</w:t>
      </w:r>
    </w:p>
    <w:p w14:paraId="7F8C1D22">
      <w:pPr>
        <w:ind w:left="720" w:leftChars="300" w:firstLine="470" w:firstLineChars="196"/>
        <w:rPr>
          <w:rFonts w:ascii="宋体" w:hAnsi="宋体"/>
          <w:szCs w:val="21"/>
        </w:rPr>
      </w:pPr>
      <w:r>
        <w:rPr>
          <w:rFonts w:hint="eastAsia" w:ascii="宋体" w:hAnsi="宋体"/>
          <w:szCs w:val="21"/>
        </w:rPr>
        <w:t>第三章 用户需求书</w:t>
      </w:r>
    </w:p>
    <w:p w14:paraId="4A52C194">
      <w:pPr>
        <w:ind w:left="720" w:leftChars="300" w:firstLine="470" w:firstLineChars="196"/>
        <w:rPr>
          <w:rFonts w:ascii="宋体" w:hAnsi="宋体"/>
          <w:szCs w:val="21"/>
        </w:rPr>
      </w:pPr>
      <w:r>
        <w:rPr>
          <w:rFonts w:hint="eastAsia" w:ascii="宋体" w:hAnsi="宋体"/>
          <w:szCs w:val="21"/>
        </w:rPr>
        <w:t>第四章 投标文件组成要求及格式</w:t>
      </w:r>
    </w:p>
    <w:p w14:paraId="664ECA41">
      <w:pPr>
        <w:ind w:left="720" w:leftChars="300" w:firstLine="470" w:firstLineChars="196"/>
        <w:rPr>
          <w:rFonts w:ascii="宋体" w:hAnsi="宋体"/>
          <w:szCs w:val="21"/>
        </w:rPr>
      </w:pPr>
      <w:r>
        <w:rPr>
          <w:rFonts w:hint="eastAsia" w:ascii="宋体" w:hAnsi="宋体"/>
          <w:szCs w:val="21"/>
        </w:rPr>
        <w:t>第五章  合同条款及格式</w:t>
      </w:r>
    </w:p>
    <w:p w14:paraId="66873B7F">
      <w:pPr>
        <w:rPr>
          <w:b/>
        </w:rPr>
      </w:pPr>
    </w:p>
    <w:p w14:paraId="67DFD5AA">
      <w:pPr>
        <w:outlineLvl w:val="0"/>
        <w:rPr>
          <w:b/>
        </w:rPr>
      </w:pPr>
      <w:r>
        <w:rPr>
          <w:rFonts w:hint="eastAsia"/>
          <w:b/>
        </w:rPr>
        <w:t>第二册通用条款</w:t>
      </w:r>
    </w:p>
    <w:p w14:paraId="79D98460">
      <w:pPr>
        <w:ind w:left="720" w:leftChars="300" w:firstLine="470" w:firstLineChars="196"/>
        <w:rPr>
          <w:rFonts w:ascii="宋体" w:hAnsi="宋体"/>
          <w:szCs w:val="21"/>
        </w:rPr>
      </w:pPr>
      <w:r>
        <w:rPr>
          <w:rFonts w:hint="eastAsia" w:ascii="宋体" w:hAnsi="宋体"/>
          <w:szCs w:val="21"/>
        </w:rPr>
        <w:t>第一章  总则</w:t>
      </w:r>
    </w:p>
    <w:p w14:paraId="5F8C067E">
      <w:pPr>
        <w:ind w:left="720" w:leftChars="300" w:firstLine="470" w:firstLineChars="196"/>
        <w:rPr>
          <w:rFonts w:ascii="宋体" w:hAnsi="宋体"/>
          <w:szCs w:val="21"/>
        </w:rPr>
      </w:pPr>
      <w:r>
        <w:rPr>
          <w:rFonts w:hint="eastAsia" w:ascii="宋体" w:hAnsi="宋体"/>
          <w:szCs w:val="21"/>
        </w:rPr>
        <w:t>第二章  招标文件</w:t>
      </w:r>
    </w:p>
    <w:p w14:paraId="2F92EF8C">
      <w:pPr>
        <w:ind w:left="720" w:leftChars="300" w:firstLine="470" w:firstLineChars="196"/>
        <w:rPr>
          <w:rFonts w:ascii="宋体" w:hAnsi="宋体"/>
          <w:szCs w:val="21"/>
        </w:rPr>
      </w:pPr>
      <w:r>
        <w:rPr>
          <w:rFonts w:hint="eastAsia" w:ascii="宋体" w:hAnsi="宋体"/>
          <w:szCs w:val="21"/>
        </w:rPr>
        <w:t>第三章  投标文件的编制</w:t>
      </w:r>
    </w:p>
    <w:p w14:paraId="75E6F2A6">
      <w:pPr>
        <w:ind w:left="720" w:leftChars="300" w:firstLine="470" w:firstLineChars="196"/>
        <w:rPr>
          <w:rFonts w:ascii="宋体" w:hAnsi="宋体"/>
          <w:szCs w:val="21"/>
        </w:rPr>
      </w:pPr>
      <w:r>
        <w:rPr>
          <w:rFonts w:hint="eastAsia" w:ascii="宋体" w:hAnsi="宋体"/>
          <w:szCs w:val="21"/>
        </w:rPr>
        <w:t>第四章  投标文件的递交</w:t>
      </w:r>
    </w:p>
    <w:p w14:paraId="66A11888">
      <w:pPr>
        <w:ind w:left="720" w:leftChars="300" w:firstLine="470" w:firstLineChars="196"/>
        <w:rPr>
          <w:rFonts w:ascii="宋体" w:hAnsi="宋体"/>
          <w:szCs w:val="21"/>
        </w:rPr>
      </w:pPr>
      <w:r>
        <w:rPr>
          <w:rFonts w:hint="eastAsia" w:ascii="宋体" w:hAnsi="宋体"/>
          <w:szCs w:val="21"/>
        </w:rPr>
        <w:t>第五章  开标</w:t>
      </w:r>
    </w:p>
    <w:p w14:paraId="304BBAE5">
      <w:pPr>
        <w:ind w:left="720" w:leftChars="300" w:firstLine="470" w:firstLineChars="196"/>
        <w:rPr>
          <w:rFonts w:ascii="宋体" w:hAnsi="宋体"/>
          <w:szCs w:val="21"/>
        </w:rPr>
      </w:pPr>
      <w:r>
        <w:rPr>
          <w:rFonts w:hint="eastAsia" w:ascii="宋体" w:hAnsi="宋体"/>
          <w:szCs w:val="21"/>
        </w:rPr>
        <w:t>第六章  评审要求</w:t>
      </w:r>
    </w:p>
    <w:p w14:paraId="1F06CFCA">
      <w:pPr>
        <w:ind w:left="720" w:leftChars="300" w:firstLine="470" w:firstLineChars="196"/>
        <w:rPr>
          <w:rFonts w:ascii="宋体" w:hAnsi="宋体"/>
          <w:szCs w:val="21"/>
        </w:rPr>
      </w:pPr>
      <w:r>
        <w:rPr>
          <w:rFonts w:hint="eastAsia" w:ascii="宋体" w:hAnsi="宋体"/>
          <w:szCs w:val="21"/>
        </w:rPr>
        <w:t>第七章  评审程序及评审方法</w:t>
      </w:r>
    </w:p>
    <w:p w14:paraId="2A6A4D88">
      <w:pPr>
        <w:ind w:left="720" w:leftChars="300" w:firstLine="470" w:firstLineChars="196"/>
        <w:rPr>
          <w:rFonts w:ascii="宋体" w:hAnsi="宋体"/>
          <w:szCs w:val="21"/>
        </w:rPr>
      </w:pPr>
      <w:r>
        <w:rPr>
          <w:rFonts w:hint="eastAsia" w:ascii="宋体" w:hAnsi="宋体"/>
          <w:szCs w:val="21"/>
        </w:rPr>
        <w:t>第八章  定标及公示</w:t>
      </w:r>
    </w:p>
    <w:p w14:paraId="458E265C">
      <w:pPr>
        <w:ind w:left="720" w:leftChars="300" w:firstLine="470" w:firstLineChars="196"/>
        <w:rPr>
          <w:rFonts w:ascii="宋体" w:hAnsi="宋体"/>
          <w:szCs w:val="21"/>
        </w:rPr>
      </w:pPr>
      <w:r>
        <w:rPr>
          <w:rFonts w:hint="eastAsia" w:ascii="宋体" w:hAnsi="宋体"/>
          <w:szCs w:val="21"/>
        </w:rPr>
        <w:t>第九章  公开招标失败的后续处理</w:t>
      </w:r>
    </w:p>
    <w:p w14:paraId="66E04445">
      <w:pPr>
        <w:ind w:left="720" w:leftChars="300" w:firstLine="470" w:firstLineChars="196"/>
        <w:rPr>
          <w:rFonts w:ascii="宋体" w:hAnsi="宋体"/>
          <w:szCs w:val="21"/>
        </w:rPr>
      </w:pPr>
      <w:r>
        <w:rPr>
          <w:rFonts w:hint="eastAsia" w:ascii="宋体" w:hAnsi="宋体"/>
          <w:szCs w:val="21"/>
        </w:rPr>
        <w:t>第十章  合同的授予与备案</w:t>
      </w:r>
    </w:p>
    <w:p w14:paraId="542A1ABF">
      <w:r>
        <w:rPr>
          <w:rFonts w:hint="eastAsia"/>
        </w:rPr>
        <w:t>第十一章质疑处理</w:t>
      </w:r>
    </w:p>
    <w:p w14:paraId="4AEBE60E"/>
    <w:p w14:paraId="57E107BD"/>
    <w:p w14:paraId="611DB525">
      <w:r>
        <w:br w:type="page"/>
      </w:r>
    </w:p>
    <w:p w14:paraId="2C29DCBD">
      <w:pPr>
        <w:pStyle w:val="25"/>
        <w:spacing w:after="60"/>
        <w:jc w:val="center"/>
        <w:rPr>
          <w:sz w:val="32"/>
          <w:szCs w:val="32"/>
        </w:rPr>
      </w:pPr>
      <w:r>
        <w:rPr>
          <w:rFonts w:hint="eastAsia"/>
          <w:sz w:val="32"/>
          <w:szCs w:val="32"/>
        </w:rPr>
        <w:t>第一册专用条款</w:t>
      </w:r>
    </w:p>
    <w:p w14:paraId="51EF4617">
      <w:pPr>
        <w:tabs>
          <w:tab w:val="left" w:pos="2790"/>
        </w:tabs>
        <w:snapToGrid w:val="0"/>
        <w:jc w:val="center"/>
        <w:rPr>
          <w:b/>
        </w:rPr>
      </w:pPr>
      <w:r>
        <w:rPr>
          <w:rFonts w:hint="eastAsia"/>
          <w:b/>
        </w:rPr>
        <w:t>关键信息</w:t>
      </w:r>
    </w:p>
    <w:p w14:paraId="43307104">
      <w:pPr>
        <w:tabs>
          <w:tab w:val="left" w:pos="2790"/>
        </w:tabs>
        <w:snapToGrid w:val="0"/>
        <w:rPr>
          <w:rFonts w:hint="eastAsia" w:eastAsia="宋体"/>
          <w:lang w:eastAsia="zh-CN"/>
        </w:rPr>
      </w:pPr>
      <w:r>
        <w:t>项目编号：</w:t>
      </w:r>
      <w:r>
        <w:rPr>
          <w:rFonts w:hint="eastAsia" w:eastAsia="宋体"/>
          <w:lang w:eastAsia="zh-CN"/>
        </w:rPr>
        <w:t>KSS(GK)2025-027</w:t>
      </w:r>
    </w:p>
    <w:p w14:paraId="33D3FDBC">
      <w:pPr>
        <w:tabs>
          <w:tab w:val="left" w:pos="2790"/>
        </w:tabs>
        <w:snapToGrid w:val="0"/>
        <w:rPr>
          <w:rFonts w:hint="eastAsia" w:eastAsia="宋体"/>
          <w:lang w:eastAsia="zh-CN"/>
        </w:rPr>
      </w:pPr>
      <w:r>
        <w:t>项目名称：</w:t>
      </w:r>
      <w:r>
        <w:rPr>
          <w:rFonts w:hint="eastAsia" w:ascii="宋体" w:hAnsi="宋体" w:eastAsia="宋体" w:cs="宋体"/>
          <w:lang w:eastAsia="zh-CN"/>
        </w:rPr>
        <w:t>喀什市青少年科学教育活动基地物业服务</w:t>
      </w:r>
    </w:p>
    <w:p w14:paraId="6BD0D8EE">
      <w:pPr>
        <w:tabs>
          <w:tab w:val="left" w:pos="2790"/>
        </w:tabs>
        <w:snapToGrid w:val="0"/>
        <w:rPr>
          <w:rFonts w:hint="eastAsia" w:eastAsia="宋体"/>
          <w:lang w:eastAsia="zh-CN"/>
        </w:rPr>
      </w:pPr>
      <w:r>
        <w:t>采购</w:t>
      </w:r>
      <w:r>
        <w:rPr>
          <w:rFonts w:hint="eastAsia"/>
        </w:rPr>
        <w:t>单位</w:t>
      </w:r>
      <w:r>
        <w:t>：</w:t>
      </w:r>
      <w:r>
        <w:rPr>
          <w:rFonts w:hint="eastAsia" w:ascii="Arial" w:hAnsi="Arial" w:eastAsia="宋体" w:cs="Arial"/>
          <w:u w:val="single"/>
          <w:lang w:eastAsia="zh-CN"/>
        </w:rPr>
        <w:t>喀什市科学技术局</w:t>
      </w:r>
    </w:p>
    <w:p w14:paraId="198700A0">
      <w:pPr>
        <w:tabs>
          <w:tab w:val="left" w:pos="2790"/>
        </w:tabs>
        <w:snapToGrid w:val="0"/>
      </w:pPr>
      <w:r>
        <w:rPr>
          <w:rFonts w:hint="eastAsia"/>
        </w:rPr>
        <w:t>项目类型：</w:t>
      </w:r>
      <w:r>
        <w:rPr>
          <w:rFonts w:hint="eastAsia" w:eastAsia="宋体"/>
          <w:lang w:eastAsia="zh-CN"/>
        </w:rPr>
        <w:t>服务类</w:t>
      </w:r>
    </w:p>
    <w:p w14:paraId="701A4A3A">
      <w:pPr>
        <w:tabs>
          <w:tab w:val="left" w:pos="2790"/>
        </w:tabs>
        <w:snapToGrid w:val="0"/>
      </w:pPr>
      <w:r>
        <w:rPr>
          <w:rFonts w:hint="eastAsia"/>
        </w:rPr>
        <w:t>评审方法：综合评分法</w:t>
      </w:r>
    </w:p>
    <w:tbl>
      <w:tblPr>
        <w:tblStyle w:val="19"/>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8229"/>
      </w:tblGrid>
      <w:tr w14:paraId="410A5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gridSpan w:val="2"/>
          </w:tcPr>
          <w:p w14:paraId="7319C085">
            <w:pPr>
              <w:jc w:val="center"/>
              <w:rPr>
                <w:rFonts w:ascii="Calibri" w:hAnsi="Calibri" w:eastAsia="宋体"/>
                <w:b/>
              </w:rPr>
            </w:pPr>
            <w:r>
              <w:rPr>
                <w:rFonts w:hint="eastAsia" w:ascii="Calibri" w:hAnsi="Calibri" w:eastAsia="宋体"/>
                <w:b/>
              </w:rPr>
              <w:t>资格性检查表</w:t>
            </w:r>
          </w:p>
        </w:tc>
      </w:tr>
      <w:tr w14:paraId="6F89B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77CE64D8">
            <w:pPr>
              <w:rPr>
                <w:rFonts w:ascii="Calibri" w:hAnsi="Calibri" w:eastAsia="宋体"/>
              </w:rPr>
            </w:pPr>
            <w:r>
              <w:rPr>
                <w:rFonts w:ascii="Calibri" w:hAnsi="Calibri" w:eastAsia="宋体"/>
              </w:rPr>
              <w:t>1</w:t>
            </w:r>
          </w:p>
        </w:tc>
        <w:tc>
          <w:tcPr>
            <w:tcW w:w="8229" w:type="dxa"/>
          </w:tcPr>
          <w:p w14:paraId="36AFA2EB">
            <w:pPr>
              <w:rPr>
                <w:rFonts w:ascii="Calibri" w:hAnsi="Calibri" w:eastAsia="宋体"/>
              </w:rPr>
            </w:pPr>
            <w:r>
              <w:rPr>
                <w:rFonts w:hint="eastAsia" w:ascii="Calibri" w:hAnsi="Calibri" w:eastAsia="宋体"/>
              </w:rPr>
              <w:t>投标人符合资格要求，并按要求提供资格证明材料（</w:t>
            </w:r>
            <w:r>
              <w:rPr>
                <w:rFonts w:ascii="Calibri" w:hAnsi="Calibri" w:eastAsia="宋体"/>
              </w:rPr>
              <w:t>详见招标公告</w:t>
            </w:r>
            <w:r>
              <w:rPr>
                <w:rFonts w:hint="eastAsia" w:ascii="Calibri" w:hAnsi="Calibri" w:eastAsia="宋体"/>
              </w:rPr>
              <w:t>投标人资格要求，即申请人的资格要求）。</w:t>
            </w:r>
          </w:p>
        </w:tc>
      </w:tr>
      <w:tr w14:paraId="7B953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gridSpan w:val="2"/>
          </w:tcPr>
          <w:p w14:paraId="161A3019">
            <w:pPr>
              <w:jc w:val="center"/>
              <w:rPr>
                <w:rFonts w:ascii="Calibri" w:hAnsi="Calibri" w:eastAsia="宋体"/>
                <w:b/>
              </w:rPr>
            </w:pPr>
            <w:r>
              <w:rPr>
                <w:rFonts w:hint="eastAsia" w:ascii="Calibri" w:hAnsi="Calibri" w:eastAsia="宋体"/>
                <w:b/>
              </w:rPr>
              <w:t>符合性检查表</w:t>
            </w:r>
          </w:p>
        </w:tc>
      </w:tr>
      <w:tr w14:paraId="5C304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5FD90DEB">
            <w:pPr>
              <w:rPr>
                <w:rFonts w:ascii="Calibri" w:hAnsi="Calibri" w:eastAsia="宋体"/>
              </w:rPr>
            </w:pPr>
            <w:r>
              <w:rPr>
                <w:rFonts w:ascii="Calibri" w:hAnsi="Calibri" w:eastAsia="宋体"/>
              </w:rPr>
              <w:t>1</w:t>
            </w:r>
          </w:p>
        </w:tc>
        <w:tc>
          <w:tcPr>
            <w:tcW w:w="8229" w:type="dxa"/>
          </w:tcPr>
          <w:p w14:paraId="6F0D263D">
            <w:pPr>
              <w:rPr>
                <w:rFonts w:ascii="Calibri" w:hAnsi="Calibri" w:eastAsia="宋体"/>
              </w:rPr>
            </w:pPr>
            <w:r>
              <w:rPr>
                <w:rFonts w:ascii="Calibri" w:hAnsi="Calibri" w:eastAsia="宋体"/>
              </w:rPr>
              <w:t>按要求提供法定代表人证明书及法定代表人授权书。</w:t>
            </w:r>
          </w:p>
        </w:tc>
      </w:tr>
      <w:tr w14:paraId="00A8C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2C5EE2FF">
            <w:pPr>
              <w:rPr>
                <w:rFonts w:ascii="Calibri" w:hAnsi="Calibri" w:eastAsia="宋体"/>
              </w:rPr>
            </w:pPr>
            <w:r>
              <w:rPr>
                <w:rFonts w:ascii="Calibri" w:hAnsi="Calibri" w:eastAsia="宋体"/>
              </w:rPr>
              <w:t>2</w:t>
            </w:r>
          </w:p>
        </w:tc>
        <w:tc>
          <w:tcPr>
            <w:tcW w:w="8229" w:type="dxa"/>
          </w:tcPr>
          <w:p w14:paraId="4FB94B06">
            <w:pPr>
              <w:rPr>
                <w:rFonts w:ascii="Calibri" w:hAnsi="Calibri" w:eastAsia="宋体"/>
              </w:rPr>
            </w:pPr>
            <w:r>
              <w:rPr>
                <w:rFonts w:hint="eastAsia" w:ascii="Calibri" w:hAnsi="Calibri" w:eastAsia="宋体"/>
              </w:rPr>
              <w:t>按要求提供《投标函》</w:t>
            </w:r>
            <w:r>
              <w:rPr>
                <w:rFonts w:ascii="Calibri" w:hAnsi="Calibri" w:eastAsia="宋体"/>
              </w:rPr>
              <w:t>。</w:t>
            </w:r>
          </w:p>
        </w:tc>
      </w:tr>
      <w:tr w14:paraId="6D219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65209505">
            <w:pPr>
              <w:rPr>
                <w:rFonts w:ascii="Calibri" w:hAnsi="Calibri" w:eastAsia="宋体"/>
              </w:rPr>
            </w:pPr>
            <w:r>
              <w:rPr>
                <w:rFonts w:ascii="Calibri" w:hAnsi="Calibri" w:eastAsia="宋体"/>
              </w:rPr>
              <w:t>3</w:t>
            </w:r>
          </w:p>
        </w:tc>
        <w:tc>
          <w:tcPr>
            <w:tcW w:w="8229" w:type="dxa"/>
          </w:tcPr>
          <w:p w14:paraId="1EDEDAFF">
            <w:pPr>
              <w:rPr>
                <w:rFonts w:ascii="Calibri" w:hAnsi="Calibri" w:eastAsia="宋体"/>
              </w:rPr>
            </w:pPr>
            <w:r>
              <w:rPr>
                <w:rFonts w:ascii="Calibri" w:hAnsi="Calibri" w:eastAsia="宋体"/>
              </w:rPr>
              <w:t>投标报价符合相关法律法规所规定的标准要求，同时符合招标文件要求。</w:t>
            </w:r>
            <w:r>
              <w:rPr>
                <w:rFonts w:hint="eastAsia" w:ascii="Calibri" w:hAnsi="Calibri" w:eastAsia="宋体"/>
              </w:rPr>
              <w:t>投标报价无缺漏项，且符合招标文件规定的项目需求内容或者需求数量。</w:t>
            </w:r>
          </w:p>
        </w:tc>
      </w:tr>
      <w:tr w14:paraId="0D2BD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1599720F">
            <w:pPr>
              <w:rPr>
                <w:rFonts w:ascii="Calibri" w:hAnsi="Calibri" w:eastAsia="宋体"/>
              </w:rPr>
            </w:pPr>
            <w:r>
              <w:rPr>
                <w:rFonts w:ascii="Calibri" w:hAnsi="Calibri" w:eastAsia="宋体"/>
              </w:rPr>
              <w:t>4</w:t>
            </w:r>
          </w:p>
        </w:tc>
        <w:tc>
          <w:tcPr>
            <w:tcW w:w="8229" w:type="dxa"/>
          </w:tcPr>
          <w:p w14:paraId="73FE7B3D">
            <w:pPr>
              <w:rPr>
                <w:rFonts w:ascii="Calibri" w:hAnsi="Calibri" w:eastAsia="宋体"/>
              </w:rPr>
            </w:pPr>
            <w:r>
              <w:rPr>
                <w:rFonts w:hint="eastAsia" w:ascii="Calibri" w:hAnsi="Calibri" w:eastAsia="宋体"/>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58FB6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25FC8ECA">
            <w:pPr>
              <w:rPr>
                <w:rFonts w:ascii="Calibri" w:hAnsi="Calibri" w:eastAsia="宋体"/>
              </w:rPr>
            </w:pPr>
            <w:r>
              <w:rPr>
                <w:rFonts w:ascii="Calibri" w:hAnsi="Calibri" w:eastAsia="宋体"/>
              </w:rPr>
              <w:t>5</w:t>
            </w:r>
          </w:p>
        </w:tc>
        <w:tc>
          <w:tcPr>
            <w:tcW w:w="8229" w:type="dxa"/>
          </w:tcPr>
          <w:p w14:paraId="24F1211B">
            <w:pPr>
              <w:rPr>
                <w:rFonts w:ascii="Calibri" w:hAnsi="Calibri" w:eastAsia="宋体"/>
              </w:rPr>
            </w:pPr>
            <w:r>
              <w:rPr>
                <w:rFonts w:hint="eastAsia" w:ascii="Calibri" w:hAnsi="Calibri" w:eastAsia="宋体"/>
              </w:rPr>
              <w:t>对同一项目投标时，不得同时提供两套或两套以上的方案（招标文件另有规定的除外）。</w:t>
            </w:r>
          </w:p>
        </w:tc>
      </w:tr>
      <w:tr w14:paraId="6D46A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42AD8317">
            <w:pPr>
              <w:rPr>
                <w:rFonts w:ascii="Calibri" w:hAnsi="Calibri" w:eastAsia="宋体"/>
              </w:rPr>
            </w:pPr>
            <w:r>
              <w:rPr>
                <w:rFonts w:ascii="Calibri" w:hAnsi="Calibri" w:eastAsia="宋体"/>
              </w:rPr>
              <w:t>6</w:t>
            </w:r>
          </w:p>
        </w:tc>
        <w:tc>
          <w:tcPr>
            <w:tcW w:w="8229" w:type="dxa"/>
          </w:tcPr>
          <w:p w14:paraId="40EFF9EC">
            <w:pPr>
              <w:rPr>
                <w:rFonts w:ascii="Calibri" w:hAnsi="Calibri" w:eastAsia="宋体"/>
              </w:rPr>
            </w:pPr>
            <w:r>
              <w:rPr>
                <w:rFonts w:ascii="Calibri" w:hAnsi="Calibri" w:eastAsia="宋体"/>
              </w:rPr>
              <w:t>可只对其中一个包或几个包内容进行投标（如有的话），但不得将一个包中的内容拆开投标。</w:t>
            </w:r>
          </w:p>
        </w:tc>
      </w:tr>
      <w:tr w14:paraId="7EF16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2755A94C">
            <w:pPr>
              <w:rPr>
                <w:rFonts w:hint="eastAsia" w:ascii="Calibri" w:hAnsi="Calibri" w:eastAsia="宋体"/>
                <w:lang w:val="en-US" w:eastAsia="zh-CN"/>
              </w:rPr>
            </w:pPr>
            <w:r>
              <w:rPr>
                <w:rFonts w:hint="eastAsia" w:ascii="Calibri" w:hAnsi="Calibri" w:eastAsia="宋体"/>
                <w:lang w:val="en-US" w:eastAsia="zh-CN"/>
              </w:rPr>
              <w:t>7</w:t>
            </w:r>
          </w:p>
        </w:tc>
        <w:tc>
          <w:tcPr>
            <w:tcW w:w="8229" w:type="dxa"/>
          </w:tcPr>
          <w:p w14:paraId="22CF040B">
            <w:pPr>
              <w:rPr>
                <w:rFonts w:hint="eastAsia" w:ascii="Calibri" w:hAnsi="Calibri" w:eastAsia="宋体"/>
              </w:rPr>
            </w:pPr>
            <w:r>
              <w:rPr>
                <w:rFonts w:hint="eastAsia" w:ascii="Calibri" w:hAnsi="Calibri" w:eastAsia="宋体"/>
                <w:lang w:eastAsia="zh-CN"/>
              </w:rPr>
              <w:t>投标或响应</w:t>
            </w:r>
            <w:r>
              <w:rPr>
                <w:rFonts w:hint="eastAsia" w:ascii="Calibri" w:hAnsi="Calibri" w:eastAsia="宋体"/>
              </w:rPr>
              <w:t>文件不得使用非本项目最新加密规则文件</w:t>
            </w:r>
            <w:r>
              <w:rPr>
                <w:rFonts w:hint="eastAsia" w:ascii="Calibri" w:hAnsi="Calibri" w:eastAsia="宋体"/>
                <w:lang w:eastAsia="zh-CN"/>
              </w:rPr>
              <w:t>，</w:t>
            </w:r>
            <w:r>
              <w:rPr>
                <w:rFonts w:hint="eastAsia" w:ascii="Calibri" w:hAnsi="Calibri" w:eastAsia="宋体"/>
              </w:rPr>
              <w:t>否则将导致</w:t>
            </w:r>
            <w:r>
              <w:rPr>
                <w:rFonts w:hint="eastAsia" w:ascii="Calibri" w:hAnsi="Calibri" w:eastAsia="宋体"/>
                <w:lang w:eastAsia="zh-CN"/>
              </w:rPr>
              <w:t>投标或响应</w:t>
            </w:r>
            <w:r>
              <w:rPr>
                <w:rFonts w:hint="eastAsia" w:ascii="Calibri" w:hAnsi="Calibri" w:eastAsia="宋体"/>
              </w:rPr>
              <w:t>文件不能在开标时解密。</w:t>
            </w:r>
          </w:p>
          <w:p w14:paraId="39808055">
            <w:pPr>
              <w:rPr>
                <w:rFonts w:ascii="Calibri" w:hAnsi="Calibri" w:eastAsia="宋体"/>
              </w:rPr>
            </w:pPr>
            <w:r>
              <w:rPr>
                <w:rFonts w:hint="eastAsia" w:ascii="Calibri" w:hAnsi="Calibri" w:eastAsia="宋体"/>
              </w:rPr>
              <w:t>因供应商自身原因导致在规定时间内无法正常解密的（如：浏览器故障、未安装相关驱动、网络故障、加密CA与解密CA不一致等）</w:t>
            </w:r>
            <w:r>
              <w:rPr>
                <w:rFonts w:hint="eastAsia" w:ascii="Calibri" w:hAnsi="Calibri" w:eastAsia="宋体"/>
                <w:lang w:eastAsia="zh-CN"/>
              </w:rPr>
              <w:t>，将视为投标或响应</w:t>
            </w:r>
            <w:r>
              <w:rPr>
                <w:rFonts w:ascii="Calibri" w:hAnsi="Calibri" w:eastAsia="宋体"/>
              </w:rPr>
              <w:t>无效</w:t>
            </w:r>
            <w:r>
              <w:rPr>
                <w:rFonts w:hint="eastAsia" w:ascii="Calibri" w:hAnsi="Calibri" w:eastAsia="宋体"/>
                <w:lang w:eastAsia="zh-CN"/>
              </w:rPr>
              <w:t>。</w:t>
            </w:r>
          </w:p>
        </w:tc>
      </w:tr>
      <w:tr w14:paraId="1C564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34EF2FBB">
            <w:pPr>
              <w:rPr>
                <w:rFonts w:hint="eastAsia" w:ascii="Calibri" w:hAnsi="Calibri" w:eastAsia="宋体"/>
                <w:lang w:val="en-US" w:eastAsia="zh-CN"/>
              </w:rPr>
            </w:pPr>
            <w:r>
              <w:rPr>
                <w:rFonts w:hint="eastAsia" w:ascii="Calibri" w:hAnsi="Calibri" w:eastAsia="宋体"/>
                <w:lang w:val="en-US" w:eastAsia="zh-CN"/>
              </w:rPr>
              <w:t>8</w:t>
            </w:r>
          </w:p>
        </w:tc>
        <w:tc>
          <w:tcPr>
            <w:tcW w:w="8229" w:type="dxa"/>
          </w:tcPr>
          <w:p w14:paraId="6E036466">
            <w:pPr>
              <w:rPr>
                <w:rFonts w:ascii="Calibri" w:hAnsi="Calibri" w:eastAsia="宋体"/>
              </w:rPr>
            </w:pPr>
            <w:r>
              <w:rPr>
                <w:rFonts w:hint="eastAsia" w:ascii="Calibri" w:hAnsi="Calibri" w:eastAsia="宋体"/>
              </w:rPr>
              <w:t>投标文件电子文档不得携带病毒。</w:t>
            </w:r>
          </w:p>
        </w:tc>
      </w:tr>
      <w:tr w14:paraId="456EC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14:paraId="472A4E9E">
            <w:pPr>
              <w:rPr>
                <w:rFonts w:ascii="Calibri" w:hAnsi="Calibri" w:eastAsia="宋体"/>
              </w:rPr>
            </w:pPr>
            <w:r>
              <w:rPr>
                <w:rFonts w:ascii="Calibri" w:hAnsi="Calibri" w:eastAsia="宋体"/>
              </w:rPr>
              <w:t>9</w:t>
            </w:r>
          </w:p>
        </w:tc>
        <w:tc>
          <w:tcPr>
            <w:tcW w:w="8229" w:type="dxa"/>
          </w:tcPr>
          <w:p w14:paraId="66CF5285">
            <w:pPr>
              <w:rPr>
                <w:rFonts w:ascii="Calibri" w:hAnsi="Calibri" w:eastAsia="宋体"/>
              </w:rPr>
            </w:pPr>
            <w:r>
              <w:rPr>
                <w:rFonts w:ascii="Calibri" w:hAnsi="Calibri" w:eastAsia="宋体"/>
              </w:rPr>
              <w:t>对招标文件中带</w:t>
            </w:r>
            <w:r>
              <w:rPr>
                <w:rFonts w:hint="eastAsia" w:ascii="Calibri" w:hAnsi="Calibri" w:eastAsia="宋体"/>
              </w:rPr>
              <w:t>★</w:t>
            </w:r>
            <w:r>
              <w:rPr>
                <w:rFonts w:ascii="Calibri" w:hAnsi="Calibri" w:eastAsia="宋体"/>
              </w:rPr>
              <w:t>号条款的响应没有负偏离、不满足或未响应的情形。</w:t>
            </w:r>
          </w:p>
        </w:tc>
      </w:tr>
      <w:tr w14:paraId="40F06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14:paraId="73FA6BC8">
            <w:pPr>
              <w:rPr>
                <w:rFonts w:ascii="Calibri" w:hAnsi="Calibri" w:eastAsia="宋体"/>
              </w:rPr>
            </w:pPr>
            <w:r>
              <w:rPr>
                <w:rFonts w:ascii="Calibri" w:hAnsi="Calibri" w:eastAsia="宋体"/>
              </w:rPr>
              <w:t>10</w:t>
            </w:r>
          </w:p>
        </w:tc>
        <w:tc>
          <w:tcPr>
            <w:tcW w:w="8229" w:type="dxa"/>
          </w:tcPr>
          <w:p w14:paraId="28399C81">
            <w:pPr>
              <w:rPr>
                <w:rFonts w:ascii="Calibri" w:hAnsi="Calibri" w:eastAsia="宋体"/>
              </w:rPr>
            </w:pPr>
            <w:r>
              <w:rPr>
                <w:rFonts w:ascii="Calibri" w:hAnsi="Calibri" w:eastAsia="宋体"/>
              </w:rPr>
              <w:t>无招标文件中列明导致投标无效的其他因素。</w:t>
            </w:r>
          </w:p>
        </w:tc>
      </w:tr>
      <w:tr w14:paraId="0CF82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14:paraId="6435AC16">
            <w:pPr>
              <w:rPr>
                <w:rFonts w:ascii="Calibri" w:hAnsi="Calibri" w:eastAsia="宋体"/>
              </w:rPr>
            </w:pPr>
            <w:r>
              <w:rPr>
                <w:rFonts w:ascii="Calibri" w:hAnsi="Calibri" w:eastAsia="宋体"/>
              </w:rPr>
              <w:t>11</w:t>
            </w:r>
          </w:p>
        </w:tc>
        <w:tc>
          <w:tcPr>
            <w:tcW w:w="8229" w:type="dxa"/>
          </w:tcPr>
          <w:p w14:paraId="7E10F994">
            <w:pPr>
              <w:rPr>
                <w:rFonts w:ascii="Calibri" w:hAnsi="Calibri" w:eastAsia="宋体"/>
              </w:rPr>
            </w:pPr>
            <w:r>
              <w:rPr>
                <w:rFonts w:ascii="Calibri" w:hAnsi="Calibri" w:eastAsia="宋体"/>
              </w:rPr>
              <w:t>符合</w:t>
            </w:r>
            <w:r>
              <w:rPr>
                <w:rFonts w:hint="eastAsia" w:ascii="Calibri" w:hAnsi="Calibri" w:eastAsia="宋体"/>
              </w:rPr>
              <w:t>法律、法规、规章、规范性文件规定的其他情形。</w:t>
            </w:r>
          </w:p>
        </w:tc>
      </w:tr>
    </w:tbl>
    <w:p w14:paraId="6B72FD3E">
      <w:pPr>
        <w:jc w:val="center"/>
        <w:rPr>
          <w:b/>
        </w:rPr>
      </w:pPr>
      <w:r>
        <w:rPr>
          <w:rFonts w:hint="eastAsia"/>
          <w:b/>
        </w:rPr>
        <w:t>评标信息</w:t>
      </w:r>
    </w:p>
    <w:p w14:paraId="7614484D">
      <w:pPr>
        <w:pStyle w:val="16"/>
        <w:snapToGrid w:val="0"/>
        <w:spacing w:before="0" w:beforeAutospacing="0" w:afterAutospacing="0"/>
        <w:ind w:firstLine="420"/>
        <w:rPr>
          <w:sz w:val="21"/>
          <w:szCs w:val="21"/>
        </w:rPr>
      </w:pPr>
      <w:r>
        <w:rPr>
          <w:sz w:val="21"/>
          <w:szCs w:val="21"/>
        </w:rPr>
        <w:t xml:space="preserve">综合评分法，是指投标文件满足招标文件全部实质性要求，且按照评审因素的量化指标评审得分最高的投标人为中标候选人的评标方法。 </w:t>
      </w:r>
    </w:p>
    <w:p w14:paraId="40D876C0">
      <w:pPr>
        <w:pStyle w:val="16"/>
        <w:snapToGrid w:val="0"/>
        <w:spacing w:before="0" w:beforeAutospacing="0" w:afterAutospacing="0"/>
        <w:ind w:firstLine="420"/>
        <w:rPr>
          <w:sz w:val="21"/>
          <w:szCs w:val="21"/>
        </w:rPr>
      </w:pPr>
      <w:r>
        <w:rPr>
          <w:sz w:val="21"/>
          <w:szCs w:val="21"/>
        </w:rPr>
        <w:t>价格分计算方法：</w:t>
      </w:r>
    </w:p>
    <w:p w14:paraId="14C9D1B0">
      <w:pPr>
        <w:snapToGrid w:val="0"/>
      </w:pPr>
      <w:r>
        <w:rPr>
          <w:szCs w:val="21"/>
        </w:rPr>
        <w:t>采用低价优先法计算，即满足招标文件要求且投标价格最低的投标报价为评标基准价，其价格分为满分。其他投标人的价格分统一按照下列公式计算：</w:t>
      </w:r>
      <w:r>
        <w:rPr>
          <w:szCs w:val="21"/>
        </w:rPr>
        <w:br w:type="textWrapping"/>
      </w:r>
      <w:r>
        <w:rPr>
          <w:szCs w:val="21"/>
        </w:rPr>
        <w:t xml:space="preserve">投标报价得分=(评标基准价／投标报价)×100 </w:t>
      </w:r>
      <w:r>
        <w:rPr>
          <w:szCs w:val="21"/>
        </w:rPr>
        <w:br w:type="textWrapping"/>
      </w:r>
      <w:r>
        <w:rPr>
          <w:szCs w:val="21"/>
        </w:rPr>
        <w:t xml:space="preserve">评标总得分＝F1×A1＋F2×A2＋……＋Fn×An </w:t>
      </w:r>
      <w:r>
        <w:rPr>
          <w:szCs w:val="21"/>
        </w:rPr>
        <w:br w:type="textWrapping"/>
      </w:r>
      <w:r>
        <w:rPr>
          <w:szCs w:val="21"/>
        </w:rPr>
        <w:t>F1、F2……Fn分别为各项评审因素的得分；</w:t>
      </w:r>
      <w:r>
        <w:rPr>
          <w:szCs w:val="21"/>
        </w:rPr>
        <w:br w:type="textWrapping"/>
      </w:r>
      <w:r>
        <w:rPr>
          <w:szCs w:val="21"/>
        </w:rPr>
        <w:t>A1、A2、……An 分别为各项评审因素所占的权重(A1＋A2＋……＋An＝1)。</w:t>
      </w:r>
      <w:r>
        <w:rPr>
          <w:szCs w:val="21"/>
        </w:rPr>
        <w:br w:type="textWrapping"/>
      </w:r>
      <w:r>
        <w:rPr>
          <w:szCs w:val="21"/>
        </w:rPr>
        <w:t>评标过程中，不得去掉报价中的最高报价和最低报价。</w:t>
      </w:r>
      <w:r>
        <w:rPr>
          <w:szCs w:val="21"/>
        </w:rPr>
        <w:br w:type="textWrapping"/>
      </w:r>
      <w:r>
        <w:rPr>
          <w:szCs w:val="21"/>
        </w:rPr>
        <w:t>此方法适用于货物类、</w:t>
      </w:r>
      <w:r>
        <w:rPr>
          <w:rFonts w:hint="eastAsia" w:eastAsia="宋体"/>
          <w:szCs w:val="21"/>
          <w:lang w:eastAsia="zh-CN"/>
        </w:rPr>
        <w:t>服务类</w:t>
      </w:r>
      <w:r>
        <w:rPr>
          <w:szCs w:val="21"/>
        </w:rPr>
        <w:t>、工程类项目。</w:t>
      </w:r>
    </w:p>
    <w:p w14:paraId="3DB5071E">
      <w:pPr>
        <w:autoSpaceDE w:val="0"/>
        <w:autoSpaceDN w:val="0"/>
        <w:adjustRightInd w:val="0"/>
        <w:snapToGrid w:val="0"/>
        <w:spacing w:line="400" w:lineRule="exact"/>
        <w:jc w:val="both"/>
        <w:outlineLvl w:val="1"/>
        <w:rPr>
          <w:rFonts w:hint="eastAsia" w:ascii="宋体" w:cs="仿宋_GB2312"/>
          <w:b/>
          <w:sz w:val="28"/>
          <w:szCs w:val="28"/>
          <w:lang w:val="zh-CN"/>
        </w:rPr>
      </w:pPr>
    </w:p>
    <w:p w14:paraId="7EF53ECC">
      <w:pPr>
        <w:spacing w:line="440" w:lineRule="exact"/>
        <w:jc w:val="center"/>
        <w:outlineLvl w:val="0"/>
        <w:rPr>
          <w:rFonts w:ascii="Arial" w:hAnsi="Arial" w:cs="Arial"/>
          <w:b/>
          <w:sz w:val="24"/>
        </w:rPr>
      </w:pPr>
      <w:bookmarkStart w:id="0" w:name="_Toc523257134"/>
      <w:r>
        <w:rPr>
          <w:rFonts w:hint="eastAsia" w:ascii="宋体" w:hAnsi="宋体"/>
          <w:b/>
          <w:sz w:val="28"/>
          <w:szCs w:val="28"/>
        </w:rPr>
        <w:t>综合评分表</w:t>
      </w:r>
      <w:bookmarkEnd w:id="0"/>
    </w:p>
    <w:p w14:paraId="1A8F2976"/>
    <w:p w14:paraId="6BE89B60">
      <w:pPr>
        <w:autoSpaceDE w:val="0"/>
        <w:autoSpaceDN w:val="0"/>
        <w:adjustRightInd w:val="0"/>
        <w:snapToGrid w:val="0"/>
        <w:spacing w:line="400" w:lineRule="exact"/>
        <w:jc w:val="center"/>
        <w:outlineLvl w:val="1"/>
        <w:rPr>
          <w:rFonts w:ascii="宋体" w:cs="仿宋_GB2312"/>
          <w:b/>
          <w:bCs/>
          <w:sz w:val="28"/>
          <w:szCs w:val="28"/>
          <w:lang w:val="zh-CN"/>
        </w:rPr>
      </w:pPr>
      <w:r>
        <w:rPr>
          <w:rFonts w:hint="eastAsia" w:ascii="宋体" w:cs="仿宋_GB2312"/>
          <w:b/>
          <w:sz w:val="28"/>
          <w:szCs w:val="28"/>
          <w:lang w:val="zh-CN"/>
        </w:rPr>
        <w:t>评审方法：综合评分法</w:t>
      </w:r>
      <w:r>
        <w:rPr>
          <w:rFonts w:hint="eastAsia" w:ascii="宋体" w:cs="仿宋_GB2312"/>
          <w:b/>
          <w:bCs/>
          <w:sz w:val="28"/>
          <w:szCs w:val="28"/>
          <w:lang w:val="zh-CN"/>
        </w:rPr>
        <w:t>（总计</w:t>
      </w:r>
      <w:r>
        <w:rPr>
          <w:rFonts w:hint="eastAsia" w:ascii="宋体" w:cs="仿宋_GB2312"/>
          <w:b/>
          <w:bCs/>
          <w:sz w:val="28"/>
          <w:szCs w:val="28"/>
        </w:rPr>
        <w:t>100</w:t>
      </w:r>
      <w:r>
        <w:rPr>
          <w:rFonts w:hint="eastAsia" w:ascii="宋体" w:cs="仿宋_GB2312"/>
          <w:b/>
          <w:bCs/>
          <w:sz w:val="28"/>
          <w:szCs w:val="28"/>
          <w:lang w:val="zh-CN"/>
        </w:rPr>
        <w:t>分）</w:t>
      </w:r>
    </w:p>
    <w:p w14:paraId="2D8C8C8F">
      <w:pPr>
        <w:autoSpaceDE w:val="0"/>
        <w:autoSpaceDN w:val="0"/>
        <w:adjustRightInd w:val="0"/>
        <w:snapToGrid w:val="0"/>
        <w:spacing w:line="400" w:lineRule="exact"/>
        <w:jc w:val="both"/>
        <w:outlineLvl w:val="1"/>
        <w:rPr>
          <w:rFonts w:ascii="宋体" w:cs="仿宋_GB2312"/>
          <w:b/>
          <w:bCs/>
          <w:sz w:val="28"/>
          <w:szCs w:val="28"/>
          <w:lang w:val="zh-CN"/>
        </w:rPr>
      </w:pPr>
    </w:p>
    <w:p w14:paraId="1E968E25">
      <w:pPr>
        <w:pStyle w:val="14"/>
        <w:pageBreakBefore w:val="0"/>
        <w:wordWrap/>
        <w:overflowPunct/>
        <w:topLinePunct w:val="0"/>
        <w:bidi w:val="0"/>
        <w:spacing w:line="320" w:lineRule="exact"/>
        <w:rPr>
          <w:rFonts w:ascii="宋体" w:hAnsi="宋体"/>
          <w:szCs w:val="21"/>
        </w:rPr>
      </w:pPr>
    </w:p>
    <w:tbl>
      <w:tblPr>
        <w:tblStyle w:val="38"/>
        <w:tblW w:w="8820" w:type="dxa"/>
        <w:tblInd w:w="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5"/>
        <w:gridCol w:w="1037"/>
        <w:gridCol w:w="6534"/>
        <w:gridCol w:w="694"/>
      </w:tblGrid>
      <w:tr w14:paraId="2BDAE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5" w:type="dxa"/>
            <w:noWrap w:val="0"/>
            <w:textDirection w:val="tbRlV"/>
            <w:vAlign w:val="top"/>
          </w:tcPr>
          <w:p w14:paraId="59CFB461">
            <w:pPr>
              <w:pStyle w:val="37"/>
              <w:pageBreakBefore w:val="0"/>
              <w:wordWrap/>
              <w:overflowPunct/>
              <w:topLinePunct w:val="0"/>
              <w:bidi w:val="0"/>
              <w:spacing w:before="170" w:line="320" w:lineRule="exact"/>
              <w:ind w:left="54"/>
              <w:rPr>
                <w:rFonts w:hint="eastAsia" w:ascii="宋体" w:hAnsi="宋体" w:eastAsia="宋体" w:cs="宋体"/>
                <w:sz w:val="18"/>
                <w:szCs w:val="18"/>
              </w:rPr>
            </w:pPr>
            <w:r>
              <w:rPr>
                <w:rFonts w:hint="eastAsia" w:ascii="宋体" w:hAnsi="宋体" w:eastAsia="宋体" w:cs="宋体"/>
                <w:spacing w:val="6"/>
                <w:sz w:val="18"/>
                <w:szCs w:val="18"/>
              </w:rPr>
              <w:t>序 号</w:t>
            </w:r>
          </w:p>
        </w:tc>
        <w:tc>
          <w:tcPr>
            <w:tcW w:w="1037" w:type="dxa"/>
            <w:noWrap w:val="0"/>
            <w:vAlign w:val="top"/>
          </w:tcPr>
          <w:p w14:paraId="69E7731B">
            <w:pPr>
              <w:pStyle w:val="37"/>
              <w:pageBreakBefore w:val="0"/>
              <w:wordWrap/>
              <w:overflowPunct/>
              <w:topLinePunct w:val="0"/>
              <w:bidi w:val="0"/>
              <w:spacing w:before="54" w:line="320" w:lineRule="exact"/>
              <w:ind w:left="310"/>
              <w:rPr>
                <w:rFonts w:hint="eastAsia" w:ascii="宋体" w:hAnsi="宋体" w:eastAsia="宋体" w:cs="宋体"/>
                <w:sz w:val="18"/>
                <w:szCs w:val="18"/>
              </w:rPr>
            </w:pPr>
            <w:r>
              <w:rPr>
                <w:rFonts w:hint="eastAsia" w:ascii="宋体" w:hAnsi="宋体" w:eastAsia="宋体" w:cs="宋体"/>
                <w:spacing w:val="6"/>
                <w:position w:val="7"/>
                <w:sz w:val="18"/>
                <w:szCs w:val="18"/>
              </w:rPr>
              <w:t>评审</w:t>
            </w:r>
          </w:p>
          <w:p w14:paraId="3A00DBF2">
            <w:pPr>
              <w:pStyle w:val="37"/>
              <w:pageBreakBefore w:val="0"/>
              <w:wordWrap/>
              <w:overflowPunct/>
              <w:topLinePunct w:val="0"/>
              <w:bidi w:val="0"/>
              <w:spacing w:line="320" w:lineRule="exact"/>
              <w:ind w:left="328"/>
              <w:rPr>
                <w:rFonts w:hint="eastAsia" w:ascii="宋体" w:hAnsi="宋体" w:eastAsia="宋体" w:cs="宋体"/>
                <w:sz w:val="18"/>
                <w:szCs w:val="18"/>
              </w:rPr>
            </w:pPr>
            <w:r>
              <w:rPr>
                <w:rFonts w:hint="eastAsia" w:ascii="宋体" w:hAnsi="宋体" w:eastAsia="宋体" w:cs="宋体"/>
                <w:spacing w:val="-3"/>
                <w:sz w:val="18"/>
                <w:szCs w:val="18"/>
              </w:rPr>
              <w:t>因素</w:t>
            </w:r>
          </w:p>
        </w:tc>
        <w:tc>
          <w:tcPr>
            <w:tcW w:w="6534" w:type="dxa"/>
            <w:noWrap w:val="0"/>
            <w:vAlign w:val="top"/>
          </w:tcPr>
          <w:p w14:paraId="1BDA0EB4">
            <w:pPr>
              <w:pStyle w:val="37"/>
              <w:pageBreakBefore w:val="0"/>
              <w:wordWrap/>
              <w:overflowPunct/>
              <w:topLinePunct w:val="0"/>
              <w:bidi w:val="0"/>
              <w:spacing w:before="211" w:line="320" w:lineRule="exact"/>
              <w:ind w:left="2852"/>
              <w:rPr>
                <w:rFonts w:hint="eastAsia" w:ascii="宋体" w:hAnsi="宋体" w:eastAsia="宋体" w:cs="宋体"/>
                <w:sz w:val="18"/>
                <w:szCs w:val="18"/>
              </w:rPr>
            </w:pPr>
            <w:r>
              <w:rPr>
                <w:rFonts w:hint="eastAsia" w:ascii="宋体" w:hAnsi="宋体" w:eastAsia="宋体" w:cs="宋体"/>
                <w:spacing w:val="8"/>
                <w:sz w:val="18"/>
                <w:szCs w:val="18"/>
              </w:rPr>
              <w:t>评分标准</w:t>
            </w:r>
          </w:p>
        </w:tc>
        <w:tc>
          <w:tcPr>
            <w:tcW w:w="694" w:type="dxa"/>
            <w:noWrap w:val="0"/>
            <w:vAlign w:val="top"/>
          </w:tcPr>
          <w:p w14:paraId="347FCBDF">
            <w:pPr>
              <w:pStyle w:val="37"/>
              <w:pageBreakBefore w:val="0"/>
              <w:wordWrap/>
              <w:overflowPunct/>
              <w:topLinePunct w:val="0"/>
              <w:bidi w:val="0"/>
              <w:spacing w:before="210" w:line="320" w:lineRule="exact"/>
              <w:ind w:left="144"/>
              <w:rPr>
                <w:rFonts w:hint="eastAsia" w:ascii="宋体" w:hAnsi="宋体" w:eastAsia="宋体" w:cs="宋体"/>
                <w:sz w:val="18"/>
                <w:szCs w:val="18"/>
              </w:rPr>
            </w:pPr>
            <w:r>
              <w:rPr>
                <w:rFonts w:hint="eastAsia" w:ascii="宋体" w:hAnsi="宋体" w:eastAsia="宋体" w:cs="宋体"/>
                <w:spacing w:val="4"/>
                <w:sz w:val="18"/>
                <w:szCs w:val="18"/>
              </w:rPr>
              <w:t>分值</w:t>
            </w:r>
          </w:p>
        </w:tc>
      </w:tr>
      <w:tr w14:paraId="5D919F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8820" w:type="dxa"/>
            <w:gridSpan w:val="4"/>
            <w:noWrap w:val="0"/>
            <w:vAlign w:val="top"/>
          </w:tcPr>
          <w:p w14:paraId="4FF39B9A">
            <w:pPr>
              <w:pStyle w:val="37"/>
              <w:pageBreakBefore w:val="0"/>
              <w:wordWrap/>
              <w:overflowPunct/>
              <w:topLinePunct w:val="0"/>
              <w:bidi w:val="0"/>
              <w:spacing w:before="107" w:line="320" w:lineRule="exact"/>
              <w:ind w:left="3424"/>
              <w:rPr>
                <w:rFonts w:hint="eastAsia" w:ascii="宋体" w:hAnsi="宋体" w:eastAsia="宋体" w:cs="宋体"/>
                <w:sz w:val="18"/>
                <w:szCs w:val="18"/>
              </w:rPr>
            </w:pPr>
            <w:r>
              <w:rPr>
                <w:rFonts w:hint="eastAsia" w:ascii="宋体" w:hAnsi="宋体" w:eastAsia="宋体" w:cs="宋体"/>
                <w:spacing w:val="5"/>
                <w:sz w:val="18"/>
                <w:szCs w:val="18"/>
              </w:rPr>
              <w:t>报价部分（20</w:t>
            </w:r>
            <w:r>
              <w:rPr>
                <w:rFonts w:hint="eastAsia" w:ascii="宋体" w:hAnsi="宋体" w:eastAsia="宋体" w:cs="宋体"/>
                <w:spacing w:val="-36"/>
                <w:sz w:val="18"/>
                <w:szCs w:val="18"/>
              </w:rPr>
              <w:t xml:space="preserve"> </w:t>
            </w:r>
            <w:r>
              <w:rPr>
                <w:rFonts w:hint="eastAsia" w:ascii="宋体" w:hAnsi="宋体" w:eastAsia="宋体" w:cs="宋体"/>
                <w:spacing w:val="5"/>
                <w:sz w:val="18"/>
                <w:szCs w:val="18"/>
              </w:rPr>
              <w:t>分）</w:t>
            </w:r>
          </w:p>
        </w:tc>
      </w:tr>
      <w:tr w14:paraId="59F1A7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5" w:type="dxa"/>
            <w:noWrap w:val="0"/>
            <w:vAlign w:val="top"/>
          </w:tcPr>
          <w:p w14:paraId="30A9190D">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4"/>
                <w:sz w:val="18"/>
                <w:szCs w:val="18"/>
              </w:rPr>
            </w:pPr>
          </w:p>
          <w:p w14:paraId="578A8A01">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4"/>
                <w:sz w:val="18"/>
                <w:szCs w:val="18"/>
              </w:rPr>
            </w:pPr>
          </w:p>
          <w:p w14:paraId="0D23E9EE">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宋体" w:hAnsi="宋体" w:eastAsia="宋体" w:cs="宋体"/>
                <w:spacing w:val="4"/>
                <w:sz w:val="18"/>
                <w:szCs w:val="18"/>
              </w:rPr>
            </w:pPr>
            <w:r>
              <w:rPr>
                <w:rFonts w:hint="eastAsia" w:ascii="宋体" w:hAnsi="宋体" w:eastAsia="宋体" w:cs="宋体"/>
                <w:spacing w:val="4"/>
                <w:sz w:val="18"/>
                <w:szCs w:val="18"/>
              </w:rPr>
              <w:t>1</w:t>
            </w:r>
          </w:p>
        </w:tc>
        <w:tc>
          <w:tcPr>
            <w:tcW w:w="1037" w:type="dxa"/>
            <w:noWrap w:val="0"/>
            <w:vAlign w:val="top"/>
          </w:tcPr>
          <w:p w14:paraId="4D04D4E7">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4"/>
                <w:sz w:val="18"/>
                <w:szCs w:val="18"/>
              </w:rPr>
            </w:pPr>
          </w:p>
          <w:p w14:paraId="6826CCAC">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宋体" w:hAnsi="宋体" w:eastAsia="宋体" w:cs="宋体"/>
                <w:spacing w:val="4"/>
                <w:sz w:val="18"/>
                <w:szCs w:val="18"/>
              </w:rPr>
            </w:pPr>
            <w:r>
              <w:rPr>
                <w:rFonts w:hint="eastAsia" w:ascii="宋体" w:hAnsi="宋体" w:eastAsia="宋体" w:cs="宋体"/>
                <w:spacing w:val="4"/>
                <w:sz w:val="18"/>
                <w:szCs w:val="18"/>
              </w:rPr>
              <w:t>投标</w:t>
            </w:r>
          </w:p>
          <w:p w14:paraId="4B793A5B">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宋体" w:hAnsi="宋体" w:eastAsia="宋体" w:cs="宋体"/>
                <w:spacing w:val="4"/>
                <w:sz w:val="18"/>
                <w:szCs w:val="18"/>
              </w:rPr>
            </w:pPr>
            <w:r>
              <w:rPr>
                <w:rFonts w:hint="eastAsia" w:ascii="宋体" w:hAnsi="宋体" w:eastAsia="宋体" w:cs="宋体"/>
                <w:spacing w:val="4"/>
                <w:sz w:val="18"/>
                <w:szCs w:val="18"/>
              </w:rPr>
              <w:t>价格</w:t>
            </w:r>
          </w:p>
        </w:tc>
        <w:tc>
          <w:tcPr>
            <w:tcW w:w="6534" w:type="dxa"/>
            <w:noWrap w:val="0"/>
            <w:vAlign w:val="top"/>
          </w:tcPr>
          <w:p w14:paraId="4D9939AF">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4"/>
                <w:sz w:val="18"/>
                <w:szCs w:val="18"/>
              </w:rPr>
            </w:pPr>
            <w:r>
              <w:rPr>
                <w:rFonts w:hint="eastAsia" w:ascii="宋体" w:hAnsi="宋体" w:eastAsia="宋体" w:cs="宋体"/>
                <w:spacing w:val="4"/>
                <w:sz w:val="18"/>
                <w:szCs w:val="18"/>
              </w:rPr>
              <w:t>综合评分法中的价格分统一采用低价优先法计算，即满足招标要求且投标价格最低的投标报价为评标基准价，其价格分为满分。其他投标人的价格 分统一按照下列公式计算：投标报价得分=(评标基准价／投标报价)×价格权重×100。</w:t>
            </w:r>
          </w:p>
        </w:tc>
        <w:tc>
          <w:tcPr>
            <w:tcW w:w="694" w:type="dxa"/>
            <w:noWrap w:val="0"/>
            <w:vAlign w:val="top"/>
          </w:tcPr>
          <w:p w14:paraId="0F706B41">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4"/>
                <w:sz w:val="18"/>
                <w:szCs w:val="18"/>
              </w:rPr>
            </w:pPr>
          </w:p>
          <w:p w14:paraId="6BD2B468">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4"/>
                <w:sz w:val="18"/>
                <w:szCs w:val="18"/>
              </w:rPr>
            </w:pPr>
          </w:p>
          <w:p w14:paraId="68F9250C">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4"/>
                <w:sz w:val="18"/>
                <w:szCs w:val="18"/>
              </w:rPr>
            </w:pPr>
            <w:r>
              <w:rPr>
                <w:rFonts w:hint="eastAsia" w:ascii="宋体" w:hAnsi="宋体" w:eastAsia="宋体" w:cs="宋体"/>
                <w:spacing w:val="4"/>
                <w:sz w:val="18"/>
                <w:szCs w:val="18"/>
              </w:rPr>
              <w:t>20 分</w:t>
            </w:r>
          </w:p>
        </w:tc>
      </w:tr>
      <w:tr w14:paraId="689B2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820" w:type="dxa"/>
            <w:gridSpan w:val="4"/>
            <w:noWrap w:val="0"/>
            <w:vAlign w:val="top"/>
          </w:tcPr>
          <w:p w14:paraId="52212ECC">
            <w:pPr>
              <w:pStyle w:val="37"/>
              <w:keepNext w:val="0"/>
              <w:keepLines w:val="0"/>
              <w:pageBreakBefore w:val="0"/>
              <w:widowControl/>
              <w:kinsoku w:val="0"/>
              <w:wordWrap/>
              <w:overflowPunct/>
              <w:topLinePunct w:val="0"/>
              <w:autoSpaceDE w:val="0"/>
              <w:autoSpaceDN w:val="0"/>
              <w:bidi w:val="0"/>
              <w:adjustRightInd w:val="0"/>
              <w:snapToGrid w:val="0"/>
              <w:spacing w:before="132" w:line="320" w:lineRule="exact"/>
              <w:ind w:left="2831"/>
              <w:textAlignment w:val="baseline"/>
              <w:rPr>
                <w:rFonts w:hint="eastAsia" w:ascii="宋体" w:hAnsi="宋体" w:eastAsia="宋体" w:cs="宋体"/>
                <w:sz w:val="18"/>
                <w:szCs w:val="18"/>
              </w:rPr>
            </w:pPr>
            <w:r>
              <w:rPr>
                <w:rFonts w:hint="eastAsia" w:ascii="宋体" w:hAnsi="宋体" w:eastAsia="宋体" w:cs="宋体"/>
                <w:spacing w:val="7"/>
                <w:sz w:val="18"/>
                <w:szCs w:val="18"/>
              </w:rPr>
              <w:t>商务部分和技术部分（80</w:t>
            </w:r>
            <w:r>
              <w:rPr>
                <w:rFonts w:hint="eastAsia" w:ascii="宋体" w:hAnsi="宋体" w:eastAsia="宋体" w:cs="宋体"/>
                <w:spacing w:val="-41"/>
                <w:sz w:val="18"/>
                <w:szCs w:val="18"/>
              </w:rPr>
              <w:t xml:space="preserve"> </w:t>
            </w:r>
            <w:r>
              <w:rPr>
                <w:rFonts w:hint="eastAsia" w:ascii="宋体" w:hAnsi="宋体" w:eastAsia="宋体" w:cs="宋体"/>
                <w:spacing w:val="7"/>
                <w:sz w:val="18"/>
                <w:szCs w:val="18"/>
              </w:rPr>
              <w:t>分）</w:t>
            </w:r>
          </w:p>
        </w:tc>
      </w:tr>
      <w:tr w14:paraId="58F5A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3" w:hRule="atLeast"/>
        </w:trPr>
        <w:tc>
          <w:tcPr>
            <w:tcW w:w="555" w:type="dxa"/>
            <w:noWrap w:val="0"/>
            <w:vAlign w:val="top"/>
          </w:tcPr>
          <w:p w14:paraId="74290FFA">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4"/>
                <w:sz w:val="18"/>
                <w:szCs w:val="18"/>
              </w:rPr>
            </w:pPr>
          </w:p>
          <w:p w14:paraId="0FDCD0B5">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4"/>
                <w:sz w:val="18"/>
                <w:szCs w:val="18"/>
              </w:rPr>
            </w:pPr>
          </w:p>
          <w:p w14:paraId="6F318BA5">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宋体" w:hAnsi="宋体" w:eastAsia="宋体" w:cs="宋体"/>
                <w:spacing w:val="4"/>
                <w:sz w:val="18"/>
                <w:szCs w:val="18"/>
              </w:rPr>
            </w:pPr>
          </w:p>
          <w:p w14:paraId="160A4E00">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4"/>
                <w:sz w:val="18"/>
                <w:szCs w:val="18"/>
              </w:rPr>
            </w:pPr>
          </w:p>
          <w:p w14:paraId="58ADE6CB">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4"/>
                <w:sz w:val="18"/>
                <w:szCs w:val="18"/>
              </w:rPr>
            </w:pPr>
          </w:p>
          <w:p w14:paraId="7F8310A4">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4"/>
                <w:sz w:val="18"/>
                <w:szCs w:val="18"/>
              </w:rPr>
            </w:pPr>
          </w:p>
          <w:p w14:paraId="0B41B813">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4"/>
                <w:sz w:val="18"/>
                <w:szCs w:val="18"/>
              </w:rPr>
            </w:pPr>
          </w:p>
          <w:p w14:paraId="1815123D">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宋体" w:hAnsi="宋体" w:eastAsia="宋体" w:cs="宋体"/>
                <w:spacing w:val="4"/>
                <w:sz w:val="18"/>
                <w:szCs w:val="18"/>
              </w:rPr>
            </w:pPr>
            <w:r>
              <w:rPr>
                <w:rFonts w:hint="eastAsia" w:ascii="宋体" w:hAnsi="宋体" w:eastAsia="宋体" w:cs="宋体"/>
                <w:spacing w:val="4"/>
                <w:sz w:val="18"/>
                <w:szCs w:val="18"/>
              </w:rPr>
              <w:t>2</w:t>
            </w:r>
          </w:p>
        </w:tc>
        <w:tc>
          <w:tcPr>
            <w:tcW w:w="1037" w:type="dxa"/>
            <w:noWrap w:val="0"/>
            <w:vAlign w:val="top"/>
          </w:tcPr>
          <w:p w14:paraId="27770249">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4"/>
                <w:sz w:val="18"/>
                <w:szCs w:val="18"/>
              </w:rPr>
            </w:pPr>
          </w:p>
          <w:p w14:paraId="5FB9C8F8">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4"/>
                <w:sz w:val="18"/>
                <w:szCs w:val="18"/>
              </w:rPr>
            </w:pPr>
          </w:p>
          <w:p w14:paraId="0E71A95D">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4"/>
                <w:sz w:val="18"/>
                <w:szCs w:val="18"/>
              </w:rPr>
            </w:pPr>
          </w:p>
          <w:p w14:paraId="6696FFDD">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4"/>
                <w:sz w:val="18"/>
                <w:szCs w:val="18"/>
              </w:rPr>
            </w:pPr>
          </w:p>
          <w:p w14:paraId="3AA43EC1">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宋体" w:hAnsi="宋体" w:eastAsia="宋体" w:cs="宋体"/>
                <w:spacing w:val="4"/>
                <w:sz w:val="18"/>
                <w:szCs w:val="18"/>
              </w:rPr>
            </w:pPr>
            <w:r>
              <w:rPr>
                <w:rFonts w:hint="eastAsia" w:ascii="宋体" w:hAnsi="宋体" w:eastAsia="宋体" w:cs="宋体"/>
                <w:spacing w:val="4"/>
                <w:sz w:val="18"/>
                <w:szCs w:val="18"/>
              </w:rPr>
              <w:t>组织架</w:t>
            </w:r>
          </w:p>
          <w:p w14:paraId="258B84D6">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宋体" w:hAnsi="宋体" w:eastAsia="宋体" w:cs="宋体"/>
                <w:spacing w:val="4"/>
                <w:sz w:val="18"/>
                <w:szCs w:val="18"/>
              </w:rPr>
            </w:pPr>
            <w:r>
              <w:rPr>
                <w:rFonts w:hint="eastAsia" w:ascii="宋体" w:hAnsi="宋体" w:eastAsia="宋体" w:cs="宋体"/>
                <w:spacing w:val="4"/>
                <w:sz w:val="18"/>
                <w:szCs w:val="18"/>
              </w:rPr>
              <w:t>构、人员</w:t>
            </w:r>
          </w:p>
          <w:p w14:paraId="2769F312">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宋体" w:hAnsi="宋体" w:eastAsia="宋体" w:cs="宋体"/>
                <w:spacing w:val="4"/>
                <w:sz w:val="18"/>
                <w:szCs w:val="18"/>
              </w:rPr>
            </w:pPr>
            <w:r>
              <w:rPr>
                <w:rFonts w:hint="eastAsia" w:ascii="宋体" w:hAnsi="宋体" w:eastAsia="宋体" w:cs="宋体"/>
                <w:spacing w:val="4"/>
                <w:sz w:val="18"/>
                <w:szCs w:val="18"/>
              </w:rPr>
              <w:t>配备、培</w:t>
            </w:r>
          </w:p>
          <w:p w14:paraId="3C66535A">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宋体" w:hAnsi="宋体" w:eastAsia="宋体" w:cs="宋体"/>
                <w:spacing w:val="4"/>
                <w:sz w:val="18"/>
                <w:szCs w:val="18"/>
              </w:rPr>
            </w:pPr>
            <w:r>
              <w:rPr>
                <w:rFonts w:hint="eastAsia" w:ascii="宋体" w:hAnsi="宋体" w:eastAsia="宋体" w:cs="宋体"/>
                <w:spacing w:val="4"/>
                <w:sz w:val="18"/>
                <w:szCs w:val="18"/>
              </w:rPr>
              <w:t>训与管</w:t>
            </w:r>
          </w:p>
          <w:p w14:paraId="0926876A">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宋体" w:hAnsi="宋体" w:eastAsia="宋体" w:cs="宋体"/>
                <w:spacing w:val="4"/>
                <w:sz w:val="18"/>
                <w:szCs w:val="18"/>
              </w:rPr>
            </w:pPr>
            <w:r>
              <w:rPr>
                <w:rFonts w:hint="eastAsia" w:ascii="宋体" w:hAnsi="宋体" w:eastAsia="宋体" w:cs="宋体"/>
                <w:spacing w:val="4"/>
                <w:sz w:val="18"/>
                <w:szCs w:val="18"/>
              </w:rPr>
              <w:t>理</w:t>
            </w:r>
          </w:p>
        </w:tc>
        <w:tc>
          <w:tcPr>
            <w:tcW w:w="6534" w:type="dxa"/>
            <w:noWrap w:val="0"/>
            <w:vAlign w:val="top"/>
          </w:tcPr>
          <w:p w14:paraId="3BB11FBF">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4"/>
                <w:sz w:val="18"/>
                <w:szCs w:val="18"/>
              </w:rPr>
            </w:pPr>
            <w:r>
              <w:rPr>
                <w:rFonts w:hint="eastAsia" w:ascii="宋体" w:hAnsi="宋体" w:eastAsia="宋体" w:cs="宋体"/>
                <w:spacing w:val="4"/>
                <w:sz w:val="18"/>
                <w:szCs w:val="18"/>
              </w:rPr>
              <w:t>1.投标供应商提供</w:t>
            </w:r>
            <w:r>
              <w:rPr>
                <w:rFonts w:hint="eastAsia" w:ascii="宋体" w:hAnsi="宋体" w:eastAsia="宋体" w:cs="宋体"/>
                <w:spacing w:val="4"/>
                <w:sz w:val="18"/>
                <w:szCs w:val="18"/>
                <w:lang w:val="en-US" w:eastAsia="zh-CN"/>
              </w:rPr>
              <w:t>①</w:t>
            </w:r>
            <w:r>
              <w:rPr>
                <w:rFonts w:hint="eastAsia" w:ascii="宋体" w:hAnsi="宋体" w:eastAsia="宋体" w:cs="宋体"/>
                <w:spacing w:val="4"/>
                <w:sz w:val="18"/>
                <w:szCs w:val="18"/>
              </w:rPr>
              <w:t>组织机构图</w:t>
            </w:r>
            <w:r>
              <w:rPr>
                <w:rFonts w:hint="eastAsia" w:ascii="宋体" w:hAnsi="宋体" w:eastAsia="宋体" w:cs="宋体"/>
                <w:spacing w:val="4"/>
                <w:sz w:val="18"/>
                <w:szCs w:val="18"/>
                <w:lang w:eastAsia="zh-CN"/>
              </w:rPr>
              <w:t>、</w:t>
            </w:r>
            <w:r>
              <w:rPr>
                <w:rFonts w:hint="eastAsia" w:ascii="宋体" w:hAnsi="宋体" w:eastAsia="宋体" w:cs="宋体"/>
                <w:spacing w:val="4"/>
                <w:sz w:val="18"/>
                <w:szCs w:val="18"/>
                <w:lang w:val="en-US" w:eastAsia="zh-CN"/>
              </w:rPr>
              <w:t>②</w:t>
            </w:r>
            <w:r>
              <w:rPr>
                <w:rFonts w:hint="eastAsia" w:ascii="宋体" w:hAnsi="宋体" w:eastAsia="宋体" w:cs="宋体"/>
                <w:spacing w:val="4"/>
                <w:sz w:val="18"/>
                <w:szCs w:val="18"/>
              </w:rPr>
              <w:t>内部管理职责分工表</w:t>
            </w:r>
            <w:r>
              <w:rPr>
                <w:rFonts w:hint="eastAsia" w:ascii="宋体" w:hAnsi="宋体" w:eastAsia="宋体" w:cs="宋体"/>
                <w:spacing w:val="4"/>
                <w:sz w:val="18"/>
                <w:szCs w:val="18"/>
                <w:lang w:eastAsia="zh-CN"/>
              </w:rPr>
              <w:t>、</w:t>
            </w:r>
            <w:r>
              <w:rPr>
                <w:rFonts w:hint="eastAsia" w:ascii="宋体" w:hAnsi="宋体" w:eastAsia="宋体" w:cs="宋体"/>
                <w:spacing w:val="4"/>
                <w:sz w:val="18"/>
                <w:szCs w:val="18"/>
                <w:lang w:val="en-US" w:eastAsia="zh-CN"/>
              </w:rPr>
              <w:t>③</w:t>
            </w:r>
            <w:r>
              <w:rPr>
                <w:rFonts w:hint="eastAsia" w:ascii="宋体" w:hAnsi="宋体" w:eastAsia="宋体" w:cs="宋体"/>
                <w:spacing w:val="4"/>
                <w:sz w:val="18"/>
                <w:szCs w:val="18"/>
              </w:rPr>
              <w:t>物业管理流程的工作方案</w:t>
            </w:r>
            <w:r>
              <w:rPr>
                <w:rFonts w:hint="eastAsia" w:ascii="宋体" w:hAnsi="宋体" w:eastAsia="宋体" w:cs="宋体"/>
                <w:spacing w:val="4"/>
                <w:sz w:val="18"/>
                <w:szCs w:val="18"/>
                <w:lang w:eastAsia="zh-CN"/>
              </w:rPr>
              <w:t>，</w:t>
            </w:r>
            <w:r>
              <w:rPr>
                <w:rFonts w:hint="eastAsia" w:ascii="宋体" w:hAnsi="宋体" w:eastAsia="宋体" w:cs="宋体"/>
                <w:spacing w:val="4"/>
                <w:sz w:val="18"/>
                <w:szCs w:val="18"/>
              </w:rPr>
              <w:t xml:space="preserve">每提供 1 项得1分， 最多得 </w:t>
            </w:r>
            <w:r>
              <w:rPr>
                <w:rFonts w:hint="eastAsia" w:ascii="宋体" w:hAnsi="宋体" w:eastAsia="宋体" w:cs="宋体"/>
                <w:spacing w:val="4"/>
                <w:sz w:val="18"/>
                <w:szCs w:val="18"/>
                <w:lang w:val="en-US" w:eastAsia="zh-CN"/>
              </w:rPr>
              <w:t>3</w:t>
            </w:r>
            <w:r>
              <w:rPr>
                <w:rFonts w:hint="eastAsia" w:ascii="宋体" w:hAnsi="宋体" w:eastAsia="宋体" w:cs="宋体"/>
                <w:spacing w:val="4"/>
                <w:sz w:val="18"/>
                <w:szCs w:val="18"/>
              </w:rPr>
              <w:t xml:space="preserve"> 分。</w:t>
            </w:r>
          </w:p>
          <w:p w14:paraId="132E8C24">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4"/>
                <w:sz w:val="18"/>
                <w:szCs w:val="18"/>
              </w:rPr>
            </w:pPr>
            <w:r>
              <w:rPr>
                <w:rFonts w:hint="eastAsia" w:ascii="宋体" w:hAnsi="宋体" w:eastAsia="宋体" w:cs="宋体"/>
                <w:spacing w:val="4"/>
                <w:sz w:val="18"/>
                <w:szCs w:val="18"/>
              </w:rPr>
              <w:t>2.投标供应商对服务团队的内部管理制度，每提供一项得 1 分， 最高得6分，不提供者不得分。</w:t>
            </w:r>
          </w:p>
          <w:p w14:paraId="2F8CE0F5">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4"/>
                <w:sz w:val="18"/>
                <w:szCs w:val="18"/>
              </w:rPr>
            </w:pPr>
            <w:r>
              <w:rPr>
                <w:rFonts w:hint="eastAsia" w:ascii="宋体" w:hAnsi="宋体" w:eastAsia="宋体" w:cs="宋体"/>
                <w:spacing w:val="4"/>
                <w:sz w:val="18"/>
                <w:szCs w:val="18"/>
              </w:rPr>
              <w:t>（1）人员管理制度（含淘汰机制）；</w:t>
            </w:r>
          </w:p>
          <w:p w14:paraId="52893232">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4"/>
                <w:sz w:val="18"/>
                <w:szCs w:val="18"/>
              </w:rPr>
            </w:pPr>
            <w:r>
              <w:rPr>
                <w:rFonts w:hint="eastAsia" w:ascii="宋体" w:hAnsi="宋体" w:eastAsia="宋体" w:cs="宋体"/>
                <w:spacing w:val="4"/>
                <w:sz w:val="18"/>
                <w:szCs w:val="18"/>
              </w:rPr>
              <w:t xml:space="preserve">（2）人员考核制度（含奖惩机制）； </w:t>
            </w:r>
          </w:p>
          <w:p w14:paraId="2920DF1A">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4"/>
                <w:sz w:val="18"/>
                <w:szCs w:val="18"/>
              </w:rPr>
            </w:pPr>
            <w:r>
              <w:rPr>
                <w:rFonts w:hint="eastAsia" w:ascii="宋体" w:hAnsi="宋体" w:eastAsia="宋体" w:cs="宋体"/>
                <w:spacing w:val="4"/>
                <w:sz w:val="18"/>
                <w:szCs w:val="18"/>
              </w:rPr>
              <w:t>（3）人员培训制度（含文明用语服务培训）；</w:t>
            </w:r>
          </w:p>
          <w:p w14:paraId="7FB452AE">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4"/>
                <w:sz w:val="18"/>
                <w:szCs w:val="18"/>
              </w:rPr>
            </w:pPr>
            <w:r>
              <w:rPr>
                <w:rFonts w:hint="eastAsia" w:ascii="宋体" w:hAnsi="宋体" w:eastAsia="宋体" w:cs="宋体"/>
                <w:spacing w:val="4"/>
                <w:sz w:val="18"/>
                <w:szCs w:val="18"/>
              </w:rPr>
              <w:t xml:space="preserve">（4）投诉处理制度； </w:t>
            </w:r>
          </w:p>
          <w:p w14:paraId="42F7B663">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4"/>
                <w:sz w:val="18"/>
                <w:szCs w:val="18"/>
              </w:rPr>
            </w:pPr>
            <w:r>
              <w:rPr>
                <w:rFonts w:hint="eastAsia" w:ascii="宋体" w:hAnsi="宋体" w:eastAsia="宋体" w:cs="宋体"/>
                <w:spacing w:val="4"/>
                <w:sz w:val="18"/>
                <w:szCs w:val="18"/>
              </w:rPr>
              <w:t>（5）卫生、防卫检查监督管理制度；</w:t>
            </w:r>
          </w:p>
          <w:p w14:paraId="43FF24CB">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4"/>
                <w:sz w:val="18"/>
                <w:szCs w:val="18"/>
              </w:rPr>
            </w:pPr>
            <w:r>
              <w:rPr>
                <w:rFonts w:hint="eastAsia" w:ascii="宋体" w:hAnsi="宋体" w:eastAsia="宋体" w:cs="宋体"/>
                <w:spacing w:val="4"/>
                <w:sz w:val="18"/>
                <w:szCs w:val="18"/>
              </w:rPr>
              <w:t>（6）财务管理制度（含设备物资管理、出入库管理）。</w:t>
            </w:r>
          </w:p>
        </w:tc>
        <w:tc>
          <w:tcPr>
            <w:tcW w:w="694" w:type="dxa"/>
            <w:noWrap w:val="0"/>
            <w:vAlign w:val="top"/>
          </w:tcPr>
          <w:p w14:paraId="71297138">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宋体" w:hAnsi="宋体" w:eastAsia="宋体" w:cs="宋体"/>
                <w:spacing w:val="4"/>
                <w:sz w:val="18"/>
                <w:szCs w:val="18"/>
              </w:rPr>
            </w:pPr>
          </w:p>
          <w:p w14:paraId="3068C7FD">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宋体" w:hAnsi="宋体" w:eastAsia="宋体" w:cs="宋体"/>
                <w:spacing w:val="4"/>
                <w:sz w:val="18"/>
                <w:szCs w:val="18"/>
              </w:rPr>
            </w:pPr>
          </w:p>
          <w:p w14:paraId="55A514A0">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宋体" w:hAnsi="宋体" w:eastAsia="宋体" w:cs="宋体"/>
                <w:spacing w:val="4"/>
                <w:sz w:val="18"/>
                <w:szCs w:val="18"/>
              </w:rPr>
            </w:pPr>
          </w:p>
          <w:p w14:paraId="3476EFE2">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宋体" w:hAnsi="宋体" w:eastAsia="宋体" w:cs="宋体"/>
                <w:spacing w:val="4"/>
                <w:sz w:val="18"/>
                <w:szCs w:val="18"/>
              </w:rPr>
            </w:pPr>
          </w:p>
          <w:p w14:paraId="4399FBCF">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宋体" w:hAnsi="宋体" w:eastAsia="宋体" w:cs="宋体"/>
                <w:spacing w:val="4"/>
                <w:sz w:val="18"/>
                <w:szCs w:val="18"/>
              </w:rPr>
            </w:pPr>
          </w:p>
          <w:p w14:paraId="3BB49F3A">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宋体" w:hAnsi="宋体" w:eastAsia="宋体" w:cs="宋体"/>
                <w:spacing w:val="4"/>
                <w:sz w:val="18"/>
                <w:szCs w:val="18"/>
              </w:rPr>
            </w:pPr>
          </w:p>
          <w:p w14:paraId="076625DC">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宋体" w:hAnsi="宋体" w:eastAsia="宋体" w:cs="宋体"/>
                <w:spacing w:val="4"/>
                <w:sz w:val="18"/>
                <w:szCs w:val="18"/>
              </w:rPr>
            </w:pPr>
          </w:p>
          <w:p w14:paraId="76D39EE6">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宋体" w:hAnsi="宋体" w:eastAsia="宋体" w:cs="宋体"/>
                <w:spacing w:val="4"/>
                <w:sz w:val="18"/>
                <w:szCs w:val="18"/>
              </w:rPr>
            </w:pPr>
            <w:r>
              <w:rPr>
                <w:rFonts w:hint="eastAsia" w:ascii="宋体" w:hAnsi="宋体" w:eastAsia="宋体" w:cs="宋体"/>
                <w:spacing w:val="4"/>
                <w:sz w:val="18"/>
                <w:szCs w:val="18"/>
              </w:rPr>
              <w:t>9 分</w:t>
            </w:r>
          </w:p>
        </w:tc>
      </w:tr>
      <w:tr w14:paraId="39AEB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555" w:type="dxa"/>
            <w:noWrap w:val="0"/>
            <w:vAlign w:val="top"/>
          </w:tcPr>
          <w:p w14:paraId="2104FE84">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4"/>
                <w:sz w:val="18"/>
                <w:szCs w:val="18"/>
              </w:rPr>
            </w:pPr>
          </w:p>
          <w:p w14:paraId="6867A10D">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4"/>
                <w:sz w:val="18"/>
                <w:szCs w:val="18"/>
              </w:rPr>
            </w:pPr>
          </w:p>
          <w:p w14:paraId="77631711">
            <w:pPr>
              <w:keepNext w:val="0"/>
              <w:keepLines w:val="0"/>
              <w:pageBreakBefore w:val="0"/>
              <w:widowControl/>
              <w:kinsoku w:val="0"/>
              <w:wordWrap/>
              <w:overflowPunct/>
              <w:topLinePunct w:val="0"/>
              <w:autoSpaceDE w:val="0"/>
              <w:autoSpaceDN w:val="0"/>
              <w:bidi w:val="0"/>
              <w:adjustRightInd w:val="0"/>
              <w:snapToGrid w:val="0"/>
              <w:spacing w:line="320" w:lineRule="exact"/>
              <w:jc w:val="both"/>
              <w:textAlignment w:val="baseline"/>
              <w:rPr>
                <w:rFonts w:hint="eastAsia" w:ascii="宋体" w:hAnsi="宋体" w:eastAsia="宋体" w:cs="宋体"/>
                <w:spacing w:val="4"/>
                <w:sz w:val="18"/>
                <w:szCs w:val="18"/>
              </w:rPr>
            </w:pPr>
          </w:p>
          <w:p w14:paraId="298CF13A">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宋体" w:hAnsi="宋体" w:eastAsia="宋体" w:cs="宋体"/>
                <w:spacing w:val="4"/>
                <w:sz w:val="18"/>
                <w:szCs w:val="18"/>
              </w:rPr>
            </w:pPr>
            <w:r>
              <w:rPr>
                <w:rFonts w:hint="eastAsia" w:ascii="宋体" w:hAnsi="宋体" w:eastAsia="宋体" w:cs="宋体"/>
                <w:spacing w:val="4"/>
                <w:sz w:val="18"/>
                <w:szCs w:val="18"/>
              </w:rPr>
              <w:t>3</w:t>
            </w:r>
          </w:p>
        </w:tc>
        <w:tc>
          <w:tcPr>
            <w:tcW w:w="1037" w:type="dxa"/>
            <w:noWrap w:val="0"/>
            <w:vAlign w:val="top"/>
          </w:tcPr>
          <w:p w14:paraId="76D1ABE6">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宋体" w:hAnsi="宋体" w:eastAsia="宋体" w:cs="宋体"/>
                <w:spacing w:val="4"/>
                <w:sz w:val="18"/>
                <w:szCs w:val="18"/>
              </w:rPr>
            </w:pPr>
          </w:p>
          <w:p w14:paraId="4FC8C5D9">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宋体" w:hAnsi="宋体" w:eastAsia="宋体" w:cs="宋体"/>
                <w:spacing w:val="4"/>
                <w:sz w:val="18"/>
                <w:szCs w:val="18"/>
              </w:rPr>
            </w:pPr>
          </w:p>
          <w:p w14:paraId="7FC923F3">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宋体" w:hAnsi="宋体" w:eastAsia="宋体" w:cs="宋体"/>
                <w:spacing w:val="4"/>
                <w:sz w:val="18"/>
                <w:szCs w:val="18"/>
              </w:rPr>
            </w:pPr>
          </w:p>
          <w:p w14:paraId="59894B80">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宋体" w:hAnsi="宋体" w:eastAsia="宋体" w:cs="宋体"/>
                <w:spacing w:val="4"/>
                <w:sz w:val="18"/>
                <w:szCs w:val="18"/>
                <w:lang w:val="en-US" w:eastAsia="zh-CN"/>
              </w:rPr>
            </w:pPr>
            <w:r>
              <w:rPr>
                <w:rFonts w:hint="eastAsia" w:ascii="宋体" w:hAnsi="宋体" w:eastAsia="宋体" w:cs="宋体"/>
                <w:spacing w:val="4"/>
                <w:sz w:val="18"/>
                <w:szCs w:val="18"/>
                <w:lang w:val="en-US" w:eastAsia="zh-CN"/>
              </w:rPr>
              <w:t>服务人员配备及设备服务用品投入</w:t>
            </w:r>
          </w:p>
        </w:tc>
        <w:tc>
          <w:tcPr>
            <w:tcW w:w="6534" w:type="dxa"/>
            <w:noWrap w:val="0"/>
            <w:vAlign w:val="top"/>
          </w:tcPr>
          <w:p w14:paraId="752D2572">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eastAsia="zh-CN"/>
              </w:rPr>
              <w:t>.</w:t>
            </w:r>
            <w:r>
              <w:rPr>
                <w:rFonts w:hint="eastAsia" w:ascii="宋体" w:hAnsi="宋体" w:eastAsia="宋体" w:cs="宋体"/>
                <w:sz w:val="18"/>
                <w:szCs w:val="18"/>
              </w:rPr>
              <w:t xml:space="preserve"> 合理配备各岗位人员的人数，配置方案及人员配置表完善，工种齐全，投标人根据采购人需求合理配置有各方面相关经验的作业人员 （</w:t>
            </w:r>
            <w:r>
              <w:rPr>
                <w:rFonts w:hint="eastAsia" w:ascii="宋体" w:hAnsi="宋体" w:eastAsia="宋体" w:cs="宋体"/>
                <w:sz w:val="18"/>
                <w:szCs w:val="18"/>
                <w:lang w:val="en-US" w:eastAsia="zh-CN"/>
              </w:rPr>
              <w:t>保安班长</w:t>
            </w:r>
            <w:r>
              <w:rPr>
                <w:rFonts w:hint="eastAsia" w:ascii="宋体" w:hAnsi="宋体" w:eastAsia="宋体" w:cs="宋体"/>
                <w:sz w:val="18"/>
                <w:szCs w:val="18"/>
              </w:rPr>
              <w:t>、</w:t>
            </w:r>
            <w:r>
              <w:rPr>
                <w:rFonts w:hint="eastAsia" w:ascii="宋体" w:hAnsi="宋体" w:eastAsia="宋体" w:cs="宋体"/>
                <w:sz w:val="18"/>
                <w:szCs w:val="18"/>
                <w:lang w:val="en-US" w:eastAsia="zh-CN"/>
              </w:rPr>
              <w:t>保安、</w:t>
            </w:r>
            <w:r>
              <w:rPr>
                <w:rFonts w:hint="eastAsia" w:ascii="宋体" w:hAnsi="宋体" w:eastAsia="宋体" w:cs="宋体"/>
                <w:sz w:val="18"/>
                <w:szCs w:val="18"/>
              </w:rPr>
              <w:t>保洁、</w:t>
            </w:r>
            <w:r>
              <w:rPr>
                <w:rFonts w:hint="eastAsia" w:ascii="宋体" w:hAnsi="宋体" w:eastAsia="宋体" w:cs="宋体"/>
                <w:sz w:val="18"/>
                <w:szCs w:val="18"/>
                <w:lang w:val="en-US" w:eastAsia="zh-CN"/>
              </w:rPr>
              <w:t>物业维修工</w:t>
            </w:r>
            <w:r>
              <w:rPr>
                <w:rFonts w:hint="eastAsia" w:ascii="宋体" w:hAnsi="宋体" w:eastAsia="宋体" w:cs="宋体"/>
                <w:sz w:val="18"/>
                <w:szCs w:val="18"/>
              </w:rPr>
              <w:t>、</w:t>
            </w:r>
            <w:r>
              <w:rPr>
                <w:rFonts w:hint="eastAsia" w:ascii="宋体" w:hAnsi="宋体" w:eastAsia="宋体" w:cs="宋体"/>
                <w:sz w:val="18"/>
                <w:szCs w:val="18"/>
                <w:lang w:val="en-US" w:eastAsia="zh-CN"/>
              </w:rPr>
              <w:t>专职安全员</w:t>
            </w:r>
            <w:r>
              <w:rPr>
                <w:rFonts w:hint="eastAsia" w:ascii="宋体" w:hAnsi="宋体" w:eastAsia="宋体" w:cs="宋体"/>
                <w:sz w:val="18"/>
                <w:szCs w:val="18"/>
              </w:rPr>
              <w:t>）</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配备齐全基础上每加1人得2分，最多得6分</w:t>
            </w:r>
            <w:r>
              <w:rPr>
                <w:rFonts w:hint="eastAsia" w:ascii="宋体" w:hAnsi="宋体" w:eastAsia="宋体" w:cs="宋体"/>
                <w:sz w:val="18"/>
                <w:szCs w:val="18"/>
                <w:lang w:eastAsia="zh-CN"/>
              </w:rPr>
              <w:t>。</w:t>
            </w:r>
          </w:p>
          <w:p w14:paraId="0FB853CD">
            <w:pPr>
              <w:pStyle w:val="3"/>
              <w:pageBreakBefore w:val="0"/>
              <w:wordWrap/>
              <w:overflowPunct/>
              <w:topLinePunct w:val="0"/>
              <w:bidi w:val="0"/>
              <w:spacing w:line="320" w:lineRule="exact"/>
              <w:jc w:val="left"/>
              <w:rPr>
                <w:rFonts w:hint="eastAsia" w:ascii="宋体" w:hAnsi="宋体" w:eastAsia="宋体" w:cs="宋体"/>
                <w:sz w:val="18"/>
                <w:szCs w:val="18"/>
                <w:lang w:val="en-US" w:eastAsia="zh-CN"/>
              </w:rPr>
            </w:pPr>
            <w:r>
              <w:rPr>
                <w:rFonts w:hint="eastAsia" w:ascii="宋体" w:hAnsi="宋体" w:eastAsia="宋体" w:cs="宋体"/>
                <w:b w:val="0"/>
                <w:kern w:val="0"/>
                <w:sz w:val="18"/>
                <w:szCs w:val="18"/>
                <w:lang w:val="en-US" w:eastAsia="zh-CN"/>
              </w:rPr>
              <w:t>2.人员资质：保安人员持有保安证，保洁人员持有健康证，维修工持有特种作业操作证（低压电工作），每提供1个得2分，最高可得9分，(提供证件扫描件，不提供不得分）</w:t>
            </w:r>
          </w:p>
        </w:tc>
        <w:tc>
          <w:tcPr>
            <w:tcW w:w="694" w:type="dxa"/>
            <w:noWrap w:val="0"/>
            <w:vAlign w:val="top"/>
          </w:tcPr>
          <w:p w14:paraId="6BC2B9A1">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宋体" w:hAnsi="宋体" w:eastAsia="宋体" w:cs="宋体"/>
                <w:spacing w:val="4"/>
                <w:sz w:val="18"/>
                <w:szCs w:val="18"/>
              </w:rPr>
            </w:pPr>
          </w:p>
          <w:p w14:paraId="2CBB1CC1">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宋体" w:hAnsi="宋体" w:eastAsia="宋体" w:cs="宋体"/>
                <w:spacing w:val="4"/>
                <w:sz w:val="18"/>
                <w:szCs w:val="18"/>
              </w:rPr>
            </w:pPr>
          </w:p>
          <w:p w14:paraId="3F683929">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宋体" w:hAnsi="宋体" w:eastAsia="宋体" w:cs="宋体"/>
                <w:spacing w:val="4"/>
                <w:sz w:val="18"/>
                <w:szCs w:val="18"/>
              </w:rPr>
            </w:pPr>
          </w:p>
          <w:p w14:paraId="6BA7DEE1">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宋体" w:hAnsi="宋体" w:eastAsia="宋体" w:cs="宋体"/>
                <w:spacing w:val="4"/>
                <w:sz w:val="18"/>
                <w:szCs w:val="18"/>
              </w:rPr>
            </w:pPr>
          </w:p>
          <w:p w14:paraId="31693BA3">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宋体" w:hAnsi="宋体" w:eastAsia="宋体" w:cs="宋体"/>
                <w:spacing w:val="4"/>
                <w:sz w:val="18"/>
                <w:szCs w:val="18"/>
              </w:rPr>
            </w:pPr>
            <w:r>
              <w:rPr>
                <w:rFonts w:hint="eastAsia" w:ascii="宋体" w:hAnsi="宋体" w:eastAsia="宋体" w:cs="宋体"/>
                <w:spacing w:val="4"/>
                <w:sz w:val="18"/>
                <w:szCs w:val="18"/>
              </w:rPr>
              <w:t>15 分</w:t>
            </w:r>
          </w:p>
        </w:tc>
      </w:tr>
      <w:tr w14:paraId="6690FE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5" w:type="dxa"/>
            <w:noWrap w:val="0"/>
            <w:vAlign w:val="top"/>
          </w:tcPr>
          <w:p w14:paraId="1A635E18">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4"/>
                <w:sz w:val="18"/>
                <w:szCs w:val="18"/>
              </w:rPr>
            </w:pPr>
          </w:p>
          <w:p w14:paraId="27CF8AA2">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4"/>
                <w:sz w:val="18"/>
                <w:szCs w:val="18"/>
              </w:rPr>
            </w:pPr>
          </w:p>
          <w:p w14:paraId="100E3CB4">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4"/>
                <w:sz w:val="18"/>
                <w:szCs w:val="18"/>
              </w:rPr>
            </w:pPr>
          </w:p>
          <w:p w14:paraId="4EC1D2E5">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4"/>
                <w:sz w:val="18"/>
                <w:szCs w:val="18"/>
              </w:rPr>
            </w:pPr>
          </w:p>
          <w:p w14:paraId="1CCE17A1">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宋体" w:hAnsi="宋体" w:eastAsia="宋体" w:cs="宋体"/>
                <w:spacing w:val="4"/>
                <w:sz w:val="18"/>
                <w:szCs w:val="18"/>
              </w:rPr>
            </w:pPr>
            <w:r>
              <w:rPr>
                <w:rFonts w:hint="eastAsia" w:ascii="宋体" w:hAnsi="宋体" w:eastAsia="宋体" w:cs="宋体"/>
                <w:spacing w:val="4"/>
                <w:sz w:val="18"/>
                <w:szCs w:val="18"/>
              </w:rPr>
              <w:t>4</w:t>
            </w:r>
          </w:p>
        </w:tc>
        <w:tc>
          <w:tcPr>
            <w:tcW w:w="1037" w:type="dxa"/>
            <w:noWrap w:val="0"/>
            <w:vAlign w:val="top"/>
          </w:tcPr>
          <w:p w14:paraId="3F12FD64">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宋体" w:hAnsi="宋体" w:eastAsia="宋体" w:cs="宋体"/>
                <w:spacing w:val="4"/>
                <w:sz w:val="18"/>
                <w:szCs w:val="18"/>
              </w:rPr>
            </w:pPr>
          </w:p>
          <w:p w14:paraId="2353F3E4">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宋体" w:hAnsi="宋体" w:eastAsia="宋体" w:cs="宋体"/>
                <w:spacing w:val="4"/>
                <w:sz w:val="18"/>
                <w:szCs w:val="18"/>
              </w:rPr>
            </w:pPr>
            <w:r>
              <w:rPr>
                <w:rFonts w:hint="eastAsia" w:ascii="宋体" w:hAnsi="宋体" w:eastAsia="宋体" w:cs="宋体"/>
                <w:spacing w:val="4"/>
                <w:sz w:val="18"/>
                <w:szCs w:val="18"/>
              </w:rPr>
              <w:t>日常管</w:t>
            </w:r>
          </w:p>
          <w:p w14:paraId="18074639">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宋体" w:hAnsi="宋体" w:eastAsia="宋体" w:cs="宋体"/>
                <w:spacing w:val="4"/>
                <w:sz w:val="18"/>
                <w:szCs w:val="18"/>
              </w:rPr>
            </w:pPr>
            <w:r>
              <w:rPr>
                <w:rFonts w:hint="eastAsia" w:ascii="宋体" w:hAnsi="宋体" w:eastAsia="宋体" w:cs="宋体"/>
                <w:spacing w:val="4"/>
                <w:sz w:val="18"/>
                <w:szCs w:val="18"/>
              </w:rPr>
              <w:t>理服务</w:t>
            </w:r>
          </w:p>
          <w:p w14:paraId="3E6076FE">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宋体" w:hAnsi="宋体" w:eastAsia="宋体" w:cs="宋体"/>
                <w:spacing w:val="4"/>
                <w:sz w:val="18"/>
                <w:szCs w:val="18"/>
              </w:rPr>
            </w:pPr>
            <w:r>
              <w:rPr>
                <w:rFonts w:hint="eastAsia" w:ascii="宋体" w:hAnsi="宋体" w:eastAsia="宋体" w:cs="宋体"/>
                <w:spacing w:val="4"/>
                <w:sz w:val="18"/>
                <w:szCs w:val="18"/>
              </w:rPr>
              <w:t>实施方</w:t>
            </w:r>
          </w:p>
          <w:p w14:paraId="5D2CD0AB">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宋体" w:hAnsi="宋体" w:eastAsia="宋体" w:cs="宋体"/>
                <w:spacing w:val="4"/>
                <w:sz w:val="18"/>
                <w:szCs w:val="18"/>
              </w:rPr>
            </w:pPr>
            <w:r>
              <w:rPr>
                <w:rFonts w:hint="eastAsia" w:ascii="宋体" w:hAnsi="宋体" w:eastAsia="宋体" w:cs="宋体"/>
                <w:spacing w:val="4"/>
                <w:sz w:val="18"/>
                <w:szCs w:val="18"/>
              </w:rPr>
              <w:t>案</w:t>
            </w:r>
          </w:p>
        </w:tc>
        <w:tc>
          <w:tcPr>
            <w:tcW w:w="6534" w:type="dxa"/>
            <w:noWrap w:val="0"/>
            <w:vAlign w:val="top"/>
          </w:tcPr>
          <w:p w14:paraId="16249A7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6"/>
                <w:sz w:val="18"/>
                <w:szCs w:val="18"/>
              </w:rPr>
            </w:pPr>
            <w:r>
              <w:rPr>
                <w:rFonts w:hint="eastAsia" w:ascii="宋体" w:hAnsi="宋体" w:eastAsia="宋体" w:cs="宋体"/>
                <w:b/>
                <w:bCs/>
                <w:spacing w:val="6"/>
                <w:sz w:val="18"/>
                <w:szCs w:val="18"/>
                <w:lang w:val="en-US" w:eastAsia="zh-CN"/>
              </w:rPr>
              <w:t>1.</w:t>
            </w:r>
            <w:r>
              <w:rPr>
                <w:rFonts w:hint="eastAsia" w:ascii="宋体" w:hAnsi="宋体" w:eastAsia="宋体" w:cs="宋体"/>
                <w:b/>
                <w:bCs/>
                <w:spacing w:val="6"/>
                <w:sz w:val="18"/>
                <w:szCs w:val="18"/>
              </w:rPr>
              <w:t>保洁服务方案（12 分）：</w:t>
            </w:r>
            <w:r>
              <w:rPr>
                <w:rFonts w:hint="eastAsia" w:ascii="宋体" w:hAnsi="宋体" w:eastAsia="宋体" w:cs="宋体"/>
                <w:spacing w:val="6"/>
                <w:sz w:val="18"/>
                <w:szCs w:val="18"/>
              </w:rPr>
              <w:t xml:space="preserve"> 包括</w:t>
            </w:r>
            <w:r>
              <w:rPr>
                <w:rFonts w:hint="eastAsia" w:ascii="宋体" w:hAnsi="宋体" w:eastAsia="宋体" w:cs="宋体"/>
                <w:spacing w:val="6"/>
                <w:sz w:val="18"/>
                <w:szCs w:val="18"/>
                <w:lang w:eastAsia="zh-CN"/>
              </w:rPr>
              <w:t>：</w:t>
            </w:r>
            <w:r>
              <w:rPr>
                <w:rFonts w:hint="eastAsia" w:ascii="宋体" w:hAnsi="宋体" w:eastAsia="宋体" w:cs="宋体"/>
                <w:spacing w:val="6"/>
                <w:sz w:val="18"/>
                <w:szCs w:val="18"/>
              </w:rPr>
              <w:t>①分区保洁定人定岗方案；</w:t>
            </w:r>
          </w:p>
          <w:p w14:paraId="1A569AB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6"/>
                <w:sz w:val="18"/>
                <w:szCs w:val="18"/>
              </w:rPr>
            </w:pPr>
            <w:r>
              <w:rPr>
                <w:rFonts w:hint="eastAsia" w:ascii="宋体" w:hAnsi="宋体" w:eastAsia="宋体" w:cs="宋体"/>
                <w:spacing w:val="6"/>
                <w:sz w:val="18"/>
                <w:szCs w:val="18"/>
              </w:rPr>
              <w:t>②保洁工具按区分配方案；③各类垃圾清运方案；④墙面、地面、窗户养护方案； ⑤备勤室清洁方案；⑥各区域清洁要求及工作标准方案；以上</w:t>
            </w:r>
            <w:r>
              <w:rPr>
                <w:rFonts w:hint="eastAsia" w:ascii="宋体" w:hAnsi="宋体" w:eastAsia="宋体" w:cs="宋体"/>
                <w:spacing w:val="6"/>
                <w:sz w:val="18"/>
                <w:szCs w:val="18"/>
                <w:lang w:val="en-US" w:eastAsia="zh-CN"/>
              </w:rPr>
              <w:t>方案齐全，无缺项漏项，能完全满足采购需求的得12分，其中缺项漏项的每有一项扣2分，方案内容存在缺项的，每有一项扣1分，扣完为止</w:t>
            </w:r>
            <w:r>
              <w:rPr>
                <w:rFonts w:hint="eastAsia" w:ascii="宋体" w:hAnsi="宋体" w:eastAsia="宋体" w:cs="宋体"/>
                <w:spacing w:val="6"/>
                <w:sz w:val="18"/>
                <w:szCs w:val="18"/>
              </w:rPr>
              <w:t>；</w:t>
            </w:r>
          </w:p>
          <w:p w14:paraId="00D4592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exact"/>
              <w:ind w:leftChars="0"/>
              <w:textAlignment w:val="baseline"/>
              <w:rPr>
                <w:rFonts w:hint="eastAsia" w:ascii="宋体" w:hAnsi="宋体" w:eastAsia="宋体" w:cs="宋体"/>
                <w:spacing w:val="6"/>
                <w:sz w:val="18"/>
                <w:szCs w:val="18"/>
              </w:rPr>
            </w:pPr>
            <w:r>
              <w:rPr>
                <w:rFonts w:hint="eastAsia" w:ascii="宋体" w:hAnsi="宋体" w:eastAsia="宋体" w:cs="宋体"/>
                <w:b/>
                <w:bCs/>
                <w:spacing w:val="6"/>
                <w:sz w:val="18"/>
                <w:szCs w:val="18"/>
                <w:lang w:val="en-US" w:eastAsia="zh-CN"/>
              </w:rPr>
              <w:t>2.</w:t>
            </w:r>
            <w:r>
              <w:rPr>
                <w:rFonts w:hint="eastAsia" w:ascii="宋体" w:hAnsi="宋体" w:eastAsia="宋体" w:cs="宋体"/>
                <w:b/>
                <w:bCs/>
                <w:spacing w:val="6"/>
                <w:sz w:val="18"/>
                <w:szCs w:val="18"/>
              </w:rPr>
              <w:t>安全保卫服务方案 （8 分）：</w:t>
            </w:r>
            <w:r>
              <w:rPr>
                <w:rFonts w:hint="eastAsia" w:ascii="宋体" w:hAnsi="宋体" w:eastAsia="宋体" w:cs="宋体"/>
                <w:spacing w:val="6"/>
                <w:sz w:val="18"/>
                <w:szCs w:val="18"/>
              </w:rPr>
              <w:t>包括①人员要求和岗位分工方案；②人员出入管理方案；③巡查方案；④</w:t>
            </w:r>
            <w:r>
              <w:rPr>
                <w:rFonts w:hint="eastAsia" w:ascii="宋体" w:hAnsi="宋体" w:eastAsia="宋体" w:cs="宋体"/>
                <w:spacing w:val="6"/>
                <w:sz w:val="18"/>
                <w:szCs w:val="18"/>
                <w:lang w:val="en-US" w:eastAsia="zh-CN"/>
              </w:rPr>
              <w:t>保安</w:t>
            </w:r>
            <w:r>
              <w:rPr>
                <w:rFonts w:hint="eastAsia" w:ascii="宋体" w:hAnsi="宋体" w:eastAsia="宋体" w:cs="宋体"/>
                <w:spacing w:val="6"/>
                <w:sz w:val="18"/>
                <w:szCs w:val="18"/>
              </w:rPr>
              <w:t>值班安全管理方案， 以上</w:t>
            </w:r>
            <w:r>
              <w:rPr>
                <w:rFonts w:hint="eastAsia" w:ascii="宋体" w:hAnsi="宋体" w:eastAsia="宋体" w:cs="宋体"/>
                <w:spacing w:val="6"/>
                <w:sz w:val="18"/>
                <w:szCs w:val="18"/>
                <w:lang w:val="en-US" w:eastAsia="zh-CN"/>
              </w:rPr>
              <w:t>方案齐全，无缺项漏项，能完全满足采购需求的得8分，其中缺项漏项的每有一项扣2分，方案内容存在缺项的，每有一项扣1分，扣完为止</w:t>
            </w:r>
            <w:r>
              <w:rPr>
                <w:rFonts w:hint="eastAsia" w:ascii="宋体" w:hAnsi="宋体" w:eastAsia="宋体" w:cs="宋体"/>
                <w:spacing w:val="6"/>
                <w:sz w:val="18"/>
                <w:szCs w:val="18"/>
              </w:rPr>
              <w:t>；</w:t>
            </w:r>
          </w:p>
          <w:p w14:paraId="74B648D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exact"/>
              <w:ind w:leftChars="0"/>
              <w:textAlignment w:val="baseline"/>
              <w:rPr>
                <w:rFonts w:hint="eastAsia" w:ascii="宋体" w:hAnsi="宋体" w:eastAsia="宋体" w:cs="宋体"/>
                <w:spacing w:val="7"/>
                <w:sz w:val="18"/>
                <w:szCs w:val="18"/>
              </w:rPr>
            </w:pPr>
            <w:r>
              <w:rPr>
                <w:rFonts w:hint="eastAsia" w:ascii="宋体" w:hAnsi="宋体" w:eastAsia="宋体" w:cs="宋体"/>
                <w:b/>
                <w:bCs/>
                <w:spacing w:val="6"/>
                <w:sz w:val="18"/>
                <w:szCs w:val="18"/>
                <w:lang w:val="en-US" w:eastAsia="zh-CN"/>
              </w:rPr>
              <w:t>3.</w:t>
            </w:r>
            <w:r>
              <w:rPr>
                <w:rFonts w:hint="eastAsia" w:ascii="宋体" w:hAnsi="宋体" w:eastAsia="宋体" w:cs="宋体"/>
                <w:b/>
                <w:bCs/>
                <w:spacing w:val="6"/>
                <w:sz w:val="18"/>
                <w:szCs w:val="18"/>
              </w:rPr>
              <w:t>房屋及配套设施设备和相关场地维</w:t>
            </w:r>
            <w:r>
              <w:rPr>
                <w:rFonts w:hint="eastAsia" w:ascii="宋体" w:hAnsi="宋体" w:eastAsia="宋体" w:cs="宋体"/>
                <w:b/>
                <w:bCs/>
                <w:spacing w:val="4"/>
                <w:sz w:val="18"/>
                <w:szCs w:val="18"/>
              </w:rPr>
              <w:t>修、养护、管理方案（8分</w:t>
            </w:r>
            <w:r>
              <w:rPr>
                <w:rFonts w:hint="eastAsia" w:ascii="宋体" w:hAnsi="宋体" w:eastAsia="宋体" w:cs="宋体"/>
                <w:b/>
                <w:bCs/>
                <w:spacing w:val="-15"/>
                <w:sz w:val="18"/>
                <w:szCs w:val="18"/>
              </w:rPr>
              <w:t>）</w:t>
            </w:r>
            <w:r>
              <w:rPr>
                <w:rFonts w:hint="eastAsia" w:ascii="宋体" w:hAnsi="宋体" w:eastAsia="宋体" w:cs="宋体"/>
                <w:spacing w:val="-15"/>
                <w:sz w:val="18"/>
                <w:szCs w:val="18"/>
              </w:rPr>
              <w:t>：</w:t>
            </w:r>
            <w:r>
              <w:rPr>
                <w:rFonts w:hint="eastAsia" w:ascii="宋体" w:hAnsi="宋体" w:eastAsia="宋体" w:cs="宋体"/>
                <w:spacing w:val="4"/>
                <w:sz w:val="18"/>
                <w:szCs w:val="18"/>
              </w:rPr>
              <w:t>包括①设施设备运维方案；②</w:t>
            </w:r>
            <w:r>
              <w:rPr>
                <w:rFonts w:hint="eastAsia" w:ascii="宋体" w:hAnsi="宋体" w:eastAsia="宋体" w:cs="宋体"/>
                <w:spacing w:val="3"/>
                <w:sz w:val="18"/>
                <w:szCs w:val="18"/>
              </w:rPr>
              <w:t>给排水方案；</w:t>
            </w:r>
            <w:r>
              <w:rPr>
                <w:rFonts w:hint="eastAsia" w:ascii="宋体" w:hAnsi="宋体" w:eastAsia="宋体" w:cs="宋体"/>
                <w:spacing w:val="1"/>
                <w:sz w:val="18"/>
                <w:szCs w:val="18"/>
              </w:rPr>
              <w:t xml:space="preserve"> </w:t>
            </w:r>
            <w:r>
              <w:rPr>
                <w:rFonts w:hint="eastAsia" w:ascii="宋体" w:hAnsi="宋体" w:eastAsia="宋体" w:cs="宋体"/>
                <w:spacing w:val="4"/>
                <w:sz w:val="18"/>
                <w:szCs w:val="18"/>
              </w:rPr>
              <w:t>③</w:t>
            </w:r>
            <w:r>
              <w:rPr>
                <w:rFonts w:hint="eastAsia" w:ascii="宋体" w:hAnsi="宋体" w:eastAsia="宋体" w:cs="宋体"/>
                <w:spacing w:val="4"/>
                <w:sz w:val="18"/>
                <w:szCs w:val="18"/>
                <w:lang w:val="en-US" w:eastAsia="zh-CN"/>
              </w:rPr>
              <w:t>家具</w:t>
            </w:r>
            <w:r>
              <w:rPr>
                <w:rFonts w:hint="eastAsia" w:ascii="宋体" w:hAnsi="宋体" w:eastAsia="宋体" w:cs="宋体"/>
                <w:spacing w:val="4"/>
                <w:sz w:val="18"/>
                <w:szCs w:val="18"/>
              </w:rPr>
              <w:t>及门窗五金维护方案；④设施设备应急救援处置</w:t>
            </w:r>
            <w:r>
              <w:rPr>
                <w:rFonts w:hint="eastAsia" w:ascii="宋体" w:hAnsi="宋体" w:eastAsia="宋体" w:cs="宋体"/>
                <w:spacing w:val="3"/>
                <w:sz w:val="18"/>
                <w:szCs w:val="18"/>
              </w:rPr>
              <w:t>，</w:t>
            </w:r>
            <w:r>
              <w:rPr>
                <w:rFonts w:hint="eastAsia" w:ascii="宋体" w:hAnsi="宋体" w:eastAsia="宋体" w:cs="宋体"/>
                <w:spacing w:val="6"/>
                <w:sz w:val="18"/>
                <w:szCs w:val="18"/>
              </w:rPr>
              <w:t>以上</w:t>
            </w:r>
            <w:r>
              <w:rPr>
                <w:rFonts w:hint="eastAsia" w:ascii="宋体" w:hAnsi="宋体" w:eastAsia="宋体" w:cs="宋体"/>
                <w:spacing w:val="6"/>
                <w:sz w:val="18"/>
                <w:szCs w:val="18"/>
                <w:lang w:val="en-US" w:eastAsia="zh-CN"/>
              </w:rPr>
              <w:t>方案齐全，无缺项漏项，能完全满足采购需求的得8分，其中缺项漏项的每有一项扣2分，方案内容存在缺项的，每有一项扣1分，扣完为止</w:t>
            </w:r>
            <w:r>
              <w:rPr>
                <w:rFonts w:hint="eastAsia" w:ascii="宋体" w:hAnsi="宋体" w:eastAsia="宋体" w:cs="宋体"/>
                <w:spacing w:val="6"/>
                <w:sz w:val="18"/>
                <w:szCs w:val="18"/>
              </w:rPr>
              <w:t>；</w:t>
            </w:r>
            <w:r>
              <w:rPr>
                <w:rFonts w:hint="eastAsia" w:ascii="宋体" w:hAnsi="宋体" w:eastAsia="宋体" w:cs="宋体"/>
                <w:spacing w:val="7"/>
                <w:sz w:val="18"/>
                <w:szCs w:val="18"/>
              </w:rPr>
              <w:t>；</w:t>
            </w:r>
          </w:p>
          <w:p w14:paraId="55D43D4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exact"/>
              <w:ind w:leftChars="0"/>
              <w:textAlignment w:val="baseline"/>
              <w:rPr>
                <w:rFonts w:hint="eastAsia" w:ascii="宋体" w:hAnsi="宋体" w:eastAsia="宋体" w:cs="宋体"/>
                <w:spacing w:val="5"/>
                <w:sz w:val="18"/>
                <w:szCs w:val="18"/>
              </w:rPr>
            </w:pPr>
            <w:r>
              <w:rPr>
                <w:rFonts w:hint="eastAsia" w:ascii="宋体" w:hAnsi="宋体" w:eastAsia="宋体" w:cs="宋体"/>
                <w:b/>
                <w:bCs/>
                <w:spacing w:val="7"/>
                <w:sz w:val="18"/>
                <w:szCs w:val="18"/>
                <w:lang w:val="en-US" w:eastAsia="zh-CN"/>
              </w:rPr>
              <w:t>4.</w:t>
            </w:r>
            <w:r>
              <w:rPr>
                <w:rFonts w:hint="eastAsia" w:ascii="宋体" w:hAnsi="宋体" w:eastAsia="宋体" w:cs="宋体"/>
                <w:b/>
                <w:bCs/>
                <w:spacing w:val="7"/>
                <w:sz w:val="18"/>
                <w:szCs w:val="18"/>
              </w:rPr>
              <w:t>绿</w:t>
            </w:r>
            <w:r>
              <w:rPr>
                <w:rFonts w:hint="eastAsia" w:ascii="宋体" w:hAnsi="宋体" w:eastAsia="宋体" w:cs="宋体"/>
                <w:b/>
                <w:bCs/>
                <w:spacing w:val="7"/>
                <w:sz w:val="18"/>
                <w:szCs w:val="18"/>
                <w:lang w:val="en-US" w:eastAsia="zh-CN"/>
              </w:rPr>
              <w:t>植</w:t>
            </w:r>
            <w:r>
              <w:rPr>
                <w:rFonts w:hint="eastAsia" w:ascii="宋体" w:hAnsi="宋体" w:eastAsia="宋体" w:cs="宋体"/>
                <w:b/>
                <w:bCs/>
                <w:spacing w:val="7"/>
                <w:sz w:val="18"/>
                <w:szCs w:val="18"/>
              </w:rPr>
              <w:t>管理运行方案</w:t>
            </w:r>
            <w:r>
              <w:rPr>
                <w:rFonts w:hint="eastAsia" w:ascii="宋体" w:hAnsi="宋体" w:eastAsia="宋体" w:cs="宋体"/>
                <w:b/>
                <w:bCs/>
                <w:spacing w:val="8"/>
                <w:sz w:val="18"/>
                <w:szCs w:val="18"/>
              </w:rPr>
              <w:t>（6</w:t>
            </w:r>
            <w:r>
              <w:rPr>
                <w:rFonts w:hint="eastAsia" w:ascii="宋体" w:hAnsi="宋体" w:eastAsia="宋体" w:cs="宋体"/>
                <w:b/>
                <w:bCs/>
                <w:spacing w:val="-33"/>
                <w:sz w:val="18"/>
                <w:szCs w:val="18"/>
              </w:rPr>
              <w:t xml:space="preserve"> </w:t>
            </w:r>
            <w:r>
              <w:rPr>
                <w:rFonts w:hint="eastAsia" w:ascii="宋体" w:hAnsi="宋体" w:eastAsia="宋体" w:cs="宋体"/>
                <w:b/>
                <w:bCs/>
                <w:spacing w:val="8"/>
                <w:sz w:val="18"/>
                <w:szCs w:val="18"/>
              </w:rPr>
              <w:t>分</w:t>
            </w:r>
            <w:r>
              <w:rPr>
                <w:rFonts w:hint="eastAsia" w:ascii="宋体" w:hAnsi="宋体" w:eastAsia="宋体" w:cs="宋体"/>
                <w:b/>
                <w:bCs/>
                <w:spacing w:val="12"/>
                <w:sz w:val="18"/>
                <w:szCs w:val="18"/>
              </w:rPr>
              <w:t>）</w:t>
            </w:r>
            <w:r>
              <w:rPr>
                <w:rFonts w:hint="eastAsia" w:ascii="宋体" w:hAnsi="宋体" w:eastAsia="宋体" w:cs="宋体"/>
                <w:spacing w:val="12"/>
                <w:sz w:val="18"/>
                <w:szCs w:val="18"/>
              </w:rPr>
              <w:t>：</w:t>
            </w:r>
            <w:r>
              <w:rPr>
                <w:rFonts w:hint="eastAsia" w:ascii="宋体" w:hAnsi="宋体" w:eastAsia="宋体" w:cs="宋体"/>
                <w:spacing w:val="12"/>
                <w:sz w:val="18"/>
                <w:szCs w:val="18"/>
                <w:lang w:val="en-US" w:eastAsia="zh-CN"/>
              </w:rPr>
              <w:t>包括</w:t>
            </w:r>
            <w:r>
              <w:rPr>
                <w:rFonts w:hint="eastAsia" w:ascii="宋体" w:hAnsi="宋体" w:eastAsia="宋体" w:cs="宋体"/>
                <w:spacing w:val="8"/>
                <w:sz w:val="18"/>
                <w:szCs w:val="18"/>
              </w:rPr>
              <w:t>①绿</w:t>
            </w:r>
            <w:r>
              <w:rPr>
                <w:rFonts w:hint="eastAsia" w:ascii="宋体" w:hAnsi="宋体" w:eastAsia="宋体" w:cs="宋体"/>
                <w:spacing w:val="8"/>
                <w:sz w:val="18"/>
                <w:szCs w:val="18"/>
                <w:lang w:val="en-US" w:eastAsia="zh-CN"/>
              </w:rPr>
              <w:t>植</w:t>
            </w:r>
            <w:r>
              <w:rPr>
                <w:rFonts w:hint="eastAsia" w:ascii="宋体" w:hAnsi="宋体" w:eastAsia="宋体" w:cs="宋体"/>
                <w:spacing w:val="8"/>
                <w:sz w:val="18"/>
                <w:szCs w:val="18"/>
              </w:rPr>
              <w:t>系统化管理方案；②绿</w:t>
            </w:r>
            <w:r>
              <w:rPr>
                <w:rFonts w:hint="eastAsia" w:ascii="宋体" w:hAnsi="宋体" w:eastAsia="宋体" w:cs="宋体"/>
                <w:spacing w:val="8"/>
                <w:sz w:val="18"/>
                <w:szCs w:val="18"/>
                <w:lang w:val="en-US" w:eastAsia="zh-CN"/>
              </w:rPr>
              <w:t>植</w:t>
            </w:r>
            <w:r>
              <w:rPr>
                <w:rFonts w:hint="eastAsia" w:ascii="宋体" w:hAnsi="宋体" w:eastAsia="宋体" w:cs="宋体"/>
                <w:spacing w:val="8"/>
                <w:sz w:val="18"/>
                <w:szCs w:val="18"/>
              </w:rPr>
              <w:t>设备管理方案；③人员管理考</w:t>
            </w:r>
            <w:r>
              <w:rPr>
                <w:rFonts w:hint="eastAsia" w:ascii="宋体" w:hAnsi="宋体" w:eastAsia="宋体" w:cs="宋体"/>
                <w:spacing w:val="6"/>
                <w:sz w:val="18"/>
                <w:szCs w:val="18"/>
              </w:rPr>
              <w:t>核方案；以上</w:t>
            </w:r>
            <w:r>
              <w:rPr>
                <w:rFonts w:hint="eastAsia" w:ascii="宋体" w:hAnsi="宋体" w:eastAsia="宋体" w:cs="宋体"/>
                <w:spacing w:val="6"/>
                <w:sz w:val="18"/>
                <w:szCs w:val="18"/>
                <w:lang w:val="en-US" w:eastAsia="zh-CN"/>
              </w:rPr>
              <w:t>方案齐全，无缺项漏项，能完全满足采购需求的得6分，其中缺项漏项的每有一项扣2分，方案内容存在缺项的，每有一项扣1分，扣完为止</w:t>
            </w:r>
            <w:r>
              <w:rPr>
                <w:rFonts w:hint="eastAsia" w:ascii="宋体" w:hAnsi="宋体" w:eastAsia="宋体" w:cs="宋体"/>
                <w:spacing w:val="6"/>
                <w:sz w:val="18"/>
                <w:szCs w:val="18"/>
              </w:rPr>
              <w:t>；</w:t>
            </w:r>
            <w:r>
              <w:rPr>
                <w:rFonts w:hint="eastAsia" w:ascii="宋体" w:hAnsi="宋体" w:eastAsia="宋体" w:cs="宋体"/>
                <w:spacing w:val="5"/>
                <w:sz w:val="18"/>
                <w:szCs w:val="18"/>
              </w:rPr>
              <w:t>；</w:t>
            </w:r>
          </w:p>
          <w:p w14:paraId="290BEFD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exact"/>
              <w:ind w:leftChars="0"/>
              <w:textAlignment w:val="baseline"/>
              <w:rPr>
                <w:rFonts w:hint="eastAsia" w:ascii="宋体" w:hAnsi="宋体" w:eastAsia="宋体" w:cs="宋体"/>
                <w:spacing w:val="-4"/>
                <w:sz w:val="18"/>
                <w:szCs w:val="18"/>
              </w:rPr>
            </w:pPr>
            <w:r>
              <w:rPr>
                <w:rFonts w:hint="eastAsia" w:ascii="宋体" w:hAnsi="宋体" w:eastAsia="宋体" w:cs="宋体"/>
                <w:b/>
                <w:bCs/>
                <w:spacing w:val="6"/>
                <w:sz w:val="18"/>
                <w:szCs w:val="18"/>
                <w:lang w:val="en-US" w:eastAsia="zh-CN"/>
              </w:rPr>
              <w:t>5.</w:t>
            </w:r>
            <w:r>
              <w:rPr>
                <w:rFonts w:hint="eastAsia" w:ascii="宋体" w:hAnsi="宋体" w:eastAsia="宋体" w:cs="宋体"/>
                <w:b/>
                <w:bCs/>
                <w:spacing w:val="6"/>
                <w:sz w:val="18"/>
                <w:szCs w:val="18"/>
              </w:rPr>
              <w:t>管理指标承诺（2</w:t>
            </w:r>
            <w:r>
              <w:rPr>
                <w:rFonts w:hint="eastAsia" w:ascii="宋体" w:hAnsi="宋体" w:eastAsia="宋体" w:cs="宋体"/>
                <w:b/>
                <w:bCs/>
                <w:spacing w:val="-33"/>
                <w:sz w:val="18"/>
                <w:szCs w:val="18"/>
              </w:rPr>
              <w:t xml:space="preserve"> </w:t>
            </w:r>
            <w:r>
              <w:rPr>
                <w:rFonts w:hint="eastAsia" w:ascii="宋体" w:hAnsi="宋体" w:eastAsia="宋体" w:cs="宋体"/>
                <w:b/>
                <w:bCs/>
                <w:spacing w:val="6"/>
                <w:sz w:val="18"/>
                <w:szCs w:val="18"/>
              </w:rPr>
              <w:t>分</w:t>
            </w:r>
            <w:r>
              <w:rPr>
                <w:rFonts w:hint="eastAsia" w:ascii="宋体" w:hAnsi="宋体" w:eastAsia="宋体" w:cs="宋体"/>
                <w:b/>
                <w:bCs/>
                <w:spacing w:val="-29"/>
                <w:sz w:val="18"/>
                <w:szCs w:val="18"/>
              </w:rPr>
              <w:t>）：</w:t>
            </w:r>
            <w:r>
              <w:rPr>
                <w:rFonts w:hint="eastAsia" w:ascii="宋体" w:hAnsi="宋体" w:eastAsia="宋体" w:cs="宋体"/>
                <w:spacing w:val="6"/>
                <w:sz w:val="18"/>
                <w:szCs w:val="18"/>
              </w:rPr>
              <w:t>根据采购要求中的</w:t>
            </w:r>
            <w:r>
              <w:rPr>
                <w:rFonts w:hint="eastAsia" w:ascii="宋体" w:hAnsi="宋体" w:eastAsia="宋体" w:cs="宋体"/>
                <w:spacing w:val="5"/>
                <w:sz w:val="18"/>
                <w:szCs w:val="18"/>
              </w:rPr>
              <w:t>标准①清洁保洁率达</w:t>
            </w:r>
            <w:r>
              <w:rPr>
                <w:rFonts w:hint="eastAsia" w:ascii="宋体" w:hAnsi="宋体" w:eastAsia="宋体" w:cs="宋体"/>
                <w:spacing w:val="5"/>
                <w:sz w:val="18"/>
                <w:szCs w:val="18"/>
                <w:lang w:val="en-US" w:eastAsia="zh-CN"/>
              </w:rPr>
              <w:t>100</w:t>
            </w:r>
            <w:r>
              <w:rPr>
                <w:rFonts w:hint="eastAsia" w:ascii="宋体" w:hAnsi="宋体" w:eastAsia="宋体" w:cs="宋体"/>
                <w:spacing w:val="5"/>
                <w:sz w:val="18"/>
                <w:szCs w:val="18"/>
              </w:rPr>
              <w:t>%；</w:t>
            </w:r>
            <w:r>
              <w:rPr>
                <w:rFonts w:hint="eastAsia" w:ascii="宋体" w:hAnsi="宋体" w:eastAsia="宋体" w:cs="宋体"/>
                <w:sz w:val="18"/>
                <w:szCs w:val="18"/>
              </w:rPr>
              <w:t xml:space="preserve"> </w:t>
            </w:r>
            <w:r>
              <w:rPr>
                <w:rFonts w:hint="eastAsia" w:ascii="宋体" w:hAnsi="宋体" w:eastAsia="宋体" w:cs="宋体"/>
                <w:spacing w:val="15"/>
                <w:sz w:val="18"/>
                <w:szCs w:val="18"/>
              </w:rPr>
              <w:t>②治安案件发生率低于1%；</w:t>
            </w:r>
            <w:r>
              <w:rPr>
                <w:rFonts w:hint="eastAsia" w:ascii="宋体" w:hAnsi="宋体" w:eastAsia="宋体" w:cs="宋体"/>
                <w:spacing w:val="-47"/>
                <w:sz w:val="18"/>
                <w:szCs w:val="18"/>
              </w:rPr>
              <w:t xml:space="preserve"> </w:t>
            </w:r>
            <w:r>
              <w:rPr>
                <w:rFonts w:hint="eastAsia" w:ascii="宋体" w:hAnsi="宋体" w:eastAsia="宋体" w:cs="宋体"/>
                <w:spacing w:val="15"/>
                <w:sz w:val="18"/>
                <w:szCs w:val="18"/>
              </w:rPr>
              <w:t>③物业有效处理投诉率及处理及时率达到</w:t>
            </w:r>
            <w:r>
              <w:rPr>
                <w:rFonts w:hint="eastAsia" w:ascii="宋体" w:hAnsi="宋体" w:eastAsia="宋体" w:cs="宋体"/>
                <w:spacing w:val="6"/>
                <w:sz w:val="18"/>
                <w:szCs w:val="18"/>
              </w:rPr>
              <w:t>80%以上；④物业人员更替提前两天向采购单位报备进行；每承诺1项得</w:t>
            </w:r>
            <w:r>
              <w:rPr>
                <w:rFonts w:hint="eastAsia" w:ascii="宋体" w:hAnsi="宋体" w:eastAsia="宋体" w:cs="宋体"/>
                <w:spacing w:val="-4"/>
                <w:sz w:val="18"/>
                <w:szCs w:val="18"/>
              </w:rPr>
              <w:t>0.5 分， 最高得分</w:t>
            </w:r>
            <w:r>
              <w:rPr>
                <w:rFonts w:hint="eastAsia" w:ascii="宋体" w:hAnsi="宋体" w:eastAsia="宋体" w:cs="宋体"/>
                <w:spacing w:val="-24"/>
                <w:sz w:val="18"/>
                <w:szCs w:val="18"/>
              </w:rPr>
              <w:t xml:space="preserve"> </w:t>
            </w:r>
            <w:r>
              <w:rPr>
                <w:rFonts w:hint="eastAsia" w:ascii="宋体" w:hAnsi="宋体" w:eastAsia="宋体" w:cs="宋体"/>
                <w:spacing w:val="-4"/>
                <w:sz w:val="18"/>
                <w:szCs w:val="18"/>
              </w:rPr>
              <w:t>2</w:t>
            </w:r>
            <w:r>
              <w:rPr>
                <w:rFonts w:hint="eastAsia" w:ascii="宋体" w:hAnsi="宋体" w:eastAsia="宋体" w:cs="宋体"/>
                <w:spacing w:val="-33"/>
                <w:sz w:val="18"/>
                <w:szCs w:val="18"/>
              </w:rPr>
              <w:t xml:space="preserve"> </w:t>
            </w:r>
            <w:r>
              <w:rPr>
                <w:rFonts w:hint="eastAsia" w:ascii="宋体" w:hAnsi="宋体" w:eastAsia="宋体" w:cs="宋体"/>
                <w:spacing w:val="-4"/>
                <w:sz w:val="18"/>
                <w:szCs w:val="18"/>
              </w:rPr>
              <w:t>分。</w:t>
            </w:r>
          </w:p>
          <w:p w14:paraId="04E9AE8A">
            <w:pPr>
              <w:keepNext w:val="0"/>
              <w:keepLines w:val="0"/>
              <w:pageBreakBefore w:val="0"/>
              <w:widowControl/>
              <w:kinsoku w:val="0"/>
              <w:wordWrap/>
              <w:overflowPunct/>
              <w:topLinePunct w:val="0"/>
              <w:autoSpaceDE w:val="0"/>
              <w:autoSpaceDN w:val="0"/>
              <w:bidi w:val="0"/>
              <w:adjustRightInd w:val="0"/>
              <w:snapToGrid w:val="0"/>
              <w:spacing w:line="320" w:lineRule="exact"/>
              <w:jc w:val="both"/>
              <w:textAlignment w:val="baseline"/>
              <w:rPr>
                <w:rFonts w:hint="eastAsia" w:ascii="宋体" w:hAnsi="宋体" w:eastAsia="宋体" w:cs="宋体"/>
                <w:sz w:val="18"/>
                <w:szCs w:val="18"/>
              </w:rPr>
            </w:pPr>
            <w:r>
              <w:rPr>
                <w:rFonts w:hint="eastAsia" w:ascii="宋体" w:hAnsi="宋体" w:eastAsia="宋体" w:cs="宋体"/>
                <w:spacing w:val="4"/>
                <w:sz w:val="18"/>
                <w:szCs w:val="18"/>
                <w:lang w:eastAsia="zh-CN"/>
              </w:rPr>
              <w:t>（</w:t>
            </w:r>
            <w:r>
              <w:rPr>
                <w:rFonts w:hint="eastAsia" w:ascii="宋体" w:hAnsi="宋体" w:eastAsia="宋体" w:cs="宋体"/>
                <w:spacing w:val="4"/>
                <w:sz w:val="18"/>
                <w:szCs w:val="18"/>
                <w:lang w:val="en-US" w:eastAsia="zh-CN"/>
              </w:rPr>
              <w:t>需提供一个综合</w:t>
            </w:r>
            <w:r>
              <w:rPr>
                <w:rFonts w:hint="eastAsia" w:ascii="宋体" w:hAnsi="宋体" w:eastAsia="宋体" w:cs="宋体"/>
                <w:spacing w:val="4"/>
                <w:sz w:val="18"/>
                <w:szCs w:val="18"/>
              </w:rPr>
              <w:t>日常管理服务实施方案</w:t>
            </w:r>
            <w:r>
              <w:rPr>
                <w:rFonts w:hint="eastAsia" w:ascii="宋体" w:hAnsi="宋体" w:eastAsia="宋体" w:cs="宋体"/>
                <w:spacing w:val="4"/>
                <w:sz w:val="18"/>
                <w:szCs w:val="18"/>
                <w:lang w:eastAsia="zh-CN"/>
              </w:rPr>
              <w:t>，</w:t>
            </w:r>
            <w:r>
              <w:rPr>
                <w:rFonts w:hint="eastAsia" w:ascii="宋体" w:hAnsi="宋体" w:eastAsia="宋体" w:cs="宋体"/>
                <w:spacing w:val="4"/>
                <w:sz w:val="18"/>
                <w:szCs w:val="18"/>
                <w:lang w:val="en-US" w:eastAsia="zh-CN"/>
              </w:rPr>
              <w:t>根据具体提供内容进行赋分</w:t>
            </w:r>
            <w:r>
              <w:rPr>
                <w:rFonts w:hint="eastAsia" w:ascii="宋体" w:hAnsi="宋体" w:eastAsia="宋体" w:cs="宋体"/>
                <w:spacing w:val="4"/>
                <w:sz w:val="18"/>
                <w:szCs w:val="18"/>
                <w:lang w:eastAsia="zh-CN"/>
              </w:rPr>
              <w:t>）</w:t>
            </w:r>
          </w:p>
        </w:tc>
        <w:tc>
          <w:tcPr>
            <w:tcW w:w="694" w:type="dxa"/>
            <w:noWrap w:val="0"/>
            <w:vAlign w:val="top"/>
          </w:tcPr>
          <w:p w14:paraId="4EBD9F5D">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4"/>
                <w:sz w:val="18"/>
                <w:szCs w:val="18"/>
              </w:rPr>
            </w:pPr>
          </w:p>
          <w:p w14:paraId="222BCA66">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4"/>
                <w:sz w:val="18"/>
                <w:szCs w:val="18"/>
              </w:rPr>
            </w:pPr>
          </w:p>
          <w:p w14:paraId="23E774CE">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4"/>
                <w:sz w:val="18"/>
                <w:szCs w:val="18"/>
              </w:rPr>
            </w:pPr>
          </w:p>
          <w:p w14:paraId="39BC6B56">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4"/>
                <w:sz w:val="18"/>
                <w:szCs w:val="18"/>
              </w:rPr>
            </w:pPr>
          </w:p>
          <w:p w14:paraId="39310274">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宋体" w:hAnsi="宋体" w:eastAsia="宋体" w:cs="宋体"/>
                <w:spacing w:val="4"/>
                <w:sz w:val="18"/>
                <w:szCs w:val="18"/>
              </w:rPr>
            </w:pPr>
            <w:r>
              <w:rPr>
                <w:rFonts w:hint="eastAsia" w:ascii="宋体" w:hAnsi="宋体" w:eastAsia="宋体" w:cs="宋体"/>
                <w:spacing w:val="4"/>
                <w:sz w:val="18"/>
                <w:szCs w:val="18"/>
              </w:rPr>
              <w:t>36 分</w:t>
            </w:r>
          </w:p>
        </w:tc>
      </w:tr>
      <w:tr w14:paraId="136A4E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5" w:type="dxa"/>
            <w:noWrap w:val="0"/>
            <w:vAlign w:val="top"/>
          </w:tcPr>
          <w:p w14:paraId="3931A9B3">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4"/>
                <w:sz w:val="18"/>
                <w:szCs w:val="18"/>
              </w:rPr>
            </w:pPr>
          </w:p>
          <w:p w14:paraId="3EB9DD83">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4"/>
                <w:sz w:val="18"/>
                <w:szCs w:val="18"/>
              </w:rPr>
            </w:pPr>
          </w:p>
          <w:p w14:paraId="52A10C75">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4"/>
                <w:sz w:val="18"/>
                <w:szCs w:val="18"/>
              </w:rPr>
            </w:pPr>
          </w:p>
          <w:p w14:paraId="70136C4F">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4"/>
                <w:sz w:val="18"/>
                <w:szCs w:val="18"/>
              </w:rPr>
            </w:pPr>
          </w:p>
          <w:p w14:paraId="4F5E0002">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4"/>
                <w:sz w:val="18"/>
                <w:szCs w:val="18"/>
              </w:rPr>
            </w:pPr>
          </w:p>
          <w:p w14:paraId="70DA3C44">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4"/>
                <w:sz w:val="18"/>
                <w:szCs w:val="18"/>
              </w:rPr>
            </w:pPr>
          </w:p>
          <w:p w14:paraId="2BF21760">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4"/>
                <w:sz w:val="18"/>
                <w:szCs w:val="18"/>
              </w:rPr>
            </w:pPr>
          </w:p>
          <w:p w14:paraId="60F6ABC9">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4"/>
                <w:sz w:val="18"/>
                <w:szCs w:val="18"/>
              </w:rPr>
            </w:pPr>
          </w:p>
          <w:p w14:paraId="3E25D251">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4"/>
                <w:sz w:val="18"/>
                <w:szCs w:val="18"/>
              </w:rPr>
            </w:pPr>
          </w:p>
          <w:p w14:paraId="23867851">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4"/>
                <w:sz w:val="18"/>
                <w:szCs w:val="18"/>
              </w:rPr>
            </w:pPr>
          </w:p>
          <w:p w14:paraId="07FE9B82">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宋体" w:hAnsi="宋体" w:eastAsia="宋体" w:cs="宋体"/>
                <w:spacing w:val="4"/>
                <w:sz w:val="18"/>
                <w:szCs w:val="18"/>
              </w:rPr>
            </w:pPr>
            <w:r>
              <w:rPr>
                <w:rFonts w:hint="eastAsia" w:ascii="宋体" w:hAnsi="宋体" w:eastAsia="宋体" w:cs="宋体"/>
                <w:spacing w:val="4"/>
                <w:sz w:val="18"/>
                <w:szCs w:val="18"/>
              </w:rPr>
              <w:t>5</w:t>
            </w:r>
          </w:p>
        </w:tc>
        <w:tc>
          <w:tcPr>
            <w:tcW w:w="1037" w:type="dxa"/>
            <w:noWrap w:val="0"/>
            <w:vAlign w:val="top"/>
          </w:tcPr>
          <w:p w14:paraId="394BA4D3">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4"/>
                <w:sz w:val="18"/>
                <w:szCs w:val="18"/>
              </w:rPr>
            </w:pPr>
          </w:p>
          <w:p w14:paraId="654E7446">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4"/>
                <w:sz w:val="18"/>
                <w:szCs w:val="18"/>
              </w:rPr>
            </w:pPr>
          </w:p>
          <w:p w14:paraId="1B8F8C6B">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4"/>
                <w:sz w:val="18"/>
                <w:szCs w:val="18"/>
              </w:rPr>
            </w:pPr>
          </w:p>
          <w:p w14:paraId="428D4721">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4"/>
                <w:sz w:val="18"/>
                <w:szCs w:val="18"/>
              </w:rPr>
            </w:pPr>
          </w:p>
          <w:p w14:paraId="18F12D3B">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4"/>
                <w:sz w:val="18"/>
                <w:szCs w:val="18"/>
              </w:rPr>
            </w:pPr>
          </w:p>
          <w:p w14:paraId="00AFD945">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4"/>
                <w:sz w:val="18"/>
                <w:szCs w:val="18"/>
              </w:rPr>
            </w:pPr>
          </w:p>
          <w:p w14:paraId="0DCBE77E">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4"/>
                <w:sz w:val="18"/>
                <w:szCs w:val="18"/>
              </w:rPr>
            </w:pPr>
          </w:p>
          <w:p w14:paraId="21FCA344">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4"/>
                <w:sz w:val="18"/>
                <w:szCs w:val="18"/>
              </w:rPr>
            </w:pPr>
          </w:p>
          <w:p w14:paraId="7047B7B2">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4"/>
                <w:sz w:val="18"/>
                <w:szCs w:val="18"/>
              </w:rPr>
            </w:pPr>
            <w:r>
              <w:rPr>
                <w:rFonts w:hint="eastAsia" w:ascii="宋体" w:hAnsi="宋体" w:eastAsia="宋体" w:cs="宋体"/>
                <w:spacing w:val="4"/>
                <w:sz w:val="18"/>
                <w:szCs w:val="18"/>
              </w:rPr>
              <w:t>服务质量及保障措施</w:t>
            </w:r>
          </w:p>
        </w:tc>
        <w:tc>
          <w:tcPr>
            <w:tcW w:w="6534" w:type="dxa"/>
            <w:noWrap w:val="0"/>
            <w:vAlign w:val="top"/>
          </w:tcPr>
          <w:p w14:paraId="326F6FE7">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4"/>
                <w:sz w:val="18"/>
                <w:szCs w:val="18"/>
                <w:lang w:val="en-US" w:eastAsia="zh-CN"/>
              </w:rPr>
            </w:pPr>
            <w:r>
              <w:rPr>
                <w:rFonts w:hint="eastAsia" w:ascii="宋体" w:hAnsi="宋体" w:eastAsia="宋体" w:cs="宋体"/>
                <w:b/>
                <w:bCs/>
                <w:spacing w:val="4"/>
                <w:sz w:val="18"/>
                <w:szCs w:val="18"/>
                <w:lang w:val="en-US" w:eastAsia="zh-CN"/>
              </w:rPr>
              <w:t>1.业绩：</w:t>
            </w:r>
            <w:r>
              <w:rPr>
                <w:rFonts w:hint="eastAsia" w:ascii="宋体" w:hAnsi="宋体" w:eastAsia="宋体" w:cs="宋体"/>
                <w:spacing w:val="4"/>
                <w:sz w:val="18"/>
                <w:szCs w:val="18"/>
                <w:lang w:val="en-US" w:eastAsia="zh-CN"/>
              </w:rPr>
              <w:t>近3年内（2022年6月-2025年5月），有独立承接并成功管理过物业经验的，需提供相关证明材料（中标通知书或合同或协议），每提供一个得2分，最高可得4分。</w:t>
            </w:r>
          </w:p>
          <w:p w14:paraId="633B9E7B">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4"/>
                <w:sz w:val="18"/>
                <w:szCs w:val="18"/>
              </w:rPr>
            </w:pPr>
            <w:r>
              <w:rPr>
                <w:rFonts w:hint="eastAsia" w:ascii="宋体" w:hAnsi="宋体" w:eastAsia="宋体" w:cs="宋体"/>
                <w:b/>
                <w:bCs/>
                <w:spacing w:val="4"/>
                <w:sz w:val="18"/>
                <w:szCs w:val="18"/>
                <w:lang w:val="en-US" w:eastAsia="zh-CN"/>
              </w:rPr>
              <w:t>2</w:t>
            </w:r>
            <w:r>
              <w:rPr>
                <w:rFonts w:hint="eastAsia" w:ascii="宋体" w:hAnsi="宋体" w:eastAsia="宋体" w:cs="宋体"/>
                <w:b/>
                <w:bCs/>
                <w:spacing w:val="4"/>
                <w:sz w:val="18"/>
                <w:szCs w:val="18"/>
              </w:rPr>
              <w:t>.应急预案：</w:t>
            </w:r>
            <w:r>
              <w:rPr>
                <w:rFonts w:hint="eastAsia" w:ascii="宋体" w:hAnsi="宋体" w:eastAsia="宋体" w:cs="宋体"/>
                <w:spacing w:val="4"/>
                <w:sz w:val="18"/>
                <w:szCs w:val="18"/>
              </w:rPr>
              <w:t>包括但不限于门卫处（信访等）应急预案、公共设施设备故障（给排水、漏水</w:t>
            </w:r>
            <w:r>
              <w:rPr>
                <w:rFonts w:hint="eastAsia" w:ascii="宋体" w:hAnsi="宋体" w:eastAsia="宋体" w:cs="宋体"/>
                <w:spacing w:val="4"/>
                <w:sz w:val="18"/>
                <w:szCs w:val="18"/>
                <w:lang w:val="en-US" w:eastAsia="zh-CN"/>
              </w:rPr>
              <w:t>应急</w:t>
            </w:r>
            <w:r>
              <w:rPr>
                <w:rFonts w:hint="eastAsia" w:ascii="宋体" w:hAnsi="宋体" w:eastAsia="宋体" w:cs="宋体"/>
                <w:spacing w:val="4"/>
                <w:sz w:val="18"/>
                <w:szCs w:val="18"/>
              </w:rPr>
              <w:t>、供电突发性事故）应急预案、突发公共事件（如火灾、地震、暴雨、暴雪</w:t>
            </w:r>
            <w:r>
              <w:rPr>
                <w:rFonts w:hint="eastAsia" w:ascii="宋体" w:hAnsi="宋体" w:eastAsia="宋体" w:cs="宋体"/>
                <w:spacing w:val="4"/>
                <w:sz w:val="18"/>
                <w:szCs w:val="18"/>
                <w:lang w:eastAsia="zh-CN"/>
              </w:rPr>
              <w:t>、</w:t>
            </w:r>
            <w:r>
              <w:rPr>
                <w:rFonts w:hint="eastAsia" w:ascii="宋体" w:hAnsi="宋体" w:eastAsia="宋体" w:cs="宋体"/>
                <w:spacing w:val="4"/>
                <w:sz w:val="18"/>
                <w:szCs w:val="18"/>
                <w:lang w:val="en-US" w:eastAsia="zh-CN"/>
              </w:rPr>
              <w:t>意外伤亡、盗窃事件</w:t>
            </w:r>
            <w:r>
              <w:rPr>
                <w:rFonts w:hint="eastAsia" w:ascii="宋体" w:hAnsi="宋体" w:eastAsia="宋体" w:cs="宋体"/>
                <w:spacing w:val="4"/>
                <w:sz w:val="18"/>
                <w:szCs w:val="18"/>
              </w:rPr>
              <w:t>等）应急预案</w:t>
            </w:r>
            <w:r>
              <w:rPr>
                <w:rFonts w:hint="eastAsia" w:ascii="宋体" w:hAnsi="宋体" w:eastAsia="宋体" w:cs="宋体"/>
                <w:spacing w:val="4"/>
                <w:sz w:val="18"/>
                <w:szCs w:val="18"/>
                <w:lang w:eastAsia="zh-CN"/>
              </w:rPr>
              <w:t>，</w:t>
            </w:r>
            <w:r>
              <w:rPr>
                <w:rFonts w:hint="eastAsia" w:ascii="宋体" w:hAnsi="宋体" w:eastAsia="宋体" w:cs="宋体"/>
                <w:spacing w:val="4"/>
                <w:sz w:val="18"/>
                <w:szCs w:val="18"/>
                <w:lang w:val="en-US" w:eastAsia="zh-CN"/>
              </w:rPr>
              <w:t>以上内容齐全，无缺项漏项，完全满足项目需求的得3分，其中缺项漏项或单项内容</w:t>
            </w:r>
            <w:r>
              <w:rPr>
                <w:rFonts w:hint="eastAsia" w:ascii="宋体" w:hAnsi="宋体" w:eastAsia="宋体" w:cs="宋体"/>
                <w:spacing w:val="6"/>
                <w:sz w:val="18"/>
                <w:szCs w:val="18"/>
                <w:lang w:val="en-US" w:eastAsia="zh-CN"/>
              </w:rPr>
              <w:t>存在缺项的</w:t>
            </w:r>
            <w:r>
              <w:rPr>
                <w:rFonts w:hint="eastAsia" w:ascii="宋体" w:hAnsi="宋体" w:eastAsia="宋体" w:cs="宋体"/>
                <w:spacing w:val="4"/>
                <w:sz w:val="18"/>
                <w:szCs w:val="18"/>
                <w:lang w:val="en-US" w:eastAsia="zh-CN"/>
              </w:rPr>
              <w:t>的每有一项扣1分，扣完为止</w:t>
            </w:r>
            <w:r>
              <w:rPr>
                <w:rFonts w:hint="eastAsia" w:ascii="宋体" w:hAnsi="宋体" w:eastAsia="宋体" w:cs="宋体"/>
                <w:spacing w:val="4"/>
                <w:sz w:val="18"/>
                <w:szCs w:val="18"/>
              </w:rPr>
              <w:t>。</w:t>
            </w:r>
          </w:p>
          <w:p w14:paraId="68E2557C">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4"/>
                <w:sz w:val="18"/>
                <w:szCs w:val="18"/>
              </w:rPr>
            </w:pPr>
            <w:r>
              <w:rPr>
                <w:rFonts w:hint="eastAsia" w:ascii="宋体" w:hAnsi="宋体" w:eastAsia="宋体" w:cs="宋体"/>
                <w:spacing w:val="4"/>
                <w:sz w:val="18"/>
                <w:szCs w:val="18"/>
                <w:lang w:val="en-US" w:eastAsia="zh-CN"/>
              </w:rPr>
              <w:t>3</w:t>
            </w:r>
            <w:r>
              <w:rPr>
                <w:rFonts w:hint="eastAsia" w:ascii="宋体" w:hAnsi="宋体" w:eastAsia="宋体" w:cs="宋体"/>
                <w:spacing w:val="4"/>
                <w:sz w:val="18"/>
                <w:szCs w:val="18"/>
              </w:rPr>
              <w:t>.投标供应商提供服务标准、奖惩制度，得 3 分，少提供或不提供不得分。</w:t>
            </w:r>
          </w:p>
          <w:p w14:paraId="16898738">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4"/>
                <w:sz w:val="18"/>
                <w:szCs w:val="18"/>
              </w:rPr>
            </w:pPr>
            <w:r>
              <w:rPr>
                <w:rFonts w:hint="eastAsia" w:ascii="宋体" w:hAnsi="宋体" w:eastAsia="宋体" w:cs="宋体"/>
                <w:spacing w:val="4"/>
                <w:sz w:val="18"/>
                <w:szCs w:val="18"/>
                <w:lang w:val="en-US" w:eastAsia="zh-CN"/>
              </w:rPr>
              <w:t>4</w:t>
            </w:r>
            <w:r>
              <w:rPr>
                <w:rFonts w:hint="eastAsia" w:ascii="宋体" w:hAnsi="宋体" w:eastAsia="宋体" w:cs="宋体"/>
                <w:spacing w:val="4"/>
                <w:sz w:val="18"/>
                <w:szCs w:val="18"/>
              </w:rPr>
              <w:t>.根据采购单位要求履行安全生产、安全稳定、感染防控、机要保密等工作要求每提供一个承诺函得1分， 共4分，不提供承诺函不得分；</w:t>
            </w:r>
          </w:p>
          <w:p w14:paraId="28A2E94A">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4"/>
                <w:sz w:val="18"/>
                <w:szCs w:val="18"/>
              </w:rPr>
            </w:pPr>
            <w:r>
              <w:rPr>
                <w:rFonts w:hint="eastAsia" w:ascii="宋体" w:hAnsi="宋体" w:eastAsia="宋体" w:cs="宋体"/>
                <w:spacing w:val="4"/>
                <w:sz w:val="18"/>
                <w:szCs w:val="18"/>
                <w:lang w:val="en-US" w:eastAsia="zh-CN"/>
              </w:rPr>
              <w:t>5.</w:t>
            </w:r>
            <w:r>
              <w:rPr>
                <w:rFonts w:hint="eastAsia" w:ascii="宋体" w:hAnsi="宋体" w:eastAsia="宋体" w:cs="宋体"/>
                <w:spacing w:val="4"/>
                <w:sz w:val="18"/>
                <w:szCs w:val="18"/>
              </w:rPr>
              <w:t xml:space="preserve">投标供应商承诺提供7*24小时服务得 </w:t>
            </w:r>
            <w:r>
              <w:rPr>
                <w:rFonts w:hint="eastAsia" w:ascii="宋体" w:hAnsi="宋体" w:eastAsia="宋体" w:cs="宋体"/>
                <w:spacing w:val="4"/>
                <w:sz w:val="18"/>
                <w:szCs w:val="18"/>
                <w:lang w:val="en-US" w:eastAsia="zh-CN"/>
              </w:rPr>
              <w:t>1</w:t>
            </w:r>
            <w:r>
              <w:rPr>
                <w:rFonts w:hint="eastAsia" w:ascii="宋体" w:hAnsi="宋体" w:eastAsia="宋体" w:cs="宋体"/>
                <w:spacing w:val="4"/>
                <w:sz w:val="18"/>
                <w:szCs w:val="18"/>
              </w:rPr>
              <w:t xml:space="preserve"> 分；接到紧急任务承诺 30分钟内赶到现场，立即处置得 1 分， 否则不得分。</w:t>
            </w:r>
          </w:p>
          <w:p w14:paraId="58BF24E2">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4"/>
                <w:sz w:val="18"/>
                <w:szCs w:val="18"/>
              </w:rPr>
            </w:pPr>
            <w:r>
              <w:rPr>
                <w:rFonts w:hint="eastAsia" w:ascii="宋体" w:hAnsi="宋体" w:eastAsia="宋体" w:cs="宋体"/>
                <w:spacing w:val="4"/>
                <w:sz w:val="18"/>
                <w:szCs w:val="18"/>
                <w:lang w:val="en-US" w:eastAsia="zh-CN"/>
              </w:rPr>
              <w:t>6.</w:t>
            </w:r>
            <w:r>
              <w:rPr>
                <w:rFonts w:hint="eastAsia" w:ascii="宋体" w:hAnsi="宋体" w:eastAsia="宋体" w:cs="宋体"/>
                <w:spacing w:val="4"/>
                <w:sz w:val="18"/>
                <w:szCs w:val="18"/>
              </w:rPr>
              <w:t>在管理服务中采取的节能减排措施，</w:t>
            </w:r>
            <w:r>
              <w:rPr>
                <w:rFonts w:hint="eastAsia" w:ascii="宋体" w:hAnsi="宋体" w:eastAsia="宋体" w:cs="宋体"/>
                <w:spacing w:val="4"/>
                <w:sz w:val="18"/>
                <w:szCs w:val="18"/>
                <w:lang w:val="en-US" w:eastAsia="zh-CN"/>
              </w:rPr>
              <w:t>方案</w:t>
            </w:r>
            <w:r>
              <w:rPr>
                <w:rFonts w:hint="eastAsia" w:ascii="宋体" w:hAnsi="宋体" w:eastAsia="宋体" w:cs="宋体"/>
                <w:spacing w:val="4"/>
                <w:sz w:val="18"/>
                <w:szCs w:val="18"/>
              </w:rPr>
              <w:t>体现环保、低碳理念，最高得</w:t>
            </w:r>
            <w:r>
              <w:rPr>
                <w:rFonts w:hint="eastAsia" w:ascii="宋体" w:hAnsi="宋体" w:eastAsia="宋体" w:cs="宋体"/>
                <w:spacing w:val="4"/>
                <w:sz w:val="18"/>
                <w:szCs w:val="18"/>
                <w:lang w:val="en-US" w:eastAsia="zh-CN"/>
              </w:rPr>
              <w:t>1</w:t>
            </w:r>
            <w:r>
              <w:rPr>
                <w:rFonts w:hint="eastAsia" w:ascii="宋体" w:hAnsi="宋体" w:eastAsia="宋体" w:cs="宋体"/>
                <w:spacing w:val="4"/>
                <w:sz w:val="18"/>
                <w:szCs w:val="18"/>
              </w:rPr>
              <w:t>分， 未提供或</w:t>
            </w:r>
            <w:r>
              <w:rPr>
                <w:rFonts w:hint="eastAsia" w:ascii="宋体" w:hAnsi="宋体" w:eastAsia="宋体" w:cs="宋体"/>
                <w:spacing w:val="4"/>
                <w:sz w:val="18"/>
                <w:szCs w:val="18"/>
                <w:lang w:val="en-US" w:eastAsia="zh-CN"/>
              </w:rPr>
              <w:t>提供不全的</w:t>
            </w:r>
            <w:r>
              <w:rPr>
                <w:rFonts w:hint="eastAsia" w:ascii="宋体" w:hAnsi="宋体" w:eastAsia="宋体" w:cs="宋体"/>
                <w:spacing w:val="4"/>
                <w:sz w:val="18"/>
                <w:szCs w:val="18"/>
              </w:rPr>
              <w:t>不得分。</w:t>
            </w:r>
          </w:p>
          <w:p w14:paraId="64D7AD82">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pacing w:val="4"/>
                <w:sz w:val="18"/>
                <w:szCs w:val="18"/>
                <w:lang w:eastAsia="zh-CN"/>
              </w:rPr>
            </w:pPr>
            <w:r>
              <w:rPr>
                <w:rFonts w:hint="eastAsia" w:ascii="宋体" w:hAnsi="宋体" w:eastAsia="宋体" w:cs="宋体"/>
                <w:spacing w:val="4"/>
                <w:sz w:val="18"/>
                <w:szCs w:val="18"/>
                <w:lang w:val="en-US" w:eastAsia="zh-CN"/>
              </w:rPr>
              <w:t>7.拟投入</w:t>
            </w:r>
            <w:r>
              <w:rPr>
                <w:rFonts w:hint="eastAsia" w:ascii="宋体" w:hAnsi="宋体" w:eastAsia="宋体" w:cs="宋体"/>
                <w:spacing w:val="4"/>
                <w:sz w:val="18"/>
                <w:szCs w:val="18"/>
              </w:rPr>
              <w:t>物业人员保密承诺书，每提供 1 份得 0.5 分，最高得分 3 分，不提供不得分。</w:t>
            </w:r>
          </w:p>
        </w:tc>
        <w:tc>
          <w:tcPr>
            <w:tcW w:w="694" w:type="dxa"/>
            <w:noWrap w:val="0"/>
            <w:vAlign w:val="top"/>
          </w:tcPr>
          <w:p w14:paraId="73A32356">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z w:val="18"/>
                <w:szCs w:val="18"/>
              </w:rPr>
            </w:pPr>
          </w:p>
          <w:p w14:paraId="18FA5653">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z w:val="18"/>
                <w:szCs w:val="18"/>
              </w:rPr>
            </w:pPr>
          </w:p>
          <w:p w14:paraId="184E158E">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z w:val="18"/>
                <w:szCs w:val="18"/>
              </w:rPr>
            </w:pPr>
          </w:p>
          <w:p w14:paraId="7AAE3701">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z w:val="18"/>
                <w:szCs w:val="18"/>
              </w:rPr>
            </w:pPr>
          </w:p>
          <w:p w14:paraId="094D7AD5">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z w:val="18"/>
                <w:szCs w:val="18"/>
              </w:rPr>
            </w:pPr>
          </w:p>
          <w:p w14:paraId="3A091E2B">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z w:val="18"/>
                <w:szCs w:val="18"/>
              </w:rPr>
            </w:pPr>
          </w:p>
          <w:p w14:paraId="40C61121">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z w:val="18"/>
                <w:szCs w:val="18"/>
              </w:rPr>
            </w:pPr>
          </w:p>
          <w:p w14:paraId="45786D44">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z w:val="18"/>
                <w:szCs w:val="18"/>
              </w:rPr>
            </w:pPr>
          </w:p>
          <w:p w14:paraId="78BCD9D6">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z w:val="18"/>
                <w:szCs w:val="18"/>
              </w:rPr>
            </w:pPr>
          </w:p>
          <w:p w14:paraId="3AEB5E99">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宋体" w:hAnsi="宋体" w:eastAsia="宋体" w:cs="宋体"/>
                <w:sz w:val="18"/>
                <w:szCs w:val="18"/>
              </w:rPr>
            </w:pPr>
          </w:p>
          <w:p w14:paraId="67295577">
            <w:pPr>
              <w:pStyle w:val="37"/>
              <w:keepNext w:val="0"/>
              <w:keepLines w:val="0"/>
              <w:pageBreakBefore w:val="0"/>
              <w:widowControl/>
              <w:kinsoku w:val="0"/>
              <w:wordWrap/>
              <w:overflowPunct/>
              <w:topLinePunct w:val="0"/>
              <w:autoSpaceDE w:val="0"/>
              <w:autoSpaceDN w:val="0"/>
              <w:bidi w:val="0"/>
              <w:adjustRightInd w:val="0"/>
              <w:snapToGrid w:val="0"/>
              <w:spacing w:before="65" w:line="320" w:lineRule="exact"/>
              <w:ind w:left="118" w:leftChars="0"/>
              <w:textAlignment w:val="baseline"/>
              <w:rPr>
                <w:rFonts w:hint="eastAsia" w:ascii="宋体" w:hAnsi="宋体" w:eastAsia="宋体" w:cs="宋体"/>
                <w:spacing w:val="4"/>
                <w:sz w:val="18"/>
                <w:szCs w:val="18"/>
              </w:rPr>
            </w:pPr>
            <w:r>
              <w:rPr>
                <w:rFonts w:hint="eastAsia" w:ascii="宋体" w:hAnsi="宋体" w:eastAsia="宋体" w:cs="宋体"/>
                <w:snapToGrid w:val="0"/>
                <w:color w:val="000000"/>
                <w:spacing w:val="4"/>
                <w:kern w:val="0"/>
                <w:sz w:val="18"/>
                <w:szCs w:val="18"/>
                <w:lang w:val="en-US" w:eastAsia="en-US" w:bidi="ar-SA"/>
              </w:rPr>
              <w:t>20 分</w:t>
            </w:r>
          </w:p>
        </w:tc>
      </w:tr>
      <w:tr w14:paraId="3869C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820" w:type="dxa"/>
            <w:gridSpan w:val="4"/>
            <w:noWrap w:val="0"/>
            <w:vAlign w:val="top"/>
          </w:tcPr>
          <w:p w14:paraId="225A557B">
            <w:pPr>
              <w:pStyle w:val="37"/>
              <w:keepNext w:val="0"/>
              <w:keepLines w:val="0"/>
              <w:pageBreakBefore w:val="0"/>
              <w:widowControl/>
              <w:kinsoku w:val="0"/>
              <w:wordWrap/>
              <w:overflowPunct/>
              <w:topLinePunct w:val="0"/>
              <w:autoSpaceDE w:val="0"/>
              <w:autoSpaceDN w:val="0"/>
              <w:bidi w:val="0"/>
              <w:adjustRightInd w:val="0"/>
              <w:snapToGrid w:val="0"/>
              <w:spacing w:before="65" w:line="320" w:lineRule="exact"/>
              <w:ind w:left="118" w:leftChars="0"/>
              <w:textAlignment w:val="baseline"/>
              <w:rPr>
                <w:rFonts w:hint="eastAsia" w:ascii="宋体" w:hAnsi="宋体" w:eastAsia="宋体" w:cs="宋体"/>
                <w:snapToGrid w:val="0"/>
                <w:color w:val="000000"/>
                <w:spacing w:val="4"/>
                <w:kern w:val="0"/>
                <w:sz w:val="18"/>
                <w:szCs w:val="18"/>
                <w:lang w:val="en-US" w:eastAsia="en-US" w:bidi="ar-SA"/>
              </w:rPr>
            </w:pPr>
            <w:r>
              <w:rPr>
                <w:rFonts w:hint="eastAsia" w:ascii="宋体" w:hAnsi="宋体" w:eastAsia="宋体" w:cs="宋体"/>
                <w:snapToGrid w:val="0"/>
                <w:color w:val="000000"/>
                <w:spacing w:val="4"/>
                <w:kern w:val="0"/>
                <w:sz w:val="18"/>
                <w:szCs w:val="18"/>
                <w:lang w:val="en-US" w:eastAsia="zh-CN" w:bidi="ar-SA"/>
              </w:rPr>
              <w:t>注：上诉打分表中“缺项”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bl>
    <w:p w14:paraId="74AC7189">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sectPr>
          <w:footerReference r:id="rId3" w:type="default"/>
          <w:pgSz w:w="11906" w:h="16838"/>
          <w:pgMar w:top="400" w:right="1417" w:bottom="1157" w:left="1437" w:header="0" w:footer="997" w:gutter="0"/>
          <w:pgNumType w:fmt="decimal"/>
          <w:cols w:space="720" w:num="1"/>
        </w:sectPr>
      </w:pPr>
    </w:p>
    <w:p w14:paraId="042A02A0">
      <w:pPr>
        <w:keepNext w:val="0"/>
        <w:keepLines w:val="0"/>
        <w:pageBreakBefore w:val="0"/>
        <w:widowControl/>
        <w:kinsoku w:val="0"/>
        <w:wordWrap/>
        <w:overflowPunct/>
        <w:topLinePunct w:val="0"/>
        <w:autoSpaceDE w:val="0"/>
        <w:autoSpaceDN w:val="0"/>
        <w:bidi w:val="0"/>
        <w:adjustRightInd w:val="0"/>
        <w:snapToGrid w:val="0"/>
        <w:spacing w:before="22" w:line="440" w:lineRule="exact"/>
        <w:textAlignment w:val="baseline"/>
      </w:pPr>
    </w:p>
    <w:p w14:paraId="1E60ED97">
      <w:pPr>
        <w:spacing w:line="360" w:lineRule="auto"/>
        <w:ind w:firstLine="480" w:firstLineChars="200"/>
        <w:rPr>
          <w:rFonts w:hint="eastAsia" w:ascii="宋体" w:hAnsi="宋体"/>
          <w:szCs w:val="21"/>
        </w:rPr>
      </w:pPr>
    </w:p>
    <w:p w14:paraId="75FEB302">
      <w:pPr>
        <w:spacing w:line="360" w:lineRule="auto"/>
        <w:ind w:firstLine="480" w:firstLineChars="200"/>
        <w:rPr>
          <w:rFonts w:ascii="宋体" w:hAnsi="宋体"/>
          <w:szCs w:val="21"/>
        </w:rPr>
      </w:pPr>
      <w:r>
        <w:rPr>
          <w:rFonts w:hint="eastAsia" w:ascii="宋体" w:hAnsi="宋体"/>
          <w:szCs w:val="21"/>
        </w:rPr>
        <w:t>备注：</w:t>
      </w:r>
      <w:r>
        <w:rPr>
          <w:rFonts w:ascii="宋体" w:hAnsi="宋体"/>
          <w:szCs w:val="21"/>
        </w:rPr>
        <w:t>1</w:t>
      </w:r>
      <w:r>
        <w:rPr>
          <w:rFonts w:hint="eastAsia" w:ascii="宋体" w:hAnsi="宋体"/>
          <w:szCs w:val="21"/>
        </w:rPr>
        <w:t>、评委应在认真理解本</w:t>
      </w:r>
      <w:r>
        <w:rPr>
          <w:rFonts w:hint="eastAsia" w:ascii="宋体" w:hAnsi="宋体" w:eastAsia="宋体"/>
          <w:szCs w:val="21"/>
          <w:lang w:eastAsia="zh-CN"/>
        </w:rPr>
        <w:t>磋商文件</w:t>
      </w:r>
      <w:r>
        <w:rPr>
          <w:rFonts w:hint="eastAsia" w:ascii="宋体" w:hAnsi="宋体"/>
          <w:szCs w:val="21"/>
        </w:rPr>
        <w:t>和项目有关情况后，做出需自己负责的按上述内容对</w:t>
      </w:r>
      <w:r>
        <w:rPr>
          <w:rFonts w:hint="eastAsia" w:ascii="宋体" w:hAnsi="宋体" w:eastAsia="宋体"/>
          <w:szCs w:val="21"/>
          <w:lang w:eastAsia="zh-CN"/>
        </w:rPr>
        <w:t>供应商</w:t>
      </w:r>
      <w:r>
        <w:rPr>
          <w:rFonts w:hint="eastAsia" w:ascii="宋体" w:hAnsi="宋体"/>
          <w:szCs w:val="21"/>
        </w:rPr>
        <w:t>进行评审。</w:t>
      </w:r>
    </w:p>
    <w:p w14:paraId="5B6BDDFF">
      <w:pPr>
        <w:spacing w:line="360" w:lineRule="auto"/>
        <w:ind w:firstLine="480" w:firstLineChars="200"/>
        <w:rPr>
          <w:rFonts w:hint="eastAsia" w:ascii="宋体" w:hAnsi="宋体"/>
          <w:szCs w:val="21"/>
        </w:rPr>
      </w:pPr>
      <w:r>
        <w:rPr>
          <w:rFonts w:hint="eastAsia" w:ascii="宋体" w:hAnsi="宋体"/>
          <w:szCs w:val="21"/>
        </w:rPr>
        <w:t>2、技术、商务部分权重</w:t>
      </w:r>
      <w:r>
        <w:rPr>
          <w:rFonts w:hint="eastAsia" w:ascii="宋体" w:hAnsi="宋体" w:eastAsia="宋体"/>
          <w:szCs w:val="21"/>
          <w:lang w:val="en-US" w:eastAsia="zh-CN"/>
        </w:rPr>
        <w:t>8</w:t>
      </w:r>
      <w:r>
        <w:rPr>
          <w:rFonts w:ascii="宋体" w:hAnsi="宋体"/>
          <w:szCs w:val="21"/>
        </w:rPr>
        <w:t>0%</w:t>
      </w:r>
      <w:r>
        <w:rPr>
          <w:rFonts w:hint="eastAsia" w:ascii="宋体" w:hAnsi="宋体"/>
          <w:szCs w:val="21"/>
        </w:rPr>
        <w:t>；</w:t>
      </w:r>
      <w:r>
        <w:rPr>
          <w:rFonts w:hint="eastAsia" w:ascii="宋体" w:hAnsi="宋体" w:eastAsia="宋体"/>
          <w:szCs w:val="21"/>
          <w:lang w:eastAsia="zh-CN"/>
        </w:rPr>
        <w:t>响应响应</w:t>
      </w:r>
      <w:r>
        <w:rPr>
          <w:rFonts w:hint="eastAsia" w:ascii="宋体" w:hAnsi="宋体"/>
          <w:szCs w:val="21"/>
        </w:rPr>
        <w:t>报价部分权重</w:t>
      </w:r>
      <w:r>
        <w:rPr>
          <w:rFonts w:hint="eastAsia" w:ascii="宋体" w:hAnsi="宋体" w:eastAsia="宋体"/>
          <w:szCs w:val="21"/>
          <w:lang w:val="en-US" w:eastAsia="zh-CN"/>
        </w:rPr>
        <w:t>2</w:t>
      </w:r>
      <w:r>
        <w:rPr>
          <w:rFonts w:ascii="宋体" w:hAnsi="宋体"/>
          <w:szCs w:val="21"/>
        </w:rPr>
        <w:t>0%</w:t>
      </w:r>
    </w:p>
    <w:p w14:paraId="7E524375">
      <w:pPr>
        <w:spacing w:line="360" w:lineRule="auto"/>
        <w:ind w:firstLine="480" w:firstLineChars="200"/>
        <w:rPr>
          <w:rFonts w:ascii="宋体" w:hAnsi="宋体"/>
          <w:szCs w:val="21"/>
        </w:rPr>
      </w:pPr>
      <w:r>
        <w:rPr>
          <w:rFonts w:hint="eastAsia" w:ascii="宋体" w:hAnsi="宋体"/>
          <w:szCs w:val="21"/>
        </w:rPr>
        <w:t>3、</w:t>
      </w:r>
      <w:r>
        <w:rPr>
          <w:rFonts w:hint="eastAsia" w:ascii="宋体" w:hAnsi="宋体" w:eastAsia="宋体"/>
          <w:szCs w:val="21"/>
          <w:lang w:eastAsia="zh-CN"/>
        </w:rPr>
        <w:t>供应商</w:t>
      </w:r>
      <w:r>
        <w:rPr>
          <w:rFonts w:hint="eastAsia" w:ascii="宋体" w:hAnsi="宋体"/>
          <w:szCs w:val="21"/>
        </w:rPr>
        <w:t>最终得分等于技术、商务部分、报价得分之和。</w:t>
      </w:r>
    </w:p>
    <w:p w14:paraId="27C6DE5A">
      <w:pPr>
        <w:pStyle w:val="8"/>
        <w:tabs>
          <w:tab w:val="clear" w:pos="567"/>
        </w:tabs>
        <w:spacing w:before="0" w:line="360" w:lineRule="auto"/>
        <w:ind w:left="-206" w:leftChars="-86" w:firstLine="660" w:firstLineChars="275"/>
        <w:rPr>
          <w:rFonts w:hint="eastAsia"/>
        </w:rPr>
      </w:pPr>
      <w:r>
        <w:rPr>
          <w:rFonts w:hint="eastAsia"/>
          <w:szCs w:val="21"/>
        </w:rPr>
        <w:t>4、</w:t>
      </w:r>
      <w:r>
        <w:rPr>
          <w:rFonts w:hint="eastAsia"/>
          <w:szCs w:val="21"/>
          <w:lang w:val="en-US" w:eastAsia="zh-CN"/>
        </w:rPr>
        <w:t>评标</w:t>
      </w:r>
      <w:r>
        <w:rPr>
          <w:rFonts w:hint="eastAsia" w:eastAsia="宋体"/>
          <w:szCs w:val="21"/>
          <w:lang w:eastAsia="zh-CN"/>
        </w:rPr>
        <w:t>小组</w:t>
      </w:r>
      <w:r>
        <w:rPr>
          <w:rFonts w:hint="eastAsia"/>
          <w:szCs w:val="21"/>
        </w:rPr>
        <w:t>按照</w:t>
      </w:r>
      <w:r>
        <w:rPr>
          <w:rFonts w:hint="eastAsia" w:eastAsia="宋体"/>
          <w:szCs w:val="21"/>
          <w:lang w:eastAsia="zh-CN"/>
        </w:rPr>
        <w:t>供应商</w:t>
      </w:r>
      <w:r>
        <w:rPr>
          <w:rFonts w:hint="eastAsia"/>
          <w:szCs w:val="21"/>
        </w:rPr>
        <w:t>最终得分由高到</w:t>
      </w:r>
      <w:r>
        <w:rPr>
          <w:rFonts w:hint="eastAsia"/>
          <w:szCs w:val="21"/>
          <w:lang w:val="en-US" w:eastAsia="zh-CN"/>
        </w:rPr>
        <w:t>低</w:t>
      </w:r>
      <w:r>
        <w:rPr>
          <w:rFonts w:hint="eastAsia"/>
          <w:szCs w:val="21"/>
        </w:rPr>
        <w:t>顺序确定出各</w:t>
      </w:r>
      <w:r>
        <w:rPr>
          <w:rFonts w:hint="eastAsia" w:eastAsia="宋体"/>
          <w:szCs w:val="21"/>
          <w:lang w:eastAsia="zh-CN"/>
        </w:rPr>
        <w:t>供应商</w:t>
      </w:r>
      <w:r>
        <w:rPr>
          <w:rFonts w:hint="eastAsia"/>
          <w:szCs w:val="21"/>
        </w:rPr>
        <w:t>排名顺序。</w:t>
      </w:r>
    </w:p>
    <w:p w14:paraId="54F9D900">
      <w:pPr>
        <w:sectPr>
          <w:footerReference r:id="rId4" w:type="default"/>
          <w:pgSz w:w="11906" w:h="16838"/>
          <w:pgMar w:top="400" w:right="1417" w:bottom="1157" w:left="1437" w:header="0" w:footer="997" w:gutter="0"/>
          <w:pgNumType w:fmt="decimal"/>
          <w:cols w:space="720" w:num="1"/>
        </w:sectPr>
      </w:pPr>
    </w:p>
    <w:p w14:paraId="4046FAA6">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第一章  招标公告</w:t>
      </w:r>
    </w:p>
    <w:p w14:paraId="060B03C9">
      <w:pPr>
        <w:snapToGrid w:val="0"/>
        <w:spacing w:line="300" w:lineRule="exact"/>
        <w:outlineLvl w:val="2"/>
        <w:rPr>
          <w:rFonts w:ascii="Arial" w:hAnsi="Arial" w:eastAsia="宋体"/>
          <w:szCs w:val="21"/>
        </w:rPr>
      </w:pPr>
      <w:r>
        <w:rPr>
          <w:rFonts w:hint="eastAsia" w:ascii="Arial" w:hAnsi="Arial" w:eastAsia="宋体"/>
          <w:b/>
          <w:bCs/>
          <w:szCs w:val="21"/>
          <w:lang w:eastAsia="zh-CN"/>
        </w:rPr>
        <w:t>一、</w:t>
      </w:r>
      <w:r>
        <w:rPr>
          <w:rFonts w:hint="eastAsia" w:ascii="Arial" w:hAnsi="Arial" w:eastAsia="宋体"/>
          <w:b/>
          <w:bCs/>
          <w:szCs w:val="21"/>
        </w:rPr>
        <w:t>申请人的资格要求：</w:t>
      </w:r>
    </w:p>
    <w:p w14:paraId="4F0F8A18">
      <w:pPr>
        <w:snapToGrid w:val="0"/>
        <w:spacing w:line="300" w:lineRule="exact"/>
        <w:ind w:firstLine="465"/>
        <w:rPr>
          <w:bCs/>
          <w:highlight w:val="green"/>
        </w:rPr>
      </w:pPr>
      <w:r>
        <w:rPr>
          <w:rFonts w:hint="eastAsia"/>
          <w:bCs/>
          <w:highlight w:val="green"/>
        </w:rPr>
        <w:t>1）具有独立法人资格或是具有独立承担民事责任能力的其它组织（</w:t>
      </w:r>
      <w:r>
        <w:rPr>
          <w:rFonts w:hint="eastAsia" w:eastAsia="宋体"/>
          <w:bCs/>
          <w:highlight w:val="green"/>
          <w:lang w:eastAsia="zh-CN"/>
        </w:rPr>
        <w:t>法人或者非法人组织的营业执照等证明文件</w:t>
      </w:r>
      <w:r>
        <w:rPr>
          <w:rFonts w:hint="eastAsia"/>
          <w:bCs/>
          <w:highlight w:val="green"/>
        </w:rPr>
        <w:t>扫描件）</w:t>
      </w:r>
    </w:p>
    <w:p w14:paraId="55C20D46">
      <w:pPr>
        <w:snapToGrid w:val="0"/>
        <w:spacing w:line="300" w:lineRule="exact"/>
        <w:ind w:firstLine="465"/>
        <w:rPr>
          <w:bCs/>
          <w:highlight w:val="green"/>
        </w:rPr>
      </w:pPr>
      <w:r>
        <w:rPr>
          <w:bCs/>
          <w:highlight w:val="green"/>
        </w:rPr>
        <w:t>2</w:t>
      </w:r>
      <w:r>
        <w:rPr>
          <w:rFonts w:hint="eastAsia"/>
          <w:bCs/>
          <w:highlight w:val="green"/>
        </w:rPr>
        <w:t>）</w:t>
      </w:r>
      <w:r>
        <w:rPr>
          <w:bCs/>
          <w:highlight w:val="green"/>
        </w:rPr>
        <w:t>满足《中华人民共和国政府采购法》第二十二条</w:t>
      </w:r>
      <w:r>
        <w:rPr>
          <w:rFonts w:hint="eastAsia"/>
          <w:bCs/>
          <w:highlight w:val="green"/>
        </w:rPr>
        <w:t>的条件（</w:t>
      </w:r>
      <w:r>
        <w:rPr>
          <w:bCs/>
          <w:highlight w:val="green"/>
        </w:rPr>
        <w:t>在《</w:t>
      </w:r>
      <w:r>
        <w:rPr>
          <w:rFonts w:hint="eastAsia"/>
          <w:bCs/>
          <w:highlight w:val="green"/>
        </w:rPr>
        <w:t>政府采购投标及履约承诺函</w:t>
      </w:r>
      <w:r>
        <w:rPr>
          <w:bCs/>
          <w:highlight w:val="green"/>
        </w:rPr>
        <w:t>》中作出声明</w:t>
      </w:r>
      <w:r>
        <w:rPr>
          <w:rFonts w:hint="eastAsia"/>
          <w:bCs/>
          <w:highlight w:val="green"/>
        </w:rPr>
        <w:t>）</w:t>
      </w:r>
      <w:r>
        <w:rPr>
          <w:bCs/>
          <w:highlight w:val="green"/>
        </w:rPr>
        <w:t>。</w:t>
      </w:r>
    </w:p>
    <w:p w14:paraId="4F37DF25">
      <w:pPr>
        <w:snapToGrid w:val="0"/>
        <w:spacing w:line="300" w:lineRule="exact"/>
        <w:ind w:firstLine="465"/>
        <w:rPr>
          <w:bCs/>
          <w:highlight w:val="green"/>
        </w:rPr>
      </w:pPr>
      <w:r>
        <w:rPr>
          <w:bCs/>
          <w:highlight w:val="green"/>
        </w:rPr>
        <w:t>3</w:t>
      </w:r>
      <w:r>
        <w:rPr>
          <w:rFonts w:hint="eastAsia"/>
          <w:bCs/>
          <w:highlight w:val="green"/>
        </w:rPr>
        <w:t>）参与本项目投标前三年内，在经营活动中没有重大违法记录（</w:t>
      </w:r>
      <w:r>
        <w:rPr>
          <w:bCs/>
          <w:highlight w:val="green"/>
        </w:rPr>
        <w:t>在《</w:t>
      </w:r>
      <w:r>
        <w:rPr>
          <w:rFonts w:hint="eastAsia"/>
          <w:bCs/>
          <w:highlight w:val="green"/>
        </w:rPr>
        <w:t>政府采购投标及履约承诺函</w:t>
      </w:r>
      <w:r>
        <w:rPr>
          <w:bCs/>
          <w:highlight w:val="green"/>
        </w:rPr>
        <w:t>》中作出声明</w:t>
      </w:r>
      <w:r>
        <w:rPr>
          <w:rFonts w:hint="eastAsia"/>
          <w:bCs/>
          <w:highlight w:val="green"/>
        </w:rPr>
        <w:t>）</w:t>
      </w:r>
      <w:r>
        <w:rPr>
          <w:bCs/>
          <w:highlight w:val="green"/>
        </w:rPr>
        <w:t>。</w:t>
      </w:r>
    </w:p>
    <w:p w14:paraId="4B8C0A00">
      <w:pPr>
        <w:snapToGrid w:val="0"/>
        <w:spacing w:line="300" w:lineRule="exact"/>
        <w:ind w:firstLine="465"/>
        <w:rPr>
          <w:bCs/>
          <w:highlight w:val="green"/>
        </w:rPr>
      </w:pPr>
      <w:r>
        <w:rPr>
          <w:rFonts w:hint="eastAsia"/>
          <w:bCs/>
          <w:highlight w:val="green"/>
        </w:rPr>
        <w:t>4）参与本项目政府采购活动时不存在被有关部门禁止参与政府采购活动且在有效期内的情况（</w:t>
      </w:r>
      <w:r>
        <w:rPr>
          <w:bCs/>
          <w:highlight w:val="green"/>
        </w:rPr>
        <w:t>在《</w:t>
      </w:r>
      <w:r>
        <w:rPr>
          <w:rFonts w:hint="eastAsia"/>
          <w:bCs/>
          <w:highlight w:val="green"/>
        </w:rPr>
        <w:t>政府采购投标及履约承诺函</w:t>
      </w:r>
      <w:r>
        <w:rPr>
          <w:bCs/>
          <w:highlight w:val="green"/>
        </w:rPr>
        <w:t>》中作出声明</w:t>
      </w:r>
      <w:r>
        <w:rPr>
          <w:rFonts w:hint="eastAsia"/>
          <w:bCs/>
          <w:highlight w:val="green"/>
        </w:rPr>
        <w:t>）</w:t>
      </w:r>
      <w:r>
        <w:rPr>
          <w:bCs/>
          <w:highlight w:val="green"/>
        </w:rPr>
        <w:t>。</w:t>
      </w:r>
    </w:p>
    <w:p w14:paraId="08B610E8">
      <w:pPr>
        <w:snapToGrid w:val="0"/>
        <w:spacing w:line="300" w:lineRule="exact"/>
        <w:ind w:firstLine="465"/>
        <w:rPr>
          <w:bCs/>
          <w:highlight w:val="green"/>
        </w:rPr>
      </w:pPr>
      <w:r>
        <w:rPr>
          <w:rFonts w:hint="eastAsia"/>
          <w:bCs/>
          <w:highlight w:val="green"/>
        </w:rPr>
        <w:t>5）未被列入失信被执行人、重大税收违法案件当事人名单、政府采购严重违法失信行为记录名单（</w:t>
      </w:r>
      <w:r>
        <w:rPr>
          <w:bCs/>
          <w:highlight w:val="green"/>
        </w:rPr>
        <w:t>在《</w:t>
      </w:r>
      <w:r>
        <w:rPr>
          <w:rFonts w:hint="eastAsia"/>
          <w:bCs/>
          <w:highlight w:val="green"/>
        </w:rPr>
        <w:t>政府采购投标及履约承诺函</w:t>
      </w:r>
      <w:r>
        <w:rPr>
          <w:bCs/>
          <w:highlight w:val="green"/>
        </w:rPr>
        <w:t>》中作出声明</w:t>
      </w:r>
      <w:r>
        <w:rPr>
          <w:rFonts w:hint="eastAsia"/>
          <w:bCs/>
          <w:highlight w:val="green"/>
        </w:rPr>
        <w:t>。注：“信用中国”、“中国政府采购网”为信息查询渠道，相关信息</w:t>
      </w:r>
      <w:r>
        <w:rPr>
          <w:bCs/>
          <w:highlight w:val="green"/>
        </w:rPr>
        <w:t>以开标当日的查询结果为准</w:t>
      </w:r>
      <w:r>
        <w:rPr>
          <w:rFonts w:hint="eastAsia"/>
          <w:bCs/>
          <w:highlight w:val="green"/>
        </w:rPr>
        <w:t>）</w:t>
      </w:r>
      <w:r>
        <w:rPr>
          <w:bCs/>
          <w:highlight w:val="green"/>
        </w:rPr>
        <w:t>。</w:t>
      </w:r>
    </w:p>
    <w:p w14:paraId="42BB6D09">
      <w:pPr>
        <w:snapToGrid w:val="0"/>
        <w:spacing w:line="300" w:lineRule="exact"/>
        <w:ind w:firstLine="465"/>
        <w:rPr>
          <w:rFonts w:hint="eastAsia"/>
          <w:bCs/>
          <w:highlight w:val="green"/>
        </w:rPr>
      </w:pPr>
      <w:r>
        <w:rPr>
          <w:rFonts w:hint="eastAsia"/>
          <w:bCs/>
          <w:highlight w:val="green"/>
        </w:rPr>
        <w:t>6）具有良好的商业信誉和健全的财务会计制度（</w:t>
      </w:r>
      <w:r>
        <w:rPr>
          <w:rFonts w:hint="eastAsia" w:eastAsia="宋体"/>
          <w:bCs/>
          <w:highlight w:val="green"/>
          <w:lang w:eastAsia="zh-CN"/>
        </w:rPr>
        <w:t>会计事务所出具的2022-2024年度</w:t>
      </w:r>
      <w:r>
        <w:rPr>
          <w:rFonts w:hint="eastAsia" w:eastAsia="宋体"/>
          <w:bCs/>
          <w:highlight w:val="green"/>
          <w:lang w:val="en-US" w:eastAsia="zh-CN"/>
        </w:rPr>
        <w:t>任意一年</w:t>
      </w:r>
      <w:r>
        <w:rPr>
          <w:rFonts w:hint="eastAsia"/>
          <w:bCs/>
          <w:highlight w:val="green"/>
        </w:rPr>
        <w:t>的年度财务审计报告书扫描件或影印件；新办企业</w:t>
      </w:r>
      <w:r>
        <w:rPr>
          <w:rFonts w:hint="eastAsia" w:eastAsia="宋体"/>
          <w:bCs/>
          <w:highlight w:val="green"/>
          <w:lang w:eastAsia="zh-CN"/>
        </w:rPr>
        <w:t>（营业执照所标注的成立日期距本项目开标日期一年内为新办企业）</w:t>
      </w:r>
      <w:r>
        <w:rPr>
          <w:rFonts w:hint="eastAsia"/>
          <w:bCs/>
          <w:highlight w:val="green"/>
        </w:rPr>
        <w:t>提供银行资信证明扫描件或影印件）；</w:t>
      </w:r>
    </w:p>
    <w:p w14:paraId="42C460E2">
      <w:pPr>
        <w:snapToGrid w:val="0"/>
        <w:spacing w:line="300" w:lineRule="exact"/>
        <w:ind w:firstLine="465"/>
        <w:rPr>
          <w:bCs/>
          <w:highlight w:val="green"/>
        </w:rPr>
      </w:pPr>
      <w:r>
        <w:rPr>
          <w:rFonts w:hint="eastAsia"/>
          <w:bCs/>
          <w:highlight w:val="green"/>
        </w:rPr>
        <w:t>7）有依法缴纳税收和社会保障资金的良好记录（近6个月内任意一个月的完税证明扫描件</w:t>
      </w:r>
      <w:r>
        <w:rPr>
          <w:rFonts w:hint="eastAsia" w:eastAsia="宋体"/>
          <w:bCs/>
          <w:highlight w:val="green"/>
          <w:lang w:eastAsia="zh-CN"/>
        </w:rPr>
        <w:t>和</w:t>
      </w:r>
      <w:r>
        <w:rPr>
          <w:rFonts w:hint="eastAsia"/>
          <w:bCs/>
          <w:highlight w:val="green"/>
        </w:rPr>
        <w:t>社保缴纳记录明细扫描件（</w:t>
      </w:r>
      <w:r>
        <w:rPr>
          <w:rFonts w:hint="eastAsia" w:eastAsia="宋体"/>
          <w:bCs/>
          <w:highlight w:val="green"/>
          <w:lang w:eastAsia="zh-CN"/>
        </w:rPr>
        <w:t>含员工社保明细。注：1.无需提供委托人代理人或被授权委托人社保明细。2.若供应商某月税收为零申报，须提供当月加盖税务局公章的无欠税证明。3.完税证明中“税种”非养老保险、医疗保险、失业保险、工伤保险和生育保险</w:t>
      </w:r>
      <w:r>
        <w:rPr>
          <w:rFonts w:hint="eastAsia"/>
          <w:bCs/>
          <w:highlight w:val="green"/>
        </w:rPr>
        <w:t>））；</w:t>
      </w:r>
    </w:p>
    <w:p w14:paraId="38038F02">
      <w:pPr>
        <w:snapToGrid w:val="0"/>
        <w:spacing w:line="300" w:lineRule="exact"/>
        <w:ind w:firstLine="465"/>
        <w:rPr>
          <w:rFonts w:hint="eastAsia"/>
          <w:bCs/>
          <w:highlight w:val="green"/>
        </w:rPr>
      </w:pPr>
      <w:r>
        <w:rPr>
          <w:rFonts w:hint="eastAsia" w:eastAsia="宋体"/>
          <w:bCs/>
          <w:highlight w:val="green"/>
          <w:lang w:val="en-US" w:eastAsia="zh-CN"/>
        </w:rPr>
        <w:t>8</w:t>
      </w:r>
      <w:r>
        <w:rPr>
          <w:rFonts w:hint="eastAsia"/>
          <w:bCs/>
          <w:highlight w:val="green"/>
        </w:rPr>
        <w:t>）</w:t>
      </w:r>
      <w:r>
        <w:rPr>
          <w:rFonts w:hint="eastAsia" w:eastAsia="宋体"/>
          <w:bCs/>
          <w:highlight w:val="green"/>
          <w:lang w:eastAsia="zh-CN"/>
        </w:rPr>
        <w:t>投标保证金收据扫描件或银行转款证明扫描件或支票扫描件、汇票扫描件、本票扫描件或者金融机构、担保机构出具的保函扫描件（供应商缴纳投标保证金5000元，开标后5个工作日原路退还。）</w:t>
      </w:r>
      <w:r>
        <w:rPr>
          <w:rFonts w:hint="eastAsia"/>
          <w:bCs/>
          <w:highlight w:val="green"/>
        </w:rPr>
        <w:t>；</w:t>
      </w:r>
    </w:p>
    <w:p w14:paraId="61FE9AF4">
      <w:pPr>
        <w:snapToGrid w:val="0"/>
        <w:spacing w:line="300" w:lineRule="exact"/>
        <w:ind w:firstLine="465"/>
        <w:rPr>
          <w:bCs/>
          <w:highlight w:val="green"/>
        </w:rPr>
      </w:pPr>
      <w:r>
        <w:rPr>
          <w:rFonts w:hint="eastAsia" w:eastAsia="宋体"/>
          <w:b/>
          <w:bCs w:val="0"/>
          <w:highlight w:val="green"/>
          <w:lang w:val="en-US" w:eastAsia="zh-CN"/>
        </w:rPr>
        <w:t>9</w:t>
      </w:r>
      <w:r>
        <w:rPr>
          <w:rFonts w:hint="eastAsia"/>
          <w:b/>
          <w:bCs w:val="0"/>
          <w:highlight w:val="green"/>
        </w:rPr>
        <w:t>）</w:t>
      </w:r>
      <w:r>
        <w:rPr>
          <w:b/>
          <w:bCs w:val="0"/>
          <w:highlight w:val="green"/>
        </w:rPr>
        <w:t>本项目不接受联合体投标</w:t>
      </w:r>
      <w:r>
        <w:rPr>
          <w:rFonts w:hint="eastAsia"/>
          <w:b/>
          <w:bCs w:val="0"/>
          <w:highlight w:val="green"/>
        </w:rPr>
        <w:t>（提供非联合体投标承诺函，承诺函格式自拟）；</w:t>
      </w:r>
    </w:p>
    <w:p w14:paraId="25EDDFE0">
      <w:pPr>
        <w:snapToGrid w:val="0"/>
        <w:spacing w:line="300" w:lineRule="exact"/>
        <w:ind w:firstLine="465"/>
        <w:rPr>
          <w:rFonts w:hint="eastAsia"/>
          <w:b/>
          <w:highlight w:val="green"/>
        </w:rPr>
      </w:pPr>
      <w:r>
        <w:rPr>
          <w:rFonts w:hint="eastAsia" w:ascii="宋体" w:hAnsi="宋体" w:eastAsia="宋体" w:cs="宋体"/>
          <w:b/>
          <w:highlight w:val="green"/>
          <w:lang w:val="en-US" w:eastAsia="zh-CN"/>
        </w:rPr>
        <w:t>10</w:t>
      </w:r>
      <w:r>
        <w:rPr>
          <w:rFonts w:hint="eastAsia" w:ascii="宋体" w:hAnsi="宋体" w:eastAsia="宋体" w:cs="宋体"/>
          <w:b/>
          <w:highlight w:val="green"/>
        </w:rPr>
        <w:t>）</w:t>
      </w:r>
      <w:r>
        <w:rPr>
          <w:b/>
          <w:highlight w:val="green"/>
        </w:rPr>
        <w:t>本项目不允许进口产品参与投标</w:t>
      </w:r>
      <w:r>
        <w:rPr>
          <w:rFonts w:hint="eastAsia"/>
          <w:b/>
          <w:highlight w:val="green"/>
        </w:rPr>
        <w:t>（提供非进口产品投标承诺函，承诺函格式自拟）</w:t>
      </w:r>
      <w:r>
        <w:rPr>
          <w:b/>
          <w:highlight w:val="green"/>
        </w:rPr>
        <w:t>。</w:t>
      </w:r>
    </w:p>
    <w:p w14:paraId="2DE77C58">
      <w:pPr>
        <w:keepNext w:val="0"/>
        <w:keepLines w:val="0"/>
        <w:pageBreakBefore w:val="0"/>
        <w:widowControl/>
        <w:kinsoku/>
        <w:wordWrap/>
        <w:overflowPunct/>
        <w:topLinePunct w:val="0"/>
        <w:autoSpaceDE/>
        <w:autoSpaceDN/>
        <w:bidi w:val="0"/>
        <w:adjustRightInd/>
        <w:snapToGrid w:val="0"/>
        <w:spacing w:line="300" w:lineRule="exact"/>
        <w:ind w:left="0" w:leftChars="0" w:firstLine="480" w:firstLineChars="200"/>
        <w:jc w:val="both"/>
        <w:textAlignment w:val="auto"/>
        <w:rPr>
          <w:rFonts w:hint="eastAsia" w:eastAsia="宋体"/>
          <w:b/>
          <w:highlight w:val="green"/>
          <w:lang w:eastAsia="zh-CN"/>
        </w:rPr>
      </w:pPr>
      <w:r>
        <w:rPr>
          <w:rFonts w:hint="eastAsia"/>
          <w:b/>
          <w:highlight w:val="green"/>
          <w:lang w:val="en-US" w:eastAsia="zh-CN"/>
        </w:rPr>
        <w:t>11</w:t>
      </w:r>
      <w:r>
        <w:rPr>
          <w:rFonts w:hint="eastAsia"/>
          <w:b/>
          <w:highlight w:val="green"/>
        </w:rPr>
        <w:t>）</w:t>
      </w:r>
      <w:r>
        <w:rPr>
          <w:rFonts w:hint="eastAsia" w:eastAsia="宋体"/>
          <w:b/>
          <w:highlight w:val="green"/>
          <w:lang w:eastAsia="zh-CN"/>
        </w:rPr>
        <w:t>本项目为专门面向中小企业采购项目</w:t>
      </w:r>
      <w:r>
        <w:rPr>
          <w:rFonts w:hint="eastAsia"/>
          <w:b/>
          <w:highlight w:val="green"/>
        </w:rPr>
        <w:t>，</w:t>
      </w:r>
      <w:r>
        <w:rPr>
          <w:rFonts w:hint="eastAsia"/>
          <w:b/>
          <w:highlight w:val="green"/>
          <w:lang w:eastAsia="zh-CN"/>
        </w:rPr>
        <w:t>供应商必须出具相应声明函。【</w:t>
      </w:r>
      <w:r>
        <w:rPr>
          <w:rFonts w:hint="eastAsia"/>
          <w:b/>
          <w:color w:val="FF0000"/>
          <w:highlight w:val="green"/>
        </w:rPr>
        <w:t>供应商要求</w:t>
      </w:r>
      <w:r>
        <w:rPr>
          <w:rFonts w:hint="eastAsia" w:eastAsia="宋体"/>
          <w:b/>
          <w:color w:val="FF0000"/>
          <w:highlight w:val="green"/>
          <w:lang w:eastAsia="zh-CN"/>
        </w:rPr>
        <w:t>及声明函要求</w:t>
      </w:r>
      <w:r>
        <w:rPr>
          <w:rFonts w:hint="eastAsia"/>
          <w:b/>
          <w:color w:val="FF0000"/>
          <w:highlight w:val="green"/>
        </w:rPr>
        <w:t>详见《政府采购促进中小企业发展管理办法》（财库〔2020〕46 号）、《关于促进残疾人就业政府采购政策的通知》（财库〔2017〕141号）、《关于政府采购支持监狱企业发展有关问题的通知》（财库〔2014〕68号）</w:t>
      </w:r>
      <w:r>
        <w:rPr>
          <w:rFonts w:hint="eastAsia" w:eastAsia="宋体"/>
          <w:b/>
          <w:color w:val="FF0000"/>
          <w:highlight w:val="green"/>
          <w:lang w:eastAsia="zh-CN"/>
        </w:rPr>
        <w:t>。</w:t>
      </w:r>
      <w:r>
        <w:rPr>
          <w:rFonts w:hint="eastAsia"/>
          <w:b/>
          <w:highlight w:val="green"/>
          <w:lang w:eastAsia="zh-CN"/>
        </w:rPr>
        <w:t>】</w:t>
      </w:r>
    </w:p>
    <w:p w14:paraId="50817B04">
      <w:pPr>
        <w:pStyle w:val="6"/>
      </w:pPr>
    </w:p>
    <w:p w14:paraId="7A9970FB">
      <w:pPr>
        <w:rPr>
          <w:b/>
          <w:highlight w:val="green"/>
        </w:rPr>
      </w:pPr>
      <w:r>
        <w:rPr>
          <w:b/>
          <w:highlight w:val="green"/>
        </w:rPr>
        <w:br w:type="page"/>
      </w:r>
    </w:p>
    <w:p w14:paraId="0F2CDE44">
      <w:pPr>
        <w:snapToGrid w:val="0"/>
        <w:spacing w:line="300" w:lineRule="exact"/>
        <w:ind w:firstLine="465"/>
        <w:rPr>
          <w:rFonts w:ascii="Arial" w:hAnsi="Arial" w:eastAsia="宋体"/>
        </w:rPr>
      </w:pPr>
    </w:p>
    <w:p w14:paraId="50C6BA8D">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项目基本信息</w:t>
      </w:r>
    </w:p>
    <w:tbl>
      <w:tblPr>
        <w:tblStyle w:val="19"/>
        <w:tblW w:w="11553" w:type="dxa"/>
        <w:jc w:val="center"/>
        <w:tblLayout w:type="fixed"/>
        <w:tblCellMar>
          <w:top w:w="15" w:type="dxa"/>
          <w:left w:w="15" w:type="dxa"/>
          <w:bottom w:w="15" w:type="dxa"/>
          <w:right w:w="15" w:type="dxa"/>
        </w:tblCellMar>
      </w:tblPr>
      <w:tblGrid>
        <w:gridCol w:w="710"/>
        <w:gridCol w:w="2693"/>
        <w:gridCol w:w="2906"/>
        <w:gridCol w:w="2622"/>
        <w:gridCol w:w="2622"/>
      </w:tblGrid>
      <w:tr w14:paraId="6C024023">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1"/>
            <w:vAlign w:val="center"/>
          </w:tcPr>
          <w:p w14:paraId="161978CE">
            <w:pPr>
              <w:jc w:val="center"/>
              <w:rPr>
                <w:b/>
                <w:bCs/>
              </w:rPr>
            </w:pPr>
            <w:r>
              <w:rPr>
                <w:rFonts w:hint="eastAsia"/>
                <w:b/>
                <w:bCs/>
              </w:rPr>
              <w:t>序号</w:t>
            </w:r>
          </w:p>
        </w:tc>
        <w:tc>
          <w:tcPr>
            <w:tcW w:w="2693" w:type="dxa"/>
            <w:tcBorders>
              <w:top w:val="single" w:color="000000" w:sz="4" w:space="0"/>
              <w:left w:val="single" w:color="auto" w:sz="4" w:space="0"/>
              <w:bottom w:val="single" w:color="auto" w:sz="4" w:space="0"/>
              <w:right w:val="single" w:color="000000" w:sz="4" w:space="0"/>
            </w:tcBorders>
            <w:shd w:val="clear" w:color="auto" w:fill="C6D9F1"/>
            <w:vAlign w:val="center"/>
          </w:tcPr>
          <w:p w14:paraId="0397A0F2">
            <w:pPr>
              <w:jc w:val="center"/>
              <w:rPr>
                <w:rFonts w:hint="eastAsia" w:eastAsia="宋体"/>
                <w:b/>
                <w:bCs/>
                <w:lang w:eastAsia="zh-CN"/>
              </w:rPr>
            </w:pPr>
            <w:r>
              <w:rPr>
                <w:rFonts w:hint="eastAsia" w:eastAsia="宋体"/>
                <w:b/>
                <w:bCs/>
                <w:lang w:eastAsia="zh-CN"/>
              </w:rPr>
              <w:t>项目编号</w:t>
            </w:r>
          </w:p>
        </w:tc>
        <w:tc>
          <w:tcPr>
            <w:tcW w:w="2906" w:type="dxa"/>
            <w:tcBorders>
              <w:top w:val="single" w:color="000000" w:sz="4" w:space="0"/>
              <w:left w:val="single" w:color="000000" w:sz="4" w:space="0"/>
              <w:bottom w:val="single" w:color="auto" w:sz="4" w:space="0"/>
              <w:right w:val="single" w:color="000000" w:sz="4" w:space="0"/>
            </w:tcBorders>
            <w:shd w:val="clear" w:color="auto" w:fill="C6D9F1"/>
            <w:vAlign w:val="center"/>
          </w:tcPr>
          <w:p w14:paraId="099623A8">
            <w:pPr>
              <w:jc w:val="center"/>
              <w:rPr>
                <w:b/>
                <w:bCs/>
              </w:rPr>
            </w:pPr>
            <w:r>
              <w:rPr>
                <w:rFonts w:hint="eastAsia"/>
                <w:b/>
                <w:bCs/>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238BD7BB">
            <w:pPr>
              <w:jc w:val="center"/>
              <w:rPr>
                <w:b/>
                <w:bCs/>
              </w:rPr>
            </w:pPr>
            <w:r>
              <w:rPr>
                <w:rFonts w:hint="eastAsia" w:ascii="宋体" w:hAnsi="宋体"/>
                <w:b/>
                <w:bCs/>
              </w:rPr>
              <w:t>财政预算</w:t>
            </w:r>
            <w:r>
              <w:rPr>
                <w:rFonts w:hint="eastAsia" w:ascii="宋体" w:hAnsi="宋体" w:eastAsia="宋体"/>
                <w:b/>
                <w:bCs/>
                <w:lang w:eastAsia="zh-CN"/>
              </w:rPr>
              <w:t>金</w:t>
            </w:r>
            <w:r>
              <w:rPr>
                <w:rFonts w:hint="eastAsia" w:ascii="宋体" w:hAnsi="宋体"/>
                <w:b/>
                <w:bCs/>
              </w:rPr>
              <w:t>额</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1515DE16">
            <w:pPr>
              <w:jc w:val="center"/>
              <w:rPr>
                <w:rFonts w:hint="eastAsia" w:ascii="宋体" w:hAnsi="宋体" w:eastAsia="宋体"/>
                <w:b/>
                <w:bCs/>
                <w:lang w:eastAsia="zh-CN"/>
              </w:rPr>
            </w:pPr>
            <w:r>
              <w:rPr>
                <w:rFonts w:hint="eastAsia" w:ascii="宋体" w:hAnsi="宋体" w:eastAsia="宋体"/>
                <w:b/>
                <w:bCs/>
                <w:color w:val="FF0000"/>
                <w:lang w:eastAsia="zh-CN"/>
              </w:rPr>
              <w:t>采购标的对应的小微企业划分标准所属行业</w:t>
            </w:r>
          </w:p>
        </w:tc>
      </w:tr>
      <w:tr w14:paraId="3C35800F">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14:paraId="386F7E53">
            <w:pPr>
              <w:jc w:val="center"/>
              <w:rPr>
                <w:rFonts w:ascii="宋体" w:hAnsi="宋体"/>
                <w:bCs/>
              </w:rPr>
            </w:pPr>
            <w:r>
              <w:rPr>
                <w:rFonts w:hint="eastAsia" w:ascii="宋体" w:hAnsi="宋体"/>
                <w:bCs/>
              </w:rPr>
              <w:t>1</w:t>
            </w:r>
          </w:p>
        </w:tc>
        <w:tc>
          <w:tcPr>
            <w:tcW w:w="2693" w:type="dxa"/>
            <w:tcBorders>
              <w:top w:val="single" w:color="auto" w:sz="4" w:space="0"/>
              <w:left w:val="single" w:color="auto" w:sz="4" w:space="0"/>
              <w:bottom w:val="single" w:color="auto" w:sz="4" w:space="0"/>
              <w:right w:val="single" w:color="000000" w:sz="4" w:space="0"/>
            </w:tcBorders>
            <w:vAlign w:val="center"/>
          </w:tcPr>
          <w:p w14:paraId="44FD6263">
            <w:pPr>
              <w:jc w:val="center"/>
              <w:rPr>
                <w:rFonts w:hint="eastAsia" w:ascii="宋体" w:hAnsi="宋体"/>
                <w:bCs/>
              </w:rPr>
            </w:pPr>
            <w:r>
              <w:rPr>
                <w:rFonts w:hint="eastAsia" w:eastAsia="宋体"/>
                <w:lang w:eastAsia="zh-CN"/>
              </w:rPr>
              <w:t>KSS(GK)2025-027</w:t>
            </w:r>
          </w:p>
        </w:tc>
        <w:tc>
          <w:tcPr>
            <w:tcW w:w="2906" w:type="dxa"/>
            <w:tcBorders>
              <w:top w:val="single" w:color="auto" w:sz="4" w:space="0"/>
              <w:left w:val="single" w:color="000000" w:sz="4" w:space="0"/>
              <w:bottom w:val="single" w:color="auto" w:sz="4" w:space="0"/>
              <w:right w:val="single" w:color="000000" w:sz="4" w:space="0"/>
            </w:tcBorders>
            <w:vAlign w:val="center"/>
          </w:tcPr>
          <w:p w14:paraId="4C917CF3">
            <w:pPr>
              <w:jc w:val="center"/>
              <w:rPr>
                <w:b/>
                <w:bCs/>
              </w:rPr>
            </w:pPr>
            <w:r>
              <w:rPr>
                <w:rFonts w:hint="eastAsia" w:eastAsia="宋体" w:cs="Times New Roman"/>
                <w:lang w:eastAsia="zh-CN"/>
              </w:rPr>
              <w:t>喀什市青少年科学教育活动基地物业服务</w:t>
            </w:r>
          </w:p>
        </w:tc>
        <w:tc>
          <w:tcPr>
            <w:tcW w:w="2622" w:type="dxa"/>
            <w:tcBorders>
              <w:top w:val="single" w:color="000000" w:sz="4" w:space="0"/>
              <w:left w:val="single" w:color="000000" w:sz="4" w:space="0"/>
              <w:bottom w:val="single" w:color="000000" w:sz="4" w:space="0"/>
              <w:right w:val="single" w:color="000000" w:sz="4" w:space="0"/>
            </w:tcBorders>
            <w:vAlign w:val="center"/>
          </w:tcPr>
          <w:p w14:paraId="05A4C6D3">
            <w:pPr>
              <w:jc w:val="center"/>
              <w:rPr>
                <w:rFonts w:hint="eastAsia" w:ascii="宋体" w:hAnsi="宋体" w:eastAsia="宋体"/>
                <w:bCs/>
                <w:lang w:eastAsia="zh-CN"/>
              </w:rPr>
            </w:pPr>
            <w:r>
              <w:rPr>
                <w:rFonts w:hint="eastAsia" w:ascii="宋体" w:hAnsi="宋体" w:eastAsia="宋体"/>
                <w:bCs/>
                <w:lang w:eastAsia="zh-CN"/>
              </w:rPr>
              <w:t>600000.00元（陆拾万元整）</w:t>
            </w:r>
          </w:p>
        </w:tc>
        <w:tc>
          <w:tcPr>
            <w:tcW w:w="2622" w:type="dxa"/>
            <w:tcBorders>
              <w:top w:val="single" w:color="000000" w:sz="4" w:space="0"/>
              <w:left w:val="single" w:color="000000" w:sz="4" w:space="0"/>
              <w:bottom w:val="single" w:color="000000" w:sz="4" w:space="0"/>
              <w:right w:val="single" w:color="000000" w:sz="4" w:space="0"/>
            </w:tcBorders>
            <w:vAlign w:val="center"/>
          </w:tcPr>
          <w:p w14:paraId="39C605E5">
            <w:pPr>
              <w:jc w:val="center"/>
              <w:rPr>
                <w:rFonts w:hint="eastAsia" w:ascii="宋体" w:hAnsi="宋体" w:eastAsia="宋体"/>
                <w:bCs/>
                <w:lang w:eastAsia="zh-CN"/>
              </w:rPr>
            </w:pPr>
            <w:r>
              <w:rPr>
                <w:rFonts w:hint="eastAsia" w:ascii="宋体" w:hAnsi="宋体" w:eastAsia="宋体" w:cs="宋体"/>
                <w:i w:val="0"/>
                <w:iCs w:val="0"/>
                <w:caps w:val="0"/>
                <w:color w:val="000000"/>
                <w:spacing w:val="0"/>
                <w:sz w:val="24"/>
                <w:szCs w:val="24"/>
                <w:shd w:val="clear" w:fill="FFFFFF"/>
                <w:lang w:eastAsia="zh-CN"/>
              </w:rPr>
              <w:t>物</w:t>
            </w:r>
            <w:r>
              <w:rPr>
                <w:rFonts w:hint="eastAsia" w:ascii="宋体" w:hAnsi="宋体" w:eastAsia="宋体" w:cs="宋体"/>
                <w:i w:val="0"/>
                <w:iCs w:val="0"/>
                <w:caps w:val="0"/>
                <w:color w:val="000000"/>
                <w:spacing w:val="0"/>
                <w:sz w:val="24"/>
                <w:szCs w:val="24"/>
                <w:shd w:val="clear" w:fill="FFFFFF"/>
                <w:lang w:val="en-US" w:eastAsia="zh-CN"/>
              </w:rPr>
              <w:t>业</w:t>
            </w:r>
            <w:r>
              <w:rPr>
                <w:rFonts w:hint="eastAsia" w:ascii="宋体" w:hAnsi="宋体" w:eastAsia="宋体" w:cs="宋体"/>
                <w:i w:val="0"/>
                <w:iCs w:val="0"/>
                <w:caps w:val="0"/>
                <w:color w:val="000000"/>
                <w:spacing w:val="0"/>
                <w:sz w:val="24"/>
                <w:szCs w:val="24"/>
                <w:shd w:val="clear" w:fill="FFFFFF"/>
                <w:lang w:eastAsia="zh-CN"/>
              </w:rPr>
              <w:t>管理</w:t>
            </w:r>
          </w:p>
        </w:tc>
      </w:tr>
    </w:tbl>
    <w:p w14:paraId="6ABD4906">
      <w:pPr>
        <w:spacing w:line="560" w:lineRule="exact"/>
        <w:ind w:firstLine="560" w:firstLineChars="200"/>
        <w:rPr>
          <w:rFonts w:hint="eastAsia" w:ascii="仿宋" w:hAnsi="仿宋" w:eastAsia="仿宋" w:cs="仿宋"/>
          <w:color w:val="000000"/>
          <w:kern w:val="0"/>
          <w:sz w:val="28"/>
          <w:szCs w:val="28"/>
        </w:rPr>
      </w:pPr>
      <w:r>
        <w:rPr>
          <w:rFonts w:hint="eastAsia" w:ascii="仿宋" w:hAnsi="仿宋" w:eastAsia="仿宋"/>
          <w:color w:val="000000"/>
          <w:sz w:val="28"/>
          <w:szCs w:val="28"/>
          <w:lang w:eastAsia="zh-CN"/>
        </w:rPr>
        <w:t>本项目</w:t>
      </w:r>
      <w:r>
        <w:rPr>
          <w:rFonts w:hint="eastAsia" w:ascii="仿宋" w:hAnsi="仿宋" w:eastAsia="仿宋"/>
          <w:color w:val="000000"/>
          <w:sz w:val="28"/>
          <w:szCs w:val="28"/>
        </w:rPr>
        <w:t>的潜在投标人应在政府采购云平台获取招标文件，并于</w:t>
      </w:r>
      <w:r>
        <w:rPr>
          <w:rFonts w:hint="eastAsia" w:ascii="仿宋" w:hAnsi="仿宋" w:eastAsia="仿宋"/>
          <w:b/>
          <w:color w:val="000000"/>
          <w:sz w:val="28"/>
          <w:szCs w:val="28"/>
        </w:rPr>
        <w:t>投标截止时间</w:t>
      </w:r>
      <w:r>
        <w:rPr>
          <w:rFonts w:hint="eastAsia" w:ascii="仿宋" w:hAnsi="仿宋" w:eastAsia="仿宋"/>
          <w:color w:val="000000"/>
          <w:sz w:val="28"/>
          <w:szCs w:val="28"/>
        </w:rPr>
        <w:t>前</w:t>
      </w:r>
      <w:r>
        <w:rPr>
          <w:rFonts w:hint="eastAsia" w:ascii="仿宋" w:hAnsi="仿宋" w:eastAsia="仿宋" w:cs="仿宋"/>
          <w:color w:val="000000"/>
          <w:kern w:val="0"/>
          <w:sz w:val="28"/>
          <w:szCs w:val="28"/>
        </w:rPr>
        <w:t>上传电子加密响应文件至政府采购云平台投标客户端。</w:t>
      </w:r>
    </w:p>
    <w:p w14:paraId="756F8E59">
      <w:pPr>
        <w:pStyle w:val="6"/>
        <w:rPr>
          <w:rFonts w:hint="eastAsia"/>
          <w:lang w:val="en-US" w:eastAsia="zh-CN"/>
        </w:rPr>
      </w:pPr>
    </w:p>
    <w:p w14:paraId="2C416E14">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二、获取招标文件时间、地点和方式：</w:t>
      </w:r>
    </w:p>
    <w:p w14:paraId="564D766C">
      <w:pPr>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时间：</w:t>
      </w:r>
      <w:r>
        <w:rPr>
          <w:rFonts w:hint="eastAsia" w:ascii="仿宋" w:hAnsi="仿宋" w:eastAsia="仿宋"/>
          <w:color w:val="000000"/>
          <w:sz w:val="28"/>
          <w:szCs w:val="28"/>
          <w:lang w:eastAsia="zh-CN"/>
        </w:rPr>
        <w:t>2025年7月4日至2025年7月25日11:00:00</w:t>
      </w:r>
      <w:r>
        <w:rPr>
          <w:rFonts w:hint="eastAsia" w:ascii="仿宋" w:hAnsi="仿宋" w:eastAsia="仿宋"/>
          <w:color w:val="000000"/>
          <w:sz w:val="28"/>
          <w:szCs w:val="28"/>
        </w:rPr>
        <w:t>（法定节假日除外）</w:t>
      </w:r>
    </w:p>
    <w:p w14:paraId="34440DCF">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地点：政府采购云平台</w:t>
      </w:r>
    </w:p>
    <w:p w14:paraId="71F2BA2B">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方式：供应商登录政采云平台https:/</w:t>
      </w:r>
      <w:bookmarkStart w:id="82" w:name="_GoBack"/>
      <w:bookmarkEnd w:id="82"/>
      <w:r>
        <w:rPr>
          <w:rFonts w:hint="eastAsia" w:ascii="仿宋" w:hAnsi="仿宋" w:eastAsia="仿宋"/>
          <w:color w:val="000000"/>
          <w:sz w:val="28"/>
          <w:szCs w:val="28"/>
        </w:rPr>
        <w:t>/www.zcygov.cn/在线申请获取采购文件（进入“项目采购”应用，在获取采购文件菜单中选择项目，申请获取采购文件）</w:t>
      </w:r>
      <w:r>
        <w:rPr>
          <w:rFonts w:hint="eastAsia" w:ascii="仿宋" w:hAnsi="仿宋" w:eastAsia="仿宋"/>
          <w:color w:val="000000"/>
          <w:sz w:val="28"/>
          <w:szCs w:val="28"/>
          <w:lang w:eastAsia="zh-CN"/>
        </w:rPr>
        <w:t>。</w:t>
      </w:r>
    </w:p>
    <w:p w14:paraId="4BAAE6C6">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三、投标截止时间、投标文件递交地点、开标时间及地点：</w:t>
      </w:r>
    </w:p>
    <w:p w14:paraId="437968BE">
      <w:pPr>
        <w:spacing w:line="500" w:lineRule="exact"/>
        <w:ind w:firstLine="638" w:firstLineChars="228"/>
        <w:rPr>
          <w:rFonts w:hint="eastAsia" w:ascii="仿宋" w:hAnsi="仿宋" w:eastAsia="仿宋"/>
          <w:color w:val="000000"/>
          <w:sz w:val="28"/>
          <w:szCs w:val="28"/>
        </w:rPr>
      </w:pPr>
      <w:r>
        <w:rPr>
          <w:rFonts w:hint="eastAsia" w:ascii="仿宋" w:hAnsi="仿宋" w:eastAsia="仿宋"/>
          <w:color w:val="000000"/>
          <w:sz w:val="28"/>
          <w:szCs w:val="28"/>
        </w:rPr>
        <w:t>截止时间</w:t>
      </w:r>
      <w:r>
        <w:rPr>
          <w:rFonts w:hint="eastAsia" w:ascii="仿宋" w:hAnsi="仿宋" w:eastAsia="仿宋"/>
          <w:color w:val="000000"/>
          <w:sz w:val="28"/>
          <w:szCs w:val="28"/>
          <w:lang w:eastAsia="zh-CN"/>
        </w:rPr>
        <w:t>、开标时间</w:t>
      </w:r>
      <w:r>
        <w:rPr>
          <w:rFonts w:hint="eastAsia" w:ascii="仿宋" w:hAnsi="仿宋" w:eastAsia="仿宋"/>
          <w:color w:val="000000"/>
          <w:sz w:val="28"/>
          <w:szCs w:val="28"/>
        </w:rPr>
        <w:t>：</w:t>
      </w:r>
      <w:r>
        <w:rPr>
          <w:rFonts w:hint="eastAsia" w:ascii="仿宋" w:hAnsi="仿宋" w:eastAsia="仿宋"/>
          <w:color w:val="000000"/>
          <w:sz w:val="28"/>
          <w:szCs w:val="28"/>
          <w:lang w:eastAsia="zh-CN"/>
        </w:rPr>
        <w:t>2025年7月25日1</w:t>
      </w:r>
      <w:r>
        <w:rPr>
          <w:rFonts w:hint="eastAsia" w:ascii="仿宋" w:hAnsi="仿宋" w:eastAsia="仿宋"/>
          <w:color w:val="000000"/>
          <w:sz w:val="28"/>
          <w:szCs w:val="28"/>
          <w:lang w:val="en-US" w:eastAsia="zh-CN"/>
        </w:rPr>
        <w:t>1</w:t>
      </w:r>
      <w:r>
        <w:rPr>
          <w:rFonts w:hint="eastAsia" w:ascii="仿宋" w:hAnsi="仿宋" w:eastAsia="仿宋"/>
          <w:color w:val="000000"/>
          <w:sz w:val="28"/>
          <w:szCs w:val="28"/>
          <w:lang w:eastAsia="zh-CN"/>
        </w:rPr>
        <w:t>:00:00</w:t>
      </w:r>
    </w:p>
    <w:p w14:paraId="1684CD80">
      <w:pPr>
        <w:spacing w:line="500" w:lineRule="exact"/>
        <w:ind w:firstLine="638" w:firstLineChars="228"/>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投标文件递交</w:t>
      </w:r>
      <w:r>
        <w:rPr>
          <w:rFonts w:hint="eastAsia" w:ascii="仿宋" w:hAnsi="仿宋" w:eastAsia="仿宋" w:cs="仿宋"/>
          <w:color w:val="000000"/>
          <w:sz w:val="28"/>
          <w:szCs w:val="28"/>
        </w:rPr>
        <w:t>地点：</w:t>
      </w:r>
      <w:r>
        <w:rPr>
          <w:rFonts w:hint="eastAsia" w:ascii="仿宋" w:hAnsi="仿宋" w:eastAsia="仿宋"/>
          <w:color w:val="000000"/>
          <w:sz w:val="28"/>
          <w:szCs w:val="28"/>
        </w:rPr>
        <w:t>电子加密投标文件上传至政府采购云平台投标客户端</w:t>
      </w:r>
      <w:r>
        <w:rPr>
          <w:rFonts w:hint="eastAsia" w:ascii="仿宋" w:hAnsi="仿宋" w:eastAsia="仿宋" w:cs="仿宋"/>
          <w:color w:val="000000"/>
          <w:sz w:val="28"/>
          <w:szCs w:val="28"/>
        </w:rPr>
        <w:t>。</w:t>
      </w:r>
    </w:p>
    <w:p w14:paraId="7E37265F">
      <w:pPr>
        <w:pStyle w:val="15"/>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开标地点：政府采购云平台。</w:t>
      </w:r>
    </w:p>
    <w:p w14:paraId="72263F58">
      <w:pPr>
        <w:pStyle w:val="15"/>
        <w:rPr>
          <w:rFonts w:hint="eastAsia" w:ascii="仿宋" w:hAnsi="仿宋" w:eastAsia="仿宋" w:cs="仿宋"/>
          <w:color w:val="000000"/>
          <w:sz w:val="28"/>
          <w:szCs w:val="28"/>
          <w:lang w:val="en-US" w:eastAsia="zh-CN"/>
        </w:rPr>
      </w:pPr>
    </w:p>
    <w:p w14:paraId="653E7E9A">
      <w:pPr>
        <w:pStyle w:val="15"/>
        <w:rPr>
          <w:rFonts w:hint="eastAsia" w:ascii="仿宋" w:hAnsi="仿宋" w:eastAsia="仿宋" w:cs="仿宋"/>
          <w:color w:val="000000"/>
          <w:sz w:val="28"/>
          <w:szCs w:val="28"/>
          <w:lang w:val="en-US" w:eastAsia="zh-CN"/>
        </w:rPr>
      </w:pPr>
    </w:p>
    <w:p w14:paraId="4BE749CC">
      <w:pPr>
        <w:pStyle w:val="15"/>
        <w:rPr>
          <w:rFonts w:hint="eastAsia" w:ascii="仿宋" w:hAnsi="仿宋" w:eastAsia="仿宋" w:cs="仿宋"/>
          <w:color w:val="000000"/>
          <w:sz w:val="28"/>
          <w:szCs w:val="28"/>
          <w:lang w:val="en-US" w:eastAsia="zh-CN"/>
        </w:rPr>
      </w:pPr>
    </w:p>
    <w:p w14:paraId="707C4084">
      <w:pPr>
        <w:pStyle w:val="15"/>
        <w:rPr>
          <w:rFonts w:hint="eastAsia" w:ascii="仿宋" w:hAnsi="仿宋" w:eastAsia="仿宋" w:cs="仿宋"/>
          <w:color w:val="000000"/>
          <w:sz w:val="28"/>
          <w:szCs w:val="28"/>
          <w:lang w:val="en-US" w:eastAsia="zh-CN"/>
        </w:rPr>
      </w:pPr>
    </w:p>
    <w:p w14:paraId="790AE299">
      <w:pPr>
        <w:pStyle w:val="15"/>
        <w:rPr>
          <w:rFonts w:hint="eastAsia" w:ascii="仿宋" w:hAnsi="仿宋" w:eastAsia="仿宋" w:cs="仿宋"/>
          <w:color w:val="000000"/>
          <w:sz w:val="28"/>
          <w:szCs w:val="28"/>
          <w:lang w:val="en-US" w:eastAsia="zh-CN"/>
        </w:rPr>
      </w:pPr>
    </w:p>
    <w:p w14:paraId="6BD77C33">
      <w:pPr>
        <w:pStyle w:val="15"/>
        <w:rPr>
          <w:rFonts w:hint="eastAsia" w:ascii="仿宋" w:hAnsi="仿宋" w:eastAsia="仿宋" w:cs="仿宋"/>
          <w:color w:val="000000"/>
          <w:sz w:val="28"/>
          <w:szCs w:val="28"/>
          <w:lang w:val="en-US" w:eastAsia="zh-CN"/>
        </w:rPr>
      </w:pPr>
    </w:p>
    <w:p w14:paraId="0B4EFE6A">
      <w:pPr>
        <w:pStyle w:val="15"/>
        <w:rPr>
          <w:rFonts w:hint="eastAsia" w:ascii="仿宋" w:hAnsi="仿宋" w:eastAsia="仿宋" w:cs="仿宋"/>
          <w:color w:val="000000"/>
          <w:sz w:val="28"/>
          <w:szCs w:val="28"/>
          <w:lang w:val="en-US" w:eastAsia="zh-CN"/>
        </w:rPr>
      </w:pPr>
    </w:p>
    <w:p w14:paraId="3764F508">
      <w:pPr>
        <w:pStyle w:val="15"/>
        <w:numPr>
          <w:ilvl w:val="0"/>
          <w:numId w:val="3"/>
        </w:numPr>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投标保证金</w:t>
      </w:r>
    </w:p>
    <w:p w14:paraId="48BC2CA6">
      <w:pPr>
        <w:spacing w:line="560" w:lineRule="exact"/>
        <w:ind w:firstLine="560" w:firstLineChars="200"/>
        <w:outlineLvl w:val="2"/>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供应商缴纳投标保证金5000元，开标后5个工作日原路退还。</w:t>
      </w:r>
    </w:p>
    <w:p w14:paraId="05B3A265">
      <w:pPr>
        <w:spacing w:line="560" w:lineRule="exact"/>
        <w:ind w:firstLine="560" w:firstLineChars="200"/>
        <w:outlineLvl w:val="2"/>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账户名称：喀什市科学技术局；</w:t>
      </w:r>
    </w:p>
    <w:p w14:paraId="344B9599">
      <w:pPr>
        <w:spacing w:line="560" w:lineRule="exact"/>
        <w:ind w:firstLine="560" w:firstLineChars="200"/>
        <w:outlineLvl w:val="2"/>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开户行：中国银行有限公司喀什地区分行营业部；</w:t>
      </w:r>
    </w:p>
    <w:p w14:paraId="3EB0D3F1">
      <w:pPr>
        <w:spacing w:line="560" w:lineRule="exact"/>
        <w:ind w:firstLine="560" w:firstLineChars="200"/>
        <w:outlineLvl w:val="2"/>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 xml:space="preserve">账号：107005787457 </w:t>
      </w:r>
    </w:p>
    <w:p w14:paraId="1D46A7CE">
      <w:pPr>
        <w:spacing w:line="560" w:lineRule="exact"/>
        <w:ind w:firstLine="560" w:firstLineChars="200"/>
        <w:outlineLvl w:val="2"/>
        <w:rPr>
          <w:rFonts w:hint="eastAsia" w:ascii="仿宋" w:hAnsi="仿宋" w:eastAsia="仿宋"/>
          <w:color w:val="000000"/>
          <w:sz w:val="28"/>
          <w:szCs w:val="28"/>
          <w:lang w:eastAsia="zh-CN"/>
        </w:rPr>
      </w:pPr>
      <w:r>
        <w:rPr>
          <w:rFonts w:hint="eastAsia" w:ascii="仿宋" w:hAnsi="仿宋" w:eastAsia="仿宋"/>
          <w:color w:val="000000"/>
          <w:sz w:val="28"/>
          <w:szCs w:val="28"/>
          <w:lang w:val="en-US" w:eastAsia="zh-CN"/>
        </w:rPr>
        <w:t>保证金缴纳截止时间：</w:t>
      </w:r>
      <w:r>
        <w:rPr>
          <w:rFonts w:hint="eastAsia" w:ascii="仿宋" w:hAnsi="仿宋" w:eastAsia="仿宋"/>
          <w:color w:val="000000"/>
          <w:sz w:val="28"/>
          <w:szCs w:val="28"/>
          <w:lang w:eastAsia="zh-CN"/>
        </w:rPr>
        <w:t>2025年7月25日1</w:t>
      </w:r>
      <w:r>
        <w:rPr>
          <w:rFonts w:hint="eastAsia" w:ascii="仿宋" w:hAnsi="仿宋" w:eastAsia="仿宋"/>
          <w:color w:val="000000"/>
          <w:sz w:val="28"/>
          <w:szCs w:val="28"/>
          <w:lang w:val="en-US" w:eastAsia="zh-CN"/>
        </w:rPr>
        <w:t>1</w:t>
      </w:r>
      <w:r>
        <w:rPr>
          <w:rFonts w:hint="eastAsia" w:ascii="仿宋" w:hAnsi="仿宋" w:eastAsia="仿宋"/>
          <w:color w:val="000000"/>
          <w:sz w:val="28"/>
          <w:szCs w:val="28"/>
          <w:lang w:eastAsia="zh-CN"/>
        </w:rPr>
        <w:t>:00:00</w:t>
      </w:r>
    </w:p>
    <w:p w14:paraId="02DE17F1">
      <w:pPr>
        <w:spacing w:line="560" w:lineRule="exact"/>
        <w:ind w:firstLine="560" w:firstLineChars="200"/>
        <w:outlineLvl w:val="2"/>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保函承保期限：</w:t>
      </w:r>
      <w:r>
        <w:rPr>
          <w:rFonts w:hint="eastAsia" w:ascii="仿宋" w:hAnsi="仿宋" w:eastAsia="仿宋"/>
          <w:color w:val="000000"/>
          <w:sz w:val="28"/>
          <w:szCs w:val="28"/>
          <w:lang w:eastAsia="zh-CN"/>
        </w:rPr>
        <w:t>2025年7月25日1</w:t>
      </w:r>
      <w:r>
        <w:rPr>
          <w:rFonts w:hint="eastAsia" w:ascii="仿宋" w:hAnsi="仿宋" w:eastAsia="仿宋"/>
          <w:color w:val="000000"/>
          <w:sz w:val="28"/>
          <w:szCs w:val="28"/>
          <w:lang w:val="en-US" w:eastAsia="zh-CN"/>
        </w:rPr>
        <w:t>1</w:t>
      </w:r>
      <w:r>
        <w:rPr>
          <w:rFonts w:hint="eastAsia" w:ascii="仿宋" w:hAnsi="仿宋" w:eastAsia="仿宋"/>
          <w:color w:val="000000"/>
          <w:sz w:val="28"/>
          <w:szCs w:val="28"/>
          <w:lang w:eastAsia="zh-CN"/>
        </w:rPr>
        <w:t>:00:00至2025年</w:t>
      </w:r>
      <w:r>
        <w:rPr>
          <w:rFonts w:hint="eastAsia" w:ascii="仿宋" w:hAnsi="仿宋" w:eastAsia="仿宋"/>
          <w:color w:val="000000"/>
          <w:sz w:val="28"/>
          <w:szCs w:val="28"/>
          <w:lang w:val="en-US" w:eastAsia="zh-CN"/>
        </w:rPr>
        <w:t>8</w:t>
      </w:r>
      <w:r>
        <w:rPr>
          <w:rFonts w:hint="eastAsia" w:ascii="仿宋" w:hAnsi="仿宋" w:eastAsia="仿宋"/>
          <w:color w:val="000000"/>
          <w:sz w:val="28"/>
          <w:szCs w:val="28"/>
          <w:lang w:eastAsia="zh-CN"/>
        </w:rPr>
        <w:t>月25日1</w:t>
      </w:r>
      <w:r>
        <w:rPr>
          <w:rFonts w:hint="eastAsia" w:ascii="仿宋" w:hAnsi="仿宋" w:eastAsia="仿宋"/>
          <w:color w:val="000000"/>
          <w:sz w:val="28"/>
          <w:szCs w:val="28"/>
          <w:lang w:val="en-US" w:eastAsia="zh-CN"/>
        </w:rPr>
        <w:t>1</w:t>
      </w:r>
      <w:r>
        <w:rPr>
          <w:rFonts w:hint="eastAsia" w:ascii="仿宋" w:hAnsi="仿宋" w:eastAsia="仿宋"/>
          <w:color w:val="000000"/>
          <w:sz w:val="28"/>
          <w:szCs w:val="28"/>
          <w:lang w:eastAsia="zh-CN"/>
        </w:rPr>
        <w:t>:00:00</w:t>
      </w:r>
    </w:p>
    <w:p w14:paraId="2FF9431E">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五、公告期限</w:t>
      </w:r>
    </w:p>
    <w:p w14:paraId="4E27FD5A">
      <w:pPr>
        <w:pStyle w:val="15"/>
        <w:spacing w:after="0" w:line="560" w:lineRule="exact"/>
        <w:ind w:firstLine="560" w:firstLineChars="200"/>
        <w:rPr>
          <w:rFonts w:ascii="仿宋" w:hAnsi="仿宋" w:eastAsia="仿宋"/>
          <w:color w:val="000000"/>
          <w:sz w:val="28"/>
          <w:szCs w:val="28"/>
          <w:lang w:val="en-US" w:eastAsia="zh-CN"/>
        </w:rPr>
      </w:pPr>
      <w:r>
        <w:rPr>
          <w:rFonts w:hint="eastAsia" w:ascii="仿宋" w:hAnsi="仿宋" w:eastAsia="仿宋"/>
          <w:color w:val="000000"/>
          <w:sz w:val="28"/>
          <w:szCs w:val="28"/>
          <w:lang w:val="en-US" w:eastAsia="zh-CN"/>
        </w:rPr>
        <w:t>自本公告发布之日起6个工作日。</w:t>
      </w:r>
    </w:p>
    <w:p w14:paraId="73D62B37">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六、其他要求：</w:t>
      </w:r>
    </w:p>
    <w:p w14:paraId="62AAD57F">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（1）相互关联的存在实际控制、管理关系的两个企业，不得参加同一项目的投标。</w:t>
      </w:r>
    </w:p>
    <w:p w14:paraId="4E1C265E">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投标人应仔细阅读招标公告的所有内容，按公告的要求制作投标文件，并保证所提供全部资料的真实性，以使其对货物（服务）参数作出实质性响应。否则，视为不响应招标文件，将拒绝其投标。开标时，投标人对招标公告要求提供的资质证明文件缺项或不真实，将拒绝其投标。</w:t>
      </w:r>
    </w:p>
    <w:p w14:paraId="00371C17">
      <w:pPr>
        <w:spacing w:line="520" w:lineRule="exact"/>
        <w:ind w:firstLine="560" w:firstLineChars="200"/>
        <w:rPr>
          <w:rFonts w:hint="eastAsia" w:ascii="仿宋" w:hAnsi="仿宋" w:eastAsia="仿宋"/>
          <w:color w:val="000000"/>
          <w:sz w:val="28"/>
          <w:szCs w:val="28"/>
        </w:rPr>
      </w:pPr>
      <w:r>
        <w:rPr>
          <w:rFonts w:hint="eastAsia" w:ascii="仿宋" w:hAnsi="仿宋" w:eastAsia="仿宋"/>
          <w:sz w:val="28"/>
          <w:szCs w:val="28"/>
        </w:rPr>
        <w:t>（3）</w:t>
      </w:r>
      <w:r>
        <w:rPr>
          <w:rFonts w:hint="eastAsia" w:ascii="仿宋" w:hAnsi="仿宋" w:eastAsia="仿宋"/>
          <w:color w:val="000000"/>
          <w:sz w:val="28"/>
          <w:szCs w:val="28"/>
        </w:rPr>
        <w:t>本项目实行不见面开标（网上投标，网上开标、评标），投标人需办理CA锁。已办理CA锁的，需添加在政府采购云平台使用的功能。CA锁办理或升级地址：潜在投标人自行登录新疆数字认证中心网站</w:t>
      </w:r>
      <w:r>
        <w:rPr>
          <w:rFonts w:hint="eastAsia" w:ascii="仿宋" w:hAnsi="仿宋" w:eastAsia="仿宋"/>
          <w:sz w:val="28"/>
          <w:szCs w:val="28"/>
        </w:rPr>
        <w:fldChar w:fldCharType="begin"/>
      </w:r>
      <w:r>
        <w:rPr>
          <w:rFonts w:hint="eastAsia" w:ascii="仿宋" w:hAnsi="仿宋" w:eastAsia="仿宋"/>
          <w:sz w:val="28"/>
          <w:szCs w:val="28"/>
        </w:rPr>
        <w:instrText xml:space="preserve"> HYPERLINK "https://www.xjca.com.cn/" </w:instrText>
      </w:r>
      <w:r>
        <w:rPr>
          <w:rFonts w:hint="eastAsia" w:ascii="仿宋" w:hAnsi="仿宋" w:eastAsia="仿宋"/>
          <w:sz w:val="28"/>
          <w:szCs w:val="28"/>
        </w:rPr>
        <w:fldChar w:fldCharType="separate"/>
      </w:r>
      <w:r>
        <w:rPr>
          <w:rStyle w:val="23"/>
          <w:rFonts w:hint="eastAsia" w:ascii="仿宋" w:hAnsi="仿宋" w:eastAsia="仿宋"/>
          <w:color w:val="auto"/>
          <w:sz w:val="28"/>
          <w:szCs w:val="28"/>
        </w:rPr>
        <w:t>https://www.xjca.com.cn/</w:t>
      </w:r>
      <w:r>
        <w:rPr>
          <w:rFonts w:hint="eastAsia" w:ascii="仿宋" w:hAnsi="仿宋" w:eastAsia="仿宋"/>
          <w:sz w:val="28"/>
          <w:szCs w:val="28"/>
        </w:rPr>
        <w:fldChar w:fldCharType="end"/>
      </w:r>
      <w:r>
        <w:rPr>
          <w:rFonts w:hint="eastAsia" w:ascii="仿宋" w:hAnsi="仿宋" w:eastAsia="仿宋"/>
          <w:color w:val="000000"/>
          <w:sz w:val="28"/>
          <w:szCs w:val="28"/>
        </w:rPr>
        <w:t>办理。</w:t>
      </w:r>
      <w:r>
        <w:rPr>
          <w:rFonts w:hint="eastAsia" w:ascii="仿宋" w:hAnsi="仿宋" w:eastAsia="仿宋" w:cs="仿宋"/>
          <w:color w:val="000000"/>
          <w:sz w:val="28"/>
          <w:szCs w:val="28"/>
        </w:rPr>
        <w:t>供应商因未注册入</w:t>
      </w:r>
      <w:r>
        <w:rPr>
          <w:rFonts w:hint="eastAsia" w:ascii="仿宋" w:hAnsi="仿宋" w:eastAsia="仿宋"/>
          <w:sz w:val="28"/>
          <w:szCs w:val="28"/>
        </w:rPr>
        <w:t>政府采购云平台“供应商</w:t>
      </w:r>
      <w:r>
        <w:rPr>
          <w:rFonts w:hint="eastAsia" w:ascii="仿宋" w:hAnsi="仿宋" w:eastAsia="仿宋" w:cs="仿宋"/>
          <w:color w:val="000000"/>
          <w:sz w:val="28"/>
          <w:szCs w:val="28"/>
        </w:rPr>
        <w:t>库</w:t>
      </w:r>
      <w:r>
        <w:rPr>
          <w:rFonts w:hint="eastAsia" w:ascii="仿宋" w:hAnsi="仿宋" w:eastAsia="仿宋"/>
          <w:sz w:val="28"/>
          <w:szCs w:val="28"/>
        </w:rPr>
        <w:t>”</w:t>
      </w:r>
      <w:r>
        <w:rPr>
          <w:rFonts w:hint="eastAsia" w:ascii="仿宋" w:hAnsi="仿宋" w:eastAsia="仿宋" w:cs="仿宋"/>
          <w:color w:val="000000"/>
          <w:sz w:val="28"/>
          <w:szCs w:val="28"/>
        </w:rPr>
        <w:t>、或未办理CA数字证书等原因造成无法投标或投标失败等后果由供应商自行承担。</w:t>
      </w:r>
    </w:p>
    <w:p w14:paraId="5FFAFA9A">
      <w:pPr>
        <w:pStyle w:val="16"/>
        <w:spacing w:before="75" w:beforeAutospacing="0" w:after="75" w:afterAutospacing="0" w:line="520" w:lineRule="exact"/>
        <w:ind w:left="0" w:leftChars="0" w:firstLine="640" w:firstLineChars="0"/>
        <w:jc w:val="both"/>
        <w:rPr>
          <w:rFonts w:hint="eastAsia" w:ascii="仿宋" w:hAnsi="仿宋" w:eastAsia="仿宋" w:cs="仿宋"/>
          <w:color w:val="000000"/>
          <w:sz w:val="28"/>
          <w:szCs w:val="28"/>
        </w:rPr>
      </w:pPr>
      <w:r>
        <w:rPr>
          <w:rFonts w:hint="eastAsia" w:ascii="仿宋" w:hAnsi="仿宋" w:eastAsia="仿宋"/>
          <w:kern w:val="2"/>
          <w:sz w:val="28"/>
          <w:szCs w:val="28"/>
        </w:rPr>
        <w:t>（4）投标人在政府采购云平台实行不见面开标操作指南</w:t>
      </w:r>
      <w:r>
        <w:rPr>
          <w:rFonts w:hint="eastAsia" w:ascii="仿宋" w:hAnsi="仿宋" w:eastAsia="仿宋"/>
          <w:color w:val="000000"/>
          <w:kern w:val="2"/>
          <w:sz w:val="28"/>
          <w:szCs w:val="28"/>
        </w:rPr>
        <w:t>：请潜在投标人观看政府采购云平台供应商电子标培训视频教程</w:t>
      </w:r>
      <w:r>
        <w:rPr>
          <w:rFonts w:hint="eastAsia" w:ascii="仿宋" w:hAnsi="仿宋" w:eastAsia="仿宋"/>
          <w:color w:val="000000"/>
          <w:kern w:val="2"/>
          <w:sz w:val="28"/>
          <w:szCs w:val="28"/>
          <w:lang w:eastAsia="zh-CN"/>
        </w:rPr>
        <w:t>，或咨询政采云客服95763或在</w:t>
      </w:r>
      <w:r>
        <w:rPr>
          <w:rFonts w:hint="eastAsia" w:ascii="仿宋" w:hAnsi="仿宋" w:eastAsia="仿宋"/>
          <w:kern w:val="2"/>
          <w:sz w:val="28"/>
          <w:szCs w:val="28"/>
        </w:rPr>
        <w:t>政府采购云平台</w:t>
      </w:r>
      <w:r>
        <w:rPr>
          <w:rFonts w:hint="eastAsia" w:ascii="仿宋" w:hAnsi="仿宋" w:eastAsia="仿宋"/>
          <w:kern w:val="2"/>
          <w:sz w:val="28"/>
          <w:szCs w:val="28"/>
          <w:lang w:val="en-US" w:eastAsia="zh-CN"/>
        </w:rPr>
        <w:t>-咨询小采，</w:t>
      </w:r>
      <w:r>
        <w:rPr>
          <w:rFonts w:hint="eastAsia" w:ascii="仿宋" w:hAnsi="仿宋" w:eastAsia="仿宋"/>
          <w:color w:val="000000"/>
          <w:kern w:val="2"/>
          <w:sz w:val="28"/>
          <w:szCs w:val="28"/>
          <w:lang w:eastAsia="zh-CN"/>
        </w:rPr>
        <w:t>获取操作手册</w:t>
      </w:r>
      <w:r>
        <w:rPr>
          <w:rFonts w:hint="eastAsia" w:ascii="仿宋" w:hAnsi="仿宋" w:eastAsia="仿宋"/>
          <w:color w:val="000000"/>
          <w:kern w:val="2"/>
          <w:sz w:val="28"/>
          <w:szCs w:val="28"/>
        </w:rPr>
        <w:t>。</w:t>
      </w:r>
      <w:r>
        <w:rPr>
          <w:rFonts w:hint="eastAsia" w:ascii="仿宋" w:hAnsi="仿宋" w:eastAsia="仿宋" w:cs="仿宋"/>
          <w:color w:val="000000"/>
          <w:sz w:val="28"/>
          <w:szCs w:val="28"/>
        </w:rPr>
        <w:t>如因供应商自身原因导致在规定时间内无法正常解密的（如：浏览器故障、未安装相关驱动、网络故障、加密CA与解密CA不一致等），将视为投标或响应无效。</w:t>
      </w:r>
    </w:p>
    <w:p w14:paraId="46C1BD01">
      <w:pPr>
        <w:pStyle w:val="16"/>
        <w:spacing w:before="75" w:beforeAutospacing="0" w:after="75" w:afterAutospacing="0" w:line="520" w:lineRule="exact"/>
        <w:jc w:val="left"/>
        <w:rPr>
          <w:rFonts w:hint="eastAsia" w:ascii="仿宋" w:hAnsi="仿宋" w:eastAsia="仿宋"/>
          <w:b/>
          <w:bCs/>
          <w:color w:val="000000"/>
          <w:kern w:val="2"/>
          <w:sz w:val="28"/>
          <w:szCs w:val="28"/>
          <w:lang w:eastAsia="zh-CN"/>
        </w:rPr>
      </w:pPr>
      <w:r>
        <w:rPr>
          <w:rFonts w:hint="eastAsia" w:ascii="仿宋" w:hAnsi="仿宋" w:eastAsia="仿宋"/>
          <w:color w:val="000000"/>
          <w:kern w:val="2"/>
          <w:sz w:val="28"/>
          <w:szCs w:val="28"/>
          <w:lang w:eastAsia="zh-CN"/>
        </w:rPr>
        <w:t>（</w:t>
      </w:r>
      <w:r>
        <w:rPr>
          <w:rFonts w:hint="eastAsia" w:ascii="仿宋" w:hAnsi="仿宋" w:eastAsia="仿宋"/>
          <w:color w:val="000000"/>
          <w:kern w:val="2"/>
          <w:sz w:val="28"/>
          <w:szCs w:val="28"/>
        </w:rPr>
        <w:t>供应商电子标培训视频教</w:t>
      </w:r>
      <w:r>
        <w:rPr>
          <w:rFonts w:hint="eastAsia" w:ascii="仿宋" w:hAnsi="仿宋" w:eastAsia="仿宋"/>
          <w:color w:val="000000"/>
          <w:kern w:val="2"/>
          <w:sz w:val="28"/>
          <w:szCs w:val="28"/>
          <w:lang w:eastAsia="zh-CN"/>
        </w:rPr>
        <w:t>程：</w:t>
      </w:r>
      <w:r>
        <w:rPr>
          <w:rFonts w:hint="eastAsia" w:ascii="仿宋" w:hAnsi="仿宋" w:eastAsia="仿宋" w:cs="仿宋"/>
          <w:color w:val="000000"/>
          <w:sz w:val="28"/>
          <w:szCs w:val="28"/>
        </w:rPr>
        <w:t>https://edu.zcygov.cn/live/hall/detail?id=afe2a098c89c426097379094cf6fec6f&amp;type=vod</w:t>
      </w:r>
      <w:r>
        <w:rPr>
          <w:rFonts w:hint="eastAsia" w:ascii="仿宋" w:hAnsi="仿宋" w:eastAsia="仿宋" w:cs="仿宋"/>
          <w:color w:val="000000"/>
          <w:sz w:val="28"/>
          <w:szCs w:val="28"/>
          <w:lang w:eastAsia="zh-CN"/>
        </w:rPr>
        <w:t>）</w:t>
      </w:r>
    </w:p>
    <w:p w14:paraId="5EEB3550">
      <w:pPr>
        <w:spacing w:line="560" w:lineRule="exact"/>
        <w:ind w:firstLine="562" w:firstLineChars="200"/>
        <w:outlineLvl w:val="2"/>
        <w:rPr>
          <w:rFonts w:hint="eastAsia" w:ascii="仿宋" w:hAnsi="仿宋" w:eastAsia="仿宋"/>
          <w:b/>
          <w:bCs/>
          <w:color w:val="000000"/>
          <w:sz w:val="28"/>
          <w:szCs w:val="28"/>
        </w:rPr>
      </w:pPr>
      <w:r>
        <w:rPr>
          <w:rFonts w:hint="eastAsia" w:ascii="仿宋" w:hAnsi="仿宋" w:eastAsia="仿宋"/>
          <w:b/>
          <w:bCs/>
          <w:color w:val="000000"/>
          <w:sz w:val="28"/>
          <w:szCs w:val="28"/>
        </w:rPr>
        <w:t>七、凡对本次招标提出询问，请按以下方式联系：</w:t>
      </w:r>
    </w:p>
    <w:p w14:paraId="5E5EDA8C">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rPr>
        <w:t>1.采购人信息</w:t>
      </w:r>
    </w:p>
    <w:p w14:paraId="17A516CA">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喀什市科学技术局</w:t>
      </w:r>
    </w:p>
    <w:p w14:paraId="189C2BB6">
      <w:pPr>
        <w:spacing w:line="560" w:lineRule="exact"/>
        <w:ind w:firstLine="560" w:firstLineChars="200"/>
        <w:rPr>
          <w:rFonts w:hint="default" w:ascii="仿宋" w:hAnsi="仿宋" w:eastAsia="仿宋"/>
          <w:color w:val="000000"/>
          <w:sz w:val="28"/>
          <w:szCs w:val="28"/>
          <w:lang w:val="en-US" w:eastAsia="zh-CN"/>
        </w:rPr>
      </w:pPr>
      <w:r>
        <w:rPr>
          <w:rFonts w:hint="eastAsia" w:ascii="仿宋" w:hAnsi="仿宋" w:eastAsia="仿宋"/>
          <w:color w:val="000000"/>
          <w:sz w:val="28"/>
          <w:szCs w:val="28"/>
        </w:rPr>
        <w:t>地址：</w:t>
      </w:r>
      <w:r>
        <w:rPr>
          <w:rFonts w:hint="eastAsia" w:ascii="仿宋" w:hAnsi="仿宋" w:eastAsia="仿宋"/>
          <w:color w:val="000000"/>
          <w:sz w:val="28"/>
          <w:szCs w:val="28"/>
          <w:lang w:eastAsia="zh-CN"/>
        </w:rPr>
        <w:t>喀什市科学技术局</w:t>
      </w:r>
    </w:p>
    <w:p w14:paraId="3649C5CA">
      <w:pPr>
        <w:spacing w:line="560" w:lineRule="exact"/>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rPr>
        <w:t>联系方式：</w:t>
      </w:r>
      <w:r>
        <w:rPr>
          <w:rFonts w:hint="eastAsia" w:ascii="仿宋" w:hAnsi="仿宋" w:eastAsia="仿宋"/>
          <w:color w:val="000000"/>
          <w:sz w:val="28"/>
          <w:szCs w:val="28"/>
          <w:lang w:eastAsia="zh-CN"/>
        </w:rPr>
        <w:t>李沐霏 17709980018</w:t>
      </w:r>
    </w:p>
    <w:p w14:paraId="77A5E121">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rPr>
        <w:t>2.</w:t>
      </w:r>
      <w:r>
        <w:rPr>
          <w:rFonts w:hint="eastAsia" w:ascii="仿宋" w:hAnsi="仿宋" w:eastAsia="仿宋"/>
          <w:color w:val="000000"/>
          <w:sz w:val="28"/>
          <w:szCs w:val="28"/>
          <w:lang w:eastAsia="zh-CN"/>
        </w:rPr>
        <w:t>集采</w:t>
      </w:r>
      <w:r>
        <w:rPr>
          <w:rFonts w:hint="eastAsia" w:ascii="仿宋" w:hAnsi="仿宋" w:eastAsia="仿宋"/>
          <w:color w:val="000000"/>
          <w:sz w:val="28"/>
          <w:szCs w:val="28"/>
        </w:rPr>
        <w:t>机构信息</w:t>
      </w:r>
    </w:p>
    <w:p w14:paraId="48A34967">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喀什市招投标中心</w:t>
      </w:r>
    </w:p>
    <w:p w14:paraId="75966451">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　址：</w:t>
      </w:r>
      <w:r>
        <w:rPr>
          <w:rFonts w:hint="eastAsia" w:ascii="仿宋" w:hAnsi="仿宋" w:eastAsia="仿宋"/>
          <w:color w:val="000000"/>
          <w:sz w:val="28"/>
          <w:szCs w:val="28"/>
          <w:lang w:eastAsia="zh-CN"/>
        </w:rPr>
        <w:t>喀什市政务服务中心4楼</w:t>
      </w:r>
    </w:p>
    <w:p w14:paraId="118A4406">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联系方式：0998-2319965　</w:t>
      </w:r>
    </w:p>
    <w:p w14:paraId="7EB042BE">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w:t>
      </w:r>
      <w:r>
        <w:rPr>
          <w:rFonts w:hint="eastAsia" w:ascii="仿宋" w:hAnsi="仿宋" w:eastAsia="仿宋"/>
          <w:color w:val="000000"/>
          <w:sz w:val="28"/>
          <w:szCs w:val="28"/>
          <w:lang w:eastAsia="zh-CN"/>
        </w:rPr>
        <w:t>财政监管</w:t>
      </w:r>
      <w:r>
        <w:rPr>
          <w:rFonts w:hint="eastAsia" w:ascii="仿宋" w:hAnsi="仿宋" w:eastAsia="仿宋"/>
          <w:color w:val="000000"/>
          <w:sz w:val="28"/>
          <w:szCs w:val="28"/>
        </w:rPr>
        <w:t>信息</w:t>
      </w:r>
    </w:p>
    <w:p w14:paraId="0354ED53">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喀什市财政局政府采购管理办公室</w:t>
      </w:r>
    </w:p>
    <w:p w14:paraId="1C6E72AA">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　址：</w:t>
      </w:r>
      <w:r>
        <w:rPr>
          <w:rFonts w:hint="eastAsia" w:ascii="仿宋" w:hAnsi="仿宋" w:eastAsia="仿宋"/>
          <w:color w:val="000000"/>
          <w:sz w:val="28"/>
          <w:szCs w:val="28"/>
          <w:lang w:eastAsia="zh-CN"/>
        </w:rPr>
        <w:t>喀什市政务服务中心</w:t>
      </w: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楼</w:t>
      </w:r>
    </w:p>
    <w:p w14:paraId="5F401F3B">
      <w:pPr>
        <w:numPr>
          <w:ilvl w:val="0"/>
          <w:numId w:val="0"/>
        </w:num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rPr>
        <w:t>联系方式：0998-</w:t>
      </w:r>
      <w:r>
        <w:rPr>
          <w:rFonts w:hint="eastAsia" w:ascii="仿宋" w:hAnsi="仿宋" w:eastAsia="仿宋"/>
          <w:color w:val="000000"/>
          <w:sz w:val="28"/>
          <w:szCs w:val="28"/>
          <w:lang w:val="en-US" w:eastAsia="zh-CN"/>
        </w:rPr>
        <w:t>2839905</w:t>
      </w:r>
    </w:p>
    <w:p w14:paraId="46E633A8">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.项目经办人联系方式</w:t>
      </w:r>
    </w:p>
    <w:p w14:paraId="7710C0C9">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李沐霏 17709980018</w:t>
      </w:r>
    </w:p>
    <w:p w14:paraId="644815AE">
      <w:pPr>
        <w:spacing w:line="560" w:lineRule="exact"/>
        <w:ind w:firstLine="560" w:firstLineChars="200"/>
        <w:outlineLvl w:val="2"/>
        <w:rPr>
          <w:rFonts w:hint="eastAsia" w:ascii="仿宋" w:hAnsi="仿宋" w:eastAsia="仿宋"/>
          <w:color w:val="000000"/>
          <w:sz w:val="28"/>
          <w:szCs w:val="28"/>
          <w:lang w:eastAsia="zh-CN"/>
        </w:rPr>
      </w:pP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w:t>
      </w:r>
      <w:r>
        <w:rPr>
          <w:rFonts w:hint="eastAsia" w:ascii="仿宋" w:hAnsi="仿宋" w:eastAsia="仿宋"/>
          <w:color w:val="000000"/>
          <w:sz w:val="28"/>
          <w:szCs w:val="28"/>
          <w:lang w:eastAsia="zh-CN"/>
        </w:rPr>
        <w:t>质疑咨询路径</w:t>
      </w:r>
    </w:p>
    <w:p w14:paraId="17632E15">
      <w:pPr>
        <w:ind w:firstLine="482" w:firstLineChars="200"/>
        <w:rPr>
          <w:rFonts w:ascii="宋体" w:hAnsi="宋体" w:eastAsia="宋体"/>
          <w:b/>
          <w:bCs/>
          <w:szCs w:val="21"/>
        </w:rPr>
      </w:pPr>
      <w:r>
        <w:rPr>
          <w:rFonts w:hint="eastAsia" w:ascii="宋体" w:hAnsi="宋体" w:eastAsia="宋体"/>
          <w:b/>
          <w:bCs/>
          <w:szCs w:val="21"/>
        </w:rPr>
        <w:t>地址：</w:t>
      </w:r>
      <w:r>
        <w:rPr>
          <w:rFonts w:hint="eastAsia" w:ascii="宋体" w:hAnsi="宋体" w:eastAsia="宋体"/>
          <w:b/>
          <w:bCs/>
          <w:szCs w:val="21"/>
          <w:lang w:eastAsia="zh-CN"/>
        </w:rPr>
        <w:t>喀什市科学技术局</w:t>
      </w:r>
      <w:r>
        <w:rPr>
          <w:rFonts w:hint="eastAsia" w:ascii="宋体" w:hAnsi="宋体" w:eastAsia="宋体"/>
          <w:b/>
          <w:bCs/>
          <w:szCs w:val="21"/>
        </w:rPr>
        <w:t>，质疑咨询电话：</w:t>
      </w:r>
      <w:r>
        <w:rPr>
          <w:rFonts w:hint="eastAsia" w:ascii="宋体" w:hAnsi="宋体" w:eastAsia="宋体"/>
          <w:b/>
          <w:bCs/>
          <w:szCs w:val="21"/>
          <w:lang w:eastAsia="zh-CN"/>
        </w:rPr>
        <w:t>李沐霏</w:t>
      </w:r>
      <w:r>
        <w:rPr>
          <w:rFonts w:hint="eastAsia" w:ascii="宋体" w:hAnsi="宋体" w:eastAsia="宋体"/>
          <w:b/>
          <w:bCs/>
          <w:szCs w:val="21"/>
        </w:rPr>
        <w:t>，</w:t>
      </w:r>
      <w:r>
        <w:rPr>
          <w:rFonts w:hint="eastAsia" w:ascii="宋体" w:hAnsi="宋体" w:eastAsia="宋体"/>
          <w:b/>
          <w:bCs/>
          <w:szCs w:val="21"/>
          <w:lang w:eastAsia="zh-CN"/>
        </w:rPr>
        <w:t>17709980018</w:t>
      </w:r>
      <w:r>
        <w:rPr>
          <w:rFonts w:hint="eastAsia" w:ascii="宋体" w:hAnsi="宋体" w:eastAsia="宋体"/>
          <w:b/>
          <w:bCs/>
          <w:szCs w:val="21"/>
        </w:rPr>
        <w:t>。质疑书的递交应当采取</w:t>
      </w:r>
      <w:r>
        <w:rPr>
          <w:rFonts w:hint="eastAsia" w:ascii="宋体" w:hAnsi="宋体" w:eastAsia="宋体"/>
          <w:b/>
          <w:bCs/>
          <w:color w:val="FF0000"/>
          <w:szCs w:val="21"/>
        </w:rPr>
        <w:t>当面递交</w:t>
      </w:r>
      <w:r>
        <w:rPr>
          <w:rFonts w:hint="eastAsia" w:ascii="宋体" w:hAnsi="宋体" w:eastAsia="宋体"/>
          <w:b/>
          <w:bCs/>
          <w:szCs w:val="21"/>
        </w:rPr>
        <w:t>的形式，如确需邮寄质疑书的，需于邮寄发起的前一日电联</w:t>
      </w:r>
      <w:r>
        <w:rPr>
          <w:rFonts w:hint="eastAsia" w:ascii="宋体" w:hAnsi="宋体" w:eastAsia="宋体"/>
          <w:b/>
          <w:bCs/>
          <w:szCs w:val="21"/>
          <w:lang w:eastAsia="zh-CN"/>
        </w:rPr>
        <w:t>喀什市科学技术局</w:t>
      </w:r>
      <w:r>
        <w:rPr>
          <w:rFonts w:hint="eastAsia" w:ascii="宋体" w:hAnsi="宋体" w:eastAsia="宋体"/>
          <w:b/>
          <w:bCs/>
          <w:szCs w:val="21"/>
        </w:rPr>
        <w:t>，未提前电联</w:t>
      </w:r>
      <w:r>
        <w:rPr>
          <w:rFonts w:hint="eastAsia" w:ascii="宋体" w:hAnsi="宋体" w:eastAsia="宋体"/>
          <w:b/>
          <w:bCs/>
          <w:szCs w:val="21"/>
          <w:lang w:eastAsia="zh-CN"/>
        </w:rPr>
        <w:t>喀什市科学技术局</w:t>
      </w:r>
      <w:r>
        <w:rPr>
          <w:rFonts w:hint="eastAsia" w:ascii="宋体" w:hAnsi="宋体" w:eastAsia="宋体"/>
          <w:b/>
          <w:bCs/>
          <w:color w:val="FF0000"/>
          <w:szCs w:val="21"/>
        </w:rPr>
        <w:t>约定质疑函到达日期</w:t>
      </w:r>
      <w:r>
        <w:rPr>
          <w:rFonts w:hint="eastAsia" w:ascii="宋体" w:hAnsi="宋体" w:eastAsia="宋体"/>
          <w:b/>
          <w:bCs/>
          <w:szCs w:val="21"/>
        </w:rPr>
        <w:t>及</w:t>
      </w:r>
      <w:r>
        <w:rPr>
          <w:rFonts w:hint="eastAsia" w:ascii="宋体" w:hAnsi="宋体" w:eastAsia="宋体"/>
          <w:b/>
          <w:bCs/>
          <w:color w:val="FF0000"/>
          <w:szCs w:val="21"/>
        </w:rPr>
        <w:t>质疑函接收人</w:t>
      </w:r>
      <w:r>
        <w:rPr>
          <w:rFonts w:hint="eastAsia" w:ascii="宋体" w:hAnsi="宋体" w:eastAsia="宋体"/>
          <w:b/>
          <w:bCs/>
          <w:szCs w:val="21"/>
        </w:rPr>
        <w:t>的，视同为</w:t>
      </w:r>
      <w:r>
        <w:rPr>
          <w:rFonts w:hint="eastAsia" w:ascii="宋体" w:hAnsi="宋体" w:eastAsia="宋体"/>
          <w:b/>
          <w:bCs/>
          <w:color w:val="FF0000"/>
          <w:szCs w:val="21"/>
        </w:rPr>
        <w:t>不明快递信笺</w:t>
      </w:r>
      <w:r>
        <w:rPr>
          <w:rFonts w:hint="eastAsia" w:ascii="宋体" w:hAnsi="宋体" w:eastAsia="宋体"/>
          <w:b/>
          <w:bCs/>
          <w:szCs w:val="21"/>
        </w:rPr>
        <w:t>，不予接收。</w:t>
      </w:r>
    </w:p>
    <w:p w14:paraId="0AA9C947">
      <w:pPr>
        <w:spacing w:line="560" w:lineRule="exact"/>
        <w:ind w:firstLine="560" w:firstLineChars="200"/>
        <w:rPr>
          <w:rFonts w:hint="eastAsia" w:ascii="仿宋" w:hAnsi="仿宋" w:eastAsia="仿宋"/>
          <w:color w:val="000000"/>
          <w:sz w:val="28"/>
          <w:szCs w:val="28"/>
          <w:lang w:val="en-US" w:eastAsia="zh-CN"/>
        </w:rPr>
      </w:pPr>
    </w:p>
    <w:p w14:paraId="3389CBF5">
      <w:pPr>
        <w:spacing w:line="560" w:lineRule="exact"/>
        <w:ind w:firstLine="560" w:firstLineChars="200"/>
        <w:rPr>
          <w:rFonts w:hint="eastAsia" w:ascii="仿宋" w:hAnsi="仿宋" w:eastAsia="仿宋"/>
          <w:color w:val="000000"/>
          <w:sz w:val="28"/>
          <w:szCs w:val="28"/>
        </w:rPr>
      </w:pPr>
    </w:p>
    <w:p w14:paraId="6A460706">
      <w:pPr>
        <w:pStyle w:val="15"/>
        <w:spacing w:after="0" w:line="560" w:lineRule="exact"/>
        <w:rPr>
          <w:rFonts w:hint="eastAsia" w:ascii="仿宋" w:hAnsi="仿宋" w:eastAsia="仿宋"/>
          <w:color w:val="000000"/>
          <w:sz w:val="28"/>
          <w:szCs w:val="28"/>
        </w:rPr>
      </w:pPr>
    </w:p>
    <w:p w14:paraId="05458EA1">
      <w:pPr>
        <w:rPr>
          <w:rFonts w:ascii="Arial" w:hAnsi="Arial" w:eastAsia="宋体"/>
          <w:b/>
          <w:color w:val="FF0000"/>
          <w:sz w:val="32"/>
          <w:szCs w:val="32"/>
        </w:rPr>
      </w:pPr>
      <w:r>
        <w:br w:type="page"/>
      </w:r>
    </w:p>
    <w:p w14:paraId="151ADA0A">
      <w:pPr>
        <w:keepNext/>
        <w:keepLines/>
        <w:spacing w:before="260" w:after="260" w:line="416" w:lineRule="auto"/>
        <w:jc w:val="center"/>
        <w:outlineLvl w:val="1"/>
        <w:rPr>
          <w:rFonts w:ascii="宋体" w:hAnsi="宋体" w:eastAsia="宋体"/>
          <w:b/>
          <w:bCs/>
          <w:sz w:val="28"/>
          <w:szCs w:val="28"/>
        </w:rPr>
      </w:pPr>
      <w:r>
        <w:rPr>
          <w:rFonts w:hint="eastAsia" w:ascii="宋体" w:hAnsi="宋体" w:eastAsia="宋体"/>
          <w:b/>
          <w:bCs/>
          <w:sz w:val="28"/>
          <w:szCs w:val="28"/>
        </w:rPr>
        <w:t xml:space="preserve">第二章 </w:t>
      </w:r>
      <w:bookmarkStart w:id="1" w:name="_Hlk71926094"/>
      <w:r>
        <w:rPr>
          <w:rFonts w:hint="eastAsia" w:ascii="宋体" w:hAnsi="宋体" w:eastAsia="宋体"/>
          <w:b/>
          <w:bCs/>
          <w:sz w:val="28"/>
          <w:szCs w:val="28"/>
        </w:rPr>
        <w:t>对通用条款的补充内容及其他关键信息</w:t>
      </w:r>
      <w:bookmarkEnd w:id="1"/>
    </w:p>
    <w:p w14:paraId="0F9D9E7D">
      <w:pPr>
        <w:keepNext/>
        <w:keepLines/>
        <w:adjustRightInd w:val="0"/>
        <w:spacing w:before="120" w:beforeLines="50" w:after="120" w:afterLines="50"/>
        <w:jc w:val="center"/>
        <w:textAlignment w:val="baseline"/>
        <w:outlineLvl w:val="2"/>
        <w:rPr>
          <w:rFonts w:ascii="宋体" w:hAnsi="宋体" w:eastAsia="宋体"/>
          <w:b/>
          <w:bCs/>
        </w:rPr>
      </w:pPr>
      <w:bookmarkStart w:id="2" w:name="_Toc73517639"/>
      <w:bookmarkStart w:id="3" w:name="_Toc60560625"/>
      <w:bookmarkStart w:id="4" w:name="_Toc100052364"/>
      <w:bookmarkStart w:id="5" w:name="_Toc101074876"/>
      <w:bookmarkStart w:id="6" w:name="_Toc73521635"/>
      <w:bookmarkStart w:id="7" w:name="_Toc73518117"/>
      <w:bookmarkStart w:id="8" w:name="_Toc73521547"/>
      <w:bookmarkStart w:id="9" w:name="_Toc60631620"/>
      <w:r>
        <w:rPr>
          <w:rFonts w:hint="eastAsia" w:ascii="宋体" w:hAnsi="宋体" w:eastAsia="宋体"/>
          <w:b/>
          <w:bCs/>
        </w:rPr>
        <w:t>一、对通用条款的补充内容</w:t>
      </w:r>
      <w:bookmarkEnd w:id="2"/>
      <w:bookmarkEnd w:id="3"/>
      <w:bookmarkEnd w:id="4"/>
      <w:bookmarkEnd w:id="5"/>
      <w:bookmarkEnd w:id="6"/>
      <w:bookmarkEnd w:id="7"/>
      <w:bookmarkEnd w:id="8"/>
      <w:bookmarkEnd w:id="9"/>
    </w:p>
    <w:tbl>
      <w:tblPr>
        <w:tblStyle w:val="19"/>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276"/>
        <w:gridCol w:w="7424"/>
      </w:tblGrid>
      <w:tr w14:paraId="4D4F0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23536F1B">
            <w:pPr>
              <w:snapToGrid w:val="0"/>
              <w:jc w:val="center"/>
              <w:rPr>
                <w:rFonts w:ascii="宋体" w:hAnsi="宋体" w:eastAsia="宋体" w:cs="Arial"/>
                <w:b/>
                <w:szCs w:val="21"/>
              </w:rPr>
            </w:pPr>
            <w:r>
              <w:br w:type="page"/>
            </w:r>
            <w:r>
              <w:rPr>
                <w:rFonts w:hint="eastAsia" w:ascii="宋体" w:hAnsi="宋体" w:eastAsia="宋体" w:cs="Arial"/>
                <w:b/>
                <w:szCs w:val="21"/>
              </w:rPr>
              <w:t>通用条款序号</w:t>
            </w:r>
          </w:p>
        </w:tc>
        <w:tc>
          <w:tcPr>
            <w:tcW w:w="1276" w:type="dxa"/>
            <w:vAlign w:val="center"/>
          </w:tcPr>
          <w:p w14:paraId="53866529">
            <w:pPr>
              <w:snapToGrid w:val="0"/>
              <w:jc w:val="center"/>
              <w:rPr>
                <w:rFonts w:ascii="宋体" w:hAnsi="宋体" w:eastAsia="宋体" w:cs="Arial"/>
                <w:b/>
                <w:szCs w:val="21"/>
              </w:rPr>
            </w:pPr>
            <w:r>
              <w:br w:type="page"/>
            </w:r>
            <w:r>
              <w:rPr>
                <w:rFonts w:hint="eastAsia" w:ascii="宋体" w:hAnsi="宋体" w:eastAsia="宋体" w:cs="Arial"/>
                <w:b/>
                <w:szCs w:val="21"/>
              </w:rPr>
              <w:t>涉及事项</w:t>
            </w:r>
          </w:p>
        </w:tc>
        <w:tc>
          <w:tcPr>
            <w:tcW w:w="7424" w:type="dxa"/>
            <w:vAlign w:val="center"/>
          </w:tcPr>
          <w:p w14:paraId="51D02139">
            <w:pPr>
              <w:snapToGrid w:val="0"/>
              <w:jc w:val="center"/>
              <w:rPr>
                <w:rFonts w:ascii="宋体" w:hAnsi="宋体" w:eastAsia="宋体" w:cs="Arial"/>
                <w:b/>
                <w:szCs w:val="21"/>
              </w:rPr>
            </w:pPr>
            <w:r>
              <w:rPr>
                <w:rFonts w:hint="eastAsia" w:ascii="宋体" w:hAnsi="宋体" w:eastAsia="宋体" w:cs="Arial"/>
                <w:b/>
                <w:szCs w:val="21"/>
              </w:rPr>
              <w:t>具体补充内容</w:t>
            </w:r>
          </w:p>
        </w:tc>
      </w:tr>
      <w:tr w14:paraId="29209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45D243E4">
            <w:pPr>
              <w:snapToGrid w:val="0"/>
              <w:jc w:val="center"/>
              <w:rPr>
                <w:rFonts w:ascii="宋体" w:hAnsi="宋体" w:eastAsia="宋体" w:cs="Arial"/>
                <w:szCs w:val="21"/>
              </w:rPr>
            </w:pPr>
            <w:r>
              <w:rPr>
                <w:rFonts w:hint="eastAsia" w:ascii="宋体" w:hAnsi="宋体" w:eastAsia="宋体" w:cs="Arial"/>
                <w:szCs w:val="21"/>
              </w:rPr>
              <w:t>3.1</w:t>
            </w:r>
          </w:p>
        </w:tc>
        <w:tc>
          <w:tcPr>
            <w:tcW w:w="1276" w:type="dxa"/>
            <w:vAlign w:val="center"/>
          </w:tcPr>
          <w:p w14:paraId="19B47D9C">
            <w:pPr>
              <w:snapToGrid w:val="0"/>
              <w:jc w:val="center"/>
              <w:rPr>
                <w:rFonts w:ascii="宋体" w:hAnsi="宋体" w:eastAsia="宋体" w:cs="Arial"/>
                <w:szCs w:val="21"/>
              </w:rPr>
            </w:pPr>
            <w:r>
              <w:rPr>
                <w:rFonts w:hint="eastAsia" w:ascii="宋体" w:hAnsi="宋体" w:eastAsia="宋体" w:cs="Arial"/>
                <w:szCs w:val="21"/>
              </w:rPr>
              <w:t>采购人</w:t>
            </w:r>
          </w:p>
        </w:tc>
        <w:tc>
          <w:tcPr>
            <w:tcW w:w="7424" w:type="dxa"/>
          </w:tcPr>
          <w:p w14:paraId="6DB22B24">
            <w:pPr>
              <w:snapToGrid w:val="0"/>
              <w:rPr>
                <w:rFonts w:hint="eastAsia" w:ascii="宋体" w:hAnsi="宋体" w:eastAsia="宋体" w:cs="Arial"/>
                <w:szCs w:val="21"/>
                <w:lang w:eastAsia="zh-CN"/>
              </w:rPr>
            </w:pPr>
            <w:r>
              <w:rPr>
                <w:rFonts w:hint="eastAsia" w:ascii="宋体" w:hAnsi="宋体" w:eastAsia="宋体" w:cs="Arial"/>
                <w:szCs w:val="21"/>
              </w:rPr>
              <w:t>采购人：</w:t>
            </w:r>
            <w:r>
              <w:rPr>
                <w:rFonts w:hint="eastAsia" w:ascii="宋体" w:hAnsi="宋体" w:eastAsia="宋体" w:cs="Arial"/>
                <w:b/>
                <w:szCs w:val="21"/>
                <w:lang w:eastAsia="zh-CN"/>
              </w:rPr>
              <w:t>喀什市科学技术局</w:t>
            </w:r>
          </w:p>
        </w:tc>
      </w:tr>
      <w:tr w14:paraId="304AC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91" w:type="dxa"/>
            <w:vAlign w:val="center"/>
          </w:tcPr>
          <w:p w14:paraId="39A4AE83">
            <w:pPr>
              <w:snapToGrid w:val="0"/>
              <w:jc w:val="center"/>
              <w:rPr>
                <w:rFonts w:ascii="宋体" w:hAnsi="宋体" w:eastAsia="宋体" w:cs="Arial"/>
                <w:szCs w:val="21"/>
              </w:rPr>
            </w:pPr>
            <w:r>
              <w:rPr>
                <w:rFonts w:hint="eastAsia" w:ascii="宋体" w:hAnsi="宋体" w:eastAsia="宋体" w:cs="Arial"/>
                <w:szCs w:val="21"/>
              </w:rPr>
              <w:t>3.2</w:t>
            </w:r>
          </w:p>
        </w:tc>
        <w:tc>
          <w:tcPr>
            <w:tcW w:w="1276" w:type="dxa"/>
            <w:vAlign w:val="center"/>
          </w:tcPr>
          <w:p w14:paraId="511201C1">
            <w:pPr>
              <w:snapToGrid w:val="0"/>
              <w:jc w:val="center"/>
              <w:rPr>
                <w:rFonts w:ascii="宋体" w:hAnsi="宋体" w:eastAsia="宋体" w:cs="Arial"/>
                <w:szCs w:val="21"/>
              </w:rPr>
            </w:pPr>
            <w:r>
              <w:rPr>
                <w:rFonts w:hint="eastAsia" w:ascii="宋体" w:hAnsi="宋体" w:eastAsia="宋体" w:cs="Arial"/>
                <w:szCs w:val="21"/>
              </w:rPr>
              <w:t>政府集中采购机构</w:t>
            </w:r>
          </w:p>
        </w:tc>
        <w:tc>
          <w:tcPr>
            <w:tcW w:w="7424" w:type="dxa"/>
            <w:vAlign w:val="center"/>
          </w:tcPr>
          <w:p w14:paraId="2519C616">
            <w:pPr>
              <w:snapToGrid w:val="0"/>
              <w:jc w:val="both"/>
              <w:rPr>
                <w:rFonts w:ascii="Arial" w:hAnsi="Arial" w:eastAsia="宋体"/>
                <w:bCs/>
              </w:rPr>
            </w:pPr>
            <w:r>
              <w:rPr>
                <w:rFonts w:hint="eastAsia" w:ascii="宋体" w:hAnsi="宋体" w:eastAsia="宋体" w:cs="Arial"/>
                <w:szCs w:val="21"/>
              </w:rPr>
              <w:t>本文件所述的“政府集中采购机构”</w:t>
            </w:r>
            <w:r>
              <w:rPr>
                <w:rFonts w:ascii="宋体" w:hAnsi="宋体" w:eastAsia="宋体" w:cs="Arial"/>
                <w:szCs w:val="21"/>
              </w:rPr>
              <w:t>指</w:t>
            </w:r>
            <w:r>
              <w:rPr>
                <w:rFonts w:hint="eastAsia" w:ascii="宋体" w:hAnsi="宋体" w:eastAsia="宋体" w:cs="Arial"/>
                <w:b/>
                <w:bCs/>
                <w:szCs w:val="21"/>
                <w:lang w:eastAsia="zh-CN"/>
              </w:rPr>
              <w:t>喀什市招投标中心</w:t>
            </w:r>
            <w:r>
              <w:rPr>
                <w:rFonts w:hint="eastAsia" w:ascii="Arial" w:hAnsi="Arial" w:eastAsia="宋体"/>
              </w:rPr>
              <w:t>。</w:t>
            </w:r>
          </w:p>
        </w:tc>
      </w:tr>
      <w:tr w14:paraId="0DCFC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58FCA792">
            <w:pPr>
              <w:snapToGrid w:val="0"/>
              <w:jc w:val="center"/>
              <w:rPr>
                <w:rFonts w:ascii="宋体" w:hAnsi="宋体" w:eastAsia="宋体" w:cs="Arial"/>
                <w:szCs w:val="21"/>
              </w:rPr>
            </w:pPr>
            <w:r>
              <w:rPr>
                <w:rFonts w:hint="eastAsia" w:ascii="宋体" w:hAnsi="宋体" w:eastAsia="宋体" w:cs="Arial"/>
                <w:szCs w:val="21"/>
              </w:rPr>
              <w:t>12/13</w:t>
            </w:r>
          </w:p>
        </w:tc>
        <w:tc>
          <w:tcPr>
            <w:tcW w:w="1276" w:type="dxa"/>
            <w:vAlign w:val="center"/>
          </w:tcPr>
          <w:p w14:paraId="3ECA071C">
            <w:pPr>
              <w:snapToGrid w:val="0"/>
              <w:jc w:val="center"/>
              <w:rPr>
                <w:rFonts w:ascii="宋体" w:hAnsi="宋体" w:eastAsia="宋体" w:cs="Arial"/>
                <w:szCs w:val="21"/>
              </w:rPr>
            </w:pPr>
            <w:r>
              <w:rPr>
                <w:rFonts w:hint="eastAsia" w:ascii="宋体" w:hAnsi="宋体" w:eastAsia="宋体" w:cs="Arial"/>
                <w:szCs w:val="21"/>
              </w:rPr>
              <w:t>招标文件澄清和修改</w:t>
            </w:r>
          </w:p>
        </w:tc>
        <w:tc>
          <w:tcPr>
            <w:tcW w:w="7424" w:type="dxa"/>
          </w:tcPr>
          <w:p w14:paraId="32FEC059">
            <w:pPr>
              <w:snapToGrid w:val="0"/>
              <w:rPr>
                <w:rFonts w:ascii="宋体" w:hAnsi="宋体" w:eastAsia="宋体" w:cs="Arial"/>
                <w:szCs w:val="21"/>
              </w:rPr>
            </w:pPr>
            <w:r>
              <w:rPr>
                <w:rFonts w:hint="eastAsia" w:ascii="宋体" w:hAnsi="宋体" w:eastAsia="宋体" w:cs="Arial"/>
                <w:szCs w:val="21"/>
              </w:rPr>
              <w:t xml:space="preserve">    对招标文件澄清/修改时间不晚于投标截止日前，投标人有义务在招标期间在</w:t>
            </w:r>
            <w:r>
              <w:rPr>
                <w:rFonts w:hint="eastAsia" w:ascii="宋体" w:hAnsi="宋体" w:eastAsia="宋体" w:cs="Arial"/>
                <w:szCs w:val="21"/>
                <w:lang w:eastAsia="zh-CN"/>
              </w:rPr>
              <w:t>新疆政府采购网或政府采购云平台</w:t>
            </w:r>
            <w:r>
              <w:rPr>
                <w:rFonts w:hint="eastAsia" w:ascii="宋体" w:hAnsi="宋体" w:eastAsia="宋体" w:cs="Arial"/>
                <w:szCs w:val="21"/>
              </w:rPr>
              <w:t>浏览与本项目有关的澄清和修改信息</w:t>
            </w:r>
          </w:p>
        </w:tc>
      </w:tr>
      <w:tr w14:paraId="61A2C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5D0A162C">
            <w:pPr>
              <w:snapToGrid w:val="0"/>
              <w:jc w:val="center"/>
              <w:rPr>
                <w:rFonts w:ascii="宋体" w:hAnsi="宋体" w:eastAsia="宋体" w:cs="Arial"/>
                <w:szCs w:val="21"/>
              </w:rPr>
            </w:pPr>
            <w:r>
              <w:rPr>
                <w:rFonts w:hint="eastAsia" w:ascii="宋体" w:hAnsi="宋体" w:eastAsia="宋体" w:cs="Arial"/>
                <w:szCs w:val="21"/>
              </w:rPr>
              <w:t>20</w:t>
            </w:r>
          </w:p>
        </w:tc>
        <w:tc>
          <w:tcPr>
            <w:tcW w:w="1276" w:type="dxa"/>
            <w:vAlign w:val="center"/>
          </w:tcPr>
          <w:p w14:paraId="5045C97B">
            <w:pPr>
              <w:snapToGrid w:val="0"/>
              <w:jc w:val="center"/>
              <w:rPr>
                <w:rFonts w:ascii="宋体" w:hAnsi="宋体" w:eastAsia="宋体" w:cs="Arial"/>
                <w:szCs w:val="21"/>
              </w:rPr>
            </w:pPr>
            <w:r>
              <w:rPr>
                <w:rFonts w:hint="eastAsia" w:ascii="宋体" w:hAnsi="宋体" w:eastAsia="宋体" w:cs="Arial"/>
                <w:szCs w:val="21"/>
              </w:rPr>
              <w:t>投标有效期</w:t>
            </w:r>
          </w:p>
        </w:tc>
        <w:tc>
          <w:tcPr>
            <w:tcW w:w="7424" w:type="dxa"/>
          </w:tcPr>
          <w:p w14:paraId="2A5BBAB8">
            <w:pPr>
              <w:snapToGrid w:val="0"/>
              <w:rPr>
                <w:rFonts w:ascii="宋体" w:hAnsi="宋体" w:eastAsia="宋体" w:cs="Arial"/>
                <w:szCs w:val="21"/>
              </w:rPr>
            </w:pPr>
            <w:r>
              <w:rPr>
                <w:rFonts w:hint="eastAsia" w:ascii="宋体" w:hAnsi="宋体" w:eastAsia="宋体" w:cs="Arial"/>
                <w:szCs w:val="21"/>
              </w:rPr>
              <w:t>投标有效期：从投标截止之日起</w:t>
            </w:r>
            <w:r>
              <w:rPr>
                <w:rFonts w:hint="eastAsia" w:ascii="宋体" w:hAnsi="宋体" w:eastAsia="宋体"/>
                <w:b/>
                <w:color w:val="0000FF"/>
                <w:u w:val="single"/>
              </w:rPr>
              <w:t xml:space="preserve"> </w:t>
            </w:r>
            <w:r>
              <w:rPr>
                <w:rFonts w:hint="eastAsia" w:ascii="宋体" w:hAnsi="宋体" w:eastAsia="宋体"/>
                <w:b/>
                <w:color w:val="0000FF"/>
                <w:u w:val="single"/>
                <w:lang w:val="en-US" w:eastAsia="zh-CN"/>
              </w:rPr>
              <w:t>90</w:t>
            </w:r>
            <w:r>
              <w:rPr>
                <w:rFonts w:hint="eastAsia" w:ascii="宋体" w:hAnsi="宋体" w:eastAsia="宋体"/>
                <w:b/>
                <w:color w:val="0000FF"/>
                <w:u w:val="single"/>
              </w:rPr>
              <w:t xml:space="preserve"> </w:t>
            </w:r>
            <w:r>
              <w:rPr>
                <w:rFonts w:hint="eastAsia" w:ascii="宋体" w:hAnsi="宋体" w:eastAsia="宋体" w:cs="Arial"/>
                <w:szCs w:val="21"/>
              </w:rPr>
              <w:t>个日历日。</w:t>
            </w:r>
          </w:p>
        </w:tc>
      </w:tr>
      <w:tr w14:paraId="3333E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3B88DC49">
            <w:pPr>
              <w:snapToGrid w:val="0"/>
              <w:jc w:val="center"/>
              <w:rPr>
                <w:rFonts w:ascii="宋体" w:hAnsi="宋体" w:eastAsia="宋体" w:cs="Arial"/>
                <w:szCs w:val="21"/>
              </w:rPr>
            </w:pPr>
            <w:r>
              <w:rPr>
                <w:rFonts w:hint="eastAsia" w:ascii="宋体" w:hAnsi="宋体" w:eastAsia="宋体" w:cs="Arial"/>
                <w:szCs w:val="21"/>
              </w:rPr>
              <w:t>33</w:t>
            </w:r>
          </w:p>
        </w:tc>
        <w:tc>
          <w:tcPr>
            <w:tcW w:w="1276" w:type="dxa"/>
            <w:vAlign w:val="center"/>
          </w:tcPr>
          <w:p w14:paraId="46D2AF81">
            <w:pPr>
              <w:snapToGrid w:val="0"/>
              <w:jc w:val="center"/>
              <w:rPr>
                <w:rFonts w:ascii="宋体" w:hAnsi="宋体" w:eastAsia="宋体" w:cs="Arial"/>
                <w:szCs w:val="21"/>
              </w:rPr>
            </w:pPr>
            <w:r>
              <w:rPr>
                <w:rFonts w:hint="eastAsia" w:ascii="宋体" w:hAnsi="宋体" w:eastAsia="宋体" w:cs="Arial"/>
                <w:szCs w:val="21"/>
              </w:rPr>
              <w:t>澄清有关问题</w:t>
            </w:r>
          </w:p>
        </w:tc>
        <w:tc>
          <w:tcPr>
            <w:tcW w:w="7424" w:type="dxa"/>
          </w:tcPr>
          <w:p w14:paraId="4A75EE59">
            <w:pPr>
              <w:snapToGrid w:val="0"/>
              <w:ind w:firstLine="480" w:firstLineChars="200"/>
              <w:rPr>
                <w:rFonts w:ascii="宋体" w:hAnsi="宋体" w:eastAsia="宋体" w:cs="Arial"/>
                <w:b/>
                <w:color w:val="FF0000"/>
                <w:sz w:val="28"/>
                <w:szCs w:val="28"/>
              </w:rPr>
            </w:pPr>
            <w:r>
              <w:rPr>
                <w:rFonts w:hint="eastAsia" w:ascii="宋体" w:hAnsi="宋体"/>
                <w:bCs/>
                <w:szCs w:val="21"/>
              </w:rPr>
              <w:t>如需投标人进行必要的澄清、说明或者补正的，但投标法定代表人或其授权的代表无法联络或联络不上或在评审现场合理的时间内未按要求答复</w:t>
            </w:r>
            <w:r>
              <w:rPr>
                <w:rFonts w:hint="eastAsia" w:ascii="宋体" w:hAnsi="宋体" w:eastAsia="宋体"/>
                <w:bCs/>
                <w:szCs w:val="21"/>
                <w:lang w:eastAsia="zh-CN"/>
              </w:rPr>
              <w:t>或未按要求在政府采购云平台进行答复</w:t>
            </w:r>
            <w:r>
              <w:rPr>
                <w:rFonts w:hint="eastAsia" w:ascii="宋体" w:hAnsi="宋体"/>
                <w:bCs/>
                <w:szCs w:val="21"/>
              </w:rPr>
              <w:t>，评审委员会有权做出不利于投标人的判断，投标供应商自行承担由此产生的后果。</w:t>
            </w:r>
          </w:p>
        </w:tc>
      </w:tr>
      <w:tr w14:paraId="7C142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0C4FDB8A">
            <w:pPr>
              <w:snapToGrid w:val="0"/>
              <w:jc w:val="center"/>
              <w:rPr>
                <w:rFonts w:ascii="宋体" w:hAnsi="宋体" w:eastAsia="宋体" w:cs="Arial"/>
                <w:szCs w:val="21"/>
              </w:rPr>
            </w:pPr>
            <w:r>
              <w:rPr>
                <w:rFonts w:hint="eastAsia" w:ascii="宋体" w:hAnsi="宋体" w:eastAsia="宋体" w:cs="Arial"/>
                <w:szCs w:val="21"/>
              </w:rPr>
              <w:t>37/38</w:t>
            </w:r>
          </w:p>
        </w:tc>
        <w:tc>
          <w:tcPr>
            <w:tcW w:w="1276" w:type="dxa"/>
            <w:vAlign w:val="center"/>
          </w:tcPr>
          <w:p w14:paraId="20C22CC5">
            <w:pPr>
              <w:snapToGrid w:val="0"/>
              <w:jc w:val="center"/>
              <w:rPr>
                <w:rFonts w:ascii="宋体" w:hAnsi="宋体" w:eastAsia="宋体" w:cs="Arial"/>
                <w:szCs w:val="21"/>
              </w:rPr>
            </w:pPr>
            <w:r>
              <w:rPr>
                <w:rFonts w:hint="eastAsia" w:ascii="宋体" w:hAnsi="宋体" w:eastAsia="宋体" w:cs="Arial"/>
                <w:szCs w:val="21"/>
              </w:rPr>
              <w:t>评审方法和定标方法</w:t>
            </w:r>
          </w:p>
        </w:tc>
        <w:tc>
          <w:tcPr>
            <w:tcW w:w="7424" w:type="dxa"/>
          </w:tcPr>
          <w:p w14:paraId="402496F3">
            <w:pPr>
              <w:snapToGrid w:val="0"/>
              <w:rPr>
                <w:rFonts w:hint="eastAsia" w:ascii="宋体" w:hAnsi="宋体" w:eastAsia="宋体"/>
                <w:b/>
                <w:color w:val="FF0000"/>
                <w:szCs w:val="21"/>
              </w:rPr>
            </w:pPr>
            <w:r>
              <w:rPr>
                <w:rFonts w:hint="eastAsia" w:ascii="宋体" w:hAnsi="宋体" w:eastAsia="宋体"/>
                <w:b/>
                <w:color w:val="FF0000"/>
                <w:szCs w:val="21"/>
              </w:rPr>
              <w:t>本项目评审方法：</w:t>
            </w:r>
            <w:r>
              <w:rPr>
                <w:rFonts w:hint="eastAsia" w:ascii="宋体" w:hAnsi="宋体" w:eastAsia="宋体"/>
                <w:b/>
                <w:color w:val="0000FF"/>
                <w:szCs w:val="21"/>
              </w:rPr>
              <w:t>综合评分法</w:t>
            </w:r>
            <w:r>
              <w:rPr>
                <w:rFonts w:hint="eastAsia" w:ascii="宋体" w:hAnsi="宋体" w:eastAsia="宋体"/>
                <w:b/>
                <w:color w:val="FF0000"/>
                <w:szCs w:val="21"/>
              </w:rPr>
              <w:t xml:space="preserve">； </w:t>
            </w:r>
          </w:p>
          <w:p w14:paraId="781BEA41">
            <w:pPr>
              <w:snapToGrid w:val="0"/>
              <w:rPr>
                <w:rFonts w:ascii="Arial" w:hAnsi="Arial" w:eastAsia="宋体"/>
                <w:color w:val="0000FF"/>
                <w:szCs w:val="21"/>
              </w:rPr>
            </w:pPr>
            <w:r>
              <w:rPr>
                <w:rFonts w:hint="eastAsia" w:ascii="Arial" w:hAnsi="Arial" w:eastAsia="宋体"/>
                <w:color w:val="0000FF"/>
                <w:szCs w:val="21"/>
              </w:rPr>
              <w:t>推荐候选中标供应商数量为</w:t>
            </w:r>
            <w:r>
              <w:rPr>
                <w:rFonts w:hint="eastAsia" w:ascii="Arial" w:hAnsi="Arial" w:eastAsia="宋体"/>
                <w:color w:val="0000FF"/>
                <w:szCs w:val="21"/>
                <w:u w:val="single"/>
                <w:lang w:val="en-US" w:eastAsia="zh-CN"/>
              </w:rPr>
              <w:t>3</w:t>
            </w:r>
            <w:r>
              <w:rPr>
                <w:rFonts w:hint="eastAsia" w:ascii="Arial" w:hAnsi="Arial" w:eastAsia="宋体"/>
                <w:color w:val="0000FF"/>
                <w:szCs w:val="21"/>
              </w:rPr>
              <w:t>家，中标供应商数量为</w:t>
            </w:r>
            <w:r>
              <w:rPr>
                <w:rFonts w:hint="eastAsia" w:ascii="Arial" w:hAnsi="Arial" w:eastAsia="宋体"/>
                <w:color w:val="0000FF"/>
                <w:u w:val="single"/>
              </w:rPr>
              <w:t xml:space="preserve"> 1 </w:t>
            </w:r>
            <w:r>
              <w:rPr>
                <w:rFonts w:hint="eastAsia" w:ascii="Arial" w:hAnsi="Arial" w:eastAsia="宋体"/>
                <w:color w:val="0000FF"/>
                <w:szCs w:val="21"/>
              </w:rPr>
              <w:t>家。</w:t>
            </w:r>
          </w:p>
        </w:tc>
      </w:tr>
      <w:tr w14:paraId="4A8ED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38D16861">
            <w:pPr>
              <w:snapToGrid w:val="0"/>
              <w:jc w:val="center"/>
              <w:rPr>
                <w:rFonts w:ascii="宋体" w:hAnsi="宋体" w:eastAsia="宋体" w:cs="Arial"/>
                <w:szCs w:val="21"/>
              </w:rPr>
            </w:pPr>
            <w:r>
              <w:rPr>
                <w:rFonts w:hint="eastAsia" w:ascii="宋体" w:hAnsi="宋体" w:eastAsia="宋体" w:cs="Arial"/>
                <w:szCs w:val="21"/>
              </w:rPr>
              <w:t>38.3</w:t>
            </w:r>
          </w:p>
        </w:tc>
        <w:tc>
          <w:tcPr>
            <w:tcW w:w="1276" w:type="dxa"/>
            <w:vAlign w:val="center"/>
          </w:tcPr>
          <w:p w14:paraId="4F1F91D3">
            <w:pPr>
              <w:snapToGrid w:val="0"/>
              <w:jc w:val="center"/>
              <w:rPr>
                <w:rFonts w:ascii="宋体" w:hAnsi="宋体" w:eastAsia="宋体" w:cs="Arial"/>
                <w:szCs w:val="21"/>
              </w:rPr>
            </w:pPr>
            <w:r>
              <w:rPr>
                <w:rFonts w:hint="eastAsia" w:ascii="宋体" w:hAnsi="宋体" w:eastAsia="宋体" w:cs="Arial"/>
                <w:szCs w:val="21"/>
              </w:rPr>
              <w:t>随机抽取</w:t>
            </w:r>
          </w:p>
        </w:tc>
        <w:tc>
          <w:tcPr>
            <w:tcW w:w="7424" w:type="dxa"/>
          </w:tcPr>
          <w:p w14:paraId="6B4994EF">
            <w:pPr>
              <w:snapToGrid w:val="0"/>
              <w:ind w:firstLine="480" w:firstLineChars="200"/>
              <w:rPr>
                <w:rFonts w:ascii="宋体" w:hAnsi="宋体" w:eastAsia="宋体"/>
                <w:szCs w:val="21"/>
              </w:rPr>
            </w:pPr>
            <w:r>
              <w:rPr>
                <w:rFonts w:hint="eastAsia" w:ascii="宋体" w:hAnsi="宋体" w:eastAsia="宋体"/>
                <w:szCs w:val="21"/>
              </w:rPr>
              <w:t>如投标人排名并列须采取随机抽取方式确定中标候选人（候选中标供应商）的，按“二、其他关键信息”的规则进行抽签。</w:t>
            </w:r>
          </w:p>
        </w:tc>
      </w:tr>
      <w:tr w14:paraId="47BD6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4AC2FC6B">
            <w:pPr>
              <w:snapToGrid w:val="0"/>
              <w:jc w:val="center"/>
              <w:rPr>
                <w:rFonts w:hint="eastAsia" w:ascii="宋体" w:hAnsi="宋体" w:eastAsia="宋体" w:cs="Arial"/>
                <w:sz w:val="24"/>
                <w:szCs w:val="21"/>
                <w:lang w:val="en-US" w:eastAsia="zh-CN"/>
              </w:rPr>
            </w:pPr>
            <w:r>
              <w:rPr>
                <w:rFonts w:hint="eastAsia" w:ascii="宋体" w:hAnsi="宋体" w:eastAsia="宋体" w:cs="Arial"/>
                <w:szCs w:val="21"/>
                <w:lang w:val="en-US" w:eastAsia="zh-CN"/>
              </w:rPr>
              <w:t>29</w:t>
            </w:r>
          </w:p>
        </w:tc>
        <w:tc>
          <w:tcPr>
            <w:tcW w:w="1276" w:type="dxa"/>
            <w:vAlign w:val="center"/>
          </w:tcPr>
          <w:p w14:paraId="55719321">
            <w:pPr>
              <w:snapToGrid w:val="0"/>
              <w:jc w:val="center"/>
              <w:rPr>
                <w:rFonts w:hint="eastAsia" w:ascii="宋体" w:hAnsi="宋体" w:eastAsia="宋体" w:cs="Arial"/>
                <w:sz w:val="24"/>
                <w:szCs w:val="21"/>
                <w:lang w:eastAsia="zh-CN"/>
              </w:rPr>
            </w:pPr>
            <w:r>
              <w:rPr>
                <w:rFonts w:hint="eastAsia" w:ascii="宋体" w:hAnsi="宋体" w:eastAsia="宋体" w:cs="Arial"/>
                <w:szCs w:val="21"/>
              </w:rPr>
              <w:t>本项目评标委员</w:t>
            </w:r>
          </w:p>
        </w:tc>
        <w:tc>
          <w:tcPr>
            <w:tcW w:w="7424" w:type="dxa"/>
            <w:vAlign w:val="top"/>
          </w:tcPr>
          <w:p w14:paraId="760A86FF">
            <w:pPr>
              <w:spacing w:line="240" w:lineRule="atLeast"/>
              <w:ind w:left="814" w:hanging="815" w:hangingChars="354"/>
              <w:rPr>
                <w:rFonts w:hint="eastAsia" w:ascii="宋体" w:hAnsi="宋体" w:cs="宋体"/>
                <w:b/>
                <w:bCs/>
                <w:color w:val="auto"/>
                <w:sz w:val="23"/>
                <w:szCs w:val="23"/>
                <w:u w:val="single"/>
                <w:shd w:val="clear" w:color="auto" w:fill="auto"/>
              </w:rPr>
            </w:pPr>
          </w:p>
          <w:p w14:paraId="61C940AE">
            <w:pPr>
              <w:snapToGrid w:val="0"/>
              <w:rPr>
                <w:rFonts w:hint="eastAsia" w:ascii="宋体" w:hAnsi="宋体" w:eastAsia="宋体"/>
                <w:szCs w:val="21"/>
              </w:rPr>
            </w:pPr>
            <w:r>
              <w:rPr>
                <w:rFonts w:hint="eastAsia" w:ascii="宋体" w:hAnsi="宋体" w:eastAsia="宋体"/>
                <w:szCs w:val="21"/>
              </w:rPr>
              <w:t>本项目评标委员会由</w:t>
            </w:r>
            <w:r>
              <w:rPr>
                <w:rFonts w:hint="eastAsia" w:ascii="宋体" w:hAnsi="宋体" w:eastAsia="宋体"/>
                <w:szCs w:val="21"/>
                <w:lang w:val="en-US" w:eastAsia="zh-CN"/>
              </w:rPr>
              <w:t>5</w:t>
            </w:r>
            <w:r>
              <w:rPr>
                <w:rFonts w:hint="eastAsia" w:ascii="宋体" w:hAnsi="宋体" w:eastAsia="宋体"/>
                <w:szCs w:val="21"/>
              </w:rPr>
              <w:t>人组成（采购人代表</w:t>
            </w:r>
            <w:r>
              <w:rPr>
                <w:rFonts w:hint="eastAsia" w:ascii="宋体" w:hAnsi="宋体" w:eastAsia="宋体"/>
                <w:szCs w:val="21"/>
                <w:lang w:val="en-US" w:eastAsia="zh-CN"/>
              </w:rPr>
              <w:t>0</w:t>
            </w:r>
            <w:r>
              <w:rPr>
                <w:rFonts w:hint="eastAsia" w:ascii="宋体" w:hAnsi="宋体" w:eastAsia="宋体"/>
                <w:szCs w:val="21"/>
              </w:rPr>
              <w:t>名，随机抽取专家</w:t>
            </w:r>
            <w:r>
              <w:rPr>
                <w:rFonts w:hint="eastAsia" w:ascii="宋体" w:hAnsi="宋体" w:eastAsia="宋体"/>
                <w:szCs w:val="21"/>
                <w:lang w:val="en-US" w:eastAsia="zh-CN"/>
              </w:rPr>
              <w:t>5</w:t>
            </w:r>
            <w:r>
              <w:rPr>
                <w:rFonts w:hint="eastAsia" w:ascii="宋体" w:hAnsi="宋体" w:eastAsia="宋体"/>
                <w:szCs w:val="21"/>
              </w:rPr>
              <w:t>名）</w:t>
            </w:r>
          </w:p>
          <w:p w14:paraId="069FE5A8">
            <w:pPr>
              <w:snapToGrid w:val="0"/>
              <w:jc w:val="center"/>
              <w:rPr>
                <w:rFonts w:hint="eastAsia" w:ascii="宋体" w:hAnsi="宋体" w:eastAsia="宋体" w:cs="Arial"/>
                <w:sz w:val="24"/>
                <w:szCs w:val="21"/>
              </w:rPr>
            </w:pPr>
          </w:p>
        </w:tc>
      </w:tr>
      <w:tr w14:paraId="77EF2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720603DB">
            <w:pPr>
              <w:snapToGrid w:val="0"/>
              <w:jc w:val="center"/>
              <w:rPr>
                <w:rFonts w:hint="eastAsia" w:ascii="宋体" w:hAnsi="宋体" w:eastAsia="宋体" w:cs="Arial"/>
                <w:sz w:val="24"/>
                <w:szCs w:val="21"/>
                <w:lang w:val="en-US" w:eastAsia="zh-CN"/>
              </w:rPr>
            </w:pPr>
            <w:r>
              <w:rPr>
                <w:rFonts w:hint="eastAsia" w:ascii="宋体" w:hAnsi="宋体" w:eastAsia="宋体" w:cs="Arial"/>
                <w:szCs w:val="21"/>
                <w:lang w:val="en-US" w:eastAsia="zh-CN"/>
              </w:rPr>
              <w:t>46</w:t>
            </w:r>
          </w:p>
        </w:tc>
        <w:tc>
          <w:tcPr>
            <w:tcW w:w="0" w:type="auto"/>
            <w:vAlign w:val="center"/>
          </w:tcPr>
          <w:p w14:paraId="02C88DE7">
            <w:pPr>
              <w:snapToGrid w:val="0"/>
              <w:jc w:val="center"/>
              <w:rPr>
                <w:rFonts w:hint="eastAsia" w:ascii="宋体" w:hAnsi="宋体" w:eastAsia="宋体" w:cs="Arial"/>
                <w:sz w:val="24"/>
                <w:szCs w:val="21"/>
                <w:lang w:eastAsia="zh-CN"/>
              </w:rPr>
            </w:pPr>
            <w:r>
              <w:rPr>
                <w:rFonts w:hint="eastAsia" w:ascii="宋体" w:hAnsi="宋体" w:eastAsia="宋体" w:cs="Arial"/>
                <w:szCs w:val="21"/>
                <w:lang w:eastAsia="zh-CN"/>
              </w:rPr>
              <w:t>履约保证金</w:t>
            </w:r>
          </w:p>
        </w:tc>
        <w:tc>
          <w:tcPr>
            <w:tcW w:w="0" w:type="auto"/>
            <w:vAlign w:val="top"/>
          </w:tcPr>
          <w:p w14:paraId="500C6830">
            <w:pPr>
              <w:snapToGrid w:val="0"/>
              <w:jc w:val="left"/>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履约保证金：详见 三、商务和服务条款部分</w:t>
            </w:r>
          </w:p>
          <w:p w14:paraId="46C5A098">
            <w:pPr>
              <w:pStyle w:val="17"/>
              <w:ind w:left="0" w:leftChars="0" w:firstLine="0" w:firstLineChars="0"/>
              <w:rPr>
                <w:rFonts w:hint="eastAsia" w:ascii="Arial" w:hAnsi="Arial" w:eastAsia="Times New Roman" w:cs="Times New Roman"/>
                <w:sz w:val="21"/>
                <w:szCs w:val="24"/>
                <w:lang w:val="en-US"/>
              </w:rPr>
            </w:pPr>
            <w:r>
              <w:rPr>
                <w:rFonts w:hint="eastAsia" w:ascii="宋体" w:hAnsi="宋体" w:eastAsia="宋体" w:cs="Arial"/>
                <w:szCs w:val="21"/>
                <w:lang w:val="en-US" w:eastAsia="zh-CN"/>
              </w:rPr>
              <w:t>提交履约保证金的时间：签订合同前。</w:t>
            </w:r>
          </w:p>
        </w:tc>
      </w:tr>
    </w:tbl>
    <w:p w14:paraId="21D40053">
      <w:pPr>
        <w:rPr>
          <w:rFonts w:ascii="宋体" w:hAnsi="宋体" w:eastAsia="黑体"/>
          <w:bCs/>
          <w:kern w:val="44"/>
          <w:sz w:val="28"/>
          <w:szCs w:val="44"/>
        </w:rPr>
      </w:pPr>
      <w:r>
        <w:rPr>
          <w:rFonts w:hint="eastAsia"/>
          <w:szCs w:val="21"/>
        </w:rPr>
        <w:t>备注：本表是通用条款相关条款的补充和明确，如与通用条款内容相冲突的，以本表为准。</w:t>
      </w:r>
    </w:p>
    <w:p w14:paraId="6C9A193B">
      <w:pPr>
        <w:keepNext/>
        <w:keepLines/>
        <w:adjustRightInd w:val="0"/>
        <w:spacing w:before="120" w:beforeLines="50" w:after="120" w:afterLines="50"/>
        <w:jc w:val="center"/>
        <w:textAlignment w:val="baseline"/>
        <w:outlineLvl w:val="2"/>
        <w:rPr>
          <w:rFonts w:ascii="宋体" w:hAnsi="宋体" w:eastAsia="宋体"/>
          <w:b/>
          <w:bCs/>
        </w:rPr>
      </w:pPr>
      <w:r>
        <w:rPr>
          <w:rFonts w:hint="eastAsia" w:ascii="宋体" w:hAnsi="宋体" w:eastAsia="宋体"/>
          <w:b/>
          <w:bCs/>
        </w:rPr>
        <w:t>二、其他关键信息</w:t>
      </w:r>
    </w:p>
    <w:p w14:paraId="34FCE51E">
      <w:pPr>
        <w:tabs>
          <w:tab w:val="left" w:pos="720"/>
        </w:tabs>
        <w:rPr>
          <w:rFonts w:ascii="黑体" w:hAnsi="宋体" w:eastAsia="黑体"/>
        </w:rPr>
      </w:pPr>
      <w:r>
        <w:rPr>
          <w:rFonts w:hint="eastAsia" w:ascii="黑体" w:hAnsi="宋体" w:eastAsia="黑体"/>
        </w:rPr>
        <w:t>（一）</w:t>
      </w:r>
      <w:r>
        <w:rPr>
          <w:rFonts w:hint="eastAsia" w:ascii="黑体" w:hAnsi="宋体" w:eastAsia="黑体"/>
          <w:bCs/>
        </w:rPr>
        <w:t>与“对通用条款的补充内容”章节相关的事项</w:t>
      </w:r>
    </w:p>
    <w:p w14:paraId="74664F28">
      <w:pPr>
        <w:tabs>
          <w:tab w:val="left" w:pos="720"/>
        </w:tabs>
        <w:rPr>
          <w:rFonts w:ascii="黑体" w:hAnsi="宋体" w:eastAsia="黑体"/>
          <w:bCs/>
        </w:rPr>
      </w:pPr>
      <w:r>
        <w:rPr>
          <w:rFonts w:hint="eastAsia" w:ascii="黑体" w:hAnsi="宋体" w:eastAsia="黑体"/>
          <w:bCs/>
        </w:rPr>
        <w:t>1、关于标项的定义</w:t>
      </w:r>
    </w:p>
    <w:p w14:paraId="2EC5ED51">
      <w:pPr>
        <w:tabs>
          <w:tab w:val="left" w:pos="720"/>
        </w:tabs>
        <w:ind w:firstLine="480" w:firstLineChars="200"/>
        <w:rPr>
          <w:rFonts w:ascii="黑体" w:hAnsi="宋体" w:eastAsia="黑体"/>
        </w:rPr>
      </w:pPr>
      <w:r>
        <w:rPr>
          <w:rFonts w:hint="eastAsia" w:ascii="宋体" w:hAnsi="宋体"/>
        </w:rPr>
        <w:t>本招标文件中的“标项”是最小的“标的单位”，投标人可对本“招标文件”中所列的所有货物或服务项进行投标，投标人可只对其中一个标项或几个标项货物或服务内容进行投标（如有的话），但不得将一个标项中的内容拆开投标，否则将导致其投标被拒绝。某一标项投标截止时投标人不足三家，或有效投标少于三家，该标项废标，对该标项重新招标或采用其它方式采购。某一标项中标供应商放弃中标资格的，或者中标供应商的中标资格被依法确认无效的，根据实际情况按相关法律规定处理，该标项中标结果改变不影响其他</w:t>
      </w:r>
      <w:r>
        <w:rPr>
          <w:rFonts w:hint="eastAsia" w:ascii="宋体" w:hAnsi="宋体" w:eastAsia="宋体"/>
          <w:lang w:eastAsia="zh-CN"/>
        </w:rPr>
        <w:t>标项</w:t>
      </w:r>
      <w:r>
        <w:rPr>
          <w:rFonts w:hint="eastAsia" w:ascii="宋体" w:hAnsi="宋体"/>
        </w:rPr>
        <w:t>结果。</w:t>
      </w:r>
    </w:p>
    <w:p w14:paraId="67F917DC">
      <w:pPr>
        <w:tabs>
          <w:tab w:val="left" w:pos="720"/>
        </w:tabs>
        <w:rPr>
          <w:rFonts w:ascii="黑体" w:hAnsi="宋体" w:eastAsia="黑体"/>
        </w:rPr>
      </w:pPr>
      <w:r>
        <w:rPr>
          <w:rFonts w:hint="eastAsia" w:ascii="黑体" w:hAnsi="宋体" w:eastAsia="黑体"/>
        </w:rPr>
        <w:t>（二）其他事项</w:t>
      </w:r>
    </w:p>
    <w:p w14:paraId="370A7683">
      <w:pPr>
        <w:tabs>
          <w:tab w:val="left" w:pos="720"/>
        </w:tabs>
        <w:rPr>
          <w:rFonts w:ascii="黑体" w:hAnsi="宋体" w:eastAsia="黑体"/>
        </w:rPr>
      </w:pPr>
      <w:r>
        <w:rPr>
          <w:rFonts w:hint="eastAsia" w:ascii="黑体" w:hAnsi="宋体" w:eastAsia="黑体"/>
        </w:rPr>
        <w:t>1、关于享受优惠政策的主体及价格扣除比例</w:t>
      </w:r>
    </w:p>
    <w:p w14:paraId="11228D3C">
      <w:pPr>
        <w:ind w:firstLine="472" w:firstLineChars="196"/>
        <w:rPr>
          <w:rFonts w:hint="eastAsia" w:ascii="宋体" w:hAnsi="宋体" w:eastAsia="宋体"/>
          <w:lang w:eastAsia="zh-CN"/>
        </w:rPr>
      </w:pPr>
      <w:r>
        <w:rPr>
          <w:rFonts w:hint="eastAsia" w:ascii="宋体" w:hAnsi="宋体" w:eastAsia="宋体"/>
          <w:b/>
          <w:bCs/>
          <w:color w:val="FF0000"/>
          <w:lang w:eastAsia="zh-CN"/>
        </w:rPr>
        <w:t>本项目为专门面向中小企业采购项目，不进行价格扣除</w:t>
      </w:r>
      <w:r>
        <w:rPr>
          <w:rFonts w:hint="eastAsia" w:ascii="宋体" w:hAnsi="宋体" w:eastAsia="宋体"/>
          <w:lang w:eastAsia="zh-CN"/>
        </w:rPr>
        <w:t>。</w:t>
      </w:r>
    </w:p>
    <w:p w14:paraId="4DB93C43">
      <w:pPr>
        <w:tabs>
          <w:tab w:val="left" w:pos="720"/>
        </w:tabs>
        <w:rPr>
          <w:rFonts w:ascii="黑体" w:hAnsi="宋体" w:eastAsia="黑体"/>
        </w:rPr>
      </w:pPr>
    </w:p>
    <w:p w14:paraId="69225B1D">
      <w:pPr>
        <w:rPr>
          <w:rFonts w:ascii="宋体" w:hAnsi="宋体" w:eastAsia="黑体"/>
          <w:bCs/>
          <w:kern w:val="44"/>
          <w:sz w:val="28"/>
          <w:szCs w:val="44"/>
        </w:rPr>
      </w:pPr>
      <w:r>
        <w:br w:type="page"/>
      </w:r>
    </w:p>
    <w:p w14:paraId="72B5452D">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第三章 用户需求书</w:t>
      </w:r>
    </w:p>
    <w:p w14:paraId="3FF1E53E">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一、项目基本信息</w:t>
      </w:r>
    </w:p>
    <w:tbl>
      <w:tblPr>
        <w:tblStyle w:val="19"/>
        <w:tblW w:w="11553" w:type="dxa"/>
        <w:jc w:val="center"/>
        <w:tblLayout w:type="fixed"/>
        <w:tblCellMar>
          <w:top w:w="15" w:type="dxa"/>
          <w:left w:w="15" w:type="dxa"/>
          <w:bottom w:w="15" w:type="dxa"/>
          <w:right w:w="15" w:type="dxa"/>
        </w:tblCellMar>
      </w:tblPr>
      <w:tblGrid>
        <w:gridCol w:w="710"/>
        <w:gridCol w:w="2693"/>
        <w:gridCol w:w="2906"/>
        <w:gridCol w:w="2622"/>
        <w:gridCol w:w="2622"/>
      </w:tblGrid>
      <w:tr w14:paraId="6E79C23C">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1"/>
            <w:vAlign w:val="center"/>
          </w:tcPr>
          <w:p w14:paraId="06D42D9F">
            <w:pPr>
              <w:jc w:val="center"/>
              <w:rPr>
                <w:b/>
                <w:bCs/>
              </w:rPr>
            </w:pPr>
            <w:r>
              <w:rPr>
                <w:rFonts w:hint="eastAsia"/>
                <w:b/>
                <w:bCs/>
              </w:rPr>
              <w:t>序号</w:t>
            </w:r>
          </w:p>
        </w:tc>
        <w:tc>
          <w:tcPr>
            <w:tcW w:w="2693" w:type="dxa"/>
            <w:tcBorders>
              <w:top w:val="single" w:color="000000" w:sz="4" w:space="0"/>
              <w:left w:val="single" w:color="auto" w:sz="4" w:space="0"/>
              <w:bottom w:val="single" w:color="auto" w:sz="4" w:space="0"/>
              <w:right w:val="single" w:color="000000" w:sz="4" w:space="0"/>
            </w:tcBorders>
            <w:shd w:val="clear" w:color="auto" w:fill="C6D9F1"/>
            <w:vAlign w:val="center"/>
          </w:tcPr>
          <w:p w14:paraId="38E22A76">
            <w:pPr>
              <w:jc w:val="center"/>
              <w:rPr>
                <w:rFonts w:hint="eastAsia" w:eastAsia="宋体"/>
                <w:b/>
                <w:bCs/>
                <w:lang w:eastAsia="zh-CN"/>
              </w:rPr>
            </w:pPr>
            <w:r>
              <w:rPr>
                <w:rFonts w:hint="eastAsia" w:eastAsia="宋体"/>
                <w:b/>
                <w:bCs/>
                <w:lang w:eastAsia="zh-CN"/>
              </w:rPr>
              <w:t>项目编号</w:t>
            </w:r>
          </w:p>
        </w:tc>
        <w:tc>
          <w:tcPr>
            <w:tcW w:w="2906" w:type="dxa"/>
            <w:tcBorders>
              <w:top w:val="single" w:color="000000" w:sz="4" w:space="0"/>
              <w:left w:val="single" w:color="000000" w:sz="4" w:space="0"/>
              <w:bottom w:val="single" w:color="auto" w:sz="4" w:space="0"/>
              <w:right w:val="single" w:color="000000" w:sz="4" w:space="0"/>
            </w:tcBorders>
            <w:shd w:val="clear" w:color="auto" w:fill="C6D9F1"/>
            <w:vAlign w:val="center"/>
          </w:tcPr>
          <w:p w14:paraId="122B4E3E">
            <w:pPr>
              <w:jc w:val="center"/>
              <w:rPr>
                <w:b/>
                <w:bCs/>
              </w:rPr>
            </w:pPr>
            <w:r>
              <w:rPr>
                <w:rFonts w:hint="eastAsia"/>
                <w:b/>
                <w:bCs/>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430FA56C">
            <w:pPr>
              <w:jc w:val="center"/>
              <w:rPr>
                <w:b/>
                <w:bCs/>
              </w:rPr>
            </w:pPr>
            <w:r>
              <w:rPr>
                <w:rFonts w:hint="eastAsia" w:ascii="宋体" w:hAnsi="宋体"/>
                <w:b/>
                <w:bCs/>
              </w:rPr>
              <w:t>财政预算</w:t>
            </w:r>
            <w:r>
              <w:rPr>
                <w:rFonts w:hint="eastAsia" w:ascii="宋体" w:hAnsi="宋体" w:eastAsia="宋体"/>
                <w:b/>
                <w:bCs/>
                <w:lang w:eastAsia="zh-CN"/>
              </w:rPr>
              <w:t>金</w:t>
            </w:r>
            <w:r>
              <w:rPr>
                <w:rFonts w:hint="eastAsia" w:ascii="宋体" w:hAnsi="宋体"/>
                <w:b/>
                <w:bCs/>
              </w:rPr>
              <w:t>额</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7862B015">
            <w:pPr>
              <w:jc w:val="center"/>
              <w:rPr>
                <w:rFonts w:hint="eastAsia" w:ascii="宋体" w:hAnsi="宋体" w:eastAsia="宋体"/>
                <w:b/>
                <w:bCs/>
                <w:lang w:eastAsia="zh-CN"/>
              </w:rPr>
            </w:pPr>
            <w:r>
              <w:rPr>
                <w:rFonts w:hint="eastAsia" w:ascii="宋体" w:hAnsi="宋体" w:eastAsia="宋体"/>
                <w:b/>
                <w:bCs/>
                <w:color w:val="FF0000"/>
                <w:lang w:eastAsia="zh-CN"/>
              </w:rPr>
              <w:t>采购标的对应的小微企业划分标准所属行业</w:t>
            </w:r>
          </w:p>
        </w:tc>
      </w:tr>
      <w:tr w14:paraId="4554D5AD">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14:paraId="0E6CB804">
            <w:pPr>
              <w:jc w:val="center"/>
              <w:rPr>
                <w:rFonts w:ascii="宋体" w:hAnsi="宋体"/>
                <w:bCs/>
              </w:rPr>
            </w:pPr>
            <w:r>
              <w:rPr>
                <w:rFonts w:hint="eastAsia" w:ascii="宋体" w:hAnsi="宋体"/>
                <w:bCs/>
              </w:rPr>
              <w:t>1</w:t>
            </w:r>
          </w:p>
        </w:tc>
        <w:tc>
          <w:tcPr>
            <w:tcW w:w="2693" w:type="dxa"/>
            <w:tcBorders>
              <w:top w:val="single" w:color="auto" w:sz="4" w:space="0"/>
              <w:left w:val="single" w:color="auto" w:sz="4" w:space="0"/>
              <w:bottom w:val="single" w:color="auto" w:sz="4" w:space="0"/>
              <w:right w:val="single" w:color="000000" w:sz="4" w:space="0"/>
            </w:tcBorders>
            <w:vAlign w:val="center"/>
          </w:tcPr>
          <w:p w14:paraId="7C4FB8F4">
            <w:pPr>
              <w:jc w:val="center"/>
              <w:rPr>
                <w:rFonts w:hint="eastAsia" w:ascii="宋体" w:hAnsi="宋体"/>
                <w:bCs/>
              </w:rPr>
            </w:pPr>
            <w:r>
              <w:rPr>
                <w:rFonts w:hint="eastAsia" w:eastAsia="宋体"/>
                <w:lang w:eastAsia="zh-CN"/>
              </w:rPr>
              <w:t>KSS(GK)2025-027</w:t>
            </w:r>
          </w:p>
        </w:tc>
        <w:tc>
          <w:tcPr>
            <w:tcW w:w="2906" w:type="dxa"/>
            <w:tcBorders>
              <w:top w:val="single" w:color="auto" w:sz="4" w:space="0"/>
              <w:left w:val="single" w:color="000000" w:sz="4" w:space="0"/>
              <w:bottom w:val="single" w:color="auto" w:sz="4" w:space="0"/>
              <w:right w:val="single" w:color="000000" w:sz="4" w:space="0"/>
            </w:tcBorders>
            <w:vAlign w:val="center"/>
          </w:tcPr>
          <w:p w14:paraId="00C34BD9">
            <w:pPr>
              <w:jc w:val="center"/>
              <w:rPr>
                <w:b/>
                <w:bCs/>
              </w:rPr>
            </w:pPr>
            <w:r>
              <w:rPr>
                <w:rFonts w:hint="eastAsia" w:eastAsia="宋体" w:cs="Times New Roman"/>
                <w:lang w:eastAsia="zh-CN"/>
              </w:rPr>
              <w:t>喀什市青少年科学教育活动基地物业服务</w:t>
            </w:r>
          </w:p>
        </w:tc>
        <w:tc>
          <w:tcPr>
            <w:tcW w:w="2622" w:type="dxa"/>
            <w:tcBorders>
              <w:top w:val="single" w:color="000000" w:sz="4" w:space="0"/>
              <w:left w:val="single" w:color="000000" w:sz="4" w:space="0"/>
              <w:bottom w:val="single" w:color="000000" w:sz="4" w:space="0"/>
              <w:right w:val="single" w:color="000000" w:sz="4" w:space="0"/>
            </w:tcBorders>
            <w:vAlign w:val="center"/>
          </w:tcPr>
          <w:p w14:paraId="242344B1">
            <w:pPr>
              <w:jc w:val="center"/>
              <w:rPr>
                <w:rFonts w:hint="eastAsia" w:ascii="宋体" w:hAnsi="宋体" w:eastAsia="宋体"/>
                <w:bCs/>
                <w:lang w:eastAsia="zh-CN"/>
              </w:rPr>
            </w:pPr>
            <w:r>
              <w:rPr>
                <w:rFonts w:hint="eastAsia" w:ascii="宋体" w:hAnsi="宋体" w:eastAsia="宋体"/>
                <w:bCs/>
                <w:lang w:eastAsia="zh-CN"/>
              </w:rPr>
              <w:t>600000.00元（陆拾万元整）</w:t>
            </w:r>
          </w:p>
        </w:tc>
        <w:tc>
          <w:tcPr>
            <w:tcW w:w="2622" w:type="dxa"/>
            <w:tcBorders>
              <w:top w:val="single" w:color="000000" w:sz="4" w:space="0"/>
              <w:left w:val="single" w:color="000000" w:sz="4" w:space="0"/>
              <w:bottom w:val="single" w:color="000000" w:sz="4" w:space="0"/>
              <w:right w:val="single" w:color="000000" w:sz="4" w:space="0"/>
            </w:tcBorders>
            <w:vAlign w:val="center"/>
          </w:tcPr>
          <w:p w14:paraId="38B9F647">
            <w:pPr>
              <w:jc w:val="center"/>
              <w:rPr>
                <w:rFonts w:hint="eastAsia" w:ascii="宋体" w:hAnsi="宋体" w:eastAsia="宋体"/>
                <w:bCs/>
                <w:lang w:eastAsia="zh-CN"/>
              </w:rPr>
            </w:pPr>
            <w:r>
              <w:rPr>
                <w:rFonts w:hint="eastAsia" w:ascii="宋体" w:hAnsi="宋体" w:eastAsia="宋体" w:cs="宋体"/>
                <w:i w:val="0"/>
                <w:iCs w:val="0"/>
                <w:caps w:val="0"/>
                <w:color w:val="000000"/>
                <w:spacing w:val="0"/>
                <w:sz w:val="24"/>
                <w:szCs w:val="24"/>
                <w:shd w:val="clear" w:fill="FFFFFF"/>
                <w:lang w:eastAsia="zh-CN"/>
              </w:rPr>
              <w:t>物</w:t>
            </w:r>
            <w:r>
              <w:rPr>
                <w:rFonts w:hint="eastAsia" w:ascii="宋体" w:hAnsi="宋体" w:eastAsia="宋体" w:cs="宋体"/>
                <w:i w:val="0"/>
                <w:iCs w:val="0"/>
                <w:caps w:val="0"/>
                <w:color w:val="000000"/>
                <w:spacing w:val="0"/>
                <w:sz w:val="24"/>
                <w:szCs w:val="24"/>
                <w:shd w:val="clear" w:fill="FFFFFF"/>
                <w:lang w:val="en-US" w:eastAsia="zh-CN"/>
              </w:rPr>
              <w:t>业</w:t>
            </w:r>
            <w:r>
              <w:rPr>
                <w:rFonts w:hint="eastAsia" w:ascii="宋体" w:hAnsi="宋体" w:eastAsia="宋体" w:cs="宋体"/>
                <w:i w:val="0"/>
                <w:iCs w:val="0"/>
                <w:caps w:val="0"/>
                <w:color w:val="000000"/>
                <w:spacing w:val="0"/>
                <w:sz w:val="24"/>
                <w:szCs w:val="24"/>
                <w:shd w:val="clear" w:fill="FFFFFF"/>
                <w:lang w:eastAsia="zh-CN"/>
              </w:rPr>
              <w:t>管理</w:t>
            </w:r>
          </w:p>
        </w:tc>
      </w:tr>
    </w:tbl>
    <w:p w14:paraId="6C167770">
      <w:r>
        <w:rPr>
          <w:rFonts w:hint="eastAsia" w:ascii="Arial" w:hAnsi="Arial" w:eastAsia="宋体"/>
          <w:b/>
          <w:color w:val="FF0000"/>
          <w:highlight w:val="green"/>
        </w:rPr>
        <w:t>本项目</w:t>
      </w:r>
      <w:r>
        <w:rPr>
          <w:rFonts w:hint="eastAsia" w:ascii="Arial" w:hAnsi="Arial" w:eastAsia="宋体"/>
          <w:b/>
          <w:color w:val="FF0000"/>
          <w:highlight w:val="green"/>
          <w:lang w:eastAsia="zh-CN"/>
        </w:rPr>
        <w:t>财政预算</w:t>
      </w:r>
      <w:r>
        <w:rPr>
          <w:rFonts w:hint="eastAsia" w:ascii="Arial" w:hAnsi="Arial" w:eastAsia="宋体"/>
          <w:b/>
          <w:color w:val="FF0000"/>
          <w:highlight w:val="green"/>
        </w:rPr>
        <w:t>金额为人民币</w:t>
      </w:r>
      <w:r>
        <w:rPr>
          <w:rFonts w:hint="eastAsia" w:ascii="Arial" w:hAnsi="Arial" w:eastAsia="宋体"/>
          <w:b/>
          <w:color w:val="FF0000"/>
          <w:highlight w:val="green"/>
          <w:lang w:eastAsia="zh-CN"/>
        </w:rPr>
        <w:t>600000.00元（陆拾万元整）</w:t>
      </w:r>
      <w:r>
        <w:rPr>
          <w:rFonts w:hint="eastAsia" w:ascii="Arial" w:hAnsi="Arial" w:eastAsia="宋体"/>
          <w:b/>
          <w:color w:val="FF0000"/>
          <w:highlight w:val="green"/>
        </w:rPr>
        <w:t>，</w:t>
      </w:r>
      <w:r>
        <w:rPr>
          <w:rFonts w:hint="eastAsia" w:ascii="Arial" w:hAnsi="Arial" w:eastAsia="宋体"/>
          <w:b/>
          <w:color w:val="FF0000"/>
        </w:rPr>
        <w:t>投标报价超出控制金额将作投标无效处理。</w:t>
      </w:r>
    </w:p>
    <w:p w14:paraId="1AD1C434">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二、</w:t>
      </w:r>
      <w:r>
        <w:rPr>
          <w:rFonts w:hint="eastAsia" w:ascii="Arial" w:hAnsi="Arial" w:eastAsia="宋体"/>
          <w:b/>
          <w:sz w:val="32"/>
          <w:szCs w:val="32"/>
          <w:lang w:eastAsia="zh-CN"/>
        </w:rPr>
        <w:t>服务需求</w:t>
      </w:r>
      <w:r>
        <w:rPr>
          <w:rFonts w:hint="eastAsia" w:ascii="Arial" w:hAnsi="Arial" w:eastAsia="宋体"/>
          <w:b/>
          <w:sz w:val="32"/>
          <w:szCs w:val="32"/>
        </w:rPr>
        <w:t>明细</w:t>
      </w:r>
    </w:p>
    <w:p w14:paraId="5126AC08">
      <w:pPr>
        <w:rPr>
          <w:rFonts w:hint="eastAsia" w:ascii="宋体" w:hAnsi="宋体" w:eastAsia="宋体"/>
          <w:b/>
          <w:color w:val="FF0000"/>
          <w:sz w:val="32"/>
          <w:szCs w:val="32"/>
          <w:lang w:eastAsia="zh-CN"/>
        </w:rPr>
      </w:pPr>
      <w:r>
        <w:rPr>
          <w:rFonts w:hint="eastAsia" w:ascii="宋体" w:hAnsi="宋体"/>
          <w:b/>
          <w:color w:val="FF0000"/>
          <w:sz w:val="32"/>
          <w:szCs w:val="32"/>
        </w:rPr>
        <w:t>本项目核心产品为：</w:t>
      </w:r>
      <w:r>
        <w:rPr>
          <w:rFonts w:hint="eastAsia" w:ascii="宋体" w:hAnsi="宋体" w:eastAsia="宋体"/>
          <w:b/>
          <w:color w:val="FF0000"/>
          <w:sz w:val="32"/>
          <w:szCs w:val="32"/>
          <w:lang w:eastAsia="zh-CN"/>
        </w:rPr>
        <w:t>无</w:t>
      </w:r>
    </w:p>
    <w:p w14:paraId="0C3B7498">
      <w:pPr>
        <w:pStyle w:val="3"/>
        <w:rPr>
          <w:rFonts w:hint="eastAsia" w:ascii="宋体" w:hAnsi="宋体" w:eastAsia="宋体"/>
          <w:b/>
          <w:color w:val="FF0000"/>
          <w:sz w:val="32"/>
          <w:szCs w:val="32"/>
          <w:lang w:eastAsia="zh-CN"/>
        </w:rPr>
      </w:pPr>
    </w:p>
    <w:p w14:paraId="14053F17">
      <w:pPr>
        <w:pStyle w:val="2"/>
        <w:kinsoku w:val="0"/>
        <w:overflowPunct w:val="0"/>
        <w:spacing w:beforeLines="0" w:afterLines="0" w:line="272" w:lineRule="auto"/>
        <w:ind w:left="3168" w:right="3088"/>
        <w:jc w:val="center"/>
        <w:rPr>
          <w:rFonts w:hint="eastAsia"/>
          <w:spacing w:val="1"/>
          <w:sz w:val="32"/>
          <w:szCs w:val="24"/>
        </w:rPr>
      </w:pPr>
      <w:r>
        <w:rPr>
          <w:rFonts w:hint="eastAsia"/>
          <w:spacing w:val="1"/>
          <w:sz w:val="32"/>
          <w:szCs w:val="24"/>
        </w:rPr>
        <w:t>服务需求明细</w:t>
      </w:r>
    </w:p>
    <w:p w14:paraId="0F14533F">
      <w:pPr>
        <w:pStyle w:val="8"/>
        <w:kinsoku w:val="0"/>
        <w:overflowPunct w:val="0"/>
        <w:spacing w:before="1" w:beforeLines="0" w:afterLines="0"/>
        <w:ind w:left="0"/>
        <w:rPr>
          <w:rFonts w:hint="eastAsia"/>
          <w:b/>
          <w:sz w:val="23"/>
          <w:szCs w:val="24"/>
        </w:rPr>
      </w:pPr>
    </w:p>
    <w:p w14:paraId="71D50D0C">
      <w:pPr>
        <w:pStyle w:val="8"/>
        <w:kinsoku w:val="0"/>
        <w:overflowPunct w:val="0"/>
        <w:spacing w:before="10" w:beforeLines="0" w:afterLines="0"/>
        <w:ind w:left="300"/>
        <w:rPr>
          <w:rFonts w:hint="eastAsia"/>
          <w:sz w:val="28"/>
          <w:szCs w:val="24"/>
        </w:rPr>
      </w:pPr>
      <w:r>
        <w:rPr>
          <w:rFonts w:hint="eastAsia"/>
          <w:b/>
          <w:spacing w:val="-1"/>
          <w:sz w:val="28"/>
          <w:szCs w:val="24"/>
        </w:rPr>
        <w:t>项目基本情况</w:t>
      </w:r>
    </w:p>
    <w:p w14:paraId="62856B72">
      <w:pPr>
        <w:pStyle w:val="2"/>
        <w:kinsoku w:val="0"/>
        <w:overflowPunct w:val="0"/>
        <w:spacing w:before="249" w:beforeLines="0" w:afterLines="0"/>
        <w:ind w:left="300"/>
        <w:jc w:val="center"/>
        <w:rPr>
          <w:rFonts w:hint="eastAsia"/>
          <w:b w:val="0"/>
          <w:sz w:val="32"/>
          <w:szCs w:val="24"/>
        </w:rPr>
      </w:pPr>
      <w:bookmarkStart w:id="10" w:name="1.物业情况"/>
      <w:bookmarkEnd w:id="10"/>
      <w:r>
        <w:rPr>
          <w:rFonts w:hint="default" w:ascii="Times New Roman" w:hAnsi="Times New Roman" w:eastAsia="Times New Roman"/>
          <w:sz w:val="32"/>
          <w:szCs w:val="24"/>
        </w:rPr>
        <w:t>1.</w:t>
      </w:r>
      <w:r>
        <w:rPr>
          <w:rFonts w:hint="eastAsia"/>
          <w:sz w:val="32"/>
          <w:szCs w:val="24"/>
        </w:rPr>
        <w:t>物业情况</w:t>
      </w:r>
    </w:p>
    <w:p w14:paraId="7A2977AC">
      <w:pPr>
        <w:pStyle w:val="8"/>
        <w:kinsoku w:val="0"/>
        <w:overflowPunct w:val="0"/>
        <w:spacing w:beforeLines="0" w:afterLines="0"/>
        <w:ind w:left="0"/>
        <w:rPr>
          <w:rFonts w:hint="eastAsia"/>
          <w:b/>
          <w:sz w:val="20"/>
          <w:szCs w:val="24"/>
        </w:rPr>
      </w:pPr>
    </w:p>
    <w:p w14:paraId="7DBC0C7C">
      <w:pPr>
        <w:pStyle w:val="8"/>
        <w:kinsoku w:val="0"/>
        <w:overflowPunct w:val="0"/>
        <w:spacing w:before="7" w:beforeLines="0" w:afterLines="0"/>
        <w:ind w:left="0"/>
        <w:rPr>
          <w:rFonts w:hint="eastAsia"/>
          <w:b/>
          <w:sz w:val="24"/>
          <w:szCs w:val="24"/>
        </w:rPr>
      </w:pPr>
    </w:p>
    <w:tbl>
      <w:tblPr>
        <w:tblStyle w:val="19"/>
        <w:tblW w:w="0" w:type="auto"/>
        <w:tblInd w:w="2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54"/>
        <w:gridCol w:w="5632"/>
      </w:tblGrid>
      <w:tr w14:paraId="04C1F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exact"/>
        </w:trPr>
        <w:tc>
          <w:tcPr>
            <w:tcW w:w="245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130147D">
            <w:pPr>
              <w:pStyle w:val="42"/>
              <w:kinsoku w:val="0"/>
              <w:overflowPunct w:val="0"/>
              <w:spacing w:beforeLines="0" w:afterLines="0" w:line="308" w:lineRule="exact"/>
              <w:ind w:left="103"/>
              <w:rPr>
                <w:rFonts w:hint="default"/>
                <w:sz w:val="24"/>
                <w:szCs w:val="24"/>
              </w:rPr>
            </w:pPr>
            <w:r>
              <w:rPr>
                <w:rFonts w:hint="eastAsia" w:ascii="宋体" w:hAnsi="宋体" w:eastAsia="宋体"/>
                <w:sz w:val="24"/>
                <w:szCs w:val="24"/>
              </w:rPr>
              <w:t>物业名称</w:t>
            </w:r>
          </w:p>
        </w:tc>
        <w:tc>
          <w:tcPr>
            <w:tcW w:w="563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070CB9E">
            <w:pPr>
              <w:pStyle w:val="42"/>
              <w:kinsoku w:val="0"/>
              <w:overflowPunct w:val="0"/>
              <w:spacing w:beforeLines="0" w:afterLines="0" w:line="308" w:lineRule="exact"/>
              <w:ind w:left="102"/>
              <w:rPr>
                <w:rFonts w:hint="default"/>
                <w:sz w:val="24"/>
                <w:szCs w:val="24"/>
              </w:rPr>
            </w:pPr>
            <w:r>
              <w:rPr>
                <w:rFonts w:hint="eastAsia" w:ascii="宋体" w:hAnsi="宋体" w:eastAsia="宋体"/>
                <w:sz w:val="24"/>
                <w:szCs w:val="24"/>
              </w:rPr>
              <w:t>物业地址</w:t>
            </w:r>
          </w:p>
        </w:tc>
      </w:tr>
      <w:tr w14:paraId="71E9E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245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9ED2763">
            <w:pPr>
              <w:pStyle w:val="42"/>
              <w:kinsoku w:val="0"/>
              <w:overflowPunct w:val="0"/>
              <w:spacing w:beforeLines="0" w:afterLines="0" w:line="308" w:lineRule="exact"/>
              <w:ind w:left="103"/>
              <w:rPr>
                <w:rFonts w:hint="default" w:ascii="Times New Roman" w:hAnsi="Times New Roman" w:eastAsia="宋体"/>
                <w:sz w:val="24"/>
                <w:szCs w:val="24"/>
                <w:lang w:val="en-US" w:eastAsia="zh-CN"/>
              </w:rPr>
            </w:pPr>
            <w:r>
              <w:rPr>
                <w:rFonts w:hint="eastAsia" w:ascii="方正仿宋_GBK" w:hAnsi="方正仿宋_GBK" w:eastAsia="方正仿宋_GBK" w:cs="方正仿宋_GBK"/>
                <w:sz w:val="18"/>
                <w:szCs w:val="18"/>
              </w:rPr>
              <w:t>喀什市</w:t>
            </w:r>
            <w:r>
              <w:rPr>
                <w:rFonts w:hint="eastAsia" w:ascii="方正仿宋_GBK" w:hAnsi="方正仿宋_GBK" w:eastAsia="方正仿宋_GBK" w:cs="方正仿宋_GBK"/>
                <w:sz w:val="18"/>
                <w:szCs w:val="18"/>
                <w:lang w:val="en-US" w:eastAsia="zh-CN"/>
              </w:rPr>
              <w:t>青少年科学教育基地物业管理服务</w:t>
            </w:r>
          </w:p>
        </w:tc>
        <w:tc>
          <w:tcPr>
            <w:tcW w:w="563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8486596">
            <w:pPr>
              <w:pStyle w:val="42"/>
              <w:kinsoku w:val="0"/>
              <w:overflowPunct w:val="0"/>
              <w:spacing w:beforeLines="0" w:afterLines="0" w:line="338" w:lineRule="exact"/>
              <w:ind w:left="102"/>
              <w:rPr>
                <w:rFonts w:hint="default" w:ascii="Times New Roman" w:hAnsi="Times New Roman" w:eastAsia="宋体"/>
                <w:sz w:val="24"/>
                <w:szCs w:val="24"/>
                <w:lang w:val="en-US" w:eastAsia="zh-CN"/>
              </w:rPr>
            </w:pPr>
            <w:r>
              <w:rPr>
                <w:rFonts w:hint="eastAsia" w:ascii="宋体" w:hAnsi="宋体" w:eastAsia="宋体"/>
                <w:sz w:val="24"/>
                <w:szCs w:val="24"/>
                <w:lang w:val="en-US" w:eastAsia="zh-CN"/>
              </w:rPr>
              <w:t>喀什市丝路花园二期综合楼</w:t>
            </w:r>
          </w:p>
        </w:tc>
      </w:tr>
    </w:tbl>
    <w:p w14:paraId="6E55E1F8">
      <w:pPr>
        <w:pStyle w:val="8"/>
        <w:kinsoku w:val="0"/>
        <w:overflowPunct w:val="0"/>
        <w:spacing w:beforeLines="0" w:afterLines="0" w:line="240" w:lineRule="exact"/>
        <w:ind w:left="300" w:firstLine="420"/>
        <w:rPr>
          <w:rFonts w:hint="eastAsia" w:ascii="楷体" w:hAnsi="楷体" w:eastAsia="楷体"/>
          <w:sz w:val="21"/>
          <w:szCs w:val="24"/>
        </w:rPr>
      </w:pPr>
      <w:r>
        <w:rPr>
          <w:rFonts w:hint="eastAsia" w:ascii="楷体" w:hAnsi="楷体" w:eastAsia="楷体"/>
          <w:sz w:val="21"/>
          <w:szCs w:val="24"/>
        </w:rPr>
        <w:t>注：物业管理服务项目涉及多处物业的，可以分不同地址在上表中列明各物业名称和</w:t>
      </w:r>
    </w:p>
    <w:p w14:paraId="24BEFE52">
      <w:pPr>
        <w:pStyle w:val="8"/>
        <w:kinsoku w:val="0"/>
        <w:overflowPunct w:val="0"/>
        <w:spacing w:before="66" w:beforeLines="0" w:afterLines="0"/>
        <w:ind w:left="300"/>
        <w:rPr>
          <w:rFonts w:hint="eastAsia" w:ascii="楷体" w:hAnsi="楷体" w:eastAsia="楷体"/>
          <w:sz w:val="21"/>
          <w:szCs w:val="24"/>
        </w:rPr>
      </w:pPr>
      <w:r>
        <w:rPr>
          <w:rFonts w:hint="eastAsia" w:ascii="楷体" w:hAnsi="楷体" w:eastAsia="楷体"/>
          <w:sz w:val="21"/>
          <w:szCs w:val="24"/>
        </w:rPr>
        <w:t>地址。</w:t>
      </w:r>
    </w:p>
    <w:p w14:paraId="6BE744AC">
      <w:pPr>
        <w:pStyle w:val="8"/>
        <w:kinsoku w:val="0"/>
        <w:overflowPunct w:val="0"/>
        <w:spacing w:before="66" w:beforeLines="0" w:afterLines="0"/>
        <w:ind w:left="1140"/>
        <w:rPr>
          <w:rFonts w:hint="eastAsia" w:ascii="楷体" w:hAnsi="楷体" w:eastAsia="楷体"/>
          <w:sz w:val="20"/>
          <w:szCs w:val="24"/>
        </w:rPr>
      </w:pPr>
      <w:r>
        <w:rPr>
          <w:rFonts w:hint="eastAsia" w:ascii="楷体" w:hAnsi="楷体" w:eastAsia="楷体"/>
          <w:sz w:val="21"/>
          <w:szCs w:val="24"/>
        </w:rPr>
        <w:t>本需求标准中的省略号为自行添加部分。</w:t>
      </w:r>
    </w:p>
    <w:p w14:paraId="2B473F25">
      <w:pPr>
        <w:pStyle w:val="8"/>
        <w:kinsoku w:val="0"/>
        <w:overflowPunct w:val="0"/>
        <w:spacing w:before="4" w:beforeLines="0" w:afterLines="0"/>
        <w:ind w:left="0"/>
        <w:rPr>
          <w:rFonts w:hint="eastAsia" w:ascii="楷体" w:hAnsi="楷体" w:eastAsia="楷体"/>
          <w:sz w:val="28"/>
          <w:szCs w:val="24"/>
        </w:rPr>
      </w:pPr>
    </w:p>
    <w:p w14:paraId="31FAEBAC">
      <w:pPr>
        <w:pStyle w:val="3"/>
        <w:kinsoku w:val="0"/>
        <w:overflowPunct w:val="0"/>
        <w:spacing w:beforeLines="0" w:afterLines="0"/>
        <w:jc w:val="center"/>
        <w:rPr>
          <w:rFonts w:hint="eastAsia"/>
          <w:b w:val="0"/>
          <w:sz w:val="30"/>
          <w:szCs w:val="24"/>
        </w:rPr>
      </w:pPr>
      <w:r>
        <w:rPr>
          <w:rFonts w:hint="default" w:ascii="Arial" w:hAnsi="Arial"/>
          <w:sz w:val="30"/>
          <w:szCs w:val="24"/>
        </w:rPr>
        <w:t>2.</w:t>
      </w:r>
      <w:bookmarkStart w:id="11" w:name="2.物业服务范围"/>
      <w:bookmarkEnd w:id="11"/>
      <w:r>
        <w:rPr>
          <w:rFonts w:hint="eastAsia"/>
          <w:sz w:val="30"/>
          <w:szCs w:val="24"/>
        </w:rPr>
        <w:t>物业服务范围</w:t>
      </w:r>
    </w:p>
    <w:p w14:paraId="24D125B8">
      <w:pPr>
        <w:pStyle w:val="8"/>
        <w:kinsoku w:val="0"/>
        <w:overflowPunct w:val="0"/>
        <w:spacing w:before="1" w:beforeLines="0" w:afterLines="0"/>
        <w:ind w:left="0"/>
        <w:rPr>
          <w:rFonts w:hint="eastAsia" w:ascii="黑体" w:hAnsi="黑体" w:eastAsia="黑体"/>
          <w:b/>
          <w:sz w:val="25"/>
          <w:szCs w:val="24"/>
        </w:rPr>
      </w:pPr>
    </w:p>
    <w:p w14:paraId="540645F1">
      <w:pPr>
        <w:pStyle w:val="8"/>
        <w:kinsoku w:val="0"/>
        <w:overflowPunct w:val="0"/>
        <w:spacing w:beforeLines="0" w:afterLines="0"/>
        <w:ind w:left="300"/>
        <w:rPr>
          <w:rFonts w:hint="eastAsia"/>
          <w:sz w:val="32"/>
          <w:szCs w:val="24"/>
          <w:lang w:val="en-US" w:eastAsia="zh-CN"/>
        </w:rPr>
      </w:pPr>
      <w:bookmarkStart w:id="12" w:name="（1）物业管理（建筑物）"/>
      <w:bookmarkEnd w:id="12"/>
      <w:r>
        <w:rPr>
          <w:rFonts w:hint="eastAsia"/>
          <w:b/>
          <w:spacing w:val="1"/>
          <w:sz w:val="32"/>
          <w:szCs w:val="24"/>
        </w:rPr>
        <w:t>（</w:t>
      </w:r>
      <w:r>
        <w:rPr>
          <w:rFonts w:hint="default" w:ascii="Times New Roman" w:hAnsi="Times New Roman" w:eastAsia="Times New Roman"/>
          <w:b/>
          <w:spacing w:val="1"/>
          <w:sz w:val="32"/>
          <w:szCs w:val="24"/>
        </w:rPr>
        <w:t>1</w:t>
      </w:r>
      <w:r>
        <w:rPr>
          <w:rFonts w:hint="eastAsia"/>
          <w:b/>
          <w:spacing w:val="1"/>
          <w:sz w:val="32"/>
          <w:szCs w:val="24"/>
        </w:rPr>
        <w:t>）物业</w:t>
      </w:r>
      <w:r>
        <w:rPr>
          <w:rFonts w:hint="eastAsia"/>
          <w:b/>
          <w:spacing w:val="1"/>
          <w:sz w:val="32"/>
          <w:szCs w:val="24"/>
          <w:lang w:val="en-US" w:eastAsia="zh-CN"/>
        </w:rPr>
        <w:t>管理</w:t>
      </w:r>
    </w:p>
    <w:p w14:paraId="16A79D2C">
      <w:pPr>
        <w:pStyle w:val="8"/>
        <w:kinsoku w:val="0"/>
        <w:overflowPunct w:val="0"/>
        <w:spacing w:beforeLines="0" w:afterLines="0"/>
        <w:ind w:left="0"/>
        <w:rPr>
          <w:rFonts w:hint="eastAsia"/>
          <w:b/>
          <w:sz w:val="20"/>
          <w:szCs w:val="24"/>
        </w:rPr>
      </w:pPr>
    </w:p>
    <w:p w14:paraId="6E4FCBAD">
      <w:pPr>
        <w:pStyle w:val="8"/>
        <w:kinsoku w:val="0"/>
        <w:overflowPunct w:val="0"/>
        <w:spacing w:before="8" w:beforeLines="0" w:afterLines="0"/>
        <w:ind w:left="0"/>
        <w:rPr>
          <w:rFonts w:hint="eastAsia"/>
          <w:b/>
          <w:sz w:val="24"/>
          <w:szCs w:val="24"/>
        </w:rPr>
      </w:pPr>
    </w:p>
    <w:tbl>
      <w:tblPr>
        <w:tblStyle w:val="19"/>
        <w:tblW w:w="0" w:type="auto"/>
        <w:tblInd w:w="2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08"/>
        <w:gridCol w:w="1255"/>
        <w:gridCol w:w="3573"/>
        <w:gridCol w:w="1947"/>
      </w:tblGrid>
      <w:tr w14:paraId="20C15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exact"/>
        </w:trPr>
        <w:tc>
          <w:tcPr>
            <w:tcW w:w="276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19A10881">
            <w:pPr>
              <w:pStyle w:val="42"/>
              <w:kinsoku w:val="0"/>
              <w:overflowPunct w:val="0"/>
              <w:spacing w:beforeLines="0" w:afterLines="0" w:line="307" w:lineRule="exact"/>
              <w:jc w:val="center"/>
              <w:rPr>
                <w:rFonts w:hint="default"/>
                <w:sz w:val="24"/>
                <w:szCs w:val="24"/>
              </w:rPr>
            </w:pPr>
            <w:r>
              <w:rPr>
                <w:rFonts w:hint="eastAsia" w:ascii="宋体" w:hAnsi="宋体" w:eastAsia="宋体"/>
                <w:b/>
                <w:sz w:val="24"/>
                <w:szCs w:val="24"/>
              </w:rPr>
              <w:t>名称</w:t>
            </w:r>
          </w:p>
        </w:tc>
        <w:tc>
          <w:tcPr>
            <w:tcW w:w="357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2F270D9">
            <w:pPr>
              <w:pStyle w:val="42"/>
              <w:kinsoku w:val="0"/>
              <w:overflowPunct w:val="0"/>
              <w:spacing w:beforeLines="0" w:afterLines="0" w:line="307" w:lineRule="exact"/>
              <w:jc w:val="center"/>
              <w:rPr>
                <w:rFonts w:hint="default"/>
                <w:sz w:val="24"/>
                <w:szCs w:val="24"/>
              </w:rPr>
            </w:pPr>
            <w:r>
              <w:rPr>
                <w:rFonts w:hint="eastAsia" w:ascii="宋体" w:hAnsi="宋体" w:eastAsia="宋体"/>
                <w:b/>
                <w:sz w:val="24"/>
                <w:szCs w:val="24"/>
              </w:rPr>
              <w:t>明细</w:t>
            </w:r>
          </w:p>
        </w:tc>
        <w:tc>
          <w:tcPr>
            <w:tcW w:w="19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03E30D5">
            <w:pPr>
              <w:pStyle w:val="42"/>
              <w:kinsoku w:val="0"/>
              <w:overflowPunct w:val="0"/>
              <w:spacing w:beforeLines="0" w:afterLines="0" w:line="307" w:lineRule="exact"/>
              <w:ind w:left="376"/>
              <w:rPr>
                <w:rFonts w:hint="default"/>
                <w:sz w:val="24"/>
                <w:szCs w:val="24"/>
              </w:rPr>
            </w:pPr>
            <w:r>
              <w:rPr>
                <w:rFonts w:hint="eastAsia" w:ascii="宋体" w:hAnsi="宋体" w:eastAsia="宋体"/>
                <w:b/>
                <w:sz w:val="24"/>
                <w:szCs w:val="24"/>
              </w:rPr>
              <w:t>服务内容及标准</w:t>
            </w:r>
          </w:p>
        </w:tc>
      </w:tr>
      <w:tr w14:paraId="2DAAA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1" w:hRule="exact"/>
        </w:trPr>
        <w:tc>
          <w:tcPr>
            <w:tcW w:w="276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462D3475">
            <w:pPr>
              <w:pStyle w:val="42"/>
              <w:kinsoku w:val="0"/>
              <w:overflowPunct w:val="0"/>
              <w:spacing w:beforeLines="0" w:afterLines="0" w:line="307" w:lineRule="exact"/>
              <w:ind w:left="103"/>
              <w:rPr>
                <w:rFonts w:hint="default" w:ascii="Times New Roman" w:hAnsi="Times New Roman" w:eastAsia="宋体"/>
                <w:sz w:val="24"/>
                <w:szCs w:val="24"/>
                <w:lang w:val="en-US" w:eastAsia="zh-CN"/>
              </w:rPr>
            </w:pPr>
            <w:r>
              <w:rPr>
                <w:rFonts w:hint="eastAsia" w:eastAsia="宋体"/>
                <w:sz w:val="24"/>
                <w:szCs w:val="24"/>
                <w:lang w:val="en-US" w:eastAsia="zh-CN"/>
              </w:rPr>
              <w:t>喀什市青少年科学教育活动基地</w:t>
            </w:r>
          </w:p>
        </w:tc>
        <w:tc>
          <w:tcPr>
            <w:tcW w:w="357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28C8672">
            <w:pPr>
              <w:pStyle w:val="42"/>
              <w:kinsoku w:val="0"/>
              <w:overflowPunct w:val="0"/>
              <w:spacing w:beforeLines="0" w:afterLines="0" w:line="307" w:lineRule="exact"/>
              <w:ind w:left="102"/>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共计5层</w:t>
            </w:r>
          </w:p>
        </w:tc>
        <w:tc>
          <w:tcPr>
            <w:tcW w:w="19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670F4E6">
            <w:pPr>
              <w:spacing w:beforeLines="0" w:afterLines="0"/>
              <w:rPr>
                <w:rFonts w:hint="eastAsia" w:ascii="Times New Roman" w:hAnsi="Times New Roman" w:eastAsia="宋体"/>
                <w:sz w:val="24"/>
                <w:szCs w:val="24"/>
                <w:lang w:val="en-US" w:eastAsia="zh-CN"/>
              </w:rPr>
            </w:pPr>
          </w:p>
        </w:tc>
      </w:tr>
      <w:tr w14:paraId="722BF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exact"/>
        </w:trPr>
        <w:tc>
          <w:tcPr>
            <w:tcW w:w="150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33A3ABB">
            <w:pPr>
              <w:pStyle w:val="42"/>
              <w:kinsoku w:val="0"/>
              <w:overflowPunct w:val="0"/>
              <w:spacing w:before="159" w:beforeLines="0" w:afterLines="0" w:line="297" w:lineRule="auto"/>
              <w:ind w:left="103" w:right="332"/>
              <w:jc w:val="both"/>
              <w:rPr>
                <w:rFonts w:hint="default"/>
                <w:sz w:val="24"/>
                <w:szCs w:val="24"/>
              </w:rPr>
            </w:pPr>
            <w:r>
              <w:rPr>
                <w:rFonts w:hint="eastAsia" w:ascii="宋体" w:hAnsi="宋体" w:eastAsia="宋体"/>
                <w:sz w:val="24"/>
                <w:szCs w:val="24"/>
              </w:rPr>
              <w:t>总面积</w:t>
            </w:r>
          </w:p>
        </w:tc>
        <w:tc>
          <w:tcPr>
            <w:tcW w:w="125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B21B79C">
            <w:pPr>
              <w:pStyle w:val="42"/>
              <w:kinsoku w:val="0"/>
              <w:overflowPunct w:val="0"/>
              <w:spacing w:beforeLines="0" w:afterLines="0" w:line="275" w:lineRule="exact"/>
              <w:ind w:left="102"/>
              <w:rPr>
                <w:rFonts w:hint="default"/>
                <w:sz w:val="24"/>
                <w:szCs w:val="24"/>
              </w:rPr>
            </w:pPr>
            <w:r>
              <w:rPr>
                <w:rFonts w:hint="eastAsia" w:ascii="宋体" w:hAnsi="宋体" w:eastAsia="宋体"/>
                <w:sz w:val="24"/>
                <w:szCs w:val="24"/>
              </w:rPr>
              <w:t>建筑面积（</w:t>
            </w:r>
            <w:r>
              <w:rPr>
                <w:rFonts w:hint="eastAsia" w:ascii="宋体" w:hAnsi="宋体" w:eastAsia="宋体" w:cs="宋体"/>
                <w:sz w:val="24"/>
                <w:szCs w:val="24"/>
              </w:rPr>
              <w:t>㎡</w:t>
            </w:r>
            <w:r>
              <w:rPr>
                <w:rFonts w:hint="eastAsia" w:ascii="宋体" w:hAnsi="宋体" w:eastAsia="宋体"/>
                <w:sz w:val="24"/>
                <w:szCs w:val="24"/>
              </w:rPr>
              <w:t>）</w:t>
            </w:r>
          </w:p>
        </w:tc>
        <w:tc>
          <w:tcPr>
            <w:tcW w:w="357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16C1F63">
            <w:pPr>
              <w:pStyle w:val="42"/>
              <w:kinsoku w:val="0"/>
              <w:overflowPunct w:val="0"/>
              <w:spacing w:before="155" w:beforeLines="0" w:afterLines="0"/>
              <w:ind w:left="102"/>
              <w:rPr>
                <w:rFonts w:hint="default" w:ascii="Times New Roman" w:hAnsi="Times New Roman" w:eastAsia="宋体"/>
                <w:sz w:val="24"/>
                <w:szCs w:val="24"/>
                <w:lang w:val="en-US" w:eastAsia="zh-CN"/>
              </w:rPr>
            </w:pPr>
            <w:r>
              <w:rPr>
                <w:rFonts w:hint="eastAsia" w:ascii="宋体" w:hAnsi="宋体" w:eastAsia="宋体"/>
                <w:sz w:val="24"/>
                <w:szCs w:val="24"/>
                <w:lang w:val="en-US" w:eastAsia="zh-CN"/>
              </w:rPr>
              <w:t>11800</w:t>
            </w:r>
          </w:p>
        </w:tc>
        <w:tc>
          <w:tcPr>
            <w:tcW w:w="19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3A350BB">
            <w:pPr>
              <w:pStyle w:val="42"/>
              <w:kinsoku w:val="0"/>
              <w:overflowPunct w:val="0"/>
              <w:spacing w:before="173" w:beforeLines="0" w:afterLines="0"/>
              <w:ind w:left="103"/>
              <w:rPr>
                <w:rFonts w:hint="default"/>
                <w:sz w:val="24"/>
                <w:szCs w:val="24"/>
              </w:rPr>
            </w:pPr>
          </w:p>
        </w:tc>
      </w:tr>
      <w:tr w14:paraId="5BAEE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1" w:hRule="exact"/>
        </w:trPr>
        <w:tc>
          <w:tcPr>
            <w:tcW w:w="150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5F5B50">
            <w:pPr>
              <w:pStyle w:val="42"/>
              <w:kinsoku w:val="0"/>
              <w:overflowPunct w:val="0"/>
              <w:spacing w:before="173" w:beforeLines="0" w:afterLines="0"/>
              <w:ind w:left="103"/>
              <w:rPr>
                <w:rFonts w:hint="default" w:ascii="Times New Roman" w:hAnsi="Times New Roman" w:eastAsia="宋体"/>
                <w:sz w:val="24"/>
                <w:szCs w:val="24"/>
                <w:lang w:val="en-US" w:eastAsia="zh-CN"/>
              </w:rPr>
            </w:pPr>
            <w:r>
              <w:rPr>
                <w:rFonts w:hint="eastAsia" w:eastAsia="宋体"/>
                <w:sz w:val="24"/>
                <w:szCs w:val="24"/>
                <w:lang w:val="en-US" w:eastAsia="zh-CN"/>
              </w:rPr>
              <w:t>场馆内部</w:t>
            </w:r>
          </w:p>
        </w:tc>
        <w:tc>
          <w:tcPr>
            <w:tcW w:w="125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1C57A4B">
            <w:pPr>
              <w:pStyle w:val="42"/>
              <w:kinsoku w:val="0"/>
              <w:overflowPunct w:val="0"/>
              <w:spacing w:beforeLines="0" w:afterLines="0" w:line="276" w:lineRule="exact"/>
              <w:ind w:left="102"/>
              <w:rPr>
                <w:rFonts w:hint="eastAsia" w:ascii="宋体" w:hAnsi="宋体" w:eastAsia="宋体"/>
                <w:spacing w:val="15"/>
                <w:sz w:val="24"/>
                <w:szCs w:val="24"/>
              </w:rPr>
            </w:pPr>
          </w:p>
        </w:tc>
        <w:tc>
          <w:tcPr>
            <w:tcW w:w="357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F486601">
            <w:pPr>
              <w:pStyle w:val="42"/>
              <w:kinsoku w:val="0"/>
              <w:overflowPunct w:val="0"/>
              <w:spacing w:beforeLines="0" w:afterLines="0" w:line="307" w:lineRule="exact"/>
              <w:ind w:left="102"/>
              <w:rPr>
                <w:rFonts w:hint="default" w:ascii="Times New Roman" w:hAnsi="Times New Roman" w:eastAsia="宋体" w:cs="Times New Roman"/>
                <w:sz w:val="24"/>
                <w:szCs w:val="24"/>
                <w:lang w:val="en-US" w:eastAsia="zh-CN"/>
              </w:rPr>
            </w:pPr>
            <w:r>
              <w:rPr>
                <w:rFonts w:hint="eastAsia" w:eastAsia="宋体"/>
                <w:sz w:val="24"/>
                <w:szCs w:val="24"/>
                <w:lang w:val="en-US" w:eastAsia="zh-CN"/>
              </w:rPr>
              <w:t>地上五层，</w:t>
            </w:r>
            <w:r>
              <w:rPr>
                <w:rFonts w:hint="eastAsia" w:ascii="Times New Roman" w:hAnsi="Times New Roman" w:eastAsia="宋体" w:cs="Times New Roman"/>
                <w:sz w:val="24"/>
                <w:szCs w:val="24"/>
                <w:lang w:val="en-US" w:eastAsia="zh-CN"/>
              </w:rPr>
              <w:t>设置一个序厅、四个常设展厅、一个专题展厅及临展厅</w:t>
            </w:r>
            <w:r>
              <w:rPr>
                <w:rFonts w:hint="eastAsia" w:ascii="方正仿宋_GBK" w:hAnsi="方正仿宋_GBK" w:eastAsia="方正仿宋_GBK" w:cs="方正仿宋_GBK"/>
                <w:spacing w:val="6"/>
                <w:sz w:val="32"/>
                <w:szCs w:val="32"/>
                <w:lang w:val="en-US" w:eastAsia="zh-CN"/>
              </w:rPr>
              <w:t>，</w:t>
            </w:r>
            <w:r>
              <w:rPr>
                <w:rFonts w:hint="eastAsia" w:ascii="Times New Roman" w:hAnsi="Times New Roman" w:eastAsia="宋体" w:cs="Times New Roman"/>
                <w:sz w:val="24"/>
                <w:szCs w:val="24"/>
                <w:lang w:val="en-US" w:eastAsia="zh-CN"/>
              </w:rPr>
              <w:t>五层楼创客教室；公共楼道、公共卫生间10间。（不包括展项设备的保洁）</w:t>
            </w:r>
          </w:p>
          <w:p w14:paraId="70C3122C">
            <w:pPr>
              <w:pStyle w:val="42"/>
              <w:kinsoku w:val="0"/>
              <w:overflowPunct w:val="0"/>
              <w:spacing w:before="154" w:beforeLines="0" w:afterLines="0"/>
              <w:ind w:left="102"/>
              <w:rPr>
                <w:rFonts w:hint="eastAsia" w:ascii="宋体" w:hAnsi="宋体" w:eastAsia="宋体"/>
                <w:sz w:val="24"/>
                <w:szCs w:val="24"/>
                <w:lang w:val="en-US" w:eastAsia="zh-CN"/>
              </w:rPr>
            </w:pPr>
          </w:p>
        </w:tc>
        <w:tc>
          <w:tcPr>
            <w:tcW w:w="19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0F9D77B">
            <w:pPr>
              <w:pStyle w:val="42"/>
              <w:kinsoku w:val="0"/>
              <w:overflowPunct w:val="0"/>
              <w:spacing w:before="175" w:beforeLines="0" w:afterLines="0"/>
              <w:ind w:left="103"/>
              <w:rPr>
                <w:rFonts w:hint="eastAsia" w:ascii="宋体" w:hAnsi="宋体" w:eastAsia="宋体"/>
                <w:spacing w:val="-2"/>
                <w:sz w:val="22"/>
                <w:szCs w:val="24"/>
              </w:rPr>
            </w:pPr>
          </w:p>
        </w:tc>
      </w:tr>
      <w:tr w14:paraId="4C89C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exact"/>
        </w:trPr>
        <w:tc>
          <w:tcPr>
            <w:tcW w:w="150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86BE838">
            <w:pPr>
              <w:pStyle w:val="42"/>
              <w:kinsoku w:val="0"/>
              <w:overflowPunct w:val="0"/>
              <w:spacing w:before="173" w:beforeLines="0" w:afterLines="0"/>
              <w:ind w:left="103"/>
              <w:rPr>
                <w:rFonts w:hint="default" w:ascii="Times New Roman" w:hAnsi="Times New Roman" w:eastAsia="宋体"/>
                <w:sz w:val="24"/>
                <w:szCs w:val="24"/>
                <w:lang w:val="en-US" w:eastAsia="zh-CN"/>
              </w:rPr>
            </w:pPr>
            <w:r>
              <w:rPr>
                <w:rFonts w:hint="eastAsia" w:eastAsia="宋体"/>
                <w:sz w:val="24"/>
                <w:szCs w:val="24"/>
                <w:lang w:val="en-US" w:eastAsia="zh-CN"/>
              </w:rPr>
              <w:t>停车场绿化林带</w:t>
            </w:r>
          </w:p>
        </w:tc>
        <w:tc>
          <w:tcPr>
            <w:tcW w:w="125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4E4B65B">
            <w:pPr>
              <w:pStyle w:val="42"/>
              <w:kinsoku w:val="0"/>
              <w:overflowPunct w:val="0"/>
              <w:spacing w:beforeLines="0" w:afterLines="0" w:line="276" w:lineRule="exact"/>
              <w:ind w:left="102"/>
              <w:rPr>
                <w:rFonts w:hint="eastAsia" w:ascii="宋体" w:hAnsi="宋体" w:eastAsia="宋体"/>
                <w:spacing w:val="15"/>
                <w:sz w:val="24"/>
                <w:szCs w:val="24"/>
              </w:rPr>
            </w:pPr>
          </w:p>
        </w:tc>
        <w:tc>
          <w:tcPr>
            <w:tcW w:w="357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2B45908">
            <w:pPr>
              <w:pStyle w:val="42"/>
              <w:kinsoku w:val="0"/>
              <w:overflowPunct w:val="0"/>
              <w:spacing w:before="154" w:beforeLines="0" w:afterLines="0"/>
              <w:ind w:left="102"/>
              <w:rPr>
                <w:rFonts w:hint="eastAsia" w:ascii="宋体" w:hAnsi="宋体" w:eastAsia="宋体"/>
                <w:sz w:val="24"/>
                <w:szCs w:val="24"/>
                <w:lang w:val="en-US" w:eastAsia="zh-CN"/>
              </w:rPr>
            </w:pPr>
            <w:r>
              <w:rPr>
                <w:rFonts w:hint="eastAsia" w:ascii="宋体" w:hAnsi="宋体" w:eastAsia="宋体"/>
                <w:sz w:val="24"/>
                <w:szCs w:val="24"/>
                <w:lang w:val="en-US" w:eastAsia="zh-CN"/>
              </w:rPr>
              <w:t>外部停车场、绿化林带</w:t>
            </w:r>
          </w:p>
        </w:tc>
        <w:tc>
          <w:tcPr>
            <w:tcW w:w="19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383FD85">
            <w:pPr>
              <w:pStyle w:val="42"/>
              <w:kinsoku w:val="0"/>
              <w:overflowPunct w:val="0"/>
              <w:spacing w:before="175" w:beforeLines="0" w:afterLines="0"/>
              <w:ind w:left="103"/>
              <w:rPr>
                <w:rFonts w:hint="eastAsia" w:ascii="宋体" w:hAnsi="宋体" w:eastAsia="宋体"/>
                <w:spacing w:val="-2"/>
                <w:sz w:val="22"/>
                <w:szCs w:val="24"/>
              </w:rPr>
            </w:pPr>
          </w:p>
        </w:tc>
      </w:tr>
      <w:tr w14:paraId="4514D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exact"/>
        </w:trPr>
        <w:tc>
          <w:tcPr>
            <w:tcW w:w="150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24E2E17">
            <w:pPr>
              <w:pStyle w:val="42"/>
              <w:kinsoku w:val="0"/>
              <w:overflowPunct w:val="0"/>
              <w:spacing w:before="173" w:beforeLines="0" w:afterLines="0"/>
              <w:ind w:left="103"/>
              <w:rPr>
                <w:rFonts w:hint="default" w:ascii="Times New Roman" w:hAnsi="Times New Roman" w:eastAsia="宋体"/>
                <w:sz w:val="24"/>
                <w:szCs w:val="24"/>
                <w:lang w:val="en-US" w:eastAsia="zh-CN"/>
              </w:rPr>
            </w:pPr>
            <w:r>
              <w:rPr>
                <w:rFonts w:hint="eastAsia" w:eastAsia="宋体"/>
                <w:sz w:val="24"/>
                <w:szCs w:val="24"/>
                <w:lang w:val="en-US" w:eastAsia="zh-CN"/>
              </w:rPr>
              <w:t>消防设备维保</w:t>
            </w:r>
          </w:p>
        </w:tc>
        <w:tc>
          <w:tcPr>
            <w:tcW w:w="125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5F5931F">
            <w:pPr>
              <w:pStyle w:val="42"/>
              <w:kinsoku w:val="0"/>
              <w:overflowPunct w:val="0"/>
              <w:spacing w:beforeLines="0" w:afterLines="0" w:line="276" w:lineRule="exact"/>
              <w:ind w:left="102"/>
              <w:rPr>
                <w:rFonts w:hint="eastAsia" w:ascii="宋体" w:hAnsi="宋体" w:eastAsia="宋体"/>
                <w:spacing w:val="15"/>
                <w:sz w:val="24"/>
                <w:szCs w:val="24"/>
              </w:rPr>
            </w:pPr>
          </w:p>
        </w:tc>
        <w:tc>
          <w:tcPr>
            <w:tcW w:w="357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85287EA">
            <w:pPr>
              <w:pStyle w:val="42"/>
              <w:kinsoku w:val="0"/>
              <w:overflowPunct w:val="0"/>
              <w:spacing w:before="154" w:beforeLines="0" w:afterLines="0"/>
              <w:ind w:left="102"/>
              <w:rPr>
                <w:rFonts w:hint="eastAsia" w:ascii="宋体" w:hAnsi="宋体" w:eastAsia="宋体"/>
                <w:sz w:val="24"/>
                <w:szCs w:val="24"/>
                <w:lang w:val="en-US" w:eastAsia="zh-CN"/>
              </w:rPr>
            </w:pPr>
            <w:r>
              <w:rPr>
                <w:rFonts w:hint="eastAsia" w:ascii="宋体" w:hAnsi="宋体" w:eastAsia="宋体"/>
                <w:sz w:val="24"/>
                <w:szCs w:val="24"/>
                <w:lang w:val="en-US" w:eastAsia="zh-CN"/>
              </w:rPr>
              <w:t>场馆水、电日常维护（不包括展品设备维保）</w:t>
            </w:r>
          </w:p>
        </w:tc>
        <w:tc>
          <w:tcPr>
            <w:tcW w:w="19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7B1F79D">
            <w:pPr>
              <w:pStyle w:val="42"/>
              <w:kinsoku w:val="0"/>
              <w:overflowPunct w:val="0"/>
              <w:spacing w:before="175" w:beforeLines="0" w:afterLines="0"/>
              <w:ind w:left="103"/>
              <w:rPr>
                <w:rFonts w:hint="eastAsia" w:ascii="宋体" w:hAnsi="宋体" w:eastAsia="宋体"/>
                <w:spacing w:val="-2"/>
                <w:sz w:val="22"/>
                <w:szCs w:val="24"/>
              </w:rPr>
            </w:pPr>
          </w:p>
        </w:tc>
      </w:tr>
      <w:tr w14:paraId="1DEBB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exact"/>
        </w:trPr>
        <w:tc>
          <w:tcPr>
            <w:tcW w:w="150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4F97F3D">
            <w:pPr>
              <w:pStyle w:val="42"/>
              <w:kinsoku w:val="0"/>
              <w:overflowPunct w:val="0"/>
              <w:spacing w:before="173" w:beforeLines="0" w:afterLines="0"/>
              <w:ind w:left="103"/>
              <w:rPr>
                <w:rFonts w:hint="eastAsia" w:ascii="Times New Roman" w:hAnsi="Times New Roman" w:eastAsia="宋体"/>
                <w:sz w:val="24"/>
                <w:szCs w:val="24"/>
                <w:lang w:val="en-US" w:eastAsia="zh-CN"/>
              </w:rPr>
            </w:pPr>
            <w:r>
              <w:rPr>
                <w:rFonts w:hint="eastAsia" w:eastAsia="宋体"/>
                <w:sz w:val="24"/>
                <w:szCs w:val="24"/>
                <w:lang w:val="en-US" w:eastAsia="zh-CN"/>
              </w:rPr>
              <w:t>电梯维保</w:t>
            </w:r>
          </w:p>
        </w:tc>
        <w:tc>
          <w:tcPr>
            <w:tcW w:w="125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B1C56E8">
            <w:pPr>
              <w:pStyle w:val="42"/>
              <w:kinsoku w:val="0"/>
              <w:overflowPunct w:val="0"/>
              <w:spacing w:beforeLines="0" w:afterLines="0" w:line="276" w:lineRule="exact"/>
              <w:ind w:left="102"/>
              <w:rPr>
                <w:rFonts w:hint="eastAsia" w:ascii="宋体" w:hAnsi="宋体" w:eastAsia="宋体"/>
                <w:spacing w:val="15"/>
                <w:sz w:val="24"/>
                <w:szCs w:val="24"/>
              </w:rPr>
            </w:pPr>
          </w:p>
        </w:tc>
        <w:tc>
          <w:tcPr>
            <w:tcW w:w="357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4EA44C9">
            <w:pPr>
              <w:pStyle w:val="42"/>
              <w:kinsoku w:val="0"/>
              <w:overflowPunct w:val="0"/>
              <w:spacing w:beforeLines="0" w:afterLines="0" w:line="307" w:lineRule="exact"/>
              <w:ind w:left="102"/>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电梯2台</w:t>
            </w:r>
          </w:p>
        </w:tc>
        <w:tc>
          <w:tcPr>
            <w:tcW w:w="19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FE444E9">
            <w:pPr>
              <w:pStyle w:val="42"/>
              <w:kinsoku w:val="0"/>
              <w:overflowPunct w:val="0"/>
              <w:spacing w:before="175" w:beforeLines="0" w:afterLines="0"/>
              <w:ind w:left="103"/>
              <w:rPr>
                <w:rFonts w:hint="eastAsia" w:ascii="宋体" w:hAnsi="宋体" w:eastAsia="宋体"/>
                <w:spacing w:val="-2"/>
                <w:sz w:val="22"/>
                <w:szCs w:val="24"/>
              </w:rPr>
            </w:pPr>
          </w:p>
        </w:tc>
      </w:tr>
      <w:tr w14:paraId="3EAC7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exact"/>
        </w:trPr>
        <w:tc>
          <w:tcPr>
            <w:tcW w:w="150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10E2BB7">
            <w:pPr>
              <w:pStyle w:val="42"/>
              <w:kinsoku w:val="0"/>
              <w:overflowPunct w:val="0"/>
              <w:spacing w:before="173" w:beforeLines="0" w:afterLines="0"/>
              <w:ind w:left="103"/>
              <w:rPr>
                <w:rFonts w:hint="eastAsia" w:ascii="Times New Roman" w:hAnsi="Times New Roman" w:eastAsia="宋体"/>
                <w:sz w:val="24"/>
                <w:szCs w:val="24"/>
                <w:lang w:val="en-US" w:eastAsia="zh-CN"/>
              </w:rPr>
            </w:pPr>
            <w:r>
              <w:rPr>
                <w:rFonts w:hint="eastAsia" w:eastAsia="宋体"/>
                <w:sz w:val="24"/>
                <w:szCs w:val="24"/>
                <w:lang w:val="en-US" w:eastAsia="zh-CN"/>
              </w:rPr>
              <w:t>监控室</w:t>
            </w:r>
          </w:p>
        </w:tc>
        <w:tc>
          <w:tcPr>
            <w:tcW w:w="125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05D4111">
            <w:pPr>
              <w:pStyle w:val="42"/>
              <w:kinsoku w:val="0"/>
              <w:overflowPunct w:val="0"/>
              <w:spacing w:beforeLines="0" w:afterLines="0" w:line="276" w:lineRule="exact"/>
              <w:ind w:left="102"/>
              <w:rPr>
                <w:rFonts w:hint="eastAsia" w:ascii="宋体" w:hAnsi="宋体" w:eastAsia="宋体"/>
                <w:spacing w:val="15"/>
                <w:sz w:val="24"/>
                <w:szCs w:val="24"/>
              </w:rPr>
            </w:pPr>
          </w:p>
        </w:tc>
        <w:tc>
          <w:tcPr>
            <w:tcW w:w="357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4F41919">
            <w:pPr>
              <w:pStyle w:val="42"/>
              <w:kinsoku w:val="0"/>
              <w:overflowPunct w:val="0"/>
              <w:spacing w:before="154" w:beforeLines="0" w:afterLines="0"/>
              <w:ind w:left="102"/>
              <w:rPr>
                <w:rFonts w:hint="eastAsia" w:ascii="宋体" w:hAnsi="宋体" w:eastAsia="宋体"/>
                <w:sz w:val="24"/>
                <w:szCs w:val="24"/>
                <w:lang w:val="en-US" w:eastAsia="zh-CN"/>
              </w:rPr>
            </w:pPr>
            <w:r>
              <w:rPr>
                <w:rFonts w:hint="eastAsia" w:ascii="宋体" w:hAnsi="宋体" w:eastAsia="宋体"/>
                <w:sz w:val="24"/>
                <w:szCs w:val="24"/>
                <w:lang w:val="en-US" w:eastAsia="zh-CN"/>
              </w:rPr>
              <w:t>监控室1间</w:t>
            </w:r>
          </w:p>
        </w:tc>
        <w:tc>
          <w:tcPr>
            <w:tcW w:w="19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9579DCF">
            <w:pPr>
              <w:pStyle w:val="42"/>
              <w:kinsoku w:val="0"/>
              <w:overflowPunct w:val="0"/>
              <w:spacing w:before="175" w:beforeLines="0" w:afterLines="0"/>
              <w:ind w:left="103"/>
              <w:rPr>
                <w:rFonts w:hint="eastAsia" w:ascii="宋体" w:hAnsi="宋体" w:eastAsia="宋体"/>
                <w:spacing w:val="-2"/>
                <w:sz w:val="22"/>
                <w:szCs w:val="24"/>
              </w:rPr>
            </w:pPr>
          </w:p>
        </w:tc>
      </w:tr>
    </w:tbl>
    <w:p w14:paraId="1DE38398">
      <w:pPr>
        <w:pStyle w:val="8"/>
        <w:kinsoku w:val="0"/>
        <w:overflowPunct w:val="0"/>
        <w:spacing w:beforeLines="0" w:afterLines="0" w:line="256" w:lineRule="exact"/>
        <w:ind w:firstLine="420"/>
        <w:rPr>
          <w:rFonts w:hint="eastAsia"/>
          <w:sz w:val="21"/>
          <w:szCs w:val="24"/>
        </w:rPr>
      </w:pPr>
      <w:r>
        <w:rPr>
          <w:rFonts w:hint="eastAsia"/>
          <w:w w:val="95"/>
          <w:sz w:val="21"/>
          <w:szCs w:val="24"/>
        </w:rPr>
        <w:t>注：此表格详细列出了不同建筑物的物业管理指标项及其明细。若存在</w:t>
      </w:r>
      <w:r>
        <w:rPr>
          <w:rFonts w:hint="default" w:ascii="Times New Roman" w:hAnsi="Times New Roman" w:eastAsia="Times New Roman"/>
          <w:w w:val="95"/>
          <w:sz w:val="21"/>
          <w:szCs w:val="24"/>
        </w:rPr>
        <w:t>“</w:t>
      </w:r>
      <w:r>
        <w:rPr>
          <w:rFonts w:hint="eastAsia"/>
          <w:w w:val="95"/>
          <w:sz w:val="21"/>
          <w:szCs w:val="24"/>
        </w:rPr>
        <w:t>建筑</w:t>
      </w:r>
      <w:r>
        <w:rPr>
          <w:rFonts w:hint="default" w:ascii="Times New Roman" w:hAnsi="Times New Roman" w:eastAsia="Times New Roman"/>
          <w:spacing w:val="-1"/>
          <w:w w:val="95"/>
          <w:sz w:val="21"/>
          <w:szCs w:val="24"/>
        </w:rPr>
        <w:t>2”</w:t>
      </w:r>
      <w:r>
        <w:rPr>
          <w:rFonts w:hint="eastAsia"/>
          <w:spacing w:val="-1"/>
          <w:w w:val="95"/>
          <w:sz w:val="21"/>
          <w:szCs w:val="24"/>
        </w:rPr>
        <w:t>，则</w:t>
      </w:r>
    </w:p>
    <w:p w14:paraId="1A82AD64">
      <w:pPr>
        <w:pStyle w:val="8"/>
        <w:kinsoku w:val="0"/>
        <w:overflowPunct w:val="0"/>
        <w:spacing w:before="50" w:beforeLines="0" w:afterLines="0"/>
        <w:rPr>
          <w:rFonts w:hint="eastAsia"/>
          <w:sz w:val="21"/>
          <w:szCs w:val="24"/>
        </w:rPr>
      </w:pPr>
      <w:r>
        <w:rPr>
          <w:rFonts w:hint="eastAsia"/>
          <w:sz w:val="21"/>
          <w:szCs w:val="24"/>
        </w:rPr>
        <w:t>相应增加内容，以此类推。</w:t>
      </w:r>
    </w:p>
    <w:p w14:paraId="64AE1050">
      <w:pPr>
        <w:pStyle w:val="8"/>
        <w:kinsoku w:val="0"/>
        <w:overflowPunct w:val="0"/>
        <w:spacing w:before="66" w:beforeLines="0" w:afterLines="0" w:line="297" w:lineRule="auto"/>
        <w:ind w:firstLine="840"/>
        <w:rPr>
          <w:rFonts w:hint="eastAsia"/>
          <w:sz w:val="21"/>
          <w:szCs w:val="24"/>
        </w:rPr>
      </w:pPr>
      <w:r>
        <w:rPr>
          <w:rFonts w:hint="eastAsia"/>
          <w:w w:val="95"/>
          <w:sz w:val="21"/>
          <w:szCs w:val="24"/>
        </w:rPr>
        <w:t>以上内容体现需要供应商进行物业管理的物业的情况、边界、范围。指标的设置</w:t>
      </w:r>
      <w:r>
        <w:rPr>
          <w:rFonts w:hint="eastAsia"/>
          <w:sz w:val="21"/>
          <w:szCs w:val="24"/>
        </w:rPr>
        <w:t>要充分考虑可能影响供应商报价和项目实施风险的因素。</w:t>
      </w:r>
    </w:p>
    <w:p w14:paraId="4277C3DC">
      <w:pPr>
        <w:pStyle w:val="8"/>
        <w:kinsoku w:val="0"/>
        <w:overflowPunct w:val="0"/>
        <w:spacing w:before="8" w:beforeLines="0" w:afterLines="0"/>
        <w:ind w:left="0"/>
        <w:rPr>
          <w:rFonts w:hint="eastAsia"/>
          <w:sz w:val="19"/>
          <w:szCs w:val="24"/>
        </w:rPr>
      </w:pPr>
    </w:p>
    <w:p w14:paraId="1D0636E1">
      <w:pPr>
        <w:pStyle w:val="8"/>
        <w:kinsoku w:val="0"/>
        <w:overflowPunct w:val="0"/>
        <w:spacing w:beforeLines="0" w:afterLines="0"/>
        <w:ind w:left="0"/>
        <w:rPr>
          <w:rFonts w:hint="eastAsia" w:ascii="楷体" w:hAnsi="楷体" w:eastAsia="楷体"/>
          <w:sz w:val="20"/>
          <w:szCs w:val="24"/>
        </w:rPr>
      </w:pPr>
      <w:bookmarkStart w:id="13" w:name="（2）物业管理（其他）"/>
      <w:bookmarkEnd w:id="13"/>
    </w:p>
    <w:p w14:paraId="4C7338AB">
      <w:pPr>
        <w:pStyle w:val="8"/>
        <w:kinsoku w:val="0"/>
        <w:overflowPunct w:val="0"/>
        <w:spacing w:before="2" w:beforeLines="0" w:afterLines="0"/>
        <w:ind w:left="0"/>
        <w:rPr>
          <w:rFonts w:hint="eastAsia" w:ascii="楷体" w:hAnsi="楷体" w:eastAsia="楷体"/>
          <w:sz w:val="15"/>
          <w:szCs w:val="24"/>
        </w:rPr>
      </w:pPr>
    </w:p>
    <w:p w14:paraId="7D6217CA">
      <w:pPr>
        <w:pStyle w:val="3"/>
        <w:kinsoku w:val="0"/>
        <w:overflowPunct w:val="0"/>
        <w:spacing w:beforeLines="0" w:afterLines="0"/>
        <w:ind w:left="2591"/>
        <w:rPr>
          <w:rFonts w:hint="eastAsia"/>
          <w:b w:val="0"/>
          <w:sz w:val="30"/>
          <w:szCs w:val="24"/>
        </w:rPr>
      </w:pPr>
      <w:bookmarkStart w:id="14" w:name="3.物业管理服务内容及标准"/>
      <w:bookmarkEnd w:id="14"/>
      <w:r>
        <w:rPr>
          <w:rFonts w:hint="default" w:ascii="Arial" w:hAnsi="Arial"/>
          <w:sz w:val="30"/>
          <w:szCs w:val="24"/>
        </w:rPr>
        <w:t>3.</w:t>
      </w:r>
      <w:r>
        <w:rPr>
          <w:rFonts w:hint="eastAsia"/>
          <w:sz w:val="30"/>
          <w:szCs w:val="24"/>
        </w:rPr>
        <w:t>物业管理服务内容及标准</w:t>
      </w:r>
    </w:p>
    <w:p w14:paraId="344712EF">
      <w:pPr>
        <w:pStyle w:val="8"/>
        <w:kinsoku w:val="0"/>
        <w:overflowPunct w:val="0"/>
        <w:spacing w:before="8" w:beforeLines="0" w:afterLines="0"/>
        <w:ind w:left="0"/>
        <w:rPr>
          <w:rFonts w:hint="eastAsia" w:ascii="黑体" w:hAnsi="黑体" w:eastAsia="黑体"/>
          <w:b/>
          <w:sz w:val="29"/>
          <w:szCs w:val="24"/>
        </w:rPr>
      </w:pPr>
    </w:p>
    <w:p w14:paraId="4C0E0C1F">
      <w:pPr>
        <w:pStyle w:val="8"/>
        <w:kinsoku w:val="0"/>
        <w:overflowPunct w:val="0"/>
        <w:spacing w:beforeLines="0" w:afterLines="0" w:line="297" w:lineRule="auto"/>
        <w:ind w:firstLine="420"/>
        <w:rPr>
          <w:rFonts w:hint="eastAsia"/>
          <w:sz w:val="21"/>
          <w:szCs w:val="24"/>
        </w:rPr>
      </w:pPr>
      <w:r>
        <w:rPr>
          <w:rFonts w:hint="eastAsia"/>
          <w:w w:val="95"/>
          <w:sz w:val="21"/>
          <w:szCs w:val="24"/>
        </w:rPr>
        <w:t>物业管理服务包括基本服务、房屋维护服务、公用设施设备维护服务、保洁服务、绿</w:t>
      </w:r>
      <w:r>
        <w:rPr>
          <w:rFonts w:hint="eastAsia"/>
          <w:sz w:val="21"/>
          <w:szCs w:val="24"/>
        </w:rPr>
        <w:t>化服务、保安服务、会议服务等。</w:t>
      </w:r>
    </w:p>
    <w:p w14:paraId="04B5DEF3">
      <w:pPr>
        <w:pStyle w:val="8"/>
        <w:kinsoku w:val="0"/>
        <w:overflowPunct w:val="0"/>
        <w:spacing w:before="10" w:beforeLines="0" w:afterLines="0"/>
        <w:ind w:left="0"/>
        <w:rPr>
          <w:rFonts w:hint="eastAsia"/>
          <w:sz w:val="19"/>
          <w:szCs w:val="24"/>
        </w:rPr>
      </w:pPr>
    </w:p>
    <w:p w14:paraId="7D5D9968">
      <w:pPr>
        <w:pStyle w:val="2"/>
        <w:kinsoku w:val="0"/>
        <w:overflowPunct w:val="0"/>
        <w:spacing w:beforeLines="0" w:afterLines="0"/>
        <w:rPr>
          <w:rFonts w:hint="eastAsia"/>
          <w:b w:val="0"/>
          <w:sz w:val="32"/>
          <w:szCs w:val="24"/>
        </w:rPr>
      </w:pPr>
      <w:bookmarkStart w:id="15" w:name="3.1基本服务"/>
      <w:bookmarkEnd w:id="15"/>
      <w:r>
        <w:rPr>
          <w:rFonts w:hint="default" w:ascii="Times New Roman" w:hAnsi="Times New Roman" w:eastAsia="Times New Roman"/>
          <w:sz w:val="32"/>
          <w:szCs w:val="24"/>
        </w:rPr>
        <w:t>3.1</w:t>
      </w:r>
      <w:r>
        <w:rPr>
          <w:rFonts w:hint="eastAsia"/>
          <w:spacing w:val="1"/>
          <w:sz w:val="32"/>
          <w:szCs w:val="24"/>
        </w:rPr>
        <w:t>基本服务</w:t>
      </w:r>
    </w:p>
    <w:p w14:paraId="6CBD2A3E">
      <w:pPr>
        <w:pStyle w:val="8"/>
        <w:kinsoku w:val="0"/>
        <w:overflowPunct w:val="0"/>
        <w:spacing w:before="7" w:beforeLines="0" w:afterLines="0"/>
        <w:ind w:left="0"/>
        <w:rPr>
          <w:rFonts w:hint="eastAsia"/>
          <w:b/>
          <w:sz w:val="24"/>
          <w:szCs w:val="24"/>
        </w:rPr>
      </w:pPr>
    </w:p>
    <w:tbl>
      <w:tblPr>
        <w:tblStyle w:val="19"/>
        <w:tblW w:w="0" w:type="auto"/>
        <w:tblInd w:w="2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9"/>
        <w:gridCol w:w="1930"/>
        <w:gridCol w:w="5863"/>
      </w:tblGrid>
      <w:tr w14:paraId="59FA9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exact"/>
        </w:trPr>
        <w:tc>
          <w:tcPr>
            <w:tcW w:w="71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D0C72F4">
            <w:pPr>
              <w:pStyle w:val="42"/>
              <w:kinsoku w:val="0"/>
              <w:overflowPunct w:val="0"/>
              <w:spacing w:beforeLines="0" w:afterLines="0" w:line="306" w:lineRule="exact"/>
              <w:ind w:left="112"/>
              <w:rPr>
                <w:rFonts w:hint="default"/>
                <w:sz w:val="24"/>
                <w:szCs w:val="24"/>
              </w:rPr>
            </w:pPr>
            <w:r>
              <w:rPr>
                <w:rFonts w:hint="eastAsia" w:ascii="宋体" w:hAnsi="宋体" w:eastAsia="宋体"/>
                <w:b/>
                <w:sz w:val="24"/>
                <w:szCs w:val="24"/>
              </w:rPr>
              <w:t>序号</w:t>
            </w:r>
          </w:p>
        </w:tc>
        <w:tc>
          <w:tcPr>
            <w:tcW w:w="193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DC4FC67">
            <w:pPr>
              <w:pStyle w:val="42"/>
              <w:kinsoku w:val="0"/>
              <w:overflowPunct w:val="0"/>
              <w:spacing w:beforeLines="0" w:afterLines="0" w:line="306" w:lineRule="exact"/>
              <w:ind w:left="478"/>
              <w:rPr>
                <w:rFonts w:hint="default"/>
                <w:sz w:val="24"/>
                <w:szCs w:val="24"/>
              </w:rPr>
            </w:pPr>
            <w:r>
              <w:rPr>
                <w:rFonts w:hint="eastAsia" w:ascii="宋体" w:hAnsi="宋体" w:eastAsia="宋体"/>
                <w:b/>
                <w:sz w:val="24"/>
                <w:szCs w:val="24"/>
              </w:rPr>
              <w:t>服务内容</w:t>
            </w:r>
          </w:p>
        </w:tc>
        <w:tc>
          <w:tcPr>
            <w:tcW w:w="586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A270774">
            <w:pPr>
              <w:pStyle w:val="42"/>
              <w:kinsoku w:val="0"/>
              <w:overflowPunct w:val="0"/>
              <w:spacing w:beforeLines="0" w:afterLines="0" w:line="306" w:lineRule="exact"/>
              <w:ind w:right="1"/>
              <w:jc w:val="center"/>
              <w:rPr>
                <w:rFonts w:hint="default"/>
                <w:sz w:val="24"/>
                <w:szCs w:val="24"/>
              </w:rPr>
            </w:pPr>
            <w:r>
              <w:rPr>
                <w:rFonts w:hint="eastAsia" w:ascii="宋体" w:hAnsi="宋体" w:eastAsia="宋体"/>
                <w:b/>
                <w:sz w:val="24"/>
                <w:szCs w:val="24"/>
              </w:rPr>
              <w:t>服务标准</w:t>
            </w:r>
          </w:p>
        </w:tc>
      </w:tr>
      <w:tr w14:paraId="69B81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8" w:hRule="exact"/>
        </w:trPr>
        <w:tc>
          <w:tcPr>
            <w:tcW w:w="71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6A7FBEDF">
            <w:pPr>
              <w:pStyle w:val="42"/>
              <w:kinsoku w:val="0"/>
              <w:overflowPunct w:val="0"/>
              <w:spacing w:beforeLines="0" w:afterLines="0"/>
              <w:rPr>
                <w:rFonts w:hint="eastAsia" w:ascii="宋体" w:hAnsi="宋体" w:eastAsia="宋体"/>
                <w:b/>
                <w:sz w:val="24"/>
                <w:szCs w:val="24"/>
              </w:rPr>
            </w:pPr>
          </w:p>
          <w:p w14:paraId="691F6B83">
            <w:pPr>
              <w:pStyle w:val="42"/>
              <w:kinsoku w:val="0"/>
              <w:overflowPunct w:val="0"/>
              <w:spacing w:beforeLines="0" w:afterLines="0"/>
              <w:rPr>
                <w:rFonts w:hint="eastAsia" w:ascii="宋体" w:hAnsi="宋体" w:eastAsia="宋体"/>
                <w:b/>
                <w:sz w:val="24"/>
                <w:szCs w:val="24"/>
              </w:rPr>
            </w:pPr>
          </w:p>
          <w:p w14:paraId="730ED606">
            <w:pPr>
              <w:pStyle w:val="42"/>
              <w:kinsoku w:val="0"/>
              <w:overflowPunct w:val="0"/>
              <w:spacing w:before="5" w:beforeLines="0" w:afterLines="0"/>
              <w:rPr>
                <w:rFonts w:hint="eastAsia" w:ascii="宋体" w:hAnsi="宋体" w:eastAsia="宋体"/>
                <w:b/>
                <w:sz w:val="34"/>
                <w:szCs w:val="24"/>
              </w:rPr>
            </w:pPr>
          </w:p>
          <w:p w14:paraId="5FBB3038">
            <w:pPr>
              <w:pStyle w:val="42"/>
              <w:kinsoku w:val="0"/>
              <w:overflowPunct w:val="0"/>
              <w:spacing w:beforeLines="0" w:afterLines="0"/>
              <w:ind w:left="1"/>
              <w:jc w:val="center"/>
              <w:rPr>
                <w:rFonts w:hint="default"/>
                <w:sz w:val="24"/>
                <w:szCs w:val="24"/>
              </w:rPr>
            </w:pPr>
            <w:r>
              <w:rPr>
                <w:rFonts w:hint="eastAsia" w:ascii="宋体" w:hAnsi="宋体" w:eastAsia="宋体"/>
                <w:sz w:val="24"/>
                <w:szCs w:val="24"/>
              </w:rPr>
              <w:t>1</w:t>
            </w:r>
          </w:p>
        </w:tc>
        <w:tc>
          <w:tcPr>
            <w:tcW w:w="193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5B7EB268">
            <w:pPr>
              <w:pStyle w:val="42"/>
              <w:kinsoku w:val="0"/>
              <w:overflowPunct w:val="0"/>
              <w:spacing w:beforeLines="0" w:afterLines="0"/>
              <w:rPr>
                <w:rFonts w:hint="eastAsia" w:ascii="宋体" w:hAnsi="宋体" w:eastAsia="宋体"/>
                <w:b/>
                <w:sz w:val="24"/>
                <w:szCs w:val="24"/>
              </w:rPr>
            </w:pPr>
          </w:p>
          <w:p w14:paraId="46E1F76F">
            <w:pPr>
              <w:pStyle w:val="42"/>
              <w:kinsoku w:val="0"/>
              <w:overflowPunct w:val="0"/>
              <w:spacing w:beforeLines="0" w:afterLines="0"/>
              <w:rPr>
                <w:rFonts w:hint="eastAsia" w:ascii="宋体" w:hAnsi="宋体" w:eastAsia="宋体"/>
                <w:b/>
                <w:sz w:val="24"/>
                <w:szCs w:val="24"/>
              </w:rPr>
            </w:pPr>
          </w:p>
          <w:p w14:paraId="3DA2ED71">
            <w:pPr>
              <w:pStyle w:val="42"/>
              <w:kinsoku w:val="0"/>
              <w:overflowPunct w:val="0"/>
              <w:spacing w:before="5" w:beforeLines="0" w:afterLines="0"/>
              <w:rPr>
                <w:rFonts w:hint="eastAsia" w:ascii="宋体" w:hAnsi="宋体" w:eastAsia="宋体"/>
                <w:b/>
                <w:sz w:val="34"/>
                <w:szCs w:val="24"/>
              </w:rPr>
            </w:pPr>
          </w:p>
          <w:p w14:paraId="39474EE3">
            <w:pPr>
              <w:pStyle w:val="42"/>
              <w:kinsoku w:val="0"/>
              <w:overflowPunct w:val="0"/>
              <w:spacing w:beforeLines="0" w:afterLines="0"/>
              <w:ind w:left="104"/>
              <w:rPr>
                <w:rFonts w:hint="default"/>
                <w:sz w:val="24"/>
                <w:szCs w:val="24"/>
              </w:rPr>
            </w:pPr>
            <w:r>
              <w:rPr>
                <w:rFonts w:hint="eastAsia" w:ascii="宋体" w:hAnsi="宋体" w:eastAsia="宋体"/>
                <w:sz w:val="24"/>
                <w:szCs w:val="24"/>
              </w:rPr>
              <w:t>目标与责任</w:t>
            </w:r>
          </w:p>
        </w:tc>
        <w:tc>
          <w:tcPr>
            <w:tcW w:w="586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2C3A5AB">
            <w:pPr>
              <w:pStyle w:val="42"/>
              <w:kinsoku w:val="0"/>
              <w:overflowPunct w:val="0"/>
              <w:spacing w:before="24" w:beforeLines="0" w:afterLines="0"/>
              <w:ind w:left="103" w:firstLine="240"/>
              <w:rPr>
                <w:rFonts w:hint="eastAsia" w:ascii="宋体" w:hAnsi="宋体" w:eastAsia="宋体"/>
                <w:sz w:val="24"/>
                <w:szCs w:val="24"/>
              </w:rPr>
            </w:pPr>
            <w:r>
              <w:rPr>
                <w:rFonts w:hint="eastAsia" w:ascii="MS UI Gothic" w:hAnsi="MS UI Gothic" w:eastAsia="MS UI Gothic"/>
                <w:sz w:val="24"/>
                <w:szCs w:val="24"/>
              </w:rPr>
              <w:t>☐</w:t>
            </w:r>
            <w:r>
              <w:rPr>
                <w:rFonts w:hint="eastAsia" w:ascii="宋体" w:hAnsi="宋体" w:eastAsia="宋体"/>
                <w:sz w:val="24"/>
                <w:szCs w:val="24"/>
              </w:rPr>
              <w:t>（1）结合采购人要求及物业服务实际情况，制</w:t>
            </w:r>
          </w:p>
          <w:p w14:paraId="1868F91F">
            <w:pPr>
              <w:pStyle w:val="42"/>
              <w:kinsoku w:val="0"/>
              <w:overflowPunct w:val="0"/>
              <w:spacing w:before="151" w:beforeLines="0" w:afterLines="0" w:line="297" w:lineRule="auto"/>
              <w:ind w:left="103" w:right="227"/>
              <w:rPr>
                <w:rFonts w:hint="default"/>
                <w:sz w:val="24"/>
                <w:szCs w:val="24"/>
              </w:rPr>
            </w:pPr>
            <w:r>
              <w:rPr>
                <w:rFonts w:hint="eastAsia" w:ascii="宋体" w:hAnsi="宋体" w:eastAsia="宋体"/>
                <w:sz w:val="24"/>
                <w:szCs w:val="24"/>
              </w:rPr>
              <w:t>定年度管理目标，明确责任分工，并制定配套实施方案。</w:t>
            </w:r>
          </w:p>
        </w:tc>
      </w:tr>
      <w:tr w14:paraId="1D903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5" w:hRule="exact"/>
        </w:trPr>
        <w:tc>
          <w:tcPr>
            <w:tcW w:w="71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601F6AC0">
            <w:pPr>
              <w:pStyle w:val="42"/>
              <w:kinsoku w:val="0"/>
              <w:overflowPunct w:val="0"/>
              <w:spacing w:before="151" w:beforeLines="0" w:afterLines="0" w:line="297" w:lineRule="auto"/>
              <w:ind w:left="103" w:right="227"/>
              <w:rPr>
                <w:rFonts w:hint="default"/>
                <w:sz w:val="24"/>
                <w:szCs w:val="24"/>
              </w:rPr>
            </w:pPr>
          </w:p>
        </w:tc>
        <w:tc>
          <w:tcPr>
            <w:tcW w:w="1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54C1F721">
            <w:pPr>
              <w:pStyle w:val="42"/>
              <w:kinsoku w:val="0"/>
              <w:overflowPunct w:val="0"/>
              <w:spacing w:before="151" w:beforeLines="0" w:afterLines="0" w:line="297" w:lineRule="auto"/>
              <w:ind w:left="103" w:right="227"/>
              <w:rPr>
                <w:rFonts w:hint="default"/>
                <w:sz w:val="24"/>
                <w:szCs w:val="24"/>
              </w:rPr>
            </w:pPr>
          </w:p>
        </w:tc>
        <w:tc>
          <w:tcPr>
            <w:tcW w:w="586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51E3E2A">
            <w:pPr>
              <w:pStyle w:val="42"/>
              <w:kinsoku w:val="0"/>
              <w:overflowPunct w:val="0"/>
              <w:spacing w:before="24" w:beforeLines="0" w:afterLines="0"/>
              <w:ind w:left="103" w:firstLine="240"/>
              <w:rPr>
                <w:rFonts w:hint="eastAsia" w:ascii="宋体" w:hAnsi="宋体" w:eastAsia="宋体"/>
                <w:sz w:val="24"/>
                <w:szCs w:val="24"/>
              </w:rPr>
            </w:pPr>
            <w:r>
              <w:rPr>
                <w:rFonts w:hint="eastAsia" w:ascii="MS UI Gothic" w:hAnsi="MS UI Gothic" w:eastAsia="MS UI Gothic"/>
                <w:sz w:val="24"/>
                <w:szCs w:val="24"/>
              </w:rPr>
              <w:t>☐</w:t>
            </w:r>
            <w:r>
              <w:rPr>
                <w:rFonts w:hint="eastAsia" w:ascii="宋体" w:hAnsi="宋体" w:eastAsia="宋体"/>
                <w:sz w:val="24"/>
                <w:szCs w:val="24"/>
              </w:rPr>
              <w:t>（2）物业公司日常管理服务应符合国家《物业</w:t>
            </w:r>
          </w:p>
          <w:p w14:paraId="37EBABC3">
            <w:pPr>
              <w:pStyle w:val="42"/>
              <w:kinsoku w:val="0"/>
              <w:overflowPunct w:val="0"/>
              <w:spacing w:before="151" w:beforeLines="0" w:afterLines="0" w:line="297" w:lineRule="auto"/>
              <w:ind w:left="103" w:right="227"/>
              <w:rPr>
                <w:rFonts w:hint="default"/>
                <w:sz w:val="24"/>
                <w:szCs w:val="24"/>
              </w:rPr>
            </w:pPr>
            <w:r>
              <w:rPr>
                <w:rFonts w:hint="eastAsia" w:ascii="宋体" w:hAnsi="宋体" w:eastAsia="宋体"/>
                <w:sz w:val="24"/>
                <w:szCs w:val="24"/>
              </w:rPr>
              <w:t>管理条例》的有关规定，严格落实服务合同的约定、规范化、标准化、精细化实施物业管理服务保障工</w:t>
            </w:r>
          </w:p>
        </w:tc>
      </w:tr>
    </w:tbl>
    <w:p w14:paraId="5CAB5262">
      <w:pPr>
        <w:spacing w:beforeLines="0" w:afterLines="0"/>
        <w:rPr>
          <w:rFonts w:hint="default"/>
          <w:sz w:val="24"/>
          <w:szCs w:val="24"/>
        </w:rPr>
        <w:sectPr>
          <w:headerReference r:id="rId5" w:type="default"/>
          <w:footerReference r:id="rId6" w:type="default"/>
          <w:pgSz w:w="11910" w:h="16840"/>
          <w:pgMar w:top="980" w:right="1580" w:bottom="880" w:left="1580" w:header="746" w:footer="699" w:gutter="0"/>
          <w:lnNumType w:countBy="0" w:distance="360"/>
          <w:cols w:space="720" w:num="1"/>
        </w:sectPr>
      </w:pPr>
    </w:p>
    <w:p w14:paraId="5368CAB7">
      <w:pPr>
        <w:pStyle w:val="8"/>
        <w:kinsoku w:val="0"/>
        <w:overflowPunct w:val="0"/>
        <w:spacing w:beforeLines="0" w:afterLines="0"/>
        <w:ind w:left="0"/>
        <w:rPr>
          <w:rFonts w:hint="default" w:ascii="Times New Roman" w:hAnsi="Times New Roman" w:eastAsia="Times New Roman"/>
          <w:sz w:val="20"/>
          <w:szCs w:val="24"/>
        </w:rPr>
      </w:pPr>
    </w:p>
    <w:p w14:paraId="087D1D75">
      <w:pPr>
        <w:pStyle w:val="8"/>
        <w:kinsoku w:val="0"/>
        <w:overflowPunct w:val="0"/>
        <w:spacing w:before="3" w:beforeLines="0" w:afterLines="0"/>
        <w:ind w:left="0"/>
        <w:rPr>
          <w:rFonts w:hint="default" w:ascii="Times New Roman" w:hAnsi="Times New Roman" w:eastAsia="Times New Roman"/>
          <w:sz w:val="19"/>
          <w:szCs w:val="24"/>
        </w:rPr>
      </w:pPr>
    </w:p>
    <w:tbl>
      <w:tblPr>
        <w:tblStyle w:val="19"/>
        <w:tblW w:w="0" w:type="auto"/>
        <w:tblInd w:w="2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9"/>
        <w:gridCol w:w="1930"/>
        <w:gridCol w:w="5863"/>
      </w:tblGrid>
      <w:tr w14:paraId="71F5E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exact"/>
        </w:trPr>
        <w:tc>
          <w:tcPr>
            <w:tcW w:w="71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C973571">
            <w:pPr>
              <w:spacing w:beforeLines="0" w:afterLines="0"/>
              <w:rPr>
                <w:rFonts w:hint="default"/>
                <w:sz w:val="24"/>
                <w:szCs w:val="24"/>
              </w:rPr>
            </w:pPr>
          </w:p>
        </w:tc>
        <w:tc>
          <w:tcPr>
            <w:tcW w:w="193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97AA88F">
            <w:pPr>
              <w:spacing w:beforeLines="0" w:afterLines="0"/>
              <w:rPr>
                <w:rFonts w:hint="default"/>
                <w:sz w:val="24"/>
                <w:szCs w:val="24"/>
              </w:rPr>
            </w:pPr>
          </w:p>
        </w:tc>
        <w:tc>
          <w:tcPr>
            <w:tcW w:w="586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4B0E858">
            <w:pPr>
              <w:pStyle w:val="42"/>
              <w:kinsoku w:val="0"/>
              <w:overflowPunct w:val="0"/>
              <w:spacing w:beforeLines="0" w:afterLines="0" w:line="277" w:lineRule="exact"/>
              <w:ind w:left="103"/>
              <w:rPr>
                <w:rFonts w:hint="default"/>
                <w:sz w:val="24"/>
                <w:szCs w:val="24"/>
              </w:rPr>
            </w:pPr>
            <w:r>
              <w:rPr>
                <w:rFonts w:hint="eastAsia" w:ascii="宋体" w:hAnsi="宋体" w:eastAsia="宋体"/>
                <w:sz w:val="24"/>
                <w:szCs w:val="24"/>
              </w:rPr>
              <w:t>作，100%实现管理目标。</w:t>
            </w:r>
          </w:p>
        </w:tc>
      </w:tr>
      <w:tr w14:paraId="65823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8" w:hRule="exact"/>
        </w:trPr>
        <w:tc>
          <w:tcPr>
            <w:tcW w:w="71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2E33D855">
            <w:pPr>
              <w:pStyle w:val="42"/>
              <w:kinsoku w:val="0"/>
              <w:overflowPunct w:val="0"/>
              <w:spacing w:beforeLines="0" w:afterLines="0"/>
              <w:rPr>
                <w:rFonts w:hint="default" w:ascii="Times New Roman" w:hAnsi="Times New Roman" w:eastAsia="Times New Roman"/>
                <w:sz w:val="24"/>
                <w:szCs w:val="24"/>
              </w:rPr>
            </w:pPr>
          </w:p>
          <w:p w14:paraId="12750C0F">
            <w:pPr>
              <w:pStyle w:val="42"/>
              <w:kinsoku w:val="0"/>
              <w:overflowPunct w:val="0"/>
              <w:spacing w:beforeLines="0" w:afterLines="0"/>
              <w:rPr>
                <w:rFonts w:hint="default" w:ascii="Times New Roman" w:hAnsi="Times New Roman" w:eastAsia="Times New Roman"/>
                <w:sz w:val="24"/>
                <w:szCs w:val="24"/>
              </w:rPr>
            </w:pPr>
          </w:p>
          <w:p w14:paraId="584EEDEB">
            <w:pPr>
              <w:pStyle w:val="42"/>
              <w:kinsoku w:val="0"/>
              <w:overflowPunct w:val="0"/>
              <w:spacing w:beforeLines="0" w:afterLines="0"/>
              <w:rPr>
                <w:rFonts w:hint="default" w:ascii="Times New Roman" w:hAnsi="Times New Roman" w:eastAsia="Times New Roman"/>
                <w:sz w:val="24"/>
                <w:szCs w:val="24"/>
              </w:rPr>
            </w:pPr>
          </w:p>
          <w:p w14:paraId="42100D1A">
            <w:pPr>
              <w:pStyle w:val="42"/>
              <w:kinsoku w:val="0"/>
              <w:overflowPunct w:val="0"/>
              <w:spacing w:beforeLines="0" w:afterLines="0"/>
              <w:rPr>
                <w:rFonts w:hint="default" w:ascii="Times New Roman" w:hAnsi="Times New Roman" w:eastAsia="Times New Roman"/>
                <w:sz w:val="24"/>
                <w:szCs w:val="24"/>
              </w:rPr>
            </w:pPr>
          </w:p>
          <w:p w14:paraId="3A28ADDA">
            <w:pPr>
              <w:pStyle w:val="42"/>
              <w:kinsoku w:val="0"/>
              <w:overflowPunct w:val="0"/>
              <w:spacing w:beforeLines="0" w:afterLines="0"/>
              <w:rPr>
                <w:rFonts w:hint="default" w:ascii="Times New Roman" w:hAnsi="Times New Roman" w:eastAsia="Times New Roman"/>
                <w:sz w:val="24"/>
                <w:szCs w:val="24"/>
              </w:rPr>
            </w:pPr>
          </w:p>
          <w:p w14:paraId="671E763C">
            <w:pPr>
              <w:pStyle w:val="42"/>
              <w:kinsoku w:val="0"/>
              <w:overflowPunct w:val="0"/>
              <w:spacing w:beforeLines="0" w:afterLines="0"/>
              <w:rPr>
                <w:rFonts w:hint="default" w:ascii="Times New Roman" w:hAnsi="Times New Roman" w:eastAsia="Times New Roman"/>
                <w:sz w:val="24"/>
                <w:szCs w:val="24"/>
              </w:rPr>
            </w:pPr>
          </w:p>
          <w:p w14:paraId="147BFAF7">
            <w:pPr>
              <w:pStyle w:val="42"/>
              <w:kinsoku w:val="0"/>
              <w:overflowPunct w:val="0"/>
              <w:spacing w:beforeLines="0" w:afterLines="0"/>
              <w:rPr>
                <w:rFonts w:hint="default" w:ascii="Times New Roman" w:hAnsi="Times New Roman" w:eastAsia="Times New Roman"/>
                <w:sz w:val="24"/>
                <w:szCs w:val="24"/>
              </w:rPr>
            </w:pPr>
          </w:p>
          <w:p w14:paraId="6A154929">
            <w:pPr>
              <w:pStyle w:val="42"/>
              <w:kinsoku w:val="0"/>
              <w:overflowPunct w:val="0"/>
              <w:spacing w:beforeLines="0" w:afterLines="0"/>
              <w:rPr>
                <w:rFonts w:hint="default" w:ascii="Times New Roman" w:hAnsi="Times New Roman" w:eastAsia="Times New Roman"/>
                <w:sz w:val="24"/>
                <w:szCs w:val="24"/>
              </w:rPr>
            </w:pPr>
          </w:p>
          <w:p w14:paraId="4B8B4181">
            <w:pPr>
              <w:pStyle w:val="42"/>
              <w:kinsoku w:val="0"/>
              <w:overflowPunct w:val="0"/>
              <w:spacing w:beforeLines="0" w:afterLines="0"/>
              <w:rPr>
                <w:rFonts w:hint="default" w:ascii="Times New Roman" w:hAnsi="Times New Roman" w:eastAsia="Times New Roman"/>
                <w:sz w:val="24"/>
                <w:szCs w:val="24"/>
              </w:rPr>
            </w:pPr>
          </w:p>
          <w:p w14:paraId="4E6CAEE3">
            <w:pPr>
              <w:pStyle w:val="42"/>
              <w:kinsoku w:val="0"/>
              <w:overflowPunct w:val="0"/>
              <w:spacing w:beforeLines="0" w:afterLines="0"/>
              <w:rPr>
                <w:rFonts w:hint="default" w:ascii="Times New Roman" w:hAnsi="Times New Roman" w:eastAsia="Times New Roman"/>
                <w:sz w:val="24"/>
                <w:szCs w:val="24"/>
              </w:rPr>
            </w:pPr>
          </w:p>
          <w:p w14:paraId="343C6499">
            <w:pPr>
              <w:pStyle w:val="42"/>
              <w:kinsoku w:val="0"/>
              <w:overflowPunct w:val="0"/>
              <w:spacing w:beforeLines="0" w:afterLines="0"/>
              <w:rPr>
                <w:rFonts w:hint="default" w:ascii="Times New Roman" w:hAnsi="Times New Roman" w:eastAsia="Times New Roman"/>
                <w:sz w:val="24"/>
                <w:szCs w:val="24"/>
              </w:rPr>
            </w:pPr>
          </w:p>
          <w:p w14:paraId="410481A8">
            <w:pPr>
              <w:pStyle w:val="42"/>
              <w:kinsoku w:val="0"/>
              <w:overflowPunct w:val="0"/>
              <w:spacing w:beforeLines="0" w:afterLines="0"/>
              <w:rPr>
                <w:rFonts w:hint="default" w:ascii="Times New Roman" w:hAnsi="Times New Roman" w:eastAsia="Times New Roman"/>
                <w:sz w:val="24"/>
                <w:szCs w:val="24"/>
              </w:rPr>
            </w:pPr>
          </w:p>
          <w:p w14:paraId="7F26CC50">
            <w:pPr>
              <w:pStyle w:val="42"/>
              <w:kinsoku w:val="0"/>
              <w:overflowPunct w:val="0"/>
              <w:spacing w:beforeLines="0" w:afterLines="0"/>
              <w:rPr>
                <w:rFonts w:hint="default" w:ascii="Times New Roman" w:hAnsi="Times New Roman" w:eastAsia="Times New Roman"/>
                <w:sz w:val="24"/>
                <w:szCs w:val="24"/>
              </w:rPr>
            </w:pPr>
          </w:p>
          <w:p w14:paraId="1880EC0F">
            <w:pPr>
              <w:pStyle w:val="42"/>
              <w:kinsoku w:val="0"/>
              <w:overflowPunct w:val="0"/>
              <w:spacing w:beforeLines="0" w:afterLines="0"/>
              <w:rPr>
                <w:rFonts w:hint="default" w:ascii="Times New Roman" w:hAnsi="Times New Roman" w:eastAsia="Times New Roman"/>
                <w:sz w:val="24"/>
                <w:szCs w:val="24"/>
              </w:rPr>
            </w:pPr>
          </w:p>
          <w:p w14:paraId="553CB2E8">
            <w:pPr>
              <w:pStyle w:val="42"/>
              <w:kinsoku w:val="0"/>
              <w:overflowPunct w:val="0"/>
              <w:spacing w:before="11" w:beforeLines="0" w:afterLines="0"/>
              <w:rPr>
                <w:rFonts w:hint="default" w:ascii="Times New Roman" w:hAnsi="Times New Roman" w:eastAsia="Times New Roman"/>
                <w:sz w:val="20"/>
                <w:szCs w:val="24"/>
              </w:rPr>
            </w:pPr>
          </w:p>
          <w:p w14:paraId="00C7A770">
            <w:pPr>
              <w:pStyle w:val="42"/>
              <w:kinsoku w:val="0"/>
              <w:overflowPunct w:val="0"/>
              <w:spacing w:beforeLines="0" w:afterLines="0"/>
              <w:ind w:left="1"/>
              <w:jc w:val="center"/>
              <w:rPr>
                <w:rFonts w:hint="default"/>
                <w:sz w:val="24"/>
                <w:szCs w:val="24"/>
              </w:rPr>
            </w:pPr>
            <w:r>
              <w:rPr>
                <w:rFonts w:hint="eastAsia" w:ascii="宋体" w:hAnsi="宋体" w:eastAsia="宋体"/>
                <w:sz w:val="24"/>
                <w:szCs w:val="24"/>
              </w:rPr>
              <w:t>2</w:t>
            </w:r>
          </w:p>
        </w:tc>
        <w:tc>
          <w:tcPr>
            <w:tcW w:w="193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7B19DB01">
            <w:pPr>
              <w:pStyle w:val="42"/>
              <w:kinsoku w:val="0"/>
              <w:overflowPunct w:val="0"/>
              <w:spacing w:beforeLines="0" w:afterLines="0"/>
              <w:rPr>
                <w:rFonts w:hint="default" w:ascii="Times New Roman" w:hAnsi="Times New Roman" w:eastAsia="Times New Roman"/>
                <w:sz w:val="24"/>
                <w:szCs w:val="24"/>
              </w:rPr>
            </w:pPr>
          </w:p>
          <w:p w14:paraId="3E1A620C">
            <w:pPr>
              <w:pStyle w:val="42"/>
              <w:kinsoku w:val="0"/>
              <w:overflowPunct w:val="0"/>
              <w:spacing w:beforeLines="0" w:afterLines="0"/>
              <w:rPr>
                <w:rFonts w:hint="default" w:ascii="Times New Roman" w:hAnsi="Times New Roman" w:eastAsia="Times New Roman"/>
                <w:sz w:val="24"/>
                <w:szCs w:val="24"/>
              </w:rPr>
            </w:pPr>
          </w:p>
          <w:p w14:paraId="0AA687D3">
            <w:pPr>
              <w:pStyle w:val="42"/>
              <w:kinsoku w:val="0"/>
              <w:overflowPunct w:val="0"/>
              <w:spacing w:beforeLines="0" w:afterLines="0"/>
              <w:rPr>
                <w:rFonts w:hint="default" w:ascii="Times New Roman" w:hAnsi="Times New Roman" w:eastAsia="Times New Roman"/>
                <w:sz w:val="24"/>
                <w:szCs w:val="24"/>
              </w:rPr>
            </w:pPr>
          </w:p>
          <w:p w14:paraId="265A753A">
            <w:pPr>
              <w:pStyle w:val="42"/>
              <w:kinsoku w:val="0"/>
              <w:overflowPunct w:val="0"/>
              <w:spacing w:beforeLines="0" w:afterLines="0"/>
              <w:rPr>
                <w:rFonts w:hint="default" w:ascii="Times New Roman" w:hAnsi="Times New Roman" w:eastAsia="Times New Roman"/>
                <w:sz w:val="24"/>
                <w:szCs w:val="24"/>
              </w:rPr>
            </w:pPr>
          </w:p>
          <w:p w14:paraId="38D53075">
            <w:pPr>
              <w:pStyle w:val="42"/>
              <w:kinsoku w:val="0"/>
              <w:overflowPunct w:val="0"/>
              <w:spacing w:beforeLines="0" w:afterLines="0"/>
              <w:rPr>
                <w:rFonts w:hint="default" w:ascii="Times New Roman" w:hAnsi="Times New Roman" w:eastAsia="Times New Roman"/>
                <w:sz w:val="24"/>
                <w:szCs w:val="24"/>
              </w:rPr>
            </w:pPr>
          </w:p>
          <w:p w14:paraId="6E4F3BB8">
            <w:pPr>
              <w:pStyle w:val="42"/>
              <w:kinsoku w:val="0"/>
              <w:overflowPunct w:val="0"/>
              <w:spacing w:beforeLines="0" w:afterLines="0"/>
              <w:rPr>
                <w:rFonts w:hint="default" w:ascii="Times New Roman" w:hAnsi="Times New Roman" w:eastAsia="Times New Roman"/>
                <w:sz w:val="24"/>
                <w:szCs w:val="24"/>
              </w:rPr>
            </w:pPr>
          </w:p>
          <w:p w14:paraId="30BBFCE9">
            <w:pPr>
              <w:pStyle w:val="42"/>
              <w:kinsoku w:val="0"/>
              <w:overflowPunct w:val="0"/>
              <w:spacing w:beforeLines="0" w:afterLines="0"/>
              <w:rPr>
                <w:rFonts w:hint="default" w:ascii="Times New Roman" w:hAnsi="Times New Roman" w:eastAsia="Times New Roman"/>
                <w:sz w:val="24"/>
                <w:szCs w:val="24"/>
              </w:rPr>
            </w:pPr>
          </w:p>
          <w:p w14:paraId="5A59FEFF">
            <w:pPr>
              <w:pStyle w:val="42"/>
              <w:kinsoku w:val="0"/>
              <w:overflowPunct w:val="0"/>
              <w:spacing w:beforeLines="0" w:afterLines="0"/>
              <w:rPr>
                <w:rFonts w:hint="default" w:ascii="Times New Roman" w:hAnsi="Times New Roman" w:eastAsia="Times New Roman"/>
                <w:sz w:val="24"/>
                <w:szCs w:val="24"/>
              </w:rPr>
            </w:pPr>
          </w:p>
          <w:p w14:paraId="5944C15B">
            <w:pPr>
              <w:pStyle w:val="42"/>
              <w:kinsoku w:val="0"/>
              <w:overflowPunct w:val="0"/>
              <w:spacing w:beforeLines="0" w:afterLines="0"/>
              <w:rPr>
                <w:rFonts w:hint="default" w:ascii="Times New Roman" w:hAnsi="Times New Roman" w:eastAsia="Times New Roman"/>
                <w:sz w:val="24"/>
                <w:szCs w:val="24"/>
              </w:rPr>
            </w:pPr>
          </w:p>
          <w:p w14:paraId="6CE6A69F">
            <w:pPr>
              <w:pStyle w:val="42"/>
              <w:kinsoku w:val="0"/>
              <w:overflowPunct w:val="0"/>
              <w:spacing w:beforeLines="0" w:afterLines="0"/>
              <w:rPr>
                <w:rFonts w:hint="default" w:ascii="Times New Roman" w:hAnsi="Times New Roman" w:eastAsia="Times New Roman"/>
                <w:sz w:val="24"/>
                <w:szCs w:val="24"/>
              </w:rPr>
            </w:pPr>
          </w:p>
          <w:p w14:paraId="31406D48">
            <w:pPr>
              <w:pStyle w:val="42"/>
              <w:kinsoku w:val="0"/>
              <w:overflowPunct w:val="0"/>
              <w:spacing w:beforeLines="0" w:afterLines="0"/>
              <w:rPr>
                <w:rFonts w:hint="default" w:ascii="Times New Roman" w:hAnsi="Times New Roman" w:eastAsia="Times New Roman"/>
                <w:sz w:val="24"/>
                <w:szCs w:val="24"/>
              </w:rPr>
            </w:pPr>
          </w:p>
          <w:p w14:paraId="0D7FB5F1">
            <w:pPr>
              <w:pStyle w:val="42"/>
              <w:kinsoku w:val="0"/>
              <w:overflowPunct w:val="0"/>
              <w:spacing w:beforeLines="0" w:afterLines="0"/>
              <w:rPr>
                <w:rFonts w:hint="default" w:ascii="Times New Roman" w:hAnsi="Times New Roman" w:eastAsia="Times New Roman"/>
                <w:sz w:val="24"/>
                <w:szCs w:val="24"/>
              </w:rPr>
            </w:pPr>
          </w:p>
          <w:p w14:paraId="0A3BC082">
            <w:pPr>
              <w:pStyle w:val="42"/>
              <w:kinsoku w:val="0"/>
              <w:overflowPunct w:val="0"/>
              <w:spacing w:beforeLines="0" w:afterLines="0"/>
              <w:rPr>
                <w:rFonts w:hint="default" w:ascii="Times New Roman" w:hAnsi="Times New Roman" w:eastAsia="Times New Roman"/>
                <w:sz w:val="24"/>
                <w:szCs w:val="24"/>
              </w:rPr>
            </w:pPr>
          </w:p>
          <w:p w14:paraId="5846A74F">
            <w:pPr>
              <w:pStyle w:val="42"/>
              <w:kinsoku w:val="0"/>
              <w:overflowPunct w:val="0"/>
              <w:spacing w:beforeLines="0" w:afterLines="0"/>
              <w:rPr>
                <w:rFonts w:hint="default" w:ascii="Times New Roman" w:hAnsi="Times New Roman" w:eastAsia="Times New Roman"/>
                <w:sz w:val="24"/>
                <w:szCs w:val="24"/>
              </w:rPr>
            </w:pPr>
          </w:p>
          <w:p w14:paraId="42C28BC3">
            <w:pPr>
              <w:pStyle w:val="42"/>
              <w:kinsoku w:val="0"/>
              <w:overflowPunct w:val="0"/>
              <w:spacing w:before="11" w:beforeLines="0" w:afterLines="0"/>
              <w:rPr>
                <w:rFonts w:hint="default" w:ascii="Times New Roman" w:hAnsi="Times New Roman" w:eastAsia="Times New Roman"/>
                <w:sz w:val="20"/>
                <w:szCs w:val="24"/>
              </w:rPr>
            </w:pPr>
          </w:p>
          <w:p w14:paraId="2672B66E">
            <w:pPr>
              <w:pStyle w:val="42"/>
              <w:kinsoku w:val="0"/>
              <w:overflowPunct w:val="0"/>
              <w:spacing w:beforeLines="0" w:afterLines="0"/>
              <w:ind w:left="104"/>
              <w:rPr>
                <w:rFonts w:hint="default"/>
                <w:sz w:val="24"/>
                <w:szCs w:val="24"/>
              </w:rPr>
            </w:pPr>
            <w:r>
              <w:rPr>
                <w:rFonts w:hint="eastAsia" w:ascii="宋体" w:hAnsi="宋体" w:eastAsia="宋体"/>
                <w:sz w:val="24"/>
                <w:szCs w:val="24"/>
              </w:rPr>
              <w:t>服务人员要求</w:t>
            </w:r>
          </w:p>
        </w:tc>
        <w:tc>
          <w:tcPr>
            <w:tcW w:w="586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79224F1">
            <w:pPr>
              <w:pStyle w:val="42"/>
              <w:kinsoku w:val="0"/>
              <w:overflowPunct w:val="0"/>
              <w:spacing w:before="24" w:beforeLines="0" w:afterLines="0"/>
              <w:ind w:left="103" w:firstLine="240"/>
              <w:rPr>
                <w:rFonts w:hint="eastAsia" w:ascii="宋体" w:hAnsi="宋体" w:eastAsia="宋体"/>
                <w:sz w:val="24"/>
                <w:szCs w:val="24"/>
              </w:rPr>
            </w:pPr>
            <w:r>
              <w:rPr>
                <w:rFonts w:hint="eastAsia" w:ascii="宋体" w:hAnsi="宋体" w:eastAsia="宋体"/>
                <w:sz w:val="24"/>
                <w:szCs w:val="24"/>
              </w:rPr>
              <w:t>（1）每季度至少开展1次岗位技能、职业素</w:t>
            </w:r>
          </w:p>
          <w:p w14:paraId="2D04EEE3">
            <w:pPr>
              <w:pStyle w:val="42"/>
              <w:kinsoku w:val="0"/>
              <w:overflowPunct w:val="0"/>
              <w:spacing w:before="151" w:beforeLines="0" w:afterLines="0" w:line="297" w:lineRule="auto"/>
              <w:ind w:left="103" w:right="467"/>
              <w:rPr>
                <w:rFonts w:hint="default"/>
                <w:sz w:val="24"/>
                <w:szCs w:val="24"/>
              </w:rPr>
            </w:pPr>
            <w:r>
              <w:rPr>
                <w:rFonts w:hint="eastAsia" w:ascii="宋体" w:hAnsi="宋体" w:eastAsia="宋体"/>
                <w:sz w:val="24"/>
                <w:szCs w:val="24"/>
              </w:rPr>
              <w:t>质、服务知识、客户文化、绿色节能环保等教育培训，并进行适当形式的考核。</w:t>
            </w:r>
          </w:p>
        </w:tc>
      </w:tr>
      <w:tr w14:paraId="368D6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exact"/>
        </w:trPr>
        <w:tc>
          <w:tcPr>
            <w:tcW w:w="71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1249E20F">
            <w:pPr>
              <w:pStyle w:val="42"/>
              <w:kinsoku w:val="0"/>
              <w:overflowPunct w:val="0"/>
              <w:spacing w:before="151" w:beforeLines="0" w:afterLines="0" w:line="297" w:lineRule="auto"/>
              <w:ind w:left="103" w:right="467"/>
              <w:rPr>
                <w:rFonts w:hint="default"/>
                <w:sz w:val="24"/>
                <w:szCs w:val="24"/>
              </w:rPr>
            </w:pPr>
          </w:p>
        </w:tc>
        <w:tc>
          <w:tcPr>
            <w:tcW w:w="1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78E090E0">
            <w:pPr>
              <w:pStyle w:val="42"/>
              <w:kinsoku w:val="0"/>
              <w:overflowPunct w:val="0"/>
              <w:spacing w:before="151" w:beforeLines="0" w:afterLines="0" w:line="297" w:lineRule="auto"/>
              <w:ind w:left="103" w:right="467"/>
              <w:rPr>
                <w:rFonts w:hint="default"/>
                <w:sz w:val="24"/>
                <w:szCs w:val="24"/>
              </w:rPr>
            </w:pPr>
          </w:p>
        </w:tc>
        <w:tc>
          <w:tcPr>
            <w:tcW w:w="586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212249E">
            <w:pPr>
              <w:pStyle w:val="42"/>
              <w:kinsoku w:val="0"/>
              <w:overflowPunct w:val="0"/>
              <w:spacing w:before="24" w:beforeLines="0" w:afterLines="0"/>
              <w:ind w:left="103" w:firstLine="240"/>
              <w:rPr>
                <w:rFonts w:hint="eastAsia" w:ascii="宋体" w:hAnsi="宋体" w:eastAsia="宋体"/>
                <w:sz w:val="24"/>
                <w:szCs w:val="24"/>
              </w:rPr>
            </w:pPr>
            <w:r>
              <w:rPr>
                <w:rFonts w:hint="eastAsia" w:ascii="宋体" w:hAnsi="宋体" w:eastAsia="宋体"/>
                <w:sz w:val="24"/>
                <w:szCs w:val="24"/>
              </w:rPr>
              <w:t>（2）根据采购人要求对服务人员进行从业资格</w:t>
            </w:r>
          </w:p>
          <w:p w14:paraId="125AEDC5">
            <w:pPr>
              <w:pStyle w:val="42"/>
              <w:kinsoku w:val="0"/>
              <w:overflowPunct w:val="0"/>
              <w:spacing w:before="151" w:beforeLines="0" w:afterLines="0"/>
              <w:ind w:left="103"/>
              <w:rPr>
                <w:rFonts w:hint="default"/>
                <w:sz w:val="24"/>
                <w:szCs w:val="24"/>
              </w:rPr>
            </w:pPr>
            <w:r>
              <w:rPr>
                <w:rFonts w:hint="eastAsia" w:ascii="宋体" w:hAnsi="宋体" w:eastAsia="宋体"/>
                <w:sz w:val="24"/>
                <w:szCs w:val="24"/>
              </w:rPr>
              <w:t>审查，审查结果向采购人报备。</w:t>
            </w:r>
          </w:p>
        </w:tc>
      </w:tr>
      <w:tr w14:paraId="5AB48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exact"/>
        </w:trPr>
        <w:tc>
          <w:tcPr>
            <w:tcW w:w="71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2D3FDAE8">
            <w:pPr>
              <w:pStyle w:val="42"/>
              <w:kinsoku w:val="0"/>
              <w:overflowPunct w:val="0"/>
              <w:spacing w:before="151" w:beforeLines="0" w:afterLines="0"/>
              <w:ind w:left="103"/>
              <w:rPr>
                <w:rFonts w:hint="default"/>
                <w:sz w:val="24"/>
                <w:szCs w:val="24"/>
              </w:rPr>
            </w:pPr>
          </w:p>
        </w:tc>
        <w:tc>
          <w:tcPr>
            <w:tcW w:w="1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34DCCF69">
            <w:pPr>
              <w:pStyle w:val="42"/>
              <w:kinsoku w:val="0"/>
              <w:overflowPunct w:val="0"/>
              <w:spacing w:before="151" w:beforeLines="0" w:afterLines="0"/>
              <w:ind w:left="103"/>
              <w:rPr>
                <w:rFonts w:hint="default"/>
                <w:sz w:val="24"/>
                <w:szCs w:val="24"/>
              </w:rPr>
            </w:pPr>
          </w:p>
        </w:tc>
        <w:tc>
          <w:tcPr>
            <w:tcW w:w="5863" w:type="dxa"/>
            <w:tcBorders>
              <w:top w:val="single" w:color="000000" w:sz="4" w:space="0"/>
              <w:left w:val="single" w:color="000000" w:sz="4" w:space="0"/>
              <w:bottom w:val="nil"/>
              <w:right w:val="single" w:color="000000" w:sz="4" w:space="0"/>
              <w:tl2br w:val="nil"/>
              <w:tr2bl w:val="nil"/>
            </w:tcBorders>
            <w:noWrap w:val="0"/>
            <w:vAlign w:val="top"/>
          </w:tcPr>
          <w:p w14:paraId="7A696B52">
            <w:pPr>
              <w:pStyle w:val="42"/>
              <w:kinsoku w:val="0"/>
              <w:overflowPunct w:val="0"/>
              <w:spacing w:before="25" w:beforeLines="0" w:afterLines="0"/>
              <w:ind w:left="343"/>
              <w:rPr>
                <w:rFonts w:hint="default"/>
                <w:sz w:val="24"/>
                <w:szCs w:val="24"/>
              </w:rPr>
            </w:pPr>
            <w:r>
              <w:rPr>
                <w:rFonts w:hint="eastAsia" w:ascii="宋体" w:hAnsi="宋体" w:eastAsia="宋体"/>
                <w:sz w:val="24"/>
                <w:szCs w:val="24"/>
              </w:rPr>
              <w:t>（3）服务人员的年龄、学历、工作经验及资格</w:t>
            </w:r>
          </w:p>
        </w:tc>
      </w:tr>
      <w:tr w14:paraId="7A991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exact"/>
        </w:trPr>
        <w:tc>
          <w:tcPr>
            <w:tcW w:w="71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7C19B787">
            <w:pPr>
              <w:pStyle w:val="42"/>
              <w:kinsoku w:val="0"/>
              <w:overflowPunct w:val="0"/>
              <w:spacing w:before="25" w:beforeLines="0" w:afterLines="0"/>
              <w:ind w:left="343"/>
              <w:rPr>
                <w:rFonts w:hint="default"/>
                <w:sz w:val="24"/>
                <w:szCs w:val="24"/>
              </w:rPr>
            </w:pPr>
          </w:p>
        </w:tc>
        <w:tc>
          <w:tcPr>
            <w:tcW w:w="1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74B861D2">
            <w:pPr>
              <w:pStyle w:val="42"/>
              <w:kinsoku w:val="0"/>
              <w:overflowPunct w:val="0"/>
              <w:spacing w:before="25" w:beforeLines="0" w:afterLines="0"/>
              <w:ind w:left="343"/>
              <w:rPr>
                <w:rFonts w:hint="default"/>
                <w:sz w:val="24"/>
                <w:szCs w:val="24"/>
              </w:rPr>
            </w:pPr>
          </w:p>
        </w:tc>
        <w:tc>
          <w:tcPr>
            <w:tcW w:w="5863" w:type="dxa"/>
            <w:tcBorders>
              <w:top w:val="nil"/>
              <w:left w:val="single" w:color="000000" w:sz="4" w:space="0"/>
              <w:bottom w:val="nil"/>
              <w:right w:val="single" w:color="000000" w:sz="4" w:space="0"/>
              <w:tl2br w:val="nil"/>
              <w:tr2bl w:val="nil"/>
            </w:tcBorders>
            <w:noWrap w:val="0"/>
            <w:vAlign w:val="top"/>
          </w:tcPr>
          <w:p w14:paraId="0E4023CA">
            <w:pPr>
              <w:pStyle w:val="42"/>
              <w:kinsoku w:val="0"/>
              <w:overflowPunct w:val="0"/>
              <w:spacing w:before="38" w:beforeLines="0" w:afterLines="0"/>
              <w:ind w:left="103"/>
              <w:rPr>
                <w:rFonts w:hint="default"/>
                <w:sz w:val="24"/>
                <w:szCs w:val="24"/>
              </w:rPr>
            </w:pPr>
            <w:r>
              <w:rPr>
                <w:rFonts w:hint="eastAsia" w:ascii="宋体" w:hAnsi="宋体" w:eastAsia="宋体"/>
                <w:sz w:val="24"/>
                <w:szCs w:val="24"/>
              </w:rPr>
              <w:t>条件应当与所在岗位能力要求相匹配，到岗前应当经</w:t>
            </w:r>
          </w:p>
        </w:tc>
      </w:tr>
      <w:tr w14:paraId="34BEB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exact"/>
        </w:trPr>
        <w:tc>
          <w:tcPr>
            <w:tcW w:w="71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2D7A3268">
            <w:pPr>
              <w:pStyle w:val="42"/>
              <w:kinsoku w:val="0"/>
              <w:overflowPunct w:val="0"/>
              <w:spacing w:before="38" w:beforeLines="0" w:afterLines="0"/>
              <w:ind w:left="103"/>
              <w:rPr>
                <w:rFonts w:hint="default"/>
                <w:sz w:val="24"/>
                <w:szCs w:val="24"/>
              </w:rPr>
            </w:pPr>
          </w:p>
        </w:tc>
        <w:tc>
          <w:tcPr>
            <w:tcW w:w="1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7E057130">
            <w:pPr>
              <w:pStyle w:val="42"/>
              <w:kinsoku w:val="0"/>
              <w:overflowPunct w:val="0"/>
              <w:spacing w:before="38" w:beforeLines="0" w:afterLines="0"/>
              <w:ind w:left="103"/>
              <w:rPr>
                <w:rFonts w:hint="default"/>
                <w:sz w:val="24"/>
                <w:szCs w:val="24"/>
              </w:rPr>
            </w:pPr>
          </w:p>
        </w:tc>
        <w:tc>
          <w:tcPr>
            <w:tcW w:w="5863" w:type="dxa"/>
            <w:tcBorders>
              <w:top w:val="nil"/>
              <w:left w:val="single" w:color="000000" w:sz="4" w:space="0"/>
              <w:bottom w:val="nil"/>
              <w:right w:val="single" w:color="000000" w:sz="4" w:space="0"/>
              <w:tl2br w:val="nil"/>
              <w:tr2bl w:val="nil"/>
            </w:tcBorders>
            <w:noWrap w:val="0"/>
            <w:vAlign w:val="top"/>
          </w:tcPr>
          <w:p w14:paraId="1B2DB412">
            <w:pPr>
              <w:pStyle w:val="42"/>
              <w:kinsoku w:val="0"/>
              <w:overflowPunct w:val="0"/>
              <w:spacing w:beforeLines="0" w:afterLines="0"/>
              <w:ind w:left="103"/>
              <w:rPr>
                <w:rFonts w:hint="default"/>
                <w:sz w:val="24"/>
                <w:szCs w:val="24"/>
              </w:rPr>
            </w:pPr>
            <w:r>
              <w:rPr>
                <w:rFonts w:hint="eastAsia" w:ascii="宋体" w:hAnsi="宋体" w:eastAsia="宋体"/>
                <w:sz w:val="24"/>
                <w:szCs w:val="24"/>
              </w:rPr>
              <w:t>过必要的岗前培训以达到岗位能力要求，国家、行业</w:t>
            </w:r>
          </w:p>
        </w:tc>
      </w:tr>
      <w:tr w14:paraId="31DDC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exact"/>
        </w:trPr>
        <w:tc>
          <w:tcPr>
            <w:tcW w:w="71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30E0B49C">
            <w:pPr>
              <w:pStyle w:val="42"/>
              <w:kinsoku w:val="0"/>
              <w:overflowPunct w:val="0"/>
              <w:spacing w:beforeLines="0" w:afterLines="0"/>
              <w:ind w:left="103"/>
              <w:rPr>
                <w:rFonts w:hint="default"/>
                <w:sz w:val="24"/>
                <w:szCs w:val="24"/>
              </w:rPr>
            </w:pPr>
          </w:p>
        </w:tc>
        <w:tc>
          <w:tcPr>
            <w:tcW w:w="1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7BD1B2D5">
            <w:pPr>
              <w:pStyle w:val="42"/>
              <w:kinsoku w:val="0"/>
              <w:overflowPunct w:val="0"/>
              <w:spacing w:beforeLines="0" w:afterLines="0"/>
              <w:ind w:left="103"/>
              <w:rPr>
                <w:rFonts w:hint="default"/>
                <w:sz w:val="24"/>
                <w:szCs w:val="24"/>
              </w:rPr>
            </w:pPr>
          </w:p>
        </w:tc>
        <w:tc>
          <w:tcPr>
            <w:tcW w:w="5863" w:type="dxa"/>
            <w:tcBorders>
              <w:top w:val="nil"/>
              <w:left w:val="single" w:color="000000" w:sz="4" w:space="0"/>
              <w:bottom w:val="nil"/>
              <w:right w:val="single" w:color="000000" w:sz="4" w:space="0"/>
              <w:tl2br w:val="nil"/>
              <w:tr2bl w:val="nil"/>
            </w:tcBorders>
            <w:noWrap w:val="0"/>
            <w:vAlign w:val="top"/>
          </w:tcPr>
          <w:p w14:paraId="46CF434B">
            <w:pPr>
              <w:pStyle w:val="42"/>
              <w:kinsoku w:val="0"/>
              <w:overflowPunct w:val="0"/>
              <w:spacing w:beforeLines="0" w:afterLines="0"/>
              <w:ind w:left="103"/>
              <w:rPr>
                <w:rFonts w:hint="default"/>
                <w:sz w:val="24"/>
                <w:szCs w:val="24"/>
              </w:rPr>
            </w:pPr>
            <w:r>
              <w:rPr>
                <w:rFonts w:hint="eastAsia" w:ascii="宋体" w:hAnsi="宋体" w:eastAsia="宋体"/>
                <w:sz w:val="24"/>
                <w:szCs w:val="24"/>
              </w:rPr>
              <w:t>规定应当取得职业资格证书或特种作业证书的，应当</w:t>
            </w:r>
          </w:p>
        </w:tc>
      </w:tr>
      <w:tr w14:paraId="5C449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exact"/>
        </w:trPr>
        <w:tc>
          <w:tcPr>
            <w:tcW w:w="71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6F758A63">
            <w:pPr>
              <w:pStyle w:val="42"/>
              <w:kinsoku w:val="0"/>
              <w:overflowPunct w:val="0"/>
              <w:spacing w:beforeLines="0" w:afterLines="0"/>
              <w:ind w:left="103"/>
              <w:rPr>
                <w:rFonts w:hint="default"/>
                <w:sz w:val="24"/>
                <w:szCs w:val="24"/>
              </w:rPr>
            </w:pPr>
          </w:p>
        </w:tc>
        <w:tc>
          <w:tcPr>
            <w:tcW w:w="1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59506DD3">
            <w:pPr>
              <w:pStyle w:val="42"/>
              <w:kinsoku w:val="0"/>
              <w:overflowPunct w:val="0"/>
              <w:spacing w:beforeLines="0" w:afterLines="0"/>
              <w:ind w:left="103"/>
              <w:rPr>
                <w:rFonts w:hint="default"/>
                <w:sz w:val="24"/>
                <w:szCs w:val="24"/>
              </w:rPr>
            </w:pPr>
          </w:p>
        </w:tc>
        <w:tc>
          <w:tcPr>
            <w:tcW w:w="5863" w:type="dxa"/>
            <w:tcBorders>
              <w:top w:val="nil"/>
              <w:left w:val="single" w:color="000000" w:sz="4" w:space="0"/>
              <w:bottom w:val="single" w:color="000000" w:sz="4" w:space="0"/>
              <w:right w:val="single" w:color="000000" w:sz="4" w:space="0"/>
              <w:tl2br w:val="nil"/>
              <w:tr2bl w:val="nil"/>
            </w:tcBorders>
            <w:noWrap w:val="0"/>
            <w:vAlign w:val="top"/>
          </w:tcPr>
          <w:p w14:paraId="2EBE9A8D">
            <w:pPr>
              <w:pStyle w:val="42"/>
              <w:kinsoku w:val="0"/>
              <w:overflowPunct w:val="0"/>
              <w:spacing w:beforeLines="0" w:afterLines="0"/>
              <w:ind w:left="103"/>
              <w:rPr>
                <w:rFonts w:hint="default"/>
                <w:sz w:val="24"/>
                <w:szCs w:val="24"/>
              </w:rPr>
            </w:pPr>
            <w:r>
              <w:rPr>
                <w:rFonts w:hint="eastAsia" w:ascii="宋体" w:hAnsi="宋体" w:eastAsia="宋体"/>
                <w:sz w:val="24"/>
                <w:szCs w:val="24"/>
              </w:rPr>
              <w:t>按规定持证上岗。</w:t>
            </w:r>
          </w:p>
        </w:tc>
      </w:tr>
      <w:tr w14:paraId="36D41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exact"/>
        </w:trPr>
        <w:tc>
          <w:tcPr>
            <w:tcW w:w="71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6650B0AE">
            <w:pPr>
              <w:pStyle w:val="42"/>
              <w:kinsoku w:val="0"/>
              <w:overflowPunct w:val="0"/>
              <w:spacing w:beforeLines="0" w:afterLines="0"/>
              <w:ind w:left="103"/>
              <w:rPr>
                <w:rFonts w:hint="default"/>
                <w:sz w:val="24"/>
                <w:szCs w:val="24"/>
              </w:rPr>
            </w:pPr>
          </w:p>
        </w:tc>
        <w:tc>
          <w:tcPr>
            <w:tcW w:w="1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AC4BD8A">
            <w:pPr>
              <w:pStyle w:val="42"/>
              <w:kinsoku w:val="0"/>
              <w:overflowPunct w:val="0"/>
              <w:spacing w:beforeLines="0" w:afterLines="0"/>
              <w:ind w:left="103"/>
              <w:rPr>
                <w:rFonts w:hint="default"/>
                <w:sz w:val="24"/>
                <w:szCs w:val="24"/>
              </w:rPr>
            </w:pPr>
          </w:p>
        </w:tc>
        <w:tc>
          <w:tcPr>
            <w:tcW w:w="5863" w:type="dxa"/>
            <w:tcBorders>
              <w:top w:val="single" w:color="000000" w:sz="4" w:space="0"/>
              <w:left w:val="single" w:color="000000" w:sz="4" w:space="0"/>
              <w:bottom w:val="nil"/>
              <w:right w:val="single" w:color="000000" w:sz="4" w:space="0"/>
              <w:tl2br w:val="nil"/>
              <w:tr2bl w:val="nil"/>
            </w:tcBorders>
            <w:noWrap w:val="0"/>
            <w:vAlign w:val="top"/>
          </w:tcPr>
          <w:p w14:paraId="7EC2D5BE">
            <w:pPr>
              <w:pStyle w:val="42"/>
              <w:kinsoku w:val="0"/>
              <w:overflowPunct w:val="0"/>
              <w:spacing w:before="24" w:beforeLines="0" w:afterLines="0"/>
              <w:ind w:left="343"/>
              <w:rPr>
                <w:rFonts w:hint="default"/>
                <w:sz w:val="24"/>
                <w:szCs w:val="24"/>
              </w:rPr>
            </w:pPr>
            <w:r>
              <w:rPr>
                <w:rFonts w:hint="eastAsia" w:ascii="宋体" w:hAnsi="宋体" w:eastAsia="宋体"/>
                <w:sz w:val="24"/>
                <w:szCs w:val="24"/>
              </w:rPr>
              <w:t>（4）如采购人认为服务人员不适应岗位要求或</w:t>
            </w:r>
          </w:p>
        </w:tc>
      </w:tr>
      <w:tr w14:paraId="247BB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exact"/>
        </w:trPr>
        <w:tc>
          <w:tcPr>
            <w:tcW w:w="71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03196CB1">
            <w:pPr>
              <w:pStyle w:val="42"/>
              <w:kinsoku w:val="0"/>
              <w:overflowPunct w:val="0"/>
              <w:spacing w:before="24" w:beforeLines="0" w:afterLines="0"/>
              <w:ind w:left="343"/>
              <w:rPr>
                <w:rFonts w:hint="default"/>
                <w:sz w:val="24"/>
                <w:szCs w:val="24"/>
              </w:rPr>
            </w:pPr>
          </w:p>
        </w:tc>
        <w:tc>
          <w:tcPr>
            <w:tcW w:w="1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7912F11">
            <w:pPr>
              <w:pStyle w:val="42"/>
              <w:kinsoku w:val="0"/>
              <w:overflowPunct w:val="0"/>
              <w:spacing w:before="24" w:beforeLines="0" w:afterLines="0"/>
              <w:ind w:left="343"/>
              <w:rPr>
                <w:rFonts w:hint="default"/>
                <w:sz w:val="24"/>
                <w:szCs w:val="24"/>
              </w:rPr>
            </w:pPr>
          </w:p>
        </w:tc>
        <w:tc>
          <w:tcPr>
            <w:tcW w:w="5863" w:type="dxa"/>
            <w:tcBorders>
              <w:top w:val="nil"/>
              <w:left w:val="single" w:color="000000" w:sz="4" w:space="0"/>
              <w:bottom w:val="nil"/>
              <w:right w:val="single" w:color="000000" w:sz="4" w:space="0"/>
              <w:tl2br w:val="nil"/>
              <w:tr2bl w:val="nil"/>
            </w:tcBorders>
            <w:noWrap w:val="0"/>
            <w:vAlign w:val="top"/>
          </w:tcPr>
          <w:p w14:paraId="5CA79356">
            <w:pPr>
              <w:pStyle w:val="42"/>
              <w:kinsoku w:val="0"/>
              <w:overflowPunct w:val="0"/>
              <w:spacing w:before="38" w:beforeLines="0" w:afterLines="0"/>
              <w:ind w:left="103"/>
              <w:rPr>
                <w:rFonts w:hint="default"/>
                <w:sz w:val="24"/>
                <w:szCs w:val="24"/>
              </w:rPr>
            </w:pPr>
            <w:r>
              <w:rPr>
                <w:rFonts w:hint="eastAsia" w:ascii="宋体" w:hAnsi="宋体" w:eastAsia="宋体"/>
                <w:sz w:val="24"/>
                <w:szCs w:val="24"/>
              </w:rPr>
              <w:t>存在其他影响工作的，可要求供应商进行调换。如因</w:t>
            </w:r>
          </w:p>
        </w:tc>
      </w:tr>
      <w:tr w14:paraId="5A332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71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0E418E21">
            <w:pPr>
              <w:pStyle w:val="42"/>
              <w:kinsoku w:val="0"/>
              <w:overflowPunct w:val="0"/>
              <w:spacing w:before="38" w:beforeLines="0" w:afterLines="0"/>
              <w:ind w:left="103"/>
              <w:rPr>
                <w:rFonts w:hint="default"/>
                <w:sz w:val="24"/>
                <w:szCs w:val="24"/>
              </w:rPr>
            </w:pPr>
          </w:p>
        </w:tc>
        <w:tc>
          <w:tcPr>
            <w:tcW w:w="1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218504C6">
            <w:pPr>
              <w:pStyle w:val="42"/>
              <w:kinsoku w:val="0"/>
              <w:overflowPunct w:val="0"/>
              <w:spacing w:before="38" w:beforeLines="0" w:afterLines="0"/>
              <w:ind w:left="103"/>
              <w:rPr>
                <w:rFonts w:hint="default"/>
                <w:sz w:val="24"/>
                <w:szCs w:val="24"/>
              </w:rPr>
            </w:pPr>
          </w:p>
        </w:tc>
        <w:tc>
          <w:tcPr>
            <w:tcW w:w="5863" w:type="dxa"/>
            <w:tcBorders>
              <w:top w:val="nil"/>
              <w:left w:val="single" w:color="000000" w:sz="4" w:space="0"/>
              <w:bottom w:val="nil"/>
              <w:right w:val="single" w:color="000000" w:sz="4" w:space="0"/>
              <w:tl2br w:val="nil"/>
              <w:tr2bl w:val="nil"/>
            </w:tcBorders>
            <w:noWrap w:val="0"/>
            <w:vAlign w:val="top"/>
          </w:tcPr>
          <w:p w14:paraId="2EC6E730">
            <w:pPr>
              <w:pStyle w:val="42"/>
              <w:kinsoku w:val="0"/>
              <w:overflowPunct w:val="0"/>
              <w:spacing w:before="1" w:beforeLines="0" w:afterLines="0"/>
              <w:ind w:left="103"/>
              <w:rPr>
                <w:rFonts w:hint="default"/>
                <w:sz w:val="24"/>
                <w:szCs w:val="24"/>
              </w:rPr>
            </w:pPr>
            <w:r>
              <w:rPr>
                <w:rFonts w:hint="eastAsia" w:ascii="宋体" w:hAnsi="宋体" w:eastAsia="宋体"/>
                <w:sz w:val="24"/>
                <w:szCs w:val="24"/>
              </w:rPr>
              <w:t>供应商原因对服务人员进行调换，应当经采购人同</w:t>
            </w:r>
          </w:p>
        </w:tc>
      </w:tr>
      <w:tr w14:paraId="77F51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exact"/>
        </w:trPr>
        <w:tc>
          <w:tcPr>
            <w:tcW w:w="71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0AC4FD3">
            <w:pPr>
              <w:pStyle w:val="42"/>
              <w:kinsoku w:val="0"/>
              <w:overflowPunct w:val="0"/>
              <w:spacing w:before="1" w:beforeLines="0" w:afterLines="0"/>
              <w:ind w:left="103"/>
              <w:rPr>
                <w:rFonts w:hint="default"/>
                <w:sz w:val="24"/>
                <w:szCs w:val="24"/>
              </w:rPr>
            </w:pPr>
          </w:p>
        </w:tc>
        <w:tc>
          <w:tcPr>
            <w:tcW w:w="1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70D091F7">
            <w:pPr>
              <w:pStyle w:val="42"/>
              <w:kinsoku w:val="0"/>
              <w:overflowPunct w:val="0"/>
              <w:spacing w:before="1" w:beforeLines="0" w:afterLines="0"/>
              <w:ind w:left="103"/>
              <w:rPr>
                <w:rFonts w:hint="default"/>
                <w:sz w:val="24"/>
                <w:szCs w:val="24"/>
              </w:rPr>
            </w:pPr>
          </w:p>
        </w:tc>
        <w:tc>
          <w:tcPr>
            <w:tcW w:w="5863" w:type="dxa"/>
            <w:tcBorders>
              <w:top w:val="nil"/>
              <w:left w:val="single" w:color="000000" w:sz="4" w:space="0"/>
              <w:bottom w:val="nil"/>
              <w:right w:val="single" w:color="000000" w:sz="4" w:space="0"/>
              <w:tl2br w:val="nil"/>
              <w:tr2bl w:val="nil"/>
            </w:tcBorders>
            <w:noWrap w:val="0"/>
            <w:vAlign w:val="top"/>
          </w:tcPr>
          <w:p w14:paraId="7C6C81D3">
            <w:pPr>
              <w:pStyle w:val="42"/>
              <w:kinsoku w:val="0"/>
              <w:overflowPunct w:val="0"/>
              <w:spacing w:beforeLines="0" w:afterLines="0"/>
              <w:ind w:left="103"/>
              <w:rPr>
                <w:rFonts w:hint="default"/>
                <w:sz w:val="24"/>
                <w:szCs w:val="24"/>
              </w:rPr>
            </w:pPr>
            <w:r>
              <w:rPr>
                <w:rFonts w:hint="eastAsia" w:ascii="宋体" w:hAnsi="宋体" w:eastAsia="宋体"/>
                <w:sz w:val="24"/>
                <w:szCs w:val="24"/>
              </w:rPr>
              <w:t>意，更换比例不得超过本项目服务人员总数的20%。</w:t>
            </w:r>
          </w:p>
        </w:tc>
      </w:tr>
      <w:tr w14:paraId="132C5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exact"/>
        </w:trPr>
        <w:tc>
          <w:tcPr>
            <w:tcW w:w="71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3D267409">
            <w:pPr>
              <w:pStyle w:val="42"/>
              <w:kinsoku w:val="0"/>
              <w:overflowPunct w:val="0"/>
              <w:spacing w:beforeLines="0" w:afterLines="0"/>
              <w:ind w:left="103"/>
              <w:rPr>
                <w:rFonts w:hint="default"/>
                <w:sz w:val="24"/>
                <w:szCs w:val="24"/>
              </w:rPr>
            </w:pPr>
          </w:p>
        </w:tc>
        <w:tc>
          <w:tcPr>
            <w:tcW w:w="1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004630C3">
            <w:pPr>
              <w:pStyle w:val="42"/>
              <w:kinsoku w:val="0"/>
              <w:overflowPunct w:val="0"/>
              <w:spacing w:beforeLines="0" w:afterLines="0"/>
              <w:ind w:left="103"/>
              <w:rPr>
                <w:rFonts w:hint="default"/>
                <w:sz w:val="24"/>
                <w:szCs w:val="24"/>
              </w:rPr>
            </w:pPr>
          </w:p>
        </w:tc>
        <w:tc>
          <w:tcPr>
            <w:tcW w:w="5863" w:type="dxa"/>
            <w:tcBorders>
              <w:top w:val="nil"/>
              <w:left w:val="single" w:color="000000" w:sz="4" w:space="0"/>
              <w:bottom w:val="single" w:color="000000" w:sz="4" w:space="0"/>
              <w:right w:val="single" w:color="000000" w:sz="4" w:space="0"/>
              <w:tl2br w:val="nil"/>
              <w:tr2bl w:val="nil"/>
            </w:tcBorders>
            <w:noWrap w:val="0"/>
            <w:vAlign w:val="top"/>
          </w:tcPr>
          <w:p w14:paraId="5103C08B">
            <w:pPr>
              <w:pStyle w:val="42"/>
              <w:kinsoku w:val="0"/>
              <w:overflowPunct w:val="0"/>
              <w:spacing w:beforeLines="0" w:afterLines="0"/>
              <w:ind w:left="103"/>
              <w:rPr>
                <w:rFonts w:hint="default"/>
                <w:sz w:val="24"/>
                <w:szCs w:val="24"/>
              </w:rPr>
            </w:pPr>
            <w:r>
              <w:rPr>
                <w:rFonts w:hint="eastAsia" w:ascii="宋体" w:hAnsi="宋体" w:eastAsia="宋体"/>
                <w:sz w:val="24"/>
                <w:szCs w:val="24"/>
              </w:rPr>
              <w:t>本项目服务人员不得在其他项目兼职。</w:t>
            </w:r>
          </w:p>
        </w:tc>
      </w:tr>
      <w:tr w14:paraId="49563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exact"/>
        </w:trPr>
        <w:tc>
          <w:tcPr>
            <w:tcW w:w="71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2CFB4B10">
            <w:pPr>
              <w:pStyle w:val="42"/>
              <w:kinsoku w:val="0"/>
              <w:overflowPunct w:val="0"/>
              <w:spacing w:beforeLines="0" w:afterLines="0"/>
              <w:ind w:left="103"/>
              <w:rPr>
                <w:rFonts w:hint="default"/>
                <w:sz w:val="24"/>
                <w:szCs w:val="24"/>
              </w:rPr>
            </w:pPr>
          </w:p>
        </w:tc>
        <w:tc>
          <w:tcPr>
            <w:tcW w:w="1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044DE091">
            <w:pPr>
              <w:pStyle w:val="42"/>
              <w:kinsoku w:val="0"/>
              <w:overflowPunct w:val="0"/>
              <w:spacing w:beforeLines="0" w:afterLines="0"/>
              <w:ind w:left="103"/>
              <w:rPr>
                <w:rFonts w:hint="default"/>
                <w:sz w:val="24"/>
                <w:szCs w:val="24"/>
              </w:rPr>
            </w:pPr>
          </w:p>
        </w:tc>
        <w:tc>
          <w:tcPr>
            <w:tcW w:w="586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38EE121">
            <w:pPr>
              <w:pStyle w:val="42"/>
              <w:kinsoku w:val="0"/>
              <w:overflowPunct w:val="0"/>
              <w:spacing w:before="23" w:beforeLines="0" w:afterLines="0"/>
              <w:ind w:left="103" w:firstLine="240"/>
              <w:rPr>
                <w:rFonts w:hint="eastAsia" w:ascii="宋体" w:hAnsi="宋体" w:eastAsia="宋体"/>
                <w:sz w:val="24"/>
                <w:szCs w:val="24"/>
              </w:rPr>
            </w:pPr>
            <w:r>
              <w:rPr>
                <w:rFonts w:hint="eastAsia" w:ascii="宋体" w:hAnsi="宋体" w:eastAsia="宋体"/>
                <w:sz w:val="24"/>
                <w:szCs w:val="24"/>
              </w:rPr>
              <w:t>（5）着装分类统一，佩戴标识。仪容整洁、姿</w:t>
            </w:r>
          </w:p>
          <w:p w14:paraId="15B3477C">
            <w:pPr>
              <w:pStyle w:val="42"/>
              <w:kinsoku w:val="0"/>
              <w:overflowPunct w:val="0"/>
              <w:spacing w:before="151" w:beforeLines="0" w:afterLines="0"/>
              <w:ind w:left="103"/>
              <w:rPr>
                <w:rFonts w:hint="default"/>
                <w:sz w:val="24"/>
                <w:szCs w:val="24"/>
              </w:rPr>
            </w:pPr>
            <w:r>
              <w:rPr>
                <w:rFonts w:hint="eastAsia" w:ascii="宋体" w:hAnsi="宋体" w:eastAsia="宋体"/>
                <w:sz w:val="24"/>
                <w:szCs w:val="24"/>
              </w:rPr>
              <w:t>态端正、举止文明。用语文明礼貌，态度温和耐心。</w:t>
            </w:r>
          </w:p>
        </w:tc>
      </w:tr>
      <w:tr w14:paraId="48937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exact"/>
        </w:trPr>
        <w:tc>
          <w:tcPr>
            <w:tcW w:w="71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35F3AF5F">
            <w:pPr>
              <w:pStyle w:val="42"/>
              <w:kinsoku w:val="0"/>
              <w:overflowPunct w:val="0"/>
              <w:spacing w:before="151" w:beforeLines="0" w:afterLines="0"/>
              <w:ind w:left="103"/>
              <w:rPr>
                <w:rFonts w:hint="default"/>
                <w:sz w:val="24"/>
                <w:szCs w:val="24"/>
              </w:rPr>
            </w:pPr>
          </w:p>
        </w:tc>
        <w:tc>
          <w:tcPr>
            <w:tcW w:w="1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2AB72655">
            <w:pPr>
              <w:pStyle w:val="42"/>
              <w:kinsoku w:val="0"/>
              <w:overflowPunct w:val="0"/>
              <w:spacing w:before="151" w:beforeLines="0" w:afterLines="0"/>
              <w:ind w:left="103"/>
              <w:rPr>
                <w:rFonts w:hint="default"/>
                <w:sz w:val="24"/>
                <w:szCs w:val="24"/>
              </w:rPr>
            </w:pPr>
          </w:p>
        </w:tc>
        <w:tc>
          <w:tcPr>
            <w:tcW w:w="5863" w:type="dxa"/>
            <w:tcBorders>
              <w:top w:val="single" w:color="000000" w:sz="4" w:space="0"/>
              <w:left w:val="single" w:color="000000" w:sz="4" w:space="0"/>
              <w:bottom w:val="nil"/>
              <w:right w:val="single" w:color="000000" w:sz="4" w:space="0"/>
              <w:tl2br w:val="nil"/>
              <w:tr2bl w:val="nil"/>
            </w:tcBorders>
            <w:noWrap w:val="0"/>
            <w:vAlign w:val="top"/>
          </w:tcPr>
          <w:p w14:paraId="6D1C8872">
            <w:pPr>
              <w:pStyle w:val="42"/>
              <w:kinsoku w:val="0"/>
              <w:overflowPunct w:val="0"/>
              <w:spacing w:before="24" w:beforeLines="0" w:afterLines="0"/>
              <w:ind w:left="343"/>
              <w:rPr>
                <w:rFonts w:hint="default"/>
                <w:sz w:val="24"/>
                <w:szCs w:val="24"/>
              </w:rPr>
            </w:pPr>
            <w:r>
              <w:rPr>
                <w:rFonts w:hint="eastAsia" w:ascii="宋体" w:hAnsi="宋体" w:eastAsia="宋体"/>
                <w:sz w:val="24"/>
                <w:szCs w:val="24"/>
              </w:rPr>
              <w:t>（6）严格按合同科学配备管理服务人员，并有</w:t>
            </w:r>
          </w:p>
        </w:tc>
      </w:tr>
      <w:tr w14:paraId="791C5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exact"/>
        </w:trPr>
        <w:tc>
          <w:tcPr>
            <w:tcW w:w="71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7DF13D11">
            <w:pPr>
              <w:pStyle w:val="42"/>
              <w:kinsoku w:val="0"/>
              <w:overflowPunct w:val="0"/>
              <w:spacing w:before="24" w:beforeLines="0" w:afterLines="0"/>
              <w:ind w:left="343"/>
              <w:rPr>
                <w:rFonts w:hint="default"/>
                <w:sz w:val="24"/>
                <w:szCs w:val="24"/>
              </w:rPr>
            </w:pPr>
          </w:p>
        </w:tc>
        <w:tc>
          <w:tcPr>
            <w:tcW w:w="1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C575EF2">
            <w:pPr>
              <w:pStyle w:val="42"/>
              <w:kinsoku w:val="0"/>
              <w:overflowPunct w:val="0"/>
              <w:spacing w:before="24" w:beforeLines="0" w:afterLines="0"/>
              <w:ind w:left="343"/>
              <w:rPr>
                <w:rFonts w:hint="default"/>
                <w:sz w:val="24"/>
                <w:szCs w:val="24"/>
              </w:rPr>
            </w:pPr>
          </w:p>
        </w:tc>
        <w:tc>
          <w:tcPr>
            <w:tcW w:w="5863" w:type="dxa"/>
            <w:tcBorders>
              <w:top w:val="nil"/>
              <w:left w:val="single" w:color="000000" w:sz="4" w:space="0"/>
              <w:bottom w:val="nil"/>
              <w:right w:val="single" w:color="000000" w:sz="4" w:space="0"/>
              <w:tl2br w:val="nil"/>
              <w:tr2bl w:val="nil"/>
            </w:tcBorders>
            <w:noWrap w:val="0"/>
            <w:vAlign w:val="top"/>
          </w:tcPr>
          <w:p w14:paraId="06C0FA6D">
            <w:pPr>
              <w:pStyle w:val="42"/>
              <w:kinsoku w:val="0"/>
              <w:overflowPunct w:val="0"/>
              <w:spacing w:before="38" w:beforeLines="0" w:afterLines="0"/>
              <w:ind w:left="103"/>
              <w:rPr>
                <w:rFonts w:hint="default"/>
                <w:sz w:val="24"/>
                <w:szCs w:val="24"/>
              </w:rPr>
            </w:pPr>
            <w:r>
              <w:rPr>
                <w:rFonts w:hint="eastAsia" w:ascii="宋体" w:hAnsi="宋体" w:eastAsia="宋体"/>
                <w:sz w:val="24"/>
                <w:szCs w:val="24"/>
              </w:rPr>
              <w:t>一定人员储备，人员100%在岗，任何情况下不得出现</w:t>
            </w:r>
          </w:p>
        </w:tc>
      </w:tr>
      <w:tr w14:paraId="6A638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exact"/>
        </w:trPr>
        <w:tc>
          <w:tcPr>
            <w:tcW w:w="71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56B16218">
            <w:pPr>
              <w:pStyle w:val="42"/>
              <w:kinsoku w:val="0"/>
              <w:overflowPunct w:val="0"/>
              <w:spacing w:before="38" w:beforeLines="0" w:afterLines="0"/>
              <w:ind w:left="103"/>
              <w:rPr>
                <w:rFonts w:hint="default"/>
                <w:sz w:val="24"/>
                <w:szCs w:val="24"/>
              </w:rPr>
            </w:pPr>
          </w:p>
        </w:tc>
        <w:tc>
          <w:tcPr>
            <w:tcW w:w="1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35E2BB2B">
            <w:pPr>
              <w:pStyle w:val="42"/>
              <w:kinsoku w:val="0"/>
              <w:overflowPunct w:val="0"/>
              <w:spacing w:before="38" w:beforeLines="0" w:afterLines="0"/>
              <w:ind w:left="103"/>
              <w:rPr>
                <w:rFonts w:hint="default"/>
                <w:sz w:val="24"/>
                <w:szCs w:val="24"/>
              </w:rPr>
            </w:pPr>
          </w:p>
        </w:tc>
        <w:tc>
          <w:tcPr>
            <w:tcW w:w="5863" w:type="dxa"/>
            <w:tcBorders>
              <w:top w:val="nil"/>
              <w:left w:val="single" w:color="000000" w:sz="4" w:space="0"/>
              <w:bottom w:val="single" w:color="000000" w:sz="4" w:space="0"/>
              <w:right w:val="single" w:color="000000" w:sz="4" w:space="0"/>
              <w:tl2br w:val="nil"/>
              <w:tr2bl w:val="nil"/>
            </w:tcBorders>
            <w:noWrap w:val="0"/>
            <w:vAlign w:val="top"/>
          </w:tcPr>
          <w:p w14:paraId="4E4FD8E7">
            <w:pPr>
              <w:pStyle w:val="42"/>
              <w:kinsoku w:val="0"/>
              <w:overflowPunct w:val="0"/>
              <w:spacing w:before="1" w:beforeLines="0" w:afterLines="0"/>
              <w:ind w:left="103"/>
              <w:rPr>
                <w:rFonts w:hint="default"/>
                <w:sz w:val="24"/>
                <w:szCs w:val="24"/>
              </w:rPr>
            </w:pPr>
            <w:r>
              <w:rPr>
                <w:rFonts w:hint="eastAsia" w:ascii="宋体" w:hAnsi="宋体" w:eastAsia="宋体"/>
                <w:sz w:val="24"/>
                <w:szCs w:val="24"/>
              </w:rPr>
              <w:t>人员缺编、岗位空缺。</w:t>
            </w:r>
          </w:p>
        </w:tc>
      </w:tr>
    </w:tbl>
    <w:p w14:paraId="2FB66565">
      <w:pPr>
        <w:spacing w:beforeLines="0" w:afterLines="0"/>
        <w:rPr>
          <w:rFonts w:hint="default"/>
          <w:sz w:val="24"/>
          <w:szCs w:val="24"/>
        </w:rPr>
        <w:sectPr>
          <w:pgSz w:w="11910" w:h="16840"/>
          <w:pgMar w:top="980" w:right="1600" w:bottom="880" w:left="1580" w:header="746" w:footer="699" w:gutter="0"/>
          <w:lnNumType w:countBy="0" w:distance="360"/>
          <w:cols w:space="720" w:num="1"/>
        </w:sectPr>
      </w:pPr>
    </w:p>
    <w:p w14:paraId="54B374E4">
      <w:pPr>
        <w:pStyle w:val="8"/>
        <w:kinsoku w:val="0"/>
        <w:overflowPunct w:val="0"/>
        <w:spacing w:beforeLines="0" w:afterLines="0"/>
        <w:ind w:left="0"/>
        <w:rPr>
          <w:rFonts w:hint="default" w:ascii="Times New Roman" w:hAnsi="Times New Roman" w:eastAsia="Times New Roman"/>
          <w:sz w:val="20"/>
          <w:szCs w:val="24"/>
        </w:rPr>
      </w:pPr>
    </w:p>
    <w:p w14:paraId="2870F3FC">
      <w:pPr>
        <w:pStyle w:val="8"/>
        <w:kinsoku w:val="0"/>
        <w:overflowPunct w:val="0"/>
        <w:spacing w:before="3" w:beforeLines="0" w:afterLines="0"/>
        <w:ind w:left="0"/>
        <w:rPr>
          <w:rFonts w:hint="default" w:ascii="Times New Roman" w:hAnsi="Times New Roman" w:eastAsia="Times New Roman"/>
          <w:sz w:val="19"/>
          <w:szCs w:val="24"/>
        </w:rPr>
      </w:pPr>
    </w:p>
    <w:tbl>
      <w:tblPr>
        <w:tblStyle w:val="19"/>
        <w:tblW w:w="0" w:type="auto"/>
        <w:tblInd w:w="2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9"/>
        <w:gridCol w:w="1930"/>
        <w:gridCol w:w="5863"/>
      </w:tblGrid>
      <w:tr w14:paraId="18773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exact"/>
        </w:trPr>
        <w:tc>
          <w:tcPr>
            <w:tcW w:w="71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01F230E1">
            <w:pPr>
              <w:pStyle w:val="42"/>
              <w:kinsoku w:val="0"/>
              <w:overflowPunct w:val="0"/>
              <w:spacing w:beforeLines="0" w:afterLines="0"/>
              <w:rPr>
                <w:rFonts w:hint="default" w:ascii="Times New Roman" w:hAnsi="Times New Roman" w:eastAsia="Times New Roman"/>
                <w:sz w:val="24"/>
                <w:szCs w:val="24"/>
              </w:rPr>
            </w:pPr>
          </w:p>
          <w:p w14:paraId="498934DC">
            <w:pPr>
              <w:pStyle w:val="42"/>
              <w:kinsoku w:val="0"/>
              <w:overflowPunct w:val="0"/>
              <w:spacing w:beforeLines="0" w:afterLines="0"/>
              <w:rPr>
                <w:rFonts w:hint="default" w:ascii="Times New Roman" w:hAnsi="Times New Roman" w:eastAsia="Times New Roman"/>
                <w:sz w:val="24"/>
                <w:szCs w:val="24"/>
              </w:rPr>
            </w:pPr>
          </w:p>
          <w:p w14:paraId="2BA9FF81">
            <w:pPr>
              <w:pStyle w:val="42"/>
              <w:kinsoku w:val="0"/>
              <w:overflowPunct w:val="0"/>
              <w:spacing w:beforeLines="0" w:afterLines="0"/>
              <w:rPr>
                <w:rFonts w:hint="default" w:ascii="Times New Roman" w:hAnsi="Times New Roman" w:eastAsia="Times New Roman"/>
                <w:sz w:val="24"/>
                <w:szCs w:val="24"/>
              </w:rPr>
            </w:pPr>
          </w:p>
          <w:p w14:paraId="24E800D8">
            <w:pPr>
              <w:pStyle w:val="42"/>
              <w:kinsoku w:val="0"/>
              <w:overflowPunct w:val="0"/>
              <w:spacing w:beforeLines="0" w:afterLines="0"/>
              <w:rPr>
                <w:rFonts w:hint="default" w:ascii="Times New Roman" w:hAnsi="Times New Roman" w:eastAsia="Times New Roman"/>
                <w:sz w:val="24"/>
                <w:szCs w:val="24"/>
              </w:rPr>
            </w:pPr>
          </w:p>
          <w:p w14:paraId="37D3F7E6">
            <w:pPr>
              <w:pStyle w:val="42"/>
              <w:kinsoku w:val="0"/>
              <w:overflowPunct w:val="0"/>
              <w:spacing w:beforeLines="0" w:afterLines="0"/>
              <w:rPr>
                <w:rFonts w:hint="default" w:ascii="Times New Roman" w:hAnsi="Times New Roman" w:eastAsia="Times New Roman"/>
                <w:sz w:val="24"/>
                <w:szCs w:val="24"/>
              </w:rPr>
            </w:pPr>
          </w:p>
          <w:p w14:paraId="42D721BA">
            <w:pPr>
              <w:pStyle w:val="42"/>
              <w:kinsoku w:val="0"/>
              <w:overflowPunct w:val="0"/>
              <w:spacing w:beforeLines="0" w:afterLines="0"/>
              <w:rPr>
                <w:rFonts w:hint="default" w:ascii="Times New Roman" w:hAnsi="Times New Roman" w:eastAsia="Times New Roman"/>
                <w:sz w:val="24"/>
                <w:szCs w:val="24"/>
              </w:rPr>
            </w:pPr>
          </w:p>
          <w:p w14:paraId="5DF178BF">
            <w:pPr>
              <w:pStyle w:val="42"/>
              <w:kinsoku w:val="0"/>
              <w:overflowPunct w:val="0"/>
              <w:spacing w:beforeLines="0" w:afterLines="0"/>
              <w:rPr>
                <w:rFonts w:hint="default" w:ascii="Times New Roman" w:hAnsi="Times New Roman" w:eastAsia="Times New Roman"/>
                <w:sz w:val="24"/>
                <w:szCs w:val="24"/>
              </w:rPr>
            </w:pPr>
          </w:p>
          <w:p w14:paraId="105F51F5">
            <w:pPr>
              <w:pStyle w:val="42"/>
              <w:kinsoku w:val="0"/>
              <w:overflowPunct w:val="0"/>
              <w:spacing w:beforeLines="0" w:afterLines="0"/>
              <w:rPr>
                <w:rFonts w:hint="default" w:ascii="Times New Roman" w:hAnsi="Times New Roman" w:eastAsia="Times New Roman"/>
                <w:sz w:val="24"/>
                <w:szCs w:val="24"/>
              </w:rPr>
            </w:pPr>
          </w:p>
          <w:p w14:paraId="02228A15">
            <w:pPr>
              <w:pStyle w:val="42"/>
              <w:kinsoku w:val="0"/>
              <w:overflowPunct w:val="0"/>
              <w:spacing w:beforeLines="0" w:afterLines="0"/>
              <w:rPr>
                <w:rFonts w:hint="default" w:ascii="Times New Roman" w:hAnsi="Times New Roman" w:eastAsia="Times New Roman"/>
                <w:sz w:val="24"/>
                <w:szCs w:val="24"/>
              </w:rPr>
            </w:pPr>
          </w:p>
          <w:p w14:paraId="57155E3B">
            <w:pPr>
              <w:pStyle w:val="42"/>
              <w:kinsoku w:val="0"/>
              <w:overflowPunct w:val="0"/>
              <w:spacing w:beforeLines="0" w:afterLines="0"/>
              <w:rPr>
                <w:rFonts w:hint="default" w:ascii="Times New Roman" w:hAnsi="Times New Roman" w:eastAsia="Times New Roman"/>
                <w:sz w:val="24"/>
                <w:szCs w:val="24"/>
              </w:rPr>
            </w:pPr>
          </w:p>
          <w:p w14:paraId="190D6225">
            <w:pPr>
              <w:pStyle w:val="42"/>
              <w:kinsoku w:val="0"/>
              <w:overflowPunct w:val="0"/>
              <w:spacing w:beforeLines="0" w:afterLines="0"/>
              <w:rPr>
                <w:rFonts w:hint="default" w:ascii="Times New Roman" w:hAnsi="Times New Roman" w:eastAsia="Times New Roman"/>
                <w:sz w:val="24"/>
                <w:szCs w:val="24"/>
              </w:rPr>
            </w:pPr>
          </w:p>
          <w:p w14:paraId="2C9FE646">
            <w:pPr>
              <w:pStyle w:val="42"/>
              <w:kinsoku w:val="0"/>
              <w:overflowPunct w:val="0"/>
              <w:spacing w:beforeLines="0" w:afterLines="0"/>
              <w:rPr>
                <w:rFonts w:hint="default" w:ascii="Times New Roman" w:hAnsi="Times New Roman" w:eastAsia="Times New Roman"/>
                <w:sz w:val="24"/>
                <w:szCs w:val="24"/>
              </w:rPr>
            </w:pPr>
          </w:p>
          <w:p w14:paraId="208E1C8C">
            <w:pPr>
              <w:pStyle w:val="42"/>
              <w:kinsoku w:val="0"/>
              <w:overflowPunct w:val="0"/>
              <w:spacing w:beforeLines="0" w:afterLines="0"/>
              <w:rPr>
                <w:rFonts w:hint="default" w:ascii="Times New Roman" w:hAnsi="Times New Roman" w:eastAsia="Times New Roman"/>
                <w:sz w:val="24"/>
                <w:szCs w:val="24"/>
              </w:rPr>
            </w:pPr>
          </w:p>
          <w:p w14:paraId="37857317">
            <w:pPr>
              <w:pStyle w:val="42"/>
              <w:kinsoku w:val="0"/>
              <w:overflowPunct w:val="0"/>
              <w:spacing w:before="169" w:beforeLines="0" w:afterLines="0"/>
              <w:ind w:left="1"/>
              <w:jc w:val="center"/>
              <w:rPr>
                <w:rFonts w:hint="default"/>
                <w:sz w:val="24"/>
                <w:szCs w:val="24"/>
              </w:rPr>
            </w:pPr>
            <w:r>
              <w:rPr>
                <w:rFonts w:hint="eastAsia" w:ascii="宋体" w:hAnsi="宋体" w:eastAsia="宋体"/>
                <w:sz w:val="24"/>
                <w:szCs w:val="24"/>
              </w:rPr>
              <w:t>4</w:t>
            </w:r>
          </w:p>
        </w:tc>
        <w:tc>
          <w:tcPr>
            <w:tcW w:w="193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3E2F8CCB">
            <w:pPr>
              <w:pStyle w:val="42"/>
              <w:kinsoku w:val="0"/>
              <w:overflowPunct w:val="0"/>
              <w:spacing w:beforeLines="0" w:afterLines="0"/>
              <w:rPr>
                <w:rFonts w:hint="default" w:ascii="Times New Roman" w:hAnsi="Times New Roman" w:eastAsia="Times New Roman"/>
                <w:sz w:val="24"/>
                <w:szCs w:val="24"/>
              </w:rPr>
            </w:pPr>
          </w:p>
          <w:p w14:paraId="2D75B580">
            <w:pPr>
              <w:pStyle w:val="42"/>
              <w:kinsoku w:val="0"/>
              <w:overflowPunct w:val="0"/>
              <w:spacing w:beforeLines="0" w:afterLines="0"/>
              <w:rPr>
                <w:rFonts w:hint="default" w:ascii="Times New Roman" w:hAnsi="Times New Roman" w:eastAsia="Times New Roman"/>
                <w:sz w:val="24"/>
                <w:szCs w:val="24"/>
              </w:rPr>
            </w:pPr>
          </w:p>
          <w:p w14:paraId="4A18E09D">
            <w:pPr>
              <w:pStyle w:val="42"/>
              <w:kinsoku w:val="0"/>
              <w:overflowPunct w:val="0"/>
              <w:spacing w:beforeLines="0" w:afterLines="0"/>
              <w:rPr>
                <w:rFonts w:hint="default" w:ascii="Times New Roman" w:hAnsi="Times New Roman" w:eastAsia="Times New Roman"/>
                <w:sz w:val="24"/>
                <w:szCs w:val="24"/>
              </w:rPr>
            </w:pPr>
          </w:p>
          <w:p w14:paraId="2832659D">
            <w:pPr>
              <w:pStyle w:val="42"/>
              <w:kinsoku w:val="0"/>
              <w:overflowPunct w:val="0"/>
              <w:spacing w:beforeLines="0" w:afterLines="0"/>
              <w:rPr>
                <w:rFonts w:hint="default" w:ascii="Times New Roman" w:hAnsi="Times New Roman" w:eastAsia="Times New Roman"/>
                <w:sz w:val="24"/>
                <w:szCs w:val="24"/>
              </w:rPr>
            </w:pPr>
          </w:p>
          <w:p w14:paraId="253B66CA">
            <w:pPr>
              <w:pStyle w:val="42"/>
              <w:kinsoku w:val="0"/>
              <w:overflowPunct w:val="0"/>
              <w:spacing w:beforeLines="0" w:afterLines="0"/>
              <w:rPr>
                <w:rFonts w:hint="default" w:ascii="Times New Roman" w:hAnsi="Times New Roman" w:eastAsia="Times New Roman"/>
                <w:sz w:val="24"/>
                <w:szCs w:val="24"/>
              </w:rPr>
            </w:pPr>
          </w:p>
          <w:p w14:paraId="1B952DA5">
            <w:pPr>
              <w:pStyle w:val="42"/>
              <w:kinsoku w:val="0"/>
              <w:overflowPunct w:val="0"/>
              <w:spacing w:beforeLines="0" w:afterLines="0"/>
              <w:rPr>
                <w:rFonts w:hint="default" w:ascii="Times New Roman" w:hAnsi="Times New Roman" w:eastAsia="Times New Roman"/>
                <w:sz w:val="24"/>
                <w:szCs w:val="24"/>
              </w:rPr>
            </w:pPr>
          </w:p>
          <w:p w14:paraId="360DBFC8">
            <w:pPr>
              <w:pStyle w:val="42"/>
              <w:kinsoku w:val="0"/>
              <w:overflowPunct w:val="0"/>
              <w:spacing w:beforeLines="0" w:afterLines="0"/>
              <w:rPr>
                <w:rFonts w:hint="default" w:ascii="Times New Roman" w:hAnsi="Times New Roman" w:eastAsia="Times New Roman"/>
                <w:sz w:val="24"/>
                <w:szCs w:val="24"/>
              </w:rPr>
            </w:pPr>
          </w:p>
          <w:p w14:paraId="0EF59F4D">
            <w:pPr>
              <w:pStyle w:val="42"/>
              <w:kinsoku w:val="0"/>
              <w:overflowPunct w:val="0"/>
              <w:spacing w:beforeLines="0" w:afterLines="0"/>
              <w:rPr>
                <w:rFonts w:hint="default" w:ascii="Times New Roman" w:hAnsi="Times New Roman" w:eastAsia="Times New Roman"/>
                <w:sz w:val="24"/>
                <w:szCs w:val="24"/>
              </w:rPr>
            </w:pPr>
          </w:p>
          <w:p w14:paraId="19037E26">
            <w:pPr>
              <w:pStyle w:val="42"/>
              <w:kinsoku w:val="0"/>
              <w:overflowPunct w:val="0"/>
              <w:spacing w:beforeLines="0" w:afterLines="0"/>
              <w:rPr>
                <w:rFonts w:hint="default" w:ascii="Times New Roman" w:hAnsi="Times New Roman" w:eastAsia="Times New Roman"/>
                <w:sz w:val="24"/>
                <w:szCs w:val="24"/>
              </w:rPr>
            </w:pPr>
          </w:p>
          <w:p w14:paraId="20A0C8BF">
            <w:pPr>
              <w:pStyle w:val="42"/>
              <w:kinsoku w:val="0"/>
              <w:overflowPunct w:val="0"/>
              <w:spacing w:beforeLines="0" w:afterLines="0"/>
              <w:rPr>
                <w:rFonts w:hint="default" w:ascii="Times New Roman" w:hAnsi="Times New Roman" w:eastAsia="Times New Roman"/>
                <w:sz w:val="24"/>
                <w:szCs w:val="24"/>
              </w:rPr>
            </w:pPr>
          </w:p>
          <w:p w14:paraId="60B2DDE5">
            <w:pPr>
              <w:pStyle w:val="42"/>
              <w:kinsoku w:val="0"/>
              <w:overflowPunct w:val="0"/>
              <w:spacing w:beforeLines="0" w:afterLines="0"/>
              <w:rPr>
                <w:rFonts w:hint="default" w:ascii="Times New Roman" w:hAnsi="Times New Roman" w:eastAsia="Times New Roman"/>
                <w:sz w:val="24"/>
                <w:szCs w:val="24"/>
              </w:rPr>
            </w:pPr>
          </w:p>
          <w:p w14:paraId="30352009">
            <w:pPr>
              <w:pStyle w:val="42"/>
              <w:kinsoku w:val="0"/>
              <w:overflowPunct w:val="0"/>
              <w:spacing w:beforeLines="0" w:afterLines="0"/>
              <w:rPr>
                <w:rFonts w:hint="default" w:ascii="Times New Roman" w:hAnsi="Times New Roman" w:eastAsia="Times New Roman"/>
                <w:sz w:val="24"/>
                <w:szCs w:val="24"/>
              </w:rPr>
            </w:pPr>
          </w:p>
          <w:p w14:paraId="550EA868">
            <w:pPr>
              <w:pStyle w:val="42"/>
              <w:kinsoku w:val="0"/>
              <w:overflowPunct w:val="0"/>
              <w:spacing w:beforeLines="0" w:afterLines="0"/>
              <w:rPr>
                <w:rFonts w:hint="default" w:ascii="Times New Roman" w:hAnsi="Times New Roman" w:eastAsia="Times New Roman"/>
                <w:sz w:val="24"/>
                <w:szCs w:val="24"/>
              </w:rPr>
            </w:pPr>
          </w:p>
          <w:p w14:paraId="375B34E9">
            <w:pPr>
              <w:pStyle w:val="42"/>
              <w:kinsoku w:val="0"/>
              <w:overflowPunct w:val="0"/>
              <w:spacing w:before="169" w:beforeLines="0" w:afterLines="0"/>
              <w:ind w:left="104"/>
              <w:rPr>
                <w:rFonts w:hint="default"/>
                <w:sz w:val="24"/>
                <w:szCs w:val="24"/>
              </w:rPr>
            </w:pPr>
            <w:r>
              <w:rPr>
                <w:rFonts w:hint="eastAsia" w:ascii="宋体" w:hAnsi="宋体" w:eastAsia="宋体"/>
                <w:sz w:val="24"/>
                <w:szCs w:val="24"/>
              </w:rPr>
              <w:t>档案管理</w:t>
            </w:r>
          </w:p>
        </w:tc>
        <w:tc>
          <w:tcPr>
            <w:tcW w:w="586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7B11758">
            <w:pPr>
              <w:pStyle w:val="42"/>
              <w:kinsoku w:val="0"/>
              <w:overflowPunct w:val="0"/>
              <w:spacing w:before="23" w:beforeLines="0" w:afterLines="0"/>
              <w:ind w:left="103" w:firstLine="240"/>
              <w:rPr>
                <w:rFonts w:hint="eastAsia" w:ascii="宋体" w:hAnsi="宋体" w:eastAsia="宋体"/>
                <w:sz w:val="24"/>
                <w:szCs w:val="24"/>
              </w:rPr>
            </w:pPr>
            <w:r>
              <w:rPr>
                <w:rFonts w:hint="eastAsia" w:ascii="宋体" w:hAnsi="宋体" w:eastAsia="宋体"/>
                <w:sz w:val="24"/>
                <w:szCs w:val="24"/>
              </w:rPr>
              <w:t>（1）建立物业信息，准确、及时地对文件资料</w:t>
            </w:r>
          </w:p>
          <w:p w14:paraId="3D73318E">
            <w:pPr>
              <w:pStyle w:val="42"/>
              <w:kinsoku w:val="0"/>
              <w:overflowPunct w:val="0"/>
              <w:spacing w:before="154" w:beforeLines="0" w:afterLines="0"/>
              <w:ind w:left="103"/>
              <w:rPr>
                <w:rFonts w:hint="default"/>
                <w:sz w:val="24"/>
                <w:szCs w:val="24"/>
              </w:rPr>
            </w:pPr>
            <w:r>
              <w:rPr>
                <w:rFonts w:hint="eastAsia" w:ascii="宋体" w:hAnsi="宋体" w:eastAsia="宋体"/>
                <w:sz w:val="24"/>
                <w:szCs w:val="24"/>
              </w:rPr>
              <w:t>和服务记录进行归档保存，并确保其物理安全。</w:t>
            </w:r>
          </w:p>
        </w:tc>
      </w:tr>
      <w:tr w14:paraId="07CD2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exact"/>
        </w:trPr>
        <w:tc>
          <w:tcPr>
            <w:tcW w:w="71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5CE50921">
            <w:pPr>
              <w:pStyle w:val="42"/>
              <w:kinsoku w:val="0"/>
              <w:overflowPunct w:val="0"/>
              <w:spacing w:before="154" w:beforeLines="0" w:afterLines="0"/>
              <w:ind w:left="103"/>
              <w:rPr>
                <w:rFonts w:hint="default"/>
                <w:sz w:val="24"/>
                <w:szCs w:val="24"/>
              </w:rPr>
            </w:pPr>
          </w:p>
        </w:tc>
        <w:tc>
          <w:tcPr>
            <w:tcW w:w="1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039C2DE7">
            <w:pPr>
              <w:pStyle w:val="42"/>
              <w:kinsoku w:val="0"/>
              <w:overflowPunct w:val="0"/>
              <w:spacing w:before="154" w:beforeLines="0" w:afterLines="0"/>
              <w:ind w:left="103"/>
              <w:rPr>
                <w:rFonts w:hint="default"/>
                <w:sz w:val="24"/>
                <w:szCs w:val="24"/>
              </w:rPr>
            </w:pPr>
          </w:p>
        </w:tc>
        <w:tc>
          <w:tcPr>
            <w:tcW w:w="5863" w:type="dxa"/>
            <w:tcBorders>
              <w:top w:val="single" w:color="000000" w:sz="4" w:space="0"/>
              <w:left w:val="single" w:color="000000" w:sz="4" w:space="0"/>
              <w:bottom w:val="nil"/>
              <w:right w:val="single" w:color="000000" w:sz="4" w:space="0"/>
              <w:tl2br w:val="nil"/>
              <w:tr2bl w:val="nil"/>
            </w:tcBorders>
            <w:noWrap w:val="0"/>
            <w:vAlign w:val="top"/>
          </w:tcPr>
          <w:p w14:paraId="086DFB22">
            <w:pPr>
              <w:pStyle w:val="42"/>
              <w:kinsoku w:val="0"/>
              <w:overflowPunct w:val="0"/>
              <w:spacing w:before="26" w:beforeLines="0" w:afterLines="0"/>
              <w:ind w:left="343"/>
              <w:rPr>
                <w:rFonts w:hint="default"/>
                <w:sz w:val="24"/>
                <w:szCs w:val="24"/>
              </w:rPr>
            </w:pPr>
            <w:r>
              <w:rPr>
                <w:rFonts w:hint="eastAsia" w:ascii="宋体" w:hAnsi="宋体" w:eastAsia="宋体"/>
                <w:sz w:val="24"/>
                <w:szCs w:val="24"/>
              </w:rPr>
              <w:t>（2）档案和记录齐全，包括但不限于：①采购</w:t>
            </w:r>
          </w:p>
        </w:tc>
      </w:tr>
      <w:tr w14:paraId="5835C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exact"/>
        </w:trPr>
        <w:tc>
          <w:tcPr>
            <w:tcW w:w="71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04C3BE4D">
            <w:pPr>
              <w:pStyle w:val="42"/>
              <w:kinsoku w:val="0"/>
              <w:overflowPunct w:val="0"/>
              <w:spacing w:before="26" w:beforeLines="0" w:afterLines="0"/>
              <w:ind w:left="343"/>
              <w:rPr>
                <w:rFonts w:hint="default"/>
                <w:sz w:val="24"/>
                <w:szCs w:val="24"/>
              </w:rPr>
            </w:pPr>
          </w:p>
        </w:tc>
        <w:tc>
          <w:tcPr>
            <w:tcW w:w="1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2C5ABBB8">
            <w:pPr>
              <w:pStyle w:val="42"/>
              <w:kinsoku w:val="0"/>
              <w:overflowPunct w:val="0"/>
              <w:spacing w:before="26" w:beforeLines="0" w:afterLines="0"/>
              <w:ind w:left="343"/>
              <w:rPr>
                <w:rFonts w:hint="default"/>
                <w:sz w:val="24"/>
                <w:szCs w:val="24"/>
              </w:rPr>
            </w:pPr>
          </w:p>
        </w:tc>
        <w:tc>
          <w:tcPr>
            <w:tcW w:w="5863" w:type="dxa"/>
            <w:tcBorders>
              <w:top w:val="nil"/>
              <w:left w:val="single" w:color="000000" w:sz="4" w:space="0"/>
              <w:bottom w:val="nil"/>
              <w:right w:val="single" w:color="000000" w:sz="4" w:space="0"/>
              <w:tl2br w:val="nil"/>
              <w:tr2bl w:val="nil"/>
            </w:tcBorders>
            <w:noWrap w:val="0"/>
            <w:vAlign w:val="top"/>
          </w:tcPr>
          <w:p w14:paraId="69E5E040">
            <w:pPr>
              <w:pStyle w:val="42"/>
              <w:kinsoku w:val="0"/>
              <w:overflowPunct w:val="0"/>
              <w:spacing w:before="38" w:beforeLines="0" w:afterLines="0"/>
              <w:ind w:left="103"/>
              <w:rPr>
                <w:rFonts w:hint="default"/>
                <w:sz w:val="24"/>
                <w:szCs w:val="24"/>
              </w:rPr>
            </w:pPr>
            <w:r>
              <w:rPr>
                <w:rFonts w:hint="eastAsia" w:ascii="宋体" w:hAnsi="宋体" w:eastAsia="宋体"/>
                <w:sz w:val="24"/>
                <w:szCs w:val="24"/>
              </w:rPr>
              <w:t>人建议与投诉等。教育培训和考核记录。保密、思想</w:t>
            </w:r>
          </w:p>
        </w:tc>
      </w:tr>
      <w:tr w14:paraId="66927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exact"/>
        </w:trPr>
        <w:tc>
          <w:tcPr>
            <w:tcW w:w="71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2474487D">
            <w:pPr>
              <w:pStyle w:val="42"/>
              <w:kinsoku w:val="0"/>
              <w:overflowPunct w:val="0"/>
              <w:spacing w:before="38" w:beforeLines="0" w:afterLines="0"/>
              <w:ind w:left="103"/>
              <w:rPr>
                <w:rFonts w:hint="default"/>
                <w:sz w:val="24"/>
                <w:szCs w:val="24"/>
              </w:rPr>
            </w:pPr>
          </w:p>
        </w:tc>
        <w:tc>
          <w:tcPr>
            <w:tcW w:w="1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01CB9246">
            <w:pPr>
              <w:pStyle w:val="42"/>
              <w:kinsoku w:val="0"/>
              <w:overflowPunct w:val="0"/>
              <w:spacing w:before="38" w:beforeLines="0" w:afterLines="0"/>
              <w:ind w:left="103"/>
              <w:rPr>
                <w:rFonts w:hint="default"/>
                <w:sz w:val="24"/>
                <w:szCs w:val="24"/>
              </w:rPr>
            </w:pPr>
          </w:p>
        </w:tc>
        <w:tc>
          <w:tcPr>
            <w:tcW w:w="5863" w:type="dxa"/>
            <w:tcBorders>
              <w:top w:val="nil"/>
              <w:left w:val="single" w:color="000000" w:sz="4" w:space="0"/>
              <w:bottom w:val="nil"/>
              <w:right w:val="single" w:color="000000" w:sz="4" w:space="0"/>
              <w:tl2br w:val="nil"/>
              <w:tr2bl w:val="nil"/>
            </w:tcBorders>
            <w:noWrap w:val="0"/>
            <w:vAlign w:val="top"/>
          </w:tcPr>
          <w:p w14:paraId="577DA802">
            <w:pPr>
              <w:pStyle w:val="42"/>
              <w:kinsoku w:val="0"/>
              <w:overflowPunct w:val="0"/>
              <w:spacing w:beforeLines="0" w:afterLines="0"/>
              <w:ind w:left="103"/>
              <w:rPr>
                <w:rFonts w:hint="default"/>
                <w:sz w:val="24"/>
                <w:szCs w:val="24"/>
              </w:rPr>
            </w:pPr>
            <w:r>
              <w:rPr>
                <w:rFonts w:hint="eastAsia" w:ascii="宋体" w:hAnsi="宋体" w:eastAsia="宋体"/>
                <w:sz w:val="24"/>
                <w:szCs w:val="24"/>
              </w:rPr>
              <w:t>政治教育培训记录。②房屋维护服务：房屋台账、使</w:t>
            </w:r>
          </w:p>
        </w:tc>
      </w:tr>
      <w:tr w14:paraId="12107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exact"/>
        </w:trPr>
        <w:tc>
          <w:tcPr>
            <w:tcW w:w="71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5318B17D">
            <w:pPr>
              <w:pStyle w:val="42"/>
              <w:kinsoku w:val="0"/>
              <w:overflowPunct w:val="0"/>
              <w:spacing w:beforeLines="0" w:afterLines="0"/>
              <w:ind w:left="103"/>
              <w:rPr>
                <w:rFonts w:hint="default"/>
                <w:sz w:val="24"/>
                <w:szCs w:val="24"/>
              </w:rPr>
            </w:pPr>
          </w:p>
        </w:tc>
        <w:tc>
          <w:tcPr>
            <w:tcW w:w="1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DDE0772">
            <w:pPr>
              <w:pStyle w:val="42"/>
              <w:kinsoku w:val="0"/>
              <w:overflowPunct w:val="0"/>
              <w:spacing w:beforeLines="0" w:afterLines="0"/>
              <w:ind w:left="103"/>
              <w:rPr>
                <w:rFonts w:hint="default"/>
                <w:sz w:val="24"/>
                <w:szCs w:val="24"/>
              </w:rPr>
            </w:pPr>
          </w:p>
        </w:tc>
        <w:tc>
          <w:tcPr>
            <w:tcW w:w="5863" w:type="dxa"/>
            <w:tcBorders>
              <w:top w:val="nil"/>
              <w:left w:val="single" w:color="000000" w:sz="4" w:space="0"/>
              <w:bottom w:val="nil"/>
              <w:right w:val="single" w:color="000000" w:sz="4" w:space="0"/>
              <w:tl2br w:val="nil"/>
              <w:tr2bl w:val="nil"/>
            </w:tcBorders>
            <w:noWrap w:val="0"/>
            <w:vAlign w:val="top"/>
          </w:tcPr>
          <w:p w14:paraId="25BBBEB9">
            <w:pPr>
              <w:pStyle w:val="42"/>
              <w:kinsoku w:val="0"/>
              <w:overflowPunct w:val="0"/>
              <w:spacing w:beforeLines="0" w:afterLines="0"/>
              <w:ind w:left="103"/>
              <w:rPr>
                <w:rFonts w:hint="default"/>
                <w:sz w:val="24"/>
                <w:szCs w:val="24"/>
              </w:rPr>
            </w:pPr>
            <w:r>
              <w:rPr>
                <w:rFonts w:hint="eastAsia" w:ascii="宋体" w:hAnsi="宋体" w:eastAsia="宋体"/>
                <w:sz w:val="24"/>
                <w:szCs w:val="24"/>
              </w:rPr>
              <w:t>用说明、房屋装修、维保记录等。③公用设施设备维</w:t>
            </w:r>
          </w:p>
        </w:tc>
      </w:tr>
      <w:tr w14:paraId="621FD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exact"/>
        </w:trPr>
        <w:tc>
          <w:tcPr>
            <w:tcW w:w="71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0984F8B6">
            <w:pPr>
              <w:pStyle w:val="42"/>
              <w:kinsoku w:val="0"/>
              <w:overflowPunct w:val="0"/>
              <w:spacing w:beforeLines="0" w:afterLines="0"/>
              <w:ind w:left="103"/>
              <w:rPr>
                <w:rFonts w:hint="default"/>
                <w:sz w:val="24"/>
                <w:szCs w:val="24"/>
              </w:rPr>
            </w:pPr>
          </w:p>
        </w:tc>
        <w:tc>
          <w:tcPr>
            <w:tcW w:w="1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0AFBA81">
            <w:pPr>
              <w:pStyle w:val="42"/>
              <w:kinsoku w:val="0"/>
              <w:overflowPunct w:val="0"/>
              <w:spacing w:beforeLines="0" w:afterLines="0"/>
              <w:ind w:left="103"/>
              <w:rPr>
                <w:rFonts w:hint="default"/>
                <w:sz w:val="24"/>
                <w:szCs w:val="24"/>
              </w:rPr>
            </w:pPr>
          </w:p>
        </w:tc>
        <w:tc>
          <w:tcPr>
            <w:tcW w:w="5863" w:type="dxa"/>
            <w:tcBorders>
              <w:top w:val="nil"/>
              <w:left w:val="single" w:color="000000" w:sz="4" w:space="0"/>
              <w:bottom w:val="nil"/>
              <w:right w:val="single" w:color="000000" w:sz="4" w:space="0"/>
              <w:tl2br w:val="nil"/>
              <w:tr2bl w:val="nil"/>
            </w:tcBorders>
            <w:noWrap w:val="0"/>
            <w:vAlign w:val="top"/>
          </w:tcPr>
          <w:p w14:paraId="4EB5C782">
            <w:pPr>
              <w:pStyle w:val="42"/>
              <w:kinsoku w:val="0"/>
              <w:overflowPunct w:val="0"/>
              <w:spacing w:beforeLines="0" w:afterLines="0"/>
              <w:ind w:left="103"/>
              <w:rPr>
                <w:rFonts w:hint="default"/>
                <w:sz w:val="24"/>
                <w:szCs w:val="24"/>
              </w:rPr>
            </w:pPr>
            <w:r>
              <w:rPr>
                <w:rFonts w:hint="eastAsia" w:ascii="宋体" w:hAnsi="宋体" w:eastAsia="宋体"/>
                <w:sz w:val="24"/>
                <w:szCs w:val="24"/>
              </w:rPr>
              <w:t>护服务：设备台账、设备卡、使用说明、维保记录、</w:t>
            </w:r>
          </w:p>
        </w:tc>
      </w:tr>
      <w:tr w14:paraId="0AAB5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exact"/>
        </w:trPr>
        <w:tc>
          <w:tcPr>
            <w:tcW w:w="71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71A34B3A">
            <w:pPr>
              <w:pStyle w:val="42"/>
              <w:kinsoku w:val="0"/>
              <w:overflowPunct w:val="0"/>
              <w:spacing w:beforeLines="0" w:afterLines="0"/>
              <w:ind w:left="103"/>
              <w:rPr>
                <w:rFonts w:hint="default"/>
                <w:sz w:val="24"/>
                <w:szCs w:val="24"/>
              </w:rPr>
            </w:pPr>
          </w:p>
        </w:tc>
        <w:tc>
          <w:tcPr>
            <w:tcW w:w="1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D0D0909">
            <w:pPr>
              <w:pStyle w:val="42"/>
              <w:kinsoku w:val="0"/>
              <w:overflowPunct w:val="0"/>
              <w:spacing w:beforeLines="0" w:afterLines="0"/>
              <w:ind w:left="103"/>
              <w:rPr>
                <w:rFonts w:hint="default"/>
                <w:sz w:val="24"/>
                <w:szCs w:val="24"/>
              </w:rPr>
            </w:pPr>
          </w:p>
        </w:tc>
        <w:tc>
          <w:tcPr>
            <w:tcW w:w="5863" w:type="dxa"/>
            <w:tcBorders>
              <w:top w:val="nil"/>
              <w:left w:val="single" w:color="000000" w:sz="4" w:space="0"/>
              <w:bottom w:val="nil"/>
              <w:right w:val="single" w:color="000000" w:sz="4" w:space="0"/>
              <w:tl2br w:val="nil"/>
              <w:tr2bl w:val="nil"/>
            </w:tcBorders>
            <w:noWrap w:val="0"/>
            <w:vAlign w:val="top"/>
          </w:tcPr>
          <w:p w14:paraId="2DFC2A03">
            <w:pPr>
              <w:pStyle w:val="42"/>
              <w:kinsoku w:val="0"/>
              <w:overflowPunct w:val="0"/>
              <w:spacing w:beforeLines="0" w:afterLines="0"/>
              <w:ind w:left="103"/>
              <w:rPr>
                <w:rFonts w:hint="default"/>
                <w:sz w:val="24"/>
                <w:szCs w:val="24"/>
              </w:rPr>
            </w:pPr>
            <w:r>
              <w:rPr>
                <w:rFonts w:hint="eastAsia" w:ascii="宋体" w:hAnsi="宋体" w:eastAsia="宋体"/>
                <w:sz w:val="24"/>
                <w:szCs w:val="24"/>
              </w:rPr>
              <w:t>巡查记录、设施设备安全运行、设施设备定期巡检、</w:t>
            </w:r>
          </w:p>
        </w:tc>
      </w:tr>
      <w:tr w14:paraId="64538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exact"/>
        </w:trPr>
        <w:tc>
          <w:tcPr>
            <w:tcW w:w="71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68046B25">
            <w:pPr>
              <w:pStyle w:val="42"/>
              <w:kinsoku w:val="0"/>
              <w:overflowPunct w:val="0"/>
              <w:spacing w:beforeLines="0" w:afterLines="0"/>
              <w:ind w:left="103"/>
              <w:rPr>
                <w:rFonts w:hint="default"/>
                <w:sz w:val="24"/>
                <w:szCs w:val="24"/>
              </w:rPr>
            </w:pPr>
          </w:p>
        </w:tc>
        <w:tc>
          <w:tcPr>
            <w:tcW w:w="1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003CBE96">
            <w:pPr>
              <w:pStyle w:val="42"/>
              <w:kinsoku w:val="0"/>
              <w:overflowPunct w:val="0"/>
              <w:spacing w:beforeLines="0" w:afterLines="0"/>
              <w:ind w:left="103"/>
              <w:rPr>
                <w:rFonts w:hint="default"/>
                <w:sz w:val="24"/>
                <w:szCs w:val="24"/>
              </w:rPr>
            </w:pPr>
          </w:p>
        </w:tc>
        <w:tc>
          <w:tcPr>
            <w:tcW w:w="5863" w:type="dxa"/>
            <w:tcBorders>
              <w:top w:val="nil"/>
              <w:left w:val="single" w:color="000000" w:sz="4" w:space="0"/>
              <w:bottom w:val="nil"/>
              <w:right w:val="single" w:color="000000" w:sz="4" w:space="0"/>
              <w:tl2br w:val="nil"/>
              <w:tr2bl w:val="nil"/>
            </w:tcBorders>
            <w:noWrap w:val="0"/>
            <w:vAlign w:val="top"/>
          </w:tcPr>
          <w:p w14:paraId="46C1AF21">
            <w:pPr>
              <w:pStyle w:val="42"/>
              <w:kinsoku w:val="0"/>
              <w:overflowPunct w:val="0"/>
              <w:spacing w:beforeLines="0" w:afterLines="0"/>
              <w:ind w:left="103"/>
              <w:rPr>
                <w:rFonts w:hint="default"/>
                <w:sz w:val="24"/>
                <w:szCs w:val="24"/>
              </w:rPr>
            </w:pPr>
            <w:r>
              <w:rPr>
                <w:rFonts w:hint="eastAsia" w:ascii="宋体" w:hAnsi="宋体" w:eastAsia="宋体"/>
                <w:sz w:val="24"/>
                <w:szCs w:val="24"/>
              </w:rPr>
              <w:t>维护保养、维修档案等。④保安服务：巡查记录、突</w:t>
            </w:r>
          </w:p>
        </w:tc>
      </w:tr>
      <w:tr w14:paraId="171D2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exact"/>
        </w:trPr>
        <w:tc>
          <w:tcPr>
            <w:tcW w:w="71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7F01D752">
            <w:pPr>
              <w:pStyle w:val="42"/>
              <w:kinsoku w:val="0"/>
              <w:overflowPunct w:val="0"/>
              <w:spacing w:beforeLines="0" w:afterLines="0"/>
              <w:ind w:left="103"/>
              <w:rPr>
                <w:rFonts w:hint="default"/>
                <w:sz w:val="24"/>
                <w:szCs w:val="24"/>
              </w:rPr>
            </w:pPr>
          </w:p>
        </w:tc>
        <w:tc>
          <w:tcPr>
            <w:tcW w:w="1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4AA2BD8">
            <w:pPr>
              <w:pStyle w:val="42"/>
              <w:kinsoku w:val="0"/>
              <w:overflowPunct w:val="0"/>
              <w:spacing w:beforeLines="0" w:afterLines="0"/>
              <w:ind w:left="103"/>
              <w:rPr>
                <w:rFonts w:hint="default"/>
                <w:sz w:val="24"/>
                <w:szCs w:val="24"/>
              </w:rPr>
            </w:pPr>
          </w:p>
        </w:tc>
        <w:tc>
          <w:tcPr>
            <w:tcW w:w="5863" w:type="dxa"/>
            <w:tcBorders>
              <w:top w:val="nil"/>
              <w:left w:val="single" w:color="000000" w:sz="4" w:space="0"/>
              <w:bottom w:val="nil"/>
              <w:right w:val="single" w:color="000000" w:sz="4" w:space="0"/>
              <w:tl2br w:val="nil"/>
              <w:tr2bl w:val="nil"/>
            </w:tcBorders>
            <w:noWrap w:val="0"/>
            <w:vAlign w:val="top"/>
          </w:tcPr>
          <w:p w14:paraId="4D544FE5">
            <w:pPr>
              <w:pStyle w:val="42"/>
              <w:kinsoku w:val="0"/>
              <w:overflowPunct w:val="0"/>
              <w:spacing w:beforeLines="0" w:afterLines="0"/>
              <w:ind w:left="103"/>
              <w:rPr>
                <w:rFonts w:hint="default"/>
                <w:sz w:val="24"/>
                <w:szCs w:val="24"/>
              </w:rPr>
            </w:pPr>
            <w:r>
              <w:rPr>
                <w:rFonts w:hint="eastAsia" w:ascii="宋体" w:hAnsi="宋体" w:eastAsia="宋体"/>
                <w:sz w:val="24"/>
                <w:szCs w:val="24"/>
              </w:rPr>
              <w:t>发事件演习与处置记录等。⑤保洁服务：工作日志、</w:t>
            </w:r>
          </w:p>
        </w:tc>
      </w:tr>
      <w:tr w14:paraId="28CD2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71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1F9EA0F">
            <w:pPr>
              <w:pStyle w:val="42"/>
              <w:kinsoku w:val="0"/>
              <w:overflowPunct w:val="0"/>
              <w:spacing w:beforeLines="0" w:afterLines="0"/>
              <w:ind w:left="103"/>
              <w:rPr>
                <w:rFonts w:hint="default"/>
                <w:sz w:val="24"/>
                <w:szCs w:val="24"/>
              </w:rPr>
            </w:pPr>
          </w:p>
        </w:tc>
        <w:tc>
          <w:tcPr>
            <w:tcW w:w="1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D5893FE">
            <w:pPr>
              <w:pStyle w:val="42"/>
              <w:kinsoku w:val="0"/>
              <w:overflowPunct w:val="0"/>
              <w:spacing w:beforeLines="0" w:afterLines="0"/>
              <w:ind w:left="103"/>
              <w:rPr>
                <w:rFonts w:hint="default"/>
                <w:sz w:val="24"/>
                <w:szCs w:val="24"/>
              </w:rPr>
            </w:pPr>
          </w:p>
        </w:tc>
        <w:tc>
          <w:tcPr>
            <w:tcW w:w="5863" w:type="dxa"/>
            <w:tcBorders>
              <w:top w:val="nil"/>
              <w:left w:val="single" w:color="000000" w:sz="4" w:space="0"/>
              <w:bottom w:val="nil"/>
              <w:right w:val="single" w:color="000000" w:sz="4" w:space="0"/>
              <w:tl2br w:val="nil"/>
              <w:tr2bl w:val="nil"/>
            </w:tcBorders>
            <w:noWrap w:val="0"/>
            <w:vAlign w:val="top"/>
          </w:tcPr>
          <w:p w14:paraId="32B9E379">
            <w:pPr>
              <w:pStyle w:val="42"/>
              <w:kinsoku w:val="0"/>
              <w:overflowPunct w:val="0"/>
              <w:spacing w:beforeLines="0" w:afterLines="0"/>
              <w:ind w:left="103"/>
              <w:rPr>
                <w:rFonts w:hint="default"/>
                <w:sz w:val="24"/>
                <w:szCs w:val="24"/>
              </w:rPr>
            </w:pPr>
            <w:r>
              <w:rPr>
                <w:rFonts w:hint="eastAsia" w:ascii="宋体" w:hAnsi="宋体" w:eastAsia="宋体"/>
                <w:sz w:val="24"/>
                <w:szCs w:val="24"/>
              </w:rPr>
              <w:t>清洁检查表、用品清单、客户反馈表等。⑥绿化服</w:t>
            </w:r>
          </w:p>
        </w:tc>
      </w:tr>
      <w:tr w14:paraId="58B3F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71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100912D1">
            <w:pPr>
              <w:pStyle w:val="42"/>
              <w:kinsoku w:val="0"/>
              <w:overflowPunct w:val="0"/>
              <w:spacing w:beforeLines="0" w:afterLines="0"/>
              <w:ind w:left="103"/>
              <w:rPr>
                <w:rFonts w:hint="default"/>
                <w:sz w:val="24"/>
                <w:szCs w:val="24"/>
              </w:rPr>
            </w:pPr>
          </w:p>
        </w:tc>
        <w:tc>
          <w:tcPr>
            <w:tcW w:w="1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546B402">
            <w:pPr>
              <w:pStyle w:val="42"/>
              <w:kinsoku w:val="0"/>
              <w:overflowPunct w:val="0"/>
              <w:spacing w:beforeLines="0" w:afterLines="0"/>
              <w:ind w:left="103"/>
              <w:rPr>
                <w:rFonts w:hint="default"/>
                <w:sz w:val="24"/>
                <w:szCs w:val="24"/>
              </w:rPr>
            </w:pPr>
          </w:p>
        </w:tc>
        <w:tc>
          <w:tcPr>
            <w:tcW w:w="5863" w:type="dxa"/>
            <w:tcBorders>
              <w:top w:val="nil"/>
              <w:left w:val="single" w:color="000000" w:sz="4" w:space="0"/>
              <w:bottom w:val="nil"/>
              <w:right w:val="single" w:color="000000" w:sz="4" w:space="0"/>
              <w:tl2br w:val="nil"/>
              <w:tr2bl w:val="nil"/>
            </w:tcBorders>
            <w:noWrap w:val="0"/>
            <w:vAlign w:val="top"/>
          </w:tcPr>
          <w:p w14:paraId="323FB641">
            <w:pPr>
              <w:pStyle w:val="42"/>
              <w:kinsoku w:val="0"/>
              <w:overflowPunct w:val="0"/>
              <w:spacing w:before="1" w:beforeLines="0" w:afterLines="0"/>
              <w:ind w:left="103"/>
              <w:rPr>
                <w:rFonts w:hint="default"/>
                <w:sz w:val="24"/>
                <w:szCs w:val="24"/>
              </w:rPr>
            </w:pPr>
            <w:r>
              <w:rPr>
                <w:rFonts w:hint="eastAsia" w:ascii="宋体" w:hAnsi="宋体" w:eastAsia="宋体"/>
                <w:sz w:val="24"/>
                <w:szCs w:val="24"/>
              </w:rPr>
              <w:t>务：绿植更换、养护记录等。⑦其他：客户信息、财</w:t>
            </w:r>
          </w:p>
        </w:tc>
      </w:tr>
      <w:tr w14:paraId="7E5D3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exact"/>
        </w:trPr>
        <w:tc>
          <w:tcPr>
            <w:tcW w:w="71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C342A1B">
            <w:pPr>
              <w:pStyle w:val="42"/>
              <w:kinsoku w:val="0"/>
              <w:overflowPunct w:val="0"/>
              <w:spacing w:before="1" w:beforeLines="0" w:afterLines="0"/>
              <w:ind w:left="103"/>
              <w:rPr>
                <w:rFonts w:hint="default"/>
                <w:sz w:val="24"/>
                <w:szCs w:val="24"/>
              </w:rPr>
            </w:pPr>
          </w:p>
        </w:tc>
        <w:tc>
          <w:tcPr>
            <w:tcW w:w="1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7059A8BA">
            <w:pPr>
              <w:pStyle w:val="42"/>
              <w:kinsoku w:val="0"/>
              <w:overflowPunct w:val="0"/>
              <w:spacing w:before="1" w:beforeLines="0" w:afterLines="0"/>
              <w:ind w:left="103"/>
              <w:rPr>
                <w:rFonts w:hint="default"/>
                <w:sz w:val="24"/>
                <w:szCs w:val="24"/>
              </w:rPr>
            </w:pPr>
          </w:p>
        </w:tc>
        <w:tc>
          <w:tcPr>
            <w:tcW w:w="5863" w:type="dxa"/>
            <w:tcBorders>
              <w:top w:val="nil"/>
              <w:left w:val="single" w:color="000000" w:sz="4" w:space="0"/>
              <w:bottom w:val="nil"/>
              <w:right w:val="single" w:color="000000" w:sz="4" w:space="0"/>
              <w:tl2br w:val="nil"/>
              <w:tr2bl w:val="nil"/>
            </w:tcBorders>
            <w:noWrap w:val="0"/>
            <w:vAlign w:val="top"/>
          </w:tcPr>
          <w:p w14:paraId="5E65FACC">
            <w:pPr>
              <w:pStyle w:val="42"/>
              <w:kinsoku w:val="0"/>
              <w:overflowPunct w:val="0"/>
              <w:spacing w:beforeLines="0" w:afterLines="0"/>
              <w:ind w:left="103"/>
              <w:rPr>
                <w:rFonts w:hint="default"/>
                <w:sz w:val="24"/>
                <w:szCs w:val="24"/>
              </w:rPr>
            </w:pPr>
            <w:r>
              <w:rPr>
                <w:rFonts w:hint="eastAsia" w:ascii="宋体" w:hAnsi="宋体" w:eastAsia="宋体"/>
                <w:sz w:val="24"/>
                <w:szCs w:val="24"/>
              </w:rPr>
              <w:t>务明细、合同协议、信报信息登记、大件物品进出登</w:t>
            </w:r>
          </w:p>
        </w:tc>
      </w:tr>
      <w:tr w14:paraId="5E691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exact"/>
        </w:trPr>
        <w:tc>
          <w:tcPr>
            <w:tcW w:w="71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73CD795">
            <w:pPr>
              <w:pStyle w:val="42"/>
              <w:kinsoku w:val="0"/>
              <w:overflowPunct w:val="0"/>
              <w:spacing w:beforeLines="0" w:afterLines="0"/>
              <w:ind w:left="103"/>
              <w:rPr>
                <w:rFonts w:hint="default"/>
                <w:sz w:val="24"/>
                <w:szCs w:val="24"/>
              </w:rPr>
            </w:pPr>
          </w:p>
        </w:tc>
        <w:tc>
          <w:tcPr>
            <w:tcW w:w="1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752181C7">
            <w:pPr>
              <w:pStyle w:val="42"/>
              <w:kinsoku w:val="0"/>
              <w:overflowPunct w:val="0"/>
              <w:spacing w:beforeLines="0" w:afterLines="0"/>
              <w:ind w:left="103"/>
              <w:rPr>
                <w:rFonts w:hint="default"/>
                <w:sz w:val="24"/>
                <w:szCs w:val="24"/>
              </w:rPr>
            </w:pPr>
          </w:p>
        </w:tc>
        <w:tc>
          <w:tcPr>
            <w:tcW w:w="5863" w:type="dxa"/>
            <w:tcBorders>
              <w:top w:val="nil"/>
              <w:left w:val="single" w:color="000000" w:sz="4" w:space="0"/>
              <w:bottom w:val="single" w:color="000000" w:sz="4" w:space="0"/>
              <w:right w:val="single" w:color="000000" w:sz="4" w:space="0"/>
              <w:tl2br w:val="nil"/>
              <w:tr2bl w:val="nil"/>
            </w:tcBorders>
            <w:noWrap w:val="0"/>
            <w:vAlign w:val="top"/>
          </w:tcPr>
          <w:p w14:paraId="3769C35C">
            <w:pPr>
              <w:pStyle w:val="42"/>
              <w:kinsoku w:val="0"/>
              <w:overflowPunct w:val="0"/>
              <w:spacing w:beforeLines="0" w:afterLines="0"/>
              <w:ind w:left="103"/>
              <w:rPr>
                <w:rFonts w:hint="default"/>
                <w:sz w:val="24"/>
                <w:szCs w:val="24"/>
              </w:rPr>
            </w:pPr>
            <w:r>
              <w:rPr>
                <w:rFonts w:hint="eastAsia" w:ascii="宋体" w:hAnsi="宋体" w:eastAsia="宋体"/>
                <w:sz w:val="24"/>
                <w:szCs w:val="24"/>
              </w:rPr>
              <w:t>记等。</w:t>
            </w:r>
          </w:p>
        </w:tc>
      </w:tr>
      <w:tr w14:paraId="7EE40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exact"/>
        </w:trPr>
        <w:tc>
          <w:tcPr>
            <w:tcW w:w="71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507D355A">
            <w:pPr>
              <w:pStyle w:val="42"/>
              <w:kinsoku w:val="0"/>
              <w:overflowPunct w:val="0"/>
              <w:spacing w:beforeLines="0" w:afterLines="0"/>
              <w:ind w:left="103"/>
              <w:rPr>
                <w:rFonts w:hint="default"/>
                <w:sz w:val="24"/>
                <w:szCs w:val="24"/>
              </w:rPr>
            </w:pPr>
          </w:p>
        </w:tc>
        <w:tc>
          <w:tcPr>
            <w:tcW w:w="1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2FA34821">
            <w:pPr>
              <w:pStyle w:val="42"/>
              <w:kinsoku w:val="0"/>
              <w:overflowPunct w:val="0"/>
              <w:spacing w:beforeLines="0" w:afterLines="0"/>
              <w:ind w:left="103"/>
              <w:rPr>
                <w:rFonts w:hint="default"/>
                <w:sz w:val="24"/>
                <w:szCs w:val="24"/>
              </w:rPr>
            </w:pPr>
          </w:p>
        </w:tc>
        <w:tc>
          <w:tcPr>
            <w:tcW w:w="5863" w:type="dxa"/>
            <w:tcBorders>
              <w:top w:val="single" w:color="000000" w:sz="4" w:space="0"/>
              <w:left w:val="single" w:color="000000" w:sz="4" w:space="0"/>
              <w:bottom w:val="nil"/>
              <w:right w:val="single" w:color="000000" w:sz="4" w:space="0"/>
              <w:tl2br w:val="nil"/>
              <w:tr2bl w:val="nil"/>
            </w:tcBorders>
            <w:noWrap w:val="0"/>
            <w:vAlign w:val="top"/>
          </w:tcPr>
          <w:p w14:paraId="46D7E2C6">
            <w:pPr>
              <w:pStyle w:val="42"/>
              <w:kinsoku w:val="0"/>
              <w:overflowPunct w:val="0"/>
              <w:spacing w:before="24" w:beforeLines="0" w:afterLines="0"/>
              <w:ind w:left="343"/>
              <w:rPr>
                <w:rFonts w:hint="default"/>
                <w:sz w:val="24"/>
                <w:szCs w:val="24"/>
              </w:rPr>
            </w:pPr>
            <w:r>
              <w:rPr>
                <w:rFonts w:hint="eastAsia" w:ascii="宋体" w:hAnsi="宋体" w:eastAsia="宋体"/>
                <w:sz w:val="24"/>
                <w:szCs w:val="24"/>
              </w:rPr>
              <w:t>（3）遵守采购人的信息、档案资料保密要求，</w:t>
            </w:r>
          </w:p>
        </w:tc>
      </w:tr>
      <w:tr w14:paraId="25781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exact"/>
        </w:trPr>
        <w:tc>
          <w:tcPr>
            <w:tcW w:w="71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0F69D687">
            <w:pPr>
              <w:pStyle w:val="42"/>
              <w:kinsoku w:val="0"/>
              <w:overflowPunct w:val="0"/>
              <w:spacing w:before="24" w:beforeLines="0" w:afterLines="0"/>
              <w:ind w:left="343"/>
              <w:rPr>
                <w:rFonts w:hint="default"/>
                <w:sz w:val="24"/>
                <w:szCs w:val="24"/>
              </w:rPr>
            </w:pPr>
          </w:p>
        </w:tc>
        <w:tc>
          <w:tcPr>
            <w:tcW w:w="1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02C9E42">
            <w:pPr>
              <w:pStyle w:val="42"/>
              <w:kinsoku w:val="0"/>
              <w:overflowPunct w:val="0"/>
              <w:spacing w:before="24" w:beforeLines="0" w:afterLines="0"/>
              <w:ind w:left="343"/>
              <w:rPr>
                <w:rFonts w:hint="default"/>
                <w:sz w:val="24"/>
                <w:szCs w:val="24"/>
              </w:rPr>
            </w:pPr>
          </w:p>
        </w:tc>
        <w:tc>
          <w:tcPr>
            <w:tcW w:w="5863" w:type="dxa"/>
            <w:tcBorders>
              <w:top w:val="nil"/>
              <w:left w:val="single" w:color="000000" w:sz="4" w:space="0"/>
              <w:bottom w:val="nil"/>
              <w:right w:val="single" w:color="000000" w:sz="4" w:space="0"/>
              <w:tl2br w:val="nil"/>
              <w:tr2bl w:val="nil"/>
            </w:tcBorders>
            <w:noWrap w:val="0"/>
            <w:vAlign w:val="top"/>
          </w:tcPr>
          <w:p w14:paraId="2CB0F993">
            <w:pPr>
              <w:pStyle w:val="42"/>
              <w:kinsoku w:val="0"/>
              <w:overflowPunct w:val="0"/>
              <w:spacing w:before="40" w:beforeLines="0" w:afterLines="0"/>
              <w:ind w:left="103"/>
              <w:rPr>
                <w:rFonts w:hint="default"/>
                <w:sz w:val="24"/>
                <w:szCs w:val="24"/>
              </w:rPr>
            </w:pPr>
            <w:r>
              <w:rPr>
                <w:rFonts w:hint="eastAsia" w:ascii="宋体" w:hAnsi="宋体" w:eastAsia="宋体"/>
                <w:sz w:val="24"/>
                <w:szCs w:val="24"/>
              </w:rPr>
              <w:t>未经许可，不得将相关资料转作其他用途或向其他单</w:t>
            </w:r>
          </w:p>
        </w:tc>
      </w:tr>
      <w:tr w14:paraId="717DC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exact"/>
        </w:trPr>
        <w:tc>
          <w:tcPr>
            <w:tcW w:w="71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5122B6C1">
            <w:pPr>
              <w:pStyle w:val="42"/>
              <w:kinsoku w:val="0"/>
              <w:overflowPunct w:val="0"/>
              <w:spacing w:before="40" w:beforeLines="0" w:afterLines="0"/>
              <w:ind w:left="103"/>
              <w:rPr>
                <w:rFonts w:hint="default"/>
                <w:sz w:val="24"/>
                <w:szCs w:val="24"/>
              </w:rPr>
            </w:pPr>
          </w:p>
        </w:tc>
        <w:tc>
          <w:tcPr>
            <w:tcW w:w="1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6EAD2EB9">
            <w:pPr>
              <w:pStyle w:val="42"/>
              <w:kinsoku w:val="0"/>
              <w:overflowPunct w:val="0"/>
              <w:spacing w:before="40" w:beforeLines="0" w:afterLines="0"/>
              <w:ind w:left="103"/>
              <w:rPr>
                <w:rFonts w:hint="default"/>
                <w:sz w:val="24"/>
                <w:szCs w:val="24"/>
              </w:rPr>
            </w:pPr>
          </w:p>
        </w:tc>
        <w:tc>
          <w:tcPr>
            <w:tcW w:w="5863" w:type="dxa"/>
            <w:tcBorders>
              <w:top w:val="nil"/>
              <w:left w:val="single" w:color="000000" w:sz="4" w:space="0"/>
              <w:bottom w:val="single" w:color="000000" w:sz="4" w:space="0"/>
              <w:right w:val="single" w:color="000000" w:sz="4" w:space="0"/>
              <w:tl2br w:val="nil"/>
              <w:tr2bl w:val="nil"/>
            </w:tcBorders>
            <w:noWrap w:val="0"/>
            <w:vAlign w:val="top"/>
          </w:tcPr>
          <w:p w14:paraId="3605D9A1">
            <w:pPr>
              <w:pStyle w:val="42"/>
              <w:kinsoku w:val="0"/>
              <w:overflowPunct w:val="0"/>
              <w:spacing w:beforeLines="0" w:afterLines="0"/>
              <w:ind w:left="103"/>
              <w:rPr>
                <w:rFonts w:hint="default"/>
                <w:sz w:val="24"/>
                <w:szCs w:val="24"/>
              </w:rPr>
            </w:pPr>
            <w:r>
              <w:rPr>
                <w:rFonts w:hint="eastAsia" w:ascii="宋体" w:hAnsi="宋体" w:eastAsia="宋体"/>
                <w:sz w:val="24"/>
                <w:szCs w:val="24"/>
              </w:rPr>
              <w:t>位、个人提供。</w:t>
            </w:r>
          </w:p>
        </w:tc>
      </w:tr>
      <w:tr w14:paraId="3AEAF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exact"/>
        </w:trPr>
        <w:tc>
          <w:tcPr>
            <w:tcW w:w="71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7FA1B8CF">
            <w:pPr>
              <w:pStyle w:val="42"/>
              <w:kinsoku w:val="0"/>
              <w:overflowPunct w:val="0"/>
              <w:spacing w:beforeLines="0" w:afterLines="0"/>
              <w:ind w:left="103"/>
              <w:rPr>
                <w:rFonts w:hint="default"/>
                <w:sz w:val="24"/>
                <w:szCs w:val="24"/>
              </w:rPr>
            </w:pPr>
          </w:p>
        </w:tc>
        <w:tc>
          <w:tcPr>
            <w:tcW w:w="1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5A24449B">
            <w:pPr>
              <w:pStyle w:val="42"/>
              <w:kinsoku w:val="0"/>
              <w:overflowPunct w:val="0"/>
              <w:spacing w:beforeLines="0" w:afterLines="0"/>
              <w:ind w:left="103"/>
              <w:rPr>
                <w:rFonts w:hint="default"/>
                <w:sz w:val="24"/>
                <w:szCs w:val="24"/>
              </w:rPr>
            </w:pPr>
          </w:p>
        </w:tc>
        <w:tc>
          <w:tcPr>
            <w:tcW w:w="586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BBBD1C9">
            <w:pPr>
              <w:pStyle w:val="42"/>
              <w:kinsoku w:val="0"/>
              <w:overflowPunct w:val="0"/>
              <w:spacing w:before="26" w:beforeLines="0" w:afterLines="0"/>
              <w:ind w:left="103" w:firstLine="240"/>
              <w:rPr>
                <w:rFonts w:hint="eastAsia" w:ascii="宋体" w:hAnsi="宋体" w:eastAsia="宋体"/>
                <w:sz w:val="24"/>
                <w:szCs w:val="24"/>
              </w:rPr>
            </w:pPr>
            <w:r>
              <w:rPr>
                <w:rFonts w:hint="eastAsia" w:ascii="宋体" w:hAnsi="宋体" w:eastAsia="宋体"/>
                <w:sz w:val="24"/>
                <w:szCs w:val="24"/>
              </w:rPr>
              <w:t>（4）履约结束后，相关资料交还采购人，采购</w:t>
            </w:r>
          </w:p>
          <w:p w14:paraId="64874191">
            <w:pPr>
              <w:pStyle w:val="42"/>
              <w:kinsoku w:val="0"/>
              <w:overflowPunct w:val="0"/>
              <w:spacing w:before="151" w:beforeLines="0" w:afterLines="0"/>
              <w:ind w:left="103"/>
              <w:rPr>
                <w:rFonts w:hint="default"/>
                <w:sz w:val="24"/>
                <w:szCs w:val="24"/>
              </w:rPr>
            </w:pPr>
            <w:r>
              <w:rPr>
                <w:rFonts w:hint="eastAsia" w:ascii="宋体" w:hAnsi="宋体" w:eastAsia="宋体"/>
                <w:sz w:val="24"/>
                <w:szCs w:val="24"/>
              </w:rPr>
              <w:t>人按政府采购相关规定存档。</w:t>
            </w:r>
          </w:p>
        </w:tc>
      </w:tr>
      <w:tr w14:paraId="1A4AF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7" w:hRule="exact"/>
        </w:trPr>
        <w:tc>
          <w:tcPr>
            <w:tcW w:w="71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6CC95D1F">
            <w:pPr>
              <w:pStyle w:val="42"/>
              <w:kinsoku w:val="0"/>
              <w:overflowPunct w:val="0"/>
              <w:spacing w:beforeLines="0" w:afterLines="0"/>
              <w:rPr>
                <w:rFonts w:hint="default" w:ascii="Times New Roman" w:hAnsi="Times New Roman" w:eastAsia="Times New Roman"/>
                <w:sz w:val="24"/>
                <w:szCs w:val="24"/>
              </w:rPr>
            </w:pPr>
          </w:p>
          <w:p w14:paraId="2E97ECED">
            <w:pPr>
              <w:pStyle w:val="42"/>
              <w:kinsoku w:val="0"/>
              <w:overflowPunct w:val="0"/>
              <w:spacing w:beforeLines="0" w:afterLines="0"/>
              <w:rPr>
                <w:rFonts w:hint="default" w:ascii="Times New Roman" w:hAnsi="Times New Roman" w:eastAsia="Times New Roman"/>
                <w:sz w:val="24"/>
                <w:szCs w:val="24"/>
              </w:rPr>
            </w:pPr>
          </w:p>
          <w:p w14:paraId="72D3F6F8">
            <w:pPr>
              <w:pStyle w:val="42"/>
              <w:kinsoku w:val="0"/>
              <w:overflowPunct w:val="0"/>
              <w:spacing w:beforeLines="0" w:afterLines="0"/>
              <w:rPr>
                <w:rFonts w:hint="default" w:ascii="Times New Roman" w:hAnsi="Times New Roman" w:eastAsia="Times New Roman"/>
                <w:sz w:val="24"/>
                <w:szCs w:val="24"/>
              </w:rPr>
            </w:pPr>
          </w:p>
          <w:p w14:paraId="6350BF62">
            <w:pPr>
              <w:pStyle w:val="42"/>
              <w:kinsoku w:val="0"/>
              <w:overflowPunct w:val="0"/>
              <w:spacing w:beforeLines="0" w:afterLines="0"/>
              <w:rPr>
                <w:rFonts w:hint="default" w:ascii="Times New Roman" w:hAnsi="Times New Roman" w:eastAsia="Times New Roman"/>
                <w:sz w:val="24"/>
                <w:szCs w:val="24"/>
              </w:rPr>
            </w:pPr>
          </w:p>
          <w:p w14:paraId="0897F87B">
            <w:pPr>
              <w:pStyle w:val="42"/>
              <w:kinsoku w:val="0"/>
              <w:overflowPunct w:val="0"/>
              <w:spacing w:beforeLines="0" w:afterLines="0"/>
              <w:rPr>
                <w:rFonts w:hint="default" w:ascii="Times New Roman" w:hAnsi="Times New Roman" w:eastAsia="Times New Roman"/>
                <w:sz w:val="24"/>
                <w:szCs w:val="24"/>
              </w:rPr>
            </w:pPr>
          </w:p>
          <w:p w14:paraId="37208D2B">
            <w:pPr>
              <w:pStyle w:val="42"/>
              <w:kinsoku w:val="0"/>
              <w:overflowPunct w:val="0"/>
              <w:spacing w:beforeLines="0" w:afterLines="0"/>
              <w:rPr>
                <w:rFonts w:hint="default" w:ascii="Times New Roman" w:hAnsi="Times New Roman" w:eastAsia="Times New Roman"/>
                <w:sz w:val="24"/>
                <w:szCs w:val="24"/>
              </w:rPr>
            </w:pPr>
          </w:p>
          <w:p w14:paraId="0279EB6F">
            <w:pPr>
              <w:pStyle w:val="42"/>
              <w:kinsoku w:val="0"/>
              <w:overflowPunct w:val="0"/>
              <w:spacing w:before="155" w:beforeLines="0" w:afterLines="0"/>
              <w:ind w:left="1"/>
              <w:jc w:val="center"/>
              <w:rPr>
                <w:rFonts w:hint="default"/>
                <w:sz w:val="24"/>
                <w:szCs w:val="24"/>
              </w:rPr>
            </w:pPr>
            <w:r>
              <w:rPr>
                <w:rFonts w:hint="eastAsia" w:ascii="宋体" w:hAnsi="宋体" w:eastAsia="宋体"/>
                <w:sz w:val="24"/>
                <w:szCs w:val="24"/>
              </w:rPr>
              <w:t>5</w:t>
            </w:r>
          </w:p>
        </w:tc>
        <w:tc>
          <w:tcPr>
            <w:tcW w:w="193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74FAF873">
            <w:pPr>
              <w:pStyle w:val="42"/>
              <w:kinsoku w:val="0"/>
              <w:overflowPunct w:val="0"/>
              <w:spacing w:beforeLines="0" w:afterLines="0"/>
              <w:rPr>
                <w:rFonts w:hint="default" w:ascii="Times New Roman" w:hAnsi="Times New Roman" w:eastAsia="Times New Roman"/>
                <w:sz w:val="24"/>
                <w:szCs w:val="24"/>
              </w:rPr>
            </w:pPr>
          </w:p>
          <w:p w14:paraId="5548AB52">
            <w:pPr>
              <w:pStyle w:val="42"/>
              <w:kinsoku w:val="0"/>
              <w:overflowPunct w:val="0"/>
              <w:spacing w:beforeLines="0" w:afterLines="0"/>
              <w:rPr>
                <w:rFonts w:hint="default" w:ascii="Times New Roman" w:hAnsi="Times New Roman" w:eastAsia="Times New Roman"/>
                <w:sz w:val="24"/>
                <w:szCs w:val="24"/>
              </w:rPr>
            </w:pPr>
          </w:p>
          <w:p w14:paraId="2A54CA3A">
            <w:pPr>
              <w:pStyle w:val="42"/>
              <w:kinsoku w:val="0"/>
              <w:overflowPunct w:val="0"/>
              <w:spacing w:beforeLines="0" w:afterLines="0"/>
              <w:rPr>
                <w:rFonts w:hint="default" w:ascii="Times New Roman" w:hAnsi="Times New Roman" w:eastAsia="Times New Roman"/>
                <w:sz w:val="24"/>
                <w:szCs w:val="24"/>
              </w:rPr>
            </w:pPr>
          </w:p>
          <w:p w14:paraId="3C97A942">
            <w:pPr>
              <w:pStyle w:val="42"/>
              <w:kinsoku w:val="0"/>
              <w:overflowPunct w:val="0"/>
              <w:spacing w:beforeLines="0" w:afterLines="0"/>
              <w:rPr>
                <w:rFonts w:hint="default" w:ascii="Times New Roman" w:hAnsi="Times New Roman" w:eastAsia="Times New Roman"/>
                <w:sz w:val="24"/>
                <w:szCs w:val="24"/>
              </w:rPr>
            </w:pPr>
          </w:p>
          <w:p w14:paraId="02F180FC">
            <w:pPr>
              <w:pStyle w:val="42"/>
              <w:kinsoku w:val="0"/>
              <w:overflowPunct w:val="0"/>
              <w:spacing w:beforeLines="0" w:afterLines="0"/>
              <w:rPr>
                <w:rFonts w:hint="default" w:ascii="Times New Roman" w:hAnsi="Times New Roman" w:eastAsia="Times New Roman"/>
                <w:sz w:val="24"/>
                <w:szCs w:val="24"/>
              </w:rPr>
            </w:pPr>
          </w:p>
          <w:p w14:paraId="7293E8F9">
            <w:pPr>
              <w:pStyle w:val="42"/>
              <w:kinsoku w:val="0"/>
              <w:overflowPunct w:val="0"/>
              <w:spacing w:before="7" w:beforeLines="0" w:afterLines="0"/>
              <w:rPr>
                <w:rFonts w:hint="default" w:ascii="Times New Roman" w:hAnsi="Times New Roman" w:eastAsia="Times New Roman"/>
                <w:sz w:val="20"/>
                <w:szCs w:val="24"/>
              </w:rPr>
            </w:pPr>
          </w:p>
          <w:p w14:paraId="7B07B9C2">
            <w:pPr>
              <w:pStyle w:val="42"/>
              <w:kinsoku w:val="0"/>
              <w:overflowPunct w:val="0"/>
              <w:spacing w:beforeLines="0" w:afterLines="0"/>
              <w:ind w:left="104"/>
              <w:rPr>
                <w:rFonts w:hint="default"/>
                <w:sz w:val="24"/>
                <w:szCs w:val="24"/>
              </w:rPr>
            </w:pPr>
            <w:r>
              <w:rPr>
                <w:rFonts w:hint="eastAsia" w:ascii="宋体" w:hAnsi="宋体" w:eastAsia="宋体"/>
                <w:sz w:val="24"/>
                <w:szCs w:val="24"/>
              </w:rPr>
              <w:t>服务改进</w:t>
            </w:r>
          </w:p>
        </w:tc>
        <w:tc>
          <w:tcPr>
            <w:tcW w:w="586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56DDEAF">
            <w:pPr>
              <w:pStyle w:val="42"/>
              <w:kinsoku w:val="0"/>
              <w:overflowPunct w:val="0"/>
              <w:spacing w:before="23" w:beforeLines="0" w:afterLines="0"/>
              <w:ind w:left="103" w:firstLine="240"/>
              <w:rPr>
                <w:rFonts w:hint="eastAsia" w:ascii="宋体" w:hAnsi="宋体" w:eastAsia="宋体"/>
                <w:sz w:val="24"/>
                <w:szCs w:val="24"/>
              </w:rPr>
            </w:pPr>
            <w:r>
              <w:rPr>
                <w:rFonts w:hint="eastAsia" w:ascii="宋体" w:hAnsi="宋体" w:eastAsia="宋体"/>
                <w:sz w:val="24"/>
                <w:szCs w:val="24"/>
              </w:rPr>
              <w:t>（1）明确负责人，定期对物业服务过程进行自</w:t>
            </w:r>
          </w:p>
          <w:p w14:paraId="251A31B6">
            <w:pPr>
              <w:pStyle w:val="42"/>
              <w:kinsoku w:val="0"/>
              <w:overflowPunct w:val="0"/>
              <w:spacing w:before="151" w:beforeLines="0" w:afterLines="0" w:line="299" w:lineRule="auto"/>
              <w:ind w:left="103" w:right="227"/>
              <w:rPr>
                <w:rFonts w:hint="default"/>
                <w:sz w:val="24"/>
                <w:szCs w:val="24"/>
              </w:rPr>
            </w:pPr>
            <w:r>
              <w:rPr>
                <w:rFonts w:hint="eastAsia" w:ascii="宋体" w:hAnsi="宋体" w:eastAsia="宋体"/>
                <w:sz w:val="24"/>
                <w:szCs w:val="24"/>
              </w:rPr>
              <w:t>查，结合反馈意见与评价结果采取改进措施，持续提升管理与服务水平。</w:t>
            </w:r>
          </w:p>
        </w:tc>
      </w:tr>
      <w:tr w14:paraId="429DD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exact"/>
        </w:trPr>
        <w:tc>
          <w:tcPr>
            <w:tcW w:w="71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28DE5455">
            <w:pPr>
              <w:pStyle w:val="42"/>
              <w:kinsoku w:val="0"/>
              <w:overflowPunct w:val="0"/>
              <w:spacing w:before="151" w:beforeLines="0" w:afterLines="0" w:line="299" w:lineRule="auto"/>
              <w:ind w:left="103" w:right="227"/>
              <w:rPr>
                <w:rFonts w:hint="default"/>
                <w:sz w:val="24"/>
                <w:szCs w:val="24"/>
              </w:rPr>
            </w:pPr>
          </w:p>
        </w:tc>
        <w:tc>
          <w:tcPr>
            <w:tcW w:w="1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6748C787">
            <w:pPr>
              <w:pStyle w:val="42"/>
              <w:kinsoku w:val="0"/>
              <w:overflowPunct w:val="0"/>
              <w:spacing w:before="151" w:beforeLines="0" w:afterLines="0" w:line="299" w:lineRule="auto"/>
              <w:ind w:left="103" w:right="227"/>
              <w:rPr>
                <w:rFonts w:hint="default"/>
                <w:sz w:val="24"/>
                <w:szCs w:val="24"/>
              </w:rPr>
            </w:pPr>
          </w:p>
        </w:tc>
        <w:tc>
          <w:tcPr>
            <w:tcW w:w="5863" w:type="dxa"/>
            <w:tcBorders>
              <w:top w:val="single" w:color="000000" w:sz="4" w:space="0"/>
              <w:left w:val="single" w:color="000000" w:sz="4" w:space="0"/>
              <w:bottom w:val="nil"/>
              <w:right w:val="single" w:color="000000" w:sz="4" w:space="0"/>
              <w:tl2br w:val="nil"/>
              <w:tr2bl w:val="nil"/>
            </w:tcBorders>
            <w:noWrap w:val="0"/>
            <w:vAlign w:val="top"/>
          </w:tcPr>
          <w:p w14:paraId="52796856">
            <w:pPr>
              <w:pStyle w:val="42"/>
              <w:kinsoku w:val="0"/>
              <w:overflowPunct w:val="0"/>
              <w:spacing w:before="24" w:beforeLines="0" w:afterLines="0"/>
              <w:ind w:left="343"/>
              <w:rPr>
                <w:rFonts w:hint="default"/>
                <w:sz w:val="24"/>
                <w:szCs w:val="24"/>
              </w:rPr>
            </w:pPr>
            <w:r>
              <w:rPr>
                <w:rFonts w:hint="eastAsia" w:ascii="宋体" w:hAnsi="宋体" w:eastAsia="宋体"/>
                <w:sz w:val="24"/>
                <w:szCs w:val="24"/>
              </w:rPr>
              <w:t>（2）对不合格服务进行控制，对不合格服务的</w:t>
            </w:r>
          </w:p>
        </w:tc>
      </w:tr>
      <w:tr w14:paraId="49D2A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exact"/>
        </w:trPr>
        <w:tc>
          <w:tcPr>
            <w:tcW w:w="71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0A6D4CB7">
            <w:pPr>
              <w:pStyle w:val="42"/>
              <w:kinsoku w:val="0"/>
              <w:overflowPunct w:val="0"/>
              <w:spacing w:before="24" w:beforeLines="0" w:afterLines="0"/>
              <w:ind w:left="343"/>
              <w:rPr>
                <w:rFonts w:hint="default"/>
                <w:sz w:val="24"/>
                <w:szCs w:val="24"/>
              </w:rPr>
            </w:pPr>
          </w:p>
        </w:tc>
        <w:tc>
          <w:tcPr>
            <w:tcW w:w="1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3A00E4B0">
            <w:pPr>
              <w:pStyle w:val="42"/>
              <w:kinsoku w:val="0"/>
              <w:overflowPunct w:val="0"/>
              <w:spacing w:before="24" w:beforeLines="0" w:afterLines="0"/>
              <w:ind w:left="343"/>
              <w:rPr>
                <w:rFonts w:hint="default"/>
                <w:sz w:val="24"/>
                <w:szCs w:val="24"/>
              </w:rPr>
            </w:pPr>
          </w:p>
        </w:tc>
        <w:tc>
          <w:tcPr>
            <w:tcW w:w="5863" w:type="dxa"/>
            <w:tcBorders>
              <w:top w:val="nil"/>
              <w:left w:val="single" w:color="000000" w:sz="4" w:space="0"/>
              <w:bottom w:val="nil"/>
              <w:right w:val="single" w:color="000000" w:sz="4" w:space="0"/>
              <w:tl2br w:val="nil"/>
              <w:tr2bl w:val="nil"/>
            </w:tcBorders>
            <w:noWrap w:val="0"/>
            <w:vAlign w:val="top"/>
          </w:tcPr>
          <w:p w14:paraId="5258A2F5">
            <w:pPr>
              <w:pStyle w:val="42"/>
              <w:kinsoku w:val="0"/>
              <w:overflowPunct w:val="0"/>
              <w:spacing w:before="40" w:beforeLines="0" w:afterLines="0"/>
              <w:ind w:left="103"/>
              <w:rPr>
                <w:rFonts w:hint="default"/>
                <w:sz w:val="24"/>
                <w:szCs w:val="24"/>
              </w:rPr>
            </w:pPr>
            <w:r>
              <w:rPr>
                <w:rFonts w:hint="eastAsia" w:ascii="宋体" w:hAnsi="宋体" w:eastAsia="宋体"/>
                <w:sz w:val="24"/>
                <w:szCs w:val="24"/>
              </w:rPr>
              <w:t>原因进行识别和分析，及时采取纠正措施，消除不合</w:t>
            </w:r>
          </w:p>
        </w:tc>
      </w:tr>
      <w:tr w14:paraId="34D86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exact"/>
        </w:trPr>
        <w:tc>
          <w:tcPr>
            <w:tcW w:w="71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266E3E6">
            <w:pPr>
              <w:pStyle w:val="42"/>
              <w:kinsoku w:val="0"/>
              <w:overflowPunct w:val="0"/>
              <w:spacing w:before="40" w:beforeLines="0" w:afterLines="0"/>
              <w:ind w:left="103"/>
              <w:rPr>
                <w:rFonts w:hint="default"/>
                <w:sz w:val="24"/>
                <w:szCs w:val="24"/>
              </w:rPr>
            </w:pPr>
          </w:p>
        </w:tc>
        <w:tc>
          <w:tcPr>
            <w:tcW w:w="1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653D4B87">
            <w:pPr>
              <w:pStyle w:val="42"/>
              <w:kinsoku w:val="0"/>
              <w:overflowPunct w:val="0"/>
              <w:spacing w:before="40" w:beforeLines="0" w:afterLines="0"/>
              <w:ind w:left="103"/>
              <w:rPr>
                <w:rFonts w:hint="default"/>
                <w:sz w:val="24"/>
                <w:szCs w:val="24"/>
              </w:rPr>
            </w:pPr>
          </w:p>
        </w:tc>
        <w:tc>
          <w:tcPr>
            <w:tcW w:w="5863" w:type="dxa"/>
            <w:tcBorders>
              <w:top w:val="nil"/>
              <w:left w:val="single" w:color="000000" w:sz="4" w:space="0"/>
              <w:bottom w:val="single" w:color="000000" w:sz="4" w:space="0"/>
              <w:right w:val="single" w:color="000000" w:sz="4" w:space="0"/>
              <w:tl2br w:val="nil"/>
              <w:tr2bl w:val="nil"/>
            </w:tcBorders>
            <w:noWrap w:val="0"/>
            <w:vAlign w:val="top"/>
          </w:tcPr>
          <w:p w14:paraId="3B9BDF19">
            <w:pPr>
              <w:pStyle w:val="42"/>
              <w:kinsoku w:val="0"/>
              <w:overflowPunct w:val="0"/>
              <w:spacing w:beforeLines="0" w:afterLines="0"/>
              <w:ind w:left="103"/>
              <w:rPr>
                <w:rFonts w:hint="default"/>
                <w:sz w:val="24"/>
                <w:szCs w:val="24"/>
              </w:rPr>
            </w:pPr>
            <w:r>
              <w:rPr>
                <w:rFonts w:hint="eastAsia" w:ascii="宋体" w:hAnsi="宋体" w:eastAsia="宋体"/>
                <w:sz w:val="24"/>
                <w:szCs w:val="24"/>
              </w:rPr>
              <w:t>格的原因，防止不合格再发生。</w:t>
            </w:r>
          </w:p>
        </w:tc>
      </w:tr>
      <w:tr w14:paraId="3B891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71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67A89DE5">
            <w:pPr>
              <w:pStyle w:val="42"/>
              <w:kinsoku w:val="0"/>
              <w:overflowPunct w:val="0"/>
              <w:spacing w:beforeLines="0" w:afterLines="0"/>
              <w:ind w:left="103"/>
              <w:rPr>
                <w:rFonts w:hint="default"/>
                <w:sz w:val="24"/>
                <w:szCs w:val="24"/>
              </w:rPr>
            </w:pPr>
          </w:p>
        </w:tc>
        <w:tc>
          <w:tcPr>
            <w:tcW w:w="1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1146BDD8">
            <w:pPr>
              <w:pStyle w:val="42"/>
              <w:kinsoku w:val="0"/>
              <w:overflowPunct w:val="0"/>
              <w:spacing w:beforeLines="0" w:afterLines="0"/>
              <w:ind w:left="103"/>
              <w:rPr>
                <w:rFonts w:hint="default"/>
                <w:sz w:val="24"/>
                <w:szCs w:val="24"/>
              </w:rPr>
            </w:pPr>
          </w:p>
        </w:tc>
        <w:tc>
          <w:tcPr>
            <w:tcW w:w="586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BD0B19F">
            <w:pPr>
              <w:pStyle w:val="42"/>
              <w:kinsoku w:val="0"/>
              <w:overflowPunct w:val="0"/>
              <w:spacing w:before="26" w:beforeLines="0" w:afterLines="0"/>
              <w:ind w:left="343"/>
              <w:rPr>
                <w:rFonts w:hint="default"/>
                <w:sz w:val="24"/>
                <w:szCs w:val="24"/>
              </w:rPr>
            </w:pPr>
            <w:r>
              <w:rPr>
                <w:rFonts w:hint="eastAsia" w:ascii="宋体" w:hAnsi="宋体" w:eastAsia="宋体"/>
                <w:sz w:val="24"/>
                <w:szCs w:val="24"/>
              </w:rPr>
              <w:t>（3）需整改问题及时整改完成。</w:t>
            </w:r>
          </w:p>
        </w:tc>
      </w:tr>
      <w:tr w14:paraId="1E204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exact"/>
        </w:trPr>
        <w:tc>
          <w:tcPr>
            <w:tcW w:w="71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5D18AFA">
            <w:pPr>
              <w:pStyle w:val="42"/>
              <w:kinsoku w:val="0"/>
              <w:overflowPunct w:val="0"/>
              <w:spacing w:before="26" w:beforeLines="0" w:afterLines="0"/>
              <w:ind w:left="343"/>
              <w:rPr>
                <w:rFonts w:hint="default"/>
                <w:sz w:val="24"/>
                <w:szCs w:val="24"/>
              </w:rPr>
            </w:pPr>
          </w:p>
        </w:tc>
        <w:tc>
          <w:tcPr>
            <w:tcW w:w="1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12D0E4A6">
            <w:pPr>
              <w:pStyle w:val="42"/>
              <w:kinsoku w:val="0"/>
              <w:overflowPunct w:val="0"/>
              <w:spacing w:before="26" w:beforeLines="0" w:afterLines="0"/>
              <w:ind w:left="343"/>
              <w:rPr>
                <w:rFonts w:hint="default"/>
                <w:sz w:val="24"/>
                <w:szCs w:val="24"/>
              </w:rPr>
            </w:pPr>
          </w:p>
        </w:tc>
        <w:tc>
          <w:tcPr>
            <w:tcW w:w="586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C8C1FD5">
            <w:pPr>
              <w:pStyle w:val="42"/>
              <w:kinsoku w:val="0"/>
              <w:overflowPunct w:val="0"/>
              <w:spacing w:before="23" w:beforeLines="0" w:afterLines="0"/>
              <w:ind w:left="103" w:firstLine="240"/>
              <w:rPr>
                <w:rFonts w:hint="eastAsia" w:ascii="宋体" w:hAnsi="宋体" w:eastAsia="宋体"/>
                <w:sz w:val="24"/>
                <w:szCs w:val="24"/>
              </w:rPr>
            </w:pPr>
            <w:r>
              <w:rPr>
                <w:rFonts w:hint="eastAsia" w:ascii="宋体" w:hAnsi="宋体" w:eastAsia="宋体"/>
                <w:sz w:val="24"/>
                <w:szCs w:val="24"/>
              </w:rPr>
              <w:t>（4）根据甲方的实际需求，增加可控成本范围</w:t>
            </w:r>
          </w:p>
          <w:p w14:paraId="51547C9C">
            <w:pPr>
              <w:pStyle w:val="42"/>
              <w:kinsoku w:val="0"/>
              <w:overflowPunct w:val="0"/>
              <w:spacing w:before="151" w:beforeLines="0" w:afterLines="0"/>
              <w:ind w:left="103"/>
              <w:rPr>
                <w:rFonts w:hint="default"/>
                <w:sz w:val="24"/>
                <w:szCs w:val="24"/>
              </w:rPr>
            </w:pPr>
            <w:r>
              <w:rPr>
                <w:rFonts w:hint="eastAsia" w:ascii="宋体" w:hAnsi="宋体" w:eastAsia="宋体"/>
                <w:sz w:val="24"/>
                <w:szCs w:val="24"/>
              </w:rPr>
              <w:t>内的其他服务。</w:t>
            </w:r>
          </w:p>
        </w:tc>
      </w:tr>
      <w:tr w14:paraId="24E00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exact"/>
        </w:trPr>
        <w:tc>
          <w:tcPr>
            <w:tcW w:w="71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592C176">
            <w:pPr>
              <w:pStyle w:val="42"/>
              <w:kinsoku w:val="0"/>
              <w:overflowPunct w:val="0"/>
              <w:spacing w:before="31" w:beforeLines="0" w:afterLines="0"/>
              <w:ind w:left="1"/>
              <w:jc w:val="center"/>
              <w:rPr>
                <w:rFonts w:hint="default"/>
                <w:sz w:val="24"/>
                <w:szCs w:val="24"/>
              </w:rPr>
            </w:pPr>
            <w:r>
              <w:rPr>
                <w:rFonts w:hint="eastAsia" w:ascii="宋体" w:hAnsi="宋体" w:eastAsia="宋体"/>
                <w:sz w:val="24"/>
                <w:szCs w:val="24"/>
              </w:rPr>
              <w:t>6</w:t>
            </w:r>
          </w:p>
        </w:tc>
        <w:tc>
          <w:tcPr>
            <w:tcW w:w="193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1FEAC09">
            <w:pPr>
              <w:pStyle w:val="42"/>
              <w:kinsoku w:val="0"/>
              <w:overflowPunct w:val="0"/>
              <w:spacing w:before="31" w:beforeLines="0" w:afterLines="0"/>
              <w:ind w:left="104"/>
              <w:rPr>
                <w:rFonts w:hint="default"/>
                <w:sz w:val="24"/>
                <w:szCs w:val="24"/>
              </w:rPr>
            </w:pPr>
            <w:r>
              <w:rPr>
                <w:rFonts w:hint="eastAsia" w:ascii="宋体" w:hAnsi="宋体" w:eastAsia="宋体"/>
                <w:spacing w:val="4"/>
                <w:sz w:val="24"/>
                <w:szCs w:val="24"/>
              </w:rPr>
              <w:t>重大活动后勤保</w:t>
            </w:r>
          </w:p>
        </w:tc>
        <w:tc>
          <w:tcPr>
            <w:tcW w:w="586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D7C4A1C">
            <w:pPr>
              <w:pStyle w:val="42"/>
              <w:kinsoku w:val="0"/>
              <w:overflowPunct w:val="0"/>
              <w:spacing w:before="24" w:beforeLines="0" w:afterLines="0"/>
              <w:ind w:left="343"/>
              <w:rPr>
                <w:rFonts w:hint="default"/>
                <w:sz w:val="24"/>
                <w:szCs w:val="24"/>
              </w:rPr>
            </w:pPr>
            <w:r>
              <w:rPr>
                <w:rFonts w:hint="eastAsia" w:ascii="宋体" w:hAnsi="宋体" w:eastAsia="宋体"/>
                <w:sz w:val="24"/>
                <w:szCs w:val="24"/>
              </w:rPr>
              <w:t>（1）制订流程。配合采购人制订重大活动后勤</w:t>
            </w:r>
          </w:p>
        </w:tc>
      </w:tr>
    </w:tbl>
    <w:p w14:paraId="04372764">
      <w:pPr>
        <w:spacing w:beforeLines="0" w:afterLines="0"/>
        <w:rPr>
          <w:rFonts w:hint="default"/>
          <w:sz w:val="24"/>
          <w:szCs w:val="24"/>
        </w:rPr>
        <w:sectPr>
          <w:pgSz w:w="11910" w:h="16840"/>
          <w:pgMar w:top="980" w:right="1600" w:bottom="880" w:left="1580" w:header="746" w:footer="699" w:gutter="0"/>
          <w:lnNumType w:countBy="0" w:distance="360"/>
          <w:cols w:space="720" w:num="1"/>
        </w:sectPr>
      </w:pPr>
    </w:p>
    <w:p w14:paraId="4AADB5C8">
      <w:pPr>
        <w:pStyle w:val="8"/>
        <w:kinsoku w:val="0"/>
        <w:overflowPunct w:val="0"/>
        <w:spacing w:beforeLines="0" w:afterLines="0"/>
        <w:ind w:left="0"/>
        <w:rPr>
          <w:rFonts w:hint="default" w:ascii="Times New Roman" w:hAnsi="Times New Roman" w:eastAsia="Times New Roman"/>
          <w:sz w:val="20"/>
          <w:szCs w:val="24"/>
        </w:rPr>
      </w:pPr>
    </w:p>
    <w:p w14:paraId="76B78EEC">
      <w:pPr>
        <w:pStyle w:val="8"/>
        <w:kinsoku w:val="0"/>
        <w:overflowPunct w:val="0"/>
        <w:spacing w:before="3" w:beforeLines="0" w:afterLines="0"/>
        <w:ind w:left="0"/>
        <w:rPr>
          <w:rFonts w:hint="default" w:ascii="Times New Roman" w:hAnsi="Times New Roman" w:eastAsia="Times New Roman"/>
          <w:sz w:val="19"/>
          <w:szCs w:val="24"/>
        </w:rPr>
      </w:pPr>
    </w:p>
    <w:tbl>
      <w:tblPr>
        <w:tblStyle w:val="19"/>
        <w:tblW w:w="0" w:type="auto"/>
        <w:tblInd w:w="2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9"/>
        <w:gridCol w:w="1930"/>
        <w:gridCol w:w="5863"/>
      </w:tblGrid>
      <w:tr w14:paraId="70EF9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exact"/>
        </w:trPr>
        <w:tc>
          <w:tcPr>
            <w:tcW w:w="71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57FA0490">
            <w:pPr>
              <w:spacing w:beforeLines="0" w:afterLines="0"/>
              <w:rPr>
                <w:rFonts w:hint="default"/>
                <w:sz w:val="24"/>
                <w:szCs w:val="24"/>
              </w:rPr>
            </w:pPr>
          </w:p>
        </w:tc>
        <w:tc>
          <w:tcPr>
            <w:tcW w:w="193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5365CC4E">
            <w:pPr>
              <w:pStyle w:val="42"/>
              <w:kinsoku w:val="0"/>
              <w:overflowPunct w:val="0"/>
              <w:spacing w:beforeLines="0" w:afterLines="0" w:line="277" w:lineRule="exact"/>
              <w:ind w:left="104"/>
              <w:rPr>
                <w:rFonts w:hint="default"/>
                <w:sz w:val="24"/>
                <w:szCs w:val="24"/>
              </w:rPr>
            </w:pPr>
            <w:r>
              <w:rPr>
                <w:rFonts w:hint="eastAsia" w:ascii="宋体" w:hAnsi="宋体" w:eastAsia="宋体"/>
                <w:sz w:val="24"/>
                <w:szCs w:val="24"/>
              </w:rPr>
              <w:t>障</w:t>
            </w:r>
          </w:p>
        </w:tc>
        <w:tc>
          <w:tcPr>
            <w:tcW w:w="586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2CF1FE0">
            <w:pPr>
              <w:pStyle w:val="42"/>
              <w:kinsoku w:val="0"/>
              <w:overflowPunct w:val="0"/>
              <w:spacing w:beforeLines="0" w:afterLines="0" w:line="277" w:lineRule="exact"/>
              <w:ind w:left="103"/>
              <w:rPr>
                <w:rFonts w:hint="eastAsia" w:ascii="宋体" w:hAnsi="宋体" w:eastAsia="宋体"/>
                <w:sz w:val="24"/>
                <w:szCs w:val="24"/>
              </w:rPr>
            </w:pPr>
            <w:r>
              <w:rPr>
                <w:rFonts w:hint="eastAsia" w:ascii="宋体" w:hAnsi="宋体" w:eastAsia="宋体"/>
                <w:sz w:val="24"/>
                <w:szCs w:val="24"/>
              </w:rPr>
              <w:t>保障工作流程，需对任务进行详细了解，并根据工作</w:t>
            </w:r>
          </w:p>
          <w:p w14:paraId="0564FFD9">
            <w:pPr>
              <w:pStyle w:val="42"/>
              <w:kinsoku w:val="0"/>
              <w:overflowPunct w:val="0"/>
              <w:spacing w:before="74" w:beforeLines="0" w:afterLines="0"/>
              <w:ind w:left="103"/>
              <w:rPr>
                <w:rFonts w:hint="default"/>
                <w:sz w:val="24"/>
                <w:szCs w:val="24"/>
              </w:rPr>
            </w:pPr>
            <w:r>
              <w:rPr>
                <w:rFonts w:hint="eastAsia" w:ascii="宋体" w:hAnsi="宋体" w:eastAsia="宋体"/>
                <w:sz w:val="24"/>
                <w:szCs w:val="24"/>
              </w:rPr>
              <w:t>安排制定详细的后勤保障计划。</w:t>
            </w:r>
          </w:p>
        </w:tc>
      </w:tr>
      <w:tr w14:paraId="23473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7" w:hRule="exact"/>
        </w:trPr>
        <w:tc>
          <w:tcPr>
            <w:tcW w:w="71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179EC8AA">
            <w:pPr>
              <w:pStyle w:val="42"/>
              <w:kinsoku w:val="0"/>
              <w:overflowPunct w:val="0"/>
              <w:spacing w:before="74" w:beforeLines="0" w:afterLines="0"/>
              <w:ind w:left="103"/>
              <w:rPr>
                <w:rFonts w:hint="default"/>
                <w:sz w:val="24"/>
                <w:szCs w:val="24"/>
              </w:rPr>
            </w:pPr>
          </w:p>
        </w:tc>
        <w:tc>
          <w:tcPr>
            <w:tcW w:w="1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24552676">
            <w:pPr>
              <w:pStyle w:val="42"/>
              <w:kinsoku w:val="0"/>
              <w:overflowPunct w:val="0"/>
              <w:spacing w:before="74" w:beforeLines="0" w:afterLines="0"/>
              <w:ind w:left="103"/>
              <w:rPr>
                <w:rFonts w:hint="default"/>
                <w:sz w:val="24"/>
                <w:szCs w:val="24"/>
              </w:rPr>
            </w:pPr>
          </w:p>
        </w:tc>
        <w:tc>
          <w:tcPr>
            <w:tcW w:w="586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7C3CECC">
            <w:pPr>
              <w:pStyle w:val="42"/>
              <w:kinsoku w:val="0"/>
              <w:overflowPunct w:val="0"/>
              <w:spacing w:before="24" w:beforeLines="0" w:afterLines="0"/>
              <w:ind w:left="103" w:firstLine="240"/>
              <w:rPr>
                <w:rFonts w:hint="eastAsia" w:ascii="宋体" w:hAnsi="宋体" w:eastAsia="宋体"/>
                <w:sz w:val="24"/>
                <w:szCs w:val="24"/>
              </w:rPr>
            </w:pPr>
            <w:r>
              <w:rPr>
                <w:rFonts w:hint="eastAsia" w:ascii="宋体" w:hAnsi="宋体" w:eastAsia="宋体"/>
                <w:sz w:val="24"/>
                <w:szCs w:val="24"/>
              </w:rPr>
              <w:t>（2）实施保障。按计划在关键区域和重点部位</w:t>
            </w:r>
          </w:p>
          <w:p w14:paraId="51300915">
            <w:pPr>
              <w:pStyle w:val="42"/>
              <w:kinsoku w:val="0"/>
              <w:overflowPunct w:val="0"/>
              <w:spacing w:before="151" w:beforeLines="0" w:afterLines="0" w:line="297" w:lineRule="auto"/>
              <w:ind w:left="103" w:right="227"/>
              <w:jc w:val="both"/>
              <w:rPr>
                <w:rFonts w:hint="default"/>
                <w:sz w:val="24"/>
                <w:szCs w:val="24"/>
              </w:rPr>
            </w:pPr>
            <w:r>
              <w:rPr>
                <w:rFonts w:hint="eastAsia" w:ascii="宋体" w:hAnsi="宋体" w:eastAsia="宋体"/>
                <w:sz w:val="24"/>
                <w:szCs w:val="24"/>
              </w:rPr>
              <w:t>进行部署，确保任务顺利进行，对活动区域进行全面安全检查，发现并排除安全隐患，以礼貌、专业的态度对待，展现良好形象。</w:t>
            </w:r>
          </w:p>
        </w:tc>
      </w:tr>
      <w:tr w14:paraId="5581B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exact"/>
        </w:trPr>
        <w:tc>
          <w:tcPr>
            <w:tcW w:w="71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01D80B18">
            <w:pPr>
              <w:pStyle w:val="42"/>
              <w:kinsoku w:val="0"/>
              <w:overflowPunct w:val="0"/>
              <w:spacing w:before="151" w:beforeLines="0" w:afterLines="0" w:line="297" w:lineRule="auto"/>
              <w:ind w:left="103" w:right="227"/>
              <w:jc w:val="both"/>
              <w:rPr>
                <w:rFonts w:hint="default"/>
                <w:sz w:val="24"/>
                <w:szCs w:val="24"/>
              </w:rPr>
            </w:pPr>
          </w:p>
        </w:tc>
        <w:tc>
          <w:tcPr>
            <w:tcW w:w="1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7CF4BEE4">
            <w:pPr>
              <w:pStyle w:val="42"/>
              <w:kinsoku w:val="0"/>
              <w:overflowPunct w:val="0"/>
              <w:spacing w:before="151" w:beforeLines="0" w:afterLines="0" w:line="297" w:lineRule="auto"/>
              <w:ind w:left="103" w:right="227"/>
              <w:jc w:val="both"/>
              <w:rPr>
                <w:rFonts w:hint="default"/>
                <w:sz w:val="24"/>
                <w:szCs w:val="24"/>
              </w:rPr>
            </w:pPr>
          </w:p>
        </w:tc>
        <w:tc>
          <w:tcPr>
            <w:tcW w:w="586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8634F8C">
            <w:pPr>
              <w:pStyle w:val="42"/>
              <w:kinsoku w:val="0"/>
              <w:overflowPunct w:val="0"/>
              <w:spacing w:before="24" w:beforeLines="0" w:afterLines="0"/>
              <w:ind w:left="103" w:firstLine="240"/>
              <w:rPr>
                <w:rFonts w:hint="eastAsia" w:ascii="宋体" w:hAnsi="宋体" w:eastAsia="宋体"/>
                <w:sz w:val="24"/>
                <w:szCs w:val="24"/>
              </w:rPr>
            </w:pPr>
            <w:r>
              <w:rPr>
                <w:rFonts w:hint="eastAsia" w:ascii="宋体" w:hAnsi="宋体" w:eastAsia="宋体"/>
                <w:sz w:val="24"/>
                <w:szCs w:val="24"/>
              </w:rPr>
              <w:t>（3）收尾工作。对现场进行检查，做好清理工</w:t>
            </w:r>
          </w:p>
          <w:p w14:paraId="0EE8033A">
            <w:pPr>
              <w:pStyle w:val="42"/>
              <w:kinsoku w:val="0"/>
              <w:overflowPunct w:val="0"/>
              <w:spacing w:before="151" w:beforeLines="0" w:afterLines="0"/>
              <w:ind w:left="103"/>
              <w:rPr>
                <w:rFonts w:hint="default"/>
                <w:sz w:val="24"/>
                <w:szCs w:val="24"/>
              </w:rPr>
            </w:pPr>
            <w:r>
              <w:rPr>
                <w:rFonts w:hint="eastAsia" w:ascii="宋体" w:hAnsi="宋体" w:eastAsia="宋体"/>
                <w:sz w:val="24"/>
                <w:szCs w:val="24"/>
              </w:rPr>
              <w:t>作。</w:t>
            </w:r>
          </w:p>
        </w:tc>
      </w:tr>
      <w:tr w14:paraId="53F24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5" w:hRule="exact"/>
        </w:trPr>
        <w:tc>
          <w:tcPr>
            <w:tcW w:w="719" w:type="dxa"/>
            <w:vMerge w:val="restart"/>
            <w:tcBorders>
              <w:top w:val="single" w:color="000000" w:sz="4" w:space="0"/>
              <w:left w:val="single" w:color="000000" w:sz="4" w:space="0"/>
              <w:bottom w:val="nil"/>
              <w:right w:val="single" w:color="000000" w:sz="4" w:space="0"/>
              <w:tl2br w:val="nil"/>
              <w:tr2bl w:val="nil"/>
            </w:tcBorders>
            <w:noWrap w:val="0"/>
            <w:vAlign w:val="top"/>
          </w:tcPr>
          <w:p w14:paraId="5EF4FBD5">
            <w:pPr>
              <w:pStyle w:val="42"/>
              <w:kinsoku w:val="0"/>
              <w:overflowPunct w:val="0"/>
              <w:spacing w:beforeLines="0" w:afterLines="0"/>
              <w:rPr>
                <w:rFonts w:hint="default" w:ascii="Times New Roman" w:hAnsi="Times New Roman" w:eastAsia="Times New Roman"/>
                <w:sz w:val="24"/>
                <w:szCs w:val="24"/>
              </w:rPr>
            </w:pPr>
          </w:p>
          <w:p w14:paraId="3C879684">
            <w:pPr>
              <w:pStyle w:val="42"/>
              <w:kinsoku w:val="0"/>
              <w:overflowPunct w:val="0"/>
              <w:spacing w:beforeLines="0" w:afterLines="0"/>
              <w:rPr>
                <w:rFonts w:hint="default" w:ascii="Times New Roman" w:hAnsi="Times New Roman" w:eastAsia="Times New Roman"/>
                <w:sz w:val="24"/>
                <w:szCs w:val="24"/>
              </w:rPr>
            </w:pPr>
          </w:p>
          <w:p w14:paraId="33177404">
            <w:pPr>
              <w:pStyle w:val="42"/>
              <w:kinsoku w:val="0"/>
              <w:overflowPunct w:val="0"/>
              <w:spacing w:beforeLines="0" w:afterLines="0"/>
              <w:rPr>
                <w:rFonts w:hint="default" w:ascii="Times New Roman" w:hAnsi="Times New Roman" w:eastAsia="Times New Roman"/>
                <w:sz w:val="24"/>
                <w:szCs w:val="24"/>
              </w:rPr>
            </w:pPr>
          </w:p>
          <w:p w14:paraId="291A72D0">
            <w:pPr>
              <w:pStyle w:val="42"/>
              <w:kinsoku w:val="0"/>
              <w:overflowPunct w:val="0"/>
              <w:spacing w:beforeLines="0" w:afterLines="0"/>
              <w:rPr>
                <w:rFonts w:hint="default" w:ascii="Times New Roman" w:hAnsi="Times New Roman" w:eastAsia="Times New Roman"/>
                <w:sz w:val="24"/>
                <w:szCs w:val="24"/>
              </w:rPr>
            </w:pPr>
          </w:p>
          <w:p w14:paraId="29312943">
            <w:pPr>
              <w:pStyle w:val="42"/>
              <w:kinsoku w:val="0"/>
              <w:overflowPunct w:val="0"/>
              <w:spacing w:beforeLines="0" w:afterLines="0"/>
              <w:rPr>
                <w:rFonts w:hint="default" w:ascii="Times New Roman" w:hAnsi="Times New Roman" w:eastAsia="Times New Roman"/>
                <w:sz w:val="24"/>
                <w:szCs w:val="24"/>
              </w:rPr>
            </w:pPr>
          </w:p>
          <w:p w14:paraId="2112E075">
            <w:pPr>
              <w:pStyle w:val="42"/>
              <w:kinsoku w:val="0"/>
              <w:overflowPunct w:val="0"/>
              <w:spacing w:beforeLines="0" w:afterLines="0"/>
              <w:rPr>
                <w:rFonts w:hint="default" w:ascii="Times New Roman" w:hAnsi="Times New Roman" w:eastAsia="Times New Roman"/>
                <w:sz w:val="24"/>
                <w:szCs w:val="24"/>
              </w:rPr>
            </w:pPr>
          </w:p>
          <w:p w14:paraId="4FFD3CFC">
            <w:pPr>
              <w:pStyle w:val="42"/>
              <w:kinsoku w:val="0"/>
              <w:overflowPunct w:val="0"/>
              <w:spacing w:beforeLines="0" w:afterLines="0"/>
              <w:rPr>
                <w:rFonts w:hint="default" w:ascii="Times New Roman" w:hAnsi="Times New Roman" w:eastAsia="Times New Roman"/>
                <w:sz w:val="24"/>
                <w:szCs w:val="24"/>
              </w:rPr>
            </w:pPr>
          </w:p>
          <w:p w14:paraId="51609BFE">
            <w:pPr>
              <w:pStyle w:val="42"/>
              <w:kinsoku w:val="0"/>
              <w:overflowPunct w:val="0"/>
              <w:spacing w:beforeLines="0" w:afterLines="0"/>
              <w:rPr>
                <w:rFonts w:hint="default" w:ascii="Times New Roman" w:hAnsi="Times New Roman" w:eastAsia="Times New Roman"/>
                <w:sz w:val="24"/>
                <w:szCs w:val="24"/>
              </w:rPr>
            </w:pPr>
          </w:p>
          <w:p w14:paraId="1FCF9842">
            <w:pPr>
              <w:pStyle w:val="42"/>
              <w:kinsoku w:val="0"/>
              <w:overflowPunct w:val="0"/>
              <w:spacing w:beforeLines="0" w:afterLines="0"/>
              <w:rPr>
                <w:rFonts w:hint="default" w:ascii="Times New Roman" w:hAnsi="Times New Roman" w:eastAsia="Times New Roman"/>
                <w:sz w:val="24"/>
                <w:szCs w:val="24"/>
              </w:rPr>
            </w:pPr>
          </w:p>
          <w:p w14:paraId="1818F8A8">
            <w:pPr>
              <w:pStyle w:val="42"/>
              <w:kinsoku w:val="0"/>
              <w:overflowPunct w:val="0"/>
              <w:spacing w:beforeLines="0" w:afterLines="0"/>
              <w:rPr>
                <w:rFonts w:hint="default" w:ascii="Times New Roman" w:hAnsi="Times New Roman" w:eastAsia="Times New Roman"/>
                <w:sz w:val="24"/>
                <w:szCs w:val="24"/>
              </w:rPr>
            </w:pPr>
          </w:p>
          <w:p w14:paraId="733A9396">
            <w:pPr>
              <w:pStyle w:val="42"/>
              <w:kinsoku w:val="0"/>
              <w:overflowPunct w:val="0"/>
              <w:spacing w:beforeLines="0" w:afterLines="0"/>
              <w:rPr>
                <w:rFonts w:hint="default" w:ascii="Times New Roman" w:hAnsi="Times New Roman" w:eastAsia="Times New Roman"/>
                <w:sz w:val="24"/>
                <w:szCs w:val="24"/>
              </w:rPr>
            </w:pPr>
          </w:p>
          <w:p w14:paraId="409EE1D6">
            <w:pPr>
              <w:pStyle w:val="42"/>
              <w:kinsoku w:val="0"/>
              <w:overflowPunct w:val="0"/>
              <w:spacing w:beforeLines="0" w:afterLines="0"/>
              <w:rPr>
                <w:rFonts w:hint="default" w:ascii="Times New Roman" w:hAnsi="Times New Roman" w:eastAsia="Times New Roman"/>
                <w:sz w:val="24"/>
                <w:szCs w:val="24"/>
              </w:rPr>
            </w:pPr>
          </w:p>
          <w:p w14:paraId="5A5035D6">
            <w:pPr>
              <w:pStyle w:val="42"/>
              <w:kinsoku w:val="0"/>
              <w:overflowPunct w:val="0"/>
              <w:spacing w:beforeLines="0" w:afterLines="0"/>
              <w:rPr>
                <w:rFonts w:hint="default" w:ascii="Times New Roman" w:hAnsi="Times New Roman" w:eastAsia="Times New Roman"/>
                <w:sz w:val="24"/>
                <w:szCs w:val="24"/>
              </w:rPr>
            </w:pPr>
          </w:p>
          <w:p w14:paraId="507359AB">
            <w:pPr>
              <w:pStyle w:val="42"/>
              <w:kinsoku w:val="0"/>
              <w:overflowPunct w:val="0"/>
              <w:spacing w:before="171" w:beforeLines="0" w:afterLines="0"/>
              <w:ind w:left="1"/>
              <w:jc w:val="center"/>
              <w:rPr>
                <w:rFonts w:hint="default"/>
                <w:sz w:val="24"/>
                <w:szCs w:val="24"/>
              </w:rPr>
            </w:pPr>
            <w:r>
              <w:rPr>
                <w:rFonts w:hint="eastAsia" w:ascii="宋体" w:hAnsi="宋体" w:eastAsia="宋体"/>
                <w:sz w:val="24"/>
                <w:szCs w:val="24"/>
              </w:rPr>
              <w:t>7</w:t>
            </w:r>
          </w:p>
        </w:tc>
        <w:tc>
          <w:tcPr>
            <w:tcW w:w="1930" w:type="dxa"/>
            <w:vMerge w:val="restart"/>
            <w:tcBorders>
              <w:top w:val="single" w:color="000000" w:sz="4" w:space="0"/>
              <w:left w:val="single" w:color="000000" w:sz="4" w:space="0"/>
              <w:bottom w:val="nil"/>
              <w:right w:val="single" w:color="000000" w:sz="4" w:space="0"/>
              <w:tl2br w:val="nil"/>
              <w:tr2bl w:val="nil"/>
            </w:tcBorders>
            <w:noWrap w:val="0"/>
            <w:vAlign w:val="top"/>
          </w:tcPr>
          <w:p w14:paraId="2A587882">
            <w:pPr>
              <w:pStyle w:val="42"/>
              <w:kinsoku w:val="0"/>
              <w:overflowPunct w:val="0"/>
              <w:spacing w:beforeLines="0" w:afterLines="0"/>
              <w:rPr>
                <w:rFonts w:hint="default" w:ascii="Times New Roman" w:hAnsi="Times New Roman" w:eastAsia="Times New Roman"/>
                <w:sz w:val="24"/>
                <w:szCs w:val="24"/>
              </w:rPr>
            </w:pPr>
          </w:p>
          <w:p w14:paraId="32B1A38D">
            <w:pPr>
              <w:pStyle w:val="42"/>
              <w:kinsoku w:val="0"/>
              <w:overflowPunct w:val="0"/>
              <w:spacing w:beforeLines="0" w:afterLines="0"/>
              <w:rPr>
                <w:rFonts w:hint="default" w:ascii="Times New Roman" w:hAnsi="Times New Roman" w:eastAsia="Times New Roman"/>
                <w:sz w:val="24"/>
                <w:szCs w:val="24"/>
              </w:rPr>
            </w:pPr>
          </w:p>
          <w:p w14:paraId="50F85E5B">
            <w:pPr>
              <w:pStyle w:val="42"/>
              <w:kinsoku w:val="0"/>
              <w:overflowPunct w:val="0"/>
              <w:spacing w:beforeLines="0" w:afterLines="0"/>
              <w:rPr>
                <w:rFonts w:hint="default" w:ascii="Times New Roman" w:hAnsi="Times New Roman" w:eastAsia="Times New Roman"/>
                <w:sz w:val="24"/>
                <w:szCs w:val="24"/>
              </w:rPr>
            </w:pPr>
          </w:p>
          <w:p w14:paraId="4C0E5135">
            <w:pPr>
              <w:pStyle w:val="42"/>
              <w:kinsoku w:val="0"/>
              <w:overflowPunct w:val="0"/>
              <w:spacing w:beforeLines="0" w:afterLines="0"/>
              <w:rPr>
                <w:rFonts w:hint="default" w:ascii="Times New Roman" w:hAnsi="Times New Roman" w:eastAsia="Times New Roman"/>
                <w:sz w:val="24"/>
                <w:szCs w:val="24"/>
              </w:rPr>
            </w:pPr>
          </w:p>
          <w:p w14:paraId="360F3775">
            <w:pPr>
              <w:pStyle w:val="42"/>
              <w:kinsoku w:val="0"/>
              <w:overflowPunct w:val="0"/>
              <w:spacing w:beforeLines="0" w:afterLines="0"/>
              <w:rPr>
                <w:rFonts w:hint="default" w:ascii="Times New Roman" w:hAnsi="Times New Roman" w:eastAsia="Times New Roman"/>
                <w:sz w:val="24"/>
                <w:szCs w:val="24"/>
              </w:rPr>
            </w:pPr>
          </w:p>
          <w:p w14:paraId="6AE46AB1">
            <w:pPr>
              <w:pStyle w:val="42"/>
              <w:kinsoku w:val="0"/>
              <w:overflowPunct w:val="0"/>
              <w:spacing w:beforeLines="0" w:afterLines="0"/>
              <w:rPr>
                <w:rFonts w:hint="default" w:ascii="Times New Roman" w:hAnsi="Times New Roman" w:eastAsia="Times New Roman"/>
                <w:sz w:val="24"/>
                <w:szCs w:val="24"/>
              </w:rPr>
            </w:pPr>
          </w:p>
          <w:p w14:paraId="10EDB076">
            <w:pPr>
              <w:pStyle w:val="42"/>
              <w:kinsoku w:val="0"/>
              <w:overflowPunct w:val="0"/>
              <w:spacing w:beforeLines="0" w:afterLines="0"/>
              <w:rPr>
                <w:rFonts w:hint="default" w:ascii="Times New Roman" w:hAnsi="Times New Roman" w:eastAsia="Times New Roman"/>
                <w:sz w:val="24"/>
                <w:szCs w:val="24"/>
              </w:rPr>
            </w:pPr>
          </w:p>
          <w:p w14:paraId="13880B5F">
            <w:pPr>
              <w:pStyle w:val="42"/>
              <w:kinsoku w:val="0"/>
              <w:overflowPunct w:val="0"/>
              <w:spacing w:beforeLines="0" w:afterLines="0"/>
              <w:rPr>
                <w:rFonts w:hint="default" w:ascii="Times New Roman" w:hAnsi="Times New Roman" w:eastAsia="Times New Roman"/>
                <w:sz w:val="24"/>
                <w:szCs w:val="24"/>
              </w:rPr>
            </w:pPr>
          </w:p>
          <w:p w14:paraId="561395CC">
            <w:pPr>
              <w:pStyle w:val="42"/>
              <w:kinsoku w:val="0"/>
              <w:overflowPunct w:val="0"/>
              <w:spacing w:beforeLines="0" w:afterLines="0"/>
              <w:rPr>
                <w:rFonts w:hint="default" w:ascii="Times New Roman" w:hAnsi="Times New Roman" w:eastAsia="Times New Roman"/>
                <w:sz w:val="24"/>
                <w:szCs w:val="24"/>
              </w:rPr>
            </w:pPr>
          </w:p>
          <w:p w14:paraId="6D04637B">
            <w:pPr>
              <w:pStyle w:val="42"/>
              <w:kinsoku w:val="0"/>
              <w:overflowPunct w:val="0"/>
              <w:spacing w:beforeLines="0" w:afterLines="0"/>
              <w:rPr>
                <w:rFonts w:hint="default" w:ascii="Times New Roman" w:hAnsi="Times New Roman" w:eastAsia="Times New Roman"/>
                <w:sz w:val="24"/>
                <w:szCs w:val="24"/>
              </w:rPr>
            </w:pPr>
          </w:p>
          <w:p w14:paraId="7C21C46B">
            <w:pPr>
              <w:pStyle w:val="42"/>
              <w:kinsoku w:val="0"/>
              <w:overflowPunct w:val="0"/>
              <w:spacing w:beforeLines="0" w:afterLines="0"/>
              <w:rPr>
                <w:rFonts w:hint="default" w:ascii="Times New Roman" w:hAnsi="Times New Roman" w:eastAsia="Times New Roman"/>
                <w:sz w:val="24"/>
                <w:szCs w:val="24"/>
              </w:rPr>
            </w:pPr>
          </w:p>
          <w:p w14:paraId="6F479FFD">
            <w:pPr>
              <w:pStyle w:val="42"/>
              <w:kinsoku w:val="0"/>
              <w:overflowPunct w:val="0"/>
              <w:spacing w:beforeLines="0" w:afterLines="0"/>
              <w:rPr>
                <w:rFonts w:hint="default" w:ascii="Times New Roman" w:hAnsi="Times New Roman" w:eastAsia="Times New Roman"/>
                <w:sz w:val="24"/>
                <w:szCs w:val="24"/>
              </w:rPr>
            </w:pPr>
          </w:p>
          <w:p w14:paraId="6D1713E4">
            <w:pPr>
              <w:pStyle w:val="42"/>
              <w:kinsoku w:val="0"/>
              <w:overflowPunct w:val="0"/>
              <w:spacing w:beforeLines="0" w:afterLines="0"/>
              <w:rPr>
                <w:rFonts w:hint="default" w:ascii="Times New Roman" w:hAnsi="Times New Roman" w:eastAsia="Times New Roman"/>
                <w:sz w:val="24"/>
                <w:szCs w:val="24"/>
              </w:rPr>
            </w:pPr>
          </w:p>
          <w:p w14:paraId="613F948B">
            <w:pPr>
              <w:pStyle w:val="42"/>
              <w:kinsoku w:val="0"/>
              <w:overflowPunct w:val="0"/>
              <w:spacing w:before="171" w:beforeLines="0" w:afterLines="0"/>
              <w:ind w:left="104"/>
              <w:rPr>
                <w:rFonts w:hint="default"/>
                <w:sz w:val="24"/>
                <w:szCs w:val="24"/>
              </w:rPr>
            </w:pPr>
            <w:r>
              <w:rPr>
                <w:rFonts w:hint="eastAsia" w:ascii="宋体" w:hAnsi="宋体" w:eastAsia="宋体"/>
                <w:sz w:val="24"/>
                <w:szCs w:val="24"/>
              </w:rPr>
              <w:t>应急保障预案</w:t>
            </w:r>
          </w:p>
        </w:tc>
        <w:tc>
          <w:tcPr>
            <w:tcW w:w="586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341E828">
            <w:pPr>
              <w:pStyle w:val="42"/>
              <w:kinsoku w:val="0"/>
              <w:overflowPunct w:val="0"/>
              <w:spacing w:before="25" w:beforeLines="0" w:afterLines="0"/>
              <w:ind w:left="103" w:firstLine="240"/>
              <w:rPr>
                <w:rFonts w:hint="eastAsia" w:ascii="宋体" w:hAnsi="宋体" w:eastAsia="宋体"/>
                <w:sz w:val="24"/>
                <w:szCs w:val="24"/>
              </w:rPr>
            </w:pPr>
            <w:r>
              <w:rPr>
                <w:rFonts w:hint="eastAsia" w:ascii="宋体" w:hAnsi="宋体" w:eastAsia="宋体"/>
                <w:sz w:val="24"/>
                <w:szCs w:val="24"/>
              </w:rPr>
              <w:t>（1）重点区域及安全隐患排查。结合项目的实</w:t>
            </w:r>
          </w:p>
          <w:p w14:paraId="0181B224">
            <w:pPr>
              <w:pStyle w:val="42"/>
              <w:kinsoku w:val="0"/>
              <w:overflowPunct w:val="0"/>
              <w:spacing w:before="151" w:beforeLines="0" w:afterLines="0" w:line="297" w:lineRule="auto"/>
              <w:ind w:left="103" w:right="107"/>
              <w:rPr>
                <w:rFonts w:hint="default"/>
                <w:sz w:val="24"/>
                <w:szCs w:val="24"/>
              </w:rPr>
            </w:pPr>
            <w:r>
              <w:rPr>
                <w:rFonts w:hint="eastAsia" w:ascii="宋体" w:hAnsi="宋体" w:eastAsia="宋体"/>
                <w:sz w:val="24"/>
                <w:szCs w:val="24"/>
              </w:rPr>
              <w:t>际情况，对重点部位及危险隐患进行排查，并建立清单/台账；应当对危险隐患进行风险分析，制定相应措施进行控制或整改并定期监控；随着设施设备、服务内容的变化，及时更新清单/台账，使风险隐患始终处于受控状态。</w:t>
            </w:r>
          </w:p>
        </w:tc>
      </w:tr>
      <w:tr w14:paraId="13287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exact"/>
        </w:trPr>
        <w:tc>
          <w:tcPr>
            <w:tcW w:w="719" w:type="dxa"/>
            <w:vMerge w:val="continue"/>
            <w:tcBorders>
              <w:top w:val="nil"/>
              <w:left w:val="single" w:color="000000" w:sz="4" w:space="0"/>
              <w:bottom w:val="nil"/>
              <w:right w:val="single" w:color="000000" w:sz="4" w:space="0"/>
              <w:tl2br w:val="nil"/>
              <w:tr2bl w:val="nil"/>
            </w:tcBorders>
            <w:noWrap w:val="0"/>
            <w:vAlign w:val="top"/>
          </w:tcPr>
          <w:p w14:paraId="5389439F">
            <w:pPr>
              <w:pStyle w:val="42"/>
              <w:kinsoku w:val="0"/>
              <w:overflowPunct w:val="0"/>
              <w:spacing w:before="151" w:beforeLines="0" w:afterLines="0" w:line="297" w:lineRule="auto"/>
              <w:ind w:left="103" w:right="107"/>
              <w:rPr>
                <w:rFonts w:hint="default"/>
                <w:sz w:val="24"/>
                <w:szCs w:val="24"/>
              </w:rPr>
            </w:pPr>
          </w:p>
        </w:tc>
        <w:tc>
          <w:tcPr>
            <w:tcW w:w="1930" w:type="dxa"/>
            <w:vMerge w:val="continue"/>
            <w:tcBorders>
              <w:top w:val="nil"/>
              <w:left w:val="single" w:color="000000" w:sz="4" w:space="0"/>
              <w:bottom w:val="nil"/>
              <w:right w:val="single" w:color="000000" w:sz="4" w:space="0"/>
              <w:tl2br w:val="nil"/>
              <w:tr2bl w:val="nil"/>
            </w:tcBorders>
            <w:noWrap w:val="0"/>
            <w:vAlign w:val="top"/>
          </w:tcPr>
          <w:p w14:paraId="2F262525">
            <w:pPr>
              <w:pStyle w:val="42"/>
              <w:kinsoku w:val="0"/>
              <w:overflowPunct w:val="0"/>
              <w:spacing w:before="151" w:beforeLines="0" w:afterLines="0" w:line="297" w:lineRule="auto"/>
              <w:ind w:left="103" w:right="107"/>
              <w:rPr>
                <w:rFonts w:hint="default"/>
                <w:sz w:val="24"/>
                <w:szCs w:val="24"/>
              </w:rPr>
            </w:pPr>
          </w:p>
        </w:tc>
        <w:tc>
          <w:tcPr>
            <w:tcW w:w="5863" w:type="dxa"/>
            <w:tcBorders>
              <w:top w:val="single" w:color="000000" w:sz="4" w:space="0"/>
              <w:left w:val="single" w:color="000000" w:sz="4" w:space="0"/>
              <w:bottom w:val="nil"/>
              <w:right w:val="single" w:color="000000" w:sz="4" w:space="0"/>
              <w:tl2br w:val="nil"/>
              <w:tr2bl w:val="nil"/>
            </w:tcBorders>
            <w:noWrap w:val="0"/>
            <w:vAlign w:val="top"/>
          </w:tcPr>
          <w:p w14:paraId="05A12D78">
            <w:pPr>
              <w:pStyle w:val="42"/>
              <w:kinsoku w:val="0"/>
              <w:overflowPunct w:val="0"/>
              <w:spacing w:before="24" w:beforeLines="0" w:afterLines="0"/>
              <w:ind w:left="343"/>
              <w:rPr>
                <w:rFonts w:hint="default"/>
                <w:sz w:val="24"/>
                <w:szCs w:val="24"/>
              </w:rPr>
            </w:pPr>
            <w:r>
              <w:rPr>
                <w:rFonts w:hint="eastAsia" w:ascii="宋体" w:hAnsi="宋体" w:eastAsia="宋体"/>
                <w:sz w:val="24"/>
                <w:szCs w:val="24"/>
              </w:rPr>
              <w:t>（2）应急预案的建立。根据办公楼隐患排查的</w:t>
            </w:r>
          </w:p>
        </w:tc>
      </w:tr>
      <w:tr w14:paraId="770D1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exact"/>
        </w:trPr>
        <w:tc>
          <w:tcPr>
            <w:tcW w:w="719" w:type="dxa"/>
            <w:vMerge w:val="continue"/>
            <w:tcBorders>
              <w:top w:val="nil"/>
              <w:left w:val="single" w:color="000000" w:sz="4" w:space="0"/>
              <w:bottom w:val="nil"/>
              <w:right w:val="single" w:color="000000" w:sz="4" w:space="0"/>
              <w:tl2br w:val="nil"/>
              <w:tr2bl w:val="nil"/>
            </w:tcBorders>
            <w:noWrap w:val="0"/>
            <w:vAlign w:val="top"/>
          </w:tcPr>
          <w:p w14:paraId="7720C71C">
            <w:pPr>
              <w:pStyle w:val="42"/>
              <w:kinsoku w:val="0"/>
              <w:overflowPunct w:val="0"/>
              <w:spacing w:before="24" w:beforeLines="0" w:afterLines="0"/>
              <w:ind w:left="343"/>
              <w:rPr>
                <w:rFonts w:hint="default"/>
                <w:sz w:val="24"/>
                <w:szCs w:val="24"/>
              </w:rPr>
            </w:pPr>
          </w:p>
        </w:tc>
        <w:tc>
          <w:tcPr>
            <w:tcW w:w="1930" w:type="dxa"/>
            <w:vMerge w:val="continue"/>
            <w:tcBorders>
              <w:top w:val="nil"/>
              <w:left w:val="single" w:color="000000" w:sz="4" w:space="0"/>
              <w:bottom w:val="nil"/>
              <w:right w:val="single" w:color="000000" w:sz="4" w:space="0"/>
              <w:tl2br w:val="nil"/>
              <w:tr2bl w:val="nil"/>
            </w:tcBorders>
            <w:noWrap w:val="0"/>
            <w:vAlign w:val="top"/>
          </w:tcPr>
          <w:p w14:paraId="0A88A063">
            <w:pPr>
              <w:pStyle w:val="42"/>
              <w:kinsoku w:val="0"/>
              <w:overflowPunct w:val="0"/>
              <w:spacing w:before="24" w:beforeLines="0" w:afterLines="0"/>
              <w:ind w:left="343"/>
              <w:rPr>
                <w:rFonts w:hint="default"/>
                <w:sz w:val="24"/>
                <w:szCs w:val="24"/>
              </w:rPr>
            </w:pPr>
          </w:p>
        </w:tc>
        <w:tc>
          <w:tcPr>
            <w:tcW w:w="5863" w:type="dxa"/>
            <w:tcBorders>
              <w:top w:val="nil"/>
              <w:left w:val="single" w:color="000000" w:sz="4" w:space="0"/>
              <w:bottom w:val="nil"/>
              <w:right w:val="single" w:color="000000" w:sz="4" w:space="0"/>
              <w:tl2br w:val="nil"/>
              <w:tr2bl w:val="nil"/>
            </w:tcBorders>
            <w:noWrap w:val="0"/>
            <w:vAlign w:val="top"/>
          </w:tcPr>
          <w:p w14:paraId="316A8964">
            <w:pPr>
              <w:pStyle w:val="42"/>
              <w:kinsoku w:val="0"/>
              <w:overflowPunct w:val="0"/>
              <w:spacing w:before="40" w:beforeLines="0" w:afterLines="0"/>
              <w:ind w:left="103"/>
              <w:rPr>
                <w:rFonts w:hint="default"/>
                <w:sz w:val="24"/>
                <w:szCs w:val="24"/>
              </w:rPr>
            </w:pPr>
            <w:r>
              <w:rPr>
                <w:rFonts w:hint="eastAsia" w:ascii="宋体" w:hAnsi="宋体" w:eastAsia="宋体"/>
                <w:sz w:val="24"/>
                <w:szCs w:val="24"/>
              </w:rPr>
              <w:t>结果和实际情况，制定专项预案，包括但不限于：火</w:t>
            </w:r>
          </w:p>
        </w:tc>
      </w:tr>
      <w:tr w14:paraId="5FA0B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exact"/>
        </w:trPr>
        <w:tc>
          <w:tcPr>
            <w:tcW w:w="719" w:type="dxa"/>
            <w:vMerge w:val="continue"/>
            <w:tcBorders>
              <w:top w:val="nil"/>
              <w:left w:val="single" w:color="000000" w:sz="4" w:space="0"/>
              <w:bottom w:val="nil"/>
              <w:right w:val="single" w:color="000000" w:sz="4" w:space="0"/>
              <w:tl2br w:val="nil"/>
              <w:tr2bl w:val="nil"/>
            </w:tcBorders>
            <w:noWrap w:val="0"/>
            <w:vAlign w:val="top"/>
          </w:tcPr>
          <w:p w14:paraId="1D62D91B">
            <w:pPr>
              <w:pStyle w:val="42"/>
              <w:kinsoku w:val="0"/>
              <w:overflowPunct w:val="0"/>
              <w:spacing w:before="40" w:beforeLines="0" w:afterLines="0"/>
              <w:ind w:left="103"/>
              <w:rPr>
                <w:rFonts w:hint="default"/>
                <w:sz w:val="24"/>
                <w:szCs w:val="24"/>
              </w:rPr>
            </w:pPr>
          </w:p>
        </w:tc>
        <w:tc>
          <w:tcPr>
            <w:tcW w:w="1930" w:type="dxa"/>
            <w:vMerge w:val="continue"/>
            <w:tcBorders>
              <w:top w:val="nil"/>
              <w:left w:val="single" w:color="000000" w:sz="4" w:space="0"/>
              <w:bottom w:val="nil"/>
              <w:right w:val="single" w:color="000000" w:sz="4" w:space="0"/>
              <w:tl2br w:val="nil"/>
              <w:tr2bl w:val="nil"/>
            </w:tcBorders>
            <w:noWrap w:val="0"/>
            <w:vAlign w:val="top"/>
          </w:tcPr>
          <w:p w14:paraId="787F2E9F">
            <w:pPr>
              <w:pStyle w:val="42"/>
              <w:kinsoku w:val="0"/>
              <w:overflowPunct w:val="0"/>
              <w:spacing w:before="40" w:beforeLines="0" w:afterLines="0"/>
              <w:ind w:left="103"/>
              <w:rPr>
                <w:rFonts w:hint="default"/>
                <w:sz w:val="24"/>
                <w:szCs w:val="24"/>
              </w:rPr>
            </w:pPr>
          </w:p>
        </w:tc>
        <w:tc>
          <w:tcPr>
            <w:tcW w:w="5863" w:type="dxa"/>
            <w:tcBorders>
              <w:top w:val="nil"/>
              <w:left w:val="single" w:color="000000" w:sz="4" w:space="0"/>
              <w:bottom w:val="nil"/>
              <w:right w:val="single" w:color="000000" w:sz="4" w:space="0"/>
              <w:tl2br w:val="nil"/>
              <w:tr2bl w:val="nil"/>
            </w:tcBorders>
            <w:noWrap w:val="0"/>
            <w:vAlign w:val="top"/>
          </w:tcPr>
          <w:p w14:paraId="75F94A6F">
            <w:pPr>
              <w:pStyle w:val="42"/>
              <w:kinsoku w:val="0"/>
              <w:overflowPunct w:val="0"/>
              <w:spacing w:beforeLines="0" w:afterLines="0"/>
              <w:ind w:left="103"/>
              <w:rPr>
                <w:rFonts w:hint="default"/>
                <w:sz w:val="24"/>
                <w:szCs w:val="24"/>
              </w:rPr>
            </w:pPr>
            <w:r>
              <w:rPr>
                <w:rFonts w:hint="eastAsia" w:ascii="宋体" w:hAnsi="宋体" w:eastAsia="宋体"/>
                <w:sz w:val="24"/>
                <w:szCs w:val="24"/>
              </w:rPr>
              <w:t>情火警紧急处理应急预案、紧急疏散应急预案、停水</w:t>
            </w:r>
          </w:p>
        </w:tc>
      </w:tr>
      <w:tr w14:paraId="02366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exact"/>
        </w:trPr>
        <w:tc>
          <w:tcPr>
            <w:tcW w:w="719" w:type="dxa"/>
            <w:vMerge w:val="continue"/>
            <w:tcBorders>
              <w:top w:val="nil"/>
              <w:left w:val="single" w:color="000000" w:sz="4" w:space="0"/>
              <w:bottom w:val="nil"/>
              <w:right w:val="single" w:color="000000" w:sz="4" w:space="0"/>
              <w:tl2br w:val="nil"/>
              <w:tr2bl w:val="nil"/>
            </w:tcBorders>
            <w:noWrap w:val="0"/>
            <w:vAlign w:val="top"/>
          </w:tcPr>
          <w:p w14:paraId="1C7B6609">
            <w:pPr>
              <w:pStyle w:val="42"/>
              <w:kinsoku w:val="0"/>
              <w:overflowPunct w:val="0"/>
              <w:spacing w:beforeLines="0" w:afterLines="0"/>
              <w:ind w:left="103"/>
              <w:rPr>
                <w:rFonts w:hint="default"/>
                <w:sz w:val="24"/>
                <w:szCs w:val="24"/>
              </w:rPr>
            </w:pPr>
          </w:p>
        </w:tc>
        <w:tc>
          <w:tcPr>
            <w:tcW w:w="1930" w:type="dxa"/>
            <w:vMerge w:val="continue"/>
            <w:tcBorders>
              <w:top w:val="nil"/>
              <w:left w:val="single" w:color="000000" w:sz="4" w:space="0"/>
              <w:bottom w:val="nil"/>
              <w:right w:val="single" w:color="000000" w:sz="4" w:space="0"/>
              <w:tl2br w:val="nil"/>
              <w:tr2bl w:val="nil"/>
            </w:tcBorders>
            <w:noWrap w:val="0"/>
            <w:vAlign w:val="top"/>
          </w:tcPr>
          <w:p w14:paraId="13BC8DBD">
            <w:pPr>
              <w:pStyle w:val="42"/>
              <w:kinsoku w:val="0"/>
              <w:overflowPunct w:val="0"/>
              <w:spacing w:beforeLines="0" w:afterLines="0"/>
              <w:ind w:left="103"/>
              <w:rPr>
                <w:rFonts w:hint="default"/>
                <w:sz w:val="24"/>
                <w:szCs w:val="24"/>
              </w:rPr>
            </w:pPr>
          </w:p>
        </w:tc>
        <w:tc>
          <w:tcPr>
            <w:tcW w:w="5863" w:type="dxa"/>
            <w:tcBorders>
              <w:top w:val="nil"/>
              <w:left w:val="single" w:color="000000" w:sz="4" w:space="0"/>
              <w:bottom w:val="nil"/>
              <w:right w:val="single" w:color="000000" w:sz="4" w:space="0"/>
              <w:tl2br w:val="nil"/>
              <w:tr2bl w:val="nil"/>
            </w:tcBorders>
            <w:noWrap w:val="0"/>
            <w:vAlign w:val="top"/>
          </w:tcPr>
          <w:p w14:paraId="7F6C0275">
            <w:pPr>
              <w:pStyle w:val="42"/>
              <w:kinsoku w:val="0"/>
              <w:overflowPunct w:val="0"/>
              <w:spacing w:beforeLines="0" w:afterLines="0"/>
              <w:ind w:left="103"/>
              <w:rPr>
                <w:rFonts w:hint="default"/>
                <w:sz w:val="24"/>
                <w:szCs w:val="24"/>
              </w:rPr>
            </w:pPr>
            <w:r>
              <w:rPr>
                <w:rFonts w:hint="eastAsia" w:ascii="宋体" w:hAnsi="宋体" w:eastAsia="宋体"/>
                <w:sz w:val="24"/>
                <w:szCs w:val="24"/>
              </w:rPr>
              <w:t>停电应急预案、有限空间救援应急预案、高空作业救</w:t>
            </w:r>
          </w:p>
        </w:tc>
      </w:tr>
      <w:tr w14:paraId="2F27E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exact"/>
        </w:trPr>
        <w:tc>
          <w:tcPr>
            <w:tcW w:w="719" w:type="dxa"/>
            <w:vMerge w:val="continue"/>
            <w:tcBorders>
              <w:top w:val="nil"/>
              <w:left w:val="single" w:color="000000" w:sz="4" w:space="0"/>
              <w:bottom w:val="nil"/>
              <w:right w:val="single" w:color="000000" w:sz="4" w:space="0"/>
              <w:tl2br w:val="nil"/>
              <w:tr2bl w:val="nil"/>
            </w:tcBorders>
            <w:noWrap w:val="0"/>
            <w:vAlign w:val="top"/>
          </w:tcPr>
          <w:p w14:paraId="08A31CBE">
            <w:pPr>
              <w:pStyle w:val="42"/>
              <w:kinsoku w:val="0"/>
              <w:overflowPunct w:val="0"/>
              <w:spacing w:beforeLines="0" w:afterLines="0"/>
              <w:ind w:left="103"/>
              <w:rPr>
                <w:rFonts w:hint="default"/>
                <w:sz w:val="24"/>
                <w:szCs w:val="24"/>
              </w:rPr>
            </w:pPr>
          </w:p>
        </w:tc>
        <w:tc>
          <w:tcPr>
            <w:tcW w:w="1930" w:type="dxa"/>
            <w:vMerge w:val="continue"/>
            <w:tcBorders>
              <w:top w:val="nil"/>
              <w:left w:val="single" w:color="000000" w:sz="4" w:space="0"/>
              <w:bottom w:val="nil"/>
              <w:right w:val="single" w:color="000000" w:sz="4" w:space="0"/>
              <w:tl2br w:val="nil"/>
              <w:tr2bl w:val="nil"/>
            </w:tcBorders>
            <w:noWrap w:val="0"/>
            <w:vAlign w:val="top"/>
          </w:tcPr>
          <w:p w14:paraId="0F309AA7">
            <w:pPr>
              <w:pStyle w:val="42"/>
              <w:kinsoku w:val="0"/>
              <w:overflowPunct w:val="0"/>
              <w:spacing w:beforeLines="0" w:afterLines="0"/>
              <w:ind w:left="103"/>
              <w:rPr>
                <w:rFonts w:hint="default"/>
                <w:sz w:val="24"/>
                <w:szCs w:val="24"/>
              </w:rPr>
            </w:pPr>
          </w:p>
        </w:tc>
        <w:tc>
          <w:tcPr>
            <w:tcW w:w="5863" w:type="dxa"/>
            <w:tcBorders>
              <w:top w:val="nil"/>
              <w:left w:val="single" w:color="000000" w:sz="4" w:space="0"/>
              <w:bottom w:val="single" w:color="000000" w:sz="4" w:space="0"/>
              <w:right w:val="single" w:color="000000" w:sz="4" w:space="0"/>
              <w:tl2br w:val="nil"/>
              <w:tr2bl w:val="nil"/>
            </w:tcBorders>
            <w:noWrap w:val="0"/>
            <w:vAlign w:val="top"/>
          </w:tcPr>
          <w:p w14:paraId="59F5289C">
            <w:pPr>
              <w:pStyle w:val="42"/>
              <w:kinsoku w:val="0"/>
              <w:overflowPunct w:val="0"/>
              <w:spacing w:beforeLines="0" w:afterLines="0"/>
              <w:ind w:left="103"/>
              <w:rPr>
                <w:rFonts w:hint="default"/>
                <w:sz w:val="24"/>
                <w:szCs w:val="24"/>
              </w:rPr>
            </w:pPr>
            <w:r>
              <w:rPr>
                <w:rFonts w:hint="eastAsia" w:ascii="宋体" w:hAnsi="宋体" w:eastAsia="宋体"/>
                <w:sz w:val="24"/>
                <w:szCs w:val="24"/>
              </w:rPr>
              <w:t>援应急预案、恶劣天气应对应急预案等。</w:t>
            </w:r>
          </w:p>
        </w:tc>
      </w:tr>
      <w:tr w14:paraId="5667E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exact"/>
        </w:trPr>
        <w:tc>
          <w:tcPr>
            <w:tcW w:w="719" w:type="dxa"/>
            <w:vMerge w:val="continue"/>
            <w:tcBorders>
              <w:top w:val="nil"/>
              <w:left w:val="single" w:color="000000" w:sz="4" w:space="0"/>
              <w:bottom w:val="nil"/>
              <w:right w:val="single" w:color="000000" w:sz="4" w:space="0"/>
              <w:tl2br w:val="nil"/>
              <w:tr2bl w:val="nil"/>
            </w:tcBorders>
            <w:noWrap w:val="0"/>
            <w:vAlign w:val="top"/>
          </w:tcPr>
          <w:p w14:paraId="1E0949F2">
            <w:pPr>
              <w:pStyle w:val="42"/>
              <w:kinsoku w:val="0"/>
              <w:overflowPunct w:val="0"/>
              <w:spacing w:beforeLines="0" w:afterLines="0"/>
              <w:ind w:left="103"/>
              <w:rPr>
                <w:rFonts w:hint="default"/>
                <w:sz w:val="24"/>
                <w:szCs w:val="24"/>
              </w:rPr>
            </w:pPr>
          </w:p>
        </w:tc>
        <w:tc>
          <w:tcPr>
            <w:tcW w:w="1930" w:type="dxa"/>
            <w:vMerge w:val="continue"/>
            <w:tcBorders>
              <w:top w:val="nil"/>
              <w:left w:val="single" w:color="000000" w:sz="4" w:space="0"/>
              <w:bottom w:val="nil"/>
              <w:right w:val="single" w:color="000000" w:sz="4" w:space="0"/>
              <w:tl2br w:val="nil"/>
              <w:tr2bl w:val="nil"/>
            </w:tcBorders>
            <w:noWrap w:val="0"/>
            <w:vAlign w:val="top"/>
          </w:tcPr>
          <w:p w14:paraId="2CF07F7C">
            <w:pPr>
              <w:pStyle w:val="42"/>
              <w:kinsoku w:val="0"/>
              <w:overflowPunct w:val="0"/>
              <w:spacing w:beforeLines="0" w:afterLines="0"/>
              <w:ind w:left="103"/>
              <w:rPr>
                <w:rFonts w:hint="default"/>
                <w:sz w:val="24"/>
                <w:szCs w:val="24"/>
              </w:rPr>
            </w:pPr>
          </w:p>
        </w:tc>
        <w:tc>
          <w:tcPr>
            <w:tcW w:w="5863" w:type="dxa"/>
            <w:tcBorders>
              <w:top w:val="single" w:color="000000" w:sz="4" w:space="0"/>
              <w:left w:val="single" w:color="000000" w:sz="4" w:space="0"/>
              <w:bottom w:val="nil"/>
              <w:right w:val="single" w:color="000000" w:sz="4" w:space="0"/>
              <w:tl2br w:val="nil"/>
              <w:tr2bl w:val="nil"/>
            </w:tcBorders>
            <w:noWrap w:val="0"/>
            <w:vAlign w:val="top"/>
          </w:tcPr>
          <w:p w14:paraId="1353FBE9">
            <w:pPr>
              <w:pStyle w:val="42"/>
              <w:kinsoku w:val="0"/>
              <w:overflowPunct w:val="0"/>
              <w:spacing w:before="25" w:beforeLines="0" w:afterLines="0"/>
              <w:ind w:left="343"/>
              <w:rPr>
                <w:rFonts w:hint="default"/>
                <w:sz w:val="24"/>
                <w:szCs w:val="24"/>
              </w:rPr>
            </w:pPr>
            <w:r>
              <w:rPr>
                <w:rFonts w:hint="eastAsia" w:ascii="宋体" w:hAnsi="宋体" w:eastAsia="宋体"/>
                <w:sz w:val="24"/>
                <w:szCs w:val="24"/>
              </w:rPr>
              <w:t>（3）应急预案的培训和演练。应急预案定期培</w:t>
            </w:r>
          </w:p>
        </w:tc>
      </w:tr>
      <w:tr w14:paraId="2A4E9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exact"/>
        </w:trPr>
        <w:tc>
          <w:tcPr>
            <w:tcW w:w="719" w:type="dxa"/>
            <w:vMerge w:val="continue"/>
            <w:tcBorders>
              <w:top w:val="nil"/>
              <w:left w:val="single" w:color="000000" w:sz="4" w:space="0"/>
              <w:bottom w:val="nil"/>
              <w:right w:val="single" w:color="000000" w:sz="4" w:space="0"/>
              <w:tl2br w:val="nil"/>
              <w:tr2bl w:val="nil"/>
            </w:tcBorders>
            <w:noWrap w:val="0"/>
            <w:vAlign w:val="top"/>
          </w:tcPr>
          <w:p w14:paraId="634E7E7F">
            <w:pPr>
              <w:pStyle w:val="42"/>
              <w:kinsoku w:val="0"/>
              <w:overflowPunct w:val="0"/>
              <w:spacing w:before="25" w:beforeLines="0" w:afterLines="0"/>
              <w:ind w:left="343"/>
              <w:rPr>
                <w:rFonts w:hint="default"/>
                <w:sz w:val="24"/>
                <w:szCs w:val="24"/>
              </w:rPr>
            </w:pPr>
          </w:p>
        </w:tc>
        <w:tc>
          <w:tcPr>
            <w:tcW w:w="1930" w:type="dxa"/>
            <w:vMerge w:val="continue"/>
            <w:tcBorders>
              <w:top w:val="nil"/>
              <w:left w:val="single" w:color="000000" w:sz="4" w:space="0"/>
              <w:bottom w:val="nil"/>
              <w:right w:val="single" w:color="000000" w:sz="4" w:space="0"/>
              <w:tl2br w:val="nil"/>
              <w:tr2bl w:val="nil"/>
            </w:tcBorders>
            <w:noWrap w:val="0"/>
            <w:vAlign w:val="top"/>
          </w:tcPr>
          <w:p w14:paraId="5637FA36">
            <w:pPr>
              <w:pStyle w:val="42"/>
              <w:kinsoku w:val="0"/>
              <w:overflowPunct w:val="0"/>
              <w:spacing w:before="25" w:beforeLines="0" w:afterLines="0"/>
              <w:ind w:left="343"/>
              <w:rPr>
                <w:rFonts w:hint="default"/>
                <w:sz w:val="24"/>
                <w:szCs w:val="24"/>
              </w:rPr>
            </w:pPr>
          </w:p>
        </w:tc>
        <w:tc>
          <w:tcPr>
            <w:tcW w:w="5863" w:type="dxa"/>
            <w:tcBorders>
              <w:top w:val="nil"/>
              <w:left w:val="single" w:color="000000" w:sz="4" w:space="0"/>
              <w:bottom w:val="nil"/>
              <w:right w:val="single" w:color="000000" w:sz="4" w:space="0"/>
              <w:tl2br w:val="nil"/>
              <w:tr2bl w:val="nil"/>
            </w:tcBorders>
            <w:noWrap w:val="0"/>
            <w:vAlign w:val="top"/>
          </w:tcPr>
          <w:p w14:paraId="2502E74F">
            <w:pPr>
              <w:pStyle w:val="42"/>
              <w:kinsoku w:val="0"/>
              <w:overflowPunct w:val="0"/>
              <w:spacing w:before="38" w:beforeLines="0" w:afterLines="0"/>
              <w:ind w:left="103"/>
              <w:rPr>
                <w:rFonts w:hint="default"/>
                <w:sz w:val="24"/>
                <w:szCs w:val="24"/>
              </w:rPr>
            </w:pPr>
            <w:r>
              <w:rPr>
                <w:rFonts w:hint="eastAsia" w:ascii="宋体" w:hAnsi="宋体" w:eastAsia="宋体"/>
                <w:sz w:val="24"/>
                <w:szCs w:val="24"/>
              </w:rPr>
              <w:t>训和演练，组织相关岗位每半年至少开展一次专项应</w:t>
            </w:r>
          </w:p>
        </w:tc>
      </w:tr>
      <w:tr w14:paraId="595AC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exact"/>
        </w:trPr>
        <w:tc>
          <w:tcPr>
            <w:tcW w:w="719" w:type="dxa"/>
            <w:vMerge w:val="continue"/>
            <w:tcBorders>
              <w:top w:val="nil"/>
              <w:left w:val="single" w:color="000000" w:sz="4" w:space="0"/>
              <w:bottom w:val="nil"/>
              <w:right w:val="single" w:color="000000" w:sz="4" w:space="0"/>
              <w:tl2br w:val="nil"/>
              <w:tr2bl w:val="nil"/>
            </w:tcBorders>
            <w:noWrap w:val="0"/>
            <w:vAlign w:val="top"/>
          </w:tcPr>
          <w:p w14:paraId="1546843A">
            <w:pPr>
              <w:pStyle w:val="42"/>
              <w:kinsoku w:val="0"/>
              <w:overflowPunct w:val="0"/>
              <w:spacing w:before="38" w:beforeLines="0" w:afterLines="0"/>
              <w:ind w:left="103"/>
              <w:rPr>
                <w:rFonts w:hint="default"/>
                <w:sz w:val="24"/>
                <w:szCs w:val="24"/>
              </w:rPr>
            </w:pPr>
          </w:p>
        </w:tc>
        <w:tc>
          <w:tcPr>
            <w:tcW w:w="1930" w:type="dxa"/>
            <w:vMerge w:val="continue"/>
            <w:tcBorders>
              <w:top w:val="nil"/>
              <w:left w:val="single" w:color="000000" w:sz="4" w:space="0"/>
              <w:bottom w:val="nil"/>
              <w:right w:val="single" w:color="000000" w:sz="4" w:space="0"/>
              <w:tl2br w:val="nil"/>
              <w:tr2bl w:val="nil"/>
            </w:tcBorders>
            <w:noWrap w:val="0"/>
            <w:vAlign w:val="top"/>
          </w:tcPr>
          <w:p w14:paraId="3C8074BE">
            <w:pPr>
              <w:pStyle w:val="42"/>
              <w:kinsoku w:val="0"/>
              <w:overflowPunct w:val="0"/>
              <w:spacing w:before="38" w:beforeLines="0" w:afterLines="0"/>
              <w:ind w:left="103"/>
              <w:rPr>
                <w:rFonts w:hint="default"/>
                <w:sz w:val="24"/>
                <w:szCs w:val="24"/>
              </w:rPr>
            </w:pPr>
          </w:p>
        </w:tc>
        <w:tc>
          <w:tcPr>
            <w:tcW w:w="5863" w:type="dxa"/>
            <w:tcBorders>
              <w:top w:val="nil"/>
              <w:left w:val="single" w:color="000000" w:sz="4" w:space="0"/>
              <w:bottom w:val="nil"/>
              <w:right w:val="single" w:color="000000" w:sz="4" w:space="0"/>
              <w:tl2br w:val="nil"/>
              <w:tr2bl w:val="nil"/>
            </w:tcBorders>
            <w:noWrap w:val="0"/>
            <w:vAlign w:val="top"/>
          </w:tcPr>
          <w:p w14:paraId="51F4A733">
            <w:pPr>
              <w:pStyle w:val="42"/>
              <w:kinsoku w:val="0"/>
              <w:overflowPunct w:val="0"/>
              <w:spacing w:beforeLines="0" w:afterLines="0"/>
              <w:ind w:left="103"/>
              <w:rPr>
                <w:rFonts w:hint="default"/>
                <w:sz w:val="24"/>
                <w:szCs w:val="24"/>
              </w:rPr>
            </w:pPr>
            <w:r>
              <w:rPr>
                <w:rFonts w:hint="eastAsia" w:ascii="宋体" w:hAnsi="宋体" w:eastAsia="宋体"/>
                <w:sz w:val="24"/>
                <w:szCs w:val="24"/>
              </w:rPr>
              <w:t>急预案演练；留存培训及演练记录和影像资料，并对</w:t>
            </w:r>
          </w:p>
        </w:tc>
      </w:tr>
      <w:tr w14:paraId="0D903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exact"/>
        </w:trPr>
        <w:tc>
          <w:tcPr>
            <w:tcW w:w="719" w:type="dxa"/>
            <w:vMerge w:val="continue"/>
            <w:tcBorders>
              <w:top w:val="nil"/>
              <w:left w:val="single" w:color="000000" w:sz="4" w:space="0"/>
              <w:bottom w:val="nil"/>
              <w:right w:val="single" w:color="000000" w:sz="4" w:space="0"/>
              <w:tl2br w:val="nil"/>
              <w:tr2bl w:val="nil"/>
            </w:tcBorders>
            <w:noWrap w:val="0"/>
            <w:vAlign w:val="top"/>
          </w:tcPr>
          <w:p w14:paraId="110D3F1F">
            <w:pPr>
              <w:pStyle w:val="42"/>
              <w:kinsoku w:val="0"/>
              <w:overflowPunct w:val="0"/>
              <w:spacing w:beforeLines="0" w:afterLines="0"/>
              <w:ind w:left="103"/>
              <w:rPr>
                <w:rFonts w:hint="default"/>
                <w:sz w:val="24"/>
                <w:szCs w:val="24"/>
              </w:rPr>
            </w:pPr>
          </w:p>
        </w:tc>
        <w:tc>
          <w:tcPr>
            <w:tcW w:w="1930" w:type="dxa"/>
            <w:vMerge w:val="continue"/>
            <w:tcBorders>
              <w:top w:val="nil"/>
              <w:left w:val="single" w:color="000000" w:sz="4" w:space="0"/>
              <w:bottom w:val="nil"/>
              <w:right w:val="single" w:color="000000" w:sz="4" w:space="0"/>
              <w:tl2br w:val="nil"/>
              <w:tr2bl w:val="nil"/>
            </w:tcBorders>
            <w:noWrap w:val="0"/>
            <w:vAlign w:val="top"/>
          </w:tcPr>
          <w:p w14:paraId="5F2B7DE6">
            <w:pPr>
              <w:pStyle w:val="42"/>
              <w:kinsoku w:val="0"/>
              <w:overflowPunct w:val="0"/>
              <w:spacing w:beforeLines="0" w:afterLines="0"/>
              <w:ind w:left="103"/>
              <w:rPr>
                <w:rFonts w:hint="default"/>
                <w:sz w:val="24"/>
                <w:szCs w:val="24"/>
              </w:rPr>
            </w:pPr>
          </w:p>
        </w:tc>
        <w:tc>
          <w:tcPr>
            <w:tcW w:w="5863" w:type="dxa"/>
            <w:tcBorders>
              <w:top w:val="nil"/>
              <w:left w:val="single" w:color="000000" w:sz="4" w:space="0"/>
              <w:bottom w:val="single" w:color="000000" w:sz="4" w:space="0"/>
              <w:right w:val="single" w:color="000000" w:sz="4" w:space="0"/>
              <w:tl2br w:val="nil"/>
              <w:tr2bl w:val="nil"/>
            </w:tcBorders>
            <w:noWrap w:val="0"/>
            <w:vAlign w:val="top"/>
          </w:tcPr>
          <w:p w14:paraId="3F9CDA26">
            <w:pPr>
              <w:pStyle w:val="42"/>
              <w:kinsoku w:val="0"/>
              <w:overflowPunct w:val="0"/>
              <w:spacing w:beforeLines="0" w:afterLines="0"/>
              <w:ind w:left="103"/>
              <w:rPr>
                <w:rFonts w:hint="default"/>
                <w:sz w:val="24"/>
                <w:szCs w:val="24"/>
              </w:rPr>
            </w:pPr>
            <w:r>
              <w:rPr>
                <w:rFonts w:hint="eastAsia" w:ascii="宋体" w:hAnsi="宋体" w:eastAsia="宋体"/>
                <w:sz w:val="24"/>
                <w:szCs w:val="24"/>
              </w:rPr>
              <w:t>预案进行评价，确保与实际情况相结合。</w:t>
            </w:r>
          </w:p>
        </w:tc>
      </w:tr>
      <w:tr w14:paraId="51970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exact"/>
        </w:trPr>
        <w:tc>
          <w:tcPr>
            <w:tcW w:w="719" w:type="dxa"/>
            <w:vMerge w:val="continue"/>
            <w:tcBorders>
              <w:top w:val="nil"/>
              <w:left w:val="single" w:color="000000" w:sz="4" w:space="0"/>
              <w:bottom w:val="nil"/>
              <w:right w:val="single" w:color="000000" w:sz="4" w:space="0"/>
              <w:tl2br w:val="nil"/>
              <w:tr2bl w:val="nil"/>
            </w:tcBorders>
            <w:noWrap w:val="0"/>
            <w:vAlign w:val="top"/>
          </w:tcPr>
          <w:p w14:paraId="5A144C8E">
            <w:pPr>
              <w:pStyle w:val="42"/>
              <w:kinsoku w:val="0"/>
              <w:overflowPunct w:val="0"/>
              <w:spacing w:beforeLines="0" w:afterLines="0"/>
              <w:ind w:left="103"/>
              <w:rPr>
                <w:rFonts w:hint="default"/>
                <w:sz w:val="24"/>
                <w:szCs w:val="24"/>
              </w:rPr>
            </w:pPr>
          </w:p>
        </w:tc>
        <w:tc>
          <w:tcPr>
            <w:tcW w:w="1930" w:type="dxa"/>
            <w:vMerge w:val="continue"/>
            <w:tcBorders>
              <w:top w:val="nil"/>
              <w:left w:val="single" w:color="000000" w:sz="4" w:space="0"/>
              <w:bottom w:val="nil"/>
              <w:right w:val="single" w:color="000000" w:sz="4" w:space="0"/>
              <w:tl2br w:val="nil"/>
              <w:tr2bl w:val="nil"/>
            </w:tcBorders>
            <w:noWrap w:val="0"/>
            <w:vAlign w:val="top"/>
          </w:tcPr>
          <w:p w14:paraId="4D22F932">
            <w:pPr>
              <w:pStyle w:val="42"/>
              <w:kinsoku w:val="0"/>
              <w:overflowPunct w:val="0"/>
              <w:spacing w:beforeLines="0" w:afterLines="0"/>
              <w:ind w:left="103"/>
              <w:rPr>
                <w:rFonts w:hint="default"/>
                <w:sz w:val="24"/>
                <w:szCs w:val="24"/>
              </w:rPr>
            </w:pPr>
          </w:p>
        </w:tc>
        <w:tc>
          <w:tcPr>
            <w:tcW w:w="5863" w:type="dxa"/>
            <w:tcBorders>
              <w:top w:val="single" w:color="000000" w:sz="4" w:space="0"/>
              <w:left w:val="single" w:color="000000" w:sz="4" w:space="0"/>
              <w:bottom w:val="nil"/>
              <w:right w:val="single" w:color="000000" w:sz="4" w:space="0"/>
              <w:tl2br w:val="nil"/>
              <w:tr2bl w:val="nil"/>
            </w:tcBorders>
            <w:noWrap w:val="0"/>
            <w:vAlign w:val="top"/>
          </w:tcPr>
          <w:p w14:paraId="554586E1">
            <w:pPr>
              <w:pStyle w:val="42"/>
              <w:kinsoku w:val="0"/>
              <w:overflowPunct w:val="0"/>
              <w:spacing w:before="25" w:beforeLines="0" w:afterLines="0"/>
              <w:ind w:left="343"/>
              <w:rPr>
                <w:rFonts w:hint="default"/>
                <w:sz w:val="24"/>
                <w:szCs w:val="24"/>
              </w:rPr>
            </w:pPr>
            <w:r>
              <w:rPr>
                <w:rFonts w:hint="eastAsia" w:ascii="宋体" w:hAnsi="宋体" w:eastAsia="宋体"/>
                <w:sz w:val="24"/>
                <w:szCs w:val="24"/>
              </w:rPr>
              <w:t>（4）应急物资的管理。根据专项预案中的应对</w:t>
            </w:r>
          </w:p>
        </w:tc>
      </w:tr>
      <w:tr w14:paraId="72776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exact"/>
        </w:trPr>
        <w:tc>
          <w:tcPr>
            <w:tcW w:w="719" w:type="dxa"/>
            <w:vMerge w:val="continue"/>
            <w:tcBorders>
              <w:top w:val="nil"/>
              <w:left w:val="single" w:color="000000" w:sz="4" w:space="0"/>
              <w:bottom w:val="nil"/>
              <w:right w:val="single" w:color="000000" w:sz="4" w:space="0"/>
              <w:tl2br w:val="nil"/>
              <w:tr2bl w:val="nil"/>
            </w:tcBorders>
            <w:noWrap w:val="0"/>
            <w:vAlign w:val="top"/>
          </w:tcPr>
          <w:p w14:paraId="3F594693">
            <w:pPr>
              <w:pStyle w:val="42"/>
              <w:kinsoku w:val="0"/>
              <w:overflowPunct w:val="0"/>
              <w:spacing w:before="25" w:beforeLines="0" w:afterLines="0"/>
              <w:ind w:left="343"/>
              <w:rPr>
                <w:rFonts w:hint="default"/>
                <w:sz w:val="24"/>
                <w:szCs w:val="24"/>
              </w:rPr>
            </w:pPr>
          </w:p>
        </w:tc>
        <w:tc>
          <w:tcPr>
            <w:tcW w:w="1930" w:type="dxa"/>
            <w:vMerge w:val="continue"/>
            <w:tcBorders>
              <w:top w:val="nil"/>
              <w:left w:val="single" w:color="000000" w:sz="4" w:space="0"/>
              <w:bottom w:val="nil"/>
              <w:right w:val="single" w:color="000000" w:sz="4" w:space="0"/>
              <w:tl2br w:val="nil"/>
              <w:tr2bl w:val="nil"/>
            </w:tcBorders>
            <w:noWrap w:val="0"/>
            <w:vAlign w:val="top"/>
          </w:tcPr>
          <w:p w14:paraId="2EC77A49">
            <w:pPr>
              <w:pStyle w:val="42"/>
              <w:kinsoku w:val="0"/>
              <w:overflowPunct w:val="0"/>
              <w:spacing w:before="25" w:beforeLines="0" w:afterLines="0"/>
              <w:ind w:left="343"/>
              <w:rPr>
                <w:rFonts w:hint="default"/>
                <w:sz w:val="24"/>
                <w:szCs w:val="24"/>
              </w:rPr>
            </w:pPr>
          </w:p>
        </w:tc>
        <w:tc>
          <w:tcPr>
            <w:tcW w:w="5863" w:type="dxa"/>
            <w:tcBorders>
              <w:top w:val="nil"/>
              <w:left w:val="single" w:color="000000" w:sz="4" w:space="0"/>
              <w:bottom w:val="nil"/>
              <w:right w:val="single" w:color="000000" w:sz="4" w:space="0"/>
              <w:tl2br w:val="nil"/>
              <w:tr2bl w:val="nil"/>
            </w:tcBorders>
            <w:noWrap w:val="0"/>
            <w:vAlign w:val="top"/>
          </w:tcPr>
          <w:p w14:paraId="06635A37">
            <w:pPr>
              <w:pStyle w:val="42"/>
              <w:kinsoku w:val="0"/>
              <w:overflowPunct w:val="0"/>
              <w:spacing w:before="38" w:beforeLines="0" w:afterLines="0"/>
              <w:ind w:left="103"/>
              <w:rPr>
                <w:rFonts w:hint="default"/>
                <w:sz w:val="24"/>
                <w:szCs w:val="24"/>
              </w:rPr>
            </w:pPr>
            <w:r>
              <w:rPr>
                <w:rFonts w:hint="eastAsia" w:ascii="宋体" w:hAnsi="宋体" w:eastAsia="宋体"/>
                <w:sz w:val="24"/>
                <w:szCs w:val="24"/>
              </w:rPr>
              <w:t>需要、必要的应急物资，建立清单或台账，并由专人</w:t>
            </w:r>
          </w:p>
        </w:tc>
      </w:tr>
      <w:tr w14:paraId="43122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exact"/>
        </w:trPr>
        <w:tc>
          <w:tcPr>
            <w:tcW w:w="719" w:type="dxa"/>
            <w:vMerge w:val="continue"/>
            <w:tcBorders>
              <w:top w:val="nil"/>
              <w:left w:val="single" w:color="000000" w:sz="4" w:space="0"/>
              <w:bottom w:val="nil"/>
              <w:right w:val="single" w:color="000000" w:sz="4" w:space="0"/>
              <w:tl2br w:val="nil"/>
              <w:tr2bl w:val="nil"/>
            </w:tcBorders>
            <w:noWrap w:val="0"/>
            <w:vAlign w:val="top"/>
          </w:tcPr>
          <w:p w14:paraId="4B6FCF6C">
            <w:pPr>
              <w:pStyle w:val="42"/>
              <w:kinsoku w:val="0"/>
              <w:overflowPunct w:val="0"/>
              <w:spacing w:before="38" w:beforeLines="0" w:afterLines="0"/>
              <w:ind w:left="103"/>
              <w:rPr>
                <w:rFonts w:hint="default"/>
                <w:sz w:val="24"/>
                <w:szCs w:val="24"/>
              </w:rPr>
            </w:pPr>
          </w:p>
        </w:tc>
        <w:tc>
          <w:tcPr>
            <w:tcW w:w="1930" w:type="dxa"/>
            <w:vMerge w:val="continue"/>
            <w:tcBorders>
              <w:top w:val="nil"/>
              <w:left w:val="single" w:color="000000" w:sz="4" w:space="0"/>
              <w:bottom w:val="nil"/>
              <w:right w:val="single" w:color="000000" w:sz="4" w:space="0"/>
              <w:tl2br w:val="nil"/>
              <w:tr2bl w:val="nil"/>
            </w:tcBorders>
            <w:noWrap w:val="0"/>
            <w:vAlign w:val="top"/>
          </w:tcPr>
          <w:p w14:paraId="53CB9A36">
            <w:pPr>
              <w:pStyle w:val="42"/>
              <w:kinsoku w:val="0"/>
              <w:overflowPunct w:val="0"/>
              <w:spacing w:before="38" w:beforeLines="0" w:afterLines="0"/>
              <w:ind w:left="103"/>
              <w:rPr>
                <w:rFonts w:hint="default"/>
                <w:sz w:val="24"/>
                <w:szCs w:val="24"/>
              </w:rPr>
            </w:pPr>
          </w:p>
        </w:tc>
        <w:tc>
          <w:tcPr>
            <w:tcW w:w="5863" w:type="dxa"/>
            <w:tcBorders>
              <w:top w:val="nil"/>
              <w:left w:val="single" w:color="000000" w:sz="4" w:space="0"/>
              <w:bottom w:val="nil"/>
              <w:right w:val="single" w:color="000000" w:sz="4" w:space="0"/>
              <w:tl2br w:val="nil"/>
              <w:tr2bl w:val="nil"/>
            </w:tcBorders>
            <w:noWrap w:val="0"/>
            <w:vAlign w:val="top"/>
          </w:tcPr>
          <w:p w14:paraId="23C61F3D">
            <w:pPr>
              <w:pStyle w:val="42"/>
              <w:kinsoku w:val="0"/>
              <w:overflowPunct w:val="0"/>
              <w:spacing w:beforeLines="0" w:afterLines="0"/>
              <w:ind w:left="103"/>
              <w:rPr>
                <w:rFonts w:hint="default"/>
                <w:sz w:val="24"/>
                <w:szCs w:val="24"/>
              </w:rPr>
            </w:pPr>
            <w:r>
              <w:rPr>
                <w:rFonts w:hint="eastAsia" w:ascii="宋体" w:hAnsi="宋体" w:eastAsia="宋体"/>
                <w:sz w:val="24"/>
                <w:szCs w:val="24"/>
              </w:rPr>
              <w:t>定期对应急物资进行检查，如有应急物资不足，及时</w:t>
            </w:r>
          </w:p>
        </w:tc>
      </w:tr>
      <w:tr w14:paraId="352C9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exact"/>
        </w:trPr>
        <w:tc>
          <w:tcPr>
            <w:tcW w:w="719" w:type="dxa"/>
            <w:vMerge w:val="continue"/>
            <w:tcBorders>
              <w:top w:val="nil"/>
              <w:left w:val="single" w:color="000000" w:sz="4" w:space="0"/>
              <w:bottom w:val="nil"/>
              <w:right w:val="single" w:color="000000" w:sz="4" w:space="0"/>
              <w:tl2br w:val="nil"/>
              <w:tr2bl w:val="nil"/>
            </w:tcBorders>
            <w:noWrap w:val="0"/>
            <w:vAlign w:val="top"/>
          </w:tcPr>
          <w:p w14:paraId="1FA5B01D">
            <w:pPr>
              <w:pStyle w:val="42"/>
              <w:kinsoku w:val="0"/>
              <w:overflowPunct w:val="0"/>
              <w:spacing w:beforeLines="0" w:afterLines="0"/>
              <w:ind w:left="103"/>
              <w:rPr>
                <w:rFonts w:hint="default"/>
                <w:sz w:val="24"/>
                <w:szCs w:val="24"/>
              </w:rPr>
            </w:pPr>
          </w:p>
        </w:tc>
        <w:tc>
          <w:tcPr>
            <w:tcW w:w="1930" w:type="dxa"/>
            <w:vMerge w:val="continue"/>
            <w:tcBorders>
              <w:top w:val="nil"/>
              <w:left w:val="single" w:color="000000" w:sz="4" w:space="0"/>
              <w:bottom w:val="nil"/>
              <w:right w:val="single" w:color="000000" w:sz="4" w:space="0"/>
              <w:tl2br w:val="nil"/>
              <w:tr2bl w:val="nil"/>
            </w:tcBorders>
            <w:noWrap w:val="0"/>
            <w:vAlign w:val="top"/>
          </w:tcPr>
          <w:p w14:paraId="0B453D41">
            <w:pPr>
              <w:pStyle w:val="42"/>
              <w:kinsoku w:val="0"/>
              <w:overflowPunct w:val="0"/>
              <w:spacing w:beforeLines="0" w:afterLines="0"/>
              <w:ind w:left="103"/>
              <w:rPr>
                <w:rFonts w:hint="default"/>
                <w:sz w:val="24"/>
                <w:szCs w:val="24"/>
              </w:rPr>
            </w:pPr>
          </w:p>
        </w:tc>
        <w:tc>
          <w:tcPr>
            <w:tcW w:w="5863" w:type="dxa"/>
            <w:tcBorders>
              <w:top w:val="nil"/>
              <w:left w:val="single" w:color="000000" w:sz="4" w:space="0"/>
              <w:bottom w:val="single" w:color="000000" w:sz="4" w:space="0"/>
              <w:right w:val="single" w:color="000000" w:sz="4" w:space="0"/>
              <w:tl2br w:val="nil"/>
              <w:tr2bl w:val="nil"/>
            </w:tcBorders>
            <w:noWrap w:val="0"/>
            <w:vAlign w:val="top"/>
          </w:tcPr>
          <w:p w14:paraId="19488128">
            <w:pPr>
              <w:pStyle w:val="42"/>
              <w:kinsoku w:val="0"/>
              <w:overflowPunct w:val="0"/>
              <w:spacing w:beforeLines="0" w:afterLines="0"/>
              <w:ind w:left="103"/>
              <w:rPr>
                <w:rFonts w:hint="default"/>
                <w:sz w:val="24"/>
                <w:szCs w:val="24"/>
              </w:rPr>
            </w:pPr>
            <w:r>
              <w:rPr>
                <w:rFonts w:hint="eastAsia" w:ascii="宋体" w:hAnsi="宋体" w:eastAsia="宋体"/>
                <w:sz w:val="24"/>
                <w:szCs w:val="24"/>
              </w:rPr>
              <w:t>通知采购人购置齐全，确保能够随时正常使用。</w:t>
            </w:r>
          </w:p>
        </w:tc>
      </w:tr>
      <w:tr w14:paraId="37F6D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exact"/>
        </w:trPr>
        <w:tc>
          <w:tcPr>
            <w:tcW w:w="719" w:type="dxa"/>
            <w:vMerge w:val="continue"/>
            <w:tcBorders>
              <w:top w:val="nil"/>
              <w:left w:val="single" w:color="000000" w:sz="4" w:space="0"/>
              <w:bottom w:val="single" w:color="000000" w:sz="4" w:space="0"/>
              <w:right w:val="single" w:color="000000" w:sz="4" w:space="0"/>
              <w:tl2br w:val="nil"/>
              <w:tr2bl w:val="nil"/>
            </w:tcBorders>
            <w:noWrap w:val="0"/>
            <w:vAlign w:val="top"/>
          </w:tcPr>
          <w:p w14:paraId="6CF70619">
            <w:pPr>
              <w:pStyle w:val="42"/>
              <w:kinsoku w:val="0"/>
              <w:overflowPunct w:val="0"/>
              <w:spacing w:beforeLines="0" w:afterLines="0"/>
              <w:ind w:left="103"/>
              <w:rPr>
                <w:rFonts w:hint="default"/>
                <w:sz w:val="24"/>
                <w:szCs w:val="24"/>
              </w:rPr>
            </w:pPr>
          </w:p>
        </w:tc>
        <w:tc>
          <w:tcPr>
            <w:tcW w:w="1930" w:type="dxa"/>
            <w:vMerge w:val="continue"/>
            <w:tcBorders>
              <w:top w:val="nil"/>
              <w:left w:val="single" w:color="000000" w:sz="4" w:space="0"/>
              <w:bottom w:val="single" w:color="000000" w:sz="4" w:space="0"/>
              <w:right w:val="single" w:color="000000" w:sz="4" w:space="0"/>
              <w:tl2br w:val="nil"/>
              <w:tr2bl w:val="nil"/>
            </w:tcBorders>
            <w:noWrap w:val="0"/>
            <w:vAlign w:val="top"/>
          </w:tcPr>
          <w:p w14:paraId="38A2ED87">
            <w:pPr>
              <w:pStyle w:val="42"/>
              <w:kinsoku w:val="0"/>
              <w:overflowPunct w:val="0"/>
              <w:spacing w:beforeLines="0" w:afterLines="0"/>
              <w:ind w:left="103"/>
              <w:rPr>
                <w:rFonts w:hint="default"/>
                <w:sz w:val="24"/>
                <w:szCs w:val="24"/>
              </w:rPr>
            </w:pPr>
          </w:p>
        </w:tc>
        <w:tc>
          <w:tcPr>
            <w:tcW w:w="5863" w:type="dxa"/>
            <w:tcBorders>
              <w:top w:val="nil"/>
              <w:left w:val="single" w:color="000000" w:sz="4" w:space="0"/>
              <w:bottom w:val="single" w:color="000000" w:sz="4" w:space="0"/>
              <w:right w:val="single" w:color="000000" w:sz="4" w:space="0"/>
              <w:tl2br w:val="nil"/>
              <w:tr2bl w:val="nil"/>
            </w:tcBorders>
            <w:noWrap w:val="0"/>
            <w:vAlign w:val="top"/>
          </w:tcPr>
          <w:p w14:paraId="3511B5FA">
            <w:pPr>
              <w:pStyle w:val="42"/>
              <w:kinsoku w:val="0"/>
              <w:overflowPunct w:val="0"/>
              <w:spacing w:before="23" w:beforeLines="0" w:afterLines="0"/>
              <w:ind w:left="103" w:firstLine="240"/>
              <w:rPr>
                <w:rFonts w:hint="eastAsia"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5</w:t>
            </w:r>
            <w:r>
              <w:rPr>
                <w:rFonts w:hint="eastAsia" w:ascii="宋体" w:hAnsi="宋体" w:eastAsia="宋体"/>
                <w:sz w:val="24"/>
                <w:szCs w:val="24"/>
              </w:rPr>
              <w:t>）设置报修服务热线</w:t>
            </w:r>
            <w:r>
              <w:rPr>
                <w:rFonts w:hint="eastAsia" w:ascii="宋体" w:hAnsi="宋体" w:eastAsia="宋体"/>
                <w:sz w:val="24"/>
                <w:szCs w:val="24"/>
                <w:lang w:eastAsia="zh-CN"/>
              </w:rPr>
              <w:t>，</w:t>
            </w:r>
            <w:r>
              <w:rPr>
                <w:rFonts w:hint="eastAsia" w:ascii="宋体" w:hAnsi="宋体" w:eastAsia="宋体"/>
                <w:sz w:val="24"/>
                <w:szCs w:val="24"/>
              </w:rPr>
              <w:t>紧急维修应当15分钟内到达现场，不间断维修直至修复。</w:t>
            </w:r>
          </w:p>
        </w:tc>
      </w:tr>
      <w:tr w14:paraId="54E8F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exact"/>
        </w:trPr>
        <w:tc>
          <w:tcPr>
            <w:tcW w:w="719" w:type="dxa"/>
            <w:vMerge w:val="restart"/>
            <w:tcBorders>
              <w:top w:val="single" w:color="000000" w:sz="4" w:space="0"/>
              <w:left w:val="single" w:color="000000" w:sz="4" w:space="0"/>
              <w:bottom w:val="nil"/>
              <w:right w:val="single" w:color="000000" w:sz="4" w:space="0"/>
              <w:tl2br w:val="nil"/>
              <w:tr2bl w:val="nil"/>
            </w:tcBorders>
            <w:noWrap w:val="0"/>
            <w:vAlign w:val="top"/>
          </w:tcPr>
          <w:p w14:paraId="14AA8824">
            <w:pPr>
              <w:pStyle w:val="42"/>
              <w:kinsoku w:val="0"/>
              <w:overflowPunct w:val="0"/>
              <w:spacing w:beforeLines="0" w:afterLines="0"/>
              <w:rPr>
                <w:rFonts w:hint="default" w:ascii="Times New Roman" w:hAnsi="Times New Roman" w:eastAsia="Times New Roman"/>
                <w:sz w:val="24"/>
                <w:szCs w:val="24"/>
              </w:rPr>
            </w:pPr>
          </w:p>
          <w:p w14:paraId="7924A521">
            <w:pPr>
              <w:pStyle w:val="42"/>
              <w:kinsoku w:val="0"/>
              <w:overflowPunct w:val="0"/>
              <w:spacing w:beforeLines="0" w:afterLines="0"/>
              <w:rPr>
                <w:rFonts w:hint="default" w:ascii="Times New Roman" w:hAnsi="Times New Roman" w:eastAsia="Times New Roman"/>
                <w:sz w:val="24"/>
                <w:szCs w:val="24"/>
              </w:rPr>
            </w:pPr>
          </w:p>
          <w:p w14:paraId="18665480">
            <w:pPr>
              <w:pStyle w:val="42"/>
              <w:kinsoku w:val="0"/>
              <w:overflowPunct w:val="0"/>
              <w:spacing w:before="10" w:beforeLines="0" w:afterLines="0"/>
              <w:rPr>
                <w:rFonts w:hint="default" w:ascii="Times New Roman" w:hAnsi="Times New Roman" w:eastAsia="Times New Roman"/>
                <w:sz w:val="28"/>
                <w:szCs w:val="24"/>
              </w:rPr>
            </w:pPr>
          </w:p>
          <w:p w14:paraId="596BB7AF">
            <w:pPr>
              <w:pStyle w:val="42"/>
              <w:kinsoku w:val="0"/>
              <w:overflowPunct w:val="0"/>
              <w:spacing w:beforeLines="0" w:afterLines="0"/>
              <w:ind w:left="1"/>
              <w:jc w:val="center"/>
              <w:rPr>
                <w:rFonts w:hint="default"/>
                <w:sz w:val="24"/>
                <w:szCs w:val="24"/>
              </w:rPr>
            </w:pPr>
            <w:r>
              <w:rPr>
                <w:rFonts w:hint="eastAsia" w:ascii="宋体" w:hAnsi="宋体" w:eastAsia="宋体"/>
                <w:sz w:val="24"/>
                <w:szCs w:val="24"/>
              </w:rPr>
              <w:t>8</w:t>
            </w:r>
          </w:p>
        </w:tc>
        <w:tc>
          <w:tcPr>
            <w:tcW w:w="1930" w:type="dxa"/>
            <w:vMerge w:val="restart"/>
            <w:tcBorders>
              <w:top w:val="single" w:color="000000" w:sz="4" w:space="0"/>
              <w:left w:val="single" w:color="000000" w:sz="4" w:space="0"/>
              <w:bottom w:val="nil"/>
              <w:right w:val="single" w:color="000000" w:sz="4" w:space="0"/>
              <w:tl2br w:val="nil"/>
              <w:tr2bl w:val="nil"/>
            </w:tcBorders>
            <w:noWrap w:val="0"/>
            <w:vAlign w:val="top"/>
          </w:tcPr>
          <w:p w14:paraId="472118AA">
            <w:pPr>
              <w:pStyle w:val="42"/>
              <w:kinsoku w:val="0"/>
              <w:overflowPunct w:val="0"/>
              <w:spacing w:beforeLines="0" w:afterLines="0"/>
              <w:rPr>
                <w:rFonts w:hint="default" w:ascii="Times New Roman" w:hAnsi="Times New Roman" w:eastAsia="Times New Roman"/>
                <w:sz w:val="24"/>
                <w:szCs w:val="24"/>
              </w:rPr>
            </w:pPr>
          </w:p>
          <w:p w14:paraId="359EBCFB">
            <w:pPr>
              <w:pStyle w:val="42"/>
              <w:kinsoku w:val="0"/>
              <w:overflowPunct w:val="0"/>
              <w:spacing w:beforeLines="0" w:afterLines="0" w:line="297" w:lineRule="auto"/>
              <w:ind w:left="104" w:right="100"/>
              <w:rPr>
                <w:rFonts w:hint="default"/>
                <w:sz w:val="24"/>
                <w:szCs w:val="24"/>
              </w:rPr>
            </w:pPr>
            <w:r>
              <w:rPr>
                <w:rFonts w:hint="eastAsia" w:ascii="宋体" w:hAnsi="宋体" w:eastAsia="宋体"/>
                <w:spacing w:val="4"/>
                <w:sz w:val="24"/>
                <w:szCs w:val="24"/>
              </w:rPr>
              <w:t>服务方案及工作</w:t>
            </w:r>
            <w:r>
              <w:rPr>
                <w:rFonts w:hint="eastAsia" w:ascii="宋体" w:hAnsi="宋体" w:eastAsia="宋体"/>
                <w:sz w:val="24"/>
                <w:szCs w:val="24"/>
              </w:rPr>
              <w:t>制度</w:t>
            </w:r>
          </w:p>
        </w:tc>
        <w:tc>
          <w:tcPr>
            <w:tcW w:w="5863" w:type="dxa"/>
            <w:tcBorders>
              <w:top w:val="single" w:color="000000" w:sz="4" w:space="0"/>
              <w:left w:val="single" w:color="000000" w:sz="4" w:space="0"/>
              <w:bottom w:val="nil"/>
              <w:right w:val="single" w:color="000000" w:sz="4" w:space="0"/>
              <w:tl2br w:val="nil"/>
              <w:tr2bl w:val="nil"/>
            </w:tcBorders>
            <w:noWrap w:val="0"/>
            <w:vAlign w:val="top"/>
          </w:tcPr>
          <w:p w14:paraId="5AF0F02B">
            <w:pPr>
              <w:pStyle w:val="42"/>
              <w:kinsoku w:val="0"/>
              <w:overflowPunct w:val="0"/>
              <w:spacing w:before="24" w:beforeLines="0" w:afterLines="0"/>
              <w:ind w:left="343"/>
              <w:rPr>
                <w:rFonts w:hint="default"/>
                <w:sz w:val="24"/>
                <w:szCs w:val="24"/>
              </w:rPr>
            </w:pPr>
            <w:r>
              <w:rPr>
                <w:rFonts w:hint="eastAsia" w:ascii="宋体" w:hAnsi="宋体" w:eastAsia="宋体"/>
                <w:sz w:val="24"/>
                <w:szCs w:val="24"/>
              </w:rPr>
              <w:t>（1）制定工作制度，主要包括：人员录用制</w:t>
            </w:r>
          </w:p>
        </w:tc>
      </w:tr>
      <w:tr w14:paraId="68FD9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exact"/>
        </w:trPr>
        <w:tc>
          <w:tcPr>
            <w:tcW w:w="719" w:type="dxa"/>
            <w:vMerge w:val="continue"/>
            <w:tcBorders>
              <w:top w:val="nil"/>
              <w:left w:val="single" w:color="000000" w:sz="4" w:space="0"/>
              <w:bottom w:val="nil"/>
              <w:right w:val="single" w:color="000000" w:sz="4" w:space="0"/>
              <w:tl2br w:val="nil"/>
              <w:tr2bl w:val="nil"/>
            </w:tcBorders>
            <w:noWrap w:val="0"/>
            <w:vAlign w:val="top"/>
          </w:tcPr>
          <w:p w14:paraId="0139E8F0">
            <w:pPr>
              <w:pStyle w:val="42"/>
              <w:kinsoku w:val="0"/>
              <w:overflowPunct w:val="0"/>
              <w:spacing w:before="24" w:beforeLines="0" w:afterLines="0"/>
              <w:ind w:left="343"/>
              <w:rPr>
                <w:rFonts w:hint="default"/>
                <w:sz w:val="24"/>
                <w:szCs w:val="24"/>
              </w:rPr>
            </w:pPr>
          </w:p>
        </w:tc>
        <w:tc>
          <w:tcPr>
            <w:tcW w:w="1930" w:type="dxa"/>
            <w:vMerge w:val="continue"/>
            <w:tcBorders>
              <w:top w:val="nil"/>
              <w:left w:val="single" w:color="000000" w:sz="4" w:space="0"/>
              <w:bottom w:val="nil"/>
              <w:right w:val="single" w:color="000000" w:sz="4" w:space="0"/>
              <w:tl2br w:val="nil"/>
              <w:tr2bl w:val="nil"/>
            </w:tcBorders>
            <w:noWrap w:val="0"/>
            <w:vAlign w:val="top"/>
          </w:tcPr>
          <w:p w14:paraId="6B3786E2">
            <w:pPr>
              <w:pStyle w:val="42"/>
              <w:kinsoku w:val="0"/>
              <w:overflowPunct w:val="0"/>
              <w:spacing w:before="24" w:beforeLines="0" w:afterLines="0"/>
              <w:ind w:left="343"/>
              <w:rPr>
                <w:rFonts w:hint="default"/>
                <w:sz w:val="24"/>
                <w:szCs w:val="24"/>
              </w:rPr>
            </w:pPr>
          </w:p>
        </w:tc>
        <w:tc>
          <w:tcPr>
            <w:tcW w:w="5863" w:type="dxa"/>
            <w:tcBorders>
              <w:top w:val="nil"/>
              <w:left w:val="single" w:color="000000" w:sz="4" w:space="0"/>
              <w:bottom w:val="single" w:color="000000" w:sz="4" w:space="0"/>
              <w:right w:val="single" w:color="000000" w:sz="4" w:space="0"/>
              <w:tl2br w:val="nil"/>
              <w:tr2bl w:val="nil"/>
            </w:tcBorders>
            <w:noWrap w:val="0"/>
            <w:vAlign w:val="top"/>
          </w:tcPr>
          <w:p w14:paraId="423421B9">
            <w:pPr>
              <w:pStyle w:val="42"/>
              <w:kinsoku w:val="0"/>
              <w:overflowPunct w:val="0"/>
              <w:spacing w:before="38" w:beforeLines="0" w:afterLines="0" w:line="297" w:lineRule="auto"/>
              <w:ind w:left="103" w:right="227"/>
              <w:rPr>
                <w:rFonts w:hint="default"/>
                <w:sz w:val="24"/>
                <w:szCs w:val="24"/>
              </w:rPr>
            </w:pPr>
            <w:r>
              <w:rPr>
                <w:rFonts w:hint="eastAsia" w:ascii="宋体" w:hAnsi="宋体" w:eastAsia="宋体"/>
                <w:sz w:val="24"/>
                <w:szCs w:val="24"/>
              </w:rPr>
              <w:t>度、档案管理制度、物业服务管理制度、公用设施设备相关管理制度等。</w:t>
            </w:r>
          </w:p>
        </w:tc>
      </w:tr>
      <w:tr w14:paraId="620AB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4" w:hRule="exact"/>
        </w:trPr>
        <w:tc>
          <w:tcPr>
            <w:tcW w:w="719" w:type="dxa"/>
            <w:vMerge w:val="continue"/>
            <w:tcBorders>
              <w:top w:val="nil"/>
              <w:left w:val="single" w:color="000000" w:sz="4" w:space="0"/>
              <w:bottom w:val="nil"/>
              <w:right w:val="single" w:color="000000" w:sz="4" w:space="0"/>
              <w:tl2br w:val="nil"/>
              <w:tr2bl w:val="nil"/>
            </w:tcBorders>
            <w:noWrap w:val="0"/>
            <w:vAlign w:val="top"/>
          </w:tcPr>
          <w:p w14:paraId="2D36FCCE">
            <w:pPr>
              <w:pStyle w:val="42"/>
              <w:kinsoku w:val="0"/>
              <w:overflowPunct w:val="0"/>
              <w:spacing w:before="38" w:beforeLines="0" w:afterLines="0" w:line="297" w:lineRule="auto"/>
              <w:ind w:left="103" w:right="227"/>
              <w:rPr>
                <w:rFonts w:hint="default"/>
                <w:sz w:val="24"/>
                <w:szCs w:val="24"/>
              </w:rPr>
            </w:pPr>
          </w:p>
        </w:tc>
        <w:tc>
          <w:tcPr>
            <w:tcW w:w="1930" w:type="dxa"/>
            <w:vMerge w:val="continue"/>
            <w:tcBorders>
              <w:top w:val="nil"/>
              <w:left w:val="single" w:color="000000" w:sz="4" w:space="0"/>
              <w:bottom w:val="nil"/>
              <w:right w:val="single" w:color="000000" w:sz="4" w:space="0"/>
              <w:tl2br w:val="nil"/>
              <w:tr2bl w:val="nil"/>
            </w:tcBorders>
            <w:noWrap w:val="0"/>
            <w:vAlign w:val="top"/>
          </w:tcPr>
          <w:p w14:paraId="45C6B0C8">
            <w:pPr>
              <w:pStyle w:val="42"/>
              <w:kinsoku w:val="0"/>
              <w:overflowPunct w:val="0"/>
              <w:spacing w:before="38" w:beforeLines="0" w:afterLines="0" w:line="297" w:lineRule="auto"/>
              <w:ind w:left="103" w:right="227"/>
              <w:rPr>
                <w:rFonts w:hint="default"/>
                <w:sz w:val="24"/>
                <w:szCs w:val="24"/>
              </w:rPr>
            </w:pPr>
          </w:p>
        </w:tc>
        <w:tc>
          <w:tcPr>
            <w:tcW w:w="586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089C527">
            <w:pPr>
              <w:pStyle w:val="42"/>
              <w:kinsoku w:val="0"/>
              <w:overflowPunct w:val="0"/>
              <w:spacing w:before="25" w:beforeLines="0" w:afterLines="0"/>
              <w:ind w:right="123" w:firstLine="240" w:firstLineChars="100"/>
              <w:jc w:val="both"/>
              <w:rPr>
                <w:rFonts w:hint="eastAsia" w:ascii="宋体" w:hAnsi="宋体" w:eastAsia="宋体"/>
                <w:sz w:val="24"/>
                <w:szCs w:val="24"/>
              </w:rPr>
            </w:pPr>
            <w:r>
              <w:rPr>
                <w:rFonts w:hint="eastAsia" w:ascii="宋体" w:hAnsi="宋体" w:eastAsia="宋体"/>
                <w:sz w:val="24"/>
                <w:szCs w:val="24"/>
              </w:rPr>
              <w:t>（2）制定项目实施方案，主要包括：交接方案、人员培训方案、人员稳定性方案等。</w:t>
            </w:r>
          </w:p>
          <w:p w14:paraId="5218BCB2">
            <w:pPr>
              <w:pStyle w:val="42"/>
              <w:kinsoku w:val="0"/>
              <w:overflowPunct w:val="0"/>
              <w:spacing w:before="151" w:beforeLines="0" w:afterLines="0"/>
              <w:ind w:right="123"/>
              <w:jc w:val="both"/>
              <w:rPr>
                <w:rFonts w:hint="default"/>
                <w:sz w:val="24"/>
                <w:szCs w:val="24"/>
              </w:rPr>
            </w:pPr>
          </w:p>
        </w:tc>
      </w:tr>
      <w:tr w14:paraId="72415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4" w:hRule="exact"/>
        </w:trPr>
        <w:tc>
          <w:tcPr>
            <w:tcW w:w="719" w:type="dxa"/>
            <w:vMerge w:val="continue"/>
            <w:tcBorders>
              <w:top w:val="nil"/>
              <w:left w:val="single" w:color="000000" w:sz="4" w:space="0"/>
              <w:bottom w:val="single" w:color="000000" w:sz="4" w:space="0"/>
              <w:right w:val="single" w:color="000000" w:sz="4" w:space="0"/>
              <w:tl2br w:val="nil"/>
              <w:tr2bl w:val="nil"/>
            </w:tcBorders>
            <w:noWrap w:val="0"/>
            <w:vAlign w:val="top"/>
          </w:tcPr>
          <w:p w14:paraId="27080D64">
            <w:pPr>
              <w:pStyle w:val="42"/>
              <w:kinsoku w:val="0"/>
              <w:overflowPunct w:val="0"/>
              <w:spacing w:before="38" w:beforeLines="0" w:afterLines="0" w:line="297" w:lineRule="auto"/>
              <w:ind w:left="103" w:right="227"/>
              <w:rPr>
                <w:rFonts w:hint="default"/>
                <w:sz w:val="24"/>
                <w:szCs w:val="24"/>
              </w:rPr>
            </w:pPr>
          </w:p>
        </w:tc>
        <w:tc>
          <w:tcPr>
            <w:tcW w:w="1930" w:type="dxa"/>
            <w:vMerge w:val="continue"/>
            <w:tcBorders>
              <w:top w:val="nil"/>
              <w:left w:val="single" w:color="000000" w:sz="4" w:space="0"/>
              <w:bottom w:val="single" w:color="000000" w:sz="4" w:space="0"/>
              <w:right w:val="single" w:color="000000" w:sz="4" w:space="0"/>
              <w:tl2br w:val="nil"/>
              <w:tr2bl w:val="nil"/>
            </w:tcBorders>
            <w:noWrap w:val="0"/>
            <w:vAlign w:val="top"/>
          </w:tcPr>
          <w:p w14:paraId="66966539">
            <w:pPr>
              <w:pStyle w:val="42"/>
              <w:kinsoku w:val="0"/>
              <w:overflowPunct w:val="0"/>
              <w:spacing w:before="38" w:beforeLines="0" w:afterLines="0" w:line="297" w:lineRule="auto"/>
              <w:ind w:left="103" w:right="227"/>
              <w:rPr>
                <w:rFonts w:hint="default"/>
                <w:sz w:val="24"/>
                <w:szCs w:val="24"/>
              </w:rPr>
            </w:pPr>
          </w:p>
        </w:tc>
        <w:tc>
          <w:tcPr>
            <w:tcW w:w="586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BE35F62">
            <w:pPr>
              <w:pStyle w:val="42"/>
              <w:kinsoku w:val="0"/>
              <w:overflowPunct w:val="0"/>
              <w:spacing w:before="25" w:beforeLines="0" w:afterLines="0"/>
              <w:ind w:left="103" w:firstLine="240"/>
              <w:rPr>
                <w:rFonts w:hint="eastAsia" w:ascii="宋体" w:hAnsi="宋体" w:eastAsia="宋体"/>
                <w:sz w:val="24"/>
                <w:szCs w:val="24"/>
              </w:rPr>
            </w:pPr>
            <w:r>
              <w:rPr>
                <w:rFonts w:hint="eastAsia" w:ascii="宋体" w:hAnsi="宋体" w:eastAsia="宋体"/>
                <w:sz w:val="24"/>
                <w:szCs w:val="24"/>
              </w:rPr>
              <w:t>（3）制定物业服务方案，主要包括：房屋维护</w:t>
            </w:r>
          </w:p>
          <w:p w14:paraId="5E15631A">
            <w:pPr>
              <w:pStyle w:val="42"/>
              <w:kinsoku w:val="0"/>
              <w:overflowPunct w:val="0"/>
              <w:spacing w:before="151" w:beforeLines="0" w:afterLines="0"/>
              <w:ind w:right="123"/>
              <w:jc w:val="both"/>
              <w:rPr>
                <w:rFonts w:hint="default"/>
                <w:sz w:val="24"/>
                <w:szCs w:val="24"/>
              </w:rPr>
            </w:pPr>
            <w:r>
              <w:rPr>
                <w:rFonts w:hint="eastAsia" w:ascii="宋体" w:hAnsi="宋体" w:eastAsia="宋体"/>
                <w:sz w:val="24"/>
                <w:szCs w:val="24"/>
              </w:rPr>
              <w:t>服务方案、公用设施设备维护服务方案、绿植养护方案、保洁服务方案、保安服务方案、其他服务方案等。</w:t>
            </w:r>
          </w:p>
        </w:tc>
      </w:tr>
    </w:tbl>
    <w:p w14:paraId="3AD91B29">
      <w:pPr>
        <w:spacing w:beforeLines="0" w:afterLines="0"/>
        <w:rPr>
          <w:rFonts w:hint="default"/>
          <w:sz w:val="24"/>
          <w:szCs w:val="24"/>
        </w:rPr>
        <w:sectPr>
          <w:pgSz w:w="11910" w:h="16840"/>
          <w:pgMar w:top="980" w:right="1600" w:bottom="880" w:left="1580" w:header="746" w:footer="699" w:gutter="0"/>
          <w:lnNumType w:countBy="0" w:distance="360"/>
          <w:cols w:space="720" w:num="1"/>
        </w:sectPr>
      </w:pPr>
    </w:p>
    <w:p w14:paraId="6A6C20E6">
      <w:pPr>
        <w:pStyle w:val="8"/>
        <w:kinsoku w:val="0"/>
        <w:overflowPunct w:val="0"/>
        <w:spacing w:beforeLines="0" w:afterLines="0"/>
        <w:ind w:left="0"/>
        <w:rPr>
          <w:rFonts w:hint="eastAsia"/>
          <w:sz w:val="32"/>
          <w:szCs w:val="24"/>
        </w:rPr>
      </w:pPr>
      <w:bookmarkStart w:id="16" w:name="3.2房屋维护服务"/>
      <w:bookmarkEnd w:id="16"/>
      <w:r>
        <w:rPr>
          <w:rFonts w:hint="default" w:ascii="Times New Roman" w:hAnsi="Times New Roman" w:eastAsia="Times New Roman"/>
          <w:b/>
          <w:sz w:val="32"/>
          <w:szCs w:val="24"/>
        </w:rPr>
        <w:t>3.2</w:t>
      </w:r>
      <w:r>
        <w:rPr>
          <w:rFonts w:hint="eastAsia"/>
          <w:b/>
          <w:spacing w:val="1"/>
          <w:sz w:val="32"/>
          <w:szCs w:val="24"/>
        </w:rPr>
        <w:t>房屋维护服务</w:t>
      </w:r>
    </w:p>
    <w:p w14:paraId="326853C6">
      <w:pPr>
        <w:pStyle w:val="8"/>
        <w:kinsoku w:val="0"/>
        <w:overflowPunct w:val="0"/>
        <w:spacing w:beforeLines="0" w:afterLines="0"/>
        <w:ind w:left="0"/>
        <w:rPr>
          <w:rFonts w:hint="eastAsia"/>
          <w:b/>
          <w:sz w:val="20"/>
          <w:szCs w:val="24"/>
        </w:rPr>
      </w:pPr>
    </w:p>
    <w:p w14:paraId="32D1C84A">
      <w:pPr>
        <w:pStyle w:val="8"/>
        <w:kinsoku w:val="0"/>
        <w:overflowPunct w:val="0"/>
        <w:spacing w:before="7" w:beforeLines="0" w:afterLines="0"/>
        <w:ind w:left="0"/>
        <w:rPr>
          <w:rFonts w:hint="eastAsia"/>
          <w:b/>
          <w:sz w:val="24"/>
          <w:szCs w:val="24"/>
        </w:rPr>
      </w:pPr>
    </w:p>
    <w:tbl>
      <w:tblPr>
        <w:tblStyle w:val="19"/>
        <w:tblW w:w="0" w:type="auto"/>
        <w:tblInd w:w="2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6"/>
        <w:gridCol w:w="1943"/>
        <w:gridCol w:w="5853"/>
      </w:tblGrid>
      <w:tr w14:paraId="4D1F1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exact"/>
        </w:trPr>
        <w:tc>
          <w:tcPr>
            <w:tcW w:w="72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5CB224A">
            <w:pPr>
              <w:pStyle w:val="42"/>
              <w:kinsoku w:val="0"/>
              <w:overflowPunct w:val="0"/>
              <w:spacing w:beforeLines="0" w:afterLines="0" w:line="275" w:lineRule="exact"/>
              <w:ind w:left="117"/>
              <w:rPr>
                <w:rFonts w:hint="default"/>
                <w:sz w:val="24"/>
                <w:szCs w:val="24"/>
              </w:rPr>
            </w:pPr>
            <w:r>
              <w:rPr>
                <w:rFonts w:hint="eastAsia" w:ascii="宋体" w:hAnsi="宋体" w:eastAsia="宋体"/>
                <w:b/>
                <w:sz w:val="24"/>
                <w:szCs w:val="24"/>
              </w:rPr>
              <w:t>序号</w:t>
            </w:r>
          </w:p>
        </w:tc>
        <w:tc>
          <w:tcPr>
            <w:tcW w:w="194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90011B7">
            <w:pPr>
              <w:pStyle w:val="42"/>
              <w:kinsoku w:val="0"/>
              <w:overflowPunct w:val="0"/>
              <w:spacing w:beforeLines="0" w:afterLines="0" w:line="275" w:lineRule="exact"/>
              <w:ind w:left="483"/>
              <w:rPr>
                <w:rFonts w:hint="default"/>
                <w:sz w:val="24"/>
                <w:szCs w:val="24"/>
              </w:rPr>
            </w:pPr>
            <w:r>
              <w:rPr>
                <w:rFonts w:hint="eastAsia" w:ascii="宋体" w:hAnsi="宋体" w:eastAsia="宋体"/>
                <w:b/>
                <w:sz w:val="24"/>
                <w:szCs w:val="24"/>
              </w:rPr>
              <w:t>服务内容</w:t>
            </w:r>
          </w:p>
        </w:tc>
        <w:tc>
          <w:tcPr>
            <w:tcW w:w="58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79CB02A">
            <w:pPr>
              <w:pStyle w:val="42"/>
              <w:kinsoku w:val="0"/>
              <w:overflowPunct w:val="0"/>
              <w:spacing w:beforeLines="0" w:afterLines="0" w:line="275" w:lineRule="exact"/>
              <w:ind w:right="2"/>
              <w:jc w:val="center"/>
              <w:rPr>
                <w:rFonts w:hint="default"/>
                <w:sz w:val="24"/>
                <w:szCs w:val="24"/>
              </w:rPr>
            </w:pPr>
            <w:r>
              <w:rPr>
                <w:rFonts w:hint="eastAsia" w:ascii="宋体" w:hAnsi="宋体" w:eastAsia="宋体"/>
                <w:b/>
                <w:sz w:val="24"/>
                <w:szCs w:val="24"/>
              </w:rPr>
              <w:t>服务标准</w:t>
            </w:r>
          </w:p>
        </w:tc>
      </w:tr>
    </w:tbl>
    <w:p w14:paraId="67716F8E">
      <w:pPr>
        <w:spacing w:beforeLines="0" w:afterLines="0"/>
        <w:rPr>
          <w:rFonts w:hint="default"/>
          <w:sz w:val="24"/>
          <w:szCs w:val="24"/>
        </w:rPr>
      </w:pPr>
    </w:p>
    <w:tbl>
      <w:tblPr>
        <w:tblStyle w:val="19"/>
        <w:tblW w:w="0" w:type="auto"/>
        <w:tblInd w:w="2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6"/>
        <w:gridCol w:w="1943"/>
        <w:gridCol w:w="5853"/>
      </w:tblGrid>
      <w:tr w14:paraId="5C3DC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exact"/>
        </w:trPr>
        <w:tc>
          <w:tcPr>
            <w:tcW w:w="726" w:type="dxa"/>
            <w:vMerge w:val="restart"/>
            <w:tcBorders>
              <w:top w:val="single" w:color="000000" w:sz="4" w:space="0"/>
              <w:left w:val="single" w:color="000000" w:sz="4" w:space="0"/>
              <w:bottom w:val="nil"/>
              <w:right w:val="single" w:color="000000" w:sz="4" w:space="0"/>
              <w:tl2br w:val="nil"/>
              <w:tr2bl w:val="nil"/>
            </w:tcBorders>
            <w:noWrap w:val="0"/>
            <w:vAlign w:val="top"/>
          </w:tcPr>
          <w:p w14:paraId="34297A97">
            <w:pPr>
              <w:pStyle w:val="42"/>
              <w:kinsoku w:val="0"/>
              <w:overflowPunct w:val="0"/>
              <w:spacing w:beforeLines="0" w:afterLines="0"/>
              <w:ind w:left="102"/>
              <w:rPr>
                <w:rFonts w:hint="default"/>
                <w:sz w:val="24"/>
                <w:szCs w:val="24"/>
              </w:rPr>
            </w:pPr>
          </w:p>
        </w:tc>
        <w:tc>
          <w:tcPr>
            <w:tcW w:w="1943" w:type="dxa"/>
            <w:vMerge w:val="restart"/>
            <w:tcBorders>
              <w:top w:val="single" w:color="000000" w:sz="4" w:space="0"/>
              <w:left w:val="single" w:color="000000" w:sz="4" w:space="0"/>
              <w:bottom w:val="nil"/>
              <w:right w:val="single" w:color="000000" w:sz="4" w:space="0"/>
              <w:tl2br w:val="nil"/>
              <w:tr2bl w:val="nil"/>
            </w:tcBorders>
            <w:noWrap w:val="0"/>
            <w:vAlign w:val="top"/>
          </w:tcPr>
          <w:p w14:paraId="3E22AD0C">
            <w:pPr>
              <w:pStyle w:val="42"/>
              <w:kinsoku w:val="0"/>
              <w:overflowPunct w:val="0"/>
              <w:spacing w:beforeLines="0" w:afterLines="0"/>
              <w:ind w:left="102"/>
              <w:jc w:val="center"/>
              <w:rPr>
                <w:rFonts w:hint="eastAsia" w:ascii="宋体" w:hAnsi="宋体" w:eastAsia="宋体"/>
                <w:spacing w:val="6"/>
                <w:sz w:val="24"/>
                <w:szCs w:val="24"/>
              </w:rPr>
            </w:pPr>
          </w:p>
          <w:p w14:paraId="76794AAB">
            <w:pPr>
              <w:pStyle w:val="42"/>
              <w:kinsoku w:val="0"/>
              <w:overflowPunct w:val="0"/>
              <w:spacing w:beforeLines="0" w:afterLines="0"/>
              <w:ind w:left="102"/>
              <w:jc w:val="center"/>
              <w:rPr>
                <w:rFonts w:hint="eastAsia" w:ascii="宋体" w:hAnsi="宋体" w:eastAsia="宋体"/>
                <w:spacing w:val="6"/>
                <w:sz w:val="24"/>
                <w:szCs w:val="24"/>
              </w:rPr>
            </w:pPr>
          </w:p>
          <w:p w14:paraId="33AB0682">
            <w:pPr>
              <w:pStyle w:val="42"/>
              <w:kinsoku w:val="0"/>
              <w:overflowPunct w:val="0"/>
              <w:spacing w:beforeLines="0" w:afterLines="0"/>
              <w:ind w:left="102"/>
              <w:jc w:val="center"/>
              <w:rPr>
                <w:rFonts w:hint="eastAsia" w:ascii="宋体" w:hAnsi="宋体" w:eastAsia="宋体"/>
                <w:spacing w:val="6"/>
                <w:sz w:val="24"/>
                <w:szCs w:val="24"/>
              </w:rPr>
            </w:pPr>
          </w:p>
          <w:p w14:paraId="39E2ACED">
            <w:pPr>
              <w:pStyle w:val="42"/>
              <w:kinsoku w:val="0"/>
              <w:overflowPunct w:val="0"/>
              <w:spacing w:beforeLines="0" w:afterLines="0"/>
              <w:ind w:left="102"/>
              <w:jc w:val="center"/>
              <w:rPr>
                <w:rFonts w:hint="eastAsia" w:ascii="宋体" w:hAnsi="宋体" w:eastAsia="宋体"/>
                <w:spacing w:val="6"/>
                <w:sz w:val="24"/>
                <w:szCs w:val="24"/>
              </w:rPr>
            </w:pPr>
          </w:p>
          <w:p w14:paraId="6B471C4D">
            <w:pPr>
              <w:pStyle w:val="42"/>
              <w:kinsoku w:val="0"/>
              <w:overflowPunct w:val="0"/>
              <w:spacing w:beforeLines="0" w:afterLines="0"/>
              <w:ind w:left="102"/>
              <w:jc w:val="center"/>
              <w:rPr>
                <w:rFonts w:hint="eastAsia" w:ascii="宋体" w:hAnsi="宋体" w:eastAsia="宋体"/>
                <w:spacing w:val="6"/>
                <w:sz w:val="24"/>
                <w:szCs w:val="24"/>
              </w:rPr>
            </w:pPr>
          </w:p>
          <w:p w14:paraId="5B215313">
            <w:pPr>
              <w:pStyle w:val="42"/>
              <w:kinsoku w:val="0"/>
              <w:overflowPunct w:val="0"/>
              <w:spacing w:beforeLines="0" w:afterLines="0"/>
              <w:ind w:left="102"/>
              <w:jc w:val="center"/>
              <w:rPr>
                <w:rFonts w:hint="default"/>
                <w:sz w:val="24"/>
                <w:szCs w:val="24"/>
              </w:rPr>
            </w:pPr>
            <w:r>
              <w:rPr>
                <w:rFonts w:hint="eastAsia" w:ascii="宋体" w:hAnsi="宋体" w:eastAsia="宋体"/>
                <w:spacing w:val="6"/>
                <w:sz w:val="24"/>
                <w:szCs w:val="24"/>
              </w:rPr>
              <w:t>主体结构、围护</w:t>
            </w:r>
            <w:r>
              <w:rPr>
                <w:rFonts w:hint="eastAsia" w:ascii="宋体" w:hAnsi="宋体" w:eastAsia="宋体"/>
                <w:sz w:val="24"/>
                <w:szCs w:val="24"/>
              </w:rPr>
              <w:t>结构、部品部件</w:t>
            </w:r>
          </w:p>
        </w:tc>
        <w:tc>
          <w:tcPr>
            <w:tcW w:w="5853" w:type="dxa"/>
            <w:tcBorders>
              <w:top w:val="single" w:color="000000" w:sz="4" w:space="0"/>
              <w:left w:val="single" w:color="000000" w:sz="4" w:space="0"/>
              <w:bottom w:val="nil"/>
              <w:right w:val="single" w:color="000000" w:sz="4" w:space="0"/>
              <w:tl2br w:val="nil"/>
              <w:tr2bl w:val="nil"/>
            </w:tcBorders>
            <w:noWrap w:val="0"/>
            <w:vAlign w:val="top"/>
          </w:tcPr>
          <w:p w14:paraId="7B1F1ADF">
            <w:pPr>
              <w:pStyle w:val="42"/>
              <w:kinsoku w:val="0"/>
              <w:overflowPunct w:val="0"/>
              <w:spacing w:before="24" w:beforeLines="0" w:afterLines="0"/>
              <w:ind w:left="342"/>
              <w:rPr>
                <w:rFonts w:hint="default"/>
                <w:sz w:val="24"/>
                <w:szCs w:val="24"/>
              </w:rPr>
            </w:pPr>
            <w:r>
              <w:rPr>
                <w:rFonts w:hint="eastAsia" w:ascii="宋体" w:hAnsi="宋体" w:eastAsia="宋体"/>
                <w:sz w:val="24"/>
                <w:szCs w:val="24"/>
              </w:rPr>
              <w:t>（</w:t>
            </w:r>
            <w:r>
              <w:rPr>
                <w:rFonts w:hint="eastAsia" w:ascii="Times New Roman" w:hAnsi="Times New Roman" w:eastAsia="宋体"/>
                <w:sz w:val="24"/>
                <w:szCs w:val="24"/>
                <w:lang w:val="en-US" w:eastAsia="zh-CN"/>
              </w:rPr>
              <w:t>1</w:t>
            </w:r>
            <w:r>
              <w:rPr>
                <w:rFonts w:hint="eastAsia" w:ascii="宋体" w:hAnsi="宋体" w:eastAsia="宋体"/>
                <w:sz w:val="24"/>
                <w:szCs w:val="24"/>
              </w:rPr>
              <w:t>）每半月至少开展</w:t>
            </w:r>
            <w:r>
              <w:rPr>
                <w:rFonts w:hint="default" w:ascii="Calibri" w:hAnsi="Calibri" w:eastAsia="Calibri"/>
                <w:sz w:val="24"/>
                <w:szCs w:val="24"/>
              </w:rPr>
              <w:t>1</w:t>
            </w:r>
            <w:r>
              <w:rPr>
                <w:rFonts w:hint="eastAsia" w:ascii="宋体" w:hAnsi="宋体" w:eastAsia="宋体"/>
                <w:sz w:val="24"/>
                <w:szCs w:val="24"/>
              </w:rPr>
              <w:t>次公用部位的门、窗、</w:t>
            </w:r>
          </w:p>
        </w:tc>
      </w:tr>
      <w:tr w14:paraId="51646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exact"/>
        </w:trPr>
        <w:tc>
          <w:tcPr>
            <w:tcW w:w="7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761F7771">
            <w:pPr>
              <w:pStyle w:val="42"/>
              <w:kinsoku w:val="0"/>
              <w:overflowPunct w:val="0"/>
              <w:spacing w:before="24" w:beforeLines="0" w:afterLines="0"/>
              <w:ind w:left="342"/>
              <w:rPr>
                <w:rFonts w:hint="default"/>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2040EBC3">
            <w:pPr>
              <w:pStyle w:val="42"/>
              <w:kinsoku w:val="0"/>
              <w:overflowPunct w:val="0"/>
              <w:spacing w:before="24" w:beforeLines="0" w:afterLines="0"/>
              <w:ind w:left="342"/>
              <w:rPr>
                <w:rFonts w:hint="default"/>
                <w:sz w:val="24"/>
                <w:szCs w:val="24"/>
              </w:rPr>
            </w:pPr>
          </w:p>
        </w:tc>
        <w:tc>
          <w:tcPr>
            <w:tcW w:w="5853" w:type="dxa"/>
            <w:tcBorders>
              <w:top w:val="nil"/>
              <w:left w:val="single" w:color="000000" w:sz="4" w:space="0"/>
              <w:bottom w:val="nil"/>
              <w:right w:val="single" w:color="000000" w:sz="4" w:space="0"/>
              <w:tl2br w:val="nil"/>
              <w:tr2bl w:val="nil"/>
            </w:tcBorders>
            <w:noWrap w:val="0"/>
            <w:vAlign w:val="top"/>
          </w:tcPr>
          <w:p w14:paraId="29644733">
            <w:pPr>
              <w:pStyle w:val="42"/>
              <w:kinsoku w:val="0"/>
              <w:overflowPunct w:val="0"/>
              <w:spacing w:before="25" w:beforeLines="0" w:afterLines="0"/>
              <w:rPr>
                <w:rFonts w:hint="default"/>
                <w:sz w:val="24"/>
                <w:szCs w:val="24"/>
              </w:rPr>
            </w:pPr>
            <w:r>
              <w:rPr>
                <w:rFonts w:hint="eastAsia" w:ascii="宋体" w:hAnsi="宋体" w:eastAsia="宋体"/>
                <w:sz w:val="24"/>
                <w:szCs w:val="24"/>
              </w:rPr>
              <w:t>楼梯、通风道、室内地面、墙面、吊顶和室外屋面等</w:t>
            </w:r>
          </w:p>
        </w:tc>
      </w:tr>
      <w:tr w14:paraId="7B335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exact"/>
        </w:trPr>
        <w:tc>
          <w:tcPr>
            <w:tcW w:w="7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0F91E745">
            <w:pPr>
              <w:pStyle w:val="42"/>
              <w:kinsoku w:val="0"/>
              <w:overflowPunct w:val="0"/>
              <w:spacing w:before="25" w:beforeLines="0" w:afterLines="0"/>
              <w:ind w:left="102"/>
              <w:rPr>
                <w:rFonts w:hint="default"/>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5730BD82">
            <w:pPr>
              <w:pStyle w:val="42"/>
              <w:kinsoku w:val="0"/>
              <w:overflowPunct w:val="0"/>
              <w:spacing w:before="25" w:beforeLines="0" w:afterLines="0"/>
              <w:ind w:left="102"/>
              <w:rPr>
                <w:rFonts w:hint="default"/>
                <w:sz w:val="24"/>
                <w:szCs w:val="24"/>
              </w:rPr>
            </w:pPr>
          </w:p>
        </w:tc>
        <w:tc>
          <w:tcPr>
            <w:tcW w:w="5853" w:type="dxa"/>
            <w:tcBorders>
              <w:top w:val="nil"/>
              <w:left w:val="single" w:color="000000" w:sz="4" w:space="0"/>
              <w:bottom w:val="nil"/>
              <w:right w:val="single" w:color="000000" w:sz="4" w:space="0"/>
              <w:tl2br w:val="nil"/>
              <w:tr2bl w:val="nil"/>
            </w:tcBorders>
            <w:noWrap w:val="0"/>
            <w:vAlign w:val="top"/>
          </w:tcPr>
          <w:p w14:paraId="624EDED9">
            <w:pPr>
              <w:pStyle w:val="42"/>
              <w:kinsoku w:val="0"/>
              <w:overflowPunct w:val="0"/>
              <w:spacing w:beforeLines="0" w:afterLines="0"/>
              <w:ind w:left="102"/>
              <w:rPr>
                <w:rFonts w:hint="default"/>
                <w:sz w:val="24"/>
                <w:szCs w:val="24"/>
              </w:rPr>
            </w:pPr>
            <w:r>
              <w:rPr>
                <w:rFonts w:hint="eastAsia" w:ascii="宋体" w:hAnsi="宋体" w:eastAsia="宋体"/>
                <w:sz w:val="24"/>
                <w:szCs w:val="24"/>
              </w:rPr>
              <w:t>巡查，发现破损，及时向采购人报告，按采购人要求</w:t>
            </w:r>
          </w:p>
        </w:tc>
      </w:tr>
      <w:tr w14:paraId="57981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exact"/>
        </w:trPr>
        <w:tc>
          <w:tcPr>
            <w:tcW w:w="7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324802C">
            <w:pPr>
              <w:pStyle w:val="42"/>
              <w:kinsoku w:val="0"/>
              <w:overflowPunct w:val="0"/>
              <w:spacing w:beforeLines="0" w:afterLines="0"/>
              <w:ind w:left="102"/>
              <w:rPr>
                <w:rFonts w:hint="default"/>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2022B94">
            <w:pPr>
              <w:pStyle w:val="42"/>
              <w:kinsoku w:val="0"/>
              <w:overflowPunct w:val="0"/>
              <w:spacing w:beforeLines="0" w:afterLines="0"/>
              <w:ind w:left="102"/>
              <w:rPr>
                <w:rFonts w:hint="default"/>
                <w:sz w:val="24"/>
                <w:szCs w:val="24"/>
              </w:rPr>
            </w:pPr>
          </w:p>
        </w:tc>
        <w:tc>
          <w:tcPr>
            <w:tcW w:w="5853" w:type="dxa"/>
            <w:tcBorders>
              <w:top w:val="nil"/>
              <w:left w:val="single" w:color="000000" w:sz="4" w:space="0"/>
              <w:bottom w:val="nil"/>
              <w:right w:val="single" w:color="000000" w:sz="4" w:space="0"/>
              <w:tl2br w:val="nil"/>
              <w:tr2bl w:val="nil"/>
            </w:tcBorders>
            <w:noWrap w:val="0"/>
            <w:vAlign w:val="top"/>
          </w:tcPr>
          <w:p w14:paraId="2408090E">
            <w:pPr>
              <w:pStyle w:val="42"/>
              <w:kinsoku w:val="0"/>
              <w:overflowPunct w:val="0"/>
              <w:spacing w:beforeLines="0" w:afterLines="0"/>
              <w:ind w:left="102"/>
              <w:rPr>
                <w:rFonts w:hint="default"/>
                <w:sz w:val="24"/>
                <w:szCs w:val="24"/>
              </w:rPr>
            </w:pPr>
            <w:r>
              <w:rPr>
                <w:rFonts w:hint="eastAsia" w:ascii="宋体" w:hAnsi="宋体" w:eastAsia="宋体"/>
                <w:sz w:val="24"/>
                <w:szCs w:val="24"/>
              </w:rPr>
              <w:t>出具维修方案，待采购人同意后按维修方案实施维</w:t>
            </w:r>
          </w:p>
        </w:tc>
      </w:tr>
      <w:tr w14:paraId="4946C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exact"/>
        </w:trPr>
        <w:tc>
          <w:tcPr>
            <w:tcW w:w="7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2ABC8B55">
            <w:pPr>
              <w:pStyle w:val="42"/>
              <w:kinsoku w:val="0"/>
              <w:overflowPunct w:val="0"/>
              <w:spacing w:beforeLines="0" w:afterLines="0"/>
              <w:ind w:left="102"/>
              <w:rPr>
                <w:rFonts w:hint="default"/>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5E07958">
            <w:pPr>
              <w:pStyle w:val="42"/>
              <w:kinsoku w:val="0"/>
              <w:overflowPunct w:val="0"/>
              <w:spacing w:beforeLines="0" w:afterLines="0"/>
              <w:ind w:left="102"/>
              <w:rPr>
                <w:rFonts w:hint="default"/>
                <w:sz w:val="24"/>
                <w:szCs w:val="24"/>
              </w:rPr>
            </w:pPr>
          </w:p>
        </w:tc>
        <w:tc>
          <w:tcPr>
            <w:tcW w:w="5853" w:type="dxa"/>
            <w:tcBorders>
              <w:top w:val="nil"/>
              <w:left w:val="single" w:color="000000" w:sz="4" w:space="0"/>
              <w:bottom w:val="single" w:color="000000" w:sz="4" w:space="0"/>
              <w:right w:val="single" w:color="000000" w:sz="4" w:space="0"/>
              <w:tl2br w:val="nil"/>
              <w:tr2bl w:val="nil"/>
            </w:tcBorders>
            <w:noWrap w:val="0"/>
            <w:vAlign w:val="top"/>
          </w:tcPr>
          <w:p w14:paraId="4997F58B">
            <w:pPr>
              <w:pStyle w:val="42"/>
              <w:kinsoku w:val="0"/>
              <w:overflowPunct w:val="0"/>
              <w:spacing w:beforeLines="0" w:afterLines="0"/>
              <w:ind w:left="102"/>
              <w:rPr>
                <w:rFonts w:hint="default"/>
                <w:sz w:val="24"/>
                <w:szCs w:val="24"/>
              </w:rPr>
            </w:pPr>
            <w:r>
              <w:rPr>
                <w:rFonts w:hint="eastAsia" w:ascii="宋体" w:hAnsi="宋体" w:eastAsia="宋体"/>
                <w:sz w:val="24"/>
                <w:szCs w:val="24"/>
              </w:rPr>
              <w:t>修。</w:t>
            </w:r>
          </w:p>
        </w:tc>
      </w:tr>
      <w:tr w14:paraId="63463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exact"/>
        </w:trPr>
        <w:tc>
          <w:tcPr>
            <w:tcW w:w="7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611900D6">
            <w:pPr>
              <w:pStyle w:val="42"/>
              <w:kinsoku w:val="0"/>
              <w:overflowPunct w:val="0"/>
              <w:spacing w:beforeLines="0" w:afterLines="0"/>
              <w:ind w:left="102"/>
              <w:rPr>
                <w:rFonts w:hint="default"/>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12D0975F">
            <w:pPr>
              <w:pStyle w:val="42"/>
              <w:kinsoku w:val="0"/>
              <w:overflowPunct w:val="0"/>
              <w:spacing w:beforeLines="0" w:afterLines="0"/>
              <w:ind w:left="102"/>
              <w:rPr>
                <w:rFonts w:hint="default"/>
                <w:sz w:val="24"/>
                <w:szCs w:val="24"/>
              </w:rPr>
            </w:pPr>
          </w:p>
        </w:tc>
        <w:tc>
          <w:tcPr>
            <w:tcW w:w="5853" w:type="dxa"/>
            <w:tcBorders>
              <w:top w:val="single" w:color="000000" w:sz="4" w:space="0"/>
              <w:left w:val="single" w:color="000000" w:sz="4" w:space="0"/>
              <w:bottom w:val="nil"/>
              <w:right w:val="single" w:color="000000" w:sz="4" w:space="0"/>
              <w:tl2br w:val="nil"/>
              <w:tr2bl w:val="nil"/>
            </w:tcBorders>
            <w:noWrap w:val="0"/>
            <w:vAlign w:val="top"/>
          </w:tcPr>
          <w:p w14:paraId="151C3DF3">
            <w:pPr>
              <w:pStyle w:val="42"/>
              <w:kinsoku w:val="0"/>
              <w:overflowPunct w:val="0"/>
              <w:spacing w:before="24" w:beforeLines="0" w:afterLines="0"/>
              <w:ind w:left="342"/>
              <w:rPr>
                <w:rFonts w:hint="default"/>
                <w:sz w:val="24"/>
                <w:szCs w:val="24"/>
              </w:rPr>
            </w:pPr>
            <w:r>
              <w:rPr>
                <w:rFonts w:hint="eastAsia" w:ascii="宋体" w:hAnsi="宋体" w:eastAsia="宋体"/>
                <w:sz w:val="24"/>
                <w:szCs w:val="24"/>
              </w:rPr>
              <w:t>（</w:t>
            </w:r>
            <w:r>
              <w:rPr>
                <w:rFonts w:hint="eastAsia" w:ascii="Times New Roman" w:hAnsi="Times New Roman" w:eastAsia="宋体"/>
                <w:sz w:val="24"/>
                <w:szCs w:val="24"/>
                <w:lang w:val="en-US" w:eastAsia="zh-CN"/>
              </w:rPr>
              <w:t>2</w:t>
            </w:r>
            <w:r>
              <w:rPr>
                <w:rFonts w:hint="eastAsia" w:ascii="宋体" w:hAnsi="宋体" w:eastAsia="宋体"/>
                <w:sz w:val="24"/>
                <w:szCs w:val="24"/>
              </w:rPr>
              <w:t>）每年强降雨天气前后、雨雪季节、大风天</w:t>
            </w:r>
          </w:p>
        </w:tc>
      </w:tr>
      <w:tr w14:paraId="73552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exact"/>
        </w:trPr>
        <w:tc>
          <w:tcPr>
            <w:tcW w:w="7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10EF35B5">
            <w:pPr>
              <w:pStyle w:val="42"/>
              <w:kinsoku w:val="0"/>
              <w:overflowPunct w:val="0"/>
              <w:spacing w:before="24" w:beforeLines="0" w:afterLines="0"/>
              <w:ind w:left="342"/>
              <w:rPr>
                <w:rFonts w:hint="default"/>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70C63715">
            <w:pPr>
              <w:pStyle w:val="42"/>
              <w:kinsoku w:val="0"/>
              <w:overflowPunct w:val="0"/>
              <w:spacing w:before="24" w:beforeLines="0" w:afterLines="0"/>
              <w:ind w:left="342"/>
              <w:rPr>
                <w:rFonts w:hint="default"/>
                <w:sz w:val="24"/>
                <w:szCs w:val="24"/>
              </w:rPr>
            </w:pPr>
          </w:p>
        </w:tc>
        <w:tc>
          <w:tcPr>
            <w:tcW w:w="5853" w:type="dxa"/>
            <w:tcBorders>
              <w:top w:val="nil"/>
              <w:left w:val="single" w:color="000000" w:sz="4" w:space="0"/>
              <w:bottom w:val="nil"/>
              <w:right w:val="single" w:color="000000" w:sz="4" w:space="0"/>
              <w:tl2br w:val="nil"/>
              <w:tr2bl w:val="nil"/>
            </w:tcBorders>
            <w:noWrap w:val="0"/>
            <w:vAlign w:val="top"/>
          </w:tcPr>
          <w:p w14:paraId="18B6F5BA">
            <w:pPr>
              <w:pStyle w:val="42"/>
              <w:kinsoku w:val="0"/>
              <w:overflowPunct w:val="0"/>
              <w:spacing w:before="32" w:beforeLines="0" w:afterLines="0"/>
              <w:ind w:left="102"/>
              <w:rPr>
                <w:rFonts w:hint="default"/>
                <w:sz w:val="24"/>
                <w:szCs w:val="24"/>
              </w:rPr>
            </w:pPr>
            <w:r>
              <w:rPr>
                <w:rFonts w:hint="eastAsia" w:ascii="宋体" w:hAnsi="宋体" w:eastAsia="宋体"/>
                <w:sz w:val="24"/>
                <w:szCs w:val="24"/>
              </w:rPr>
              <w:t>气检查屋面防水和雨落管等，发现破损，及时向采购</w:t>
            </w:r>
          </w:p>
        </w:tc>
      </w:tr>
      <w:tr w14:paraId="58B01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exact"/>
        </w:trPr>
        <w:tc>
          <w:tcPr>
            <w:tcW w:w="7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565F0625">
            <w:pPr>
              <w:pStyle w:val="42"/>
              <w:kinsoku w:val="0"/>
              <w:overflowPunct w:val="0"/>
              <w:spacing w:before="32" w:beforeLines="0" w:afterLines="0"/>
              <w:ind w:left="102"/>
              <w:rPr>
                <w:rFonts w:hint="default"/>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2CDF1B1B">
            <w:pPr>
              <w:pStyle w:val="42"/>
              <w:kinsoku w:val="0"/>
              <w:overflowPunct w:val="0"/>
              <w:spacing w:before="32" w:beforeLines="0" w:afterLines="0"/>
              <w:ind w:left="102"/>
              <w:rPr>
                <w:rFonts w:hint="default"/>
                <w:sz w:val="24"/>
                <w:szCs w:val="24"/>
              </w:rPr>
            </w:pPr>
          </w:p>
        </w:tc>
        <w:tc>
          <w:tcPr>
            <w:tcW w:w="5853" w:type="dxa"/>
            <w:tcBorders>
              <w:top w:val="nil"/>
              <w:left w:val="single" w:color="000000" w:sz="4" w:space="0"/>
              <w:bottom w:val="nil"/>
              <w:right w:val="single" w:color="000000" w:sz="4" w:space="0"/>
              <w:tl2br w:val="nil"/>
              <w:tr2bl w:val="nil"/>
            </w:tcBorders>
            <w:noWrap w:val="0"/>
            <w:vAlign w:val="top"/>
          </w:tcPr>
          <w:p w14:paraId="0512C67E">
            <w:pPr>
              <w:pStyle w:val="42"/>
              <w:kinsoku w:val="0"/>
              <w:overflowPunct w:val="0"/>
              <w:spacing w:beforeLines="0" w:afterLines="0"/>
              <w:ind w:left="102"/>
              <w:rPr>
                <w:rFonts w:hint="default"/>
                <w:sz w:val="24"/>
                <w:szCs w:val="24"/>
              </w:rPr>
            </w:pPr>
            <w:r>
              <w:rPr>
                <w:rFonts w:hint="eastAsia" w:ascii="宋体" w:hAnsi="宋体" w:eastAsia="宋体"/>
                <w:sz w:val="24"/>
                <w:szCs w:val="24"/>
              </w:rPr>
              <w:t>人报告，按采购人要求出具维修方案，待采购人同意</w:t>
            </w:r>
          </w:p>
        </w:tc>
      </w:tr>
      <w:tr w14:paraId="7CFF8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7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654E1DDF">
            <w:pPr>
              <w:pStyle w:val="42"/>
              <w:kinsoku w:val="0"/>
              <w:overflowPunct w:val="0"/>
              <w:spacing w:beforeLines="0" w:afterLines="0"/>
              <w:ind w:left="102"/>
              <w:rPr>
                <w:rFonts w:hint="default"/>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844E1DB">
            <w:pPr>
              <w:pStyle w:val="42"/>
              <w:kinsoku w:val="0"/>
              <w:overflowPunct w:val="0"/>
              <w:spacing w:beforeLines="0" w:afterLines="0"/>
              <w:ind w:left="102"/>
              <w:rPr>
                <w:rFonts w:hint="default"/>
                <w:sz w:val="24"/>
                <w:szCs w:val="24"/>
              </w:rPr>
            </w:pPr>
          </w:p>
        </w:tc>
        <w:tc>
          <w:tcPr>
            <w:tcW w:w="5853" w:type="dxa"/>
            <w:tcBorders>
              <w:top w:val="nil"/>
              <w:left w:val="single" w:color="000000" w:sz="4" w:space="0"/>
              <w:bottom w:val="single" w:color="000000" w:sz="4" w:space="0"/>
              <w:right w:val="single" w:color="000000" w:sz="4" w:space="0"/>
              <w:tl2br w:val="nil"/>
              <w:tr2bl w:val="nil"/>
            </w:tcBorders>
            <w:noWrap w:val="0"/>
            <w:vAlign w:val="top"/>
          </w:tcPr>
          <w:p w14:paraId="279AD148">
            <w:pPr>
              <w:pStyle w:val="42"/>
              <w:kinsoku w:val="0"/>
              <w:overflowPunct w:val="0"/>
              <w:spacing w:beforeLines="0" w:afterLines="0"/>
              <w:ind w:left="102"/>
              <w:rPr>
                <w:rFonts w:hint="default"/>
                <w:sz w:val="24"/>
                <w:szCs w:val="24"/>
              </w:rPr>
            </w:pPr>
            <w:r>
              <w:rPr>
                <w:rFonts w:hint="eastAsia" w:ascii="宋体" w:hAnsi="宋体" w:eastAsia="宋体"/>
                <w:sz w:val="24"/>
                <w:szCs w:val="24"/>
              </w:rPr>
              <w:t>后按维修方案实施维修。</w:t>
            </w:r>
          </w:p>
        </w:tc>
      </w:tr>
      <w:tr w14:paraId="45C94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exact"/>
        </w:trPr>
        <w:tc>
          <w:tcPr>
            <w:tcW w:w="7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262E048">
            <w:pPr>
              <w:pStyle w:val="42"/>
              <w:kinsoku w:val="0"/>
              <w:overflowPunct w:val="0"/>
              <w:spacing w:before="24" w:beforeLines="0" w:afterLines="0" w:line="338" w:lineRule="auto"/>
              <w:ind w:left="102" w:right="278" w:firstLine="240"/>
              <w:rPr>
                <w:rFonts w:hint="default"/>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27A965C8">
            <w:pPr>
              <w:pStyle w:val="42"/>
              <w:kinsoku w:val="0"/>
              <w:overflowPunct w:val="0"/>
              <w:spacing w:before="24" w:beforeLines="0" w:afterLines="0" w:line="338" w:lineRule="auto"/>
              <w:ind w:left="102" w:right="278" w:firstLine="240"/>
              <w:rPr>
                <w:rFonts w:hint="default"/>
                <w:sz w:val="24"/>
                <w:szCs w:val="24"/>
              </w:rPr>
            </w:pPr>
          </w:p>
        </w:tc>
        <w:tc>
          <w:tcPr>
            <w:tcW w:w="58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B5E9B49">
            <w:pPr>
              <w:pStyle w:val="42"/>
              <w:kinsoku w:val="0"/>
              <w:overflowPunct w:val="0"/>
              <w:spacing w:before="24" w:beforeLines="0" w:afterLines="0" w:line="336" w:lineRule="auto"/>
              <w:ind w:left="102" w:right="278" w:firstLine="240"/>
              <w:rPr>
                <w:rFonts w:hint="default"/>
                <w:sz w:val="24"/>
                <w:szCs w:val="24"/>
              </w:rPr>
            </w:pPr>
            <w:r>
              <w:rPr>
                <w:rFonts w:hint="eastAsia" w:ascii="宋体" w:hAnsi="宋体" w:eastAsia="宋体"/>
                <w:sz w:val="24"/>
                <w:szCs w:val="24"/>
              </w:rPr>
              <w:t>（</w:t>
            </w:r>
            <w:r>
              <w:rPr>
                <w:rFonts w:hint="eastAsia" w:ascii="Times New Roman" w:hAnsi="Times New Roman" w:eastAsia="宋体"/>
                <w:sz w:val="24"/>
                <w:szCs w:val="24"/>
                <w:lang w:val="en-US" w:eastAsia="zh-CN"/>
              </w:rPr>
              <w:t>3</w:t>
            </w:r>
            <w:r>
              <w:rPr>
                <w:rFonts w:hint="eastAsia" w:ascii="宋体" w:hAnsi="宋体" w:eastAsia="宋体"/>
                <w:sz w:val="24"/>
                <w:szCs w:val="24"/>
              </w:rPr>
              <w:t>）通道、楼梯、门窗等设施的完好和正常使用。</w:t>
            </w:r>
          </w:p>
        </w:tc>
      </w:tr>
    </w:tbl>
    <w:p w14:paraId="5E0F1653">
      <w:pPr>
        <w:spacing w:beforeLines="0" w:afterLines="0"/>
        <w:rPr>
          <w:rFonts w:hint="default"/>
          <w:sz w:val="24"/>
          <w:szCs w:val="24"/>
        </w:rPr>
        <w:sectPr>
          <w:pgSz w:w="11910" w:h="16840"/>
          <w:pgMar w:top="980" w:right="1580" w:bottom="880" w:left="1580" w:header="746" w:footer="699" w:gutter="0"/>
          <w:lnNumType w:countBy="0" w:distance="360"/>
          <w:cols w:space="720" w:num="1"/>
        </w:sectPr>
      </w:pPr>
    </w:p>
    <w:p w14:paraId="035726F0">
      <w:pPr>
        <w:pStyle w:val="8"/>
        <w:kinsoku w:val="0"/>
        <w:overflowPunct w:val="0"/>
        <w:spacing w:beforeLines="0" w:afterLines="0"/>
        <w:ind w:left="0"/>
        <w:rPr>
          <w:rFonts w:hint="eastAsia"/>
          <w:b/>
          <w:sz w:val="20"/>
          <w:szCs w:val="24"/>
        </w:rPr>
      </w:pPr>
    </w:p>
    <w:p w14:paraId="7EC9EED3">
      <w:pPr>
        <w:pStyle w:val="8"/>
        <w:kinsoku w:val="0"/>
        <w:overflowPunct w:val="0"/>
        <w:spacing w:before="7" w:beforeLines="0" w:afterLines="0"/>
        <w:ind w:left="0"/>
        <w:rPr>
          <w:rFonts w:hint="eastAsia"/>
          <w:b/>
          <w:sz w:val="14"/>
          <w:szCs w:val="24"/>
        </w:rPr>
      </w:pPr>
    </w:p>
    <w:tbl>
      <w:tblPr>
        <w:tblStyle w:val="19"/>
        <w:tblW w:w="0" w:type="auto"/>
        <w:tblInd w:w="2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6"/>
        <w:gridCol w:w="1943"/>
        <w:gridCol w:w="5853"/>
      </w:tblGrid>
      <w:tr w14:paraId="68C79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7" w:hRule="exact"/>
        </w:trPr>
        <w:tc>
          <w:tcPr>
            <w:tcW w:w="72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741FF4AA">
            <w:pPr>
              <w:pStyle w:val="42"/>
              <w:kinsoku w:val="0"/>
              <w:overflowPunct w:val="0"/>
              <w:spacing w:beforeLines="0" w:afterLines="0"/>
              <w:rPr>
                <w:rFonts w:hint="eastAsia" w:ascii="宋体" w:hAnsi="宋体" w:eastAsia="宋体"/>
                <w:b/>
                <w:sz w:val="24"/>
                <w:szCs w:val="24"/>
              </w:rPr>
            </w:pPr>
          </w:p>
          <w:p w14:paraId="559D8E99">
            <w:pPr>
              <w:pStyle w:val="42"/>
              <w:kinsoku w:val="0"/>
              <w:overflowPunct w:val="0"/>
              <w:spacing w:beforeLines="0" w:afterLines="0"/>
              <w:rPr>
                <w:rFonts w:hint="eastAsia" w:ascii="宋体" w:hAnsi="宋体" w:eastAsia="宋体"/>
                <w:b/>
                <w:sz w:val="24"/>
                <w:szCs w:val="24"/>
              </w:rPr>
            </w:pPr>
          </w:p>
          <w:p w14:paraId="0D4CBF87">
            <w:pPr>
              <w:pStyle w:val="42"/>
              <w:kinsoku w:val="0"/>
              <w:overflowPunct w:val="0"/>
              <w:spacing w:beforeLines="0" w:afterLines="0"/>
              <w:rPr>
                <w:rFonts w:hint="eastAsia" w:ascii="宋体" w:hAnsi="宋体" w:eastAsia="宋体"/>
                <w:b/>
                <w:sz w:val="24"/>
                <w:szCs w:val="24"/>
              </w:rPr>
            </w:pPr>
          </w:p>
          <w:p w14:paraId="5C6DBB50">
            <w:pPr>
              <w:pStyle w:val="42"/>
              <w:kinsoku w:val="0"/>
              <w:overflowPunct w:val="0"/>
              <w:spacing w:beforeLines="0" w:afterLines="0"/>
              <w:rPr>
                <w:rFonts w:hint="eastAsia" w:ascii="宋体" w:hAnsi="宋体" w:eastAsia="宋体"/>
                <w:b/>
                <w:sz w:val="24"/>
                <w:szCs w:val="24"/>
              </w:rPr>
            </w:pPr>
          </w:p>
          <w:p w14:paraId="4CA9851A">
            <w:pPr>
              <w:pStyle w:val="42"/>
              <w:kinsoku w:val="0"/>
              <w:overflowPunct w:val="0"/>
              <w:spacing w:beforeLines="0" w:afterLines="0"/>
              <w:rPr>
                <w:rFonts w:hint="eastAsia" w:ascii="宋体" w:hAnsi="宋体" w:eastAsia="宋体"/>
                <w:b/>
                <w:sz w:val="24"/>
                <w:szCs w:val="24"/>
              </w:rPr>
            </w:pPr>
          </w:p>
          <w:p w14:paraId="624D1330">
            <w:pPr>
              <w:pStyle w:val="42"/>
              <w:kinsoku w:val="0"/>
              <w:overflowPunct w:val="0"/>
              <w:spacing w:beforeLines="0" w:afterLines="0"/>
              <w:rPr>
                <w:rFonts w:hint="eastAsia" w:ascii="宋体" w:hAnsi="宋体" w:eastAsia="宋体"/>
                <w:b/>
                <w:sz w:val="24"/>
                <w:szCs w:val="24"/>
              </w:rPr>
            </w:pPr>
          </w:p>
          <w:p w14:paraId="0749DCA2">
            <w:pPr>
              <w:pStyle w:val="42"/>
              <w:kinsoku w:val="0"/>
              <w:overflowPunct w:val="0"/>
              <w:spacing w:before="13" w:beforeLines="0" w:afterLines="0"/>
              <w:rPr>
                <w:rFonts w:hint="eastAsia" w:ascii="宋体" w:hAnsi="宋体" w:eastAsia="宋体"/>
                <w:b/>
                <w:sz w:val="28"/>
                <w:szCs w:val="24"/>
              </w:rPr>
            </w:pPr>
          </w:p>
          <w:p w14:paraId="25DDFCC4">
            <w:pPr>
              <w:pStyle w:val="42"/>
              <w:kinsoku w:val="0"/>
              <w:overflowPunct w:val="0"/>
              <w:spacing w:beforeLines="0" w:afterLines="0"/>
              <w:ind w:right="1"/>
              <w:jc w:val="center"/>
              <w:rPr>
                <w:rFonts w:hint="default"/>
                <w:sz w:val="24"/>
                <w:szCs w:val="24"/>
              </w:rPr>
            </w:pPr>
            <w:r>
              <w:rPr>
                <w:rFonts w:hint="default" w:ascii="Times New Roman" w:hAnsi="Times New Roman" w:eastAsia="Times New Roman"/>
                <w:sz w:val="24"/>
                <w:szCs w:val="24"/>
              </w:rPr>
              <w:t>2</w:t>
            </w:r>
          </w:p>
        </w:tc>
        <w:tc>
          <w:tcPr>
            <w:tcW w:w="194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243DB6D7">
            <w:pPr>
              <w:pStyle w:val="42"/>
              <w:kinsoku w:val="0"/>
              <w:overflowPunct w:val="0"/>
              <w:spacing w:beforeLines="0" w:afterLines="0"/>
              <w:rPr>
                <w:rFonts w:hint="eastAsia" w:ascii="宋体" w:hAnsi="宋体" w:eastAsia="宋体"/>
                <w:b/>
                <w:sz w:val="24"/>
                <w:szCs w:val="24"/>
              </w:rPr>
            </w:pPr>
          </w:p>
          <w:p w14:paraId="62EE3543">
            <w:pPr>
              <w:pStyle w:val="42"/>
              <w:kinsoku w:val="0"/>
              <w:overflowPunct w:val="0"/>
              <w:spacing w:beforeLines="0" w:afterLines="0"/>
              <w:rPr>
                <w:rFonts w:hint="eastAsia" w:ascii="宋体" w:hAnsi="宋体" w:eastAsia="宋体"/>
                <w:b/>
                <w:sz w:val="24"/>
                <w:szCs w:val="24"/>
              </w:rPr>
            </w:pPr>
          </w:p>
          <w:p w14:paraId="21B1BC6B">
            <w:pPr>
              <w:pStyle w:val="42"/>
              <w:kinsoku w:val="0"/>
              <w:overflowPunct w:val="0"/>
              <w:spacing w:beforeLines="0" w:afterLines="0"/>
              <w:rPr>
                <w:rFonts w:hint="eastAsia" w:ascii="宋体" w:hAnsi="宋体" w:eastAsia="宋体"/>
                <w:b/>
                <w:sz w:val="24"/>
                <w:szCs w:val="24"/>
              </w:rPr>
            </w:pPr>
          </w:p>
          <w:p w14:paraId="0BC776D8">
            <w:pPr>
              <w:pStyle w:val="42"/>
              <w:kinsoku w:val="0"/>
              <w:overflowPunct w:val="0"/>
              <w:spacing w:beforeLines="0" w:afterLines="0"/>
              <w:rPr>
                <w:rFonts w:hint="eastAsia" w:ascii="宋体" w:hAnsi="宋体" w:eastAsia="宋体"/>
                <w:b/>
                <w:sz w:val="24"/>
                <w:szCs w:val="24"/>
              </w:rPr>
            </w:pPr>
          </w:p>
          <w:p w14:paraId="0048645C">
            <w:pPr>
              <w:pStyle w:val="42"/>
              <w:kinsoku w:val="0"/>
              <w:overflowPunct w:val="0"/>
              <w:spacing w:beforeLines="0" w:afterLines="0"/>
              <w:rPr>
                <w:rFonts w:hint="eastAsia" w:ascii="宋体" w:hAnsi="宋体" w:eastAsia="宋体"/>
                <w:b/>
                <w:sz w:val="24"/>
                <w:szCs w:val="24"/>
              </w:rPr>
            </w:pPr>
          </w:p>
          <w:p w14:paraId="5CBA5718">
            <w:pPr>
              <w:pStyle w:val="42"/>
              <w:kinsoku w:val="0"/>
              <w:overflowPunct w:val="0"/>
              <w:spacing w:beforeLines="0" w:afterLines="0"/>
              <w:rPr>
                <w:rFonts w:hint="eastAsia" w:ascii="宋体" w:hAnsi="宋体" w:eastAsia="宋体"/>
                <w:b/>
                <w:sz w:val="24"/>
                <w:szCs w:val="24"/>
              </w:rPr>
            </w:pPr>
          </w:p>
          <w:p w14:paraId="770803AB">
            <w:pPr>
              <w:pStyle w:val="42"/>
              <w:kinsoku w:val="0"/>
              <w:overflowPunct w:val="0"/>
              <w:spacing w:before="4" w:beforeLines="0" w:afterLines="0"/>
              <w:rPr>
                <w:rFonts w:hint="eastAsia" w:ascii="宋体" w:hAnsi="宋体" w:eastAsia="宋体"/>
                <w:b/>
                <w:sz w:val="24"/>
                <w:szCs w:val="24"/>
              </w:rPr>
            </w:pPr>
          </w:p>
          <w:p w14:paraId="7DF64A2E">
            <w:pPr>
              <w:pStyle w:val="42"/>
              <w:kinsoku w:val="0"/>
              <w:overflowPunct w:val="0"/>
              <w:spacing w:beforeLines="0" w:afterLines="0"/>
              <w:ind w:left="101"/>
              <w:rPr>
                <w:rFonts w:hint="default"/>
                <w:sz w:val="24"/>
                <w:szCs w:val="24"/>
              </w:rPr>
            </w:pPr>
            <w:r>
              <w:rPr>
                <w:rFonts w:hint="eastAsia" w:ascii="宋体" w:hAnsi="宋体" w:eastAsia="宋体"/>
                <w:sz w:val="24"/>
                <w:szCs w:val="24"/>
              </w:rPr>
              <w:t>其他设施</w:t>
            </w:r>
          </w:p>
        </w:tc>
        <w:tc>
          <w:tcPr>
            <w:tcW w:w="58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854AEDF">
            <w:pPr>
              <w:pStyle w:val="42"/>
              <w:kinsoku w:val="0"/>
              <w:overflowPunct w:val="0"/>
              <w:spacing w:before="25" w:beforeLines="0" w:afterLines="0"/>
              <w:ind w:left="102" w:firstLine="240"/>
              <w:rPr>
                <w:rFonts w:hint="eastAsia" w:ascii="宋体" w:hAnsi="宋体" w:eastAsia="宋体"/>
                <w:sz w:val="24"/>
                <w:szCs w:val="24"/>
              </w:rPr>
            </w:pPr>
            <w:r>
              <w:rPr>
                <w:rFonts w:hint="eastAsia" w:ascii="宋体" w:hAnsi="宋体" w:eastAsia="宋体"/>
                <w:sz w:val="24"/>
                <w:szCs w:val="24"/>
              </w:rPr>
              <w:t>（</w:t>
            </w:r>
            <w:r>
              <w:rPr>
                <w:rFonts w:hint="default" w:ascii="Times New Roman" w:hAnsi="Times New Roman" w:eastAsia="Times New Roman"/>
                <w:sz w:val="24"/>
                <w:szCs w:val="24"/>
              </w:rPr>
              <w:t>1</w:t>
            </w:r>
            <w:r>
              <w:rPr>
                <w:rFonts w:hint="eastAsia" w:ascii="宋体" w:hAnsi="宋体" w:eastAsia="宋体"/>
                <w:sz w:val="24"/>
                <w:szCs w:val="24"/>
              </w:rPr>
              <w:t>）每月至少开展</w:t>
            </w:r>
            <w:r>
              <w:rPr>
                <w:rFonts w:hint="default" w:ascii="Calibri" w:hAnsi="Calibri" w:eastAsia="Calibri"/>
                <w:sz w:val="24"/>
                <w:szCs w:val="24"/>
              </w:rPr>
              <w:t>1</w:t>
            </w:r>
            <w:r>
              <w:rPr>
                <w:rFonts w:hint="eastAsia" w:ascii="宋体" w:hAnsi="宋体" w:eastAsia="宋体"/>
                <w:sz w:val="24"/>
                <w:szCs w:val="24"/>
              </w:rPr>
              <w:t>次大门、管井等巡查，</w:t>
            </w:r>
          </w:p>
          <w:p w14:paraId="5DD863BA">
            <w:pPr>
              <w:pStyle w:val="42"/>
              <w:kinsoku w:val="0"/>
              <w:overflowPunct w:val="0"/>
              <w:spacing w:before="121" w:beforeLines="0" w:afterLines="0" w:line="283" w:lineRule="auto"/>
              <w:ind w:left="102" w:right="213"/>
              <w:jc w:val="both"/>
              <w:rPr>
                <w:rFonts w:hint="default"/>
                <w:sz w:val="24"/>
                <w:szCs w:val="24"/>
              </w:rPr>
            </w:pPr>
            <w:r>
              <w:rPr>
                <w:rFonts w:hint="eastAsia" w:ascii="宋体" w:hAnsi="宋体" w:eastAsia="宋体"/>
                <w:sz w:val="24"/>
                <w:szCs w:val="24"/>
              </w:rPr>
              <w:t>每半月至少检查</w:t>
            </w:r>
            <w:r>
              <w:rPr>
                <w:rFonts w:hint="default" w:ascii="Calibri" w:hAnsi="Calibri" w:eastAsia="Calibri"/>
                <w:sz w:val="24"/>
                <w:szCs w:val="24"/>
              </w:rPr>
              <w:t>1</w:t>
            </w:r>
            <w:r>
              <w:rPr>
                <w:rFonts w:hint="eastAsia" w:ascii="宋体" w:hAnsi="宋体" w:eastAsia="宋体"/>
                <w:sz w:val="24"/>
                <w:szCs w:val="24"/>
              </w:rPr>
              <w:t>次污水管井、化粪池等巡查，发现破损，及时向采购人报告，按采购人要求出具维修方案，待采购人同意后按维修方案实施维修。</w:t>
            </w:r>
          </w:p>
        </w:tc>
      </w:tr>
      <w:tr w14:paraId="599D8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7" w:hRule="exact"/>
        </w:trPr>
        <w:tc>
          <w:tcPr>
            <w:tcW w:w="7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17867555">
            <w:pPr>
              <w:pStyle w:val="42"/>
              <w:kinsoku w:val="0"/>
              <w:overflowPunct w:val="0"/>
              <w:spacing w:before="121" w:beforeLines="0" w:afterLines="0" w:line="283" w:lineRule="auto"/>
              <w:ind w:left="102" w:right="213"/>
              <w:jc w:val="both"/>
              <w:rPr>
                <w:rFonts w:hint="default"/>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6160E099">
            <w:pPr>
              <w:pStyle w:val="42"/>
              <w:kinsoku w:val="0"/>
              <w:overflowPunct w:val="0"/>
              <w:spacing w:before="121" w:beforeLines="0" w:afterLines="0" w:line="283" w:lineRule="auto"/>
              <w:ind w:left="102" w:right="213"/>
              <w:jc w:val="both"/>
              <w:rPr>
                <w:rFonts w:hint="default"/>
                <w:sz w:val="24"/>
                <w:szCs w:val="24"/>
              </w:rPr>
            </w:pPr>
          </w:p>
        </w:tc>
        <w:tc>
          <w:tcPr>
            <w:tcW w:w="58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39A4D88">
            <w:pPr>
              <w:pStyle w:val="42"/>
              <w:kinsoku w:val="0"/>
              <w:overflowPunct w:val="0"/>
              <w:spacing w:before="25" w:beforeLines="0" w:afterLines="0" w:line="316" w:lineRule="auto"/>
              <w:ind w:left="102" w:right="290" w:firstLine="240"/>
              <w:rPr>
                <w:rFonts w:hint="default"/>
                <w:sz w:val="24"/>
                <w:szCs w:val="24"/>
              </w:rPr>
            </w:pPr>
            <w:r>
              <w:rPr>
                <w:rFonts w:hint="eastAsia" w:ascii="宋体" w:hAnsi="宋体" w:eastAsia="宋体"/>
                <w:sz w:val="24"/>
                <w:szCs w:val="24"/>
              </w:rPr>
              <w:t>（</w:t>
            </w:r>
            <w:r>
              <w:rPr>
                <w:rFonts w:hint="default" w:ascii="Times New Roman" w:hAnsi="Times New Roman" w:eastAsia="Times New Roman"/>
                <w:sz w:val="24"/>
                <w:szCs w:val="24"/>
              </w:rPr>
              <w:t>2</w:t>
            </w:r>
            <w:r>
              <w:rPr>
                <w:rFonts w:hint="eastAsia" w:ascii="宋体" w:hAnsi="宋体" w:eastAsia="宋体"/>
                <w:sz w:val="24"/>
                <w:szCs w:val="24"/>
              </w:rPr>
              <w:t>）每年至少开展</w:t>
            </w:r>
            <w:r>
              <w:rPr>
                <w:rFonts w:hint="default" w:ascii="Times New Roman" w:hAnsi="Times New Roman" w:eastAsia="Times New Roman"/>
                <w:sz w:val="24"/>
                <w:szCs w:val="24"/>
              </w:rPr>
              <w:t>4</w:t>
            </w:r>
            <w:r>
              <w:rPr>
                <w:rFonts w:hint="eastAsia" w:ascii="宋体" w:hAnsi="宋体" w:eastAsia="宋体"/>
                <w:sz w:val="24"/>
                <w:szCs w:val="24"/>
              </w:rPr>
              <w:t>次消防设施检测，发现失效，及时向采购人报告，按采购人要求出具维修方案，待采购人同意后按维修方案实施维修。</w:t>
            </w:r>
          </w:p>
        </w:tc>
      </w:tr>
      <w:tr w14:paraId="7AF84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exact"/>
        </w:trPr>
        <w:tc>
          <w:tcPr>
            <w:tcW w:w="7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2E50A302">
            <w:pPr>
              <w:pStyle w:val="42"/>
              <w:kinsoku w:val="0"/>
              <w:overflowPunct w:val="0"/>
              <w:spacing w:before="25" w:beforeLines="0" w:afterLines="0" w:line="316" w:lineRule="auto"/>
              <w:ind w:left="102" w:right="290" w:firstLine="240"/>
              <w:rPr>
                <w:rFonts w:hint="default"/>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3F6770CA">
            <w:pPr>
              <w:pStyle w:val="42"/>
              <w:kinsoku w:val="0"/>
              <w:overflowPunct w:val="0"/>
              <w:spacing w:before="25" w:beforeLines="0" w:afterLines="0" w:line="316" w:lineRule="auto"/>
              <w:ind w:left="102" w:right="290" w:firstLine="240"/>
              <w:rPr>
                <w:rFonts w:hint="default"/>
                <w:sz w:val="24"/>
                <w:szCs w:val="24"/>
              </w:rPr>
            </w:pPr>
          </w:p>
        </w:tc>
        <w:tc>
          <w:tcPr>
            <w:tcW w:w="58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F8C1EEC">
            <w:pPr>
              <w:pStyle w:val="42"/>
              <w:kinsoku w:val="0"/>
              <w:overflowPunct w:val="0"/>
              <w:spacing w:before="25" w:beforeLines="0" w:afterLines="0" w:line="336" w:lineRule="auto"/>
              <w:ind w:left="102" w:right="278" w:firstLine="240"/>
              <w:rPr>
                <w:rFonts w:hint="default"/>
                <w:sz w:val="24"/>
                <w:szCs w:val="24"/>
              </w:rPr>
            </w:pPr>
            <w:r>
              <w:rPr>
                <w:rFonts w:hint="eastAsia" w:ascii="宋体" w:hAnsi="宋体" w:eastAsia="宋体"/>
                <w:sz w:val="24"/>
                <w:szCs w:val="24"/>
              </w:rPr>
              <w:t>（</w:t>
            </w:r>
            <w:r>
              <w:rPr>
                <w:rFonts w:hint="default" w:ascii="Times New Roman" w:hAnsi="Times New Roman" w:eastAsia="Times New Roman"/>
                <w:sz w:val="24"/>
                <w:szCs w:val="24"/>
              </w:rPr>
              <w:t>3</w:t>
            </w:r>
            <w:r>
              <w:rPr>
                <w:rFonts w:hint="eastAsia" w:ascii="宋体" w:hAnsi="宋体" w:eastAsia="宋体"/>
                <w:sz w:val="24"/>
                <w:szCs w:val="24"/>
              </w:rPr>
              <w:t>）地面良好，卫生间、茶水间地漏通畅不堵塞。</w:t>
            </w:r>
          </w:p>
        </w:tc>
      </w:tr>
      <w:tr w14:paraId="0F56A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5" w:hRule="exact"/>
        </w:trPr>
        <w:tc>
          <w:tcPr>
            <w:tcW w:w="72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6523C42A">
            <w:pPr>
              <w:pStyle w:val="42"/>
              <w:kinsoku w:val="0"/>
              <w:overflowPunct w:val="0"/>
              <w:spacing w:beforeLines="0" w:afterLines="0"/>
              <w:rPr>
                <w:rFonts w:hint="eastAsia" w:ascii="宋体" w:hAnsi="宋体" w:eastAsia="宋体"/>
                <w:b/>
                <w:sz w:val="24"/>
                <w:szCs w:val="24"/>
              </w:rPr>
            </w:pPr>
          </w:p>
          <w:p w14:paraId="3A97932B">
            <w:pPr>
              <w:pStyle w:val="42"/>
              <w:kinsoku w:val="0"/>
              <w:overflowPunct w:val="0"/>
              <w:spacing w:beforeLines="0" w:afterLines="0"/>
              <w:rPr>
                <w:rFonts w:hint="eastAsia" w:ascii="宋体" w:hAnsi="宋体" w:eastAsia="宋体"/>
                <w:b/>
                <w:sz w:val="24"/>
                <w:szCs w:val="24"/>
              </w:rPr>
            </w:pPr>
          </w:p>
          <w:p w14:paraId="06712008">
            <w:pPr>
              <w:pStyle w:val="42"/>
              <w:kinsoku w:val="0"/>
              <w:overflowPunct w:val="0"/>
              <w:spacing w:beforeLines="0" w:afterLines="0"/>
              <w:rPr>
                <w:rFonts w:hint="eastAsia" w:ascii="宋体" w:hAnsi="宋体" w:eastAsia="宋体"/>
                <w:b/>
                <w:sz w:val="24"/>
                <w:szCs w:val="24"/>
              </w:rPr>
            </w:pPr>
          </w:p>
          <w:p w14:paraId="395D39B9">
            <w:pPr>
              <w:pStyle w:val="42"/>
              <w:kinsoku w:val="0"/>
              <w:overflowPunct w:val="0"/>
              <w:spacing w:before="12" w:beforeLines="0" w:afterLines="0"/>
              <w:rPr>
                <w:rFonts w:hint="eastAsia" w:ascii="宋体" w:hAnsi="宋体" w:eastAsia="宋体"/>
                <w:b/>
                <w:sz w:val="29"/>
                <w:szCs w:val="24"/>
              </w:rPr>
            </w:pPr>
          </w:p>
          <w:p w14:paraId="471D8CD2">
            <w:pPr>
              <w:pStyle w:val="42"/>
              <w:kinsoku w:val="0"/>
              <w:overflowPunct w:val="0"/>
              <w:spacing w:beforeLines="0" w:afterLines="0"/>
              <w:ind w:right="1"/>
              <w:jc w:val="center"/>
              <w:rPr>
                <w:rFonts w:hint="default"/>
                <w:sz w:val="24"/>
                <w:szCs w:val="24"/>
              </w:rPr>
            </w:pPr>
            <w:r>
              <w:rPr>
                <w:rFonts w:hint="default" w:ascii="Times New Roman" w:hAnsi="Times New Roman" w:eastAsia="Times New Roman"/>
                <w:sz w:val="24"/>
                <w:szCs w:val="24"/>
              </w:rPr>
              <w:t>3</w:t>
            </w:r>
          </w:p>
        </w:tc>
        <w:tc>
          <w:tcPr>
            <w:tcW w:w="194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4DB234FB">
            <w:pPr>
              <w:pStyle w:val="42"/>
              <w:kinsoku w:val="0"/>
              <w:overflowPunct w:val="0"/>
              <w:spacing w:beforeLines="0" w:afterLines="0"/>
              <w:rPr>
                <w:rFonts w:hint="eastAsia" w:ascii="宋体" w:hAnsi="宋体" w:eastAsia="宋体"/>
                <w:b/>
                <w:sz w:val="24"/>
                <w:szCs w:val="24"/>
              </w:rPr>
            </w:pPr>
          </w:p>
          <w:p w14:paraId="7C1436C6">
            <w:pPr>
              <w:pStyle w:val="42"/>
              <w:kinsoku w:val="0"/>
              <w:overflowPunct w:val="0"/>
              <w:spacing w:beforeLines="0" w:afterLines="0"/>
              <w:rPr>
                <w:rFonts w:hint="eastAsia" w:ascii="宋体" w:hAnsi="宋体" w:eastAsia="宋体"/>
                <w:b/>
                <w:sz w:val="24"/>
                <w:szCs w:val="24"/>
              </w:rPr>
            </w:pPr>
          </w:p>
          <w:p w14:paraId="52DFE2AB">
            <w:pPr>
              <w:pStyle w:val="42"/>
              <w:kinsoku w:val="0"/>
              <w:overflowPunct w:val="0"/>
              <w:spacing w:beforeLines="0" w:afterLines="0"/>
              <w:rPr>
                <w:rFonts w:hint="eastAsia" w:ascii="宋体" w:hAnsi="宋体" w:eastAsia="宋体"/>
                <w:b/>
                <w:sz w:val="24"/>
                <w:szCs w:val="24"/>
              </w:rPr>
            </w:pPr>
          </w:p>
          <w:p w14:paraId="6AB01F1A">
            <w:pPr>
              <w:pStyle w:val="42"/>
              <w:kinsoku w:val="0"/>
              <w:overflowPunct w:val="0"/>
              <w:spacing w:before="4" w:beforeLines="0" w:afterLines="0"/>
              <w:rPr>
                <w:rFonts w:hint="eastAsia" w:ascii="宋体" w:hAnsi="宋体" w:eastAsia="宋体"/>
                <w:b/>
                <w:sz w:val="25"/>
                <w:szCs w:val="24"/>
              </w:rPr>
            </w:pPr>
          </w:p>
          <w:p w14:paraId="46A289A9">
            <w:pPr>
              <w:pStyle w:val="42"/>
              <w:kinsoku w:val="0"/>
              <w:overflowPunct w:val="0"/>
              <w:spacing w:beforeLines="0" w:afterLines="0"/>
              <w:ind w:left="101"/>
              <w:rPr>
                <w:rFonts w:hint="default"/>
                <w:sz w:val="24"/>
                <w:szCs w:val="24"/>
              </w:rPr>
            </w:pPr>
            <w:r>
              <w:rPr>
                <w:rFonts w:hint="eastAsia" w:ascii="宋体" w:hAnsi="宋体" w:eastAsia="宋体"/>
                <w:sz w:val="24"/>
                <w:szCs w:val="24"/>
              </w:rPr>
              <w:t>标识标牌</w:t>
            </w:r>
          </w:p>
        </w:tc>
        <w:tc>
          <w:tcPr>
            <w:tcW w:w="58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260C9A">
            <w:pPr>
              <w:pStyle w:val="42"/>
              <w:kinsoku w:val="0"/>
              <w:overflowPunct w:val="0"/>
              <w:spacing w:before="25" w:beforeLines="0" w:afterLines="0"/>
              <w:ind w:left="102" w:firstLine="240"/>
              <w:rPr>
                <w:rFonts w:hint="eastAsia" w:ascii="宋体" w:hAnsi="宋体" w:eastAsia="宋体"/>
                <w:sz w:val="24"/>
                <w:szCs w:val="24"/>
              </w:rPr>
            </w:pPr>
            <w:r>
              <w:rPr>
                <w:rFonts w:hint="eastAsia" w:ascii="宋体" w:hAnsi="宋体" w:eastAsia="宋体"/>
                <w:sz w:val="24"/>
                <w:szCs w:val="24"/>
              </w:rPr>
              <w:t>（</w:t>
            </w:r>
            <w:r>
              <w:rPr>
                <w:rFonts w:hint="default" w:ascii="Times New Roman" w:hAnsi="Times New Roman" w:eastAsia="Times New Roman"/>
                <w:sz w:val="24"/>
                <w:szCs w:val="24"/>
              </w:rPr>
              <w:t>1</w:t>
            </w:r>
            <w:r>
              <w:rPr>
                <w:rFonts w:hint="eastAsia" w:ascii="宋体" w:hAnsi="宋体" w:eastAsia="宋体"/>
                <w:sz w:val="24"/>
                <w:szCs w:val="24"/>
              </w:rPr>
              <w:t>）标识标牌符合《公共信息图形符号第</w:t>
            </w:r>
            <w:r>
              <w:rPr>
                <w:rFonts w:hint="default" w:ascii="Times New Roman" w:hAnsi="Times New Roman" w:eastAsia="Times New Roman"/>
                <w:sz w:val="24"/>
                <w:szCs w:val="24"/>
              </w:rPr>
              <w:t>1</w:t>
            </w:r>
            <w:r>
              <w:rPr>
                <w:rFonts w:hint="eastAsia" w:ascii="宋体" w:hAnsi="宋体" w:eastAsia="宋体"/>
                <w:sz w:val="24"/>
                <w:szCs w:val="24"/>
              </w:rPr>
              <w:t>部</w:t>
            </w:r>
          </w:p>
          <w:p w14:paraId="16127321">
            <w:pPr>
              <w:pStyle w:val="42"/>
              <w:kinsoku w:val="0"/>
              <w:overflowPunct w:val="0"/>
              <w:spacing w:before="133" w:beforeLines="0" w:afterLines="0" w:line="280" w:lineRule="auto"/>
              <w:ind w:left="102" w:right="271"/>
              <w:rPr>
                <w:rFonts w:hint="eastAsia" w:ascii="宋体" w:hAnsi="宋体" w:eastAsia="宋体"/>
                <w:sz w:val="24"/>
                <w:szCs w:val="24"/>
              </w:rPr>
            </w:pPr>
            <w:r>
              <w:rPr>
                <w:rFonts w:hint="eastAsia" w:ascii="宋体" w:hAnsi="宋体" w:eastAsia="宋体"/>
                <w:spacing w:val="-1"/>
                <w:sz w:val="24"/>
                <w:szCs w:val="24"/>
              </w:rPr>
              <w:t>分：通用符号》（</w:t>
            </w:r>
            <w:r>
              <w:rPr>
                <w:rFonts w:hint="default" w:ascii="Times New Roman" w:hAnsi="Times New Roman" w:eastAsia="Times New Roman"/>
                <w:spacing w:val="-1"/>
                <w:sz w:val="24"/>
                <w:szCs w:val="24"/>
              </w:rPr>
              <w:t>GB/T</w:t>
            </w:r>
            <w:r>
              <w:rPr>
                <w:rFonts w:hint="default" w:ascii="Times New Roman" w:hAnsi="Times New Roman" w:eastAsia="Times New Roman"/>
                <w:sz w:val="24"/>
                <w:szCs w:val="24"/>
              </w:rPr>
              <w:t>10001.1</w:t>
            </w:r>
            <w:r>
              <w:rPr>
                <w:rFonts w:hint="eastAsia" w:ascii="宋体" w:hAnsi="宋体" w:eastAsia="宋体"/>
                <w:sz w:val="24"/>
                <w:szCs w:val="24"/>
              </w:rPr>
              <w:t>）的相关要求，消防与安全标识符合《安全标志及其使用导则》</w:t>
            </w:r>
          </w:p>
          <w:p w14:paraId="195B63AB">
            <w:pPr>
              <w:pStyle w:val="42"/>
              <w:tabs>
                <w:tab w:val="left" w:pos="3510"/>
              </w:tabs>
              <w:kinsoku w:val="0"/>
              <w:overflowPunct w:val="0"/>
              <w:spacing w:before="34" w:beforeLines="0" w:afterLines="0"/>
              <w:ind w:left="102"/>
              <w:rPr>
                <w:rFonts w:hint="eastAsia" w:ascii="宋体" w:hAnsi="宋体" w:eastAsia="宋体"/>
                <w:sz w:val="24"/>
                <w:szCs w:val="24"/>
              </w:rPr>
            </w:pPr>
            <w:r>
              <w:rPr>
                <w:rFonts w:hint="eastAsia" w:ascii="宋体" w:hAnsi="宋体" w:eastAsia="宋体"/>
                <w:spacing w:val="-1"/>
                <w:w w:val="95"/>
                <w:sz w:val="24"/>
                <w:szCs w:val="24"/>
              </w:rPr>
              <w:t>（</w:t>
            </w:r>
            <w:r>
              <w:rPr>
                <w:rFonts w:hint="default" w:ascii="Calibri" w:hAnsi="Calibri" w:eastAsia="Calibri"/>
                <w:spacing w:val="-1"/>
                <w:w w:val="95"/>
                <w:sz w:val="24"/>
                <w:szCs w:val="24"/>
              </w:rPr>
              <w:t>GB2894</w:t>
            </w:r>
            <w:r>
              <w:rPr>
                <w:rFonts w:hint="eastAsia" w:ascii="宋体" w:hAnsi="宋体" w:eastAsia="宋体"/>
                <w:spacing w:val="-1"/>
                <w:w w:val="95"/>
                <w:sz w:val="24"/>
                <w:szCs w:val="24"/>
              </w:rPr>
              <w:t>）、《消防安全标志</w:t>
            </w:r>
            <w:r>
              <w:rPr>
                <w:rFonts w:hint="eastAsia" w:ascii="宋体" w:hAnsi="宋体" w:eastAsia="宋体"/>
                <w:spacing w:val="-1"/>
                <w:w w:val="95"/>
                <w:sz w:val="24"/>
                <w:szCs w:val="24"/>
              </w:rPr>
              <w:tab/>
            </w:r>
            <w:r>
              <w:rPr>
                <w:rFonts w:hint="eastAsia" w:ascii="宋体" w:hAnsi="宋体" w:eastAsia="宋体"/>
                <w:sz w:val="24"/>
                <w:szCs w:val="24"/>
              </w:rPr>
              <w:t>第</w:t>
            </w:r>
            <w:r>
              <w:rPr>
                <w:rFonts w:hint="default" w:ascii="Times New Roman" w:hAnsi="Times New Roman" w:eastAsia="Times New Roman"/>
                <w:sz w:val="24"/>
                <w:szCs w:val="24"/>
              </w:rPr>
              <w:t>1</w:t>
            </w:r>
            <w:r>
              <w:rPr>
                <w:rFonts w:hint="eastAsia" w:ascii="宋体" w:hAnsi="宋体" w:eastAsia="宋体"/>
                <w:sz w:val="24"/>
                <w:szCs w:val="24"/>
              </w:rPr>
              <w:t>部分：标志》</w:t>
            </w:r>
          </w:p>
          <w:p w14:paraId="4C043FC3">
            <w:pPr>
              <w:pStyle w:val="42"/>
              <w:kinsoku w:val="0"/>
              <w:overflowPunct w:val="0"/>
              <w:spacing w:before="44" w:beforeLines="0" w:afterLines="0"/>
              <w:ind w:left="102"/>
              <w:rPr>
                <w:rFonts w:hint="default"/>
                <w:sz w:val="24"/>
                <w:szCs w:val="24"/>
              </w:rPr>
            </w:pPr>
            <w:r>
              <w:rPr>
                <w:rFonts w:hint="eastAsia" w:ascii="宋体" w:hAnsi="宋体" w:eastAsia="宋体"/>
                <w:spacing w:val="-1"/>
                <w:sz w:val="24"/>
                <w:szCs w:val="24"/>
              </w:rPr>
              <w:t>（</w:t>
            </w:r>
            <w:r>
              <w:rPr>
                <w:rFonts w:hint="default" w:ascii="Calibri" w:hAnsi="Calibri" w:eastAsia="Calibri"/>
                <w:spacing w:val="-1"/>
                <w:sz w:val="24"/>
                <w:szCs w:val="24"/>
              </w:rPr>
              <w:t>GB13495.1</w:t>
            </w:r>
            <w:r>
              <w:rPr>
                <w:rFonts w:hint="eastAsia" w:ascii="宋体" w:hAnsi="宋体" w:eastAsia="宋体"/>
                <w:spacing w:val="-1"/>
                <w:sz w:val="24"/>
                <w:szCs w:val="24"/>
              </w:rPr>
              <w:t>）的相关要求。</w:t>
            </w:r>
          </w:p>
        </w:tc>
      </w:tr>
      <w:tr w14:paraId="0ED21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exact"/>
        </w:trPr>
        <w:tc>
          <w:tcPr>
            <w:tcW w:w="7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351A0C56">
            <w:pPr>
              <w:pStyle w:val="42"/>
              <w:kinsoku w:val="0"/>
              <w:overflowPunct w:val="0"/>
              <w:spacing w:before="44" w:beforeLines="0" w:afterLines="0"/>
              <w:ind w:left="102"/>
              <w:rPr>
                <w:rFonts w:hint="default"/>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71BF4B09">
            <w:pPr>
              <w:pStyle w:val="42"/>
              <w:kinsoku w:val="0"/>
              <w:overflowPunct w:val="0"/>
              <w:spacing w:before="44" w:beforeLines="0" w:afterLines="0"/>
              <w:ind w:left="102"/>
              <w:rPr>
                <w:rFonts w:hint="default"/>
                <w:sz w:val="24"/>
                <w:szCs w:val="24"/>
              </w:rPr>
            </w:pPr>
          </w:p>
        </w:tc>
        <w:tc>
          <w:tcPr>
            <w:tcW w:w="58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D600B56">
            <w:pPr>
              <w:pStyle w:val="42"/>
              <w:kinsoku w:val="0"/>
              <w:overflowPunct w:val="0"/>
              <w:spacing w:before="25" w:beforeLines="0" w:afterLines="0" w:line="324" w:lineRule="auto"/>
              <w:ind w:right="273" w:firstLine="240" w:firstLineChars="100"/>
              <w:rPr>
                <w:rFonts w:hint="default"/>
                <w:sz w:val="24"/>
                <w:szCs w:val="24"/>
              </w:rPr>
            </w:pPr>
            <w:r>
              <w:rPr>
                <w:rFonts w:hint="eastAsia" w:ascii="宋体" w:hAnsi="宋体" w:eastAsia="宋体"/>
                <w:sz w:val="24"/>
                <w:szCs w:val="24"/>
              </w:rPr>
              <w:t>（</w:t>
            </w:r>
            <w:r>
              <w:rPr>
                <w:rFonts w:hint="default" w:ascii="Times New Roman" w:hAnsi="Times New Roman" w:eastAsia="Times New Roman"/>
                <w:sz w:val="24"/>
                <w:szCs w:val="24"/>
              </w:rPr>
              <w:t>2</w:t>
            </w:r>
            <w:r>
              <w:rPr>
                <w:rFonts w:hint="eastAsia" w:ascii="宋体" w:hAnsi="宋体" w:eastAsia="宋体"/>
                <w:sz w:val="24"/>
                <w:szCs w:val="24"/>
              </w:rPr>
              <w:t>）每月至少检查</w:t>
            </w:r>
            <w:r>
              <w:rPr>
                <w:rFonts w:hint="default" w:ascii="Calibri" w:hAnsi="Calibri" w:eastAsia="Calibri"/>
                <w:sz w:val="24"/>
                <w:szCs w:val="24"/>
              </w:rPr>
              <w:t>1</w:t>
            </w:r>
            <w:r>
              <w:rPr>
                <w:rFonts w:hint="eastAsia" w:ascii="宋体" w:hAnsi="宋体" w:eastAsia="宋体"/>
                <w:sz w:val="24"/>
                <w:szCs w:val="24"/>
              </w:rPr>
              <w:t>次标识标牌和消防与安全标识。应当规范清晰、路线指引正确、安装稳固。</w:t>
            </w:r>
          </w:p>
        </w:tc>
      </w:tr>
    </w:tbl>
    <w:p w14:paraId="11B9AAF8">
      <w:pPr>
        <w:pStyle w:val="8"/>
        <w:kinsoku w:val="0"/>
        <w:overflowPunct w:val="0"/>
        <w:spacing w:beforeLines="0" w:afterLines="0"/>
        <w:ind w:left="0"/>
        <w:rPr>
          <w:rFonts w:hint="eastAsia"/>
          <w:b/>
          <w:sz w:val="20"/>
          <w:szCs w:val="24"/>
        </w:rPr>
      </w:pPr>
    </w:p>
    <w:p w14:paraId="146C17B3">
      <w:pPr>
        <w:pStyle w:val="8"/>
        <w:kinsoku w:val="0"/>
        <w:overflowPunct w:val="0"/>
        <w:spacing w:beforeLines="0" w:afterLines="0"/>
        <w:ind w:left="0"/>
        <w:rPr>
          <w:rFonts w:hint="eastAsia"/>
          <w:b/>
          <w:sz w:val="20"/>
          <w:szCs w:val="24"/>
        </w:rPr>
      </w:pPr>
    </w:p>
    <w:p w14:paraId="1CD6F601">
      <w:pPr>
        <w:pStyle w:val="8"/>
        <w:kinsoku w:val="0"/>
        <w:overflowPunct w:val="0"/>
        <w:spacing w:beforeLines="0" w:afterLines="0"/>
        <w:ind w:left="0"/>
        <w:rPr>
          <w:rFonts w:hint="eastAsia"/>
          <w:b/>
          <w:sz w:val="20"/>
          <w:szCs w:val="24"/>
        </w:rPr>
      </w:pPr>
    </w:p>
    <w:p w14:paraId="0EE2268D">
      <w:pPr>
        <w:pStyle w:val="8"/>
        <w:kinsoku w:val="0"/>
        <w:overflowPunct w:val="0"/>
        <w:spacing w:before="3" w:beforeLines="0" w:afterLines="0"/>
        <w:ind w:left="0"/>
        <w:rPr>
          <w:rFonts w:hint="eastAsia"/>
          <w:b/>
          <w:sz w:val="24"/>
          <w:szCs w:val="24"/>
        </w:rPr>
      </w:pPr>
    </w:p>
    <w:p w14:paraId="171CC749">
      <w:pPr>
        <w:pStyle w:val="8"/>
        <w:kinsoku w:val="0"/>
        <w:overflowPunct w:val="0"/>
        <w:spacing w:beforeLines="0" w:afterLines="0"/>
        <w:rPr>
          <w:rFonts w:hint="eastAsia"/>
          <w:sz w:val="32"/>
          <w:szCs w:val="24"/>
        </w:rPr>
      </w:pPr>
      <w:bookmarkStart w:id="17" w:name="3.3公用设施设备维护服务"/>
      <w:bookmarkEnd w:id="17"/>
      <w:r>
        <w:rPr>
          <w:rFonts w:hint="default" w:ascii="Times New Roman" w:hAnsi="Times New Roman" w:eastAsia="Times New Roman"/>
          <w:b/>
          <w:sz w:val="32"/>
          <w:szCs w:val="24"/>
        </w:rPr>
        <w:t>3.3</w:t>
      </w:r>
      <w:r>
        <w:rPr>
          <w:rFonts w:hint="eastAsia"/>
          <w:b/>
          <w:spacing w:val="1"/>
          <w:sz w:val="32"/>
          <w:szCs w:val="24"/>
        </w:rPr>
        <w:t>公用设施设备维护服务</w:t>
      </w:r>
    </w:p>
    <w:p w14:paraId="10D281AA">
      <w:pPr>
        <w:pStyle w:val="8"/>
        <w:kinsoku w:val="0"/>
        <w:overflowPunct w:val="0"/>
        <w:spacing w:beforeLines="0" w:afterLines="0"/>
        <w:ind w:left="0"/>
        <w:rPr>
          <w:rFonts w:hint="eastAsia"/>
          <w:b/>
          <w:sz w:val="20"/>
          <w:szCs w:val="24"/>
        </w:rPr>
      </w:pPr>
    </w:p>
    <w:p w14:paraId="3AF38FA2">
      <w:pPr>
        <w:pStyle w:val="8"/>
        <w:kinsoku w:val="0"/>
        <w:overflowPunct w:val="0"/>
        <w:spacing w:before="6" w:beforeLines="0" w:afterLines="0"/>
        <w:ind w:left="0"/>
        <w:rPr>
          <w:rFonts w:hint="eastAsia"/>
          <w:b/>
          <w:sz w:val="24"/>
          <w:szCs w:val="24"/>
        </w:rPr>
      </w:pPr>
    </w:p>
    <w:tbl>
      <w:tblPr>
        <w:tblStyle w:val="19"/>
        <w:tblW w:w="0" w:type="auto"/>
        <w:tblInd w:w="2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6"/>
        <w:gridCol w:w="1960"/>
        <w:gridCol w:w="5865"/>
      </w:tblGrid>
      <w:tr w14:paraId="14978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4" w:hRule="exact"/>
        </w:trPr>
        <w:tc>
          <w:tcPr>
            <w:tcW w:w="72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62F3272">
            <w:pPr>
              <w:pStyle w:val="42"/>
              <w:kinsoku w:val="0"/>
              <w:overflowPunct w:val="0"/>
              <w:spacing w:beforeLines="0" w:afterLines="0" w:line="307" w:lineRule="exact"/>
              <w:ind w:left="117"/>
              <w:rPr>
                <w:rFonts w:hint="default"/>
                <w:sz w:val="24"/>
                <w:szCs w:val="24"/>
              </w:rPr>
            </w:pPr>
            <w:r>
              <w:rPr>
                <w:rFonts w:hint="eastAsia" w:ascii="宋体" w:hAnsi="宋体" w:eastAsia="宋体"/>
                <w:b/>
                <w:sz w:val="24"/>
                <w:szCs w:val="24"/>
              </w:rPr>
              <w:t>序号</w:t>
            </w:r>
          </w:p>
        </w:tc>
        <w:tc>
          <w:tcPr>
            <w:tcW w:w="196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7DBF044">
            <w:pPr>
              <w:pStyle w:val="42"/>
              <w:kinsoku w:val="0"/>
              <w:overflowPunct w:val="0"/>
              <w:spacing w:beforeLines="0" w:afterLines="0" w:line="307" w:lineRule="exact"/>
              <w:ind w:left="493"/>
              <w:rPr>
                <w:rFonts w:hint="default"/>
                <w:sz w:val="24"/>
                <w:szCs w:val="24"/>
              </w:rPr>
            </w:pPr>
            <w:r>
              <w:rPr>
                <w:rFonts w:hint="eastAsia" w:ascii="宋体" w:hAnsi="宋体" w:eastAsia="宋体"/>
                <w:b/>
                <w:sz w:val="24"/>
                <w:szCs w:val="24"/>
              </w:rPr>
              <w:t>服务内容</w:t>
            </w:r>
          </w:p>
        </w:tc>
        <w:tc>
          <w:tcPr>
            <w:tcW w:w="58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25818D8">
            <w:pPr>
              <w:pStyle w:val="42"/>
              <w:kinsoku w:val="0"/>
              <w:overflowPunct w:val="0"/>
              <w:spacing w:beforeLines="0" w:afterLines="0" w:line="307" w:lineRule="exact"/>
              <w:jc w:val="center"/>
              <w:rPr>
                <w:rFonts w:hint="default"/>
                <w:sz w:val="24"/>
                <w:szCs w:val="24"/>
              </w:rPr>
            </w:pPr>
            <w:r>
              <w:rPr>
                <w:rFonts w:hint="eastAsia" w:ascii="宋体" w:hAnsi="宋体" w:eastAsia="宋体"/>
                <w:b/>
                <w:sz w:val="24"/>
                <w:szCs w:val="24"/>
              </w:rPr>
              <w:t>服务标准</w:t>
            </w:r>
          </w:p>
        </w:tc>
      </w:tr>
      <w:tr w14:paraId="57FD7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exact"/>
        </w:trPr>
        <w:tc>
          <w:tcPr>
            <w:tcW w:w="72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1AD886A5">
            <w:pPr>
              <w:pStyle w:val="42"/>
              <w:kinsoku w:val="0"/>
              <w:overflowPunct w:val="0"/>
              <w:spacing w:beforeLines="0" w:afterLines="0"/>
              <w:rPr>
                <w:rFonts w:hint="eastAsia" w:ascii="宋体" w:hAnsi="宋体" w:eastAsia="宋体"/>
                <w:b/>
                <w:sz w:val="24"/>
                <w:szCs w:val="24"/>
              </w:rPr>
            </w:pPr>
          </w:p>
          <w:p w14:paraId="4FF8FC0A">
            <w:pPr>
              <w:pStyle w:val="42"/>
              <w:kinsoku w:val="0"/>
              <w:overflowPunct w:val="0"/>
              <w:spacing w:beforeLines="0" w:afterLines="0"/>
              <w:rPr>
                <w:rFonts w:hint="eastAsia" w:ascii="宋体" w:hAnsi="宋体" w:eastAsia="宋体"/>
                <w:b/>
                <w:sz w:val="24"/>
                <w:szCs w:val="24"/>
              </w:rPr>
            </w:pPr>
          </w:p>
          <w:p w14:paraId="25AFB248">
            <w:pPr>
              <w:pStyle w:val="42"/>
              <w:kinsoku w:val="0"/>
              <w:overflowPunct w:val="0"/>
              <w:spacing w:before="4" w:beforeLines="0" w:afterLines="0"/>
              <w:rPr>
                <w:rFonts w:hint="eastAsia" w:ascii="宋体" w:hAnsi="宋体" w:eastAsia="宋体"/>
                <w:b/>
                <w:sz w:val="24"/>
                <w:szCs w:val="24"/>
              </w:rPr>
            </w:pPr>
          </w:p>
          <w:p w14:paraId="2693E1B2">
            <w:pPr>
              <w:pStyle w:val="42"/>
              <w:kinsoku w:val="0"/>
              <w:overflowPunct w:val="0"/>
              <w:spacing w:beforeLines="0" w:afterLines="0"/>
              <w:ind w:right="1"/>
              <w:jc w:val="center"/>
              <w:rPr>
                <w:rFonts w:hint="default"/>
                <w:sz w:val="24"/>
                <w:szCs w:val="24"/>
              </w:rPr>
            </w:pPr>
            <w:r>
              <w:rPr>
                <w:rFonts w:hint="default" w:ascii="Times New Roman" w:hAnsi="Times New Roman" w:eastAsia="Times New Roman"/>
                <w:sz w:val="24"/>
                <w:szCs w:val="24"/>
              </w:rPr>
              <w:t>1</w:t>
            </w:r>
          </w:p>
        </w:tc>
        <w:tc>
          <w:tcPr>
            <w:tcW w:w="19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46AC825D">
            <w:pPr>
              <w:pStyle w:val="42"/>
              <w:kinsoku w:val="0"/>
              <w:overflowPunct w:val="0"/>
              <w:spacing w:beforeLines="0" w:afterLines="0"/>
              <w:rPr>
                <w:rFonts w:hint="eastAsia" w:ascii="宋体" w:hAnsi="宋体" w:eastAsia="宋体"/>
                <w:b/>
                <w:sz w:val="24"/>
                <w:szCs w:val="24"/>
              </w:rPr>
            </w:pPr>
          </w:p>
          <w:p w14:paraId="636D530D">
            <w:pPr>
              <w:pStyle w:val="42"/>
              <w:kinsoku w:val="0"/>
              <w:overflowPunct w:val="0"/>
              <w:spacing w:beforeLines="0" w:afterLines="0"/>
              <w:rPr>
                <w:rFonts w:hint="eastAsia" w:ascii="宋体" w:hAnsi="宋体" w:eastAsia="宋体"/>
                <w:b/>
                <w:sz w:val="24"/>
                <w:szCs w:val="24"/>
              </w:rPr>
            </w:pPr>
          </w:p>
          <w:p w14:paraId="7957946F">
            <w:pPr>
              <w:pStyle w:val="42"/>
              <w:kinsoku w:val="0"/>
              <w:overflowPunct w:val="0"/>
              <w:spacing w:before="8" w:beforeLines="0" w:afterLines="0"/>
              <w:rPr>
                <w:rFonts w:hint="eastAsia" w:ascii="宋体" w:hAnsi="宋体" w:eastAsia="宋体"/>
                <w:b/>
                <w:sz w:val="19"/>
                <w:szCs w:val="24"/>
              </w:rPr>
            </w:pPr>
          </w:p>
          <w:p w14:paraId="2B247A65">
            <w:pPr>
              <w:pStyle w:val="42"/>
              <w:kinsoku w:val="0"/>
              <w:overflowPunct w:val="0"/>
              <w:spacing w:beforeLines="0" w:afterLines="0"/>
              <w:ind w:left="101"/>
              <w:rPr>
                <w:rFonts w:hint="default"/>
                <w:sz w:val="24"/>
                <w:szCs w:val="24"/>
              </w:rPr>
            </w:pPr>
            <w:r>
              <w:rPr>
                <w:rFonts w:hint="eastAsia" w:ascii="宋体" w:hAnsi="宋体" w:eastAsia="宋体"/>
                <w:sz w:val="24"/>
                <w:szCs w:val="24"/>
              </w:rPr>
              <w:t>基本要求</w:t>
            </w:r>
          </w:p>
        </w:tc>
        <w:tc>
          <w:tcPr>
            <w:tcW w:w="58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104A1DD">
            <w:pPr>
              <w:pStyle w:val="42"/>
              <w:kinsoku w:val="0"/>
              <w:overflowPunct w:val="0"/>
              <w:spacing w:before="25" w:beforeLines="0" w:afterLines="0"/>
              <w:ind w:left="102" w:firstLine="240"/>
              <w:rPr>
                <w:rFonts w:hint="eastAsia" w:ascii="宋体" w:hAnsi="宋体" w:eastAsia="宋体"/>
                <w:sz w:val="24"/>
                <w:szCs w:val="24"/>
              </w:rPr>
            </w:pPr>
            <w:r>
              <w:rPr>
                <w:rFonts w:hint="eastAsia" w:ascii="宋体" w:hAnsi="宋体" w:eastAsia="宋体"/>
                <w:sz w:val="24"/>
                <w:szCs w:val="24"/>
              </w:rPr>
              <w:t>（</w:t>
            </w:r>
            <w:r>
              <w:rPr>
                <w:rFonts w:hint="default" w:ascii="Times New Roman" w:hAnsi="Times New Roman" w:eastAsia="Times New Roman"/>
                <w:sz w:val="24"/>
                <w:szCs w:val="24"/>
              </w:rPr>
              <w:t>1</w:t>
            </w:r>
            <w:r>
              <w:rPr>
                <w:rFonts w:hint="eastAsia" w:ascii="宋体" w:hAnsi="宋体" w:eastAsia="宋体"/>
                <w:sz w:val="24"/>
                <w:szCs w:val="24"/>
              </w:rPr>
              <w:t>）重大节假日及恶劣天气前后，组织系统巡</w:t>
            </w:r>
          </w:p>
          <w:p w14:paraId="2BD13F18">
            <w:pPr>
              <w:pStyle w:val="42"/>
              <w:kinsoku w:val="0"/>
              <w:overflowPunct w:val="0"/>
              <w:spacing w:before="133" w:beforeLines="0" w:afterLines="0"/>
              <w:ind w:left="102"/>
              <w:rPr>
                <w:rFonts w:hint="default"/>
                <w:sz w:val="24"/>
                <w:szCs w:val="24"/>
              </w:rPr>
            </w:pPr>
            <w:r>
              <w:rPr>
                <w:rFonts w:hint="eastAsia" w:ascii="宋体" w:hAnsi="宋体" w:eastAsia="宋体"/>
                <w:sz w:val="24"/>
                <w:szCs w:val="24"/>
              </w:rPr>
              <w:t>检</w:t>
            </w:r>
            <w:r>
              <w:rPr>
                <w:rFonts w:hint="default" w:ascii="Calibri" w:hAnsi="Calibri" w:eastAsia="Calibri"/>
                <w:sz w:val="24"/>
                <w:szCs w:val="24"/>
              </w:rPr>
              <w:t>1</w:t>
            </w:r>
            <w:r>
              <w:rPr>
                <w:rFonts w:hint="eastAsia" w:ascii="宋体" w:hAnsi="宋体" w:eastAsia="宋体"/>
                <w:sz w:val="24"/>
                <w:szCs w:val="24"/>
              </w:rPr>
              <w:t>次。</w:t>
            </w:r>
          </w:p>
        </w:tc>
      </w:tr>
      <w:tr w14:paraId="11C52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8" w:hRule="exact"/>
        </w:trPr>
        <w:tc>
          <w:tcPr>
            <w:tcW w:w="7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3F8D02F2">
            <w:pPr>
              <w:pStyle w:val="42"/>
              <w:kinsoku w:val="0"/>
              <w:overflowPunct w:val="0"/>
              <w:spacing w:before="133" w:beforeLines="0" w:afterLines="0"/>
              <w:ind w:left="102"/>
              <w:rPr>
                <w:rFonts w:hint="default"/>
                <w:sz w:val="24"/>
                <w:szCs w:val="24"/>
              </w:rPr>
            </w:pPr>
          </w:p>
        </w:tc>
        <w:tc>
          <w:tcPr>
            <w:tcW w:w="19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0EA5E498">
            <w:pPr>
              <w:pStyle w:val="42"/>
              <w:kinsoku w:val="0"/>
              <w:overflowPunct w:val="0"/>
              <w:spacing w:before="133" w:beforeLines="0" w:afterLines="0"/>
              <w:ind w:left="102"/>
              <w:rPr>
                <w:rFonts w:hint="default"/>
                <w:sz w:val="24"/>
                <w:szCs w:val="24"/>
              </w:rPr>
            </w:pPr>
          </w:p>
        </w:tc>
        <w:tc>
          <w:tcPr>
            <w:tcW w:w="58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E925303">
            <w:pPr>
              <w:pStyle w:val="42"/>
              <w:kinsoku w:val="0"/>
              <w:overflowPunct w:val="0"/>
              <w:spacing w:before="23" w:beforeLines="0" w:afterLines="0" w:line="317" w:lineRule="auto"/>
              <w:ind w:left="102" w:right="230" w:firstLine="240"/>
              <w:jc w:val="both"/>
              <w:rPr>
                <w:rFonts w:hint="default"/>
                <w:sz w:val="24"/>
                <w:szCs w:val="24"/>
              </w:rPr>
            </w:pPr>
            <w:r>
              <w:rPr>
                <w:rFonts w:hint="eastAsia" w:ascii="宋体" w:hAnsi="宋体" w:eastAsia="宋体"/>
                <w:sz w:val="24"/>
                <w:szCs w:val="24"/>
              </w:rPr>
              <w:t>（</w:t>
            </w:r>
            <w:r>
              <w:rPr>
                <w:rFonts w:hint="default" w:ascii="Times New Roman" w:hAnsi="Times New Roman" w:eastAsia="Times New Roman"/>
                <w:sz w:val="24"/>
                <w:szCs w:val="24"/>
              </w:rPr>
              <w:t>2</w:t>
            </w:r>
            <w:r>
              <w:rPr>
                <w:rFonts w:hint="eastAsia" w:ascii="宋体" w:hAnsi="宋体" w:eastAsia="宋体"/>
                <w:sz w:val="24"/>
                <w:szCs w:val="24"/>
              </w:rPr>
              <w:t>）具备设施设备安全、稳定运行的环境和场所（含有限空间），温湿度、照度、粉尘和烟雾浓度等符合相关安全规范。</w:t>
            </w:r>
          </w:p>
        </w:tc>
      </w:tr>
      <w:tr w14:paraId="18A31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exact"/>
        </w:trPr>
        <w:tc>
          <w:tcPr>
            <w:tcW w:w="72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D0EDEC6">
            <w:pPr>
              <w:pStyle w:val="42"/>
              <w:kinsoku w:val="0"/>
              <w:overflowPunct w:val="0"/>
              <w:spacing w:before="11" w:beforeLines="0" w:afterLines="0"/>
              <w:rPr>
                <w:rFonts w:hint="eastAsia" w:ascii="宋体" w:hAnsi="宋体" w:eastAsia="宋体"/>
                <w:b/>
                <w:sz w:val="21"/>
                <w:szCs w:val="24"/>
              </w:rPr>
            </w:pPr>
          </w:p>
          <w:p w14:paraId="0B218CE1">
            <w:pPr>
              <w:pStyle w:val="42"/>
              <w:kinsoku w:val="0"/>
              <w:overflowPunct w:val="0"/>
              <w:spacing w:beforeLines="0" w:afterLines="0"/>
              <w:ind w:right="1"/>
              <w:jc w:val="center"/>
              <w:rPr>
                <w:rFonts w:hint="default"/>
                <w:sz w:val="24"/>
                <w:szCs w:val="24"/>
              </w:rPr>
            </w:pPr>
            <w:r>
              <w:rPr>
                <w:rFonts w:hint="default" w:ascii="Times New Roman" w:hAnsi="Times New Roman" w:eastAsia="Times New Roman"/>
                <w:sz w:val="24"/>
                <w:szCs w:val="24"/>
              </w:rPr>
              <w:t>2</w:t>
            </w:r>
          </w:p>
        </w:tc>
        <w:tc>
          <w:tcPr>
            <w:tcW w:w="196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B0BBAB6">
            <w:pPr>
              <w:pStyle w:val="42"/>
              <w:kinsoku w:val="0"/>
              <w:overflowPunct w:val="0"/>
              <w:spacing w:before="2" w:beforeLines="0" w:afterLines="0"/>
              <w:rPr>
                <w:rFonts w:hint="eastAsia" w:ascii="宋体" w:hAnsi="宋体" w:eastAsia="宋体"/>
                <w:b/>
                <w:sz w:val="17"/>
                <w:szCs w:val="24"/>
              </w:rPr>
            </w:pPr>
          </w:p>
          <w:p w14:paraId="041AB20D">
            <w:pPr>
              <w:pStyle w:val="42"/>
              <w:kinsoku w:val="0"/>
              <w:overflowPunct w:val="0"/>
              <w:spacing w:beforeLines="0" w:afterLines="0"/>
              <w:ind w:left="101"/>
              <w:rPr>
                <w:rFonts w:hint="default"/>
                <w:sz w:val="24"/>
                <w:szCs w:val="24"/>
              </w:rPr>
            </w:pPr>
            <w:r>
              <w:rPr>
                <w:rFonts w:hint="eastAsia" w:ascii="宋体" w:hAnsi="宋体" w:eastAsia="宋体"/>
                <w:sz w:val="24"/>
                <w:szCs w:val="24"/>
                <w:lang w:val="en-US" w:eastAsia="zh-CN"/>
              </w:rPr>
              <w:t>监控室</w:t>
            </w:r>
          </w:p>
        </w:tc>
        <w:tc>
          <w:tcPr>
            <w:tcW w:w="58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E13460A">
            <w:pPr>
              <w:pStyle w:val="42"/>
              <w:kinsoku w:val="0"/>
              <w:overflowPunct w:val="0"/>
              <w:spacing w:before="25" w:beforeLines="0" w:afterLines="0" w:line="336" w:lineRule="auto"/>
              <w:ind w:left="102" w:right="230" w:firstLine="240"/>
              <w:rPr>
                <w:rFonts w:hint="default"/>
                <w:sz w:val="24"/>
                <w:szCs w:val="24"/>
              </w:rPr>
            </w:pPr>
            <w:r>
              <w:rPr>
                <w:rFonts w:hint="eastAsia" w:ascii="宋体" w:hAnsi="宋体" w:eastAsia="宋体"/>
                <w:sz w:val="24"/>
                <w:szCs w:val="24"/>
              </w:rPr>
              <w:t>（</w:t>
            </w:r>
            <w:r>
              <w:rPr>
                <w:rFonts w:hint="default" w:ascii="Times New Roman" w:hAnsi="Times New Roman" w:eastAsia="Times New Roman"/>
                <w:sz w:val="24"/>
                <w:szCs w:val="24"/>
              </w:rPr>
              <w:t>1</w:t>
            </w:r>
            <w:r>
              <w:rPr>
                <w:rFonts w:hint="eastAsia" w:ascii="宋体" w:hAnsi="宋体" w:eastAsia="宋体"/>
                <w:sz w:val="24"/>
                <w:szCs w:val="24"/>
              </w:rPr>
              <w:t>）</w:t>
            </w:r>
            <w:r>
              <w:rPr>
                <w:rFonts w:hint="eastAsia" w:ascii="宋体" w:hAnsi="宋体" w:eastAsia="宋体"/>
                <w:sz w:val="24"/>
                <w:szCs w:val="24"/>
                <w:lang w:val="en-US" w:eastAsia="zh-CN"/>
              </w:rPr>
              <w:t>监控室</w:t>
            </w:r>
            <w:r>
              <w:rPr>
                <w:rFonts w:hint="eastAsia" w:ascii="宋体" w:hAnsi="宋体" w:eastAsia="宋体"/>
                <w:sz w:val="24"/>
                <w:szCs w:val="24"/>
              </w:rPr>
              <w:t>门口有机房类别及安全标志。落实各类机房责任人、</w:t>
            </w:r>
            <w:r>
              <w:rPr>
                <w:rFonts w:hint="eastAsia" w:ascii="宋体" w:hAnsi="宋体" w:eastAsia="宋体"/>
                <w:sz w:val="24"/>
                <w:szCs w:val="24"/>
                <w:lang w:val="en-US" w:eastAsia="zh-CN"/>
              </w:rPr>
              <w:t>巡查</w:t>
            </w:r>
            <w:r>
              <w:rPr>
                <w:rFonts w:hint="eastAsia" w:ascii="宋体" w:hAnsi="宋体" w:eastAsia="宋体"/>
                <w:sz w:val="24"/>
                <w:szCs w:val="24"/>
              </w:rPr>
              <w:t>人，且设备系统图、应急预</w:t>
            </w:r>
          </w:p>
        </w:tc>
      </w:tr>
    </w:tbl>
    <w:p w14:paraId="5C8B995C">
      <w:pPr>
        <w:spacing w:beforeLines="0" w:afterLines="0"/>
        <w:rPr>
          <w:rFonts w:hint="default"/>
          <w:sz w:val="24"/>
          <w:szCs w:val="24"/>
        </w:rPr>
        <w:sectPr>
          <w:pgSz w:w="11910" w:h="16840"/>
          <w:pgMar w:top="980" w:right="1560" w:bottom="880" w:left="1580" w:header="746" w:footer="699" w:gutter="0"/>
          <w:lnNumType w:countBy="0" w:distance="360"/>
          <w:cols w:space="720" w:num="1"/>
        </w:sectPr>
      </w:pPr>
    </w:p>
    <w:p w14:paraId="1AE9EE40">
      <w:pPr>
        <w:pStyle w:val="8"/>
        <w:kinsoku w:val="0"/>
        <w:overflowPunct w:val="0"/>
        <w:spacing w:beforeLines="0" w:afterLines="0"/>
        <w:ind w:left="0"/>
        <w:rPr>
          <w:rFonts w:hint="default" w:ascii="Times New Roman" w:hAnsi="Times New Roman" w:eastAsia="Times New Roman"/>
          <w:sz w:val="20"/>
          <w:szCs w:val="24"/>
        </w:rPr>
      </w:pPr>
    </w:p>
    <w:p w14:paraId="6F470D54">
      <w:pPr>
        <w:pStyle w:val="8"/>
        <w:kinsoku w:val="0"/>
        <w:overflowPunct w:val="0"/>
        <w:spacing w:before="3" w:beforeLines="0" w:afterLines="0"/>
        <w:ind w:left="0"/>
        <w:rPr>
          <w:rFonts w:hint="default" w:ascii="Times New Roman" w:hAnsi="Times New Roman" w:eastAsia="Times New Roman"/>
          <w:sz w:val="19"/>
          <w:szCs w:val="24"/>
        </w:rPr>
      </w:pPr>
    </w:p>
    <w:tbl>
      <w:tblPr>
        <w:tblStyle w:val="19"/>
        <w:tblW w:w="0" w:type="auto"/>
        <w:tblInd w:w="2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6"/>
        <w:gridCol w:w="1960"/>
        <w:gridCol w:w="5865"/>
      </w:tblGrid>
      <w:tr w14:paraId="35516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exact"/>
        </w:trPr>
        <w:tc>
          <w:tcPr>
            <w:tcW w:w="72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0B2D04A7">
            <w:pPr>
              <w:spacing w:beforeLines="0" w:afterLines="0"/>
              <w:rPr>
                <w:rFonts w:hint="default"/>
                <w:sz w:val="24"/>
                <w:szCs w:val="24"/>
              </w:rPr>
            </w:pPr>
          </w:p>
        </w:tc>
        <w:tc>
          <w:tcPr>
            <w:tcW w:w="19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304B070F">
            <w:pPr>
              <w:spacing w:beforeLines="0" w:afterLines="0"/>
              <w:rPr>
                <w:rFonts w:hint="default"/>
                <w:sz w:val="24"/>
                <w:szCs w:val="24"/>
              </w:rPr>
            </w:pPr>
          </w:p>
        </w:tc>
        <w:tc>
          <w:tcPr>
            <w:tcW w:w="5865" w:type="dxa"/>
            <w:tcBorders>
              <w:top w:val="single" w:color="000000" w:sz="4" w:space="0"/>
              <w:left w:val="single" w:color="000000" w:sz="4" w:space="0"/>
              <w:bottom w:val="nil"/>
              <w:right w:val="single" w:color="000000" w:sz="4" w:space="0"/>
              <w:tl2br w:val="nil"/>
              <w:tr2bl w:val="nil"/>
            </w:tcBorders>
            <w:noWrap w:val="0"/>
            <w:vAlign w:val="top"/>
          </w:tcPr>
          <w:p w14:paraId="5AACE39F">
            <w:pPr>
              <w:pStyle w:val="42"/>
              <w:kinsoku w:val="0"/>
              <w:overflowPunct w:val="0"/>
              <w:spacing w:beforeLines="0" w:afterLines="0" w:line="277" w:lineRule="exact"/>
              <w:ind w:left="102"/>
              <w:rPr>
                <w:rFonts w:hint="default"/>
                <w:sz w:val="24"/>
                <w:szCs w:val="24"/>
              </w:rPr>
            </w:pPr>
            <w:r>
              <w:rPr>
                <w:rFonts w:hint="eastAsia" w:ascii="宋体" w:hAnsi="宋体" w:eastAsia="宋体"/>
                <w:sz w:val="24"/>
                <w:szCs w:val="24"/>
              </w:rPr>
              <w:t>案流程图、管理制度、特种作业人员资格证书等上墙</w:t>
            </w:r>
          </w:p>
        </w:tc>
      </w:tr>
      <w:tr w14:paraId="3FB19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exact"/>
        </w:trPr>
        <w:tc>
          <w:tcPr>
            <w:tcW w:w="7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0A2841CA">
            <w:pPr>
              <w:pStyle w:val="42"/>
              <w:kinsoku w:val="0"/>
              <w:overflowPunct w:val="0"/>
              <w:spacing w:beforeLines="0" w:afterLines="0" w:line="277" w:lineRule="exact"/>
              <w:ind w:left="102"/>
              <w:rPr>
                <w:rFonts w:hint="default"/>
                <w:sz w:val="24"/>
                <w:szCs w:val="24"/>
              </w:rPr>
            </w:pPr>
          </w:p>
        </w:tc>
        <w:tc>
          <w:tcPr>
            <w:tcW w:w="19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5F16D586">
            <w:pPr>
              <w:pStyle w:val="42"/>
              <w:kinsoku w:val="0"/>
              <w:overflowPunct w:val="0"/>
              <w:spacing w:beforeLines="0" w:afterLines="0" w:line="277" w:lineRule="exact"/>
              <w:ind w:left="102"/>
              <w:rPr>
                <w:rFonts w:hint="default"/>
                <w:sz w:val="24"/>
                <w:szCs w:val="24"/>
              </w:rPr>
            </w:pPr>
          </w:p>
        </w:tc>
        <w:tc>
          <w:tcPr>
            <w:tcW w:w="5865" w:type="dxa"/>
            <w:tcBorders>
              <w:top w:val="nil"/>
              <w:left w:val="single" w:color="000000" w:sz="4" w:space="0"/>
              <w:bottom w:val="nil"/>
              <w:right w:val="single" w:color="000000" w:sz="4" w:space="0"/>
              <w:tl2br w:val="nil"/>
              <w:tr2bl w:val="nil"/>
            </w:tcBorders>
            <w:noWrap w:val="0"/>
            <w:vAlign w:val="top"/>
          </w:tcPr>
          <w:p w14:paraId="01288E2A">
            <w:pPr>
              <w:pStyle w:val="42"/>
              <w:kinsoku w:val="0"/>
              <w:overflowPunct w:val="0"/>
              <w:spacing w:beforeLines="0" w:afterLines="0"/>
              <w:ind w:left="102"/>
              <w:rPr>
                <w:rFonts w:hint="default"/>
                <w:sz w:val="24"/>
                <w:szCs w:val="24"/>
              </w:rPr>
            </w:pPr>
            <w:r>
              <w:rPr>
                <w:rFonts w:hint="eastAsia" w:ascii="宋体" w:hAnsi="宋体" w:eastAsia="宋体"/>
                <w:sz w:val="24"/>
                <w:szCs w:val="24"/>
              </w:rPr>
              <w:t>文件或证书符合各设备机房国家标准规范要求，机房</w:t>
            </w:r>
          </w:p>
        </w:tc>
      </w:tr>
      <w:tr w14:paraId="03B87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exact"/>
        </w:trPr>
        <w:tc>
          <w:tcPr>
            <w:tcW w:w="7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30317CFD">
            <w:pPr>
              <w:pStyle w:val="42"/>
              <w:kinsoku w:val="0"/>
              <w:overflowPunct w:val="0"/>
              <w:spacing w:beforeLines="0" w:afterLines="0"/>
              <w:ind w:left="102"/>
              <w:rPr>
                <w:rFonts w:hint="default"/>
                <w:sz w:val="24"/>
                <w:szCs w:val="24"/>
              </w:rPr>
            </w:pPr>
          </w:p>
        </w:tc>
        <w:tc>
          <w:tcPr>
            <w:tcW w:w="19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254E52E8">
            <w:pPr>
              <w:pStyle w:val="42"/>
              <w:kinsoku w:val="0"/>
              <w:overflowPunct w:val="0"/>
              <w:spacing w:beforeLines="0" w:afterLines="0"/>
              <w:ind w:left="102"/>
              <w:rPr>
                <w:rFonts w:hint="default"/>
                <w:sz w:val="24"/>
                <w:szCs w:val="24"/>
              </w:rPr>
            </w:pPr>
          </w:p>
        </w:tc>
        <w:tc>
          <w:tcPr>
            <w:tcW w:w="5865" w:type="dxa"/>
            <w:tcBorders>
              <w:top w:val="nil"/>
              <w:left w:val="single" w:color="000000" w:sz="4" w:space="0"/>
              <w:bottom w:val="single" w:color="000000" w:sz="4" w:space="0"/>
              <w:right w:val="single" w:color="000000" w:sz="4" w:space="0"/>
              <w:tl2br w:val="nil"/>
              <w:tr2bl w:val="nil"/>
            </w:tcBorders>
            <w:noWrap w:val="0"/>
            <w:vAlign w:val="top"/>
          </w:tcPr>
          <w:p w14:paraId="50E3F9FA">
            <w:pPr>
              <w:pStyle w:val="42"/>
              <w:kinsoku w:val="0"/>
              <w:overflowPunct w:val="0"/>
              <w:spacing w:beforeLines="0" w:afterLines="0"/>
              <w:ind w:left="102"/>
              <w:rPr>
                <w:rFonts w:hint="default"/>
                <w:sz w:val="24"/>
                <w:szCs w:val="24"/>
              </w:rPr>
            </w:pPr>
            <w:r>
              <w:rPr>
                <w:rFonts w:hint="eastAsia" w:ascii="宋体" w:hAnsi="宋体" w:eastAsia="宋体"/>
                <w:sz w:val="24"/>
                <w:szCs w:val="24"/>
              </w:rPr>
              <w:t>巡视及外来人员记录清晰完整，标识统一。</w:t>
            </w:r>
          </w:p>
        </w:tc>
      </w:tr>
      <w:tr w14:paraId="180EF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7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16277532">
            <w:pPr>
              <w:pStyle w:val="42"/>
              <w:kinsoku w:val="0"/>
              <w:overflowPunct w:val="0"/>
              <w:spacing w:beforeLines="0" w:afterLines="0"/>
              <w:ind w:left="102"/>
              <w:rPr>
                <w:rFonts w:hint="default"/>
                <w:sz w:val="24"/>
                <w:szCs w:val="24"/>
              </w:rPr>
            </w:pPr>
          </w:p>
        </w:tc>
        <w:tc>
          <w:tcPr>
            <w:tcW w:w="19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5F87F7B5">
            <w:pPr>
              <w:pStyle w:val="42"/>
              <w:kinsoku w:val="0"/>
              <w:overflowPunct w:val="0"/>
              <w:spacing w:beforeLines="0" w:afterLines="0"/>
              <w:ind w:left="102"/>
              <w:rPr>
                <w:rFonts w:hint="default"/>
                <w:sz w:val="24"/>
                <w:szCs w:val="24"/>
              </w:rPr>
            </w:pPr>
          </w:p>
        </w:tc>
        <w:tc>
          <w:tcPr>
            <w:tcW w:w="58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560F592">
            <w:pPr>
              <w:pStyle w:val="42"/>
              <w:kinsoku w:val="0"/>
              <w:overflowPunct w:val="0"/>
              <w:spacing w:before="24" w:beforeLines="0" w:afterLines="0"/>
              <w:ind w:left="342"/>
              <w:rPr>
                <w:rFonts w:hint="default"/>
                <w:sz w:val="24"/>
                <w:szCs w:val="24"/>
              </w:rPr>
            </w:pPr>
            <w:r>
              <w:rPr>
                <w:rFonts w:hint="eastAsia" w:ascii="宋体" w:hAnsi="宋体" w:eastAsia="宋体"/>
                <w:sz w:val="24"/>
                <w:szCs w:val="24"/>
              </w:rPr>
              <w:t>（</w:t>
            </w:r>
            <w:r>
              <w:rPr>
                <w:rFonts w:hint="default" w:ascii="Times New Roman" w:hAnsi="Times New Roman" w:eastAsia="Times New Roman"/>
                <w:sz w:val="24"/>
                <w:szCs w:val="24"/>
              </w:rPr>
              <w:t>2</w:t>
            </w:r>
            <w:r>
              <w:rPr>
                <w:rFonts w:hint="eastAsia" w:ascii="宋体" w:hAnsi="宋体" w:eastAsia="宋体"/>
                <w:sz w:val="24"/>
                <w:szCs w:val="24"/>
              </w:rPr>
              <w:t>）设备机房门窗、锁具应当完好、有效。</w:t>
            </w:r>
          </w:p>
        </w:tc>
      </w:tr>
      <w:tr w14:paraId="1C523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exact"/>
        </w:trPr>
        <w:tc>
          <w:tcPr>
            <w:tcW w:w="7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754D10D6">
            <w:pPr>
              <w:pStyle w:val="42"/>
              <w:kinsoku w:val="0"/>
              <w:overflowPunct w:val="0"/>
              <w:spacing w:before="24" w:beforeLines="0" w:afterLines="0"/>
              <w:ind w:left="342"/>
              <w:rPr>
                <w:rFonts w:hint="default"/>
                <w:sz w:val="24"/>
                <w:szCs w:val="24"/>
              </w:rPr>
            </w:pPr>
          </w:p>
        </w:tc>
        <w:tc>
          <w:tcPr>
            <w:tcW w:w="19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70ACB0BB">
            <w:pPr>
              <w:pStyle w:val="42"/>
              <w:kinsoku w:val="0"/>
              <w:overflowPunct w:val="0"/>
              <w:spacing w:before="24" w:beforeLines="0" w:afterLines="0"/>
              <w:ind w:left="342"/>
              <w:rPr>
                <w:rFonts w:hint="default"/>
                <w:sz w:val="24"/>
                <w:szCs w:val="24"/>
              </w:rPr>
            </w:pPr>
          </w:p>
        </w:tc>
        <w:tc>
          <w:tcPr>
            <w:tcW w:w="5865" w:type="dxa"/>
            <w:tcBorders>
              <w:top w:val="single" w:color="000000" w:sz="4" w:space="0"/>
              <w:left w:val="single" w:color="000000" w:sz="4" w:space="0"/>
              <w:bottom w:val="nil"/>
              <w:right w:val="single" w:color="000000" w:sz="4" w:space="0"/>
              <w:tl2br w:val="nil"/>
              <w:tr2bl w:val="nil"/>
            </w:tcBorders>
            <w:noWrap w:val="0"/>
            <w:vAlign w:val="top"/>
          </w:tcPr>
          <w:p w14:paraId="3FC73CE5">
            <w:pPr>
              <w:pStyle w:val="42"/>
              <w:kinsoku w:val="0"/>
              <w:overflowPunct w:val="0"/>
              <w:spacing w:before="24" w:beforeLines="0" w:afterLines="0"/>
              <w:ind w:left="342"/>
              <w:rPr>
                <w:rFonts w:hint="default"/>
                <w:sz w:val="24"/>
                <w:szCs w:val="24"/>
              </w:rPr>
            </w:pPr>
            <w:r>
              <w:rPr>
                <w:rFonts w:hint="eastAsia" w:ascii="宋体" w:hAnsi="宋体" w:eastAsia="宋体"/>
                <w:sz w:val="24"/>
                <w:szCs w:val="24"/>
              </w:rPr>
              <w:t>（</w:t>
            </w:r>
            <w:r>
              <w:rPr>
                <w:rFonts w:hint="default" w:ascii="Times New Roman" w:hAnsi="Times New Roman" w:eastAsia="Times New Roman"/>
                <w:sz w:val="24"/>
                <w:szCs w:val="24"/>
              </w:rPr>
              <w:t>3</w:t>
            </w:r>
            <w:r>
              <w:rPr>
                <w:rFonts w:hint="eastAsia" w:ascii="宋体" w:hAnsi="宋体" w:eastAsia="宋体"/>
                <w:sz w:val="24"/>
                <w:szCs w:val="24"/>
              </w:rPr>
              <w:t>）每半月至少开展</w:t>
            </w:r>
            <w:r>
              <w:rPr>
                <w:rFonts w:hint="default" w:ascii="Calibri" w:hAnsi="Calibri" w:eastAsia="Calibri"/>
                <w:sz w:val="24"/>
                <w:szCs w:val="24"/>
              </w:rPr>
              <w:t>1</w:t>
            </w:r>
            <w:r>
              <w:rPr>
                <w:rFonts w:hint="eastAsia" w:ascii="宋体" w:hAnsi="宋体" w:eastAsia="宋体"/>
                <w:sz w:val="24"/>
                <w:szCs w:val="24"/>
              </w:rPr>
              <w:t>次清洁，整洁有序、无</w:t>
            </w:r>
          </w:p>
        </w:tc>
      </w:tr>
      <w:tr w14:paraId="6978C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exact"/>
        </w:trPr>
        <w:tc>
          <w:tcPr>
            <w:tcW w:w="7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07F088CD">
            <w:pPr>
              <w:pStyle w:val="42"/>
              <w:kinsoku w:val="0"/>
              <w:overflowPunct w:val="0"/>
              <w:spacing w:before="24" w:beforeLines="0" w:afterLines="0"/>
              <w:ind w:left="342"/>
              <w:rPr>
                <w:rFonts w:hint="default"/>
                <w:sz w:val="24"/>
                <w:szCs w:val="24"/>
              </w:rPr>
            </w:pPr>
          </w:p>
        </w:tc>
        <w:tc>
          <w:tcPr>
            <w:tcW w:w="19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610E354C">
            <w:pPr>
              <w:pStyle w:val="42"/>
              <w:kinsoku w:val="0"/>
              <w:overflowPunct w:val="0"/>
              <w:spacing w:before="24" w:beforeLines="0" w:afterLines="0"/>
              <w:ind w:left="342"/>
              <w:rPr>
                <w:rFonts w:hint="default"/>
                <w:sz w:val="24"/>
                <w:szCs w:val="24"/>
              </w:rPr>
            </w:pPr>
          </w:p>
        </w:tc>
        <w:tc>
          <w:tcPr>
            <w:tcW w:w="5865" w:type="dxa"/>
            <w:tcBorders>
              <w:top w:val="nil"/>
              <w:left w:val="single" w:color="000000" w:sz="4" w:space="0"/>
              <w:bottom w:val="nil"/>
              <w:right w:val="single" w:color="000000" w:sz="4" w:space="0"/>
              <w:tl2br w:val="nil"/>
              <w:tr2bl w:val="nil"/>
            </w:tcBorders>
            <w:noWrap w:val="0"/>
            <w:vAlign w:val="top"/>
          </w:tcPr>
          <w:p w14:paraId="7D238C24">
            <w:pPr>
              <w:pStyle w:val="42"/>
              <w:kinsoku w:val="0"/>
              <w:overflowPunct w:val="0"/>
              <w:spacing w:before="25" w:beforeLines="0" w:afterLines="0"/>
              <w:ind w:left="102"/>
              <w:rPr>
                <w:rFonts w:hint="default"/>
                <w:sz w:val="24"/>
                <w:szCs w:val="24"/>
              </w:rPr>
            </w:pPr>
            <w:r>
              <w:rPr>
                <w:rFonts w:hint="eastAsia" w:ascii="宋体" w:hAnsi="宋体" w:eastAsia="宋体"/>
                <w:sz w:val="24"/>
                <w:szCs w:val="24"/>
              </w:rPr>
              <w:t>杂物、无积尘、无鼠、无虫害，温湿度符合设备运行</w:t>
            </w:r>
          </w:p>
        </w:tc>
      </w:tr>
      <w:tr w14:paraId="3F2FC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exact"/>
        </w:trPr>
        <w:tc>
          <w:tcPr>
            <w:tcW w:w="7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22F6EAFD">
            <w:pPr>
              <w:pStyle w:val="42"/>
              <w:kinsoku w:val="0"/>
              <w:overflowPunct w:val="0"/>
              <w:spacing w:before="25" w:beforeLines="0" w:afterLines="0"/>
              <w:ind w:left="102"/>
              <w:rPr>
                <w:rFonts w:hint="default"/>
                <w:sz w:val="24"/>
                <w:szCs w:val="24"/>
              </w:rPr>
            </w:pPr>
          </w:p>
        </w:tc>
        <w:tc>
          <w:tcPr>
            <w:tcW w:w="19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77148C94">
            <w:pPr>
              <w:pStyle w:val="42"/>
              <w:kinsoku w:val="0"/>
              <w:overflowPunct w:val="0"/>
              <w:spacing w:before="25" w:beforeLines="0" w:afterLines="0"/>
              <w:ind w:left="102"/>
              <w:rPr>
                <w:rFonts w:hint="default"/>
                <w:sz w:val="24"/>
                <w:szCs w:val="24"/>
              </w:rPr>
            </w:pPr>
          </w:p>
        </w:tc>
        <w:tc>
          <w:tcPr>
            <w:tcW w:w="5865" w:type="dxa"/>
            <w:tcBorders>
              <w:top w:val="nil"/>
              <w:left w:val="single" w:color="000000" w:sz="4" w:space="0"/>
              <w:bottom w:val="single" w:color="000000" w:sz="4" w:space="0"/>
              <w:right w:val="single" w:color="000000" w:sz="4" w:space="0"/>
              <w:tl2br w:val="nil"/>
              <w:tr2bl w:val="nil"/>
            </w:tcBorders>
            <w:noWrap w:val="0"/>
            <w:vAlign w:val="top"/>
          </w:tcPr>
          <w:p w14:paraId="111FADAC">
            <w:pPr>
              <w:pStyle w:val="42"/>
              <w:kinsoku w:val="0"/>
              <w:overflowPunct w:val="0"/>
              <w:spacing w:beforeLines="0" w:afterLines="0"/>
              <w:ind w:left="102"/>
              <w:rPr>
                <w:rFonts w:hint="default"/>
                <w:sz w:val="24"/>
                <w:szCs w:val="24"/>
              </w:rPr>
            </w:pPr>
            <w:r>
              <w:rPr>
                <w:rFonts w:hint="eastAsia" w:ascii="宋体" w:hAnsi="宋体" w:eastAsia="宋体"/>
                <w:sz w:val="24"/>
                <w:szCs w:val="24"/>
              </w:rPr>
              <w:t>要求。</w:t>
            </w:r>
          </w:p>
        </w:tc>
      </w:tr>
      <w:tr w14:paraId="1BCCA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exact"/>
        </w:trPr>
        <w:tc>
          <w:tcPr>
            <w:tcW w:w="7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0E8DA903">
            <w:pPr>
              <w:pStyle w:val="42"/>
              <w:kinsoku w:val="0"/>
              <w:overflowPunct w:val="0"/>
              <w:spacing w:beforeLines="0" w:afterLines="0"/>
              <w:ind w:left="102"/>
              <w:rPr>
                <w:rFonts w:hint="default"/>
                <w:sz w:val="24"/>
                <w:szCs w:val="24"/>
              </w:rPr>
            </w:pPr>
          </w:p>
        </w:tc>
        <w:tc>
          <w:tcPr>
            <w:tcW w:w="19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1DDC49FA">
            <w:pPr>
              <w:pStyle w:val="42"/>
              <w:kinsoku w:val="0"/>
              <w:overflowPunct w:val="0"/>
              <w:spacing w:beforeLines="0" w:afterLines="0"/>
              <w:ind w:left="102"/>
              <w:rPr>
                <w:rFonts w:hint="default"/>
                <w:sz w:val="24"/>
                <w:szCs w:val="24"/>
              </w:rPr>
            </w:pPr>
          </w:p>
        </w:tc>
        <w:tc>
          <w:tcPr>
            <w:tcW w:w="58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2E3A24D">
            <w:pPr>
              <w:pStyle w:val="42"/>
              <w:kinsoku w:val="0"/>
              <w:overflowPunct w:val="0"/>
              <w:spacing w:before="25" w:beforeLines="0" w:afterLines="0" w:line="336" w:lineRule="auto"/>
              <w:ind w:left="102" w:right="223" w:firstLine="240"/>
              <w:rPr>
                <w:rFonts w:hint="default"/>
                <w:sz w:val="24"/>
                <w:szCs w:val="24"/>
              </w:rPr>
            </w:pPr>
            <w:r>
              <w:rPr>
                <w:rFonts w:hint="eastAsia" w:ascii="宋体" w:hAnsi="宋体" w:eastAsia="宋体"/>
                <w:sz w:val="24"/>
                <w:szCs w:val="24"/>
              </w:rPr>
              <w:t>（</w:t>
            </w:r>
            <w:r>
              <w:rPr>
                <w:rFonts w:hint="default" w:ascii="Times New Roman" w:hAnsi="Times New Roman" w:eastAsia="Times New Roman"/>
                <w:sz w:val="24"/>
                <w:szCs w:val="24"/>
              </w:rPr>
              <w:t>4</w:t>
            </w:r>
            <w:r>
              <w:rPr>
                <w:rFonts w:hint="eastAsia" w:ascii="宋体" w:hAnsi="宋体" w:eastAsia="宋体"/>
                <w:sz w:val="24"/>
                <w:szCs w:val="24"/>
              </w:rPr>
              <w:t>）按各设备机房国家标准规范规定维护</w:t>
            </w:r>
            <w:r>
              <w:rPr>
                <w:rFonts w:hint="default" w:ascii="Times New Roman" w:hAnsi="Times New Roman" w:eastAsia="Times New Roman"/>
                <w:sz w:val="24"/>
                <w:szCs w:val="24"/>
              </w:rPr>
              <w:t>/</w:t>
            </w:r>
            <w:r>
              <w:rPr>
                <w:rFonts w:hint="eastAsia" w:ascii="宋体" w:hAnsi="宋体" w:eastAsia="宋体"/>
                <w:sz w:val="24"/>
                <w:szCs w:val="24"/>
              </w:rPr>
              <w:t>保管消防、通风、应急照明，防止小动物进入。</w:t>
            </w:r>
          </w:p>
        </w:tc>
      </w:tr>
      <w:tr w14:paraId="6F8DE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7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C2CB9BC">
            <w:pPr>
              <w:pStyle w:val="42"/>
              <w:kinsoku w:val="0"/>
              <w:overflowPunct w:val="0"/>
              <w:spacing w:before="25" w:beforeLines="0" w:afterLines="0" w:line="336" w:lineRule="auto"/>
              <w:ind w:left="102" w:right="223" w:firstLine="240"/>
              <w:rPr>
                <w:rFonts w:hint="default"/>
                <w:sz w:val="24"/>
                <w:szCs w:val="24"/>
              </w:rPr>
            </w:pPr>
          </w:p>
        </w:tc>
        <w:tc>
          <w:tcPr>
            <w:tcW w:w="19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78B989ED">
            <w:pPr>
              <w:pStyle w:val="42"/>
              <w:kinsoku w:val="0"/>
              <w:overflowPunct w:val="0"/>
              <w:spacing w:before="25" w:beforeLines="0" w:afterLines="0" w:line="336" w:lineRule="auto"/>
              <w:ind w:left="102" w:right="223" w:firstLine="240"/>
              <w:rPr>
                <w:rFonts w:hint="default"/>
                <w:sz w:val="24"/>
                <w:szCs w:val="24"/>
              </w:rPr>
            </w:pPr>
          </w:p>
        </w:tc>
        <w:tc>
          <w:tcPr>
            <w:tcW w:w="58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F4BABF9">
            <w:pPr>
              <w:pStyle w:val="42"/>
              <w:kinsoku w:val="0"/>
              <w:overflowPunct w:val="0"/>
              <w:spacing w:before="25" w:beforeLines="0" w:afterLines="0"/>
              <w:ind w:left="342"/>
              <w:rPr>
                <w:rFonts w:hint="default"/>
                <w:sz w:val="24"/>
                <w:szCs w:val="24"/>
              </w:rPr>
            </w:pPr>
            <w:r>
              <w:rPr>
                <w:rFonts w:hint="eastAsia" w:ascii="宋体" w:hAnsi="宋体" w:eastAsia="宋体"/>
                <w:sz w:val="24"/>
                <w:szCs w:val="24"/>
              </w:rPr>
              <w:t>（</w:t>
            </w:r>
            <w:r>
              <w:rPr>
                <w:rFonts w:hint="default" w:ascii="Times New Roman" w:hAnsi="Times New Roman" w:eastAsia="Times New Roman"/>
                <w:sz w:val="24"/>
                <w:szCs w:val="24"/>
              </w:rPr>
              <w:t>5</w:t>
            </w:r>
            <w:r>
              <w:rPr>
                <w:rFonts w:hint="eastAsia" w:ascii="宋体" w:hAnsi="宋体" w:eastAsia="宋体"/>
                <w:sz w:val="24"/>
                <w:szCs w:val="24"/>
              </w:rPr>
              <w:t>）安全防护用具配置齐全，检验合格。</w:t>
            </w:r>
          </w:p>
        </w:tc>
      </w:tr>
      <w:tr w14:paraId="7C073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exact"/>
        </w:trPr>
        <w:tc>
          <w:tcPr>
            <w:tcW w:w="7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7373FFA3">
            <w:pPr>
              <w:pStyle w:val="42"/>
              <w:kinsoku w:val="0"/>
              <w:overflowPunct w:val="0"/>
              <w:spacing w:before="25" w:beforeLines="0" w:afterLines="0"/>
              <w:ind w:left="342"/>
              <w:rPr>
                <w:rFonts w:hint="default"/>
                <w:sz w:val="24"/>
                <w:szCs w:val="24"/>
              </w:rPr>
            </w:pPr>
          </w:p>
        </w:tc>
        <w:tc>
          <w:tcPr>
            <w:tcW w:w="19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39080C2">
            <w:pPr>
              <w:pStyle w:val="42"/>
              <w:kinsoku w:val="0"/>
              <w:overflowPunct w:val="0"/>
              <w:spacing w:before="25" w:beforeLines="0" w:afterLines="0"/>
              <w:ind w:left="342"/>
              <w:rPr>
                <w:rFonts w:hint="default"/>
                <w:sz w:val="24"/>
                <w:szCs w:val="24"/>
              </w:rPr>
            </w:pPr>
          </w:p>
        </w:tc>
        <w:tc>
          <w:tcPr>
            <w:tcW w:w="58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2F85033">
            <w:pPr>
              <w:pStyle w:val="42"/>
              <w:kinsoku w:val="0"/>
              <w:overflowPunct w:val="0"/>
              <w:spacing w:before="25" w:beforeLines="0" w:afterLines="0" w:line="336" w:lineRule="auto"/>
              <w:ind w:left="102" w:right="290" w:firstLine="240"/>
              <w:rPr>
                <w:rFonts w:hint="default"/>
                <w:sz w:val="24"/>
                <w:szCs w:val="24"/>
              </w:rPr>
            </w:pPr>
            <w:r>
              <w:rPr>
                <w:rFonts w:hint="eastAsia" w:ascii="宋体" w:hAnsi="宋体" w:eastAsia="宋体"/>
                <w:sz w:val="24"/>
                <w:szCs w:val="24"/>
              </w:rPr>
              <w:t>（</w:t>
            </w:r>
            <w:r>
              <w:rPr>
                <w:rFonts w:hint="default" w:ascii="Times New Roman" w:hAnsi="Times New Roman" w:eastAsia="Times New Roman"/>
                <w:sz w:val="24"/>
                <w:szCs w:val="24"/>
              </w:rPr>
              <w:t>6</w:t>
            </w:r>
            <w:r>
              <w:rPr>
                <w:rFonts w:hint="eastAsia" w:ascii="宋体" w:hAnsi="宋体" w:eastAsia="宋体"/>
                <w:sz w:val="24"/>
                <w:szCs w:val="24"/>
              </w:rPr>
              <w:t>）应急设施设备用品应当齐全、完备，可随时启用。</w:t>
            </w:r>
          </w:p>
        </w:tc>
      </w:tr>
      <w:tr w14:paraId="3ABA3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exact"/>
        </w:trPr>
        <w:tc>
          <w:tcPr>
            <w:tcW w:w="72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4AD6E218">
            <w:pPr>
              <w:pStyle w:val="42"/>
              <w:kinsoku w:val="0"/>
              <w:overflowPunct w:val="0"/>
              <w:spacing w:beforeLines="0" w:afterLines="0"/>
              <w:rPr>
                <w:rFonts w:hint="default" w:ascii="Times New Roman" w:hAnsi="Times New Roman" w:eastAsia="Times New Roman"/>
                <w:sz w:val="24"/>
                <w:szCs w:val="24"/>
              </w:rPr>
            </w:pPr>
          </w:p>
          <w:p w14:paraId="7F064A32">
            <w:pPr>
              <w:pStyle w:val="42"/>
              <w:kinsoku w:val="0"/>
              <w:overflowPunct w:val="0"/>
              <w:spacing w:beforeLines="0" w:afterLines="0"/>
              <w:rPr>
                <w:rFonts w:hint="default" w:ascii="Times New Roman" w:hAnsi="Times New Roman" w:eastAsia="Times New Roman"/>
                <w:sz w:val="24"/>
                <w:szCs w:val="24"/>
              </w:rPr>
            </w:pPr>
          </w:p>
          <w:p w14:paraId="53DD3EB3">
            <w:pPr>
              <w:pStyle w:val="42"/>
              <w:kinsoku w:val="0"/>
              <w:overflowPunct w:val="0"/>
              <w:spacing w:beforeLines="0" w:afterLines="0"/>
              <w:rPr>
                <w:rFonts w:hint="default" w:ascii="Times New Roman" w:hAnsi="Times New Roman" w:eastAsia="Times New Roman"/>
                <w:sz w:val="24"/>
                <w:szCs w:val="24"/>
              </w:rPr>
            </w:pPr>
          </w:p>
          <w:p w14:paraId="53569833">
            <w:pPr>
              <w:pStyle w:val="42"/>
              <w:kinsoku w:val="0"/>
              <w:overflowPunct w:val="0"/>
              <w:spacing w:beforeLines="0" w:afterLines="0"/>
              <w:rPr>
                <w:rFonts w:hint="default" w:ascii="Times New Roman" w:hAnsi="Times New Roman" w:eastAsia="Times New Roman"/>
                <w:sz w:val="24"/>
                <w:szCs w:val="24"/>
              </w:rPr>
            </w:pPr>
          </w:p>
          <w:p w14:paraId="32EE23ED">
            <w:pPr>
              <w:pStyle w:val="42"/>
              <w:kinsoku w:val="0"/>
              <w:overflowPunct w:val="0"/>
              <w:spacing w:beforeLines="0" w:afterLines="0"/>
              <w:rPr>
                <w:rFonts w:hint="default" w:ascii="Times New Roman" w:hAnsi="Times New Roman" w:eastAsia="Times New Roman"/>
                <w:sz w:val="24"/>
                <w:szCs w:val="24"/>
              </w:rPr>
            </w:pPr>
          </w:p>
          <w:p w14:paraId="21858F1D">
            <w:pPr>
              <w:pStyle w:val="42"/>
              <w:kinsoku w:val="0"/>
              <w:overflowPunct w:val="0"/>
              <w:spacing w:beforeLines="0" w:afterLines="0"/>
              <w:rPr>
                <w:rFonts w:hint="default" w:ascii="Times New Roman" w:hAnsi="Times New Roman" w:eastAsia="Times New Roman"/>
                <w:sz w:val="24"/>
                <w:szCs w:val="24"/>
              </w:rPr>
            </w:pPr>
          </w:p>
          <w:p w14:paraId="4C02785B">
            <w:pPr>
              <w:pStyle w:val="42"/>
              <w:kinsoku w:val="0"/>
              <w:overflowPunct w:val="0"/>
              <w:spacing w:beforeLines="0" w:afterLines="0"/>
              <w:rPr>
                <w:rFonts w:hint="default" w:ascii="Times New Roman" w:hAnsi="Times New Roman" w:eastAsia="Times New Roman"/>
                <w:sz w:val="24"/>
                <w:szCs w:val="24"/>
              </w:rPr>
            </w:pPr>
          </w:p>
          <w:p w14:paraId="358E4377">
            <w:pPr>
              <w:pStyle w:val="42"/>
              <w:kinsoku w:val="0"/>
              <w:overflowPunct w:val="0"/>
              <w:spacing w:beforeLines="0" w:afterLines="0"/>
              <w:rPr>
                <w:rFonts w:hint="default" w:ascii="Times New Roman" w:hAnsi="Times New Roman" w:eastAsia="Times New Roman"/>
                <w:sz w:val="24"/>
                <w:szCs w:val="24"/>
              </w:rPr>
            </w:pPr>
          </w:p>
          <w:p w14:paraId="0A7788A1">
            <w:pPr>
              <w:pStyle w:val="42"/>
              <w:kinsoku w:val="0"/>
              <w:overflowPunct w:val="0"/>
              <w:spacing w:beforeLines="0" w:afterLines="0"/>
              <w:rPr>
                <w:rFonts w:hint="default" w:ascii="Times New Roman" w:hAnsi="Times New Roman" w:eastAsia="Times New Roman"/>
                <w:sz w:val="24"/>
                <w:szCs w:val="24"/>
              </w:rPr>
            </w:pPr>
          </w:p>
          <w:p w14:paraId="3B18D62A">
            <w:pPr>
              <w:pStyle w:val="42"/>
              <w:kinsoku w:val="0"/>
              <w:overflowPunct w:val="0"/>
              <w:spacing w:beforeLines="0" w:afterLines="0"/>
              <w:rPr>
                <w:rFonts w:hint="default" w:ascii="Times New Roman" w:hAnsi="Times New Roman" w:eastAsia="Times New Roman"/>
                <w:sz w:val="24"/>
                <w:szCs w:val="24"/>
              </w:rPr>
            </w:pPr>
          </w:p>
          <w:p w14:paraId="166EF9B6">
            <w:pPr>
              <w:pStyle w:val="42"/>
              <w:kinsoku w:val="0"/>
              <w:overflowPunct w:val="0"/>
              <w:spacing w:before="3" w:beforeLines="0" w:afterLines="0"/>
              <w:rPr>
                <w:rFonts w:hint="default" w:ascii="Times New Roman" w:hAnsi="Times New Roman" w:eastAsia="Times New Roman"/>
                <w:sz w:val="28"/>
                <w:szCs w:val="24"/>
              </w:rPr>
            </w:pPr>
          </w:p>
          <w:p w14:paraId="0A874BA5">
            <w:pPr>
              <w:pStyle w:val="42"/>
              <w:kinsoku w:val="0"/>
              <w:overflowPunct w:val="0"/>
              <w:spacing w:beforeLines="0" w:afterLines="0"/>
              <w:ind w:right="1"/>
              <w:jc w:val="center"/>
              <w:rPr>
                <w:rFonts w:hint="default"/>
                <w:sz w:val="24"/>
                <w:szCs w:val="24"/>
              </w:rPr>
            </w:pPr>
            <w:r>
              <w:rPr>
                <w:rFonts w:hint="default" w:ascii="Times New Roman" w:hAnsi="Times New Roman" w:eastAsia="Times New Roman"/>
                <w:sz w:val="24"/>
                <w:szCs w:val="24"/>
              </w:rPr>
              <w:t>3</w:t>
            </w:r>
          </w:p>
        </w:tc>
        <w:tc>
          <w:tcPr>
            <w:tcW w:w="19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4C005D85">
            <w:pPr>
              <w:pStyle w:val="42"/>
              <w:kinsoku w:val="0"/>
              <w:overflowPunct w:val="0"/>
              <w:spacing w:beforeLines="0" w:afterLines="0"/>
              <w:rPr>
                <w:rFonts w:hint="default" w:ascii="Times New Roman" w:hAnsi="Times New Roman" w:eastAsia="Times New Roman"/>
                <w:sz w:val="24"/>
                <w:szCs w:val="24"/>
              </w:rPr>
            </w:pPr>
          </w:p>
          <w:p w14:paraId="742ACE7F">
            <w:pPr>
              <w:pStyle w:val="42"/>
              <w:kinsoku w:val="0"/>
              <w:overflowPunct w:val="0"/>
              <w:spacing w:beforeLines="0" w:afterLines="0"/>
              <w:rPr>
                <w:rFonts w:hint="default" w:ascii="Times New Roman" w:hAnsi="Times New Roman" w:eastAsia="Times New Roman"/>
                <w:sz w:val="24"/>
                <w:szCs w:val="24"/>
              </w:rPr>
            </w:pPr>
          </w:p>
          <w:p w14:paraId="5F9BCA5A">
            <w:pPr>
              <w:pStyle w:val="42"/>
              <w:kinsoku w:val="0"/>
              <w:overflowPunct w:val="0"/>
              <w:spacing w:beforeLines="0" w:afterLines="0"/>
              <w:rPr>
                <w:rFonts w:hint="default" w:ascii="Times New Roman" w:hAnsi="Times New Roman" w:eastAsia="Times New Roman"/>
                <w:sz w:val="24"/>
                <w:szCs w:val="24"/>
              </w:rPr>
            </w:pPr>
          </w:p>
          <w:p w14:paraId="43714A08">
            <w:pPr>
              <w:pStyle w:val="42"/>
              <w:kinsoku w:val="0"/>
              <w:overflowPunct w:val="0"/>
              <w:spacing w:beforeLines="0" w:afterLines="0"/>
              <w:rPr>
                <w:rFonts w:hint="default" w:ascii="Times New Roman" w:hAnsi="Times New Roman" w:eastAsia="Times New Roman"/>
                <w:sz w:val="24"/>
                <w:szCs w:val="24"/>
              </w:rPr>
            </w:pPr>
          </w:p>
          <w:p w14:paraId="7587033C">
            <w:pPr>
              <w:pStyle w:val="42"/>
              <w:kinsoku w:val="0"/>
              <w:overflowPunct w:val="0"/>
              <w:spacing w:beforeLines="0" w:afterLines="0"/>
              <w:rPr>
                <w:rFonts w:hint="default" w:ascii="Times New Roman" w:hAnsi="Times New Roman" w:eastAsia="Times New Roman"/>
                <w:sz w:val="24"/>
                <w:szCs w:val="24"/>
              </w:rPr>
            </w:pPr>
          </w:p>
          <w:p w14:paraId="51DB7E0C">
            <w:pPr>
              <w:pStyle w:val="42"/>
              <w:kinsoku w:val="0"/>
              <w:overflowPunct w:val="0"/>
              <w:spacing w:beforeLines="0" w:afterLines="0"/>
              <w:rPr>
                <w:rFonts w:hint="default" w:ascii="Times New Roman" w:hAnsi="Times New Roman" w:eastAsia="Times New Roman"/>
                <w:sz w:val="24"/>
                <w:szCs w:val="24"/>
              </w:rPr>
            </w:pPr>
          </w:p>
          <w:p w14:paraId="5BB8143E">
            <w:pPr>
              <w:pStyle w:val="42"/>
              <w:kinsoku w:val="0"/>
              <w:overflowPunct w:val="0"/>
              <w:spacing w:beforeLines="0" w:afterLines="0"/>
              <w:rPr>
                <w:rFonts w:hint="default" w:ascii="Times New Roman" w:hAnsi="Times New Roman" w:eastAsia="Times New Roman"/>
                <w:sz w:val="24"/>
                <w:szCs w:val="24"/>
              </w:rPr>
            </w:pPr>
          </w:p>
          <w:p w14:paraId="07C249D7">
            <w:pPr>
              <w:pStyle w:val="42"/>
              <w:kinsoku w:val="0"/>
              <w:overflowPunct w:val="0"/>
              <w:spacing w:beforeLines="0" w:afterLines="0"/>
              <w:rPr>
                <w:rFonts w:hint="default" w:ascii="Times New Roman" w:hAnsi="Times New Roman" w:eastAsia="Times New Roman"/>
                <w:sz w:val="24"/>
                <w:szCs w:val="24"/>
              </w:rPr>
            </w:pPr>
          </w:p>
          <w:p w14:paraId="43E19035">
            <w:pPr>
              <w:pStyle w:val="42"/>
              <w:kinsoku w:val="0"/>
              <w:overflowPunct w:val="0"/>
              <w:spacing w:beforeLines="0" w:afterLines="0"/>
              <w:rPr>
                <w:rFonts w:hint="default" w:ascii="Times New Roman" w:hAnsi="Times New Roman" w:eastAsia="Times New Roman"/>
                <w:sz w:val="24"/>
                <w:szCs w:val="24"/>
              </w:rPr>
            </w:pPr>
          </w:p>
          <w:p w14:paraId="6950DA9F">
            <w:pPr>
              <w:pStyle w:val="42"/>
              <w:kinsoku w:val="0"/>
              <w:overflowPunct w:val="0"/>
              <w:spacing w:beforeLines="0" w:afterLines="0"/>
              <w:rPr>
                <w:rFonts w:hint="default" w:ascii="Times New Roman" w:hAnsi="Times New Roman" w:eastAsia="Times New Roman"/>
                <w:sz w:val="24"/>
                <w:szCs w:val="24"/>
              </w:rPr>
            </w:pPr>
          </w:p>
          <w:p w14:paraId="7B1B5464">
            <w:pPr>
              <w:pStyle w:val="42"/>
              <w:kinsoku w:val="0"/>
              <w:overflowPunct w:val="0"/>
              <w:spacing w:before="11" w:beforeLines="0" w:afterLines="0"/>
              <w:rPr>
                <w:rFonts w:hint="default" w:ascii="Times New Roman" w:hAnsi="Times New Roman" w:eastAsia="Times New Roman"/>
                <w:sz w:val="22"/>
                <w:szCs w:val="24"/>
              </w:rPr>
            </w:pPr>
          </w:p>
          <w:p w14:paraId="148753C9">
            <w:pPr>
              <w:pStyle w:val="42"/>
              <w:kinsoku w:val="0"/>
              <w:overflowPunct w:val="0"/>
              <w:spacing w:beforeLines="0" w:afterLines="0"/>
              <w:ind w:left="101"/>
              <w:rPr>
                <w:rFonts w:hint="default"/>
                <w:sz w:val="24"/>
                <w:szCs w:val="24"/>
              </w:rPr>
            </w:pPr>
            <w:r>
              <w:rPr>
                <w:rFonts w:hint="eastAsia" w:ascii="宋体" w:hAnsi="宋体" w:eastAsia="宋体"/>
                <w:sz w:val="24"/>
                <w:szCs w:val="24"/>
              </w:rPr>
              <w:t>给排水系统</w:t>
            </w:r>
          </w:p>
        </w:tc>
        <w:tc>
          <w:tcPr>
            <w:tcW w:w="58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913301B">
            <w:pPr>
              <w:pStyle w:val="42"/>
              <w:kinsoku w:val="0"/>
              <w:overflowPunct w:val="0"/>
              <w:spacing w:before="25" w:beforeLines="0" w:afterLines="0" w:line="336" w:lineRule="auto"/>
              <w:ind w:left="102" w:right="530" w:firstLine="240"/>
              <w:rPr>
                <w:rFonts w:hint="default"/>
                <w:sz w:val="24"/>
                <w:szCs w:val="24"/>
              </w:rPr>
            </w:pPr>
            <w:r>
              <w:rPr>
                <w:rFonts w:hint="eastAsia" w:ascii="宋体" w:hAnsi="宋体" w:eastAsia="宋体"/>
                <w:sz w:val="24"/>
                <w:szCs w:val="24"/>
              </w:rPr>
              <w:t>（</w:t>
            </w:r>
            <w:r>
              <w:rPr>
                <w:rFonts w:hint="eastAsia" w:ascii="Times New Roman" w:hAnsi="Times New Roman" w:eastAsia="宋体"/>
                <w:sz w:val="24"/>
                <w:szCs w:val="24"/>
                <w:lang w:val="en-US" w:eastAsia="zh-CN"/>
              </w:rPr>
              <w:t>1</w:t>
            </w:r>
            <w:r>
              <w:rPr>
                <w:rFonts w:hint="eastAsia" w:ascii="宋体" w:hAnsi="宋体" w:eastAsia="宋体"/>
                <w:sz w:val="24"/>
                <w:szCs w:val="24"/>
              </w:rPr>
              <w:t>）设施设备、阀门、管道等运行正常，无跑、冒、滴、漏现象。</w:t>
            </w:r>
          </w:p>
        </w:tc>
      </w:tr>
      <w:tr w14:paraId="7BA11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exact"/>
        </w:trPr>
        <w:tc>
          <w:tcPr>
            <w:tcW w:w="7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56ECC557">
            <w:pPr>
              <w:pStyle w:val="42"/>
              <w:kinsoku w:val="0"/>
              <w:overflowPunct w:val="0"/>
              <w:spacing w:before="25" w:beforeLines="0" w:afterLines="0" w:line="336" w:lineRule="auto"/>
              <w:ind w:left="102" w:right="530" w:firstLine="240"/>
              <w:rPr>
                <w:rFonts w:hint="default"/>
                <w:sz w:val="24"/>
                <w:szCs w:val="24"/>
              </w:rPr>
            </w:pPr>
          </w:p>
        </w:tc>
        <w:tc>
          <w:tcPr>
            <w:tcW w:w="19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273D3A89">
            <w:pPr>
              <w:pStyle w:val="42"/>
              <w:kinsoku w:val="0"/>
              <w:overflowPunct w:val="0"/>
              <w:spacing w:before="25" w:beforeLines="0" w:afterLines="0" w:line="336" w:lineRule="auto"/>
              <w:ind w:left="102" w:right="530" w:firstLine="240"/>
              <w:rPr>
                <w:rFonts w:hint="default"/>
                <w:sz w:val="24"/>
                <w:szCs w:val="24"/>
              </w:rPr>
            </w:pPr>
          </w:p>
        </w:tc>
        <w:tc>
          <w:tcPr>
            <w:tcW w:w="58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C670CD4">
            <w:pPr>
              <w:pStyle w:val="42"/>
              <w:kinsoku w:val="0"/>
              <w:overflowPunct w:val="0"/>
              <w:spacing w:before="23" w:beforeLines="0" w:afterLines="0"/>
              <w:ind w:left="342"/>
              <w:rPr>
                <w:rFonts w:hint="default" w:ascii="Calibri" w:hAnsi="Calibri" w:eastAsia="Calibri"/>
                <w:sz w:val="24"/>
                <w:szCs w:val="24"/>
              </w:rPr>
            </w:pPr>
            <w:r>
              <w:rPr>
                <w:rFonts w:hint="eastAsia" w:ascii="宋体" w:hAnsi="宋体" w:eastAsia="宋体"/>
                <w:sz w:val="24"/>
                <w:szCs w:val="24"/>
              </w:rPr>
              <w:t>（</w:t>
            </w:r>
            <w:r>
              <w:rPr>
                <w:rFonts w:hint="eastAsia" w:ascii="Times New Roman" w:hAnsi="Times New Roman" w:eastAsia="宋体"/>
                <w:sz w:val="24"/>
                <w:szCs w:val="24"/>
                <w:lang w:val="en-US" w:eastAsia="zh-CN"/>
              </w:rPr>
              <w:t>2</w:t>
            </w:r>
            <w:r>
              <w:rPr>
                <w:rFonts w:hint="eastAsia" w:ascii="宋体" w:hAnsi="宋体" w:eastAsia="宋体"/>
                <w:sz w:val="24"/>
                <w:szCs w:val="24"/>
              </w:rPr>
              <w:t>）有水泵房、水箱间的，每日至少巡视</w:t>
            </w:r>
            <w:r>
              <w:rPr>
                <w:rFonts w:hint="default" w:ascii="Calibri" w:hAnsi="Calibri" w:eastAsia="Calibri"/>
                <w:sz w:val="24"/>
                <w:szCs w:val="24"/>
              </w:rPr>
              <w:t>1</w:t>
            </w:r>
          </w:p>
          <w:p w14:paraId="49A902BD">
            <w:pPr>
              <w:pStyle w:val="42"/>
              <w:kinsoku w:val="0"/>
              <w:overflowPunct w:val="0"/>
              <w:spacing w:before="123" w:beforeLines="0" w:afterLines="0"/>
              <w:ind w:left="102"/>
              <w:rPr>
                <w:rFonts w:hint="default"/>
                <w:sz w:val="24"/>
                <w:szCs w:val="24"/>
              </w:rPr>
            </w:pPr>
            <w:r>
              <w:rPr>
                <w:rFonts w:hint="eastAsia" w:ascii="宋体" w:hAnsi="宋体" w:eastAsia="宋体"/>
                <w:sz w:val="24"/>
                <w:szCs w:val="24"/>
              </w:rPr>
              <w:t>次。每年至少养护</w:t>
            </w:r>
            <w:r>
              <w:rPr>
                <w:rFonts w:hint="default" w:ascii="Calibri" w:hAnsi="Calibri" w:eastAsia="Calibri"/>
                <w:sz w:val="24"/>
                <w:szCs w:val="24"/>
              </w:rPr>
              <w:t>1</w:t>
            </w:r>
            <w:r>
              <w:rPr>
                <w:rFonts w:hint="eastAsia" w:ascii="宋体" w:hAnsi="宋体" w:eastAsia="宋体"/>
                <w:sz w:val="24"/>
                <w:szCs w:val="24"/>
              </w:rPr>
              <w:t>次水泵。</w:t>
            </w:r>
          </w:p>
        </w:tc>
      </w:tr>
      <w:tr w14:paraId="0BF92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exact"/>
        </w:trPr>
        <w:tc>
          <w:tcPr>
            <w:tcW w:w="7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396BF7AE">
            <w:pPr>
              <w:pStyle w:val="42"/>
              <w:kinsoku w:val="0"/>
              <w:overflowPunct w:val="0"/>
              <w:spacing w:before="123" w:beforeLines="0" w:afterLines="0"/>
              <w:ind w:left="102"/>
              <w:rPr>
                <w:rFonts w:hint="default"/>
                <w:sz w:val="24"/>
                <w:szCs w:val="24"/>
              </w:rPr>
            </w:pPr>
          </w:p>
        </w:tc>
        <w:tc>
          <w:tcPr>
            <w:tcW w:w="19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AE9ACB5">
            <w:pPr>
              <w:pStyle w:val="42"/>
              <w:kinsoku w:val="0"/>
              <w:overflowPunct w:val="0"/>
              <w:spacing w:before="123" w:beforeLines="0" w:afterLines="0"/>
              <w:ind w:left="102"/>
              <w:rPr>
                <w:rFonts w:hint="default"/>
                <w:sz w:val="24"/>
                <w:szCs w:val="24"/>
              </w:rPr>
            </w:pPr>
          </w:p>
        </w:tc>
        <w:tc>
          <w:tcPr>
            <w:tcW w:w="58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BD1307A">
            <w:pPr>
              <w:pStyle w:val="42"/>
              <w:kinsoku w:val="0"/>
              <w:overflowPunct w:val="0"/>
              <w:spacing w:before="24" w:beforeLines="0" w:afterLines="0" w:line="338" w:lineRule="auto"/>
              <w:ind w:left="102" w:right="290" w:firstLine="240"/>
              <w:rPr>
                <w:rFonts w:hint="default"/>
                <w:sz w:val="24"/>
                <w:szCs w:val="24"/>
              </w:rPr>
            </w:pPr>
            <w:r>
              <w:rPr>
                <w:rFonts w:hint="eastAsia" w:ascii="宋体" w:hAnsi="宋体" w:eastAsia="宋体"/>
                <w:sz w:val="24"/>
                <w:szCs w:val="24"/>
              </w:rPr>
              <w:t>（</w:t>
            </w:r>
            <w:r>
              <w:rPr>
                <w:rFonts w:hint="eastAsia" w:ascii="Times New Roman" w:hAnsi="Times New Roman" w:eastAsia="宋体"/>
                <w:sz w:val="24"/>
                <w:szCs w:val="24"/>
                <w:lang w:val="en-US" w:eastAsia="zh-CN"/>
              </w:rPr>
              <w:t>3</w:t>
            </w:r>
            <w:r>
              <w:rPr>
                <w:rFonts w:hint="eastAsia" w:ascii="宋体" w:hAnsi="宋体" w:eastAsia="宋体"/>
                <w:sz w:val="24"/>
                <w:szCs w:val="24"/>
              </w:rPr>
              <w:t>）遇供水单位限水、停水，按规定时间通知采购人。</w:t>
            </w:r>
          </w:p>
        </w:tc>
      </w:tr>
      <w:tr w14:paraId="21270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exact"/>
        </w:trPr>
        <w:tc>
          <w:tcPr>
            <w:tcW w:w="7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1EF1B27F">
            <w:pPr>
              <w:pStyle w:val="42"/>
              <w:kinsoku w:val="0"/>
              <w:overflowPunct w:val="0"/>
              <w:spacing w:before="24" w:beforeLines="0" w:afterLines="0" w:line="338" w:lineRule="auto"/>
              <w:ind w:left="102" w:right="290" w:firstLine="240"/>
              <w:rPr>
                <w:rFonts w:hint="default"/>
                <w:sz w:val="24"/>
                <w:szCs w:val="24"/>
              </w:rPr>
            </w:pPr>
          </w:p>
        </w:tc>
        <w:tc>
          <w:tcPr>
            <w:tcW w:w="19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5ED6EB72">
            <w:pPr>
              <w:pStyle w:val="42"/>
              <w:kinsoku w:val="0"/>
              <w:overflowPunct w:val="0"/>
              <w:spacing w:before="24" w:beforeLines="0" w:afterLines="0" w:line="338" w:lineRule="auto"/>
              <w:ind w:left="102" w:right="290" w:firstLine="240"/>
              <w:rPr>
                <w:rFonts w:hint="default"/>
                <w:sz w:val="24"/>
                <w:szCs w:val="24"/>
              </w:rPr>
            </w:pPr>
          </w:p>
        </w:tc>
        <w:tc>
          <w:tcPr>
            <w:tcW w:w="58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502EBAE">
            <w:pPr>
              <w:pStyle w:val="42"/>
              <w:kinsoku w:val="0"/>
              <w:overflowPunct w:val="0"/>
              <w:spacing w:before="23" w:beforeLines="0" w:afterLines="0" w:line="324" w:lineRule="auto"/>
              <w:ind w:left="102" w:right="285" w:firstLine="240"/>
              <w:rPr>
                <w:rFonts w:hint="default"/>
                <w:sz w:val="24"/>
                <w:szCs w:val="24"/>
              </w:rPr>
            </w:pPr>
            <w:r>
              <w:rPr>
                <w:rFonts w:hint="eastAsia" w:ascii="宋体" w:hAnsi="宋体" w:eastAsia="宋体"/>
                <w:sz w:val="24"/>
                <w:szCs w:val="24"/>
              </w:rPr>
              <w:t>（</w:t>
            </w:r>
            <w:r>
              <w:rPr>
                <w:rFonts w:hint="eastAsia" w:ascii="Times New Roman" w:hAnsi="Times New Roman" w:eastAsia="宋体"/>
                <w:sz w:val="24"/>
                <w:szCs w:val="24"/>
                <w:lang w:val="en-US" w:eastAsia="zh-CN"/>
              </w:rPr>
              <w:t>4</w:t>
            </w:r>
            <w:r>
              <w:rPr>
                <w:rFonts w:hint="eastAsia" w:ascii="宋体" w:hAnsi="宋体" w:eastAsia="宋体"/>
                <w:sz w:val="24"/>
                <w:szCs w:val="24"/>
              </w:rPr>
              <w:t>）每季度至少开展</w:t>
            </w:r>
            <w:r>
              <w:rPr>
                <w:rFonts w:hint="default" w:ascii="Calibri" w:hAnsi="Calibri" w:eastAsia="Calibri"/>
                <w:sz w:val="24"/>
                <w:szCs w:val="24"/>
              </w:rPr>
              <w:t>1</w:t>
            </w:r>
            <w:r>
              <w:rPr>
                <w:rFonts w:hint="eastAsia" w:ascii="宋体" w:hAnsi="宋体" w:eastAsia="宋体"/>
                <w:sz w:val="24"/>
                <w:szCs w:val="24"/>
              </w:rPr>
              <w:t>次对排水管进行疏通、清污，保证室内外排水系统通畅。</w:t>
            </w:r>
          </w:p>
        </w:tc>
      </w:tr>
      <w:tr w14:paraId="5F0DE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exact"/>
        </w:trPr>
        <w:tc>
          <w:tcPr>
            <w:tcW w:w="7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691C4757">
            <w:pPr>
              <w:pStyle w:val="42"/>
              <w:kinsoku w:val="0"/>
              <w:overflowPunct w:val="0"/>
              <w:spacing w:before="23" w:beforeLines="0" w:afterLines="0" w:line="324" w:lineRule="auto"/>
              <w:ind w:left="102" w:right="285" w:firstLine="240"/>
              <w:rPr>
                <w:rFonts w:hint="default"/>
                <w:sz w:val="24"/>
                <w:szCs w:val="24"/>
              </w:rPr>
            </w:pPr>
          </w:p>
        </w:tc>
        <w:tc>
          <w:tcPr>
            <w:tcW w:w="19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4FA1D8E">
            <w:pPr>
              <w:pStyle w:val="42"/>
              <w:kinsoku w:val="0"/>
              <w:overflowPunct w:val="0"/>
              <w:spacing w:before="23" w:beforeLines="0" w:afterLines="0" w:line="324" w:lineRule="auto"/>
              <w:ind w:left="102" w:right="285" w:firstLine="240"/>
              <w:rPr>
                <w:rFonts w:hint="default"/>
                <w:sz w:val="24"/>
                <w:szCs w:val="24"/>
              </w:rPr>
            </w:pPr>
          </w:p>
        </w:tc>
        <w:tc>
          <w:tcPr>
            <w:tcW w:w="5865" w:type="dxa"/>
            <w:tcBorders>
              <w:top w:val="single" w:color="000000" w:sz="4" w:space="0"/>
              <w:left w:val="single" w:color="000000" w:sz="4" w:space="0"/>
              <w:bottom w:val="nil"/>
              <w:right w:val="single" w:color="000000" w:sz="4" w:space="0"/>
              <w:tl2br w:val="nil"/>
              <w:tr2bl w:val="nil"/>
            </w:tcBorders>
            <w:noWrap w:val="0"/>
            <w:vAlign w:val="top"/>
          </w:tcPr>
          <w:p w14:paraId="2F08B349">
            <w:pPr>
              <w:pStyle w:val="42"/>
              <w:kinsoku w:val="0"/>
              <w:overflowPunct w:val="0"/>
              <w:spacing w:before="23" w:beforeLines="0" w:afterLines="0"/>
              <w:ind w:left="342"/>
              <w:rPr>
                <w:rFonts w:hint="default"/>
                <w:sz w:val="24"/>
                <w:szCs w:val="24"/>
              </w:rPr>
            </w:pPr>
            <w:r>
              <w:rPr>
                <w:rFonts w:hint="eastAsia" w:ascii="宋体" w:hAnsi="宋体" w:eastAsia="宋体"/>
                <w:sz w:val="24"/>
                <w:szCs w:val="24"/>
              </w:rPr>
              <w:t>（</w:t>
            </w:r>
            <w:r>
              <w:rPr>
                <w:rFonts w:hint="eastAsia" w:ascii="Times New Roman" w:hAnsi="Times New Roman" w:eastAsia="宋体"/>
                <w:sz w:val="24"/>
                <w:szCs w:val="24"/>
                <w:lang w:val="en-US" w:eastAsia="zh-CN"/>
              </w:rPr>
              <w:t>5</w:t>
            </w:r>
            <w:r>
              <w:rPr>
                <w:rFonts w:hint="eastAsia" w:ascii="宋体" w:hAnsi="宋体" w:eastAsia="宋体"/>
                <w:sz w:val="24"/>
                <w:szCs w:val="24"/>
              </w:rPr>
              <w:t>）消火栓箱、防火门、灭火器、消防水泵、</w:t>
            </w:r>
          </w:p>
        </w:tc>
      </w:tr>
      <w:tr w14:paraId="00FC6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exact"/>
        </w:trPr>
        <w:tc>
          <w:tcPr>
            <w:tcW w:w="7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57858B65">
            <w:pPr>
              <w:pStyle w:val="42"/>
              <w:kinsoku w:val="0"/>
              <w:overflowPunct w:val="0"/>
              <w:spacing w:before="23" w:beforeLines="0" w:afterLines="0"/>
              <w:ind w:left="342"/>
              <w:rPr>
                <w:rFonts w:hint="default"/>
                <w:sz w:val="24"/>
                <w:szCs w:val="24"/>
              </w:rPr>
            </w:pPr>
          </w:p>
        </w:tc>
        <w:tc>
          <w:tcPr>
            <w:tcW w:w="19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5E8C111C">
            <w:pPr>
              <w:pStyle w:val="42"/>
              <w:kinsoku w:val="0"/>
              <w:overflowPunct w:val="0"/>
              <w:spacing w:before="23" w:beforeLines="0" w:afterLines="0"/>
              <w:ind w:left="342"/>
              <w:rPr>
                <w:rFonts w:hint="default"/>
                <w:sz w:val="24"/>
                <w:szCs w:val="24"/>
              </w:rPr>
            </w:pPr>
          </w:p>
        </w:tc>
        <w:tc>
          <w:tcPr>
            <w:tcW w:w="5865" w:type="dxa"/>
            <w:tcBorders>
              <w:top w:val="nil"/>
              <w:left w:val="single" w:color="000000" w:sz="4" w:space="0"/>
              <w:bottom w:val="nil"/>
              <w:right w:val="single" w:color="000000" w:sz="4" w:space="0"/>
              <w:tl2br w:val="nil"/>
              <w:tr2bl w:val="nil"/>
            </w:tcBorders>
            <w:noWrap w:val="0"/>
            <w:vAlign w:val="top"/>
          </w:tcPr>
          <w:p w14:paraId="7E12E712">
            <w:pPr>
              <w:pStyle w:val="42"/>
              <w:kinsoku w:val="0"/>
              <w:overflowPunct w:val="0"/>
              <w:spacing w:before="32" w:beforeLines="0" w:afterLines="0"/>
              <w:ind w:left="102"/>
              <w:rPr>
                <w:rFonts w:hint="default"/>
                <w:sz w:val="24"/>
                <w:szCs w:val="24"/>
              </w:rPr>
            </w:pPr>
            <w:r>
              <w:rPr>
                <w:rFonts w:hint="eastAsia" w:ascii="宋体" w:hAnsi="宋体" w:eastAsia="宋体"/>
                <w:sz w:val="24"/>
                <w:szCs w:val="24"/>
              </w:rPr>
              <w:t>红外线报警器、应急照明、安全疏散等系统运行正</w:t>
            </w:r>
          </w:p>
        </w:tc>
      </w:tr>
      <w:tr w14:paraId="4EBB3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7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21CC23AE">
            <w:pPr>
              <w:pStyle w:val="42"/>
              <w:kinsoku w:val="0"/>
              <w:overflowPunct w:val="0"/>
              <w:spacing w:before="32" w:beforeLines="0" w:afterLines="0"/>
              <w:ind w:left="102"/>
              <w:rPr>
                <w:rFonts w:hint="default"/>
                <w:sz w:val="24"/>
                <w:szCs w:val="24"/>
              </w:rPr>
            </w:pPr>
          </w:p>
        </w:tc>
        <w:tc>
          <w:tcPr>
            <w:tcW w:w="19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75B980CD">
            <w:pPr>
              <w:pStyle w:val="42"/>
              <w:kinsoku w:val="0"/>
              <w:overflowPunct w:val="0"/>
              <w:spacing w:before="32" w:beforeLines="0" w:afterLines="0"/>
              <w:ind w:left="102"/>
              <w:rPr>
                <w:rFonts w:hint="default"/>
                <w:sz w:val="24"/>
                <w:szCs w:val="24"/>
              </w:rPr>
            </w:pPr>
          </w:p>
        </w:tc>
        <w:tc>
          <w:tcPr>
            <w:tcW w:w="5865" w:type="dxa"/>
            <w:tcBorders>
              <w:top w:val="nil"/>
              <w:left w:val="single" w:color="000000" w:sz="4" w:space="0"/>
              <w:bottom w:val="single" w:color="000000" w:sz="4" w:space="0"/>
              <w:right w:val="single" w:color="000000" w:sz="4" w:space="0"/>
              <w:tl2br w:val="nil"/>
              <w:tr2bl w:val="nil"/>
            </w:tcBorders>
            <w:noWrap w:val="0"/>
            <w:vAlign w:val="top"/>
          </w:tcPr>
          <w:p w14:paraId="69328693">
            <w:pPr>
              <w:pStyle w:val="42"/>
              <w:kinsoku w:val="0"/>
              <w:overflowPunct w:val="0"/>
              <w:spacing w:beforeLines="0" w:afterLines="0"/>
              <w:ind w:left="102"/>
              <w:rPr>
                <w:rFonts w:hint="default"/>
                <w:sz w:val="24"/>
                <w:szCs w:val="24"/>
              </w:rPr>
            </w:pPr>
            <w:r>
              <w:rPr>
                <w:rFonts w:hint="eastAsia" w:ascii="宋体" w:hAnsi="宋体" w:eastAsia="宋体"/>
                <w:sz w:val="24"/>
                <w:szCs w:val="24"/>
              </w:rPr>
              <w:t>常。</w:t>
            </w:r>
          </w:p>
        </w:tc>
      </w:tr>
      <w:tr w14:paraId="0594B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exact"/>
        </w:trPr>
        <w:tc>
          <w:tcPr>
            <w:tcW w:w="7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153B4E00">
            <w:pPr>
              <w:pStyle w:val="42"/>
              <w:kinsoku w:val="0"/>
              <w:overflowPunct w:val="0"/>
              <w:spacing w:beforeLines="0" w:afterLines="0"/>
              <w:ind w:left="102"/>
              <w:rPr>
                <w:rFonts w:hint="default"/>
                <w:sz w:val="24"/>
                <w:szCs w:val="24"/>
              </w:rPr>
            </w:pPr>
          </w:p>
        </w:tc>
        <w:tc>
          <w:tcPr>
            <w:tcW w:w="19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47163A1">
            <w:pPr>
              <w:pStyle w:val="42"/>
              <w:kinsoku w:val="0"/>
              <w:overflowPunct w:val="0"/>
              <w:spacing w:beforeLines="0" w:afterLines="0"/>
              <w:ind w:left="102"/>
              <w:rPr>
                <w:rFonts w:hint="default"/>
                <w:sz w:val="24"/>
                <w:szCs w:val="24"/>
              </w:rPr>
            </w:pPr>
          </w:p>
        </w:tc>
        <w:tc>
          <w:tcPr>
            <w:tcW w:w="58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856B5D8">
            <w:pPr>
              <w:pStyle w:val="42"/>
              <w:kinsoku w:val="0"/>
              <w:overflowPunct w:val="0"/>
              <w:spacing w:before="24" w:beforeLines="0" w:afterLines="0" w:line="338" w:lineRule="auto"/>
              <w:ind w:left="102" w:right="290" w:firstLine="240"/>
              <w:rPr>
                <w:rFonts w:hint="default"/>
                <w:sz w:val="24"/>
                <w:szCs w:val="24"/>
              </w:rPr>
            </w:pPr>
            <w:r>
              <w:rPr>
                <w:rFonts w:hint="eastAsia" w:ascii="宋体" w:hAnsi="宋体" w:eastAsia="宋体"/>
                <w:sz w:val="24"/>
                <w:szCs w:val="24"/>
              </w:rPr>
              <w:t>（</w:t>
            </w:r>
            <w:r>
              <w:rPr>
                <w:rFonts w:hint="eastAsia" w:ascii="Times New Roman" w:hAnsi="Times New Roman" w:eastAsia="宋体"/>
                <w:sz w:val="24"/>
                <w:szCs w:val="24"/>
                <w:lang w:val="en-US" w:eastAsia="zh-CN"/>
              </w:rPr>
              <w:t>6</w:t>
            </w:r>
            <w:r>
              <w:rPr>
                <w:rFonts w:hint="eastAsia" w:ascii="宋体" w:hAnsi="宋体" w:eastAsia="宋体"/>
                <w:sz w:val="24"/>
                <w:szCs w:val="24"/>
              </w:rPr>
              <w:t>）消防监控系统运行良好，自动和手动报警设施启动正常。</w:t>
            </w:r>
          </w:p>
        </w:tc>
      </w:tr>
      <w:tr w14:paraId="78DD7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exact"/>
        </w:trPr>
        <w:tc>
          <w:tcPr>
            <w:tcW w:w="7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572843B9">
            <w:pPr>
              <w:pStyle w:val="42"/>
              <w:kinsoku w:val="0"/>
              <w:overflowPunct w:val="0"/>
              <w:spacing w:before="24" w:beforeLines="0" w:afterLines="0" w:line="338" w:lineRule="auto"/>
              <w:ind w:left="102" w:right="290" w:firstLine="240"/>
              <w:rPr>
                <w:rFonts w:hint="default"/>
                <w:sz w:val="24"/>
                <w:szCs w:val="24"/>
              </w:rPr>
            </w:pPr>
          </w:p>
        </w:tc>
        <w:tc>
          <w:tcPr>
            <w:tcW w:w="19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65D9C09B">
            <w:pPr>
              <w:pStyle w:val="42"/>
              <w:kinsoku w:val="0"/>
              <w:overflowPunct w:val="0"/>
              <w:spacing w:before="24" w:beforeLines="0" w:afterLines="0" w:line="338" w:lineRule="auto"/>
              <w:ind w:left="102" w:right="290" w:firstLine="240"/>
              <w:rPr>
                <w:rFonts w:hint="default"/>
                <w:sz w:val="24"/>
                <w:szCs w:val="24"/>
              </w:rPr>
            </w:pPr>
          </w:p>
        </w:tc>
        <w:tc>
          <w:tcPr>
            <w:tcW w:w="58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A434345">
            <w:pPr>
              <w:pStyle w:val="42"/>
              <w:kinsoku w:val="0"/>
              <w:overflowPunct w:val="0"/>
              <w:spacing w:before="36" w:beforeLines="0" w:afterLines="0"/>
              <w:ind w:left="342"/>
              <w:rPr>
                <w:rFonts w:hint="default"/>
                <w:sz w:val="24"/>
                <w:szCs w:val="24"/>
              </w:rPr>
            </w:pPr>
            <w:r>
              <w:rPr>
                <w:rFonts w:hint="eastAsia" w:ascii="宋体" w:hAnsi="宋体" w:eastAsia="宋体"/>
                <w:sz w:val="24"/>
                <w:szCs w:val="24"/>
              </w:rPr>
              <w:t>（</w:t>
            </w:r>
            <w:r>
              <w:rPr>
                <w:rFonts w:hint="eastAsia" w:ascii="Times New Roman" w:hAnsi="Times New Roman" w:eastAsia="宋体"/>
                <w:sz w:val="24"/>
                <w:szCs w:val="24"/>
                <w:lang w:val="en-US" w:eastAsia="zh-CN"/>
              </w:rPr>
              <w:t>7</w:t>
            </w:r>
            <w:r>
              <w:rPr>
                <w:rFonts w:hint="eastAsia" w:ascii="宋体" w:hAnsi="宋体" w:eastAsia="宋体"/>
                <w:sz w:val="24"/>
                <w:szCs w:val="24"/>
              </w:rPr>
              <w:t>）正压送风、防排烟系统运行正常。</w:t>
            </w:r>
          </w:p>
        </w:tc>
      </w:tr>
      <w:tr w14:paraId="33D53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2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14135928">
            <w:pPr>
              <w:pStyle w:val="42"/>
              <w:kinsoku w:val="0"/>
              <w:overflowPunct w:val="0"/>
              <w:spacing w:beforeLines="0" w:afterLines="0"/>
              <w:rPr>
                <w:rFonts w:hint="default" w:ascii="Times New Roman" w:hAnsi="Times New Roman" w:eastAsia="Times New Roman"/>
                <w:sz w:val="24"/>
                <w:szCs w:val="24"/>
              </w:rPr>
            </w:pPr>
          </w:p>
          <w:p w14:paraId="30CC57FD">
            <w:pPr>
              <w:pStyle w:val="42"/>
              <w:kinsoku w:val="0"/>
              <w:overflowPunct w:val="0"/>
              <w:spacing w:beforeLines="0" w:afterLines="0"/>
              <w:rPr>
                <w:rFonts w:hint="default" w:ascii="Times New Roman" w:hAnsi="Times New Roman" w:eastAsia="Times New Roman"/>
                <w:sz w:val="24"/>
                <w:szCs w:val="24"/>
              </w:rPr>
            </w:pPr>
          </w:p>
          <w:p w14:paraId="6BF8EA54">
            <w:pPr>
              <w:pStyle w:val="42"/>
              <w:kinsoku w:val="0"/>
              <w:overflowPunct w:val="0"/>
              <w:spacing w:before="199" w:beforeLines="0" w:afterLines="0"/>
              <w:ind w:right="1"/>
              <w:jc w:val="center"/>
              <w:rPr>
                <w:rFonts w:hint="default"/>
                <w:sz w:val="24"/>
                <w:szCs w:val="24"/>
              </w:rPr>
            </w:pPr>
            <w:r>
              <w:rPr>
                <w:rFonts w:hint="default" w:ascii="Times New Roman" w:hAnsi="Times New Roman" w:eastAsia="Times New Roman"/>
                <w:sz w:val="24"/>
                <w:szCs w:val="24"/>
              </w:rPr>
              <w:t>4</w:t>
            </w:r>
          </w:p>
        </w:tc>
        <w:tc>
          <w:tcPr>
            <w:tcW w:w="19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20959F10">
            <w:pPr>
              <w:pStyle w:val="42"/>
              <w:kinsoku w:val="0"/>
              <w:overflowPunct w:val="0"/>
              <w:spacing w:beforeLines="0" w:afterLines="0"/>
              <w:rPr>
                <w:rFonts w:hint="default" w:ascii="Times New Roman" w:hAnsi="Times New Roman" w:eastAsia="Times New Roman"/>
                <w:sz w:val="24"/>
                <w:szCs w:val="24"/>
              </w:rPr>
            </w:pPr>
          </w:p>
          <w:p w14:paraId="6C0A2B1A">
            <w:pPr>
              <w:pStyle w:val="42"/>
              <w:kinsoku w:val="0"/>
              <w:overflowPunct w:val="0"/>
              <w:spacing w:beforeLines="0" w:afterLines="0"/>
              <w:rPr>
                <w:rFonts w:hint="default" w:ascii="Times New Roman" w:hAnsi="Times New Roman" w:eastAsia="Times New Roman"/>
                <w:sz w:val="24"/>
                <w:szCs w:val="24"/>
              </w:rPr>
            </w:pPr>
          </w:p>
          <w:p w14:paraId="37CC8FF8">
            <w:pPr>
              <w:pStyle w:val="42"/>
              <w:kinsoku w:val="0"/>
              <w:overflowPunct w:val="0"/>
              <w:spacing w:before="138" w:beforeLines="0" w:afterLines="0"/>
              <w:ind w:left="101"/>
              <w:rPr>
                <w:rFonts w:hint="default"/>
                <w:sz w:val="24"/>
                <w:szCs w:val="24"/>
              </w:rPr>
            </w:pPr>
            <w:r>
              <w:rPr>
                <w:rFonts w:hint="eastAsia" w:ascii="宋体" w:hAnsi="宋体" w:eastAsia="宋体"/>
                <w:sz w:val="24"/>
                <w:szCs w:val="24"/>
              </w:rPr>
              <w:t>供配电系统</w:t>
            </w:r>
          </w:p>
        </w:tc>
        <w:tc>
          <w:tcPr>
            <w:tcW w:w="58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42B5598">
            <w:pPr>
              <w:pStyle w:val="42"/>
              <w:kinsoku w:val="0"/>
              <w:overflowPunct w:val="0"/>
              <w:spacing w:before="23" w:beforeLines="0" w:afterLines="0"/>
              <w:ind w:left="342"/>
              <w:rPr>
                <w:rFonts w:hint="default"/>
                <w:sz w:val="24"/>
                <w:szCs w:val="24"/>
              </w:rPr>
            </w:pPr>
            <w:r>
              <w:rPr>
                <w:rFonts w:hint="eastAsia" w:ascii="宋体" w:hAnsi="宋体" w:eastAsia="宋体"/>
                <w:sz w:val="24"/>
                <w:szCs w:val="24"/>
              </w:rPr>
              <w:t>（</w:t>
            </w:r>
            <w:r>
              <w:rPr>
                <w:rFonts w:hint="default" w:ascii="Times New Roman" w:hAnsi="Times New Roman" w:eastAsia="Times New Roman"/>
                <w:sz w:val="24"/>
                <w:szCs w:val="24"/>
              </w:rPr>
              <w:t>1</w:t>
            </w:r>
            <w:r>
              <w:rPr>
                <w:rFonts w:hint="eastAsia" w:ascii="宋体" w:hAnsi="宋体" w:eastAsia="宋体"/>
                <w:sz w:val="24"/>
                <w:szCs w:val="24"/>
              </w:rPr>
              <w:t>）建立</w:t>
            </w:r>
            <w:r>
              <w:rPr>
                <w:rFonts w:hint="default" w:ascii="Times New Roman" w:hAnsi="Times New Roman" w:eastAsia="Times New Roman"/>
                <w:sz w:val="24"/>
                <w:szCs w:val="24"/>
              </w:rPr>
              <w:t>24</w:t>
            </w:r>
            <w:r>
              <w:rPr>
                <w:rFonts w:hint="eastAsia" w:ascii="宋体" w:hAnsi="宋体" w:eastAsia="宋体"/>
                <w:sz w:val="24"/>
                <w:szCs w:val="24"/>
              </w:rPr>
              <w:t>小时运行值班监控制度。</w:t>
            </w:r>
          </w:p>
        </w:tc>
      </w:tr>
      <w:tr w14:paraId="6CC9A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exact"/>
        </w:trPr>
        <w:tc>
          <w:tcPr>
            <w:tcW w:w="7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231F0105">
            <w:pPr>
              <w:pStyle w:val="42"/>
              <w:kinsoku w:val="0"/>
              <w:overflowPunct w:val="0"/>
              <w:spacing w:before="23" w:beforeLines="0" w:afterLines="0"/>
              <w:ind w:left="342"/>
              <w:rPr>
                <w:rFonts w:hint="default"/>
                <w:sz w:val="24"/>
                <w:szCs w:val="24"/>
              </w:rPr>
            </w:pPr>
          </w:p>
        </w:tc>
        <w:tc>
          <w:tcPr>
            <w:tcW w:w="19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0BA4B276">
            <w:pPr>
              <w:pStyle w:val="42"/>
              <w:kinsoku w:val="0"/>
              <w:overflowPunct w:val="0"/>
              <w:spacing w:before="23" w:beforeLines="0" w:afterLines="0"/>
              <w:ind w:left="342"/>
              <w:rPr>
                <w:rFonts w:hint="default"/>
                <w:sz w:val="24"/>
                <w:szCs w:val="24"/>
              </w:rPr>
            </w:pPr>
          </w:p>
        </w:tc>
        <w:tc>
          <w:tcPr>
            <w:tcW w:w="5865" w:type="dxa"/>
            <w:tcBorders>
              <w:top w:val="single" w:color="000000" w:sz="4" w:space="0"/>
              <w:left w:val="single" w:color="000000" w:sz="4" w:space="0"/>
              <w:bottom w:val="nil"/>
              <w:right w:val="single" w:color="000000" w:sz="4" w:space="0"/>
              <w:tl2br w:val="nil"/>
              <w:tr2bl w:val="nil"/>
            </w:tcBorders>
            <w:noWrap w:val="0"/>
            <w:vAlign w:val="top"/>
          </w:tcPr>
          <w:p w14:paraId="054902B1">
            <w:pPr>
              <w:pStyle w:val="42"/>
              <w:kinsoku w:val="0"/>
              <w:overflowPunct w:val="0"/>
              <w:spacing w:before="24" w:beforeLines="0" w:afterLines="0"/>
              <w:ind w:left="342"/>
              <w:rPr>
                <w:rFonts w:hint="default"/>
                <w:sz w:val="24"/>
                <w:szCs w:val="24"/>
              </w:rPr>
            </w:pPr>
            <w:r>
              <w:rPr>
                <w:rFonts w:hint="eastAsia" w:ascii="宋体" w:hAnsi="宋体" w:eastAsia="宋体"/>
                <w:sz w:val="24"/>
                <w:szCs w:val="24"/>
              </w:rPr>
              <w:t>（</w:t>
            </w:r>
            <w:r>
              <w:rPr>
                <w:rFonts w:hint="default" w:ascii="Times New Roman" w:hAnsi="Times New Roman" w:eastAsia="Times New Roman"/>
                <w:sz w:val="24"/>
                <w:szCs w:val="24"/>
              </w:rPr>
              <w:t>2</w:t>
            </w:r>
            <w:r>
              <w:rPr>
                <w:rFonts w:hint="eastAsia" w:ascii="宋体" w:hAnsi="宋体" w:eastAsia="宋体"/>
                <w:sz w:val="24"/>
                <w:szCs w:val="24"/>
              </w:rPr>
              <w:t>）对供电范围内的电气设备定期巡视维护，</w:t>
            </w:r>
          </w:p>
        </w:tc>
      </w:tr>
      <w:tr w14:paraId="776BF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exact"/>
        </w:trPr>
        <w:tc>
          <w:tcPr>
            <w:tcW w:w="7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21913889">
            <w:pPr>
              <w:pStyle w:val="42"/>
              <w:kinsoku w:val="0"/>
              <w:overflowPunct w:val="0"/>
              <w:spacing w:before="24" w:beforeLines="0" w:afterLines="0"/>
              <w:ind w:left="342"/>
              <w:rPr>
                <w:rFonts w:hint="default"/>
                <w:sz w:val="24"/>
                <w:szCs w:val="24"/>
              </w:rPr>
            </w:pPr>
          </w:p>
        </w:tc>
        <w:tc>
          <w:tcPr>
            <w:tcW w:w="19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07D9C3ED">
            <w:pPr>
              <w:pStyle w:val="42"/>
              <w:kinsoku w:val="0"/>
              <w:overflowPunct w:val="0"/>
              <w:spacing w:before="24" w:beforeLines="0" w:afterLines="0"/>
              <w:ind w:left="342"/>
              <w:rPr>
                <w:rFonts w:hint="default"/>
                <w:sz w:val="24"/>
                <w:szCs w:val="24"/>
              </w:rPr>
            </w:pPr>
          </w:p>
        </w:tc>
        <w:tc>
          <w:tcPr>
            <w:tcW w:w="5865" w:type="dxa"/>
            <w:tcBorders>
              <w:top w:val="nil"/>
              <w:left w:val="single" w:color="000000" w:sz="4" w:space="0"/>
              <w:bottom w:val="nil"/>
              <w:right w:val="single" w:color="000000" w:sz="4" w:space="0"/>
              <w:tl2br w:val="nil"/>
              <w:tr2bl w:val="nil"/>
            </w:tcBorders>
            <w:noWrap w:val="0"/>
            <w:vAlign w:val="top"/>
          </w:tcPr>
          <w:p w14:paraId="6989BA67">
            <w:pPr>
              <w:pStyle w:val="42"/>
              <w:kinsoku w:val="0"/>
              <w:overflowPunct w:val="0"/>
              <w:spacing w:before="33" w:beforeLines="0" w:afterLines="0"/>
              <w:ind w:left="102"/>
              <w:rPr>
                <w:rFonts w:hint="default"/>
                <w:sz w:val="24"/>
                <w:szCs w:val="24"/>
              </w:rPr>
            </w:pPr>
            <w:r>
              <w:rPr>
                <w:rFonts w:hint="eastAsia" w:ascii="宋体" w:hAnsi="宋体" w:eastAsia="宋体"/>
                <w:sz w:val="24"/>
                <w:szCs w:val="24"/>
              </w:rPr>
              <w:t>加强高低压配电柜、配电箱、控制柜及线路等重点部</w:t>
            </w:r>
          </w:p>
        </w:tc>
      </w:tr>
      <w:tr w14:paraId="0A3ED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exact"/>
        </w:trPr>
        <w:tc>
          <w:tcPr>
            <w:tcW w:w="7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12A2332D">
            <w:pPr>
              <w:pStyle w:val="42"/>
              <w:kinsoku w:val="0"/>
              <w:overflowPunct w:val="0"/>
              <w:spacing w:before="33" w:beforeLines="0" w:afterLines="0"/>
              <w:ind w:left="102"/>
              <w:rPr>
                <w:rFonts w:hint="default"/>
                <w:sz w:val="24"/>
                <w:szCs w:val="24"/>
              </w:rPr>
            </w:pPr>
          </w:p>
        </w:tc>
        <w:tc>
          <w:tcPr>
            <w:tcW w:w="19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3E517E7">
            <w:pPr>
              <w:pStyle w:val="42"/>
              <w:kinsoku w:val="0"/>
              <w:overflowPunct w:val="0"/>
              <w:spacing w:before="33" w:beforeLines="0" w:afterLines="0"/>
              <w:ind w:left="102"/>
              <w:rPr>
                <w:rFonts w:hint="default"/>
                <w:sz w:val="24"/>
                <w:szCs w:val="24"/>
              </w:rPr>
            </w:pPr>
          </w:p>
        </w:tc>
        <w:tc>
          <w:tcPr>
            <w:tcW w:w="5865" w:type="dxa"/>
            <w:tcBorders>
              <w:top w:val="nil"/>
              <w:left w:val="single" w:color="000000" w:sz="4" w:space="0"/>
              <w:bottom w:val="single" w:color="000000" w:sz="4" w:space="0"/>
              <w:right w:val="single" w:color="000000" w:sz="4" w:space="0"/>
              <w:tl2br w:val="nil"/>
              <w:tr2bl w:val="nil"/>
            </w:tcBorders>
            <w:noWrap w:val="0"/>
            <w:vAlign w:val="top"/>
          </w:tcPr>
          <w:p w14:paraId="09258F05">
            <w:pPr>
              <w:pStyle w:val="42"/>
              <w:kinsoku w:val="0"/>
              <w:overflowPunct w:val="0"/>
              <w:spacing w:beforeLines="0" w:afterLines="0"/>
              <w:ind w:left="102"/>
              <w:rPr>
                <w:rFonts w:hint="default"/>
                <w:sz w:val="24"/>
                <w:szCs w:val="24"/>
              </w:rPr>
            </w:pPr>
            <w:r>
              <w:rPr>
                <w:rFonts w:hint="eastAsia" w:ascii="宋体" w:hAnsi="宋体" w:eastAsia="宋体"/>
                <w:sz w:val="24"/>
                <w:szCs w:val="24"/>
              </w:rPr>
              <w:t>位监测。</w:t>
            </w:r>
          </w:p>
        </w:tc>
      </w:tr>
    </w:tbl>
    <w:p w14:paraId="22A99E52">
      <w:pPr>
        <w:spacing w:beforeLines="0" w:afterLines="0"/>
        <w:rPr>
          <w:rFonts w:hint="default"/>
          <w:sz w:val="24"/>
          <w:szCs w:val="24"/>
        </w:rPr>
        <w:sectPr>
          <w:pgSz w:w="11910" w:h="16840"/>
          <w:pgMar w:top="980" w:right="1560" w:bottom="880" w:left="1580" w:header="746" w:footer="699" w:gutter="0"/>
          <w:lnNumType w:countBy="0" w:distance="360"/>
          <w:cols w:space="720" w:num="1"/>
        </w:sectPr>
      </w:pPr>
    </w:p>
    <w:p w14:paraId="45121184">
      <w:pPr>
        <w:pStyle w:val="8"/>
        <w:kinsoku w:val="0"/>
        <w:overflowPunct w:val="0"/>
        <w:spacing w:beforeLines="0" w:afterLines="0"/>
        <w:ind w:left="0"/>
        <w:rPr>
          <w:rFonts w:hint="default" w:ascii="Times New Roman" w:hAnsi="Times New Roman" w:eastAsia="Times New Roman"/>
          <w:sz w:val="20"/>
          <w:szCs w:val="24"/>
        </w:rPr>
      </w:pPr>
    </w:p>
    <w:p w14:paraId="7CDDB349">
      <w:pPr>
        <w:pStyle w:val="8"/>
        <w:kinsoku w:val="0"/>
        <w:overflowPunct w:val="0"/>
        <w:spacing w:before="3" w:beforeLines="0" w:afterLines="0"/>
        <w:ind w:left="0"/>
        <w:rPr>
          <w:rFonts w:hint="default" w:ascii="Times New Roman" w:hAnsi="Times New Roman" w:eastAsia="Times New Roman"/>
          <w:sz w:val="19"/>
          <w:szCs w:val="24"/>
        </w:rPr>
      </w:pPr>
    </w:p>
    <w:tbl>
      <w:tblPr>
        <w:tblStyle w:val="19"/>
        <w:tblW w:w="0" w:type="auto"/>
        <w:tblInd w:w="2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6"/>
        <w:gridCol w:w="1960"/>
        <w:gridCol w:w="5865"/>
      </w:tblGrid>
      <w:tr w14:paraId="64020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exact"/>
        </w:trPr>
        <w:tc>
          <w:tcPr>
            <w:tcW w:w="72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4D3F2402">
            <w:pPr>
              <w:spacing w:beforeLines="0" w:afterLines="0"/>
              <w:rPr>
                <w:rFonts w:hint="default"/>
                <w:sz w:val="24"/>
                <w:szCs w:val="24"/>
              </w:rPr>
            </w:pPr>
          </w:p>
        </w:tc>
        <w:tc>
          <w:tcPr>
            <w:tcW w:w="19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0090F0E7">
            <w:pPr>
              <w:spacing w:beforeLines="0" w:afterLines="0"/>
              <w:rPr>
                <w:rFonts w:hint="default"/>
                <w:sz w:val="24"/>
                <w:szCs w:val="24"/>
              </w:rPr>
            </w:pPr>
          </w:p>
        </w:tc>
        <w:tc>
          <w:tcPr>
            <w:tcW w:w="58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953D3DE">
            <w:pPr>
              <w:pStyle w:val="42"/>
              <w:kinsoku w:val="0"/>
              <w:overflowPunct w:val="0"/>
              <w:spacing w:before="25" w:beforeLines="0" w:afterLines="0" w:line="336" w:lineRule="auto"/>
              <w:ind w:left="102" w:right="290" w:firstLine="240"/>
              <w:rPr>
                <w:rFonts w:hint="default"/>
                <w:sz w:val="24"/>
                <w:szCs w:val="24"/>
              </w:rPr>
            </w:pPr>
            <w:r>
              <w:rPr>
                <w:rFonts w:hint="eastAsia" w:ascii="宋体" w:hAnsi="宋体" w:eastAsia="宋体"/>
                <w:sz w:val="24"/>
                <w:szCs w:val="24"/>
              </w:rPr>
              <w:t>（</w:t>
            </w:r>
            <w:r>
              <w:rPr>
                <w:rFonts w:hint="default" w:ascii="Times New Roman" w:hAnsi="Times New Roman" w:eastAsia="Times New Roman"/>
                <w:sz w:val="24"/>
                <w:szCs w:val="24"/>
              </w:rPr>
              <w:t>3</w:t>
            </w:r>
            <w:r>
              <w:rPr>
                <w:rFonts w:hint="eastAsia" w:ascii="宋体" w:hAnsi="宋体" w:eastAsia="宋体"/>
                <w:sz w:val="24"/>
                <w:szCs w:val="24"/>
              </w:rPr>
              <w:t>）公共使用的照明、指示灯具线路、开关、接地等保持完好，确保用电安全。</w:t>
            </w:r>
          </w:p>
        </w:tc>
      </w:tr>
      <w:tr w14:paraId="1B180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exact"/>
        </w:trPr>
        <w:tc>
          <w:tcPr>
            <w:tcW w:w="7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5857181B">
            <w:pPr>
              <w:pStyle w:val="42"/>
              <w:kinsoku w:val="0"/>
              <w:overflowPunct w:val="0"/>
              <w:spacing w:before="25" w:beforeLines="0" w:afterLines="0" w:line="336" w:lineRule="auto"/>
              <w:ind w:left="102" w:right="290" w:firstLine="240"/>
              <w:rPr>
                <w:rFonts w:hint="default"/>
                <w:sz w:val="24"/>
                <w:szCs w:val="24"/>
              </w:rPr>
            </w:pPr>
          </w:p>
        </w:tc>
        <w:tc>
          <w:tcPr>
            <w:tcW w:w="19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78A1F212">
            <w:pPr>
              <w:pStyle w:val="42"/>
              <w:kinsoku w:val="0"/>
              <w:overflowPunct w:val="0"/>
              <w:spacing w:before="25" w:beforeLines="0" w:afterLines="0" w:line="336" w:lineRule="auto"/>
              <w:ind w:left="102" w:right="290" w:firstLine="240"/>
              <w:rPr>
                <w:rFonts w:hint="default"/>
                <w:sz w:val="24"/>
                <w:szCs w:val="24"/>
              </w:rPr>
            </w:pPr>
          </w:p>
        </w:tc>
        <w:tc>
          <w:tcPr>
            <w:tcW w:w="58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92FA040">
            <w:pPr>
              <w:pStyle w:val="42"/>
              <w:kinsoku w:val="0"/>
              <w:overflowPunct w:val="0"/>
              <w:spacing w:before="23" w:beforeLines="0" w:afterLines="0" w:line="338" w:lineRule="auto"/>
              <w:ind w:left="102" w:right="290" w:firstLine="240"/>
              <w:rPr>
                <w:rFonts w:hint="default"/>
                <w:sz w:val="24"/>
                <w:szCs w:val="24"/>
              </w:rPr>
            </w:pPr>
            <w:r>
              <w:rPr>
                <w:rFonts w:hint="eastAsia" w:ascii="宋体" w:hAnsi="宋体" w:eastAsia="宋体"/>
                <w:sz w:val="24"/>
                <w:szCs w:val="24"/>
              </w:rPr>
              <w:t>（</w:t>
            </w:r>
            <w:r>
              <w:rPr>
                <w:rFonts w:hint="default" w:ascii="Times New Roman" w:hAnsi="Times New Roman" w:eastAsia="Times New Roman"/>
                <w:sz w:val="24"/>
                <w:szCs w:val="24"/>
              </w:rPr>
              <w:t>4</w:t>
            </w:r>
            <w:r>
              <w:rPr>
                <w:rFonts w:hint="eastAsia" w:ascii="宋体" w:hAnsi="宋体" w:eastAsia="宋体"/>
                <w:sz w:val="24"/>
                <w:szCs w:val="24"/>
              </w:rPr>
              <w:t>）核心部位用电建立高可控用电保障和配备应急发电设备，定期维护应急发电设备。</w:t>
            </w:r>
          </w:p>
        </w:tc>
      </w:tr>
      <w:tr w14:paraId="7AC55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8" w:hRule="exact"/>
        </w:trPr>
        <w:tc>
          <w:tcPr>
            <w:tcW w:w="7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0D1453C4">
            <w:pPr>
              <w:pStyle w:val="42"/>
              <w:kinsoku w:val="0"/>
              <w:overflowPunct w:val="0"/>
              <w:spacing w:before="23" w:beforeLines="0" w:afterLines="0" w:line="338" w:lineRule="auto"/>
              <w:ind w:left="102" w:right="290" w:firstLine="240"/>
              <w:rPr>
                <w:rFonts w:hint="default"/>
                <w:sz w:val="24"/>
                <w:szCs w:val="24"/>
              </w:rPr>
            </w:pPr>
          </w:p>
        </w:tc>
        <w:tc>
          <w:tcPr>
            <w:tcW w:w="19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508E4673">
            <w:pPr>
              <w:pStyle w:val="42"/>
              <w:kinsoku w:val="0"/>
              <w:overflowPunct w:val="0"/>
              <w:spacing w:before="23" w:beforeLines="0" w:afterLines="0" w:line="338" w:lineRule="auto"/>
              <w:ind w:left="102" w:right="290" w:firstLine="240"/>
              <w:rPr>
                <w:rFonts w:hint="default"/>
                <w:sz w:val="24"/>
                <w:szCs w:val="24"/>
              </w:rPr>
            </w:pPr>
          </w:p>
        </w:tc>
        <w:tc>
          <w:tcPr>
            <w:tcW w:w="58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D9752B7">
            <w:pPr>
              <w:pStyle w:val="42"/>
              <w:kinsoku w:val="0"/>
              <w:overflowPunct w:val="0"/>
              <w:spacing w:before="26" w:beforeLines="0" w:afterLines="0" w:line="316" w:lineRule="auto"/>
              <w:ind w:left="102" w:right="230" w:firstLine="240"/>
              <w:jc w:val="both"/>
              <w:rPr>
                <w:rFonts w:hint="default"/>
                <w:sz w:val="24"/>
                <w:szCs w:val="24"/>
              </w:rPr>
            </w:pPr>
            <w:r>
              <w:rPr>
                <w:rFonts w:hint="eastAsia" w:ascii="宋体" w:hAnsi="宋体" w:eastAsia="宋体"/>
                <w:sz w:val="24"/>
                <w:szCs w:val="24"/>
              </w:rPr>
              <w:t>（</w:t>
            </w:r>
            <w:r>
              <w:rPr>
                <w:rFonts w:hint="default" w:ascii="Times New Roman" w:hAnsi="Times New Roman" w:eastAsia="Times New Roman"/>
                <w:sz w:val="24"/>
                <w:szCs w:val="24"/>
              </w:rPr>
              <w:t>5</w:t>
            </w:r>
            <w:r>
              <w:rPr>
                <w:rFonts w:hint="eastAsia" w:ascii="宋体" w:hAnsi="宋体" w:eastAsia="宋体"/>
                <w:sz w:val="24"/>
                <w:szCs w:val="24"/>
              </w:rPr>
              <w:t>）发生非计划性停电的，应当在事件发生后及时通知采购人，快速恢复或启用应急电源，并做好应急事件上报及处理工作。</w:t>
            </w:r>
          </w:p>
        </w:tc>
      </w:tr>
      <w:tr w14:paraId="26234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exact"/>
        </w:trPr>
        <w:tc>
          <w:tcPr>
            <w:tcW w:w="7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3A0F27A1">
            <w:pPr>
              <w:pStyle w:val="42"/>
              <w:kinsoku w:val="0"/>
              <w:overflowPunct w:val="0"/>
              <w:spacing w:before="26" w:beforeLines="0" w:afterLines="0" w:line="316" w:lineRule="auto"/>
              <w:ind w:left="102" w:right="230" w:firstLine="240"/>
              <w:jc w:val="both"/>
              <w:rPr>
                <w:rFonts w:hint="default"/>
                <w:sz w:val="24"/>
                <w:szCs w:val="24"/>
              </w:rPr>
            </w:pPr>
          </w:p>
        </w:tc>
        <w:tc>
          <w:tcPr>
            <w:tcW w:w="19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72EA8CD9">
            <w:pPr>
              <w:pStyle w:val="42"/>
              <w:kinsoku w:val="0"/>
              <w:overflowPunct w:val="0"/>
              <w:spacing w:before="26" w:beforeLines="0" w:afterLines="0" w:line="316" w:lineRule="auto"/>
              <w:ind w:left="102" w:right="230" w:firstLine="240"/>
              <w:jc w:val="both"/>
              <w:rPr>
                <w:rFonts w:hint="default"/>
                <w:sz w:val="24"/>
                <w:szCs w:val="24"/>
              </w:rPr>
            </w:pPr>
          </w:p>
        </w:tc>
        <w:tc>
          <w:tcPr>
            <w:tcW w:w="58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9A6AE49">
            <w:pPr>
              <w:pStyle w:val="42"/>
              <w:kinsoku w:val="0"/>
              <w:overflowPunct w:val="0"/>
              <w:spacing w:before="23" w:beforeLines="0" w:afterLines="0" w:line="336" w:lineRule="auto"/>
              <w:ind w:left="102" w:right="290" w:firstLine="240"/>
              <w:rPr>
                <w:rFonts w:hint="default"/>
                <w:sz w:val="24"/>
                <w:szCs w:val="24"/>
              </w:rPr>
            </w:pPr>
            <w:r>
              <w:rPr>
                <w:rFonts w:hint="eastAsia" w:ascii="宋体" w:hAnsi="宋体" w:eastAsia="宋体"/>
                <w:sz w:val="24"/>
                <w:szCs w:val="24"/>
              </w:rPr>
              <w:t>（</w:t>
            </w:r>
            <w:r>
              <w:rPr>
                <w:rFonts w:hint="default" w:ascii="Times New Roman" w:hAnsi="Times New Roman" w:eastAsia="Times New Roman"/>
                <w:sz w:val="24"/>
                <w:szCs w:val="24"/>
              </w:rPr>
              <w:t>6</w:t>
            </w:r>
            <w:r>
              <w:rPr>
                <w:rFonts w:hint="eastAsia" w:ascii="宋体" w:hAnsi="宋体" w:eastAsia="宋体"/>
                <w:sz w:val="24"/>
                <w:szCs w:val="24"/>
              </w:rPr>
              <w:t>）复杂故障涉及供电部门维修处置的及时与供电部门联系，并向采购人报告。</w:t>
            </w:r>
          </w:p>
        </w:tc>
      </w:tr>
      <w:tr w14:paraId="1EA22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exact"/>
        </w:trPr>
        <w:tc>
          <w:tcPr>
            <w:tcW w:w="72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75FC1359">
            <w:pPr>
              <w:pStyle w:val="42"/>
              <w:kinsoku w:val="0"/>
              <w:overflowPunct w:val="0"/>
              <w:spacing w:beforeLines="0" w:afterLines="0"/>
              <w:rPr>
                <w:rFonts w:hint="default" w:ascii="Times New Roman" w:hAnsi="Times New Roman" w:eastAsia="Times New Roman"/>
                <w:sz w:val="24"/>
                <w:szCs w:val="24"/>
              </w:rPr>
            </w:pPr>
          </w:p>
          <w:p w14:paraId="5219BB22">
            <w:pPr>
              <w:pStyle w:val="42"/>
              <w:kinsoku w:val="0"/>
              <w:overflowPunct w:val="0"/>
              <w:spacing w:beforeLines="0" w:afterLines="0"/>
              <w:rPr>
                <w:rFonts w:hint="default" w:ascii="Times New Roman" w:hAnsi="Times New Roman" w:eastAsia="Times New Roman"/>
                <w:sz w:val="24"/>
                <w:szCs w:val="24"/>
              </w:rPr>
            </w:pPr>
          </w:p>
          <w:p w14:paraId="37FB6E9C">
            <w:pPr>
              <w:pStyle w:val="42"/>
              <w:kinsoku w:val="0"/>
              <w:overflowPunct w:val="0"/>
              <w:spacing w:beforeLines="0" w:afterLines="0"/>
              <w:rPr>
                <w:rFonts w:hint="default" w:ascii="Times New Roman" w:hAnsi="Times New Roman" w:eastAsia="Times New Roman"/>
                <w:sz w:val="24"/>
                <w:szCs w:val="24"/>
              </w:rPr>
            </w:pPr>
          </w:p>
          <w:p w14:paraId="0DA64202">
            <w:pPr>
              <w:pStyle w:val="42"/>
              <w:kinsoku w:val="0"/>
              <w:overflowPunct w:val="0"/>
              <w:spacing w:before="8" w:beforeLines="0" w:afterLines="0"/>
              <w:rPr>
                <w:rFonts w:hint="default" w:ascii="Times New Roman" w:hAnsi="Times New Roman" w:eastAsia="Times New Roman"/>
                <w:sz w:val="33"/>
                <w:szCs w:val="24"/>
              </w:rPr>
            </w:pPr>
          </w:p>
          <w:p w14:paraId="435C1087">
            <w:pPr>
              <w:pStyle w:val="42"/>
              <w:kinsoku w:val="0"/>
              <w:overflowPunct w:val="0"/>
              <w:spacing w:beforeLines="0" w:afterLines="0"/>
              <w:ind w:right="1"/>
              <w:jc w:val="center"/>
              <w:rPr>
                <w:rFonts w:hint="default"/>
                <w:sz w:val="24"/>
                <w:szCs w:val="24"/>
              </w:rPr>
            </w:pPr>
            <w:r>
              <w:rPr>
                <w:rFonts w:hint="default" w:ascii="Times New Roman" w:hAnsi="Times New Roman" w:eastAsia="Times New Roman"/>
                <w:sz w:val="24"/>
                <w:szCs w:val="24"/>
              </w:rPr>
              <w:t>5</w:t>
            </w:r>
          </w:p>
        </w:tc>
        <w:tc>
          <w:tcPr>
            <w:tcW w:w="19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7A8111A5">
            <w:pPr>
              <w:pStyle w:val="42"/>
              <w:kinsoku w:val="0"/>
              <w:overflowPunct w:val="0"/>
              <w:spacing w:beforeLines="0" w:afterLines="0"/>
              <w:rPr>
                <w:rFonts w:hint="default" w:ascii="Times New Roman" w:hAnsi="Times New Roman" w:eastAsia="Times New Roman"/>
                <w:sz w:val="24"/>
                <w:szCs w:val="24"/>
              </w:rPr>
            </w:pPr>
          </w:p>
          <w:p w14:paraId="1C202EB2">
            <w:pPr>
              <w:pStyle w:val="42"/>
              <w:kinsoku w:val="0"/>
              <w:overflowPunct w:val="0"/>
              <w:spacing w:beforeLines="0" w:afterLines="0"/>
              <w:rPr>
                <w:rFonts w:hint="default" w:ascii="Times New Roman" w:hAnsi="Times New Roman" w:eastAsia="Times New Roman"/>
                <w:sz w:val="24"/>
                <w:szCs w:val="24"/>
              </w:rPr>
            </w:pPr>
          </w:p>
          <w:p w14:paraId="2BB090F6">
            <w:pPr>
              <w:pStyle w:val="42"/>
              <w:kinsoku w:val="0"/>
              <w:overflowPunct w:val="0"/>
              <w:spacing w:beforeLines="0" w:afterLines="0"/>
              <w:rPr>
                <w:rFonts w:hint="default" w:ascii="Times New Roman" w:hAnsi="Times New Roman" w:eastAsia="Times New Roman"/>
                <w:sz w:val="24"/>
                <w:szCs w:val="24"/>
              </w:rPr>
            </w:pPr>
          </w:p>
          <w:p w14:paraId="6C06A03E">
            <w:pPr>
              <w:pStyle w:val="42"/>
              <w:kinsoku w:val="0"/>
              <w:overflowPunct w:val="0"/>
              <w:spacing w:before="5" w:beforeLines="0" w:afterLines="0"/>
              <w:rPr>
                <w:rFonts w:hint="default" w:ascii="Times New Roman" w:hAnsi="Times New Roman" w:eastAsia="Times New Roman"/>
                <w:sz w:val="28"/>
                <w:szCs w:val="24"/>
              </w:rPr>
            </w:pPr>
          </w:p>
          <w:p w14:paraId="75FEF1BE">
            <w:pPr>
              <w:pStyle w:val="42"/>
              <w:kinsoku w:val="0"/>
              <w:overflowPunct w:val="0"/>
              <w:spacing w:beforeLines="0" w:afterLines="0"/>
              <w:ind w:left="101"/>
              <w:rPr>
                <w:rFonts w:hint="default"/>
                <w:sz w:val="24"/>
                <w:szCs w:val="24"/>
              </w:rPr>
            </w:pPr>
            <w:r>
              <w:rPr>
                <w:rFonts w:hint="eastAsia" w:ascii="宋体" w:hAnsi="宋体" w:eastAsia="宋体"/>
                <w:sz w:val="24"/>
                <w:szCs w:val="24"/>
              </w:rPr>
              <w:t>弱电系统</w:t>
            </w:r>
          </w:p>
        </w:tc>
        <w:tc>
          <w:tcPr>
            <w:tcW w:w="58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BDDD931">
            <w:pPr>
              <w:pStyle w:val="42"/>
              <w:kinsoku w:val="0"/>
              <w:overflowPunct w:val="0"/>
              <w:spacing w:before="24" w:beforeLines="0" w:afterLines="0"/>
              <w:ind w:left="102" w:firstLine="240"/>
              <w:rPr>
                <w:rFonts w:hint="eastAsia" w:ascii="宋体" w:hAnsi="宋体" w:eastAsia="宋体"/>
                <w:sz w:val="24"/>
                <w:szCs w:val="24"/>
              </w:rPr>
            </w:pPr>
            <w:r>
              <w:rPr>
                <w:rFonts w:hint="eastAsia" w:ascii="宋体" w:hAnsi="宋体" w:eastAsia="宋体"/>
                <w:sz w:val="24"/>
                <w:szCs w:val="24"/>
              </w:rPr>
              <w:t>（</w:t>
            </w:r>
            <w:r>
              <w:rPr>
                <w:rFonts w:hint="default" w:ascii="Times New Roman" w:hAnsi="Times New Roman" w:eastAsia="Times New Roman"/>
                <w:sz w:val="24"/>
                <w:szCs w:val="24"/>
              </w:rPr>
              <w:t>1</w:t>
            </w:r>
            <w:r>
              <w:rPr>
                <w:rFonts w:hint="eastAsia" w:ascii="宋体" w:hAnsi="宋体" w:eastAsia="宋体"/>
                <w:sz w:val="24"/>
                <w:szCs w:val="24"/>
              </w:rPr>
              <w:t>）安全防范系统维护保养符合《安全防范系</w:t>
            </w:r>
          </w:p>
          <w:p w14:paraId="22C9048C">
            <w:pPr>
              <w:pStyle w:val="42"/>
              <w:kinsoku w:val="0"/>
              <w:overflowPunct w:val="0"/>
              <w:spacing w:before="135" w:beforeLines="0" w:afterLines="0"/>
              <w:ind w:left="102"/>
              <w:rPr>
                <w:rFonts w:hint="default"/>
                <w:sz w:val="24"/>
                <w:szCs w:val="24"/>
              </w:rPr>
            </w:pPr>
            <w:r>
              <w:rPr>
                <w:rFonts w:hint="eastAsia" w:ascii="宋体" w:hAnsi="宋体" w:eastAsia="宋体"/>
                <w:spacing w:val="-1"/>
                <w:sz w:val="24"/>
                <w:szCs w:val="24"/>
              </w:rPr>
              <w:t>统维护保养规范》（</w:t>
            </w:r>
            <w:r>
              <w:rPr>
                <w:rFonts w:hint="default" w:ascii="Times New Roman" w:hAnsi="Times New Roman" w:eastAsia="Times New Roman"/>
                <w:spacing w:val="-1"/>
                <w:sz w:val="24"/>
                <w:szCs w:val="24"/>
              </w:rPr>
              <w:t>GA/T</w:t>
            </w:r>
            <w:r>
              <w:rPr>
                <w:rFonts w:hint="default" w:ascii="Times New Roman" w:hAnsi="Times New Roman" w:eastAsia="Times New Roman"/>
                <w:sz w:val="24"/>
                <w:szCs w:val="24"/>
              </w:rPr>
              <w:t>1081</w:t>
            </w:r>
            <w:r>
              <w:rPr>
                <w:rFonts w:hint="eastAsia" w:ascii="宋体" w:hAnsi="宋体" w:eastAsia="宋体"/>
                <w:sz w:val="24"/>
                <w:szCs w:val="24"/>
              </w:rPr>
              <w:t>）的相关要求。</w:t>
            </w:r>
          </w:p>
        </w:tc>
      </w:tr>
      <w:tr w14:paraId="1B528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exact"/>
        </w:trPr>
        <w:tc>
          <w:tcPr>
            <w:tcW w:w="7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1F0E9AD8">
            <w:pPr>
              <w:pStyle w:val="42"/>
              <w:kinsoku w:val="0"/>
              <w:overflowPunct w:val="0"/>
              <w:spacing w:before="135" w:beforeLines="0" w:afterLines="0"/>
              <w:ind w:left="102"/>
              <w:rPr>
                <w:rFonts w:hint="default"/>
                <w:sz w:val="24"/>
                <w:szCs w:val="24"/>
              </w:rPr>
            </w:pPr>
          </w:p>
        </w:tc>
        <w:tc>
          <w:tcPr>
            <w:tcW w:w="19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6D829E6">
            <w:pPr>
              <w:pStyle w:val="42"/>
              <w:kinsoku w:val="0"/>
              <w:overflowPunct w:val="0"/>
              <w:spacing w:before="135" w:beforeLines="0" w:afterLines="0"/>
              <w:ind w:left="102"/>
              <w:rPr>
                <w:rFonts w:hint="default"/>
                <w:sz w:val="24"/>
                <w:szCs w:val="24"/>
              </w:rPr>
            </w:pPr>
          </w:p>
        </w:tc>
        <w:tc>
          <w:tcPr>
            <w:tcW w:w="58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CADF5DF">
            <w:pPr>
              <w:pStyle w:val="42"/>
              <w:kinsoku w:val="0"/>
              <w:overflowPunct w:val="0"/>
              <w:spacing w:before="24" w:beforeLines="0" w:afterLines="0" w:line="338" w:lineRule="auto"/>
              <w:ind w:left="102" w:right="290" w:firstLine="240"/>
              <w:rPr>
                <w:rFonts w:hint="default"/>
                <w:sz w:val="24"/>
                <w:szCs w:val="24"/>
              </w:rPr>
            </w:pPr>
            <w:r>
              <w:rPr>
                <w:rFonts w:hint="eastAsia" w:ascii="宋体" w:hAnsi="宋体" w:eastAsia="宋体"/>
                <w:sz w:val="24"/>
                <w:szCs w:val="24"/>
              </w:rPr>
              <w:t>（</w:t>
            </w:r>
            <w:r>
              <w:rPr>
                <w:rFonts w:hint="default" w:ascii="Times New Roman" w:hAnsi="Times New Roman" w:eastAsia="Times New Roman"/>
                <w:sz w:val="24"/>
                <w:szCs w:val="24"/>
              </w:rPr>
              <w:t>2</w:t>
            </w:r>
            <w:r>
              <w:rPr>
                <w:rFonts w:hint="eastAsia" w:ascii="宋体" w:hAnsi="宋体" w:eastAsia="宋体"/>
                <w:sz w:val="24"/>
                <w:szCs w:val="24"/>
              </w:rPr>
              <w:t>）保持安全防范系统等运行正常，有故障及时排除。</w:t>
            </w:r>
          </w:p>
        </w:tc>
      </w:tr>
      <w:tr w14:paraId="4A882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exact"/>
        </w:trPr>
        <w:tc>
          <w:tcPr>
            <w:tcW w:w="7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02C101A8">
            <w:pPr>
              <w:pStyle w:val="42"/>
              <w:kinsoku w:val="0"/>
              <w:overflowPunct w:val="0"/>
              <w:spacing w:before="24" w:beforeLines="0" w:afterLines="0" w:line="338" w:lineRule="auto"/>
              <w:ind w:left="102" w:right="290" w:firstLine="240"/>
              <w:rPr>
                <w:rFonts w:hint="default"/>
                <w:sz w:val="24"/>
                <w:szCs w:val="24"/>
              </w:rPr>
            </w:pPr>
          </w:p>
        </w:tc>
        <w:tc>
          <w:tcPr>
            <w:tcW w:w="19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078DC5B">
            <w:pPr>
              <w:pStyle w:val="42"/>
              <w:kinsoku w:val="0"/>
              <w:overflowPunct w:val="0"/>
              <w:spacing w:before="24" w:beforeLines="0" w:afterLines="0" w:line="338" w:lineRule="auto"/>
              <w:ind w:left="102" w:right="290" w:firstLine="240"/>
              <w:rPr>
                <w:rFonts w:hint="default"/>
                <w:sz w:val="24"/>
                <w:szCs w:val="24"/>
              </w:rPr>
            </w:pPr>
          </w:p>
        </w:tc>
        <w:tc>
          <w:tcPr>
            <w:tcW w:w="58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3F5BC46">
            <w:pPr>
              <w:pStyle w:val="42"/>
              <w:kinsoku w:val="0"/>
              <w:overflowPunct w:val="0"/>
              <w:spacing w:before="23" w:beforeLines="0" w:afterLines="0" w:line="336" w:lineRule="auto"/>
              <w:ind w:left="102" w:right="295" w:firstLine="240"/>
              <w:rPr>
                <w:rFonts w:hint="default"/>
                <w:sz w:val="24"/>
                <w:szCs w:val="24"/>
              </w:rPr>
            </w:pPr>
            <w:r>
              <w:rPr>
                <w:rFonts w:hint="eastAsia" w:ascii="宋体" w:hAnsi="宋体" w:eastAsia="宋体"/>
                <w:sz w:val="24"/>
                <w:szCs w:val="24"/>
              </w:rPr>
              <w:t>（</w:t>
            </w:r>
            <w:r>
              <w:rPr>
                <w:rFonts w:hint="default" w:ascii="Times New Roman" w:hAnsi="Times New Roman" w:eastAsia="Times New Roman"/>
                <w:sz w:val="24"/>
                <w:szCs w:val="24"/>
              </w:rPr>
              <w:t>3</w:t>
            </w:r>
            <w:r>
              <w:rPr>
                <w:rFonts w:hint="eastAsia" w:ascii="宋体" w:hAnsi="宋体" w:eastAsia="宋体"/>
                <w:sz w:val="24"/>
                <w:szCs w:val="24"/>
              </w:rPr>
              <w:t>）</w:t>
            </w:r>
            <w:r>
              <w:rPr>
                <w:rFonts w:hint="eastAsia" w:ascii="宋体" w:hAnsi="宋体" w:eastAsia="宋体"/>
                <w:sz w:val="24"/>
                <w:szCs w:val="24"/>
                <w:lang w:val="en-US" w:eastAsia="zh-CN"/>
              </w:rPr>
              <w:t>场馆内部</w:t>
            </w:r>
            <w:r>
              <w:rPr>
                <w:rFonts w:hint="eastAsia" w:ascii="宋体" w:hAnsi="宋体" w:eastAsia="宋体"/>
                <w:sz w:val="24"/>
                <w:szCs w:val="24"/>
              </w:rPr>
              <w:t>、公共区域线路插板等设施运行正常，有故障及时排除。</w:t>
            </w:r>
          </w:p>
        </w:tc>
      </w:tr>
      <w:tr w14:paraId="036BA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72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41E417BB">
            <w:pPr>
              <w:pStyle w:val="42"/>
              <w:kinsoku w:val="0"/>
              <w:overflowPunct w:val="0"/>
              <w:spacing w:beforeLines="0" w:afterLines="0"/>
              <w:rPr>
                <w:rFonts w:hint="default" w:ascii="Times New Roman" w:hAnsi="Times New Roman" w:eastAsia="Times New Roman"/>
                <w:sz w:val="24"/>
                <w:szCs w:val="24"/>
              </w:rPr>
            </w:pPr>
          </w:p>
          <w:p w14:paraId="3D044C41">
            <w:pPr>
              <w:pStyle w:val="42"/>
              <w:kinsoku w:val="0"/>
              <w:overflowPunct w:val="0"/>
              <w:spacing w:beforeLines="0" w:afterLines="0"/>
              <w:rPr>
                <w:rFonts w:hint="default" w:ascii="Times New Roman" w:hAnsi="Times New Roman" w:eastAsia="Times New Roman"/>
                <w:sz w:val="24"/>
                <w:szCs w:val="24"/>
              </w:rPr>
            </w:pPr>
          </w:p>
          <w:p w14:paraId="69654BF0">
            <w:pPr>
              <w:pStyle w:val="42"/>
              <w:kinsoku w:val="0"/>
              <w:overflowPunct w:val="0"/>
              <w:spacing w:beforeLines="0" w:afterLines="0"/>
              <w:rPr>
                <w:rFonts w:hint="default" w:ascii="Times New Roman" w:hAnsi="Times New Roman" w:eastAsia="Times New Roman"/>
                <w:sz w:val="24"/>
                <w:szCs w:val="24"/>
              </w:rPr>
            </w:pPr>
          </w:p>
          <w:p w14:paraId="1E8384B4">
            <w:pPr>
              <w:pStyle w:val="42"/>
              <w:kinsoku w:val="0"/>
              <w:overflowPunct w:val="0"/>
              <w:spacing w:before="191" w:beforeLines="0" w:afterLines="0"/>
              <w:ind w:right="1"/>
              <w:jc w:val="center"/>
              <w:rPr>
                <w:rFonts w:hint="default"/>
                <w:sz w:val="24"/>
                <w:szCs w:val="24"/>
              </w:rPr>
            </w:pPr>
            <w:r>
              <w:rPr>
                <w:rFonts w:hint="default" w:ascii="Times New Roman" w:hAnsi="Times New Roman" w:eastAsia="Times New Roman"/>
                <w:sz w:val="24"/>
                <w:szCs w:val="24"/>
              </w:rPr>
              <w:t>6</w:t>
            </w:r>
          </w:p>
        </w:tc>
        <w:tc>
          <w:tcPr>
            <w:tcW w:w="19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4D7C700A">
            <w:pPr>
              <w:pStyle w:val="42"/>
              <w:kinsoku w:val="0"/>
              <w:overflowPunct w:val="0"/>
              <w:spacing w:beforeLines="0" w:afterLines="0"/>
              <w:rPr>
                <w:rFonts w:hint="default" w:ascii="Times New Roman" w:hAnsi="Times New Roman" w:eastAsia="Times New Roman"/>
                <w:sz w:val="24"/>
                <w:szCs w:val="24"/>
              </w:rPr>
            </w:pPr>
          </w:p>
          <w:p w14:paraId="1587FE9D">
            <w:pPr>
              <w:pStyle w:val="42"/>
              <w:kinsoku w:val="0"/>
              <w:overflowPunct w:val="0"/>
              <w:spacing w:beforeLines="0" w:afterLines="0"/>
              <w:rPr>
                <w:rFonts w:hint="default" w:ascii="Times New Roman" w:hAnsi="Times New Roman" w:eastAsia="Times New Roman"/>
                <w:sz w:val="24"/>
                <w:szCs w:val="24"/>
              </w:rPr>
            </w:pPr>
          </w:p>
          <w:p w14:paraId="79E4FCFD">
            <w:pPr>
              <w:pStyle w:val="42"/>
              <w:kinsoku w:val="0"/>
              <w:overflowPunct w:val="0"/>
              <w:spacing w:before="6" w:beforeLines="0" w:afterLines="0"/>
              <w:rPr>
                <w:rFonts w:hint="default" w:ascii="Times New Roman" w:hAnsi="Times New Roman" w:eastAsia="Times New Roman"/>
                <w:sz w:val="35"/>
                <w:szCs w:val="24"/>
              </w:rPr>
            </w:pPr>
          </w:p>
          <w:p w14:paraId="6C67962D">
            <w:pPr>
              <w:pStyle w:val="42"/>
              <w:kinsoku w:val="0"/>
              <w:overflowPunct w:val="0"/>
              <w:spacing w:beforeLines="0" w:afterLines="0"/>
              <w:ind w:left="101"/>
              <w:rPr>
                <w:rFonts w:hint="default"/>
                <w:sz w:val="24"/>
                <w:szCs w:val="24"/>
              </w:rPr>
            </w:pPr>
            <w:r>
              <w:rPr>
                <w:rFonts w:hint="eastAsia" w:ascii="宋体" w:hAnsi="宋体" w:eastAsia="宋体"/>
                <w:sz w:val="24"/>
                <w:szCs w:val="24"/>
              </w:rPr>
              <w:t>照明系统</w:t>
            </w:r>
          </w:p>
        </w:tc>
        <w:tc>
          <w:tcPr>
            <w:tcW w:w="58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5E4DA5F">
            <w:pPr>
              <w:pStyle w:val="42"/>
              <w:kinsoku w:val="0"/>
              <w:overflowPunct w:val="0"/>
              <w:spacing w:before="24" w:beforeLines="0" w:afterLines="0"/>
              <w:ind w:left="342"/>
              <w:rPr>
                <w:rFonts w:hint="default"/>
                <w:sz w:val="24"/>
                <w:szCs w:val="24"/>
              </w:rPr>
            </w:pPr>
            <w:r>
              <w:rPr>
                <w:rFonts w:hint="eastAsia" w:ascii="宋体" w:hAnsi="宋体" w:eastAsia="宋体"/>
                <w:sz w:val="24"/>
                <w:szCs w:val="24"/>
              </w:rPr>
              <w:t>（</w:t>
            </w:r>
            <w:r>
              <w:rPr>
                <w:rFonts w:hint="default" w:ascii="Times New Roman" w:hAnsi="Times New Roman" w:eastAsia="Times New Roman"/>
                <w:sz w:val="24"/>
                <w:szCs w:val="24"/>
              </w:rPr>
              <w:t>1</w:t>
            </w:r>
            <w:r>
              <w:rPr>
                <w:rFonts w:hint="eastAsia" w:ascii="宋体" w:hAnsi="宋体" w:eastAsia="宋体"/>
                <w:sz w:val="24"/>
                <w:szCs w:val="24"/>
              </w:rPr>
              <w:t>）外观整洁无缺损、无松落。</w:t>
            </w:r>
          </w:p>
        </w:tc>
      </w:tr>
      <w:tr w14:paraId="00884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exact"/>
        </w:trPr>
        <w:tc>
          <w:tcPr>
            <w:tcW w:w="7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52B854ED">
            <w:pPr>
              <w:pStyle w:val="42"/>
              <w:kinsoku w:val="0"/>
              <w:overflowPunct w:val="0"/>
              <w:spacing w:before="24" w:beforeLines="0" w:afterLines="0"/>
              <w:ind w:left="342"/>
              <w:rPr>
                <w:rFonts w:hint="default"/>
                <w:sz w:val="24"/>
                <w:szCs w:val="24"/>
              </w:rPr>
            </w:pPr>
          </w:p>
        </w:tc>
        <w:tc>
          <w:tcPr>
            <w:tcW w:w="19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7D1108DF">
            <w:pPr>
              <w:pStyle w:val="42"/>
              <w:kinsoku w:val="0"/>
              <w:overflowPunct w:val="0"/>
              <w:spacing w:before="24" w:beforeLines="0" w:afterLines="0"/>
              <w:ind w:left="342"/>
              <w:rPr>
                <w:rFonts w:hint="default"/>
                <w:sz w:val="24"/>
                <w:szCs w:val="24"/>
              </w:rPr>
            </w:pPr>
          </w:p>
        </w:tc>
        <w:tc>
          <w:tcPr>
            <w:tcW w:w="58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83A96AF">
            <w:pPr>
              <w:pStyle w:val="42"/>
              <w:kinsoku w:val="0"/>
              <w:overflowPunct w:val="0"/>
              <w:spacing w:before="24" w:beforeLines="0" w:afterLines="0" w:line="336" w:lineRule="auto"/>
              <w:ind w:left="102" w:right="290" w:firstLine="240"/>
              <w:rPr>
                <w:rFonts w:hint="default"/>
                <w:sz w:val="24"/>
                <w:szCs w:val="24"/>
              </w:rPr>
            </w:pPr>
            <w:r>
              <w:rPr>
                <w:rFonts w:hint="eastAsia" w:ascii="宋体" w:hAnsi="宋体" w:eastAsia="宋体"/>
                <w:sz w:val="24"/>
                <w:szCs w:val="24"/>
              </w:rPr>
              <w:t>（</w:t>
            </w:r>
            <w:r>
              <w:rPr>
                <w:rFonts w:hint="default" w:ascii="Times New Roman" w:hAnsi="Times New Roman" w:eastAsia="Times New Roman"/>
                <w:sz w:val="24"/>
                <w:szCs w:val="24"/>
              </w:rPr>
              <w:t>2</w:t>
            </w:r>
            <w:r>
              <w:rPr>
                <w:rFonts w:hint="eastAsia" w:ascii="宋体" w:hAnsi="宋体" w:eastAsia="宋体"/>
                <w:sz w:val="24"/>
                <w:szCs w:val="24"/>
              </w:rPr>
              <w:t>）更换的照明灯具应当选用节能环保产品，亮度与更换前保持一致。</w:t>
            </w:r>
          </w:p>
        </w:tc>
      </w:tr>
      <w:tr w14:paraId="6EBE5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exact"/>
        </w:trPr>
        <w:tc>
          <w:tcPr>
            <w:tcW w:w="7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727D5A9E">
            <w:pPr>
              <w:pStyle w:val="42"/>
              <w:kinsoku w:val="0"/>
              <w:overflowPunct w:val="0"/>
              <w:spacing w:before="24" w:beforeLines="0" w:afterLines="0" w:line="336" w:lineRule="auto"/>
              <w:ind w:left="102" w:right="290" w:firstLine="240"/>
              <w:rPr>
                <w:rFonts w:hint="default"/>
                <w:sz w:val="24"/>
                <w:szCs w:val="24"/>
              </w:rPr>
            </w:pPr>
          </w:p>
        </w:tc>
        <w:tc>
          <w:tcPr>
            <w:tcW w:w="19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6DA5A156">
            <w:pPr>
              <w:pStyle w:val="42"/>
              <w:kinsoku w:val="0"/>
              <w:overflowPunct w:val="0"/>
              <w:spacing w:before="24" w:beforeLines="0" w:afterLines="0" w:line="336" w:lineRule="auto"/>
              <w:ind w:left="102" w:right="290" w:firstLine="240"/>
              <w:rPr>
                <w:rFonts w:hint="default"/>
                <w:sz w:val="24"/>
                <w:szCs w:val="24"/>
              </w:rPr>
            </w:pPr>
          </w:p>
        </w:tc>
        <w:tc>
          <w:tcPr>
            <w:tcW w:w="586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9ECB6AB">
            <w:pPr>
              <w:pStyle w:val="42"/>
              <w:kinsoku w:val="0"/>
              <w:overflowPunct w:val="0"/>
              <w:spacing w:before="25" w:beforeLines="0" w:afterLines="0" w:line="324" w:lineRule="auto"/>
              <w:ind w:left="102" w:right="525" w:firstLine="240"/>
              <w:rPr>
                <w:rFonts w:hint="default"/>
                <w:sz w:val="24"/>
                <w:szCs w:val="24"/>
              </w:rPr>
            </w:pPr>
            <w:r>
              <w:rPr>
                <w:rFonts w:hint="eastAsia" w:ascii="宋体" w:hAnsi="宋体" w:eastAsia="宋体"/>
                <w:sz w:val="24"/>
                <w:szCs w:val="24"/>
              </w:rPr>
              <w:t>（</w:t>
            </w:r>
            <w:r>
              <w:rPr>
                <w:rFonts w:hint="default" w:ascii="Times New Roman" w:hAnsi="Times New Roman" w:eastAsia="Times New Roman"/>
                <w:sz w:val="24"/>
                <w:szCs w:val="24"/>
              </w:rPr>
              <w:t>3</w:t>
            </w:r>
            <w:r>
              <w:rPr>
                <w:rFonts w:hint="eastAsia" w:ascii="宋体" w:hAnsi="宋体" w:eastAsia="宋体"/>
                <w:sz w:val="24"/>
                <w:szCs w:val="24"/>
              </w:rPr>
              <w:t>）每周至少开展</w:t>
            </w:r>
            <w:r>
              <w:rPr>
                <w:rFonts w:hint="default" w:ascii="Calibri" w:hAnsi="Calibri" w:eastAsia="Calibri"/>
                <w:sz w:val="24"/>
                <w:szCs w:val="24"/>
              </w:rPr>
              <w:t>1</w:t>
            </w:r>
            <w:r>
              <w:rPr>
                <w:rFonts w:hint="eastAsia" w:ascii="宋体" w:hAnsi="宋体" w:eastAsia="宋体"/>
                <w:sz w:val="24"/>
                <w:szCs w:val="24"/>
              </w:rPr>
              <w:t>次公共区域照明设备巡视。</w:t>
            </w:r>
          </w:p>
        </w:tc>
      </w:tr>
    </w:tbl>
    <w:p w14:paraId="22E658D2">
      <w:pPr>
        <w:pStyle w:val="8"/>
        <w:kinsoku w:val="0"/>
        <w:overflowPunct w:val="0"/>
        <w:spacing w:beforeLines="0" w:afterLines="0" w:line="276" w:lineRule="exact"/>
        <w:rPr>
          <w:rFonts w:hint="eastAsia" w:ascii="楷体" w:hAnsi="楷体" w:eastAsia="楷体"/>
          <w:sz w:val="21"/>
          <w:szCs w:val="24"/>
        </w:rPr>
      </w:pPr>
      <w:r>
        <w:rPr>
          <w:rFonts w:hint="eastAsia" w:ascii="楷体" w:hAnsi="楷体" w:eastAsia="楷体"/>
          <w:sz w:val="24"/>
          <w:szCs w:val="24"/>
        </w:rPr>
        <w:t>注：</w:t>
      </w:r>
      <w:r>
        <w:rPr>
          <w:rFonts w:hint="eastAsia" w:ascii="楷体" w:hAnsi="楷体" w:eastAsia="楷体"/>
          <w:sz w:val="21"/>
          <w:szCs w:val="24"/>
        </w:rPr>
        <w:t>服务标准涉及的国家标准有更新的，执行国家最新标准。</w:t>
      </w:r>
    </w:p>
    <w:p w14:paraId="37E57D00">
      <w:pPr>
        <w:pStyle w:val="8"/>
        <w:kinsoku w:val="0"/>
        <w:overflowPunct w:val="0"/>
        <w:spacing w:before="10" w:beforeLines="0" w:afterLines="0"/>
        <w:ind w:left="0"/>
        <w:rPr>
          <w:rFonts w:hint="eastAsia" w:ascii="楷体" w:hAnsi="楷体" w:eastAsia="楷体"/>
          <w:sz w:val="18"/>
          <w:szCs w:val="24"/>
        </w:rPr>
      </w:pPr>
    </w:p>
    <w:p w14:paraId="094CDD0F">
      <w:pPr>
        <w:pStyle w:val="2"/>
        <w:kinsoku w:val="0"/>
        <w:overflowPunct w:val="0"/>
        <w:spacing w:beforeLines="0" w:afterLines="0"/>
        <w:rPr>
          <w:rFonts w:hint="eastAsia"/>
          <w:b w:val="0"/>
          <w:sz w:val="32"/>
          <w:szCs w:val="24"/>
        </w:rPr>
      </w:pPr>
      <w:bookmarkStart w:id="18" w:name="3.4保洁服务"/>
      <w:bookmarkEnd w:id="18"/>
      <w:r>
        <w:rPr>
          <w:rFonts w:hint="default" w:ascii="Times New Roman" w:hAnsi="Times New Roman" w:eastAsia="Times New Roman"/>
          <w:sz w:val="32"/>
          <w:szCs w:val="24"/>
        </w:rPr>
        <w:t>3.4</w:t>
      </w:r>
      <w:r>
        <w:rPr>
          <w:rFonts w:hint="eastAsia"/>
          <w:spacing w:val="1"/>
          <w:sz w:val="32"/>
          <w:szCs w:val="24"/>
        </w:rPr>
        <w:t>保洁服务</w:t>
      </w:r>
    </w:p>
    <w:p w14:paraId="08215BBA">
      <w:pPr>
        <w:pStyle w:val="8"/>
        <w:kinsoku w:val="0"/>
        <w:overflowPunct w:val="0"/>
        <w:spacing w:beforeLines="0" w:afterLines="0"/>
        <w:ind w:left="0"/>
        <w:rPr>
          <w:rFonts w:hint="eastAsia"/>
          <w:b/>
          <w:sz w:val="20"/>
          <w:szCs w:val="24"/>
        </w:rPr>
      </w:pPr>
    </w:p>
    <w:p w14:paraId="78083C34">
      <w:pPr>
        <w:pStyle w:val="8"/>
        <w:kinsoku w:val="0"/>
        <w:overflowPunct w:val="0"/>
        <w:spacing w:before="6" w:beforeLines="0" w:afterLines="0"/>
        <w:ind w:left="0"/>
        <w:rPr>
          <w:rFonts w:hint="eastAsia"/>
          <w:b/>
          <w:sz w:val="24"/>
          <w:szCs w:val="24"/>
        </w:rPr>
      </w:pPr>
    </w:p>
    <w:tbl>
      <w:tblPr>
        <w:tblStyle w:val="19"/>
        <w:tblW w:w="0" w:type="auto"/>
        <w:tblInd w:w="2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3"/>
        <w:gridCol w:w="1974"/>
        <w:gridCol w:w="5840"/>
      </w:tblGrid>
      <w:tr w14:paraId="12DD4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exact"/>
        </w:trPr>
        <w:tc>
          <w:tcPr>
            <w:tcW w:w="71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8C21081">
            <w:pPr>
              <w:pStyle w:val="42"/>
              <w:kinsoku w:val="0"/>
              <w:overflowPunct w:val="0"/>
              <w:spacing w:beforeLines="0" w:afterLines="0" w:line="307" w:lineRule="exact"/>
              <w:ind w:left="110"/>
              <w:rPr>
                <w:rFonts w:hint="default"/>
                <w:sz w:val="24"/>
                <w:szCs w:val="24"/>
              </w:rPr>
            </w:pPr>
            <w:r>
              <w:rPr>
                <w:rFonts w:hint="eastAsia" w:ascii="宋体" w:hAnsi="宋体" w:eastAsia="宋体"/>
                <w:b/>
                <w:sz w:val="24"/>
                <w:szCs w:val="24"/>
              </w:rPr>
              <w:t>序号</w:t>
            </w:r>
          </w:p>
        </w:tc>
        <w:tc>
          <w:tcPr>
            <w:tcW w:w="197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62DF6F8">
            <w:pPr>
              <w:pStyle w:val="42"/>
              <w:kinsoku w:val="0"/>
              <w:overflowPunct w:val="0"/>
              <w:spacing w:beforeLines="0" w:afterLines="0" w:line="307" w:lineRule="exact"/>
              <w:ind w:left="499"/>
              <w:rPr>
                <w:rFonts w:hint="default"/>
                <w:sz w:val="24"/>
                <w:szCs w:val="24"/>
              </w:rPr>
            </w:pPr>
            <w:r>
              <w:rPr>
                <w:rFonts w:hint="eastAsia" w:ascii="宋体" w:hAnsi="宋体" w:eastAsia="宋体"/>
                <w:b/>
                <w:sz w:val="24"/>
                <w:szCs w:val="24"/>
              </w:rPr>
              <w:t>服务内容</w:t>
            </w:r>
          </w:p>
        </w:tc>
        <w:tc>
          <w:tcPr>
            <w:tcW w:w="58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90EE602">
            <w:pPr>
              <w:pStyle w:val="42"/>
              <w:kinsoku w:val="0"/>
              <w:overflowPunct w:val="0"/>
              <w:spacing w:beforeLines="0" w:afterLines="0" w:line="307" w:lineRule="exact"/>
              <w:ind w:right="1"/>
              <w:jc w:val="center"/>
              <w:rPr>
                <w:rFonts w:hint="default"/>
                <w:sz w:val="24"/>
                <w:szCs w:val="24"/>
              </w:rPr>
            </w:pPr>
            <w:r>
              <w:rPr>
                <w:rFonts w:hint="eastAsia" w:ascii="宋体" w:hAnsi="宋体" w:eastAsia="宋体"/>
                <w:b/>
                <w:sz w:val="24"/>
                <w:szCs w:val="24"/>
              </w:rPr>
              <w:t>服务标准</w:t>
            </w:r>
          </w:p>
        </w:tc>
      </w:tr>
      <w:tr w14:paraId="7FAE8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exact"/>
        </w:trPr>
        <w:tc>
          <w:tcPr>
            <w:tcW w:w="71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7E0A6DB9">
            <w:pPr>
              <w:pStyle w:val="42"/>
              <w:kinsoku w:val="0"/>
              <w:overflowPunct w:val="0"/>
              <w:spacing w:beforeLines="0" w:afterLines="0"/>
              <w:rPr>
                <w:rFonts w:hint="eastAsia" w:ascii="宋体" w:hAnsi="宋体" w:eastAsia="宋体"/>
                <w:b/>
                <w:sz w:val="24"/>
                <w:szCs w:val="24"/>
              </w:rPr>
            </w:pPr>
          </w:p>
          <w:p w14:paraId="6A393543">
            <w:pPr>
              <w:pStyle w:val="42"/>
              <w:kinsoku w:val="0"/>
              <w:overflowPunct w:val="0"/>
              <w:spacing w:beforeLines="0" w:afterLines="0"/>
              <w:rPr>
                <w:rFonts w:hint="eastAsia" w:ascii="宋体" w:hAnsi="宋体" w:eastAsia="宋体"/>
                <w:b/>
                <w:sz w:val="24"/>
                <w:szCs w:val="24"/>
              </w:rPr>
            </w:pPr>
          </w:p>
          <w:p w14:paraId="6A41E1BA">
            <w:pPr>
              <w:pStyle w:val="42"/>
              <w:kinsoku w:val="0"/>
              <w:overflowPunct w:val="0"/>
              <w:spacing w:beforeLines="0" w:afterLines="0"/>
              <w:rPr>
                <w:rFonts w:hint="eastAsia" w:ascii="宋体" w:hAnsi="宋体" w:eastAsia="宋体"/>
                <w:b/>
                <w:sz w:val="24"/>
                <w:szCs w:val="24"/>
              </w:rPr>
            </w:pPr>
          </w:p>
          <w:p w14:paraId="5AB37C18">
            <w:pPr>
              <w:pStyle w:val="42"/>
              <w:kinsoku w:val="0"/>
              <w:overflowPunct w:val="0"/>
              <w:spacing w:before="9" w:beforeLines="0" w:afterLines="0"/>
              <w:rPr>
                <w:rFonts w:hint="eastAsia" w:ascii="宋体" w:hAnsi="宋体" w:eastAsia="宋体"/>
                <w:b/>
                <w:sz w:val="35"/>
                <w:szCs w:val="24"/>
              </w:rPr>
            </w:pPr>
          </w:p>
          <w:p w14:paraId="1114F21E">
            <w:pPr>
              <w:pStyle w:val="42"/>
              <w:kinsoku w:val="0"/>
              <w:overflowPunct w:val="0"/>
              <w:spacing w:beforeLines="0" w:afterLines="0"/>
              <w:jc w:val="center"/>
              <w:rPr>
                <w:rFonts w:hint="default"/>
                <w:sz w:val="24"/>
                <w:szCs w:val="24"/>
              </w:rPr>
            </w:pPr>
            <w:r>
              <w:rPr>
                <w:rFonts w:hint="default" w:ascii="Times New Roman" w:hAnsi="Times New Roman" w:eastAsia="Times New Roman"/>
                <w:sz w:val="24"/>
                <w:szCs w:val="24"/>
              </w:rPr>
              <w:t>1</w:t>
            </w:r>
          </w:p>
        </w:tc>
        <w:tc>
          <w:tcPr>
            <w:tcW w:w="197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667F84E2">
            <w:pPr>
              <w:pStyle w:val="42"/>
              <w:kinsoku w:val="0"/>
              <w:overflowPunct w:val="0"/>
              <w:spacing w:beforeLines="0" w:afterLines="0"/>
              <w:rPr>
                <w:rFonts w:hint="eastAsia" w:ascii="宋体" w:hAnsi="宋体" w:eastAsia="宋体"/>
                <w:b/>
                <w:sz w:val="24"/>
                <w:szCs w:val="24"/>
              </w:rPr>
            </w:pPr>
          </w:p>
          <w:p w14:paraId="19F538E4">
            <w:pPr>
              <w:pStyle w:val="42"/>
              <w:kinsoku w:val="0"/>
              <w:overflowPunct w:val="0"/>
              <w:spacing w:beforeLines="0" w:afterLines="0"/>
              <w:rPr>
                <w:rFonts w:hint="eastAsia" w:ascii="宋体" w:hAnsi="宋体" w:eastAsia="宋体"/>
                <w:b/>
                <w:sz w:val="24"/>
                <w:szCs w:val="24"/>
              </w:rPr>
            </w:pPr>
          </w:p>
          <w:p w14:paraId="080BB683">
            <w:pPr>
              <w:pStyle w:val="42"/>
              <w:kinsoku w:val="0"/>
              <w:overflowPunct w:val="0"/>
              <w:spacing w:beforeLines="0" w:afterLines="0"/>
              <w:rPr>
                <w:rFonts w:hint="eastAsia" w:ascii="宋体" w:hAnsi="宋体" w:eastAsia="宋体"/>
                <w:b/>
                <w:sz w:val="24"/>
                <w:szCs w:val="24"/>
              </w:rPr>
            </w:pPr>
          </w:p>
          <w:p w14:paraId="0C8F61F1">
            <w:pPr>
              <w:pStyle w:val="42"/>
              <w:kinsoku w:val="0"/>
              <w:overflowPunct w:val="0"/>
              <w:spacing w:beforeLines="0" w:afterLines="0"/>
              <w:rPr>
                <w:rFonts w:hint="eastAsia" w:ascii="宋体" w:hAnsi="宋体" w:eastAsia="宋体"/>
                <w:b/>
                <w:sz w:val="31"/>
                <w:szCs w:val="24"/>
              </w:rPr>
            </w:pPr>
          </w:p>
          <w:p w14:paraId="2932A142">
            <w:pPr>
              <w:pStyle w:val="42"/>
              <w:kinsoku w:val="0"/>
              <w:overflowPunct w:val="0"/>
              <w:spacing w:beforeLines="0" w:afterLines="0"/>
              <w:ind w:left="103"/>
              <w:rPr>
                <w:rFonts w:hint="default"/>
                <w:sz w:val="24"/>
                <w:szCs w:val="24"/>
              </w:rPr>
            </w:pPr>
            <w:r>
              <w:rPr>
                <w:rFonts w:hint="eastAsia" w:ascii="宋体" w:hAnsi="宋体" w:eastAsia="宋体"/>
                <w:sz w:val="24"/>
                <w:szCs w:val="24"/>
              </w:rPr>
              <w:t>基本要求</w:t>
            </w:r>
          </w:p>
        </w:tc>
        <w:tc>
          <w:tcPr>
            <w:tcW w:w="58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25E3514">
            <w:pPr>
              <w:pStyle w:val="42"/>
              <w:kinsoku w:val="0"/>
              <w:overflowPunct w:val="0"/>
              <w:spacing w:before="26" w:beforeLines="0" w:afterLines="0" w:line="336" w:lineRule="auto"/>
              <w:ind w:left="104" w:right="264" w:firstLine="240"/>
              <w:rPr>
                <w:rFonts w:hint="default"/>
                <w:sz w:val="24"/>
                <w:szCs w:val="24"/>
              </w:rPr>
            </w:pPr>
            <w:r>
              <w:rPr>
                <w:rFonts w:hint="eastAsia" w:ascii="宋体" w:hAnsi="宋体" w:eastAsia="宋体"/>
                <w:sz w:val="24"/>
                <w:szCs w:val="24"/>
              </w:rPr>
              <w:t>（</w:t>
            </w:r>
            <w:r>
              <w:rPr>
                <w:rFonts w:hint="default" w:ascii="Times New Roman" w:hAnsi="Times New Roman" w:eastAsia="Times New Roman"/>
                <w:sz w:val="24"/>
                <w:szCs w:val="24"/>
              </w:rPr>
              <w:t>1</w:t>
            </w:r>
            <w:r>
              <w:rPr>
                <w:rFonts w:hint="eastAsia" w:ascii="宋体" w:hAnsi="宋体" w:eastAsia="宋体"/>
                <w:sz w:val="24"/>
                <w:szCs w:val="24"/>
              </w:rPr>
              <w:t>）建立保洁服务的工作制度及工作计划，并按照执行。</w:t>
            </w:r>
          </w:p>
        </w:tc>
      </w:tr>
      <w:tr w14:paraId="7DFB0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exact"/>
        </w:trPr>
        <w:tc>
          <w:tcPr>
            <w:tcW w:w="7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5F74C60F">
            <w:pPr>
              <w:pStyle w:val="42"/>
              <w:kinsoku w:val="0"/>
              <w:overflowPunct w:val="0"/>
              <w:spacing w:before="26" w:beforeLines="0" w:afterLines="0" w:line="336" w:lineRule="auto"/>
              <w:ind w:left="104" w:right="264" w:firstLine="240"/>
              <w:rPr>
                <w:rFonts w:hint="default"/>
                <w:sz w:val="24"/>
                <w:szCs w:val="24"/>
              </w:rPr>
            </w:pPr>
          </w:p>
        </w:tc>
        <w:tc>
          <w:tcPr>
            <w:tcW w:w="19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3268EA6C">
            <w:pPr>
              <w:pStyle w:val="42"/>
              <w:kinsoku w:val="0"/>
              <w:overflowPunct w:val="0"/>
              <w:spacing w:before="26" w:beforeLines="0" w:afterLines="0" w:line="336" w:lineRule="auto"/>
              <w:ind w:left="104" w:right="264" w:firstLine="240"/>
              <w:rPr>
                <w:rFonts w:hint="default"/>
                <w:sz w:val="24"/>
                <w:szCs w:val="24"/>
              </w:rPr>
            </w:pPr>
          </w:p>
        </w:tc>
        <w:tc>
          <w:tcPr>
            <w:tcW w:w="58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E6F9521">
            <w:pPr>
              <w:pStyle w:val="42"/>
              <w:kinsoku w:val="0"/>
              <w:overflowPunct w:val="0"/>
              <w:spacing w:before="23" w:beforeLines="0" w:afterLines="0" w:line="336" w:lineRule="auto"/>
              <w:ind w:left="104" w:right="264" w:firstLine="240"/>
              <w:rPr>
                <w:rFonts w:hint="default"/>
                <w:sz w:val="24"/>
                <w:szCs w:val="24"/>
              </w:rPr>
            </w:pPr>
            <w:r>
              <w:rPr>
                <w:rFonts w:hint="eastAsia" w:ascii="宋体" w:hAnsi="宋体" w:eastAsia="宋体"/>
                <w:sz w:val="24"/>
                <w:szCs w:val="24"/>
              </w:rPr>
              <w:t>（</w:t>
            </w:r>
            <w:r>
              <w:rPr>
                <w:rFonts w:hint="default" w:ascii="Times New Roman" w:hAnsi="Times New Roman" w:eastAsia="Times New Roman"/>
                <w:sz w:val="24"/>
                <w:szCs w:val="24"/>
              </w:rPr>
              <w:t>2</w:t>
            </w:r>
            <w:r>
              <w:rPr>
                <w:rFonts w:hint="eastAsia" w:ascii="宋体" w:hAnsi="宋体" w:eastAsia="宋体"/>
                <w:sz w:val="24"/>
                <w:szCs w:val="24"/>
              </w:rPr>
              <w:t>）做好保洁服务工作记录，记录填写规范、保存完好。</w:t>
            </w:r>
          </w:p>
        </w:tc>
      </w:tr>
      <w:tr w14:paraId="3C3FA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8" w:hRule="exact"/>
        </w:trPr>
        <w:tc>
          <w:tcPr>
            <w:tcW w:w="7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69262403">
            <w:pPr>
              <w:pStyle w:val="42"/>
              <w:kinsoku w:val="0"/>
              <w:overflowPunct w:val="0"/>
              <w:spacing w:before="23" w:beforeLines="0" w:afterLines="0" w:line="336" w:lineRule="auto"/>
              <w:ind w:left="104" w:right="264" w:firstLine="240"/>
              <w:rPr>
                <w:rFonts w:hint="default"/>
                <w:sz w:val="24"/>
                <w:szCs w:val="24"/>
              </w:rPr>
            </w:pPr>
          </w:p>
        </w:tc>
        <w:tc>
          <w:tcPr>
            <w:tcW w:w="19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557AD22E">
            <w:pPr>
              <w:pStyle w:val="42"/>
              <w:kinsoku w:val="0"/>
              <w:overflowPunct w:val="0"/>
              <w:spacing w:before="23" w:beforeLines="0" w:afterLines="0" w:line="336" w:lineRule="auto"/>
              <w:ind w:left="104" w:right="264" w:firstLine="240"/>
              <w:rPr>
                <w:rFonts w:hint="default"/>
                <w:sz w:val="24"/>
                <w:szCs w:val="24"/>
              </w:rPr>
            </w:pPr>
          </w:p>
        </w:tc>
        <w:tc>
          <w:tcPr>
            <w:tcW w:w="58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3686AC1">
            <w:pPr>
              <w:pStyle w:val="42"/>
              <w:kinsoku w:val="0"/>
              <w:overflowPunct w:val="0"/>
              <w:spacing w:before="24" w:beforeLines="0" w:afterLines="0" w:line="317" w:lineRule="auto"/>
              <w:ind w:left="104" w:right="204" w:firstLine="240"/>
              <w:jc w:val="both"/>
              <w:rPr>
                <w:rFonts w:hint="default"/>
                <w:sz w:val="24"/>
                <w:szCs w:val="24"/>
              </w:rPr>
            </w:pPr>
            <w:r>
              <w:rPr>
                <w:rFonts w:hint="eastAsia" w:ascii="宋体" w:hAnsi="宋体" w:eastAsia="宋体"/>
                <w:sz w:val="24"/>
                <w:szCs w:val="24"/>
              </w:rPr>
              <w:t>（</w:t>
            </w:r>
            <w:r>
              <w:rPr>
                <w:rFonts w:hint="default" w:ascii="Times New Roman" w:hAnsi="Times New Roman" w:eastAsia="Times New Roman"/>
                <w:sz w:val="24"/>
                <w:szCs w:val="24"/>
              </w:rPr>
              <w:t>3</w:t>
            </w:r>
            <w:r>
              <w:rPr>
                <w:rFonts w:hint="eastAsia" w:ascii="宋体" w:hAnsi="宋体" w:eastAsia="宋体"/>
                <w:sz w:val="24"/>
                <w:szCs w:val="24"/>
              </w:rPr>
              <w:t>）作业时采取安全防护措施，防止对作业人员或他人造成伤害。相关耗材的环保、安全性等应当符合国家相关规定要求。</w:t>
            </w:r>
          </w:p>
        </w:tc>
      </w:tr>
      <w:tr w14:paraId="75E45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exact"/>
        </w:trPr>
        <w:tc>
          <w:tcPr>
            <w:tcW w:w="71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1DC2F4C4">
            <w:pPr>
              <w:pStyle w:val="42"/>
              <w:kinsoku w:val="0"/>
              <w:overflowPunct w:val="0"/>
              <w:spacing w:beforeLines="0" w:afterLines="0"/>
              <w:rPr>
                <w:rFonts w:hint="eastAsia" w:ascii="宋体" w:hAnsi="宋体" w:eastAsia="宋体"/>
                <w:b/>
                <w:sz w:val="24"/>
                <w:szCs w:val="24"/>
              </w:rPr>
            </w:pPr>
          </w:p>
          <w:p w14:paraId="72ACAD62">
            <w:pPr>
              <w:pStyle w:val="42"/>
              <w:kinsoku w:val="0"/>
              <w:overflowPunct w:val="0"/>
              <w:spacing w:beforeLines="0" w:afterLines="0"/>
              <w:rPr>
                <w:rFonts w:hint="eastAsia" w:ascii="宋体" w:hAnsi="宋体" w:eastAsia="宋体"/>
                <w:b/>
                <w:sz w:val="24"/>
                <w:szCs w:val="24"/>
              </w:rPr>
            </w:pPr>
          </w:p>
          <w:p w14:paraId="5F016E0A">
            <w:pPr>
              <w:pStyle w:val="42"/>
              <w:kinsoku w:val="0"/>
              <w:overflowPunct w:val="0"/>
              <w:spacing w:beforeLines="0" w:afterLines="0"/>
              <w:rPr>
                <w:rFonts w:hint="eastAsia" w:ascii="宋体" w:hAnsi="宋体" w:eastAsia="宋体"/>
                <w:b/>
                <w:sz w:val="24"/>
                <w:szCs w:val="24"/>
              </w:rPr>
            </w:pPr>
          </w:p>
          <w:p w14:paraId="4377DB07">
            <w:pPr>
              <w:pStyle w:val="42"/>
              <w:kinsoku w:val="0"/>
              <w:overflowPunct w:val="0"/>
              <w:spacing w:beforeLines="0" w:afterLines="0"/>
              <w:rPr>
                <w:rFonts w:hint="eastAsia" w:ascii="宋体" w:hAnsi="宋体" w:eastAsia="宋体"/>
                <w:b/>
                <w:sz w:val="24"/>
                <w:szCs w:val="24"/>
              </w:rPr>
            </w:pPr>
          </w:p>
          <w:p w14:paraId="31BC684B">
            <w:pPr>
              <w:pStyle w:val="42"/>
              <w:kinsoku w:val="0"/>
              <w:overflowPunct w:val="0"/>
              <w:spacing w:beforeLines="0" w:afterLines="0"/>
              <w:rPr>
                <w:rFonts w:hint="eastAsia" w:ascii="宋体" w:hAnsi="宋体" w:eastAsia="宋体"/>
                <w:b/>
                <w:sz w:val="24"/>
                <w:szCs w:val="24"/>
              </w:rPr>
            </w:pPr>
          </w:p>
          <w:p w14:paraId="4F96B1C8">
            <w:pPr>
              <w:pStyle w:val="42"/>
              <w:kinsoku w:val="0"/>
              <w:overflowPunct w:val="0"/>
              <w:spacing w:beforeLines="0" w:afterLines="0"/>
              <w:rPr>
                <w:rFonts w:hint="eastAsia" w:ascii="宋体" w:hAnsi="宋体" w:eastAsia="宋体"/>
                <w:b/>
                <w:sz w:val="24"/>
                <w:szCs w:val="24"/>
              </w:rPr>
            </w:pPr>
          </w:p>
          <w:p w14:paraId="21BB3C97">
            <w:pPr>
              <w:pStyle w:val="42"/>
              <w:kinsoku w:val="0"/>
              <w:overflowPunct w:val="0"/>
              <w:spacing w:beforeLines="0" w:afterLines="0"/>
              <w:rPr>
                <w:rFonts w:hint="eastAsia" w:ascii="宋体" w:hAnsi="宋体" w:eastAsia="宋体"/>
                <w:b/>
                <w:sz w:val="24"/>
                <w:szCs w:val="24"/>
              </w:rPr>
            </w:pPr>
          </w:p>
          <w:p w14:paraId="258BA2FA">
            <w:pPr>
              <w:pStyle w:val="42"/>
              <w:kinsoku w:val="0"/>
              <w:overflowPunct w:val="0"/>
              <w:spacing w:beforeLines="0" w:afterLines="0"/>
              <w:rPr>
                <w:rFonts w:hint="eastAsia" w:ascii="宋体" w:hAnsi="宋体" w:eastAsia="宋体"/>
                <w:b/>
                <w:sz w:val="24"/>
                <w:szCs w:val="24"/>
              </w:rPr>
            </w:pPr>
          </w:p>
          <w:p w14:paraId="00A8D1F0">
            <w:pPr>
              <w:pStyle w:val="42"/>
              <w:kinsoku w:val="0"/>
              <w:overflowPunct w:val="0"/>
              <w:spacing w:beforeLines="0" w:afterLines="0"/>
              <w:rPr>
                <w:rFonts w:hint="eastAsia" w:ascii="宋体" w:hAnsi="宋体" w:eastAsia="宋体"/>
                <w:b/>
                <w:sz w:val="24"/>
                <w:szCs w:val="24"/>
              </w:rPr>
            </w:pPr>
          </w:p>
          <w:p w14:paraId="126AFCD8">
            <w:pPr>
              <w:pStyle w:val="42"/>
              <w:kinsoku w:val="0"/>
              <w:overflowPunct w:val="0"/>
              <w:spacing w:beforeLines="0" w:afterLines="0"/>
              <w:rPr>
                <w:rFonts w:hint="eastAsia" w:ascii="宋体" w:hAnsi="宋体" w:eastAsia="宋体"/>
                <w:b/>
                <w:sz w:val="24"/>
                <w:szCs w:val="24"/>
              </w:rPr>
            </w:pPr>
          </w:p>
          <w:p w14:paraId="73A9BD22">
            <w:pPr>
              <w:pStyle w:val="42"/>
              <w:kinsoku w:val="0"/>
              <w:overflowPunct w:val="0"/>
              <w:spacing w:before="10" w:beforeLines="0" w:afterLines="0"/>
              <w:rPr>
                <w:rFonts w:hint="eastAsia" w:ascii="宋体" w:hAnsi="宋体" w:eastAsia="宋体"/>
                <w:b/>
                <w:sz w:val="30"/>
                <w:szCs w:val="24"/>
              </w:rPr>
            </w:pPr>
          </w:p>
          <w:p w14:paraId="50A5CC13">
            <w:pPr>
              <w:pStyle w:val="42"/>
              <w:kinsoku w:val="0"/>
              <w:overflowPunct w:val="0"/>
              <w:spacing w:beforeLines="0" w:afterLines="0"/>
              <w:jc w:val="center"/>
              <w:rPr>
                <w:rFonts w:hint="default"/>
                <w:sz w:val="24"/>
                <w:szCs w:val="24"/>
              </w:rPr>
            </w:pPr>
            <w:r>
              <w:rPr>
                <w:rFonts w:hint="default" w:ascii="Times New Roman" w:hAnsi="Times New Roman" w:eastAsia="Times New Roman"/>
                <w:sz w:val="24"/>
                <w:szCs w:val="24"/>
              </w:rPr>
              <w:t>2</w:t>
            </w:r>
          </w:p>
        </w:tc>
        <w:tc>
          <w:tcPr>
            <w:tcW w:w="197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1DBE8615">
            <w:pPr>
              <w:pStyle w:val="42"/>
              <w:kinsoku w:val="0"/>
              <w:overflowPunct w:val="0"/>
              <w:spacing w:beforeLines="0" w:afterLines="0"/>
              <w:rPr>
                <w:rFonts w:hint="eastAsia" w:ascii="宋体" w:hAnsi="宋体" w:eastAsia="宋体"/>
                <w:b/>
                <w:sz w:val="24"/>
                <w:szCs w:val="24"/>
              </w:rPr>
            </w:pPr>
          </w:p>
          <w:p w14:paraId="29F2A4F2">
            <w:pPr>
              <w:pStyle w:val="42"/>
              <w:kinsoku w:val="0"/>
              <w:overflowPunct w:val="0"/>
              <w:spacing w:beforeLines="0" w:afterLines="0"/>
              <w:rPr>
                <w:rFonts w:hint="eastAsia" w:ascii="宋体" w:hAnsi="宋体" w:eastAsia="宋体"/>
                <w:b/>
                <w:sz w:val="24"/>
                <w:szCs w:val="24"/>
              </w:rPr>
            </w:pPr>
          </w:p>
          <w:p w14:paraId="1378FDBF">
            <w:pPr>
              <w:pStyle w:val="42"/>
              <w:kinsoku w:val="0"/>
              <w:overflowPunct w:val="0"/>
              <w:spacing w:beforeLines="0" w:afterLines="0"/>
              <w:rPr>
                <w:rFonts w:hint="eastAsia" w:ascii="宋体" w:hAnsi="宋体" w:eastAsia="宋体"/>
                <w:b/>
                <w:sz w:val="24"/>
                <w:szCs w:val="24"/>
              </w:rPr>
            </w:pPr>
          </w:p>
          <w:p w14:paraId="484C4004">
            <w:pPr>
              <w:pStyle w:val="42"/>
              <w:kinsoku w:val="0"/>
              <w:overflowPunct w:val="0"/>
              <w:spacing w:beforeLines="0" w:afterLines="0"/>
              <w:rPr>
                <w:rFonts w:hint="eastAsia" w:ascii="宋体" w:hAnsi="宋体" w:eastAsia="宋体"/>
                <w:b/>
                <w:sz w:val="24"/>
                <w:szCs w:val="24"/>
              </w:rPr>
            </w:pPr>
          </w:p>
          <w:p w14:paraId="6C824A2F">
            <w:pPr>
              <w:pStyle w:val="42"/>
              <w:kinsoku w:val="0"/>
              <w:overflowPunct w:val="0"/>
              <w:spacing w:beforeLines="0" w:afterLines="0"/>
              <w:rPr>
                <w:rFonts w:hint="eastAsia" w:ascii="宋体" w:hAnsi="宋体" w:eastAsia="宋体"/>
                <w:b/>
                <w:sz w:val="24"/>
                <w:szCs w:val="24"/>
              </w:rPr>
            </w:pPr>
          </w:p>
          <w:p w14:paraId="6916F63A">
            <w:pPr>
              <w:pStyle w:val="42"/>
              <w:kinsoku w:val="0"/>
              <w:overflowPunct w:val="0"/>
              <w:spacing w:beforeLines="0" w:afterLines="0"/>
              <w:rPr>
                <w:rFonts w:hint="eastAsia" w:ascii="宋体" w:hAnsi="宋体" w:eastAsia="宋体"/>
                <w:b/>
                <w:sz w:val="24"/>
                <w:szCs w:val="24"/>
              </w:rPr>
            </w:pPr>
          </w:p>
          <w:p w14:paraId="14016784">
            <w:pPr>
              <w:pStyle w:val="42"/>
              <w:kinsoku w:val="0"/>
              <w:overflowPunct w:val="0"/>
              <w:spacing w:beforeLines="0" w:afterLines="0"/>
              <w:rPr>
                <w:rFonts w:hint="eastAsia" w:ascii="宋体" w:hAnsi="宋体" w:eastAsia="宋体"/>
                <w:b/>
                <w:sz w:val="24"/>
                <w:szCs w:val="24"/>
              </w:rPr>
            </w:pPr>
          </w:p>
          <w:p w14:paraId="6FA6BAD6">
            <w:pPr>
              <w:pStyle w:val="42"/>
              <w:kinsoku w:val="0"/>
              <w:overflowPunct w:val="0"/>
              <w:spacing w:beforeLines="0" w:afterLines="0"/>
              <w:rPr>
                <w:rFonts w:hint="eastAsia" w:ascii="宋体" w:hAnsi="宋体" w:eastAsia="宋体"/>
                <w:b/>
                <w:sz w:val="24"/>
                <w:szCs w:val="24"/>
              </w:rPr>
            </w:pPr>
          </w:p>
          <w:p w14:paraId="00C69CBC">
            <w:pPr>
              <w:pStyle w:val="42"/>
              <w:kinsoku w:val="0"/>
              <w:overflowPunct w:val="0"/>
              <w:spacing w:beforeLines="0" w:afterLines="0"/>
              <w:rPr>
                <w:rFonts w:hint="eastAsia" w:ascii="宋体" w:hAnsi="宋体" w:eastAsia="宋体"/>
                <w:b/>
                <w:sz w:val="24"/>
                <w:szCs w:val="24"/>
              </w:rPr>
            </w:pPr>
          </w:p>
          <w:p w14:paraId="08C31989">
            <w:pPr>
              <w:pStyle w:val="42"/>
              <w:kinsoku w:val="0"/>
              <w:overflowPunct w:val="0"/>
              <w:spacing w:before="6" w:beforeLines="0" w:afterLines="0"/>
              <w:rPr>
                <w:rFonts w:hint="eastAsia" w:ascii="宋体" w:hAnsi="宋体" w:eastAsia="宋体"/>
                <w:b/>
                <w:sz w:val="35"/>
                <w:szCs w:val="24"/>
              </w:rPr>
            </w:pPr>
          </w:p>
          <w:p w14:paraId="0CF6774C">
            <w:pPr>
              <w:pStyle w:val="42"/>
              <w:kinsoku w:val="0"/>
              <w:overflowPunct w:val="0"/>
              <w:spacing w:beforeLines="0" w:afterLines="0" w:line="297" w:lineRule="auto"/>
              <w:ind w:left="103" w:right="102"/>
              <w:rPr>
                <w:rFonts w:hint="default" w:ascii="Times New Roman" w:hAnsi="Times New Roman" w:eastAsia="宋体"/>
                <w:sz w:val="24"/>
                <w:szCs w:val="24"/>
                <w:lang w:val="en-US" w:eastAsia="zh-CN"/>
              </w:rPr>
            </w:pPr>
            <w:r>
              <w:rPr>
                <w:rFonts w:hint="eastAsia" w:ascii="宋体" w:hAnsi="宋体" w:eastAsia="宋体"/>
                <w:spacing w:val="10"/>
                <w:sz w:val="24"/>
                <w:szCs w:val="24"/>
                <w:lang w:val="en-US" w:eastAsia="zh-CN"/>
              </w:rPr>
              <w:t>场馆内部区域</w:t>
            </w:r>
          </w:p>
        </w:tc>
        <w:tc>
          <w:tcPr>
            <w:tcW w:w="5840" w:type="dxa"/>
            <w:tcBorders>
              <w:top w:val="single" w:color="000000" w:sz="4" w:space="0"/>
              <w:left w:val="single" w:color="000000" w:sz="4" w:space="0"/>
              <w:bottom w:val="nil"/>
              <w:right w:val="single" w:color="000000" w:sz="4" w:space="0"/>
              <w:tl2br w:val="nil"/>
              <w:tr2bl w:val="nil"/>
            </w:tcBorders>
            <w:noWrap w:val="0"/>
            <w:vAlign w:val="top"/>
          </w:tcPr>
          <w:p w14:paraId="379544F5">
            <w:pPr>
              <w:pStyle w:val="42"/>
              <w:kinsoku w:val="0"/>
              <w:overflowPunct w:val="0"/>
              <w:spacing w:before="26" w:beforeLines="0" w:afterLines="0"/>
              <w:ind w:left="344"/>
              <w:rPr>
                <w:rFonts w:hint="default"/>
                <w:sz w:val="24"/>
                <w:szCs w:val="24"/>
              </w:rPr>
            </w:pPr>
            <w:r>
              <w:rPr>
                <w:rFonts w:hint="eastAsia" w:ascii="宋体" w:hAnsi="宋体" w:eastAsia="宋体"/>
                <w:sz w:val="24"/>
                <w:szCs w:val="24"/>
              </w:rPr>
              <w:t>（</w:t>
            </w:r>
            <w:r>
              <w:rPr>
                <w:rFonts w:hint="default" w:ascii="Times New Roman" w:hAnsi="Times New Roman" w:eastAsia="Times New Roman"/>
                <w:sz w:val="24"/>
                <w:szCs w:val="24"/>
              </w:rPr>
              <w:t>1</w:t>
            </w:r>
            <w:r>
              <w:rPr>
                <w:rFonts w:hint="eastAsia" w:ascii="宋体" w:hAnsi="宋体" w:eastAsia="宋体"/>
                <w:sz w:val="24"/>
                <w:szCs w:val="24"/>
              </w:rPr>
              <w:t>）</w:t>
            </w:r>
            <w:r>
              <w:rPr>
                <w:rFonts w:hint="eastAsia" w:ascii="宋体" w:hAnsi="宋体" w:eastAsia="宋体"/>
                <w:sz w:val="24"/>
                <w:szCs w:val="24"/>
                <w:lang w:val="en-US" w:eastAsia="zh-CN"/>
              </w:rPr>
              <w:t>场馆内部展厅、</w:t>
            </w:r>
            <w:r>
              <w:rPr>
                <w:rFonts w:hint="eastAsia" w:ascii="宋体" w:hAnsi="宋体" w:eastAsia="宋体"/>
                <w:sz w:val="24"/>
                <w:szCs w:val="24"/>
              </w:rPr>
              <w:t>公共通道：</w:t>
            </w:r>
          </w:p>
        </w:tc>
      </w:tr>
      <w:tr w14:paraId="32027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exact"/>
        </w:trPr>
        <w:tc>
          <w:tcPr>
            <w:tcW w:w="7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5E4F0788">
            <w:pPr>
              <w:pStyle w:val="42"/>
              <w:kinsoku w:val="0"/>
              <w:overflowPunct w:val="0"/>
              <w:spacing w:before="26" w:beforeLines="0" w:afterLines="0"/>
              <w:ind w:left="344"/>
              <w:rPr>
                <w:rFonts w:hint="default"/>
                <w:sz w:val="24"/>
                <w:szCs w:val="24"/>
              </w:rPr>
            </w:pPr>
          </w:p>
        </w:tc>
        <w:tc>
          <w:tcPr>
            <w:tcW w:w="19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3A7B2E21">
            <w:pPr>
              <w:pStyle w:val="42"/>
              <w:kinsoku w:val="0"/>
              <w:overflowPunct w:val="0"/>
              <w:spacing w:before="26" w:beforeLines="0" w:afterLines="0"/>
              <w:ind w:left="344"/>
              <w:rPr>
                <w:rFonts w:hint="default"/>
                <w:sz w:val="24"/>
                <w:szCs w:val="24"/>
              </w:rPr>
            </w:pPr>
          </w:p>
        </w:tc>
        <w:tc>
          <w:tcPr>
            <w:tcW w:w="5840" w:type="dxa"/>
            <w:tcBorders>
              <w:top w:val="nil"/>
              <w:left w:val="single" w:color="000000" w:sz="4" w:space="0"/>
              <w:bottom w:val="nil"/>
              <w:right w:val="single" w:color="000000" w:sz="4" w:space="0"/>
              <w:tl2br w:val="nil"/>
              <w:tr2bl w:val="nil"/>
            </w:tcBorders>
            <w:noWrap w:val="0"/>
            <w:vAlign w:val="top"/>
          </w:tcPr>
          <w:p w14:paraId="0586F961">
            <w:pPr>
              <w:pStyle w:val="42"/>
              <w:kinsoku w:val="0"/>
              <w:overflowPunct w:val="0"/>
              <w:spacing w:before="33" w:beforeLines="0" w:afterLines="0"/>
              <w:ind w:left="404"/>
              <w:rPr>
                <w:rFonts w:hint="default"/>
                <w:sz w:val="24"/>
                <w:szCs w:val="24"/>
              </w:rPr>
            </w:pPr>
            <w:r>
              <w:rPr>
                <w:rFonts w:hint="eastAsia" w:ascii="宋体" w:hAnsi="宋体" w:eastAsia="宋体"/>
                <w:sz w:val="24"/>
                <w:szCs w:val="24"/>
              </w:rPr>
              <w:t>①公共通道保持干净，无异味、无杂物、无积水，</w:t>
            </w:r>
          </w:p>
        </w:tc>
      </w:tr>
      <w:tr w14:paraId="6A86C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exact"/>
        </w:trPr>
        <w:tc>
          <w:tcPr>
            <w:tcW w:w="7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69C55E2E">
            <w:pPr>
              <w:pStyle w:val="42"/>
              <w:kinsoku w:val="0"/>
              <w:overflowPunct w:val="0"/>
              <w:spacing w:before="33" w:beforeLines="0" w:afterLines="0"/>
              <w:ind w:left="404"/>
              <w:rPr>
                <w:rFonts w:hint="default"/>
                <w:sz w:val="24"/>
                <w:szCs w:val="24"/>
              </w:rPr>
            </w:pPr>
          </w:p>
        </w:tc>
        <w:tc>
          <w:tcPr>
            <w:tcW w:w="19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3F29DE46">
            <w:pPr>
              <w:pStyle w:val="42"/>
              <w:kinsoku w:val="0"/>
              <w:overflowPunct w:val="0"/>
              <w:spacing w:before="33" w:beforeLines="0" w:afterLines="0"/>
              <w:ind w:left="404"/>
              <w:rPr>
                <w:rFonts w:hint="default"/>
                <w:sz w:val="24"/>
                <w:szCs w:val="24"/>
              </w:rPr>
            </w:pPr>
          </w:p>
        </w:tc>
        <w:tc>
          <w:tcPr>
            <w:tcW w:w="5840" w:type="dxa"/>
            <w:tcBorders>
              <w:top w:val="nil"/>
              <w:left w:val="single" w:color="000000" w:sz="4" w:space="0"/>
              <w:bottom w:val="nil"/>
              <w:right w:val="single" w:color="000000" w:sz="4" w:space="0"/>
              <w:tl2br w:val="nil"/>
              <w:tr2bl w:val="nil"/>
            </w:tcBorders>
            <w:noWrap w:val="0"/>
            <w:vAlign w:val="top"/>
          </w:tcPr>
          <w:p w14:paraId="797FC73D">
            <w:pPr>
              <w:pStyle w:val="42"/>
              <w:kinsoku w:val="0"/>
              <w:overflowPunct w:val="0"/>
              <w:spacing w:beforeLines="0" w:afterLines="0"/>
              <w:ind w:left="104"/>
              <w:rPr>
                <w:rFonts w:hint="default"/>
                <w:sz w:val="24"/>
                <w:szCs w:val="24"/>
              </w:rPr>
            </w:pPr>
            <w:r>
              <w:rPr>
                <w:rFonts w:hint="eastAsia" w:ascii="宋体" w:hAnsi="宋体" w:eastAsia="宋体"/>
                <w:sz w:val="24"/>
                <w:szCs w:val="24"/>
              </w:rPr>
              <w:t>每日循环开展清洁作业。</w:t>
            </w:r>
          </w:p>
        </w:tc>
      </w:tr>
      <w:tr w14:paraId="2ACD0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7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368FF71A">
            <w:pPr>
              <w:pStyle w:val="42"/>
              <w:kinsoku w:val="0"/>
              <w:overflowPunct w:val="0"/>
              <w:spacing w:beforeLines="0" w:afterLines="0"/>
              <w:ind w:left="104"/>
              <w:rPr>
                <w:rFonts w:hint="default"/>
                <w:sz w:val="24"/>
                <w:szCs w:val="24"/>
              </w:rPr>
            </w:pPr>
          </w:p>
        </w:tc>
        <w:tc>
          <w:tcPr>
            <w:tcW w:w="19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B636337">
            <w:pPr>
              <w:pStyle w:val="42"/>
              <w:kinsoku w:val="0"/>
              <w:overflowPunct w:val="0"/>
              <w:spacing w:beforeLines="0" w:afterLines="0"/>
              <w:ind w:left="104"/>
              <w:rPr>
                <w:rFonts w:hint="default"/>
                <w:sz w:val="24"/>
                <w:szCs w:val="24"/>
              </w:rPr>
            </w:pPr>
          </w:p>
        </w:tc>
        <w:tc>
          <w:tcPr>
            <w:tcW w:w="5840" w:type="dxa"/>
            <w:tcBorders>
              <w:top w:val="nil"/>
              <w:left w:val="single" w:color="000000" w:sz="4" w:space="0"/>
              <w:bottom w:val="nil"/>
              <w:right w:val="single" w:color="000000" w:sz="4" w:space="0"/>
              <w:tl2br w:val="nil"/>
              <w:tr2bl w:val="nil"/>
            </w:tcBorders>
            <w:noWrap w:val="0"/>
            <w:vAlign w:val="top"/>
          </w:tcPr>
          <w:p w14:paraId="0188F713">
            <w:pPr>
              <w:pStyle w:val="42"/>
              <w:kinsoku w:val="0"/>
              <w:overflowPunct w:val="0"/>
              <w:spacing w:beforeLines="0" w:afterLines="0"/>
              <w:ind w:left="404"/>
              <w:rPr>
                <w:rFonts w:hint="default" w:ascii="Times New Roman" w:hAnsi="Times New Roman" w:eastAsia="宋体"/>
                <w:sz w:val="24"/>
                <w:szCs w:val="24"/>
                <w:lang w:val="en-US" w:eastAsia="zh-CN"/>
              </w:rPr>
            </w:pPr>
            <w:r>
              <w:rPr>
                <w:rFonts w:hint="eastAsia" w:ascii="宋体" w:hAnsi="宋体" w:eastAsia="宋体"/>
                <w:sz w:val="24"/>
                <w:szCs w:val="24"/>
              </w:rPr>
              <w:t>②</w:t>
            </w:r>
            <w:r>
              <w:rPr>
                <w:rFonts w:hint="eastAsia" w:ascii="宋体" w:hAnsi="宋体" w:eastAsia="宋体"/>
                <w:sz w:val="24"/>
                <w:szCs w:val="24"/>
                <w:lang w:val="en-US" w:eastAsia="zh-CN"/>
              </w:rPr>
              <w:t>展区内的卫生</w:t>
            </w:r>
            <w:r>
              <w:rPr>
                <w:rFonts w:hint="eastAsia" w:ascii="宋体" w:hAnsi="宋体" w:eastAsia="宋体"/>
                <w:sz w:val="24"/>
                <w:szCs w:val="24"/>
              </w:rPr>
              <w:t>无异味、无杂物、无积水，</w:t>
            </w:r>
            <w:r>
              <w:rPr>
                <w:rFonts w:hint="eastAsia" w:ascii="宋体" w:hAnsi="宋体" w:eastAsia="宋体"/>
                <w:sz w:val="24"/>
                <w:szCs w:val="24"/>
                <w:lang w:val="en-US" w:eastAsia="zh-CN"/>
              </w:rPr>
              <w:t xml:space="preserve">每日保障1次的清洁。              </w:t>
            </w:r>
          </w:p>
        </w:tc>
      </w:tr>
      <w:tr w14:paraId="6C0B2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exact"/>
        </w:trPr>
        <w:tc>
          <w:tcPr>
            <w:tcW w:w="7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0CCD2C89">
            <w:pPr>
              <w:pStyle w:val="42"/>
              <w:kinsoku w:val="0"/>
              <w:overflowPunct w:val="0"/>
              <w:spacing w:beforeLines="0" w:afterLines="0"/>
              <w:ind w:left="404"/>
              <w:rPr>
                <w:rFonts w:hint="default"/>
                <w:sz w:val="24"/>
                <w:szCs w:val="24"/>
              </w:rPr>
            </w:pPr>
          </w:p>
        </w:tc>
        <w:tc>
          <w:tcPr>
            <w:tcW w:w="19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107961E3">
            <w:pPr>
              <w:pStyle w:val="42"/>
              <w:kinsoku w:val="0"/>
              <w:overflowPunct w:val="0"/>
              <w:spacing w:beforeLines="0" w:afterLines="0"/>
              <w:ind w:left="404"/>
              <w:rPr>
                <w:rFonts w:hint="default"/>
                <w:sz w:val="24"/>
                <w:szCs w:val="24"/>
              </w:rPr>
            </w:pPr>
          </w:p>
        </w:tc>
        <w:tc>
          <w:tcPr>
            <w:tcW w:w="5840" w:type="dxa"/>
            <w:tcBorders>
              <w:top w:val="nil"/>
              <w:left w:val="single" w:color="000000" w:sz="4" w:space="0"/>
              <w:bottom w:val="nil"/>
              <w:right w:val="single" w:color="000000" w:sz="4" w:space="0"/>
              <w:tl2br w:val="nil"/>
              <w:tr2bl w:val="nil"/>
            </w:tcBorders>
            <w:noWrap w:val="0"/>
            <w:vAlign w:val="top"/>
          </w:tcPr>
          <w:p w14:paraId="4AC54411">
            <w:pPr>
              <w:pStyle w:val="42"/>
              <w:kinsoku w:val="0"/>
              <w:overflowPunct w:val="0"/>
              <w:spacing w:beforeLines="0" w:afterLines="0"/>
              <w:ind w:left="404"/>
              <w:rPr>
                <w:rFonts w:hint="default"/>
                <w:sz w:val="24"/>
                <w:szCs w:val="24"/>
              </w:rPr>
            </w:pPr>
            <w:r>
              <w:rPr>
                <w:rFonts w:hint="eastAsia" w:ascii="宋体" w:hAnsi="宋体" w:eastAsia="宋体"/>
                <w:sz w:val="24"/>
                <w:szCs w:val="24"/>
              </w:rPr>
              <w:t>③指示牌干净，无污渍，每日至少开展</w:t>
            </w:r>
            <w:r>
              <w:rPr>
                <w:rFonts w:hint="default" w:ascii="Times New Roman" w:hAnsi="Times New Roman" w:eastAsia="Times New Roman"/>
                <w:sz w:val="24"/>
                <w:szCs w:val="24"/>
              </w:rPr>
              <w:t>1</w:t>
            </w:r>
            <w:r>
              <w:rPr>
                <w:rFonts w:hint="eastAsia" w:ascii="宋体" w:hAnsi="宋体" w:eastAsia="宋体"/>
                <w:sz w:val="24"/>
                <w:szCs w:val="24"/>
              </w:rPr>
              <w:t>次清洁作</w:t>
            </w:r>
          </w:p>
        </w:tc>
      </w:tr>
      <w:tr w14:paraId="42714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exact"/>
        </w:trPr>
        <w:tc>
          <w:tcPr>
            <w:tcW w:w="7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1E26333F">
            <w:pPr>
              <w:pStyle w:val="42"/>
              <w:kinsoku w:val="0"/>
              <w:overflowPunct w:val="0"/>
              <w:spacing w:beforeLines="0" w:afterLines="0" w:line="309" w:lineRule="exact"/>
              <w:ind w:left="104"/>
              <w:rPr>
                <w:rFonts w:hint="default"/>
                <w:sz w:val="24"/>
                <w:szCs w:val="24"/>
              </w:rPr>
            </w:pPr>
          </w:p>
        </w:tc>
        <w:tc>
          <w:tcPr>
            <w:tcW w:w="19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613F2D96">
            <w:pPr>
              <w:pStyle w:val="42"/>
              <w:kinsoku w:val="0"/>
              <w:overflowPunct w:val="0"/>
              <w:spacing w:beforeLines="0" w:afterLines="0" w:line="309" w:lineRule="exact"/>
              <w:ind w:left="104"/>
              <w:rPr>
                <w:rFonts w:hint="default"/>
                <w:sz w:val="24"/>
                <w:szCs w:val="24"/>
              </w:rPr>
            </w:pPr>
          </w:p>
        </w:tc>
        <w:tc>
          <w:tcPr>
            <w:tcW w:w="5840" w:type="dxa"/>
            <w:tcBorders>
              <w:top w:val="nil"/>
              <w:left w:val="single" w:color="000000" w:sz="4" w:space="0"/>
              <w:bottom w:val="nil"/>
              <w:right w:val="single" w:color="000000" w:sz="4" w:space="0"/>
              <w:tl2br w:val="nil"/>
              <w:tr2bl w:val="nil"/>
            </w:tcBorders>
            <w:noWrap w:val="0"/>
            <w:vAlign w:val="top"/>
          </w:tcPr>
          <w:p w14:paraId="3E577581">
            <w:pPr>
              <w:pStyle w:val="42"/>
              <w:kinsoku w:val="0"/>
              <w:overflowPunct w:val="0"/>
              <w:spacing w:beforeLines="0" w:afterLines="0" w:line="308" w:lineRule="exact"/>
              <w:ind w:left="104"/>
              <w:rPr>
                <w:rFonts w:hint="default"/>
                <w:sz w:val="24"/>
                <w:szCs w:val="24"/>
              </w:rPr>
            </w:pPr>
            <w:r>
              <w:rPr>
                <w:rFonts w:hint="eastAsia" w:ascii="宋体" w:hAnsi="宋体" w:eastAsia="宋体"/>
                <w:sz w:val="24"/>
                <w:szCs w:val="24"/>
              </w:rPr>
              <w:t>业。</w:t>
            </w:r>
          </w:p>
        </w:tc>
      </w:tr>
      <w:tr w14:paraId="53B84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exact"/>
        </w:trPr>
        <w:tc>
          <w:tcPr>
            <w:tcW w:w="7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47781B4">
            <w:pPr>
              <w:pStyle w:val="42"/>
              <w:kinsoku w:val="0"/>
              <w:overflowPunct w:val="0"/>
              <w:spacing w:beforeLines="0" w:afterLines="0" w:line="308" w:lineRule="exact"/>
              <w:ind w:left="104"/>
              <w:rPr>
                <w:rFonts w:hint="default"/>
                <w:sz w:val="24"/>
                <w:szCs w:val="24"/>
              </w:rPr>
            </w:pPr>
          </w:p>
        </w:tc>
        <w:tc>
          <w:tcPr>
            <w:tcW w:w="19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07E5796">
            <w:pPr>
              <w:pStyle w:val="42"/>
              <w:kinsoku w:val="0"/>
              <w:overflowPunct w:val="0"/>
              <w:spacing w:beforeLines="0" w:afterLines="0" w:line="308" w:lineRule="exact"/>
              <w:ind w:left="104"/>
              <w:rPr>
                <w:rFonts w:hint="default"/>
                <w:sz w:val="24"/>
                <w:szCs w:val="24"/>
              </w:rPr>
            </w:pPr>
          </w:p>
        </w:tc>
        <w:tc>
          <w:tcPr>
            <w:tcW w:w="58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2E1B2CB">
            <w:pPr>
              <w:pStyle w:val="42"/>
              <w:kinsoku w:val="0"/>
              <w:overflowPunct w:val="0"/>
              <w:spacing w:beforeLines="0" w:afterLines="0" w:line="305" w:lineRule="exact"/>
              <w:ind w:left="104" w:firstLine="240"/>
              <w:rPr>
                <w:rFonts w:hint="default"/>
                <w:sz w:val="24"/>
                <w:szCs w:val="24"/>
              </w:rPr>
            </w:pPr>
            <w:r>
              <w:rPr>
                <w:rFonts w:hint="eastAsia" w:ascii="Calibri" w:hAnsi="Calibri" w:eastAsia="宋体"/>
                <w:spacing w:val="-1"/>
                <w:sz w:val="24"/>
                <w:szCs w:val="24"/>
                <w:lang w:eastAsia="zh-CN"/>
              </w:rPr>
              <w:t>（</w:t>
            </w:r>
            <w:r>
              <w:rPr>
                <w:rFonts w:hint="eastAsia" w:ascii="Calibri" w:hAnsi="Calibri" w:eastAsia="宋体"/>
                <w:spacing w:val="-1"/>
                <w:sz w:val="24"/>
                <w:szCs w:val="24"/>
                <w:lang w:val="en-US" w:eastAsia="zh-CN"/>
              </w:rPr>
              <w:t>2</w:t>
            </w:r>
            <w:r>
              <w:rPr>
                <w:rFonts w:hint="eastAsia" w:ascii="Calibri" w:hAnsi="Calibri" w:eastAsia="宋体"/>
                <w:spacing w:val="-1"/>
                <w:sz w:val="24"/>
                <w:szCs w:val="24"/>
                <w:lang w:eastAsia="zh-CN"/>
              </w:rPr>
              <w:t>）</w:t>
            </w:r>
            <w:r>
              <w:rPr>
                <w:rFonts w:hint="eastAsia" w:ascii="宋体" w:hAnsi="宋体" w:eastAsia="宋体"/>
                <w:spacing w:val="-1"/>
                <w:sz w:val="24"/>
                <w:szCs w:val="24"/>
              </w:rPr>
              <w:t>公共区域休息处的桌椅；休息处的沙发及茶几；</w:t>
            </w:r>
            <w:r>
              <w:rPr>
                <w:rFonts w:hint="eastAsia" w:ascii="宋体" w:hAnsi="宋体" w:eastAsia="宋体"/>
                <w:sz w:val="24"/>
                <w:szCs w:val="24"/>
              </w:rPr>
              <w:t>玻璃、大厅玻璃门窗、服务台、窗口柜台等</w:t>
            </w:r>
          </w:p>
        </w:tc>
      </w:tr>
      <w:tr w14:paraId="5909C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exact"/>
        </w:trPr>
        <w:tc>
          <w:tcPr>
            <w:tcW w:w="7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105614C6">
            <w:pPr>
              <w:pStyle w:val="42"/>
              <w:kinsoku w:val="0"/>
              <w:overflowPunct w:val="0"/>
              <w:spacing w:before="44" w:beforeLines="0" w:afterLines="0"/>
              <w:ind w:left="104"/>
              <w:rPr>
                <w:rFonts w:hint="default"/>
                <w:sz w:val="24"/>
                <w:szCs w:val="24"/>
              </w:rPr>
            </w:pPr>
          </w:p>
        </w:tc>
        <w:tc>
          <w:tcPr>
            <w:tcW w:w="19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C177023">
            <w:pPr>
              <w:pStyle w:val="42"/>
              <w:kinsoku w:val="0"/>
              <w:overflowPunct w:val="0"/>
              <w:spacing w:before="44" w:beforeLines="0" w:afterLines="0"/>
              <w:ind w:left="104"/>
              <w:rPr>
                <w:rFonts w:hint="default"/>
                <w:sz w:val="24"/>
                <w:szCs w:val="24"/>
              </w:rPr>
            </w:pPr>
          </w:p>
        </w:tc>
        <w:tc>
          <w:tcPr>
            <w:tcW w:w="58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24D59B4">
            <w:pPr>
              <w:pStyle w:val="42"/>
              <w:kinsoku w:val="0"/>
              <w:overflowPunct w:val="0"/>
              <w:spacing w:before="24" w:beforeLines="0" w:afterLines="0" w:line="338" w:lineRule="auto"/>
              <w:ind w:right="504" w:firstLine="480" w:firstLineChars="200"/>
              <w:rPr>
                <w:rFonts w:hint="default"/>
                <w:sz w:val="24"/>
                <w:szCs w:val="24"/>
              </w:rPr>
            </w:pPr>
            <w:r>
              <w:rPr>
                <w:rFonts w:hint="eastAsia" w:ascii="宋体" w:hAnsi="宋体" w:eastAsia="宋体"/>
                <w:sz w:val="24"/>
                <w:szCs w:val="24"/>
              </w:rPr>
              <w:t>（</w:t>
            </w:r>
            <w:r>
              <w:rPr>
                <w:rFonts w:hint="default" w:ascii="Times New Roman" w:hAnsi="Times New Roman" w:eastAsia="Times New Roman"/>
                <w:sz w:val="24"/>
                <w:szCs w:val="24"/>
              </w:rPr>
              <w:t>3</w:t>
            </w:r>
            <w:r>
              <w:rPr>
                <w:rFonts w:hint="eastAsia" w:ascii="宋体" w:hAnsi="宋体" w:eastAsia="宋体"/>
                <w:sz w:val="24"/>
                <w:szCs w:val="24"/>
              </w:rPr>
              <w:t>）楼梯及楼梯间保持干净、无异味、无杂物、无积水，每日循环作业。</w:t>
            </w:r>
          </w:p>
        </w:tc>
      </w:tr>
    </w:tbl>
    <w:p w14:paraId="6315A8E6">
      <w:pPr>
        <w:spacing w:beforeLines="0" w:afterLines="0"/>
        <w:rPr>
          <w:rFonts w:hint="default"/>
          <w:sz w:val="24"/>
          <w:szCs w:val="24"/>
        </w:rPr>
        <w:sectPr>
          <w:pgSz w:w="11910" w:h="16840"/>
          <w:pgMar w:top="980" w:right="1560" w:bottom="880" w:left="1580" w:header="746" w:footer="699" w:gutter="0"/>
          <w:lnNumType w:countBy="0" w:distance="360"/>
          <w:cols w:space="720" w:num="1"/>
        </w:sectPr>
      </w:pPr>
    </w:p>
    <w:p w14:paraId="240C647B">
      <w:pPr>
        <w:pStyle w:val="8"/>
        <w:kinsoku w:val="0"/>
        <w:overflowPunct w:val="0"/>
        <w:spacing w:before="3" w:beforeLines="0" w:afterLines="0"/>
        <w:ind w:left="0"/>
        <w:rPr>
          <w:rFonts w:hint="default" w:ascii="Times New Roman" w:hAnsi="Times New Roman" w:eastAsia="Times New Roman"/>
          <w:sz w:val="19"/>
          <w:szCs w:val="24"/>
        </w:rPr>
      </w:pPr>
    </w:p>
    <w:tbl>
      <w:tblPr>
        <w:tblStyle w:val="19"/>
        <w:tblW w:w="0" w:type="auto"/>
        <w:tblInd w:w="2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3"/>
        <w:gridCol w:w="1974"/>
        <w:gridCol w:w="5840"/>
      </w:tblGrid>
      <w:tr w14:paraId="64373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exact"/>
        </w:trPr>
        <w:tc>
          <w:tcPr>
            <w:tcW w:w="713" w:type="dxa"/>
            <w:vMerge w:val="restart"/>
            <w:tcBorders>
              <w:top w:val="single" w:color="000000" w:sz="4" w:space="0"/>
              <w:left w:val="single" w:color="000000" w:sz="4" w:space="0"/>
              <w:bottom w:val="nil"/>
              <w:right w:val="single" w:color="000000" w:sz="4" w:space="0"/>
              <w:tl2br w:val="nil"/>
              <w:tr2bl w:val="nil"/>
            </w:tcBorders>
            <w:noWrap w:val="0"/>
            <w:vAlign w:val="top"/>
          </w:tcPr>
          <w:p w14:paraId="0EBD3812">
            <w:pPr>
              <w:pStyle w:val="42"/>
              <w:kinsoku w:val="0"/>
              <w:overflowPunct w:val="0"/>
              <w:spacing w:beforeLines="0" w:afterLines="0"/>
              <w:ind w:left="104"/>
              <w:rPr>
                <w:rFonts w:hint="default"/>
                <w:sz w:val="24"/>
                <w:szCs w:val="24"/>
              </w:rPr>
            </w:pPr>
          </w:p>
        </w:tc>
        <w:tc>
          <w:tcPr>
            <w:tcW w:w="1974" w:type="dxa"/>
            <w:vMerge w:val="restart"/>
            <w:tcBorders>
              <w:top w:val="single" w:color="000000" w:sz="4" w:space="0"/>
              <w:left w:val="single" w:color="000000" w:sz="4" w:space="0"/>
              <w:bottom w:val="nil"/>
              <w:right w:val="single" w:color="000000" w:sz="4" w:space="0"/>
              <w:tl2br w:val="nil"/>
              <w:tr2bl w:val="nil"/>
            </w:tcBorders>
            <w:noWrap w:val="0"/>
            <w:vAlign w:val="top"/>
          </w:tcPr>
          <w:p w14:paraId="0EED6CA1">
            <w:pPr>
              <w:pStyle w:val="42"/>
              <w:kinsoku w:val="0"/>
              <w:overflowPunct w:val="0"/>
              <w:spacing w:beforeLines="0" w:afterLines="0"/>
              <w:ind w:left="104"/>
              <w:rPr>
                <w:rFonts w:hint="default"/>
                <w:sz w:val="24"/>
                <w:szCs w:val="24"/>
              </w:rPr>
            </w:pPr>
          </w:p>
        </w:tc>
        <w:tc>
          <w:tcPr>
            <w:tcW w:w="5840" w:type="dxa"/>
            <w:tcBorders>
              <w:top w:val="single" w:color="000000" w:sz="4" w:space="0"/>
              <w:left w:val="single" w:color="000000" w:sz="4" w:space="0"/>
              <w:bottom w:val="nil"/>
              <w:right w:val="single" w:color="000000" w:sz="4" w:space="0"/>
              <w:tl2br w:val="nil"/>
              <w:tr2bl w:val="nil"/>
            </w:tcBorders>
            <w:noWrap w:val="0"/>
            <w:vAlign w:val="top"/>
          </w:tcPr>
          <w:p w14:paraId="4EEB8F13">
            <w:pPr>
              <w:pStyle w:val="42"/>
              <w:kinsoku w:val="0"/>
              <w:overflowPunct w:val="0"/>
              <w:spacing w:before="24" w:beforeLines="0" w:afterLines="0"/>
              <w:rPr>
                <w:rFonts w:hint="default"/>
                <w:sz w:val="24"/>
                <w:szCs w:val="24"/>
              </w:rPr>
            </w:pPr>
            <w:r>
              <w:rPr>
                <w:rFonts w:hint="eastAsia" w:ascii="宋体" w:hAnsi="宋体" w:eastAsia="宋体"/>
                <w:sz w:val="24"/>
                <w:szCs w:val="24"/>
              </w:rPr>
              <w:t>（</w:t>
            </w:r>
            <w:r>
              <w:rPr>
                <w:rFonts w:hint="eastAsia" w:ascii="Times New Roman" w:hAnsi="Times New Roman" w:eastAsia="宋体"/>
                <w:sz w:val="24"/>
                <w:szCs w:val="24"/>
                <w:lang w:val="en-US" w:eastAsia="zh-CN"/>
              </w:rPr>
              <w:t>4</w:t>
            </w:r>
            <w:r>
              <w:rPr>
                <w:rFonts w:hint="eastAsia" w:ascii="宋体" w:hAnsi="宋体" w:eastAsia="宋体"/>
                <w:sz w:val="24"/>
                <w:szCs w:val="24"/>
              </w:rPr>
              <w:t>）公共卫生间：</w:t>
            </w:r>
          </w:p>
        </w:tc>
      </w:tr>
      <w:tr w14:paraId="34675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exact"/>
        </w:trPr>
        <w:tc>
          <w:tcPr>
            <w:tcW w:w="7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7E9E53B2">
            <w:pPr>
              <w:pStyle w:val="42"/>
              <w:kinsoku w:val="0"/>
              <w:overflowPunct w:val="0"/>
              <w:spacing w:before="24" w:beforeLines="0" w:afterLines="0"/>
              <w:ind w:left="344"/>
              <w:rPr>
                <w:rFonts w:hint="default"/>
                <w:sz w:val="24"/>
                <w:szCs w:val="24"/>
              </w:rPr>
            </w:pPr>
          </w:p>
        </w:tc>
        <w:tc>
          <w:tcPr>
            <w:tcW w:w="19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713751AA">
            <w:pPr>
              <w:pStyle w:val="42"/>
              <w:kinsoku w:val="0"/>
              <w:overflowPunct w:val="0"/>
              <w:spacing w:before="24" w:beforeLines="0" w:afterLines="0"/>
              <w:ind w:left="344"/>
              <w:rPr>
                <w:rFonts w:hint="default"/>
                <w:sz w:val="24"/>
                <w:szCs w:val="24"/>
              </w:rPr>
            </w:pPr>
          </w:p>
        </w:tc>
        <w:tc>
          <w:tcPr>
            <w:tcW w:w="5840" w:type="dxa"/>
            <w:tcBorders>
              <w:top w:val="nil"/>
              <w:left w:val="single" w:color="000000" w:sz="4" w:space="0"/>
              <w:bottom w:val="nil"/>
              <w:right w:val="single" w:color="000000" w:sz="4" w:space="0"/>
              <w:tl2br w:val="nil"/>
              <w:tr2bl w:val="nil"/>
            </w:tcBorders>
            <w:noWrap w:val="0"/>
            <w:vAlign w:val="top"/>
          </w:tcPr>
          <w:p w14:paraId="2BDB0A6A">
            <w:pPr>
              <w:pStyle w:val="42"/>
              <w:kinsoku w:val="0"/>
              <w:overflowPunct w:val="0"/>
              <w:spacing w:before="32" w:beforeLines="0" w:afterLines="0"/>
              <w:ind w:left="404"/>
              <w:rPr>
                <w:rFonts w:hint="default"/>
                <w:sz w:val="24"/>
                <w:szCs w:val="24"/>
              </w:rPr>
            </w:pPr>
            <w:r>
              <w:rPr>
                <w:rFonts w:hint="eastAsia" w:ascii="宋体" w:hAnsi="宋体" w:eastAsia="宋体"/>
                <w:sz w:val="24"/>
                <w:szCs w:val="24"/>
              </w:rPr>
              <w:t>①保持干净，无异味，垃圾无溢出，每日至少开展</w:t>
            </w:r>
          </w:p>
        </w:tc>
      </w:tr>
      <w:tr w14:paraId="1E1F9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7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37032B8D">
            <w:pPr>
              <w:pStyle w:val="42"/>
              <w:kinsoku w:val="0"/>
              <w:overflowPunct w:val="0"/>
              <w:spacing w:before="32" w:beforeLines="0" w:afterLines="0"/>
              <w:ind w:left="404"/>
              <w:rPr>
                <w:rFonts w:hint="default"/>
                <w:sz w:val="24"/>
                <w:szCs w:val="24"/>
              </w:rPr>
            </w:pPr>
          </w:p>
        </w:tc>
        <w:tc>
          <w:tcPr>
            <w:tcW w:w="19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52DE8C5D">
            <w:pPr>
              <w:pStyle w:val="42"/>
              <w:kinsoku w:val="0"/>
              <w:overflowPunct w:val="0"/>
              <w:spacing w:before="32" w:beforeLines="0" w:afterLines="0"/>
              <w:ind w:left="404"/>
              <w:rPr>
                <w:rFonts w:hint="default"/>
                <w:sz w:val="24"/>
                <w:szCs w:val="24"/>
              </w:rPr>
            </w:pPr>
          </w:p>
        </w:tc>
        <w:tc>
          <w:tcPr>
            <w:tcW w:w="5840" w:type="dxa"/>
            <w:tcBorders>
              <w:top w:val="nil"/>
              <w:left w:val="single" w:color="000000" w:sz="4" w:space="0"/>
              <w:bottom w:val="nil"/>
              <w:right w:val="single" w:color="000000" w:sz="4" w:space="0"/>
              <w:tl2br w:val="nil"/>
              <w:tr2bl w:val="nil"/>
            </w:tcBorders>
            <w:noWrap w:val="0"/>
            <w:vAlign w:val="top"/>
          </w:tcPr>
          <w:p w14:paraId="6BF0FD48">
            <w:pPr>
              <w:pStyle w:val="42"/>
              <w:kinsoku w:val="0"/>
              <w:overflowPunct w:val="0"/>
              <w:spacing w:beforeLines="0" w:afterLines="0"/>
              <w:ind w:left="104"/>
              <w:rPr>
                <w:rFonts w:hint="default"/>
                <w:sz w:val="24"/>
                <w:szCs w:val="24"/>
              </w:rPr>
            </w:pPr>
            <w:r>
              <w:rPr>
                <w:rFonts w:hint="default" w:ascii="Times New Roman" w:hAnsi="Times New Roman" w:eastAsia="Times New Roman"/>
                <w:sz w:val="24"/>
                <w:szCs w:val="24"/>
              </w:rPr>
              <w:t>3</w:t>
            </w:r>
            <w:r>
              <w:rPr>
                <w:rFonts w:hint="eastAsia" w:ascii="宋体" w:hAnsi="宋体" w:eastAsia="宋体"/>
                <w:sz w:val="24"/>
                <w:szCs w:val="24"/>
              </w:rPr>
              <w:t>次清洁作业。</w:t>
            </w:r>
          </w:p>
        </w:tc>
      </w:tr>
      <w:tr w14:paraId="44B41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exact"/>
        </w:trPr>
        <w:tc>
          <w:tcPr>
            <w:tcW w:w="7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54FD2DF6">
            <w:pPr>
              <w:pStyle w:val="42"/>
              <w:kinsoku w:val="0"/>
              <w:overflowPunct w:val="0"/>
              <w:spacing w:beforeLines="0" w:afterLines="0"/>
              <w:ind w:left="104"/>
              <w:rPr>
                <w:rFonts w:hint="default"/>
                <w:sz w:val="24"/>
                <w:szCs w:val="24"/>
              </w:rPr>
            </w:pPr>
          </w:p>
        </w:tc>
        <w:tc>
          <w:tcPr>
            <w:tcW w:w="19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7833BA4F">
            <w:pPr>
              <w:pStyle w:val="42"/>
              <w:kinsoku w:val="0"/>
              <w:overflowPunct w:val="0"/>
              <w:spacing w:beforeLines="0" w:afterLines="0"/>
              <w:ind w:left="104"/>
              <w:rPr>
                <w:rFonts w:hint="default"/>
                <w:sz w:val="24"/>
                <w:szCs w:val="24"/>
              </w:rPr>
            </w:pPr>
          </w:p>
        </w:tc>
        <w:tc>
          <w:tcPr>
            <w:tcW w:w="5840" w:type="dxa"/>
            <w:tcBorders>
              <w:top w:val="nil"/>
              <w:left w:val="single" w:color="000000" w:sz="4" w:space="0"/>
              <w:bottom w:val="single" w:color="000000" w:sz="4" w:space="0"/>
              <w:right w:val="single" w:color="000000" w:sz="4" w:space="0"/>
              <w:tl2br w:val="nil"/>
              <w:tr2bl w:val="nil"/>
            </w:tcBorders>
            <w:noWrap w:val="0"/>
            <w:vAlign w:val="top"/>
          </w:tcPr>
          <w:p w14:paraId="52DC979B">
            <w:pPr>
              <w:pStyle w:val="42"/>
              <w:kinsoku w:val="0"/>
              <w:overflowPunct w:val="0"/>
              <w:spacing w:beforeLines="0" w:afterLines="0" w:line="309" w:lineRule="exact"/>
              <w:ind w:left="404"/>
              <w:rPr>
                <w:rFonts w:hint="default"/>
                <w:sz w:val="24"/>
                <w:szCs w:val="24"/>
              </w:rPr>
            </w:pPr>
            <w:r>
              <w:rPr>
                <w:rFonts w:hint="eastAsia" w:ascii="宋体" w:hAnsi="宋体" w:eastAsia="宋体"/>
                <w:sz w:val="24"/>
                <w:szCs w:val="24"/>
              </w:rPr>
              <w:t>②及时补充厕纸等必要用品。</w:t>
            </w:r>
          </w:p>
        </w:tc>
      </w:tr>
      <w:tr w14:paraId="2322E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exact"/>
        </w:trPr>
        <w:tc>
          <w:tcPr>
            <w:tcW w:w="7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1D71BDF0">
            <w:pPr>
              <w:pStyle w:val="42"/>
              <w:kinsoku w:val="0"/>
              <w:overflowPunct w:val="0"/>
              <w:spacing w:beforeLines="0" w:afterLines="0" w:line="309" w:lineRule="exact"/>
              <w:ind w:left="404"/>
              <w:rPr>
                <w:rFonts w:hint="default"/>
                <w:sz w:val="24"/>
                <w:szCs w:val="24"/>
              </w:rPr>
            </w:pPr>
          </w:p>
        </w:tc>
        <w:tc>
          <w:tcPr>
            <w:tcW w:w="19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15E36A88">
            <w:pPr>
              <w:pStyle w:val="42"/>
              <w:kinsoku w:val="0"/>
              <w:overflowPunct w:val="0"/>
              <w:spacing w:beforeLines="0" w:afterLines="0" w:line="309" w:lineRule="exact"/>
              <w:ind w:left="404"/>
              <w:rPr>
                <w:rFonts w:hint="default"/>
                <w:sz w:val="24"/>
                <w:szCs w:val="24"/>
              </w:rPr>
            </w:pPr>
          </w:p>
        </w:tc>
        <w:tc>
          <w:tcPr>
            <w:tcW w:w="5840" w:type="dxa"/>
            <w:tcBorders>
              <w:top w:val="single" w:color="000000" w:sz="4" w:space="0"/>
              <w:left w:val="single" w:color="000000" w:sz="4" w:space="0"/>
              <w:bottom w:val="nil"/>
              <w:right w:val="single" w:color="000000" w:sz="4" w:space="0"/>
              <w:tl2br w:val="nil"/>
              <w:tr2bl w:val="nil"/>
            </w:tcBorders>
            <w:noWrap w:val="0"/>
            <w:vAlign w:val="top"/>
          </w:tcPr>
          <w:p w14:paraId="51873A2F">
            <w:pPr>
              <w:pStyle w:val="42"/>
              <w:kinsoku w:val="0"/>
              <w:overflowPunct w:val="0"/>
              <w:spacing w:before="24" w:beforeLines="0" w:afterLines="0"/>
              <w:rPr>
                <w:rFonts w:hint="default"/>
                <w:sz w:val="24"/>
                <w:szCs w:val="24"/>
              </w:rPr>
            </w:pPr>
            <w:r>
              <w:rPr>
                <w:rFonts w:hint="eastAsia" w:ascii="宋体" w:hAnsi="宋体" w:eastAsia="宋体"/>
                <w:sz w:val="24"/>
                <w:szCs w:val="24"/>
              </w:rPr>
              <w:t>（</w:t>
            </w:r>
            <w:r>
              <w:rPr>
                <w:rFonts w:hint="eastAsia" w:ascii="Times New Roman" w:hAnsi="Times New Roman" w:eastAsia="宋体"/>
                <w:sz w:val="24"/>
                <w:szCs w:val="24"/>
                <w:lang w:val="en-US" w:eastAsia="zh-CN"/>
              </w:rPr>
              <w:t>5</w:t>
            </w:r>
            <w:r>
              <w:rPr>
                <w:rFonts w:hint="eastAsia" w:ascii="宋体" w:hAnsi="宋体" w:eastAsia="宋体"/>
                <w:sz w:val="24"/>
                <w:szCs w:val="24"/>
              </w:rPr>
              <w:t>）电梯轿厢：</w:t>
            </w:r>
          </w:p>
        </w:tc>
      </w:tr>
      <w:tr w14:paraId="3691A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exact"/>
        </w:trPr>
        <w:tc>
          <w:tcPr>
            <w:tcW w:w="7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72ADBE2E">
            <w:pPr>
              <w:pStyle w:val="42"/>
              <w:kinsoku w:val="0"/>
              <w:overflowPunct w:val="0"/>
              <w:spacing w:before="24" w:beforeLines="0" w:afterLines="0"/>
              <w:ind w:left="344"/>
              <w:rPr>
                <w:rFonts w:hint="default"/>
                <w:sz w:val="24"/>
                <w:szCs w:val="24"/>
              </w:rPr>
            </w:pPr>
          </w:p>
        </w:tc>
        <w:tc>
          <w:tcPr>
            <w:tcW w:w="19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61610835">
            <w:pPr>
              <w:pStyle w:val="42"/>
              <w:kinsoku w:val="0"/>
              <w:overflowPunct w:val="0"/>
              <w:spacing w:before="24" w:beforeLines="0" w:afterLines="0"/>
              <w:ind w:left="344"/>
              <w:rPr>
                <w:rFonts w:hint="default"/>
                <w:sz w:val="24"/>
                <w:szCs w:val="24"/>
              </w:rPr>
            </w:pPr>
          </w:p>
        </w:tc>
        <w:tc>
          <w:tcPr>
            <w:tcW w:w="5840" w:type="dxa"/>
            <w:tcBorders>
              <w:top w:val="nil"/>
              <w:left w:val="single" w:color="000000" w:sz="4" w:space="0"/>
              <w:bottom w:val="nil"/>
              <w:right w:val="single" w:color="000000" w:sz="4" w:space="0"/>
              <w:tl2br w:val="nil"/>
              <w:tr2bl w:val="nil"/>
            </w:tcBorders>
            <w:noWrap w:val="0"/>
            <w:vAlign w:val="top"/>
          </w:tcPr>
          <w:p w14:paraId="00A998A7">
            <w:pPr>
              <w:pStyle w:val="42"/>
              <w:kinsoku w:val="0"/>
              <w:overflowPunct w:val="0"/>
              <w:spacing w:before="32" w:beforeLines="0" w:afterLines="0"/>
              <w:ind w:left="418"/>
              <w:rPr>
                <w:rFonts w:hint="default"/>
                <w:sz w:val="24"/>
                <w:szCs w:val="24"/>
              </w:rPr>
            </w:pPr>
            <w:r>
              <w:rPr>
                <w:rFonts w:hint="eastAsia" w:ascii="宋体" w:hAnsi="宋体" w:eastAsia="宋体"/>
                <w:sz w:val="24"/>
                <w:szCs w:val="24"/>
              </w:rPr>
              <w:t>①保持干净，无污渍、无粘贴物、无异味，每日至</w:t>
            </w:r>
          </w:p>
        </w:tc>
      </w:tr>
      <w:tr w14:paraId="13C9B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exact"/>
        </w:trPr>
        <w:tc>
          <w:tcPr>
            <w:tcW w:w="7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76FD35B7">
            <w:pPr>
              <w:pStyle w:val="42"/>
              <w:kinsoku w:val="0"/>
              <w:overflowPunct w:val="0"/>
              <w:spacing w:before="32" w:beforeLines="0" w:afterLines="0"/>
              <w:ind w:left="418"/>
              <w:rPr>
                <w:rFonts w:hint="default"/>
                <w:sz w:val="24"/>
                <w:szCs w:val="24"/>
              </w:rPr>
            </w:pPr>
          </w:p>
        </w:tc>
        <w:tc>
          <w:tcPr>
            <w:tcW w:w="19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242349B3">
            <w:pPr>
              <w:pStyle w:val="42"/>
              <w:kinsoku w:val="0"/>
              <w:overflowPunct w:val="0"/>
              <w:spacing w:before="32" w:beforeLines="0" w:afterLines="0"/>
              <w:ind w:left="418"/>
              <w:rPr>
                <w:rFonts w:hint="default"/>
                <w:sz w:val="24"/>
                <w:szCs w:val="24"/>
              </w:rPr>
            </w:pPr>
          </w:p>
        </w:tc>
        <w:tc>
          <w:tcPr>
            <w:tcW w:w="5840" w:type="dxa"/>
            <w:tcBorders>
              <w:top w:val="nil"/>
              <w:left w:val="single" w:color="000000" w:sz="4" w:space="0"/>
              <w:bottom w:val="nil"/>
              <w:right w:val="single" w:color="000000" w:sz="4" w:space="0"/>
              <w:tl2br w:val="nil"/>
              <w:tr2bl w:val="nil"/>
            </w:tcBorders>
            <w:noWrap w:val="0"/>
            <w:vAlign w:val="top"/>
          </w:tcPr>
          <w:p w14:paraId="729B2541">
            <w:pPr>
              <w:pStyle w:val="42"/>
              <w:kinsoku w:val="0"/>
              <w:overflowPunct w:val="0"/>
              <w:spacing w:beforeLines="0" w:afterLines="0"/>
              <w:ind w:left="418"/>
              <w:rPr>
                <w:rFonts w:hint="default"/>
                <w:sz w:val="24"/>
                <w:szCs w:val="24"/>
              </w:rPr>
            </w:pPr>
            <w:r>
              <w:rPr>
                <w:rFonts w:hint="eastAsia" w:ascii="宋体" w:hAnsi="宋体" w:eastAsia="宋体"/>
                <w:sz w:val="24"/>
                <w:szCs w:val="24"/>
              </w:rPr>
              <w:t>少开展</w:t>
            </w:r>
            <w:r>
              <w:rPr>
                <w:rFonts w:hint="default" w:ascii="Times New Roman" w:hAnsi="Times New Roman" w:eastAsia="Times New Roman"/>
                <w:sz w:val="24"/>
                <w:szCs w:val="24"/>
              </w:rPr>
              <w:t>3</w:t>
            </w:r>
            <w:r>
              <w:rPr>
                <w:rFonts w:hint="eastAsia" w:ascii="宋体" w:hAnsi="宋体" w:eastAsia="宋体"/>
                <w:sz w:val="24"/>
                <w:szCs w:val="24"/>
              </w:rPr>
              <w:t>次清洁作业。</w:t>
            </w:r>
          </w:p>
        </w:tc>
      </w:tr>
      <w:tr w14:paraId="58C65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exact"/>
        </w:trPr>
        <w:tc>
          <w:tcPr>
            <w:tcW w:w="7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7C644558">
            <w:pPr>
              <w:pStyle w:val="42"/>
              <w:kinsoku w:val="0"/>
              <w:overflowPunct w:val="0"/>
              <w:spacing w:beforeLines="0" w:afterLines="0"/>
              <w:ind w:left="418"/>
              <w:rPr>
                <w:rFonts w:hint="default"/>
                <w:sz w:val="24"/>
                <w:szCs w:val="24"/>
              </w:rPr>
            </w:pPr>
          </w:p>
        </w:tc>
        <w:tc>
          <w:tcPr>
            <w:tcW w:w="19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7BF6354">
            <w:pPr>
              <w:pStyle w:val="42"/>
              <w:kinsoku w:val="0"/>
              <w:overflowPunct w:val="0"/>
              <w:spacing w:beforeLines="0" w:afterLines="0"/>
              <w:ind w:left="418"/>
              <w:rPr>
                <w:rFonts w:hint="default"/>
                <w:sz w:val="24"/>
                <w:szCs w:val="24"/>
              </w:rPr>
            </w:pPr>
          </w:p>
        </w:tc>
        <w:tc>
          <w:tcPr>
            <w:tcW w:w="5840" w:type="dxa"/>
            <w:tcBorders>
              <w:top w:val="nil"/>
              <w:left w:val="single" w:color="000000" w:sz="4" w:space="0"/>
              <w:bottom w:val="single" w:color="000000" w:sz="4" w:space="0"/>
              <w:right w:val="single" w:color="000000" w:sz="4" w:space="0"/>
              <w:tl2br w:val="nil"/>
              <w:tr2bl w:val="nil"/>
            </w:tcBorders>
            <w:noWrap w:val="0"/>
            <w:vAlign w:val="top"/>
          </w:tcPr>
          <w:p w14:paraId="3E292BC5">
            <w:pPr>
              <w:pStyle w:val="42"/>
              <w:kinsoku w:val="0"/>
              <w:overflowPunct w:val="0"/>
              <w:spacing w:beforeLines="0" w:afterLines="0" w:line="308" w:lineRule="exact"/>
              <w:ind w:left="418"/>
              <w:rPr>
                <w:rFonts w:hint="default"/>
                <w:sz w:val="24"/>
                <w:szCs w:val="24"/>
              </w:rPr>
            </w:pPr>
            <w:r>
              <w:rPr>
                <w:rFonts w:hint="eastAsia" w:ascii="宋体" w:hAnsi="宋体" w:eastAsia="宋体"/>
                <w:sz w:val="24"/>
                <w:szCs w:val="24"/>
              </w:rPr>
              <w:t>②灯具、操作指示板明亮。</w:t>
            </w:r>
          </w:p>
        </w:tc>
      </w:tr>
      <w:tr w14:paraId="067C2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1" w:hRule="exact"/>
        </w:trPr>
        <w:tc>
          <w:tcPr>
            <w:tcW w:w="7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5EE833BB">
            <w:pPr>
              <w:pStyle w:val="42"/>
              <w:kinsoku w:val="0"/>
              <w:overflowPunct w:val="0"/>
              <w:spacing w:before="133" w:beforeLines="0" w:afterLines="0"/>
              <w:ind w:left="104"/>
              <w:rPr>
                <w:rFonts w:hint="default"/>
                <w:sz w:val="24"/>
                <w:szCs w:val="24"/>
              </w:rPr>
            </w:pPr>
          </w:p>
        </w:tc>
        <w:tc>
          <w:tcPr>
            <w:tcW w:w="19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6C41B0D4">
            <w:pPr>
              <w:pStyle w:val="42"/>
              <w:kinsoku w:val="0"/>
              <w:overflowPunct w:val="0"/>
              <w:spacing w:before="133" w:beforeLines="0" w:afterLines="0"/>
              <w:ind w:left="104"/>
              <w:rPr>
                <w:rFonts w:hint="default"/>
                <w:sz w:val="24"/>
                <w:szCs w:val="24"/>
              </w:rPr>
            </w:pPr>
          </w:p>
        </w:tc>
        <w:tc>
          <w:tcPr>
            <w:tcW w:w="5840" w:type="dxa"/>
            <w:tcBorders>
              <w:top w:val="single" w:color="000000" w:sz="4" w:space="0"/>
              <w:left w:val="single" w:color="000000" w:sz="4" w:space="0"/>
              <w:bottom w:val="nil"/>
              <w:right w:val="single" w:color="000000" w:sz="4" w:space="0"/>
              <w:tl2br w:val="nil"/>
              <w:tr2bl w:val="nil"/>
            </w:tcBorders>
            <w:noWrap w:val="0"/>
            <w:vAlign w:val="top"/>
          </w:tcPr>
          <w:p w14:paraId="4EFC199B">
            <w:pPr>
              <w:pStyle w:val="42"/>
              <w:kinsoku w:val="0"/>
              <w:overflowPunct w:val="0"/>
              <w:spacing w:before="23" w:beforeLines="0" w:afterLines="0"/>
              <w:ind w:firstLine="240" w:firstLineChars="100"/>
              <w:rPr>
                <w:rFonts w:hint="eastAsia" w:ascii="Times New Roman" w:hAnsi="Times New Roman" w:eastAsia="宋体"/>
                <w:sz w:val="24"/>
                <w:szCs w:val="24"/>
                <w:lang w:val="en-US" w:eastAsia="zh-CN"/>
              </w:rPr>
            </w:pPr>
            <w:r>
              <w:rPr>
                <w:rFonts w:hint="eastAsia" w:ascii="宋体" w:hAnsi="宋体" w:eastAsia="宋体" w:cs="Times New Roman"/>
                <w:sz w:val="24"/>
                <w:szCs w:val="24"/>
                <w:lang w:val="en-US" w:eastAsia="zh-CN"/>
              </w:rPr>
              <w:t>（6）场馆地面做好养护工作，每季度开展1次深度清洁保洁。</w:t>
            </w:r>
          </w:p>
        </w:tc>
      </w:tr>
      <w:tr w14:paraId="7D831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exact"/>
        </w:trPr>
        <w:tc>
          <w:tcPr>
            <w:tcW w:w="713" w:type="dxa"/>
            <w:vMerge w:val="restart"/>
            <w:tcBorders>
              <w:top w:val="single" w:color="000000" w:sz="4" w:space="0"/>
              <w:left w:val="single" w:color="000000" w:sz="4" w:space="0"/>
              <w:bottom w:val="nil"/>
              <w:right w:val="single" w:color="000000" w:sz="4" w:space="0"/>
              <w:tl2br w:val="nil"/>
              <w:tr2bl w:val="nil"/>
            </w:tcBorders>
            <w:noWrap w:val="0"/>
            <w:vAlign w:val="top"/>
          </w:tcPr>
          <w:p w14:paraId="017F8DFF">
            <w:pPr>
              <w:pStyle w:val="42"/>
              <w:kinsoku w:val="0"/>
              <w:overflowPunct w:val="0"/>
              <w:spacing w:beforeLines="0" w:afterLines="0"/>
              <w:rPr>
                <w:rFonts w:hint="default" w:ascii="Times New Roman" w:hAnsi="Times New Roman" w:eastAsia="Times New Roman"/>
                <w:sz w:val="24"/>
                <w:szCs w:val="24"/>
              </w:rPr>
            </w:pPr>
          </w:p>
          <w:p w14:paraId="6D005B89">
            <w:pPr>
              <w:pStyle w:val="42"/>
              <w:kinsoku w:val="0"/>
              <w:overflowPunct w:val="0"/>
              <w:spacing w:beforeLines="0" w:afterLines="0"/>
              <w:rPr>
                <w:rFonts w:hint="default" w:ascii="Times New Roman" w:hAnsi="Times New Roman" w:eastAsia="Times New Roman"/>
                <w:sz w:val="24"/>
                <w:szCs w:val="24"/>
              </w:rPr>
            </w:pPr>
          </w:p>
          <w:p w14:paraId="687F6A81">
            <w:pPr>
              <w:pStyle w:val="42"/>
              <w:kinsoku w:val="0"/>
              <w:overflowPunct w:val="0"/>
              <w:spacing w:beforeLines="0" w:afterLines="0"/>
              <w:rPr>
                <w:rFonts w:hint="default" w:ascii="Times New Roman" w:hAnsi="Times New Roman" w:eastAsia="Times New Roman"/>
                <w:sz w:val="24"/>
                <w:szCs w:val="24"/>
              </w:rPr>
            </w:pPr>
          </w:p>
          <w:p w14:paraId="561F1619">
            <w:pPr>
              <w:pStyle w:val="42"/>
              <w:kinsoku w:val="0"/>
              <w:overflowPunct w:val="0"/>
              <w:spacing w:beforeLines="0" w:afterLines="0"/>
              <w:rPr>
                <w:rFonts w:hint="default" w:ascii="Times New Roman" w:hAnsi="Times New Roman" w:eastAsia="Times New Roman"/>
                <w:sz w:val="24"/>
                <w:szCs w:val="24"/>
              </w:rPr>
            </w:pPr>
          </w:p>
          <w:p w14:paraId="4B0534FD">
            <w:pPr>
              <w:pStyle w:val="42"/>
              <w:kinsoku w:val="0"/>
              <w:overflowPunct w:val="0"/>
              <w:spacing w:beforeLines="0" w:afterLines="0"/>
              <w:rPr>
                <w:rFonts w:hint="default" w:ascii="Times New Roman" w:hAnsi="Times New Roman" w:eastAsia="Times New Roman"/>
                <w:sz w:val="24"/>
                <w:szCs w:val="24"/>
              </w:rPr>
            </w:pPr>
          </w:p>
          <w:p w14:paraId="470C7928">
            <w:pPr>
              <w:pStyle w:val="42"/>
              <w:kinsoku w:val="0"/>
              <w:overflowPunct w:val="0"/>
              <w:spacing w:beforeLines="0" w:afterLines="0"/>
              <w:rPr>
                <w:rFonts w:hint="default" w:ascii="Times New Roman" w:hAnsi="Times New Roman" w:eastAsia="Times New Roman"/>
                <w:sz w:val="24"/>
                <w:szCs w:val="24"/>
              </w:rPr>
            </w:pPr>
          </w:p>
          <w:p w14:paraId="2132419B">
            <w:pPr>
              <w:pStyle w:val="42"/>
              <w:kinsoku w:val="0"/>
              <w:overflowPunct w:val="0"/>
              <w:spacing w:before="10" w:beforeLines="0" w:afterLines="0"/>
              <w:rPr>
                <w:rFonts w:hint="default" w:ascii="Times New Roman" w:hAnsi="Times New Roman" w:eastAsia="Times New Roman"/>
                <w:sz w:val="18"/>
                <w:szCs w:val="24"/>
              </w:rPr>
            </w:pPr>
          </w:p>
          <w:p w14:paraId="7CC0E17D">
            <w:pPr>
              <w:pStyle w:val="42"/>
              <w:kinsoku w:val="0"/>
              <w:overflowPunct w:val="0"/>
              <w:spacing w:beforeLines="0" w:afterLines="0"/>
              <w:jc w:val="center"/>
              <w:rPr>
                <w:rFonts w:hint="default" w:ascii="Times New Roman" w:hAnsi="Times New Roman" w:eastAsia="Times New Roman"/>
                <w:sz w:val="24"/>
                <w:szCs w:val="24"/>
              </w:rPr>
            </w:pPr>
            <w:r>
              <w:rPr>
                <w:rFonts w:hint="default" w:ascii="Times New Roman" w:hAnsi="Times New Roman" w:eastAsia="Times New Roman"/>
                <w:sz w:val="24"/>
                <w:szCs w:val="24"/>
              </w:rPr>
              <w:t>3</w:t>
            </w:r>
          </w:p>
          <w:p w14:paraId="666D0B3C">
            <w:pPr>
              <w:pStyle w:val="42"/>
              <w:kinsoku w:val="0"/>
              <w:overflowPunct w:val="0"/>
              <w:spacing w:before="32" w:beforeLines="0" w:afterLines="0"/>
              <w:ind w:left="104"/>
              <w:rPr>
                <w:rFonts w:hint="default"/>
                <w:sz w:val="24"/>
                <w:szCs w:val="24"/>
              </w:rPr>
            </w:pPr>
          </w:p>
          <w:p w14:paraId="0AA4DE98">
            <w:pPr>
              <w:pStyle w:val="42"/>
              <w:kinsoku w:val="0"/>
              <w:overflowPunct w:val="0"/>
              <w:spacing w:before="32" w:beforeLines="0" w:afterLines="0"/>
              <w:ind w:left="104"/>
              <w:rPr>
                <w:rFonts w:hint="default"/>
                <w:sz w:val="24"/>
                <w:szCs w:val="24"/>
              </w:rPr>
            </w:pPr>
          </w:p>
        </w:tc>
        <w:tc>
          <w:tcPr>
            <w:tcW w:w="1974" w:type="dxa"/>
            <w:vMerge w:val="restart"/>
            <w:tcBorders>
              <w:top w:val="single" w:color="000000" w:sz="4" w:space="0"/>
              <w:left w:val="single" w:color="000000" w:sz="4" w:space="0"/>
              <w:bottom w:val="nil"/>
              <w:right w:val="single" w:color="000000" w:sz="4" w:space="0"/>
              <w:tl2br w:val="nil"/>
              <w:tr2bl w:val="nil"/>
            </w:tcBorders>
            <w:noWrap w:val="0"/>
            <w:vAlign w:val="top"/>
          </w:tcPr>
          <w:p w14:paraId="3B4EC1C7">
            <w:pPr>
              <w:pStyle w:val="42"/>
              <w:kinsoku w:val="0"/>
              <w:overflowPunct w:val="0"/>
              <w:spacing w:beforeLines="0" w:afterLines="0"/>
              <w:rPr>
                <w:rFonts w:hint="default" w:ascii="Times New Roman" w:hAnsi="Times New Roman" w:eastAsia="Times New Roman"/>
                <w:sz w:val="24"/>
                <w:szCs w:val="24"/>
              </w:rPr>
            </w:pPr>
          </w:p>
          <w:p w14:paraId="403BEC5C">
            <w:pPr>
              <w:pStyle w:val="42"/>
              <w:kinsoku w:val="0"/>
              <w:overflowPunct w:val="0"/>
              <w:spacing w:beforeLines="0" w:afterLines="0"/>
              <w:rPr>
                <w:rFonts w:hint="default" w:ascii="Times New Roman" w:hAnsi="Times New Roman" w:eastAsia="Times New Roman"/>
                <w:sz w:val="24"/>
                <w:szCs w:val="24"/>
              </w:rPr>
            </w:pPr>
          </w:p>
          <w:p w14:paraId="3AA8AED8">
            <w:pPr>
              <w:pStyle w:val="42"/>
              <w:kinsoku w:val="0"/>
              <w:overflowPunct w:val="0"/>
              <w:spacing w:beforeLines="0" w:afterLines="0"/>
              <w:rPr>
                <w:rFonts w:hint="default" w:ascii="Times New Roman" w:hAnsi="Times New Roman" w:eastAsia="Times New Roman"/>
                <w:sz w:val="24"/>
                <w:szCs w:val="24"/>
              </w:rPr>
            </w:pPr>
          </w:p>
          <w:p w14:paraId="0A2D553A">
            <w:pPr>
              <w:pStyle w:val="42"/>
              <w:kinsoku w:val="0"/>
              <w:overflowPunct w:val="0"/>
              <w:spacing w:beforeLines="0" w:afterLines="0"/>
              <w:rPr>
                <w:rFonts w:hint="default" w:ascii="Times New Roman" w:hAnsi="Times New Roman" w:eastAsia="Times New Roman"/>
                <w:sz w:val="24"/>
                <w:szCs w:val="24"/>
              </w:rPr>
            </w:pPr>
          </w:p>
          <w:p w14:paraId="26779569">
            <w:pPr>
              <w:pStyle w:val="42"/>
              <w:kinsoku w:val="0"/>
              <w:overflowPunct w:val="0"/>
              <w:spacing w:beforeLines="0" w:afterLines="0"/>
              <w:rPr>
                <w:rFonts w:hint="default" w:ascii="Times New Roman" w:hAnsi="Times New Roman" w:eastAsia="Times New Roman"/>
                <w:sz w:val="24"/>
                <w:szCs w:val="24"/>
              </w:rPr>
            </w:pPr>
          </w:p>
          <w:p w14:paraId="160D7074">
            <w:pPr>
              <w:pStyle w:val="42"/>
              <w:kinsoku w:val="0"/>
              <w:overflowPunct w:val="0"/>
              <w:spacing w:before="7" w:beforeLines="0" w:afterLines="0"/>
              <w:rPr>
                <w:rFonts w:hint="default" w:ascii="Times New Roman" w:hAnsi="Times New Roman" w:eastAsia="Times New Roman"/>
                <w:sz w:val="20"/>
                <w:szCs w:val="24"/>
              </w:rPr>
            </w:pPr>
          </w:p>
          <w:p w14:paraId="396892BE">
            <w:pPr>
              <w:pStyle w:val="42"/>
              <w:kinsoku w:val="0"/>
              <w:overflowPunct w:val="0"/>
              <w:spacing w:beforeLines="0" w:afterLines="0" w:line="297" w:lineRule="auto"/>
              <w:ind w:left="103" w:right="102"/>
              <w:rPr>
                <w:rFonts w:hint="default"/>
                <w:sz w:val="24"/>
                <w:szCs w:val="24"/>
              </w:rPr>
            </w:pPr>
            <w:r>
              <w:rPr>
                <w:rFonts w:hint="eastAsia" w:ascii="宋体" w:hAnsi="宋体" w:eastAsia="宋体"/>
                <w:spacing w:val="10"/>
                <w:sz w:val="24"/>
                <w:szCs w:val="24"/>
              </w:rPr>
              <w:t>公共场地区域保</w:t>
            </w:r>
            <w:r>
              <w:rPr>
                <w:rFonts w:hint="eastAsia" w:ascii="宋体" w:hAnsi="宋体" w:eastAsia="宋体"/>
                <w:sz w:val="24"/>
                <w:szCs w:val="24"/>
              </w:rPr>
              <w:t>洁</w:t>
            </w:r>
          </w:p>
        </w:tc>
        <w:tc>
          <w:tcPr>
            <w:tcW w:w="5840" w:type="dxa"/>
            <w:tcBorders>
              <w:top w:val="single" w:color="000000" w:sz="4" w:space="0"/>
              <w:left w:val="single" w:color="000000" w:sz="4" w:space="0"/>
              <w:bottom w:val="nil"/>
              <w:right w:val="single" w:color="000000" w:sz="4" w:space="0"/>
              <w:tl2br w:val="nil"/>
              <w:tr2bl w:val="nil"/>
            </w:tcBorders>
            <w:noWrap w:val="0"/>
            <w:vAlign w:val="top"/>
          </w:tcPr>
          <w:p w14:paraId="61B0F48A">
            <w:pPr>
              <w:pStyle w:val="42"/>
              <w:kinsoku w:val="0"/>
              <w:overflowPunct w:val="0"/>
              <w:spacing w:before="23" w:beforeLines="0" w:afterLines="0"/>
              <w:ind w:left="344"/>
              <w:rPr>
                <w:rFonts w:hint="default"/>
                <w:sz w:val="24"/>
                <w:szCs w:val="24"/>
              </w:rPr>
            </w:pPr>
            <w:r>
              <w:rPr>
                <w:rFonts w:hint="eastAsia" w:ascii="宋体" w:hAnsi="宋体" w:eastAsia="宋体"/>
                <w:sz w:val="24"/>
                <w:szCs w:val="24"/>
              </w:rPr>
              <w:t>（</w:t>
            </w:r>
            <w:r>
              <w:rPr>
                <w:rFonts w:hint="default" w:ascii="Times New Roman" w:hAnsi="Times New Roman" w:eastAsia="Times New Roman"/>
                <w:sz w:val="24"/>
                <w:szCs w:val="24"/>
              </w:rPr>
              <w:t>1</w:t>
            </w:r>
            <w:r>
              <w:rPr>
                <w:rFonts w:hint="eastAsia" w:ascii="宋体" w:hAnsi="宋体" w:eastAsia="宋体"/>
                <w:sz w:val="24"/>
                <w:szCs w:val="24"/>
              </w:rPr>
              <w:t>）每日清扫地面公共区域</w:t>
            </w:r>
            <w:r>
              <w:rPr>
                <w:rFonts w:hint="eastAsia" w:ascii="Times New Roman" w:hAnsi="Times New Roman" w:eastAsia="宋体"/>
                <w:sz w:val="24"/>
                <w:szCs w:val="24"/>
                <w:lang w:val="en-US" w:eastAsia="zh-CN"/>
              </w:rPr>
              <w:t>1</w:t>
            </w:r>
            <w:r>
              <w:rPr>
                <w:rFonts w:hint="eastAsia" w:ascii="宋体" w:hAnsi="宋体" w:eastAsia="宋体"/>
                <w:sz w:val="24"/>
                <w:szCs w:val="24"/>
              </w:rPr>
              <w:t>次，保持干净、</w:t>
            </w:r>
          </w:p>
        </w:tc>
      </w:tr>
      <w:tr w14:paraId="67475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exact"/>
        </w:trPr>
        <w:tc>
          <w:tcPr>
            <w:tcW w:w="713" w:type="dxa"/>
            <w:vMerge w:val="continue"/>
            <w:tcBorders>
              <w:top w:val="nil"/>
              <w:left w:val="single" w:color="000000" w:sz="4" w:space="0"/>
              <w:bottom w:val="nil"/>
              <w:right w:val="single" w:color="000000" w:sz="4" w:space="0"/>
              <w:tl2br w:val="nil"/>
              <w:tr2bl w:val="nil"/>
            </w:tcBorders>
            <w:noWrap w:val="0"/>
            <w:vAlign w:val="top"/>
          </w:tcPr>
          <w:p w14:paraId="33EFC893">
            <w:pPr>
              <w:pStyle w:val="42"/>
              <w:kinsoku w:val="0"/>
              <w:overflowPunct w:val="0"/>
              <w:spacing w:before="23" w:beforeLines="0" w:afterLines="0"/>
              <w:ind w:left="344"/>
              <w:rPr>
                <w:rFonts w:hint="default"/>
                <w:sz w:val="24"/>
                <w:szCs w:val="24"/>
              </w:rPr>
            </w:pPr>
          </w:p>
        </w:tc>
        <w:tc>
          <w:tcPr>
            <w:tcW w:w="1974" w:type="dxa"/>
            <w:vMerge w:val="continue"/>
            <w:tcBorders>
              <w:top w:val="nil"/>
              <w:left w:val="single" w:color="000000" w:sz="4" w:space="0"/>
              <w:bottom w:val="nil"/>
              <w:right w:val="single" w:color="000000" w:sz="4" w:space="0"/>
              <w:tl2br w:val="nil"/>
              <w:tr2bl w:val="nil"/>
            </w:tcBorders>
            <w:noWrap w:val="0"/>
            <w:vAlign w:val="top"/>
          </w:tcPr>
          <w:p w14:paraId="60274197">
            <w:pPr>
              <w:pStyle w:val="42"/>
              <w:kinsoku w:val="0"/>
              <w:overflowPunct w:val="0"/>
              <w:spacing w:before="23" w:beforeLines="0" w:afterLines="0"/>
              <w:ind w:left="344"/>
              <w:rPr>
                <w:rFonts w:hint="default"/>
                <w:sz w:val="24"/>
                <w:szCs w:val="24"/>
              </w:rPr>
            </w:pPr>
          </w:p>
        </w:tc>
        <w:tc>
          <w:tcPr>
            <w:tcW w:w="5840" w:type="dxa"/>
            <w:tcBorders>
              <w:top w:val="nil"/>
              <w:left w:val="single" w:color="000000" w:sz="4" w:space="0"/>
              <w:bottom w:val="single" w:color="000000" w:sz="4" w:space="0"/>
              <w:right w:val="single" w:color="000000" w:sz="4" w:space="0"/>
              <w:tl2br w:val="nil"/>
              <w:tr2bl w:val="nil"/>
            </w:tcBorders>
            <w:noWrap w:val="0"/>
            <w:vAlign w:val="top"/>
          </w:tcPr>
          <w:p w14:paraId="68CB8C01">
            <w:pPr>
              <w:pStyle w:val="42"/>
              <w:kinsoku w:val="0"/>
              <w:overflowPunct w:val="0"/>
              <w:spacing w:before="32" w:beforeLines="0" w:afterLines="0"/>
              <w:ind w:left="104"/>
              <w:rPr>
                <w:rFonts w:hint="default"/>
                <w:sz w:val="24"/>
                <w:szCs w:val="24"/>
              </w:rPr>
            </w:pPr>
            <w:r>
              <w:rPr>
                <w:rFonts w:hint="eastAsia" w:ascii="宋体" w:hAnsi="宋体" w:eastAsia="宋体"/>
                <w:sz w:val="24"/>
                <w:szCs w:val="24"/>
              </w:rPr>
              <w:t>无杂物、无积水。</w:t>
            </w:r>
          </w:p>
        </w:tc>
      </w:tr>
      <w:tr w14:paraId="31745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exact"/>
        </w:trPr>
        <w:tc>
          <w:tcPr>
            <w:tcW w:w="713" w:type="dxa"/>
            <w:vMerge w:val="continue"/>
            <w:tcBorders>
              <w:top w:val="nil"/>
              <w:left w:val="single" w:color="000000" w:sz="4" w:space="0"/>
              <w:bottom w:val="nil"/>
              <w:right w:val="single" w:color="000000" w:sz="4" w:space="0"/>
              <w:tl2br w:val="nil"/>
              <w:tr2bl w:val="nil"/>
            </w:tcBorders>
            <w:noWrap w:val="0"/>
            <w:vAlign w:val="top"/>
          </w:tcPr>
          <w:p w14:paraId="1F6D274A">
            <w:pPr>
              <w:pStyle w:val="42"/>
              <w:kinsoku w:val="0"/>
              <w:overflowPunct w:val="0"/>
              <w:spacing w:before="32" w:beforeLines="0" w:afterLines="0"/>
              <w:ind w:left="104"/>
              <w:rPr>
                <w:rFonts w:hint="default"/>
                <w:sz w:val="24"/>
                <w:szCs w:val="24"/>
              </w:rPr>
            </w:pPr>
          </w:p>
        </w:tc>
        <w:tc>
          <w:tcPr>
            <w:tcW w:w="1974" w:type="dxa"/>
            <w:vMerge w:val="continue"/>
            <w:tcBorders>
              <w:top w:val="nil"/>
              <w:left w:val="single" w:color="000000" w:sz="4" w:space="0"/>
              <w:bottom w:val="nil"/>
              <w:right w:val="single" w:color="000000" w:sz="4" w:space="0"/>
              <w:tl2br w:val="nil"/>
              <w:tr2bl w:val="nil"/>
            </w:tcBorders>
            <w:noWrap w:val="0"/>
            <w:vAlign w:val="top"/>
          </w:tcPr>
          <w:p w14:paraId="69890DE0">
            <w:pPr>
              <w:pStyle w:val="42"/>
              <w:kinsoku w:val="0"/>
              <w:overflowPunct w:val="0"/>
              <w:spacing w:before="32" w:beforeLines="0" w:afterLines="0"/>
              <w:ind w:left="104"/>
              <w:rPr>
                <w:rFonts w:hint="default"/>
                <w:sz w:val="24"/>
                <w:szCs w:val="24"/>
              </w:rPr>
            </w:pPr>
          </w:p>
        </w:tc>
        <w:tc>
          <w:tcPr>
            <w:tcW w:w="58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10B6331">
            <w:pPr>
              <w:pStyle w:val="42"/>
              <w:kinsoku w:val="0"/>
              <w:overflowPunct w:val="0"/>
              <w:spacing w:before="24" w:beforeLines="0" w:afterLines="0" w:line="336" w:lineRule="auto"/>
              <w:ind w:left="104" w:right="264" w:firstLine="240"/>
              <w:rPr>
                <w:rFonts w:hint="default"/>
                <w:sz w:val="24"/>
                <w:szCs w:val="24"/>
              </w:rPr>
            </w:pPr>
            <w:r>
              <w:rPr>
                <w:rFonts w:hint="eastAsia" w:ascii="宋体" w:hAnsi="宋体" w:eastAsia="宋体"/>
                <w:sz w:val="24"/>
                <w:szCs w:val="24"/>
              </w:rPr>
              <w:t>（</w:t>
            </w:r>
            <w:r>
              <w:rPr>
                <w:rFonts w:hint="default" w:ascii="Times New Roman" w:hAnsi="Times New Roman" w:eastAsia="Times New Roman"/>
                <w:sz w:val="24"/>
                <w:szCs w:val="24"/>
              </w:rPr>
              <w:t>2</w:t>
            </w:r>
            <w:r>
              <w:rPr>
                <w:rFonts w:hint="eastAsia" w:ascii="宋体" w:hAnsi="宋体" w:eastAsia="宋体"/>
                <w:sz w:val="24"/>
                <w:szCs w:val="24"/>
              </w:rPr>
              <w:t>）雪、冰冻等恶劣天气时及时清扫地面，并采取安全防护措施。</w:t>
            </w:r>
          </w:p>
        </w:tc>
      </w:tr>
      <w:tr w14:paraId="41522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exact"/>
        </w:trPr>
        <w:tc>
          <w:tcPr>
            <w:tcW w:w="713" w:type="dxa"/>
            <w:vMerge w:val="continue"/>
            <w:tcBorders>
              <w:top w:val="nil"/>
              <w:left w:val="single" w:color="000000" w:sz="4" w:space="0"/>
              <w:bottom w:val="nil"/>
              <w:right w:val="single" w:color="000000" w:sz="4" w:space="0"/>
              <w:tl2br w:val="nil"/>
              <w:tr2bl w:val="nil"/>
            </w:tcBorders>
            <w:noWrap w:val="0"/>
            <w:vAlign w:val="top"/>
          </w:tcPr>
          <w:p w14:paraId="0C37449A">
            <w:pPr>
              <w:pStyle w:val="42"/>
              <w:kinsoku w:val="0"/>
              <w:overflowPunct w:val="0"/>
              <w:spacing w:before="24" w:beforeLines="0" w:afterLines="0" w:line="336" w:lineRule="auto"/>
              <w:ind w:left="104" w:right="264" w:firstLine="240"/>
              <w:rPr>
                <w:rFonts w:hint="default"/>
                <w:sz w:val="24"/>
                <w:szCs w:val="24"/>
              </w:rPr>
            </w:pPr>
          </w:p>
        </w:tc>
        <w:tc>
          <w:tcPr>
            <w:tcW w:w="1974" w:type="dxa"/>
            <w:vMerge w:val="continue"/>
            <w:tcBorders>
              <w:top w:val="nil"/>
              <w:left w:val="single" w:color="000000" w:sz="4" w:space="0"/>
              <w:bottom w:val="nil"/>
              <w:right w:val="single" w:color="000000" w:sz="4" w:space="0"/>
              <w:tl2br w:val="nil"/>
              <w:tr2bl w:val="nil"/>
            </w:tcBorders>
            <w:noWrap w:val="0"/>
            <w:vAlign w:val="top"/>
          </w:tcPr>
          <w:p w14:paraId="7494E010">
            <w:pPr>
              <w:pStyle w:val="42"/>
              <w:kinsoku w:val="0"/>
              <w:overflowPunct w:val="0"/>
              <w:spacing w:before="24" w:beforeLines="0" w:afterLines="0" w:line="336" w:lineRule="auto"/>
              <w:ind w:left="104" w:right="264" w:firstLine="240"/>
              <w:rPr>
                <w:rFonts w:hint="default"/>
                <w:sz w:val="24"/>
                <w:szCs w:val="24"/>
              </w:rPr>
            </w:pPr>
          </w:p>
        </w:tc>
        <w:tc>
          <w:tcPr>
            <w:tcW w:w="58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705EFDE">
            <w:pPr>
              <w:pStyle w:val="42"/>
              <w:kinsoku w:val="0"/>
              <w:overflowPunct w:val="0"/>
              <w:spacing w:before="24" w:beforeLines="0" w:afterLines="0"/>
              <w:ind w:left="104" w:firstLine="240"/>
              <w:rPr>
                <w:rFonts w:hint="eastAsia" w:ascii="宋体" w:hAnsi="宋体" w:eastAsia="宋体"/>
                <w:sz w:val="24"/>
                <w:szCs w:val="24"/>
              </w:rPr>
            </w:pPr>
            <w:r>
              <w:rPr>
                <w:rFonts w:hint="eastAsia" w:ascii="宋体" w:hAnsi="宋体" w:eastAsia="宋体"/>
                <w:sz w:val="24"/>
                <w:szCs w:val="24"/>
              </w:rPr>
              <w:t>（</w:t>
            </w:r>
            <w:r>
              <w:rPr>
                <w:rFonts w:hint="default" w:ascii="Times New Roman" w:hAnsi="Times New Roman" w:eastAsia="Times New Roman"/>
                <w:sz w:val="24"/>
                <w:szCs w:val="24"/>
              </w:rPr>
              <w:t>3</w:t>
            </w:r>
            <w:r>
              <w:rPr>
                <w:rFonts w:hint="eastAsia" w:ascii="宋体" w:hAnsi="宋体" w:eastAsia="宋体"/>
                <w:sz w:val="24"/>
                <w:szCs w:val="24"/>
              </w:rPr>
              <w:t>）各种路标、宣传栏等保持干净，每周至少</w:t>
            </w:r>
          </w:p>
          <w:p w14:paraId="4A6BF6FD">
            <w:pPr>
              <w:pStyle w:val="42"/>
              <w:kinsoku w:val="0"/>
              <w:overflowPunct w:val="0"/>
              <w:spacing w:before="133" w:beforeLines="0" w:afterLines="0"/>
              <w:ind w:left="104"/>
              <w:rPr>
                <w:rFonts w:hint="default"/>
                <w:sz w:val="24"/>
                <w:szCs w:val="24"/>
              </w:rPr>
            </w:pPr>
            <w:r>
              <w:rPr>
                <w:rFonts w:hint="eastAsia" w:ascii="宋体" w:hAnsi="宋体" w:eastAsia="宋体"/>
                <w:sz w:val="24"/>
                <w:szCs w:val="24"/>
              </w:rPr>
              <w:t>开展</w:t>
            </w:r>
            <w:r>
              <w:rPr>
                <w:rFonts w:hint="default" w:ascii="Times New Roman" w:hAnsi="Times New Roman" w:eastAsia="Times New Roman"/>
                <w:sz w:val="24"/>
                <w:szCs w:val="24"/>
              </w:rPr>
              <w:t>1</w:t>
            </w:r>
            <w:r>
              <w:rPr>
                <w:rFonts w:hint="eastAsia" w:ascii="宋体" w:hAnsi="宋体" w:eastAsia="宋体"/>
                <w:sz w:val="24"/>
                <w:szCs w:val="24"/>
              </w:rPr>
              <w:t>次清洁作业。</w:t>
            </w:r>
          </w:p>
        </w:tc>
      </w:tr>
      <w:tr w14:paraId="29B8F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exact"/>
        </w:trPr>
        <w:tc>
          <w:tcPr>
            <w:tcW w:w="713" w:type="dxa"/>
            <w:vMerge w:val="continue"/>
            <w:tcBorders>
              <w:top w:val="nil"/>
              <w:left w:val="single" w:color="000000" w:sz="4" w:space="0"/>
              <w:bottom w:val="single" w:color="000000" w:sz="4" w:space="0"/>
              <w:right w:val="single" w:color="000000" w:sz="4" w:space="0"/>
              <w:tl2br w:val="nil"/>
              <w:tr2bl w:val="nil"/>
            </w:tcBorders>
            <w:noWrap w:val="0"/>
            <w:vAlign w:val="top"/>
          </w:tcPr>
          <w:p w14:paraId="1323797E">
            <w:pPr>
              <w:pStyle w:val="42"/>
              <w:kinsoku w:val="0"/>
              <w:overflowPunct w:val="0"/>
              <w:spacing w:before="32" w:beforeLines="0" w:afterLines="0"/>
              <w:ind w:left="104"/>
              <w:rPr>
                <w:rFonts w:hint="default"/>
                <w:sz w:val="24"/>
                <w:szCs w:val="24"/>
              </w:rPr>
            </w:pPr>
          </w:p>
        </w:tc>
        <w:tc>
          <w:tcPr>
            <w:tcW w:w="1974" w:type="dxa"/>
            <w:vMerge w:val="continue"/>
            <w:tcBorders>
              <w:top w:val="nil"/>
              <w:left w:val="single" w:color="000000" w:sz="4" w:space="0"/>
              <w:bottom w:val="single" w:color="000000" w:sz="4" w:space="0"/>
              <w:right w:val="single" w:color="000000" w:sz="4" w:space="0"/>
              <w:tl2br w:val="nil"/>
              <w:tr2bl w:val="nil"/>
            </w:tcBorders>
            <w:noWrap w:val="0"/>
            <w:vAlign w:val="top"/>
          </w:tcPr>
          <w:p w14:paraId="5795589F">
            <w:pPr>
              <w:pStyle w:val="42"/>
              <w:kinsoku w:val="0"/>
              <w:overflowPunct w:val="0"/>
              <w:spacing w:before="32" w:beforeLines="0" w:afterLines="0"/>
              <w:ind w:left="104"/>
              <w:rPr>
                <w:rFonts w:hint="default"/>
                <w:sz w:val="24"/>
                <w:szCs w:val="24"/>
              </w:rPr>
            </w:pPr>
          </w:p>
        </w:tc>
        <w:tc>
          <w:tcPr>
            <w:tcW w:w="5840" w:type="dxa"/>
            <w:tcBorders>
              <w:top w:val="nil"/>
              <w:left w:val="single" w:color="000000" w:sz="4" w:space="0"/>
              <w:bottom w:val="single" w:color="000000" w:sz="4" w:space="0"/>
              <w:right w:val="single" w:color="000000" w:sz="4" w:space="0"/>
              <w:tl2br w:val="nil"/>
              <w:tr2bl w:val="nil"/>
            </w:tcBorders>
            <w:noWrap w:val="0"/>
            <w:vAlign w:val="top"/>
          </w:tcPr>
          <w:p w14:paraId="279B5EF5">
            <w:pPr>
              <w:pStyle w:val="42"/>
              <w:kinsoku w:val="0"/>
              <w:overflowPunct w:val="0"/>
              <w:spacing w:before="23" w:beforeLines="0" w:afterLines="0"/>
              <w:ind w:firstLine="480" w:firstLineChars="200"/>
              <w:rPr>
                <w:rFonts w:hint="eastAsia"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4</w:t>
            </w:r>
            <w:r>
              <w:rPr>
                <w:rFonts w:hint="eastAsia" w:ascii="宋体" w:hAnsi="宋体" w:eastAsia="宋体"/>
                <w:sz w:val="24"/>
                <w:szCs w:val="24"/>
              </w:rPr>
              <w:t>）平台、屋顶、天沟保持干净，有杂物及时</w:t>
            </w:r>
          </w:p>
          <w:p w14:paraId="6334EC59">
            <w:pPr>
              <w:pStyle w:val="42"/>
              <w:kinsoku w:val="0"/>
              <w:overflowPunct w:val="0"/>
              <w:spacing w:beforeLines="0" w:afterLines="0" w:line="326" w:lineRule="exact"/>
              <w:ind w:left="104"/>
              <w:rPr>
                <w:rFonts w:hint="eastAsia" w:ascii="宋体" w:hAnsi="宋体" w:eastAsia="宋体"/>
                <w:sz w:val="24"/>
                <w:szCs w:val="24"/>
              </w:rPr>
            </w:pPr>
            <w:r>
              <w:rPr>
                <w:rFonts w:hint="eastAsia" w:ascii="宋体" w:hAnsi="宋体" w:eastAsia="宋体"/>
                <w:sz w:val="24"/>
                <w:szCs w:val="24"/>
              </w:rPr>
              <w:t>清扫，每月至少开展</w:t>
            </w:r>
            <w:r>
              <w:rPr>
                <w:rFonts w:hint="default" w:ascii="Times New Roman" w:hAnsi="Times New Roman" w:eastAsia="Times New Roman"/>
                <w:sz w:val="24"/>
                <w:szCs w:val="24"/>
              </w:rPr>
              <w:t>1</w:t>
            </w:r>
            <w:r>
              <w:rPr>
                <w:rFonts w:hint="eastAsia" w:ascii="宋体" w:hAnsi="宋体" w:eastAsia="宋体"/>
                <w:sz w:val="24"/>
                <w:szCs w:val="24"/>
              </w:rPr>
              <w:t>次清洁作业。</w:t>
            </w:r>
          </w:p>
        </w:tc>
      </w:tr>
      <w:tr w14:paraId="78BDF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8" w:hRule="exact"/>
        </w:trPr>
        <w:tc>
          <w:tcPr>
            <w:tcW w:w="71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7E93DB1C">
            <w:pPr>
              <w:pStyle w:val="42"/>
              <w:kinsoku w:val="0"/>
              <w:overflowPunct w:val="0"/>
              <w:spacing w:beforeLines="0" w:afterLines="0"/>
              <w:rPr>
                <w:rFonts w:hint="default" w:ascii="Times New Roman" w:hAnsi="Times New Roman" w:eastAsia="Times New Roman"/>
                <w:sz w:val="24"/>
                <w:szCs w:val="24"/>
              </w:rPr>
            </w:pPr>
          </w:p>
          <w:p w14:paraId="0A0827DD">
            <w:pPr>
              <w:pStyle w:val="42"/>
              <w:kinsoku w:val="0"/>
              <w:overflowPunct w:val="0"/>
              <w:spacing w:beforeLines="0" w:afterLines="0"/>
              <w:rPr>
                <w:rFonts w:hint="default" w:ascii="Times New Roman" w:hAnsi="Times New Roman" w:eastAsia="Times New Roman"/>
                <w:sz w:val="24"/>
                <w:szCs w:val="24"/>
              </w:rPr>
            </w:pPr>
          </w:p>
          <w:p w14:paraId="3DCC8284">
            <w:pPr>
              <w:pStyle w:val="42"/>
              <w:kinsoku w:val="0"/>
              <w:overflowPunct w:val="0"/>
              <w:spacing w:before="198" w:beforeLines="0" w:afterLines="0"/>
              <w:jc w:val="center"/>
              <w:rPr>
                <w:rFonts w:hint="default"/>
                <w:sz w:val="24"/>
                <w:szCs w:val="24"/>
              </w:rPr>
            </w:pPr>
            <w:r>
              <w:rPr>
                <w:rFonts w:hint="default" w:ascii="Times New Roman" w:hAnsi="Times New Roman" w:eastAsia="Times New Roman"/>
                <w:sz w:val="24"/>
                <w:szCs w:val="24"/>
              </w:rPr>
              <w:t>4</w:t>
            </w:r>
          </w:p>
        </w:tc>
        <w:tc>
          <w:tcPr>
            <w:tcW w:w="197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644E413F">
            <w:pPr>
              <w:pStyle w:val="42"/>
              <w:kinsoku w:val="0"/>
              <w:overflowPunct w:val="0"/>
              <w:spacing w:beforeLines="0" w:afterLines="0"/>
              <w:rPr>
                <w:rFonts w:hint="default" w:ascii="Times New Roman" w:hAnsi="Times New Roman" w:eastAsia="Times New Roman"/>
                <w:sz w:val="24"/>
                <w:szCs w:val="24"/>
              </w:rPr>
            </w:pPr>
          </w:p>
          <w:p w14:paraId="77F652D0">
            <w:pPr>
              <w:pStyle w:val="42"/>
              <w:kinsoku w:val="0"/>
              <w:overflowPunct w:val="0"/>
              <w:spacing w:before="11" w:beforeLines="0" w:afterLines="0"/>
              <w:rPr>
                <w:rFonts w:hint="default" w:ascii="Times New Roman" w:hAnsi="Times New Roman" w:eastAsia="Times New Roman"/>
                <w:sz w:val="35"/>
                <w:szCs w:val="24"/>
              </w:rPr>
            </w:pPr>
          </w:p>
          <w:p w14:paraId="0D72BBF9">
            <w:pPr>
              <w:pStyle w:val="42"/>
              <w:kinsoku w:val="0"/>
              <w:overflowPunct w:val="0"/>
              <w:spacing w:beforeLines="0" w:afterLines="0"/>
              <w:ind w:left="103"/>
              <w:rPr>
                <w:rFonts w:hint="default"/>
                <w:sz w:val="24"/>
                <w:szCs w:val="24"/>
              </w:rPr>
            </w:pPr>
            <w:r>
              <w:rPr>
                <w:rFonts w:hint="eastAsia" w:ascii="宋体" w:hAnsi="宋体" w:eastAsia="宋体"/>
                <w:sz w:val="24"/>
                <w:szCs w:val="24"/>
              </w:rPr>
              <w:t>垃圾处理</w:t>
            </w:r>
          </w:p>
        </w:tc>
        <w:tc>
          <w:tcPr>
            <w:tcW w:w="58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4DD9776">
            <w:pPr>
              <w:pStyle w:val="42"/>
              <w:kinsoku w:val="0"/>
              <w:overflowPunct w:val="0"/>
              <w:spacing w:before="24" w:beforeLines="0" w:afterLines="0" w:line="316" w:lineRule="auto"/>
              <w:ind w:left="104" w:right="204" w:firstLine="240"/>
              <w:jc w:val="both"/>
              <w:rPr>
                <w:rFonts w:hint="default"/>
                <w:sz w:val="24"/>
                <w:szCs w:val="24"/>
              </w:rPr>
            </w:pPr>
            <w:r>
              <w:rPr>
                <w:rFonts w:hint="eastAsia" w:ascii="宋体" w:hAnsi="宋体" w:eastAsia="宋体"/>
                <w:sz w:val="24"/>
                <w:szCs w:val="24"/>
              </w:rPr>
              <w:t>（</w:t>
            </w:r>
            <w:r>
              <w:rPr>
                <w:rFonts w:hint="default" w:ascii="Times New Roman" w:hAnsi="Times New Roman" w:eastAsia="Times New Roman"/>
                <w:sz w:val="24"/>
                <w:szCs w:val="24"/>
              </w:rPr>
              <w:t>1</w:t>
            </w:r>
            <w:r>
              <w:rPr>
                <w:rFonts w:hint="eastAsia" w:ascii="宋体" w:hAnsi="宋体" w:eastAsia="宋体"/>
                <w:sz w:val="24"/>
                <w:szCs w:val="24"/>
              </w:rPr>
              <w:t>）在指定位置摆放分类垃圾桶，并在显著处张贴垃圾分类标识。分类垃圾桶和垃圾分类标识根据所在城市的要求设置。</w:t>
            </w:r>
          </w:p>
        </w:tc>
      </w:tr>
      <w:tr w14:paraId="6FB22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exact"/>
        </w:trPr>
        <w:tc>
          <w:tcPr>
            <w:tcW w:w="7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3233E212">
            <w:pPr>
              <w:pStyle w:val="42"/>
              <w:kinsoku w:val="0"/>
              <w:overflowPunct w:val="0"/>
              <w:spacing w:before="24" w:beforeLines="0" w:afterLines="0" w:line="316" w:lineRule="auto"/>
              <w:ind w:left="104" w:right="204" w:firstLine="240"/>
              <w:jc w:val="both"/>
              <w:rPr>
                <w:rFonts w:hint="default"/>
                <w:sz w:val="24"/>
                <w:szCs w:val="24"/>
              </w:rPr>
            </w:pPr>
          </w:p>
        </w:tc>
        <w:tc>
          <w:tcPr>
            <w:tcW w:w="19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7FCA85A0">
            <w:pPr>
              <w:pStyle w:val="42"/>
              <w:kinsoku w:val="0"/>
              <w:overflowPunct w:val="0"/>
              <w:spacing w:before="24" w:beforeLines="0" w:afterLines="0" w:line="316" w:lineRule="auto"/>
              <w:ind w:left="104" w:right="204" w:firstLine="240"/>
              <w:jc w:val="both"/>
              <w:rPr>
                <w:rFonts w:hint="default"/>
                <w:sz w:val="24"/>
                <w:szCs w:val="24"/>
              </w:rPr>
            </w:pPr>
          </w:p>
        </w:tc>
        <w:tc>
          <w:tcPr>
            <w:tcW w:w="58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2E7A085">
            <w:pPr>
              <w:pStyle w:val="42"/>
              <w:kinsoku w:val="0"/>
              <w:overflowPunct w:val="0"/>
              <w:spacing w:before="24" w:beforeLines="0" w:afterLines="0"/>
              <w:ind w:left="344"/>
              <w:rPr>
                <w:rFonts w:hint="default"/>
                <w:sz w:val="24"/>
                <w:szCs w:val="24"/>
              </w:rPr>
            </w:pPr>
            <w:r>
              <w:rPr>
                <w:rFonts w:hint="eastAsia" w:ascii="宋体" w:hAnsi="宋体" w:eastAsia="宋体"/>
                <w:sz w:val="24"/>
                <w:szCs w:val="24"/>
              </w:rPr>
              <w:t>（</w:t>
            </w:r>
            <w:r>
              <w:rPr>
                <w:rFonts w:hint="default" w:ascii="Times New Roman" w:hAnsi="Times New Roman" w:eastAsia="Times New Roman"/>
                <w:sz w:val="24"/>
                <w:szCs w:val="24"/>
              </w:rPr>
              <w:t>2</w:t>
            </w:r>
            <w:r>
              <w:rPr>
                <w:rFonts w:hint="eastAsia" w:ascii="宋体" w:hAnsi="宋体" w:eastAsia="宋体"/>
                <w:sz w:val="24"/>
                <w:szCs w:val="24"/>
              </w:rPr>
              <w:t>）桶身表面干净无污渍，每日开展至少</w:t>
            </w:r>
            <w:r>
              <w:rPr>
                <w:rFonts w:hint="eastAsia" w:ascii="Times New Roman" w:hAnsi="Times New Roman" w:eastAsia="宋体"/>
                <w:sz w:val="24"/>
                <w:szCs w:val="24"/>
                <w:lang w:val="en-US" w:eastAsia="zh-CN"/>
              </w:rPr>
              <w:t>1</w:t>
            </w:r>
            <w:r>
              <w:rPr>
                <w:rFonts w:hint="eastAsia" w:ascii="宋体" w:hAnsi="宋体" w:eastAsia="宋体"/>
                <w:sz w:val="24"/>
                <w:szCs w:val="24"/>
              </w:rPr>
              <w:t>次</w:t>
            </w:r>
          </w:p>
        </w:tc>
      </w:tr>
    </w:tbl>
    <w:p w14:paraId="35FB5F44">
      <w:pPr>
        <w:spacing w:beforeLines="0" w:afterLines="0"/>
        <w:rPr>
          <w:rFonts w:hint="default"/>
          <w:sz w:val="24"/>
          <w:szCs w:val="24"/>
        </w:rPr>
        <w:sectPr>
          <w:pgSz w:w="11910" w:h="16840"/>
          <w:pgMar w:top="980" w:right="1580" w:bottom="880" w:left="1580" w:header="746" w:footer="699" w:gutter="0"/>
          <w:lnNumType w:countBy="0" w:distance="360"/>
          <w:cols w:space="720" w:num="1"/>
        </w:sectPr>
      </w:pPr>
    </w:p>
    <w:p w14:paraId="7A49AF0C">
      <w:pPr>
        <w:pStyle w:val="8"/>
        <w:kinsoku w:val="0"/>
        <w:overflowPunct w:val="0"/>
        <w:spacing w:beforeLines="0" w:afterLines="0"/>
        <w:ind w:left="0"/>
        <w:rPr>
          <w:rFonts w:hint="default" w:ascii="Times New Roman" w:hAnsi="Times New Roman" w:eastAsia="Times New Roman"/>
          <w:sz w:val="20"/>
          <w:szCs w:val="24"/>
        </w:rPr>
      </w:pPr>
    </w:p>
    <w:p w14:paraId="45186385">
      <w:pPr>
        <w:pStyle w:val="8"/>
        <w:kinsoku w:val="0"/>
        <w:overflowPunct w:val="0"/>
        <w:spacing w:before="3" w:beforeLines="0" w:afterLines="0"/>
        <w:ind w:left="0"/>
        <w:rPr>
          <w:rFonts w:hint="default" w:ascii="Times New Roman" w:hAnsi="Times New Roman" w:eastAsia="Times New Roman"/>
          <w:sz w:val="19"/>
          <w:szCs w:val="24"/>
        </w:rPr>
      </w:pPr>
    </w:p>
    <w:tbl>
      <w:tblPr>
        <w:tblStyle w:val="19"/>
        <w:tblW w:w="0" w:type="auto"/>
        <w:tblInd w:w="2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3"/>
        <w:gridCol w:w="1974"/>
        <w:gridCol w:w="5840"/>
      </w:tblGrid>
      <w:tr w14:paraId="252D9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exact"/>
        </w:trPr>
        <w:tc>
          <w:tcPr>
            <w:tcW w:w="71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28374E0F">
            <w:pPr>
              <w:spacing w:beforeLines="0" w:afterLines="0"/>
              <w:rPr>
                <w:rFonts w:hint="default"/>
                <w:sz w:val="24"/>
                <w:szCs w:val="24"/>
              </w:rPr>
            </w:pPr>
          </w:p>
        </w:tc>
        <w:tc>
          <w:tcPr>
            <w:tcW w:w="197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2A5944DD">
            <w:pPr>
              <w:spacing w:beforeLines="0" w:afterLines="0"/>
              <w:rPr>
                <w:rFonts w:hint="default"/>
                <w:sz w:val="24"/>
                <w:szCs w:val="24"/>
              </w:rPr>
            </w:pPr>
          </w:p>
        </w:tc>
        <w:tc>
          <w:tcPr>
            <w:tcW w:w="58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F076A4A">
            <w:pPr>
              <w:pStyle w:val="42"/>
              <w:kinsoku w:val="0"/>
              <w:overflowPunct w:val="0"/>
              <w:spacing w:beforeLines="0" w:afterLines="0" w:line="277" w:lineRule="exact"/>
              <w:ind w:left="104"/>
              <w:rPr>
                <w:rFonts w:hint="default"/>
                <w:sz w:val="24"/>
                <w:szCs w:val="24"/>
              </w:rPr>
            </w:pPr>
            <w:r>
              <w:rPr>
                <w:rFonts w:hint="eastAsia" w:ascii="宋体" w:hAnsi="宋体" w:eastAsia="宋体"/>
                <w:sz w:val="24"/>
                <w:szCs w:val="24"/>
              </w:rPr>
              <w:t>清洁作业。</w:t>
            </w:r>
          </w:p>
        </w:tc>
      </w:tr>
      <w:tr w14:paraId="5090E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exact"/>
        </w:trPr>
        <w:tc>
          <w:tcPr>
            <w:tcW w:w="7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67DF1ACA">
            <w:pPr>
              <w:pStyle w:val="42"/>
              <w:kinsoku w:val="0"/>
              <w:overflowPunct w:val="0"/>
              <w:spacing w:beforeLines="0" w:afterLines="0" w:line="277" w:lineRule="exact"/>
              <w:ind w:left="104"/>
              <w:rPr>
                <w:rFonts w:hint="default"/>
                <w:sz w:val="24"/>
                <w:szCs w:val="24"/>
              </w:rPr>
            </w:pPr>
          </w:p>
        </w:tc>
        <w:tc>
          <w:tcPr>
            <w:tcW w:w="19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07E5E3D6">
            <w:pPr>
              <w:pStyle w:val="42"/>
              <w:kinsoku w:val="0"/>
              <w:overflowPunct w:val="0"/>
              <w:spacing w:beforeLines="0" w:afterLines="0" w:line="277" w:lineRule="exact"/>
              <w:ind w:left="104"/>
              <w:rPr>
                <w:rFonts w:hint="default"/>
                <w:sz w:val="24"/>
                <w:szCs w:val="24"/>
              </w:rPr>
            </w:pPr>
          </w:p>
        </w:tc>
        <w:tc>
          <w:tcPr>
            <w:tcW w:w="58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E167229">
            <w:pPr>
              <w:pStyle w:val="42"/>
              <w:kinsoku w:val="0"/>
              <w:overflowPunct w:val="0"/>
              <w:spacing w:before="24" w:beforeLines="0" w:afterLines="0"/>
              <w:ind w:left="104" w:firstLine="240"/>
              <w:rPr>
                <w:rFonts w:hint="eastAsia" w:ascii="宋体" w:hAnsi="宋体" w:eastAsia="宋体"/>
                <w:sz w:val="24"/>
                <w:szCs w:val="24"/>
              </w:rPr>
            </w:pPr>
            <w:r>
              <w:rPr>
                <w:rFonts w:hint="eastAsia" w:ascii="宋体" w:hAnsi="宋体" w:eastAsia="宋体"/>
                <w:sz w:val="24"/>
                <w:szCs w:val="24"/>
              </w:rPr>
              <w:t>（</w:t>
            </w:r>
            <w:r>
              <w:rPr>
                <w:rFonts w:hint="default" w:ascii="Times New Roman" w:hAnsi="Times New Roman" w:eastAsia="Times New Roman"/>
                <w:sz w:val="24"/>
                <w:szCs w:val="24"/>
              </w:rPr>
              <w:t>3</w:t>
            </w:r>
            <w:r>
              <w:rPr>
                <w:rFonts w:hint="eastAsia" w:ascii="宋体" w:hAnsi="宋体" w:eastAsia="宋体"/>
                <w:sz w:val="24"/>
                <w:szCs w:val="24"/>
              </w:rPr>
              <w:t>）垃圾中转房保持整洁，无明显异味，每日</w:t>
            </w:r>
          </w:p>
          <w:p w14:paraId="4DC7247C">
            <w:pPr>
              <w:pStyle w:val="42"/>
              <w:kinsoku w:val="0"/>
              <w:overflowPunct w:val="0"/>
              <w:spacing w:before="133" w:beforeLines="0" w:afterLines="0"/>
              <w:ind w:left="104"/>
              <w:rPr>
                <w:rFonts w:hint="default"/>
                <w:sz w:val="24"/>
                <w:szCs w:val="24"/>
              </w:rPr>
            </w:pPr>
            <w:r>
              <w:rPr>
                <w:rFonts w:hint="eastAsia" w:ascii="宋体" w:hAnsi="宋体" w:eastAsia="宋体"/>
                <w:sz w:val="24"/>
                <w:szCs w:val="24"/>
              </w:rPr>
              <w:t>至少开展</w:t>
            </w:r>
            <w:r>
              <w:rPr>
                <w:rFonts w:hint="default" w:ascii="Times New Roman" w:hAnsi="Times New Roman" w:eastAsia="Times New Roman"/>
                <w:sz w:val="24"/>
                <w:szCs w:val="24"/>
              </w:rPr>
              <w:t>1</w:t>
            </w:r>
            <w:r>
              <w:rPr>
                <w:rFonts w:hint="eastAsia" w:ascii="宋体" w:hAnsi="宋体" w:eastAsia="宋体"/>
                <w:sz w:val="24"/>
                <w:szCs w:val="24"/>
              </w:rPr>
              <w:t>次清洁作业。</w:t>
            </w:r>
          </w:p>
        </w:tc>
      </w:tr>
      <w:tr w14:paraId="49941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exact"/>
        </w:trPr>
        <w:tc>
          <w:tcPr>
            <w:tcW w:w="7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52A7C42E">
            <w:pPr>
              <w:pStyle w:val="42"/>
              <w:kinsoku w:val="0"/>
              <w:overflowPunct w:val="0"/>
              <w:spacing w:before="133" w:beforeLines="0" w:afterLines="0"/>
              <w:ind w:left="104"/>
              <w:rPr>
                <w:rFonts w:hint="default"/>
                <w:sz w:val="24"/>
                <w:szCs w:val="24"/>
              </w:rPr>
            </w:pPr>
          </w:p>
        </w:tc>
        <w:tc>
          <w:tcPr>
            <w:tcW w:w="19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3F30FA3F">
            <w:pPr>
              <w:pStyle w:val="42"/>
              <w:kinsoku w:val="0"/>
              <w:overflowPunct w:val="0"/>
              <w:spacing w:before="133" w:beforeLines="0" w:afterLines="0"/>
              <w:ind w:left="104"/>
              <w:rPr>
                <w:rFonts w:hint="default"/>
                <w:sz w:val="24"/>
                <w:szCs w:val="24"/>
              </w:rPr>
            </w:pPr>
          </w:p>
        </w:tc>
        <w:tc>
          <w:tcPr>
            <w:tcW w:w="58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A7FD0A1">
            <w:pPr>
              <w:pStyle w:val="42"/>
              <w:kinsoku w:val="0"/>
              <w:overflowPunct w:val="0"/>
              <w:spacing w:before="24" w:beforeLines="0" w:afterLines="0"/>
              <w:ind w:left="104" w:firstLine="240"/>
              <w:rPr>
                <w:rFonts w:hint="eastAsia" w:ascii="宋体" w:hAnsi="宋体" w:eastAsia="宋体"/>
                <w:sz w:val="24"/>
                <w:szCs w:val="24"/>
              </w:rPr>
            </w:pPr>
            <w:r>
              <w:rPr>
                <w:rFonts w:hint="eastAsia" w:ascii="宋体" w:hAnsi="宋体" w:eastAsia="宋体"/>
                <w:sz w:val="24"/>
                <w:szCs w:val="24"/>
              </w:rPr>
              <w:t>（</w:t>
            </w:r>
            <w:r>
              <w:rPr>
                <w:rFonts w:hint="default" w:ascii="Times New Roman" w:hAnsi="Times New Roman" w:eastAsia="Times New Roman"/>
                <w:sz w:val="24"/>
                <w:szCs w:val="24"/>
              </w:rPr>
              <w:t>4</w:t>
            </w:r>
            <w:r>
              <w:rPr>
                <w:rFonts w:hint="eastAsia" w:ascii="宋体" w:hAnsi="宋体" w:eastAsia="宋体"/>
                <w:sz w:val="24"/>
                <w:szCs w:val="24"/>
              </w:rPr>
              <w:t>）化粪池清掏，无明显异味，每半年至少开</w:t>
            </w:r>
          </w:p>
          <w:p w14:paraId="06F5FB63">
            <w:pPr>
              <w:pStyle w:val="42"/>
              <w:kinsoku w:val="0"/>
              <w:overflowPunct w:val="0"/>
              <w:spacing w:before="133" w:beforeLines="0" w:afterLines="0"/>
              <w:ind w:left="104"/>
              <w:rPr>
                <w:rFonts w:hint="default"/>
                <w:sz w:val="24"/>
                <w:szCs w:val="24"/>
              </w:rPr>
            </w:pPr>
            <w:r>
              <w:rPr>
                <w:rFonts w:hint="eastAsia" w:ascii="宋体" w:hAnsi="宋体" w:eastAsia="宋体"/>
                <w:sz w:val="24"/>
                <w:szCs w:val="24"/>
              </w:rPr>
              <w:t>展</w:t>
            </w:r>
            <w:r>
              <w:rPr>
                <w:rFonts w:hint="default" w:ascii="Times New Roman" w:hAnsi="Times New Roman" w:eastAsia="Times New Roman"/>
                <w:sz w:val="24"/>
                <w:szCs w:val="24"/>
              </w:rPr>
              <w:t>1</w:t>
            </w:r>
            <w:r>
              <w:rPr>
                <w:rFonts w:hint="eastAsia" w:ascii="宋体" w:hAnsi="宋体" w:eastAsia="宋体"/>
                <w:sz w:val="24"/>
                <w:szCs w:val="24"/>
              </w:rPr>
              <w:t>次清洁作业。</w:t>
            </w:r>
          </w:p>
        </w:tc>
      </w:tr>
      <w:tr w14:paraId="0A7E6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exact"/>
        </w:trPr>
        <w:tc>
          <w:tcPr>
            <w:tcW w:w="7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082973D4">
            <w:pPr>
              <w:pStyle w:val="42"/>
              <w:kinsoku w:val="0"/>
              <w:overflowPunct w:val="0"/>
              <w:spacing w:before="133" w:beforeLines="0" w:afterLines="0"/>
              <w:ind w:left="104"/>
              <w:rPr>
                <w:rFonts w:hint="default"/>
                <w:sz w:val="24"/>
                <w:szCs w:val="24"/>
              </w:rPr>
            </w:pPr>
          </w:p>
        </w:tc>
        <w:tc>
          <w:tcPr>
            <w:tcW w:w="19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117FB81A">
            <w:pPr>
              <w:pStyle w:val="42"/>
              <w:kinsoku w:val="0"/>
              <w:overflowPunct w:val="0"/>
              <w:spacing w:before="133" w:beforeLines="0" w:afterLines="0"/>
              <w:ind w:left="104"/>
              <w:rPr>
                <w:rFonts w:hint="default"/>
                <w:sz w:val="24"/>
                <w:szCs w:val="24"/>
              </w:rPr>
            </w:pPr>
          </w:p>
        </w:tc>
        <w:tc>
          <w:tcPr>
            <w:tcW w:w="58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956F83D">
            <w:pPr>
              <w:pStyle w:val="42"/>
              <w:kinsoku w:val="0"/>
              <w:overflowPunct w:val="0"/>
              <w:spacing w:before="25" w:beforeLines="0" w:afterLines="0" w:line="336" w:lineRule="auto"/>
              <w:ind w:left="104" w:right="264" w:firstLine="240"/>
              <w:rPr>
                <w:rFonts w:hint="default"/>
                <w:sz w:val="24"/>
                <w:szCs w:val="24"/>
              </w:rPr>
            </w:pPr>
            <w:r>
              <w:rPr>
                <w:rFonts w:hint="eastAsia" w:ascii="宋体" w:hAnsi="宋体" w:eastAsia="宋体"/>
                <w:sz w:val="24"/>
                <w:szCs w:val="24"/>
              </w:rPr>
              <w:t>（</w:t>
            </w:r>
            <w:r>
              <w:rPr>
                <w:rFonts w:hint="default" w:ascii="Times New Roman" w:hAnsi="Times New Roman" w:eastAsia="Times New Roman"/>
                <w:sz w:val="24"/>
                <w:szCs w:val="24"/>
              </w:rPr>
              <w:t>5</w:t>
            </w:r>
            <w:r>
              <w:rPr>
                <w:rFonts w:hint="eastAsia" w:ascii="宋体" w:hAnsi="宋体" w:eastAsia="宋体"/>
                <w:sz w:val="24"/>
                <w:szCs w:val="24"/>
              </w:rPr>
              <w:t>）每个工作日内要对楼层产生的垃圾，进行清理分类，并运至垃圾集中堆放点。</w:t>
            </w:r>
          </w:p>
        </w:tc>
      </w:tr>
      <w:tr w14:paraId="423FF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7EECD686">
            <w:pPr>
              <w:pStyle w:val="42"/>
              <w:kinsoku w:val="0"/>
              <w:overflowPunct w:val="0"/>
              <w:spacing w:before="25" w:beforeLines="0" w:afterLines="0" w:line="336" w:lineRule="auto"/>
              <w:ind w:left="104" w:right="264" w:firstLine="240"/>
              <w:rPr>
                <w:rFonts w:hint="default"/>
                <w:sz w:val="24"/>
                <w:szCs w:val="24"/>
              </w:rPr>
            </w:pPr>
          </w:p>
        </w:tc>
        <w:tc>
          <w:tcPr>
            <w:tcW w:w="19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6DA2B26E">
            <w:pPr>
              <w:pStyle w:val="42"/>
              <w:kinsoku w:val="0"/>
              <w:overflowPunct w:val="0"/>
              <w:spacing w:before="25" w:beforeLines="0" w:afterLines="0" w:line="336" w:lineRule="auto"/>
              <w:ind w:left="104" w:right="264" w:firstLine="240"/>
              <w:rPr>
                <w:rFonts w:hint="default"/>
                <w:sz w:val="24"/>
                <w:szCs w:val="24"/>
              </w:rPr>
            </w:pPr>
          </w:p>
        </w:tc>
        <w:tc>
          <w:tcPr>
            <w:tcW w:w="58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9B0E5E7">
            <w:pPr>
              <w:pStyle w:val="42"/>
              <w:kinsoku w:val="0"/>
              <w:overflowPunct w:val="0"/>
              <w:spacing w:before="25" w:beforeLines="0" w:afterLines="0"/>
              <w:ind w:left="344"/>
              <w:rPr>
                <w:rFonts w:hint="default"/>
                <w:sz w:val="24"/>
                <w:szCs w:val="24"/>
              </w:rPr>
            </w:pPr>
            <w:r>
              <w:rPr>
                <w:rFonts w:hint="eastAsia" w:ascii="宋体" w:hAnsi="宋体" w:eastAsia="宋体"/>
                <w:sz w:val="24"/>
                <w:szCs w:val="24"/>
              </w:rPr>
              <w:t>（</w:t>
            </w:r>
            <w:r>
              <w:rPr>
                <w:rFonts w:hint="default" w:ascii="Times New Roman" w:hAnsi="Times New Roman" w:eastAsia="Times New Roman"/>
                <w:sz w:val="24"/>
                <w:szCs w:val="24"/>
              </w:rPr>
              <w:t>6</w:t>
            </w:r>
            <w:r>
              <w:rPr>
                <w:rFonts w:hint="eastAsia" w:ascii="宋体" w:hAnsi="宋体" w:eastAsia="宋体"/>
                <w:sz w:val="24"/>
                <w:szCs w:val="24"/>
              </w:rPr>
              <w:t>）垃圾装袋，日产日清。</w:t>
            </w:r>
          </w:p>
        </w:tc>
      </w:tr>
      <w:tr w14:paraId="74E56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exact"/>
        </w:trPr>
        <w:tc>
          <w:tcPr>
            <w:tcW w:w="7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04E2504">
            <w:pPr>
              <w:pStyle w:val="42"/>
              <w:kinsoku w:val="0"/>
              <w:overflowPunct w:val="0"/>
              <w:spacing w:before="25" w:beforeLines="0" w:afterLines="0"/>
              <w:ind w:left="344"/>
              <w:rPr>
                <w:rFonts w:hint="default"/>
                <w:sz w:val="24"/>
                <w:szCs w:val="24"/>
              </w:rPr>
            </w:pPr>
          </w:p>
        </w:tc>
        <w:tc>
          <w:tcPr>
            <w:tcW w:w="19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5E3D56BA">
            <w:pPr>
              <w:pStyle w:val="42"/>
              <w:kinsoku w:val="0"/>
              <w:overflowPunct w:val="0"/>
              <w:spacing w:before="25" w:beforeLines="0" w:afterLines="0"/>
              <w:ind w:left="344"/>
              <w:rPr>
                <w:rFonts w:hint="default"/>
                <w:sz w:val="24"/>
                <w:szCs w:val="24"/>
              </w:rPr>
            </w:pPr>
          </w:p>
        </w:tc>
        <w:tc>
          <w:tcPr>
            <w:tcW w:w="58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07A2528">
            <w:pPr>
              <w:pStyle w:val="42"/>
              <w:kinsoku w:val="0"/>
              <w:overflowPunct w:val="0"/>
              <w:spacing w:before="26" w:beforeLines="0" w:afterLines="0" w:line="336" w:lineRule="auto"/>
              <w:ind w:left="104" w:right="264" w:firstLine="240"/>
              <w:rPr>
                <w:rFonts w:hint="default"/>
                <w:sz w:val="24"/>
                <w:szCs w:val="24"/>
              </w:rPr>
            </w:pPr>
            <w:r>
              <w:rPr>
                <w:rFonts w:hint="eastAsia" w:ascii="宋体" w:hAnsi="宋体" w:eastAsia="宋体"/>
                <w:sz w:val="24"/>
                <w:szCs w:val="24"/>
              </w:rPr>
              <w:t>（</w:t>
            </w:r>
            <w:r>
              <w:rPr>
                <w:rFonts w:hint="default" w:ascii="Times New Roman" w:hAnsi="Times New Roman" w:eastAsia="Times New Roman"/>
                <w:sz w:val="24"/>
                <w:szCs w:val="24"/>
              </w:rPr>
              <w:t>7</w:t>
            </w:r>
            <w:r>
              <w:rPr>
                <w:rFonts w:hint="eastAsia" w:ascii="宋体" w:hAnsi="宋体" w:eastAsia="宋体"/>
                <w:sz w:val="24"/>
                <w:szCs w:val="24"/>
              </w:rPr>
              <w:t>）建立垃圾清运台账，交由规范的渠道回收处理。</w:t>
            </w:r>
          </w:p>
        </w:tc>
      </w:tr>
      <w:tr w14:paraId="153DD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exact"/>
        </w:trPr>
        <w:tc>
          <w:tcPr>
            <w:tcW w:w="7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665B0C8E">
            <w:pPr>
              <w:pStyle w:val="42"/>
              <w:kinsoku w:val="0"/>
              <w:overflowPunct w:val="0"/>
              <w:spacing w:before="26" w:beforeLines="0" w:afterLines="0" w:line="336" w:lineRule="auto"/>
              <w:ind w:left="104" w:right="264" w:firstLine="240"/>
              <w:rPr>
                <w:rFonts w:hint="default"/>
                <w:sz w:val="24"/>
                <w:szCs w:val="24"/>
              </w:rPr>
            </w:pPr>
          </w:p>
        </w:tc>
        <w:tc>
          <w:tcPr>
            <w:tcW w:w="19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07408436">
            <w:pPr>
              <w:pStyle w:val="42"/>
              <w:kinsoku w:val="0"/>
              <w:overflowPunct w:val="0"/>
              <w:spacing w:before="26" w:beforeLines="0" w:afterLines="0" w:line="336" w:lineRule="auto"/>
              <w:ind w:left="104" w:right="264" w:firstLine="240"/>
              <w:rPr>
                <w:rFonts w:hint="default"/>
                <w:sz w:val="24"/>
                <w:szCs w:val="24"/>
              </w:rPr>
            </w:pPr>
          </w:p>
        </w:tc>
        <w:tc>
          <w:tcPr>
            <w:tcW w:w="58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38FFD44">
            <w:pPr>
              <w:pStyle w:val="42"/>
              <w:kinsoku w:val="0"/>
              <w:overflowPunct w:val="0"/>
              <w:spacing w:before="23" w:beforeLines="0" w:afterLines="0" w:line="336" w:lineRule="auto"/>
              <w:ind w:left="104" w:right="264" w:firstLine="240"/>
              <w:rPr>
                <w:rFonts w:hint="default"/>
                <w:sz w:val="24"/>
                <w:szCs w:val="24"/>
              </w:rPr>
            </w:pPr>
            <w:r>
              <w:rPr>
                <w:rFonts w:hint="eastAsia" w:ascii="宋体" w:hAnsi="宋体" w:eastAsia="宋体"/>
                <w:sz w:val="24"/>
                <w:szCs w:val="24"/>
              </w:rPr>
              <w:t>（</w:t>
            </w:r>
            <w:r>
              <w:rPr>
                <w:rFonts w:hint="default" w:ascii="Times New Roman" w:hAnsi="Times New Roman" w:eastAsia="Times New Roman"/>
                <w:sz w:val="24"/>
                <w:szCs w:val="24"/>
              </w:rPr>
              <w:t>8</w:t>
            </w:r>
            <w:r>
              <w:rPr>
                <w:rFonts w:hint="eastAsia" w:ascii="宋体" w:hAnsi="宋体" w:eastAsia="宋体"/>
                <w:sz w:val="24"/>
                <w:szCs w:val="24"/>
              </w:rPr>
              <w:t>）做好垃圾分类管理的宣传工作，督促并引导全员参与垃圾分类投放。</w:t>
            </w:r>
          </w:p>
        </w:tc>
      </w:tr>
      <w:tr w14:paraId="45EE3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exact"/>
        </w:trPr>
        <w:tc>
          <w:tcPr>
            <w:tcW w:w="7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750AE020">
            <w:pPr>
              <w:pStyle w:val="42"/>
              <w:kinsoku w:val="0"/>
              <w:overflowPunct w:val="0"/>
              <w:spacing w:before="23" w:beforeLines="0" w:afterLines="0" w:line="336" w:lineRule="auto"/>
              <w:ind w:left="104" w:right="264" w:firstLine="240"/>
              <w:rPr>
                <w:rFonts w:hint="default"/>
                <w:sz w:val="24"/>
                <w:szCs w:val="24"/>
              </w:rPr>
            </w:pPr>
          </w:p>
        </w:tc>
        <w:tc>
          <w:tcPr>
            <w:tcW w:w="19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5BA50980">
            <w:pPr>
              <w:pStyle w:val="42"/>
              <w:kinsoku w:val="0"/>
              <w:overflowPunct w:val="0"/>
              <w:spacing w:before="23" w:beforeLines="0" w:afterLines="0" w:line="336" w:lineRule="auto"/>
              <w:ind w:left="104" w:right="264" w:firstLine="240"/>
              <w:rPr>
                <w:rFonts w:hint="default"/>
                <w:sz w:val="24"/>
                <w:szCs w:val="24"/>
              </w:rPr>
            </w:pPr>
          </w:p>
        </w:tc>
        <w:tc>
          <w:tcPr>
            <w:tcW w:w="58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C6DC52B">
            <w:pPr>
              <w:pStyle w:val="42"/>
              <w:kinsoku w:val="0"/>
              <w:overflowPunct w:val="0"/>
              <w:spacing w:before="23" w:beforeLines="0" w:afterLines="0" w:line="336" w:lineRule="auto"/>
              <w:ind w:left="104" w:right="264" w:firstLine="240"/>
              <w:rPr>
                <w:rFonts w:hint="default"/>
                <w:sz w:val="24"/>
                <w:szCs w:val="24"/>
              </w:rPr>
            </w:pPr>
            <w:r>
              <w:rPr>
                <w:rFonts w:hint="eastAsia" w:ascii="宋体" w:hAnsi="宋体" w:eastAsia="宋体"/>
                <w:sz w:val="24"/>
                <w:szCs w:val="24"/>
              </w:rPr>
              <w:t>（</w:t>
            </w:r>
            <w:r>
              <w:rPr>
                <w:rFonts w:hint="default" w:ascii="Times New Roman" w:hAnsi="Times New Roman" w:eastAsia="Times New Roman"/>
                <w:sz w:val="24"/>
                <w:szCs w:val="24"/>
              </w:rPr>
              <w:t>9</w:t>
            </w:r>
            <w:r>
              <w:rPr>
                <w:rFonts w:hint="eastAsia" w:ascii="宋体" w:hAnsi="宋体" w:eastAsia="宋体"/>
                <w:sz w:val="24"/>
                <w:szCs w:val="24"/>
              </w:rPr>
              <w:t>）垃圾分类投放管理工作的执行标准，按所在城市的要求执行。</w:t>
            </w:r>
          </w:p>
        </w:tc>
      </w:tr>
      <w:tr w14:paraId="55F32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exact"/>
        </w:trPr>
        <w:tc>
          <w:tcPr>
            <w:tcW w:w="71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5ED71582">
            <w:pPr>
              <w:pStyle w:val="42"/>
              <w:kinsoku w:val="0"/>
              <w:overflowPunct w:val="0"/>
              <w:spacing w:beforeLines="0" w:afterLines="0"/>
              <w:rPr>
                <w:rFonts w:hint="default" w:ascii="Times New Roman" w:hAnsi="Times New Roman" w:eastAsia="Times New Roman"/>
                <w:sz w:val="24"/>
                <w:szCs w:val="24"/>
              </w:rPr>
            </w:pPr>
          </w:p>
          <w:p w14:paraId="3A8F4DE2">
            <w:pPr>
              <w:pStyle w:val="42"/>
              <w:kinsoku w:val="0"/>
              <w:overflowPunct w:val="0"/>
              <w:spacing w:beforeLines="0" w:afterLines="0"/>
              <w:rPr>
                <w:rFonts w:hint="default" w:ascii="Times New Roman" w:hAnsi="Times New Roman" w:eastAsia="Times New Roman"/>
                <w:sz w:val="24"/>
                <w:szCs w:val="24"/>
              </w:rPr>
            </w:pPr>
          </w:p>
          <w:p w14:paraId="4413F3D4">
            <w:pPr>
              <w:pStyle w:val="42"/>
              <w:kinsoku w:val="0"/>
              <w:overflowPunct w:val="0"/>
              <w:spacing w:beforeLines="0" w:afterLines="0"/>
              <w:rPr>
                <w:rFonts w:hint="default" w:ascii="Times New Roman" w:hAnsi="Times New Roman" w:eastAsia="Times New Roman"/>
                <w:sz w:val="24"/>
                <w:szCs w:val="24"/>
              </w:rPr>
            </w:pPr>
          </w:p>
          <w:p w14:paraId="41D76FCA">
            <w:pPr>
              <w:pStyle w:val="42"/>
              <w:kinsoku w:val="0"/>
              <w:overflowPunct w:val="0"/>
              <w:spacing w:beforeLines="0" w:afterLines="0"/>
              <w:rPr>
                <w:rFonts w:hint="default" w:ascii="Times New Roman" w:hAnsi="Times New Roman" w:eastAsia="Times New Roman"/>
                <w:sz w:val="24"/>
                <w:szCs w:val="24"/>
              </w:rPr>
            </w:pPr>
          </w:p>
          <w:p w14:paraId="0D5484BC">
            <w:pPr>
              <w:pStyle w:val="42"/>
              <w:kinsoku w:val="0"/>
              <w:overflowPunct w:val="0"/>
              <w:spacing w:beforeLines="0" w:afterLines="0"/>
              <w:rPr>
                <w:rFonts w:hint="default" w:ascii="Times New Roman" w:hAnsi="Times New Roman" w:eastAsia="Times New Roman"/>
                <w:sz w:val="24"/>
                <w:szCs w:val="24"/>
              </w:rPr>
            </w:pPr>
          </w:p>
          <w:p w14:paraId="04D33EB9">
            <w:pPr>
              <w:pStyle w:val="42"/>
              <w:kinsoku w:val="0"/>
              <w:overflowPunct w:val="0"/>
              <w:spacing w:before="6" w:beforeLines="0" w:afterLines="0"/>
              <w:rPr>
                <w:rFonts w:hint="default" w:ascii="Times New Roman" w:hAnsi="Times New Roman" w:eastAsia="Times New Roman"/>
                <w:sz w:val="19"/>
                <w:szCs w:val="24"/>
              </w:rPr>
            </w:pPr>
          </w:p>
          <w:p w14:paraId="0A3A3FAB">
            <w:pPr>
              <w:pStyle w:val="42"/>
              <w:kinsoku w:val="0"/>
              <w:overflowPunct w:val="0"/>
              <w:spacing w:beforeLines="0" w:afterLines="0"/>
              <w:jc w:val="center"/>
              <w:rPr>
                <w:rFonts w:hint="default"/>
                <w:sz w:val="24"/>
                <w:szCs w:val="24"/>
              </w:rPr>
            </w:pPr>
            <w:r>
              <w:rPr>
                <w:rFonts w:hint="default" w:ascii="Times New Roman" w:hAnsi="Times New Roman" w:eastAsia="Times New Roman"/>
                <w:sz w:val="24"/>
                <w:szCs w:val="24"/>
              </w:rPr>
              <w:t>5</w:t>
            </w:r>
          </w:p>
        </w:tc>
        <w:tc>
          <w:tcPr>
            <w:tcW w:w="197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111C9B5F">
            <w:pPr>
              <w:pStyle w:val="42"/>
              <w:kinsoku w:val="0"/>
              <w:overflowPunct w:val="0"/>
              <w:spacing w:beforeLines="0" w:afterLines="0"/>
              <w:rPr>
                <w:rFonts w:hint="default" w:ascii="Times New Roman" w:hAnsi="Times New Roman" w:eastAsia="Times New Roman"/>
                <w:sz w:val="24"/>
                <w:szCs w:val="24"/>
              </w:rPr>
            </w:pPr>
          </w:p>
          <w:p w14:paraId="7560F143">
            <w:pPr>
              <w:pStyle w:val="42"/>
              <w:kinsoku w:val="0"/>
              <w:overflowPunct w:val="0"/>
              <w:spacing w:beforeLines="0" w:afterLines="0"/>
              <w:rPr>
                <w:rFonts w:hint="default" w:ascii="Times New Roman" w:hAnsi="Times New Roman" w:eastAsia="Times New Roman"/>
                <w:sz w:val="24"/>
                <w:szCs w:val="24"/>
              </w:rPr>
            </w:pPr>
          </w:p>
          <w:p w14:paraId="3142B8D0">
            <w:pPr>
              <w:pStyle w:val="42"/>
              <w:kinsoku w:val="0"/>
              <w:overflowPunct w:val="0"/>
              <w:spacing w:beforeLines="0" w:afterLines="0"/>
              <w:rPr>
                <w:rFonts w:hint="default" w:ascii="Times New Roman" w:hAnsi="Times New Roman" w:eastAsia="Times New Roman"/>
                <w:sz w:val="24"/>
                <w:szCs w:val="24"/>
              </w:rPr>
            </w:pPr>
          </w:p>
          <w:p w14:paraId="5DD998B6">
            <w:pPr>
              <w:pStyle w:val="42"/>
              <w:kinsoku w:val="0"/>
              <w:overflowPunct w:val="0"/>
              <w:spacing w:beforeLines="0" w:afterLines="0"/>
              <w:rPr>
                <w:rFonts w:hint="default" w:ascii="Times New Roman" w:hAnsi="Times New Roman" w:eastAsia="Times New Roman"/>
                <w:sz w:val="24"/>
                <w:szCs w:val="24"/>
              </w:rPr>
            </w:pPr>
          </w:p>
          <w:p w14:paraId="65F71706">
            <w:pPr>
              <w:pStyle w:val="42"/>
              <w:kinsoku w:val="0"/>
              <w:overflowPunct w:val="0"/>
              <w:spacing w:beforeLines="0" w:afterLines="0"/>
              <w:rPr>
                <w:rFonts w:hint="default" w:ascii="Times New Roman" w:hAnsi="Times New Roman" w:eastAsia="Times New Roman"/>
                <w:sz w:val="24"/>
                <w:szCs w:val="24"/>
              </w:rPr>
            </w:pPr>
          </w:p>
          <w:p w14:paraId="0F7BCD6F">
            <w:pPr>
              <w:pStyle w:val="42"/>
              <w:kinsoku w:val="0"/>
              <w:overflowPunct w:val="0"/>
              <w:spacing w:before="163" w:beforeLines="0" w:afterLines="0"/>
              <w:ind w:left="103"/>
              <w:rPr>
                <w:rFonts w:hint="default"/>
                <w:sz w:val="24"/>
                <w:szCs w:val="24"/>
              </w:rPr>
            </w:pPr>
            <w:r>
              <w:rPr>
                <w:rFonts w:hint="eastAsia" w:ascii="宋体" w:hAnsi="宋体" w:eastAsia="宋体"/>
                <w:sz w:val="24"/>
                <w:szCs w:val="24"/>
              </w:rPr>
              <w:t>卫生消毒</w:t>
            </w:r>
          </w:p>
        </w:tc>
        <w:tc>
          <w:tcPr>
            <w:tcW w:w="58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B0822AB">
            <w:pPr>
              <w:pStyle w:val="42"/>
              <w:kinsoku w:val="0"/>
              <w:overflowPunct w:val="0"/>
              <w:spacing w:before="24" w:beforeLines="0" w:afterLines="0" w:line="338" w:lineRule="auto"/>
              <w:ind w:left="104" w:right="264" w:firstLine="240"/>
              <w:rPr>
                <w:rFonts w:hint="default"/>
                <w:sz w:val="24"/>
                <w:szCs w:val="24"/>
              </w:rPr>
            </w:pPr>
            <w:r>
              <w:rPr>
                <w:rFonts w:hint="eastAsia" w:ascii="宋体" w:hAnsi="宋体" w:eastAsia="宋体"/>
                <w:sz w:val="24"/>
                <w:szCs w:val="24"/>
              </w:rPr>
              <w:t>（</w:t>
            </w:r>
            <w:r>
              <w:rPr>
                <w:rFonts w:hint="default" w:ascii="Times New Roman" w:hAnsi="Times New Roman" w:eastAsia="Times New Roman"/>
                <w:sz w:val="24"/>
                <w:szCs w:val="24"/>
              </w:rPr>
              <w:t>1</w:t>
            </w:r>
            <w:r>
              <w:rPr>
                <w:rFonts w:hint="eastAsia" w:ascii="宋体" w:hAnsi="宋体" w:eastAsia="宋体"/>
                <w:sz w:val="24"/>
                <w:szCs w:val="24"/>
              </w:rPr>
              <w:t>）公共场所区域和周围环境预防性卫生消毒，消毒后及时通风，每周至少开展</w:t>
            </w:r>
            <w:r>
              <w:rPr>
                <w:rFonts w:hint="default" w:ascii="Times New Roman" w:hAnsi="Times New Roman" w:eastAsia="Times New Roman"/>
                <w:sz w:val="24"/>
                <w:szCs w:val="24"/>
              </w:rPr>
              <w:t>1</w:t>
            </w:r>
            <w:r>
              <w:rPr>
                <w:rFonts w:hint="eastAsia" w:ascii="宋体" w:hAnsi="宋体" w:eastAsia="宋体"/>
                <w:sz w:val="24"/>
                <w:szCs w:val="24"/>
              </w:rPr>
              <w:t>次作业。</w:t>
            </w:r>
          </w:p>
        </w:tc>
      </w:tr>
      <w:tr w14:paraId="54D1C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7" w:hRule="exact"/>
        </w:trPr>
        <w:tc>
          <w:tcPr>
            <w:tcW w:w="7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35A5641F">
            <w:pPr>
              <w:pStyle w:val="42"/>
              <w:kinsoku w:val="0"/>
              <w:overflowPunct w:val="0"/>
              <w:spacing w:beforeLines="0" w:afterLines="0" w:line="262" w:lineRule="exact"/>
              <w:ind w:left="104"/>
              <w:rPr>
                <w:rFonts w:hint="default"/>
                <w:sz w:val="24"/>
                <w:szCs w:val="24"/>
              </w:rPr>
            </w:pPr>
          </w:p>
        </w:tc>
        <w:tc>
          <w:tcPr>
            <w:tcW w:w="19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8248ACF">
            <w:pPr>
              <w:pStyle w:val="42"/>
              <w:kinsoku w:val="0"/>
              <w:overflowPunct w:val="0"/>
              <w:spacing w:beforeLines="0" w:afterLines="0" w:line="262" w:lineRule="exact"/>
              <w:ind w:left="104"/>
              <w:rPr>
                <w:rFonts w:hint="default"/>
                <w:sz w:val="24"/>
                <w:szCs w:val="24"/>
              </w:rPr>
            </w:pPr>
          </w:p>
        </w:tc>
        <w:tc>
          <w:tcPr>
            <w:tcW w:w="58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3099118">
            <w:pPr>
              <w:pStyle w:val="42"/>
              <w:kinsoku w:val="0"/>
              <w:overflowPunct w:val="0"/>
              <w:spacing w:before="23" w:beforeLines="0" w:afterLines="0"/>
              <w:ind w:left="104" w:firstLine="240"/>
              <w:rPr>
                <w:rFonts w:hint="eastAsia" w:ascii="宋体" w:hAnsi="宋体" w:eastAsia="宋体"/>
                <w:sz w:val="24"/>
                <w:szCs w:val="24"/>
              </w:rPr>
            </w:pPr>
            <w:r>
              <w:rPr>
                <w:rFonts w:hint="eastAsia" w:ascii="宋体" w:hAnsi="宋体" w:eastAsia="宋体"/>
                <w:sz w:val="24"/>
                <w:szCs w:val="24"/>
              </w:rPr>
              <w:t>（</w:t>
            </w:r>
            <w:r>
              <w:rPr>
                <w:rFonts w:hint="default" w:ascii="Times New Roman" w:hAnsi="Times New Roman" w:eastAsia="Times New Roman"/>
                <w:sz w:val="24"/>
                <w:szCs w:val="24"/>
              </w:rPr>
              <w:t>2</w:t>
            </w:r>
            <w:r>
              <w:rPr>
                <w:rFonts w:hint="eastAsia" w:ascii="宋体" w:hAnsi="宋体" w:eastAsia="宋体"/>
                <w:sz w:val="24"/>
                <w:szCs w:val="24"/>
              </w:rPr>
              <w:t>）采取综合措施消灭老鼠、蟑螂，控制室内</w:t>
            </w:r>
          </w:p>
          <w:p w14:paraId="38EBF378">
            <w:pPr>
              <w:pStyle w:val="42"/>
              <w:kinsoku w:val="0"/>
              <w:overflowPunct w:val="0"/>
              <w:spacing w:before="133" w:beforeLines="0" w:afterLines="0" w:line="280" w:lineRule="auto"/>
              <w:ind w:left="104" w:right="216"/>
              <w:rPr>
                <w:rFonts w:hint="default"/>
                <w:sz w:val="24"/>
                <w:szCs w:val="24"/>
              </w:rPr>
            </w:pPr>
            <w:r>
              <w:rPr>
                <w:rFonts w:hint="eastAsia" w:ascii="宋体" w:hAnsi="宋体" w:eastAsia="宋体"/>
                <w:sz w:val="24"/>
                <w:szCs w:val="24"/>
              </w:rPr>
              <w:t>外蚊虫孳生，达到基本无蝇，每季度至少开展</w:t>
            </w:r>
            <w:r>
              <w:rPr>
                <w:rFonts w:hint="default" w:ascii="Times New Roman" w:hAnsi="Times New Roman" w:eastAsia="Times New Roman"/>
                <w:sz w:val="24"/>
                <w:szCs w:val="24"/>
              </w:rPr>
              <w:t>1</w:t>
            </w:r>
            <w:r>
              <w:rPr>
                <w:rFonts w:hint="eastAsia" w:ascii="宋体" w:hAnsi="宋体" w:eastAsia="宋体"/>
                <w:sz w:val="24"/>
                <w:szCs w:val="24"/>
              </w:rPr>
              <w:t>次作业。</w:t>
            </w:r>
          </w:p>
        </w:tc>
      </w:tr>
      <w:tr w14:paraId="6D91A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exact"/>
        </w:trPr>
        <w:tc>
          <w:tcPr>
            <w:tcW w:w="7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04FF5DAA">
            <w:pPr>
              <w:pStyle w:val="42"/>
              <w:kinsoku w:val="0"/>
              <w:overflowPunct w:val="0"/>
              <w:spacing w:before="133" w:beforeLines="0" w:afterLines="0" w:line="280" w:lineRule="auto"/>
              <w:ind w:left="104" w:right="216"/>
              <w:rPr>
                <w:rFonts w:hint="default"/>
                <w:sz w:val="24"/>
                <w:szCs w:val="24"/>
              </w:rPr>
            </w:pPr>
          </w:p>
        </w:tc>
        <w:tc>
          <w:tcPr>
            <w:tcW w:w="19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38E7E6F6">
            <w:pPr>
              <w:pStyle w:val="42"/>
              <w:kinsoku w:val="0"/>
              <w:overflowPunct w:val="0"/>
              <w:spacing w:before="133" w:beforeLines="0" w:afterLines="0" w:line="280" w:lineRule="auto"/>
              <w:ind w:left="104" w:right="216"/>
              <w:rPr>
                <w:rFonts w:hint="default"/>
                <w:sz w:val="24"/>
                <w:szCs w:val="24"/>
              </w:rPr>
            </w:pPr>
          </w:p>
        </w:tc>
        <w:tc>
          <w:tcPr>
            <w:tcW w:w="584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757E5DC">
            <w:pPr>
              <w:pStyle w:val="42"/>
              <w:kinsoku w:val="0"/>
              <w:overflowPunct w:val="0"/>
              <w:spacing w:before="24" w:beforeLines="0" w:afterLines="0" w:line="336" w:lineRule="auto"/>
              <w:ind w:left="104" w:right="264" w:firstLine="240"/>
              <w:rPr>
                <w:rFonts w:hint="default"/>
                <w:sz w:val="24"/>
                <w:szCs w:val="24"/>
              </w:rPr>
            </w:pPr>
            <w:r>
              <w:rPr>
                <w:rFonts w:hint="eastAsia" w:ascii="宋体" w:hAnsi="宋体" w:eastAsia="宋体"/>
                <w:sz w:val="24"/>
                <w:szCs w:val="24"/>
              </w:rPr>
              <w:t>（</w:t>
            </w:r>
            <w:r>
              <w:rPr>
                <w:rFonts w:hint="default" w:ascii="Times New Roman" w:hAnsi="Times New Roman" w:eastAsia="Times New Roman"/>
                <w:sz w:val="24"/>
                <w:szCs w:val="24"/>
              </w:rPr>
              <w:t>3</w:t>
            </w:r>
            <w:r>
              <w:rPr>
                <w:rFonts w:hint="eastAsia" w:ascii="宋体" w:hAnsi="宋体" w:eastAsia="宋体"/>
                <w:sz w:val="24"/>
                <w:szCs w:val="24"/>
              </w:rPr>
              <w:t>）发生公共卫生事件时，邀请专业单位开展消毒、检测等工作。</w:t>
            </w:r>
          </w:p>
        </w:tc>
      </w:tr>
    </w:tbl>
    <w:p w14:paraId="61237036">
      <w:pPr>
        <w:pStyle w:val="8"/>
        <w:kinsoku w:val="0"/>
        <w:overflowPunct w:val="0"/>
        <w:spacing w:before="2" w:beforeLines="0" w:afterLines="0"/>
        <w:ind w:left="0"/>
        <w:rPr>
          <w:rFonts w:hint="default" w:ascii="Times New Roman" w:hAnsi="Times New Roman" w:eastAsia="Times New Roman"/>
          <w:sz w:val="18"/>
          <w:szCs w:val="24"/>
        </w:rPr>
      </w:pPr>
    </w:p>
    <w:p w14:paraId="62FA7CC6">
      <w:pPr>
        <w:pStyle w:val="8"/>
        <w:kinsoku w:val="0"/>
        <w:overflowPunct w:val="0"/>
        <w:spacing w:beforeLines="0" w:afterLines="0"/>
        <w:ind w:left="0"/>
        <w:rPr>
          <w:rFonts w:hint="eastAsia" w:ascii="楷体" w:hAnsi="楷体" w:eastAsia="楷体"/>
          <w:sz w:val="17"/>
          <w:szCs w:val="24"/>
        </w:rPr>
      </w:pPr>
      <w:bookmarkStart w:id="19" w:name="3.4.1具体清洁要求"/>
      <w:bookmarkEnd w:id="19"/>
    </w:p>
    <w:p w14:paraId="72FDF488">
      <w:pPr>
        <w:pStyle w:val="8"/>
        <w:kinsoku w:val="0"/>
        <w:overflowPunct w:val="0"/>
        <w:spacing w:beforeLines="0" w:afterLines="0"/>
        <w:rPr>
          <w:rFonts w:hint="eastAsia"/>
          <w:sz w:val="21"/>
          <w:szCs w:val="24"/>
        </w:rPr>
      </w:pPr>
      <w:bookmarkStart w:id="20" w:name="3.5保安服务"/>
      <w:bookmarkEnd w:id="20"/>
      <w:r>
        <w:rPr>
          <w:rFonts w:hint="default" w:ascii="Times New Roman" w:hAnsi="Times New Roman" w:eastAsia="Times New Roman"/>
          <w:b/>
          <w:sz w:val="21"/>
          <w:szCs w:val="24"/>
        </w:rPr>
        <w:t>3.5</w:t>
      </w:r>
      <w:r>
        <w:rPr>
          <w:rFonts w:hint="eastAsia"/>
          <w:b/>
          <w:spacing w:val="1"/>
          <w:sz w:val="21"/>
          <w:szCs w:val="24"/>
        </w:rPr>
        <w:t>保安服务</w:t>
      </w:r>
    </w:p>
    <w:p w14:paraId="1CB62AA7">
      <w:pPr>
        <w:pStyle w:val="8"/>
        <w:kinsoku w:val="0"/>
        <w:overflowPunct w:val="0"/>
        <w:spacing w:beforeLines="0" w:afterLines="0"/>
        <w:ind w:left="0"/>
        <w:rPr>
          <w:rFonts w:hint="eastAsia"/>
          <w:b/>
          <w:sz w:val="20"/>
          <w:szCs w:val="24"/>
        </w:rPr>
      </w:pPr>
    </w:p>
    <w:p w14:paraId="40FD91F4">
      <w:pPr>
        <w:pStyle w:val="8"/>
        <w:kinsoku w:val="0"/>
        <w:overflowPunct w:val="0"/>
        <w:spacing w:before="1" w:beforeLines="0" w:afterLines="0"/>
        <w:ind w:left="0"/>
        <w:rPr>
          <w:rFonts w:hint="eastAsia"/>
          <w:b/>
          <w:sz w:val="16"/>
          <w:szCs w:val="24"/>
        </w:rPr>
      </w:pPr>
    </w:p>
    <w:tbl>
      <w:tblPr>
        <w:tblStyle w:val="19"/>
        <w:tblW w:w="0" w:type="auto"/>
        <w:tblInd w:w="2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4"/>
        <w:gridCol w:w="1971"/>
        <w:gridCol w:w="5786"/>
      </w:tblGrid>
      <w:tr w14:paraId="161FA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exact"/>
        </w:trPr>
        <w:tc>
          <w:tcPr>
            <w:tcW w:w="73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C403CA9">
            <w:pPr>
              <w:pStyle w:val="42"/>
              <w:kinsoku w:val="0"/>
              <w:overflowPunct w:val="0"/>
              <w:spacing w:beforeLines="0" w:afterLines="0" w:line="308" w:lineRule="exact"/>
              <w:ind w:left="120"/>
              <w:rPr>
                <w:rFonts w:hint="default"/>
                <w:sz w:val="24"/>
                <w:szCs w:val="24"/>
              </w:rPr>
            </w:pPr>
            <w:r>
              <w:rPr>
                <w:rFonts w:hint="eastAsia" w:ascii="宋体" w:hAnsi="宋体" w:eastAsia="宋体"/>
                <w:b/>
                <w:sz w:val="24"/>
                <w:szCs w:val="24"/>
              </w:rPr>
              <w:t>序号</w:t>
            </w:r>
          </w:p>
        </w:tc>
        <w:tc>
          <w:tcPr>
            <w:tcW w:w="197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7E65101">
            <w:pPr>
              <w:pStyle w:val="42"/>
              <w:kinsoku w:val="0"/>
              <w:overflowPunct w:val="0"/>
              <w:spacing w:beforeLines="0" w:afterLines="0" w:line="308" w:lineRule="exact"/>
              <w:ind w:left="497"/>
              <w:rPr>
                <w:rFonts w:hint="default"/>
                <w:sz w:val="24"/>
                <w:szCs w:val="24"/>
              </w:rPr>
            </w:pPr>
            <w:r>
              <w:rPr>
                <w:rFonts w:hint="eastAsia" w:ascii="宋体" w:hAnsi="宋体" w:eastAsia="宋体"/>
                <w:b/>
                <w:sz w:val="24"/>
                <w:szCs w:val="24"/>
              </w:rPr>
              <w:t>服务内容</w:t>
            </w:r>
          </w:p>
        </w:tc>
        <w:tc>
          <w:tcPr>
            <w:tcW w:w="578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DC78DE2">
            <w:pPr>
              <w:pStyle w:val="42"/>
              <w:kinsoku w:val="0"/>
              <w:overflowPunct w:val="0"/>
              <w:spacing w:beforeLines="0" w:afterLines="0" w:line="308" w:lineRule="exact"/>
              <w:jc w:val="center"/>
              <w:rPr>
                <w:rFonts w:hint="default"/>
                <w:sz w:val="24"/>
                <w:szCs w:val="24"/>
              </w:rPr>
            </w:pPr>
            <w:r>
              <w:rPr>
                <w:rFonts w:hint="eastAsia" w:ascii="宋体" w:hAnsi="宋体" w:eastAsia="宋体"/>
                <w:b/>
                <w:sz w:val="24"/>
                <w:szCs w:val="24"/>
              </w:rPr>
              <w:t>服务标准</w:t>
            </w:r>
          </w:p>
        </w:tc>
      </w:tr>
      <w:tr w14:paraId="089A4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3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5BE38B34">
            <w:pPr>
              <w:pStyle w:val="42"/>
              <w:kinsoku w:val="0"/>
              <w:overflowPunct w:val="0"/>
              <w:spacing w:beforeLines="0" w:afterLines="0"/>
              <w:rPr>
                <w:rFonts w:hint="eastAsia" w:ascii="宋体" w:hAnsi="宋体" w:eastAsia="宋体"/>
                <w:b/>
                <w:sz w:val="24"/>
                <w:szCs w:val="24"/>
              </w:rPr>
            </w:pPr>
          </w:p>
          <w:p w14:paraId="146CBE54">
            <w:pPr>
              <w:pStyle w:val="42"/>
              <w:kinsoku w:val="0"/>
              <w:overflowPunct w:val="0"/>
              <w:spacing w:beforeLines="0" w:afterLines="0"/>
              <w:rPr>
                <w:rFonts w:hint="eastAsia" w:ascii="宋体" w:hAnsi="宋体" w:eastAsia="宋体"/>
                <w:b/>
                <w:sz w:val="24"/>
                <w:szCs w:val="24"/>
              </w:rPr>
            </w:pPr>
          </w:p>
          <w:p w14:paraId="297200A6">
            <w:pPr>
              <w:pStyle w:val="42"/>
              <w:kinsoku w:val="0"/>
              <w:overflowPunct w:val="0"/>
              <w:spacing w:before="10" w:beforeLines="0" w:afterLines="0"/>
              <w:rPr>
                <w:rFonts w:hint="eastAsia" w:ascii="宋体" w:hAnsi="宋体" w:eastAsia="宋体"/>
                <w:b/>
                <w:sz w:val="35"/>
                <w:szCs w:val="24"/>
              </w:rPr>
            </w:pPr>
          </w:p>
          <w:p w14:paraId="02B3FB47">
            <w:pPr>
              <w:pStyle w:val="42"/>
              <w:kinsoku w:val="0"/>
              <w:overflowPunct w:val="0"/>
              <w:spacing w:beforeLines="0" w:afterLines="0"/>
              <w:jc w:val="center"/>
              <w:rPr>
                <w:rFonts w:hint="default"/>
                <w:sz w:val="24"/>
                <w:szCs w:val="24"/>
              </w:rPr>
            </w:pPr>
            <w:r>
              <w:rPr>
                <w:rFonts w:hint="default" w:ascii="Times New Roman" w:hAnsi="Times New Roman" w:eastAsia="Times New Roman"/>
                <w:sz w:val="24"/>
                <w:szCs w:val="24"/>
              </w:rPr>
              <w:t>1</w:t>
            </w:r>
          </w:p>
        </w:tc>
        <w:tc>
          <w:tcPr>
            <w:tcW w:w="197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1D4F7510">
            <w:pPr>
              <w:pStyle w:val="42"/>
              <w:kinsoku w:val="0"/>
              <w:overflowPunct w:val="0"/>
              <w:spacing w:beforeLines="0" w:afterLines="0"/>
              <w:rPr>
                <w:rFonts w:hint="eastAsia" w:ascii="宋体" w:hAnsi="宋体" w:eastAsia="宋体"/>
                <w:b/>
                <w:sz w:val="24"/>
                <w:szCs w:val="24"/>
              </w:rPr>
            </w:pPr>
          </w:p>
          <w:p w14:paraId="14E3B7B6">
            <w:pPr>
              <w:pStyle w:val="42"/>
              <w:kinsoku w:val="0"/>
              <w:overflowPunct w:val="0"/>
              <w:spacing w:beforeLines="0" w:afterLines="0"/>
              <w:rPr>
                <w:rFonts w:hint="eastAsia" w:ascii="宋体" w:hAnsi="宋体" w:eastAsia="宋体"/>
                <w:b/>
                <w:sz w:val="24"/>
                <w:szCs w:val="24"/>
              </w:rPr>
            </w:pPr>
          </w:p>
          <w:p w14:paraId="4E1922EE">
            <w:pPr>
              <w:pStyle w:val="42"/>
              <w:kinsoku w:val="0"/>
              <w:overflowPunct w:val="0"/>
              <w:spacing w:before="1" w:beforeLines="0" w:afterLines="0"/>
              <w:rPr>
                <w:rFonts w:hint="eastAsia" w:ascii="宋体" w:hAnsi="宋体" w:eastAsia="宋体"/>
                <w:b/>
                <w:sz w:val="31"/>
                <w:szCs w:val="24"/>
              </w:rPr>
            </w:pPr>
          </w:p>
          <w:p w14:paraId="5012BC29">
            <w:pPr>
              <w:pStyle w:val="42"/>
              <w:kinsoku w:val="0"/>
              <w:overflowPunct w:val="0"/>
              <w:spacing w:beforeLines="0" w:afterLines="0"/>
              <w:ind w:left="103"/>
              <w:rPr>
                <w:rFonts w:hint="default"/>
                <w:sz w:val="24"/>
                <w:szCs w:val="24"/>
              </w:rPr>
            </w:pPr>
            <w:r>
              <w:rPr>
                <w:rFonts w:hint="eastAsia" w:ascii="宋体" w:hAnsi="宋体" w:eastAsia="宋体"/>
                <w:sz w:val="24"/>
                <w:szCs w:val="24"/>
              </w:rPr>
              <w:t>基本要求</w:t>
            </w:r>
          </w:p>
        </w:tc>
        <w:tc>
          <w:tcPr>
            <w:tcW w:w="578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C239785">
            <w:pPr>
              <w:pStyle w:val="42"/>
              <w:kinsoku w:val="0"/>
              <w:overflowPunct w:val="0"/>
              <w:spacing w:before="24" w:beforeLines="0" w:afterLines="0"/>
              <w:ind w:left="343"/>
              <w:rPr>
                <w:rFonts w:hint="default"/>
                <w:sz w:val="24"/>
                <w:szCs w:val="24"/>
              </w:rPr>
            </w:pPr>
            <w:r>
              <w:rPr>
                <w:rFonts w:hint="eastAsia" w:ascii="宋体" w:hAnsi="宋体" w:eastAsia="宋体"/>
                <w:sz w:val="24"/>
                <w:szCs w:val="24"/>
              </w:rPr>
              <w:t>（</w:t>
            </w:r>
            <w:r>
              <w:rPr>
                <w:rFonts w:hint="default" w:ascii="Times New Roman" w:hAnsi="Times New Roman" w:eastAsia="Times New Roman"/>
                <w:sz w:val="24"/>
                <w:szCs w:val="24"/>
              </w:rPr>
              <w:t>1</w:t>
            </w:r>
            <w:r>
              <w:rPr>
                <w:rFonts w:hint="eastAsia" w:ascii="宋体" w:hAnsi="宋体" w:eastAsia="宋体"/>
                <w:sz w:val="24"/>
                <w:szCs w:val="24"/>
              </w:rPr>
              <w:t>）建立保安服务相关制度，并按照执行。</w:t>
            </w:r>
          </w:p>
        </w:tc>
      </w:tr>
      <w:tr w14:paraId="557A7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exact"/>
        </w:trPr>
        <w:tc>
          <w:tcPr>
            <w:tcW w:w="7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5CE283EE">
            <w:pPr>
              <w:pStyle w:val="42"/>
              <w:kinsoku w:val="0"/>
              <w:overflowPunct w:val="0"/>
              <w:spacing w:before="24" w:beforeLines="0" w:afterLines="0"/>
              <w:ind w:left="343"/>
              <w:rPr>
                <w:rFonts w:hint="default"/>
                <w:sz w:val="24"/>
                <w:szCs w:val="24"/>
              </w:rPr>
            </w:pPr>
          </w:p>
        </w:tc>
        <w:tc>
          <w:tcPr>
            <w:tcW w:w="197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52CD7BD6">
            <w:pPr>
              <w:pStyle w:val="42"/>
              <w:kinsoku w:val="0"/>
              <w:overflowPunct w:val="0"/>
              <w:spacing w:before="24" w:beforeLines="0" w:afterLines="0"/>
              <w:ind w:left="343"/>
              <w:rPr>
                <w:rFonts w:hint="default"/>
                <w:sz w:val="24"/>
                <w:szCs w:val="24"/>
              </w:rPr>
            </w:pPr>
          </w:p>
        </w:tc>
        <w:tc>
          <w:tcPr>
            <w:tcW w:w="578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CA3605F">
            <w:pPr>
              <w:pStyle w:val="42"/>
              <w:kinsoku w:val="0"/>
              <w:overflowPunct w:val="0"/>
              <w:spacing w:before="25" w:beforeLines="0" w:afterLines="0" w:line="336" w:lineRule="auto"/>
              <w:ind w:left="103" w:right="451" w:firstLine="240"/>
              <w:rPr>
                <w:rFonts w:hint="default"/>
                <w:sz w:val="24"/>
                <w:szCs w:val="24"/>
              </w:rPr>
            </w:pPr>
            <w:r>
              <w:rPr>
                <w:rFonts w:hint="eastAsia" w:ascii="宋体" w:hAnsi="宋体" w:eastAsia="宋体"/>
                <w:sz w:val="24"/>
                <w:szCs w:val="24"/>
              </w:rPr>
              <w:t>（</w:t>
            </w:r>
            <w:r>
              <w:rPr>
                <w:rFonts w:hint="default" w:ascii="Times New Roman" w:hAnsi="Times New Roman" w:eastAsia="Times New Roman"/>
                <w:sz w:val="24"/>
                <w:szCs w:val="24"/>
              </w:rPr>
              <w:t>2</w:t>
            </w:r>
            <w:r>
              <w:rPr>
                <w:rFonts w:hint="eastAsia" w:ascii="宋体" w:hAnsi="宋体" w:eastAsia="宋体"/>
                <w:sz w:val="24"/>
                <w:szCs w:val="24"/>
              </w:rPr>
              <w:t>）对巡查、值守及异常情况等做好相关记录，填写规范，保存完好。</w:t>
            </w:r>
          </w:p>
        </w:tc>
      </w:tr>
      <w:tr w14:paraId="4BB69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7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28AA55AA">
            <w:pPr>
              <w:pStyle w:val="42"/>
              <w:kinsoku w:val="0"/>
              <w:overflowPunct w:val="0"/>
              <w:spacing w:before="25" w:beforeLines="0" w:afterLines="0" w:line="336" w:lineRule="auto"/>
              <w:ind w:left="103" w:right="451" w:firstLine="240"/>
              <w:rPr>
                <w:rFonts w:hint="default"/>
                <w:sz w:val="24"/>
                <w:szCs w:val="24"/>
              </w:rPr>
            </w:pPr>
          </w:p>
        </w:tc>
        <w:tc>
          <w:tcPr>
            <w:tcW w:w="197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5B73DB02">
            <w:pPr>
              <w:pStyle w:val="42"/>
              <w:kinsoku w:val="0"/>
              <w:overflowPunct w:val="0"/>
              <w:spacing w:before="25" w:beforeLines="0" w:afterLines="0" w:line="336" w:lineRule="auto"/>
              <w:ind w:left="103" w:right="451" w:firstLine="240"/>
              <w:rPr>
                <w:rFonts w:hint="default"/>
                <w:sz w:val="24"/>
                <w:szCs w:val="24"/>
              </w:rPr>
            </w:pPr>
          </w:p>
        </w:tc>
        <w:tc>
          <w:tcPr>
            <w:tcW w:w="578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6A758AB">
            <w:pPr>
              <w:pStyle w:val="42"/>
              <w:kinsoku w:val="0"/>
              <w:overflowPunct w:val="0"/>
              <w:spacing w:before="25" w:beforeLines="0" w:afterLines="0"/>
              <w:ind w:left="343"/>
              <w:rPr>
                <w:rFonts w:hint="default"/>
                <w:sz w:val="24"/>
                <w:szCs w:val="24"/>
              </w:rPr>
            </w:pPr>
            <w:r>
              <w:rPr>
                <w:rFonts w:hint="eastAsia" w:ascii="宋体" w:hAnsi="宋体" w:eastAsia="宋体"/>
                <w:sz w:val="24"/>
                <w:szCs w:val="24"/>
              </w:rPr>
              <w:t>（</w:t>
            </w:r>
            <w:r>
              <w:rPr>
                <w:rFonts w:hint="default" w:ascii="Times New Roman" w:hAnsi="Times New Roman" w:eastAsia="Times New Roman"/>
                <w:sz w:val="24"/>
                <w:szCs w:val="24"/>
              </w:rPr>
              <w:t>3</w:t>
            </w:r>
            <w:r>
              <w:rPr>
                <w:rFonts w:hint="eastAsia" w:ascii="宋体" w:hAnsi="宋体" w:eastAsia="宋体"/>
                <w:sz w:val="24"/>
                <w:szCs w:val="24"/>
              </w:rPr>
              <w:t>）配备保安服务必要的器材。</w:t>
            </w:r>
          </w:p>
        </w:tc>
      </w:tr>
      <w:tr w14:paraId="5649F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343D4D29">
            <w:pPr>
              <w:pStyle w:val="42"/>
              <w:kinsoku w:val="0"/>
              <w:overflowPunct w:val="0"/>
              <w:spacing w:before="25" w:beforeLines="0" w:afterLines="0"/>
              <w:ind w:left="343"/>
              <w:rPr>
                <w:rFonts w:hint="default"/>
                <w:sz w:val="24"/>
                <w:szCs w:val="24"/>
              </w:rPr>
            </w:pPr>
          </w:p>
        </w:tc>
        <w:tc>
          <w:tcPr>
            <w:tcW w:w="197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6517DF72">
            <w:pPr>
              <w:pStyle w:val="42"/>
              <w:kinsoku w:val="0"/>
              <w:overflowPunct w:val="0"/>
              <w:spacing w:before="25" w:beforeLines="0" w:afterLines="0"/>
              <w:ind w:left="343"/>
              <w:rPr>
                <w:rFonts w:hint="default"/>
                <w:sz w:val="24"/>
                <w:szCs w:val="24"/>
              </w:rPr>
            </w:pPr>
          </w:p>
        </w:tc>
        <w:tc>
          <w:tcPr>
            <w:tcW w:w="578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B8D7BC3">
            <w:pPr>
              <w:pStyle w:val="42"/>
              <w:kinsoku w:val="0"/>
              <w:overflowPunct w:val="0"/>
              <w:spacing w:before="25" w:beforeLines="0" w:afterLines="0"/>
              <w:ind w:left="343"/>
              <w:rPr>
                <w:rFonts w:hint="default"/>
                <w:sz w:val="24"/>
                <w:szCs w:val="24"/>
              </w:rPr>
            </w:pPr>
            <w:r>
              <w:rPr>
                <w:rFonts w:hint="eastAsia" w:ascii="宋体" w:hAnsi="宋体" w:eastAsia="宋体"/>
                <w:sz w:val="24"/>
                <w:szCs w:val="24"/>
              </w:rPr>
              <w:t>（</w:t>
            </w:r>
            <w:r>
              <w:rPr>
                <w:rFonts w:hint="default" w:ascii="Times New Roman" w:hAnsi="Times New Roman" w:eastAsia="Times New Roman"/>
                <w:sz w:val="24"/>
                <w:szCs w:val="24"/>
              </w:rPr>
              <w:t>4</w:t>
            </w:r>
            <w:r>
              <w:rPr>
                <w:rFonts w:hint="eastAsia" w:ascii="宋体" w:hAnsi="宋体" w:eastAsia="宋体"/>
                <w:sz w:val="24"/>
                <w:szCs w:val="24"/>
              </w:rPr>
              <w:t>）按季节为保安订制服装。</w:t>
            </w:r>
          </w:p>
        </w:tc>
      </w:tr>
      <w:tr w14:paraId="6A82E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exact"/>
        </w:trPr>
        <w:tc>
          <w:tcPr>
            <w:tcW w:w="73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107C68B1">
            <w:pPr>
              <w:pStyle w:val="42"/>
              <w:kinsoku w:val="0"/>
              <w:overflowPunct w:val="0"/>
              <w:spacing w:beforeLines="0" w:afterLines="0"/>
              <w:rPr>
                <w:rFonts w:hint="eastAsia" w:ascii="宋体" w:hAnsi="宋体" w:eastAsia="宋体"/>
                <w:b/>
                <w:sz w:val="24"/>
                <w:szCs w:val="24"/>
              </w:rPr>
            </w:pPr>
          </w:p>
          <w:p w14:paraId="222F1A88">
            <w:pPr>
              <w:pStyle w:val="42"/>
              <w:kinsoku w:val="0"/>
              <w:overflowPunct w:val="0"/>
              <w:spacing w:beforeLines="0" w:afterLines="0"/>
              <w:rPr>
                <w:rFonts w:hint="eastAsia" w:ascii="宋体" w:hAnsi="宋体" w:eastAsia="宋体"/>
                <w:b/>
                <w:sz w:val="24"/>
                <w:szCs w:val="24"/>
              </w:rPr>
            </w:pPr>
          </w:p>
          <w:p w14:paraId="17DF9194">
            <w:pPr>
              <w:pStyle w:val="42"/>
              <w:kinsoku w:val="0"/>
              <w:overflowPunct w:val="0"/>
              <w:spacing w:beforeLines="0" w:afterLines="0"/>
              <w:rPr>
                <w:rFonts w:hint="eastAsia" w:ascii="宋体" w:hAnsi="宋体" w:eastAsia="宋体"/>
                <w:b/>
                <w:sz w:val="24"/>
                <w:szCs w:val="24"/>
              </w:rPr>
            </w:pPr>
          </w:p>
          <w:p w14:paraId="62E2BC86">
            <w:pPr>
              <w:pStyle w:val="42"/>
              <w:kinsoku w:val="0"/>
              <w:overflowPunct w:val="0"/>
              <w:spacing w:beforeLines="0" w:afterLines="0"/>
              <w:rPr>
                <w:rFonts w:hint="eastAsia" w:ascii="宋体" w:hAnsi="宋体" w:eastAsia="宋体"/>
                <w:b/>
                <w:sz w:val="24"/>
                <w:szCs w:val="24"/>
              </w:rPr>
            </w:pPr>
          </w:p>
          <w:p w14:paraId="69D1DFDC">
            <w:pPr>
              <w:pStyle w:val="42"/>
              <w:kinsoku w:val="0"/>
              <w:overflowPunct w:val="0"/>
              <w:spacing w:beforeLines="0" w:afterLines="0"/>
              <w:rPr>
                <w:rFonts w:hint="eastAsia" w:ascii="宋体" w:hAnsi="宋体" w:eastAsia="宋体"/>
                <w:b/>
                <w:sz w:val="24"/>
                <w:szCs w:val="24"/>
              </w:rPr>
            </w:pPr>
          </w:p>
          <w:p w14:paraId="1721816E">
            <w:pPr>
              <w:pStyle w:val="42"/>
              <w:kinsoku w:val="0"/>
              <w:overflowPunct w:val="0"/>
              <w:spacing w:beforeLines="0" w:afterLines="0"/>
              <w:rPr>
                <w:rFonts w:hint="eastAsia" w:ascii="宋体" w:hAnsi="宋体" w:eastAsia="宋体"/>
                <w:b/>
                <w:sz w:val="24"/>
                <w:szCs w:val="24"/>
              </w:rPr>
            </w:pPr>
          </w:p>
          <w:p w14:paraId="23AFAF16">
            <w:pPr>
              <w:pStyle w:val="42"/>
              <w:kinsoku w:val="0"/>
              <w:overflowPunct w:val="0"/>
              <w:spacing w:beforeLines="0" w:afterLines="0"/>
              <w:rPr>
                <w:rFonts w:hint="eastAsia" w:ascii="宋体" w:hAnsi="宋体" w:eastAsia="宋体"/>
                <w:b/>
                <w:sz w:val="24"/>
                <w:szCs w:val="24"/>
              </w:rPr>
            </w:pPr>
          </w:p>
          <w:p w14:paraId="1D3A13AD">
            <w:pPr>
              <w:pStyle w:val="42"/>
              <w:kinsoku w:val="0"/>
              <w:overflowPunct w:val="0"/>
              <w:spacing w:beforeLines="0" w:afterLines="0"/>
              <w:rPr>
                <w:rFonts w:hint="eastAsia" w:ascii="宋体" w:hAnsi="宋体" w:eastAsia="宋体"/>
                <w:b/>
                <w:sz w:val="24"/>
                <w:szCs w:val="24"/>
              </w:rPr>
            </w:pPr>
          </w:p>
          <w:p w14:paraId="1FE17692">
            <w:pPr>
              <w:pStyle w:val="42"/>
              <w:kinsoku w:val="0"/>
              <w:overflowPunct w:val="0"/>
              <w:spacing w:beforeLines="0" w:afterLines="0"/>
              <w:rPr>
                <w:rFonts w:hint="eastAsia" w:ascii="宋体" w:hAnsi="宋体" w:eastAsia="宋体"/>
                <w:b/>
                <w:sz w:val="24"/>
                <w:szCs w:val="24"/>
              </w:rPr>
            </w:pPr>
          </w:p>
          <w:p w14:paraId="64AD6D72">
            <w:pPr>
              <w:pStyle w:val="42"/>
              <w:kinsoku w:val="0"/>
              <w:overflowPunct w:val="0"/>
              <w:spacing w:beforeLines="0" w:afterLines="0"/>
              <w:rPr>
                <w:rFonts w:hint="eastAsia" w:ascii="宋体" w:hAnsi="宋体" w:eastAsia="宋体"/>
                <w:b/>
                <w:sz w:val="24"/>
                <w:szCs w:val="24"/>
              </w:rPr>
            </w:pPr>
          </w:p>
          <w:p w14:paraId="7C843B82">
            <w:pPr>
              <w:pStyle w:val="42"/>
              <w:kinsoku w:val="0"/>
              <w:overflowPunct w:val="0"/>
              <w:spacing w:before="7" w:beforeLines="0" w:afterLines="0"/>
              <w:rPr>
                <w:rFonts w:hint="eastAsia" w:ascii="宋体" w:hAnsi="宋体" w:eastAsia="宋体"/>
                <w:b/>
                <w:sz w:val="24"/>
                <w:szCs w:val="24"/>
              </w:rPr>
            </w:pPr>
          </w:p>
          <w:p w14:paraId="7379DC97">
            <w:pPr>
              <w:pStyle w:val="42"/>
              <w:kinsoku w:val="0"/>
              <w:overflowPunct w:val="0"/>
              <w:spacing w:beforeLines="0" w:afterLines="0"/>
              <w:jc w:val="center"/>
              <w:rPr>
                <w:rFonts w:hint="default"/>
                <w:sz w:val="24"/>
                <w:szCs w:val="24"/>
              </w:rPr>
            </w:pPr>
            <w:r>
              <w:rPr>
                <w:rFonts w:hint="default" w:ascii="Times New Roman" w:hAnsi="Times New Roman" w:eastAsia="Times New Roman"/>
                <w:sz w:val="24"/>
                <w:szCs w:val="24"/>
              </w:rPr>
              <w:t>2</w:t>
            </w:r>
          </w:p>
        </w:tc>
        <w:tc>
          <w:tcPr>
            <w:tcW w:w="197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033A9A0B">
            <w:pPr>
              <w:pStyle w:val="42"/>
              <w:kinsoku w:val="0"/>
              <w:overflowPunct w:val="0"/>
              <w:spacing w:beforeLines="0" w:afterLines="0"/>
              <w:rPr>
                <w:rFonts w:hint="eastAsia" w:ascii="宋体" w:hAnsi="宋体" w:eastAsia="宋体"/>
                <w:b/>
                <w:sz w:val="24"/>
                <w:szCs w:val="24"/>
              </w:rPr>
            </w:pPr>
          </w:p>
          <w:p w14:paraId="55518842">
            <w:pPr>
              <w:pStyle w:val="42"/>
              <w:kinsoku w:val="0"/>
              <w:overflowPunct w:val="0"/>
              <w:spacing w:beforeLines="0" w:afterLines="0"/>
              <w:rPr>
                <w:rFonts w:hint="eastAsia" w:ascii="宋体" w:hAnsi="宋体" w:eastAsia="宋体"/>
                <w:b/>
                <w:sz w:val="24"/>
                <w:szCs w:val="24"/>
              </w:rPr>
            </w:pPr>
          </w:p>
          <w:p w14:paraId="3B6DDC65">
            <w:pPr>
              <w:pStyle w:val="42"/>
              <w:kinsoku w:val="0"/>
              <w:overflowPunct w:val="0"/>
              <w:spacing w:beforeLines="0" w:afterLines="0"/>
              <w:rPr>
                <w:rFonts w:hint="eastAsia" w:ascii="宋体" w:hAnsi="宋体" w:eastAsia="宋体"/>
                <w:b/>
                <w:sz w:val="24"/>
                <w:szCs w:val="24"/>
              </w:rPr>
            </w:pPr>
          </w:p>
          <w:p w14:paraId="42FD6BE8">
            <w:pPr>
              <w:pStyle w:val="42"/>
              <w:kinsoku w:val="0"/>
              <w:overflowPunct w:val="0"/>
              <w:spacing w:beforeLines="0" w:afterLines="0"/>
              <w:rPr>
                <w:rFonts w:hint="eastAsia" w:ascii="宋体" w:hAnsi="宋体" w:eastAsia="宋体"/>
                <w:b/>
                <w:sz w:val="24"/>
                <w:szCs w:val="24"/>
              </w:rPr>
            </w:pPr>
          </w:p>
          <w:p w14:paraId="64E8DA08">
            <w:pPr>
              <w:pStyle w:val="42"/>
              <w:kinsoku w:val="0"/>
              <w:overflowPunct w:val="0"/>
              <w:spacing w:beforeLines="0" w:afterLines="0"/>
              <w:rPr>
                <w:rFonts w:hint="eastAsia" w:ascii="宋体" w:hAnsi="宋体" w:eastAsia="宋体"/>
                <w:b/>
                <w:sz w:val="24"/>
                <w:szCs w:val="24"/>
              </w:rPr>
            </w:pPr>
          </w:p>
          <w:p w14:paraId="05DCA892">
            <w:pPr>
              <w:pStyle w:val="42"/>
              <w:kinsoku w:val="0"/>
              <w:overflowPunct w:val="0"/>
              <w:spacing w:beforeLines="0" w:afterLines="0"/>
              <w:rPr>
                <w:rFonts w:hint="eastAsia" w:ascii="宋体" w:hAnsi="宋体" w:eastAsia="宋体"/>
                <w:b/>
                <w:sz w:val="24"/>
                <w:szCs w:val="24"/>
              </w:rPr>
            </w:pPr>
          </w:p>
          <w:p w14:paraId="019405AC">
            <w:pPr>
              <w:pStyle w:val="42"/>
              <w:kinsoku w:val="0"/>
              <w:overflowPunct w:val="0"/>
              <w:spacing w:beforeLines="0" w:afterLines="0"/>
              <w:rPr>
                <w:rFonts w:hint="eastAsia" w:ascii="宋体" w:hAnsi="宋体" w:eastAsia="宋体"/>
                <w:b/>
                <w:sz w:val="24"/>
                <w:szCs w:val="24"/>
              </w:rPr>
            </w:pPr>
          </w:p>
          <w:p w14:paraId="1A3B0A44">
            <w:pPr>
              <w:pStyle w:val="42"/>
              <w:kinsoku w:val="0"/>
              <w:overflowPunct w:val="0"/>
              <w:spacing w:beforeLines="0" w:afterLines="0"/>
              <w:rPr>
                <w:rFonts w:hint="eastAsia" w:ascii="宋体" w:hAnsi="宋体" w:eastAsia="宋体"/>
                <w:b/>
                <w:sz w:val="24"/>
                <w:szCs w:val="24"/>
              </w:rPr>
            </w:pPr>
          </w:p>
          <w:p w14:paraId="32D66A50">
            <w:pPr>
              <w:pStyle w:val="42"/>
              <w:kinsoku w:val="0"/>
              <w:overflowPunct w:val="0"/>
              <w:spacing w:beforeLines="0" w:afterLines="0"/>
              <w:rPr>
                <w:rFonts w:hint="eastAsia" w:ascii="宋体" w:hAnsi="宋体" w:eastAsia="宋体"/>
                <w:b/>
                <w:sz w:val="24"/>
                <w:szCs w:val="24"/>
              </w:rPr>
            </w:pPr>
          </w:p>
          <w:p w14:paraId="23E30286">
            <w:pPr>
              <w:pStyle w:val="42"/>
              <w:kinsoku w:val="0"/>
              <w:overflowPunct w:val="0"/>
              <w:spacing w:beforeLines="0" w:afterLines="0"/>
              <w:rPr>
                <w:rFonts w:hint="eastAsia" w:ascii="宋体" w:hAnsi="宋体" w:eastAsia="宋体"/>
                <w:b/>
                <w:sz w:val="24"/>
                <w:szCs w:val="24"/>
              </w:rPr>
            </w:pPr>
          </w:p>
          <w:p w14:paraId="31A03EEC">
            <w:pPr>
              <w:pStyle w:val="42"/>
              <w:kinsoku w:val="0"/>
              <w:overflowPunct w:val="0"/>
              <w:spacing w:before="11" w:beforeLines="0" w:afterLines="0"/>
              <w:rPr>
                <w:rFonts w:hint="eastAsia" w:ascii="宋体" w:hAnsi="宋体" w:eastAsia="宋体"/>
                <w:b/>
                <w:sz w:val="19"/>
                <w:szCs w:val="24"/>
              </w:rPr>
            </w:pPr>
          </w:p>
          <w:p w14:paraId="4DDA6478">
            <w:pPr>
              <w:pStyle w:val="42"/>
              <w:kinsoku w:val="0"/>
              <w:overflowPunct w:val="0"/>
              <w:spacing w:beforeLines="0" w:afterLines="0"/>
              <w:ind w:left="103"/>
              <w:rPr>
                <w:rFonts w:hint="default"/>
                <w:sz w:val="24"/>
                <w:szCs w:val="24"/>
              </w:rPr>
            </w:pPr>
            <w:r>
              <w:rPr>
                <w:rFonts w:hint="eastAsia" w:ascii="宋体" w:hAnsi="宋体" w:eastAsia="宋体"/>
                <w:sz w:val="24"/>
                <w:szCs w:val="24"/>
              </w:rPr>
              <w:t>出入管理</w:t>
            </w:r>
          </w:p>
        </w:tc>
        <w:tc>
          <w:tcPr>
            <w:tcW w:w="578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CEEA2B2">
            <w:pPr>
              <w:pStyle w:val="42"/>
              <w:kinsoku w:val="0"/>
              <w:overflowPunct w:val="0"/>
              <w:spacing w:before="26" w:beforeLines="0" w:afterLines="0" w:line="336" w:lineRule="auto"/>
              <w:ind w:left="103" w:right="108" w:firstLine="240"/>
              <w:rPr>
                <w:rFonts w:hint="default"/>
                <w:sz w:val="24"/>
                <w:szCs w:val="24"/>
              </w:rPr>
            </w:pPr>
            <w:r>
              <w:rPr>
                <w:rFonts w:hint="eastAsia" w:ascii="宋体" w:hAnsi="宋体" w:eastAsia="宋体"/>
                <w:sz w:val="24"/>
                <w:szCs w:val="24"/>
              </w:rPr>
              <w:t>（</w:t>
            </w:r>
            <w:r>
              <w:rPr>
                <w:rFonts w:hint="default" w:ascii="Times New Roman" w:hAnsi="Times New Roman" w:eastAsia="Times New Roman"/>
                <w:sz w:val="24"/>
                <w:szCs w:val="24"/>
              </w:rPr>
              <w:t>1</w:t>
            </w:r>
            <w:r>
              <w:rPr>
                <w:rFonts w:hint="eastAsia" w:ascii="宋体" w:hAnsi="宋体" w:eastAsia="宋体"/>
                <w:sz w:val="24"/>
                <w:szCs w:val="24"/>
              </w:rPr>
              <w:t>）</w:t>
            </w:r>
            <w:r>
              <w:rPr>
                <w:rFonts w:hint="eastAsia" w:ascii="宋体" w:hAnsi="宋体" w:eastAsia="宋体"/>
                <w:sz w:val="24"/>
                <w:szCs w:val="24"/>
                <w:lang w:val="en-US" w:eastAsia="zh-CN"/>
              </w:rPr>
              <w:t>场馆</w:t>
            </w:r>
            <w:r>
              <w:rPr>
                <w:rFonts w:hint="eastAsia" w:ascii="宋体" w:hAnsi="宋体" w:eastAsia="宋体"/>
                <w:sz w:val="24"/>
                <w:szCs w:val="24"/>
              </w:rPr>
              <w:t>入口应当实行</w:t>
            </w:r>
            <w:r>
              <w:rPr>
                <w:rFonts w:hint="default" w:ascii="Times New Roman" w:hAnsi="Times New Roman" w:eastAsia="Times New Roman"/>
                <w:sz w:val="24"/>
                <w:szCs w:val="24"/>
              </w:rPr>
              <w:t>24</w:t>
            </w:r>
            <w:r>
              <w:rPr>
                <w:rFonts w:hint="eastAsia" w:ascii="宋体" w:hAnsi="宋体" w:eastAsia="宋体"/>
                <w:sz w:val="24"/>
                <w:szCs w:val="24"/>
              </w:rPr>
              <w:t>小时值班制。</w:t>
            </w:r>
          </w:p>
        </w:tc>
      </w:tr>
      <w:tr w14:paraId="37E82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7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19DBA5BB">
            <w:pPr>
              <w:pStyle w:val="42"/>
              <w:kinsoku w:val="0"/>
              <w:overflowPunct w:val="0"/>
              <w:spacing w:before="26" w:beforeLines="0" w:afterLines="0" w:line="336" w:lineRule="auto"/>
              <w:ind w:left="103" w:right="108" w:firstLine="240"/>
              <w:rPr>
                <w:rFonts w:hint="default"/>
                <w:sz w:val="24"/>
                <w:szCs w:val="24"/>
              </w:rPr>
            </w:pPr>
          </w:p>
        </w:tc>
        <w:tc>
          <w:tcPr>
            <w:tcW w:w="197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0DA166B8">
            <w:pPr>
              <w:pStyle w:val="42"/>
              <w:kinsoku w:val="0"/>
              <w:overflowPunct w:val="0"/>
              <w:spacing w:before="26" w:beforeLines="0" w:afterLines="0" w:line="336" w:lineRule="auto"/>
              <w:ind w:left="103" w:right="108" w:firstLine="240"/>
              <w:rPr>
                <w:rFonts w:hint="default"/>
                <w:sz w:val="24"/>
                <w:szCs w:val="24"/>
              </w:rPr>
            </w:pPr>
          </w:p>
        </w:tc>
        <w:tc>
          <w:tcPr>
            <w:tcW w:w="578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C76905C">
            <w:pPr>
              <w:pStyle w:val="42"/>
              <w:kinsoku w:val="0"/>
              <w:overflowPunct w:val="0"/>
              <w:spacing w:before="23" w:beforeLines="0" w:afterLines="0"/>
              <w:ind w:left="343"/>
              <w:rPr>
                <w:rFonts w:hint="default"/>
                <w:sz w:val="24"/>
                <w:szCs w:val="24"/>
              </w:rPr>
            </w:pPr>
            <w:r>
              <w:rPr>
                <w:rFonts w:hint="eastAsia" w:ascii="宋体" w:hAnsi="宋体" w:eastAsia="宋体"/>
                <w:sz w:val="24"/>
                <w:szCs w:val="24"/>
              </w:rPr>
              <w:t>（</w:t>
            </w:r>
            <w:r>
              <w:rPr>
                <w:rFonts w:hint="default" w:ascii="Times New Roman" w:hAnsi="Times New Roman" w:eastAsia="Times New Roman"/>
                <w:sz w:val="24"/>
                <w:szCs w:val="24"/>
              </w:rPr>
              <w:t>2</w:t>
            </w:r>
            <w:r>
              <w:rPr>
                <w:rFonts w:hint="eastAsia" w:ascii="宋体" w:hAnsi="宋体" w:eastAsia="宋体"/>
                <w:sz w:val="24"/>
                <w:szCs w:val="24"/>
              </w:rPr>
              <w:t>）设置门岗。</w:t>
            </w:r>
          </w:p>
        </w:tc>
      </w:tr>
      <w:tr w14:paraId="48C18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exact"/>
        </w:trPr>
        <w:tc>
          <w:tcPr>
            <w:tcW w:w="7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2AA48F15">
            <w:pPr>
              <w:pStyle w:val="42"/>
              <w:kinsoku w:val="0"/>
              <w:overflowPunct w:val="0"/>
              <w:spacing w:before="23" w:beforeLines="0" w:afterLines="0"/>
              <w:ind w:left="343"/>
              <w:rPr>
                <w:rFonts w:hint="default"/>
                <w:sz w:val="24"/>
                <w:szCs w:val="24"/>
              </w:rPr>
            </w:pPr>
          </w:p>
        </w:tc>
        <w:tc>
          <w:tcPr>
            <w:tcW w:w="197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2D2E5EA9">
            <w:pPr>
              <w:pStyle w:val="42"/>
              <w:kinsoku w:val="0"/>
              <w:overflowPunct w:val="0"/>
              <w:spacing w:before="23" w:beforeLines="0" w:afterLines="0"/>
              <w:ind w:left="343"/>
              <w:rPr>
                <w:rFonts w:hint="default"/>
                <w:sz w:val="24"/>
                <w:szCs w:val="24"/>
              </w:rPr>
            </w:pPr>
          </w:p>
        </w:tc>
        <w:tc>
          <w:tcPr>
            <w:tcW w:w="5786" w:type="dxa"/>
            <w:tcBorders>
              <w:top w:val="single" w:color="000000" w:sz="4" w:space="0"/>
              <w:left w:val="single" w:color="000000" w:sz="4" w:space="0"/>
              <w:bottom w:val="nil"/>
              <w:right w:val="single" w:color="000000" w:sz="4" w:space="0"/>
              <w:tl2br w:val="nil"/>
              <w:tr2bl w:val="nil"/>
            </w:tcBorders>
            <w:noWrap w:val="0"/>
            <w:vAlign w:val="top"/>
          </w:tcPr>
          <w:p w14:paraId="43312415">
            <w:pPr>
              <w:pStyle w:val="42"/>
              <w:kinsoku w:val="0"/>
              <w:overflowPunct w:val="0"/>
              <w:spacing w:before="24" w:beforeLines="0" w:afterLines="0"/>
              <w:ind w:left="343"/>
              <w:rPr>
                <w:rFonts w:hint="default"/>
                <w:sz w:val="24"/>
                <w:szCs w:val="24"/>
              </w:rPr>
            </w:pPr>
            <w:r>
              <w:rPr>
                <w:rFonts w:hint="eastAsia" w:ascii="宋体" w:hAnsi="宋体" w:eastAsia="宋体"/>
                <w:sz w:val="24"/>
                <w:szCs w:val="24"/>
              </w:rPr>
              <w:t>（</w:t>
            </w:r>
            <w:r>
              <w:rPr>
                <w:rFonts w:hint="default" w:ascii="Times New Roman" w:hAnsi="Times New Roman" w:eastAsia="Times New Roman"/>
                <w:sz w:val="24"/>
                <w:szCs w:val="24"/>
              </w:rPr>
              <w:t>3</w:t>
            </w:r>
            <w:r>
              <w:rPr>
                <w:rFonts w:hint="eastAsia" w:ascii="宋体" w:hAnsi="宋体" w:eastAsia="宋体"/>
                <w:sz w:val="24"/>
                <w:szCs w:val="24"/>
              </w:rPr>
              <w:t>）在出入口对外来人员及其携带大件物品进</w:t>
            </w:r>
          </w:p>
        </w:tc>
      </w:tr>
      <w:tr w14:paraId="7B41E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exact"/>
        </w:trPr>
        <w:tc>
          <w:tcPr>
            <w:tcW w:w="7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0E018591">
            <w:pPr>
              <w:pStyle w:val="42"/>
              <w:kinsoku w:val="0"/>
              <w:overflowPunct w:val="0"/>
              <w:spacing w:before="24" w:beforeLines="0" w:afterLines="0"/>
              <w:ind w:left="343"/>
              <w:rPr>
                <w:rFonts w:hint="default"/>
                <w:sz w:val="24"/>
                <w:szCs w:val="24"/>
              </w:rPr>
            </w:pPr>
          </w:p>
        </w:tc>
        <w:tc>
          <w:tcPr>
            <w:tcW w:w="197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307DAB91">
            <w:pPr>
              <w:pStyle w:val="42"/>
              <w:kinsoku w:val="0"/>
              <w:overflowPunct w:val="0"/>
              <w:spacing w:before="24" w:beforeLines="0" w:afterLines="0"/>
              <w:ind w:left="343"/>
              <w:rPr>
                <w:rFonts w:hint="default"/>
                <w:sz w:val="24"/>
                <w:szCs w:val="24"/>
              </w:rPr>
            </w:pPr>
          </w:p>
        </w:tc>
        <w:tc>
          <w:tcPr>
            <w:tcW w:w="5786" w:type="dxa"/>
            <w:tcBorders>
              <w:top w:val="nil"/>
              <w:left w:val="single" w:color="000000" w:sz="4" w:space="0"/>
              <w:bottom w:val="nil"/>
              <w:right w:val="single" w:color="000000" w:sz="4" w:space="0"/>
              <w:tl2br w:val="nil"/>
              <w:tr2bl w:val="nil"/>
            </w:tcBorders>
            <w:noWrap w:val="0"/>
            <w:vAlign w:val="top"/>
          </w:tcPr>
          <w:p w14:paraId="365C578E">
            <w:pPr>
              <w:pStyle w:val="42"/>
              <w:kinsoku w:val="0"/>
              <w:overflowPunct w:val="0"/>
              <w:spacing w:before="32" w:beforeLines="0" w:afterLines="0"/>
              <w:ind w:left="103"/>
              <w:rPr>
                <w:rFonts w:hint="default"/>
                <w:sz w:val="24"/>
                <w:szCs w:val="24"/>
              </w:rPr>
            </w:pPr>
            <w:r>
              <w:rPr>
                <w:rFonts w:hint="eastAsia" w:ascii="宋体" w:hAnsi="宋体" w:eastAsia="宋体"/>
                <w:sz w:val="24"/>
                <w:szCs w:val="24"/>
              </w:rPr>
              <w:t>行询问和记录，并与相关部门取得联系，同意后方可</w:t>
            </w:r>
          </w:p>
        </w:tc>
      </w:tr>
      <w:tr w14:paraId="4885A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7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6F53D013">
            <w:pPr>
              <w:pStyle w:val="42"/>
              <w:kinsoku w:val="0"/>
              <w:overflowPunct w:val="0"/>
              <w:spacing w:before="32" w:beforeLines="0" w:afterLines="0"/>
              <w:ind w:left="103"/>
              <w:rPr>
                <w:rFonts w:hint="default"/>
                <w:sz w:val="24"/>
                <w:szCs w:val="24"/>
              </w:rPr>
            </w:pPr>
          </w:p>
        </w:tc>
        <w:tc>
          <w:tcPr>
            <w:tcW w:w="197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3A0E1258">
            <w:pPr>
              <w:pStyle w:val="42"/>
              <w:kinsoku w:val="0"/>
              <w:overflowPunct w:val="0"/>
              <w:spacing w:before="32" w:beforeLines="0" w:afterLines="0"/>
              <w:ind w:left="103"/>
              <w:rPr>
                <w:rFonts w:hint="default"/>
                <w:sz w:val="24"/>
                <w:szCs w:val="24"/>
              </w:rPr>
            </w:pPr>
          </w:p>
        </w:tc>
        <w:tc>
          <w:tcPr>
            <w:tcW w:w="5786" w:type="dxa"/>
            <w:tcBorders>
              <w:top w:val="nil"/>
              <w:left w:val="single" w:color="000000" w:sz="4" w:space="0"/>
              <w:bottom w:val="single" w:color="000000" w:sz="4" w:space="0"/>
              <w:right w:val="single" w:color="000000" w:sz="4" w:space="0"/>
              <w:tl2br w:val="nil"/>
              <w:tr2bl w:val="nil"/>
            </w:tcBorders>
            <w:noWrap w:val="0"/>
            <w:vAlign w:val="top"/>
          </w:tcPr>
          <w:p w14:paraId="2E930484">
            <w:pPr>
              <w:pStyle w:val="42"/>
              <w:kinsoku w:val="0"/>
              <w:overflowPunct w:val="0"/>
              <w:spacing w:beforeLines="0" w:afterLines="0"/>
              <w:ind w:left="103"/>
              <w:rPr>
                <w:rFonts w:hint="default"/>
                <w:sz w:val="24"/>
                <w:szCs w:val="24"/>
              </w:rPr>
            </w:pPr>
            <w:r>
              <w:rPr>
                <w:rFonts w:hint="eastAsia" w:ascii="宋体" w:hAnsi="宋体" w:eastAsia="宋体"/>
                <w:sz w:val="24"/>
                <w:szCs w:val="24"/>
              </w:rPr>
              <w:t>进入。</w:t>
            </w:r>
          </w:p>
        </w:tc>
      </w:tr>
      <w:tr w14:paraId="13E58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exact"/>
        </w:trPr>
        <w:tc>
          <w:tcPr>
            <w:tcW w:w="7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6CE28FC8">
            <w:pPr>
              <w:pStyle w:val="42"/>
              <w:kinsoku w:val="0"/>
              <w:overflowPunct w:val="0"/>
              <w:spacing w:beforeLines="0" w:afterLines="0"/>
              <w:ind w:left="103"/>
              <w:rPr>
                <w:rFonts w:hint="default"/>
                <w:sz w:val="24"/>
                <w:szCs w:val="24"/>
              </w:rPr>
            </w:pPr>
          </w:p>
        </w:tc>
        <w:tc>
          <w:tcPr>
            <w:tcW w:w="197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5DED7613">
            <w:pPr>
              <w:pStyle w:val="42"/>
              <w:kinsoku w:val="0"/>
              <w:overflowPunct w:val="0"/>
              <w:spacing w:beforeLines="0" w:afterLines="0"/>
              <w:ind w:left="103"/>
              <w:rPr>
                <w:rFonts w:hint="default"/>
                <w:sz w:val="24"/>
                <w:szCs w:val="24"/>
              </w:rPr>
            </w:pPr>
          </w:p>
        </w:tc>
        <w:tc>
          <w:tcPr>
            <w:tcW w:w="578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C142AD1">
            <w:pPr>
              <w:pStyle w:val="42"/>
              <w:kinsoku w:val="0"/>
              <w:overflowPunct w:val="0"/>
              <w:spacing w:before="24" w:beforeLines="0" w:afterLines="0" w:line="336" w:lineRule="auto"/>
              <w:ind w:left="103" w:right="211" w:firstLine="240"/>
              <w:rPr>
                <w:rFonts w:hint="default"/>
                <w:sz w:val="24"/>
                <w:szCs w:val="24"/>
              </w:rPr>
            </w:pPr>
            <w:r>
              <w:rPr>
                <w:rFonts w:hint="eastAsia" w:ascii="宋体" w:hAnsi="宋体" w:eastAsia="宋体"/>
                <w:sz w:val="24"/>
                <w:szCs w:val="24"/>
              </w:rPr>
              <w:t>（</w:t>
            </w:r>
            <w:r>
              <w:rPr>
                <w:rFonts w:hint="default" w:ascii="Times New Roman" w:hAnsi="Times New Roman" w:eastAsia="Times New Roman"/>
                <w:sz w:val="24"/>
                <w:szCs w:val="24"/>
              </w:rPr>
              <w:t>4</w:t>
            </w:r>
            <w:r>
              <w:rPr>
                <w:rFonts w:hint="eastAsia" w:ascii="宋体" w:hAnsi="宋体" w:eastAsia="宋体"/>
                <w:sz w:val="24"/>
                <w:szCs w:val="24"/>
              </w:rPr>
              <w:t>）大件物品搬出有相关部门开具的证明和清单，经核实后放行。</w:t>
            </w:r>
          </w:p>
        </w:tc>
      </w:tr>
      <w:tr w14:paraId="41E88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exact"/>
        </w:trPr>
        <w:tc>
          <w:tcPr>
            <w:tcW w:w="7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A12674C">
            <w:pPr>
              <w:pStyle w:val="42"/>
              <w:kinsoku w:val="0"/>
              <w:overflowPunct w:val="0"/>
              <w:spacing w:before="24" w:beforeLines="0" w:afterLines="0" w:line="336" w:lineRule="auto"/>
              <w:ind w:left="103" w:right="211" w:firstLine="240"/>
              <w:rPr>
                <w:rFonts w:hint="default"/>
                <w:sz w:val="24"/>
                <w:szCs w:val="24"/>
              </w:rPr>
            </w:pPr>
          </w:p>
        </w:tc>
        <w:tc>
          <w:tcPr>
            <w:tcW w:w="197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3D8BDB1A">
            <w:pPr>
              <w:pStyle w:val="42"/>
              <w:kinsoku w:val="0"/>
              <w:overflowPunct w:val="0"/>
              <w:spacing w:before="24" w:beforeLines="0" w:afterLines="0" w:line="336" w:lineRule="auto"/>
              <w:ind w:left="103" w:right="211" w:firstLine="240"/>
              <w:rPr>
                <w:rFonts w:hint="default"/>
                <w:sz w:val="24"/>
                <w:szCs w:val="24"/>
              </w:rPr>
            </w:pPr>
          </w:p>
        </w:tc>
        <w:tc>
          <w:tcPr>
            <w:tcW w:w="5786" w:type="dxa"/>
            <w:tcBorders>
              <w:top w:val="single" w:color="000000" w:sz="4" w:space="0"/>
              <w:left w:val="single" w:color="000000" w:sz="4" w:space="0"/>
              <w:bottom w:val="nil"/>
              <w:right w:val="single" w:color="000000" w:sz="4" w:space="0"/>
              <w:tl2br w:val="nil"/>
              <w:tr2bl w:val="nil"/>
            </w:tcBorders>
            <w:noWrap w:val="0"/>
            <w:vAlign w:val="top"/>
          </w:tcPr>
          <w:p w14:paraId="099CFD7D">
            <w:pPr>
              <w:pStyle w:val="42"/>
              <w:kinsoku w:val="0"/>
              <w:overflowPunct w:val="0"/>
              <w:spacing w:before="24" w:beforeLines="0" w:afterLines="0"/>
              <w:ind w:left="343"/>
              <w:rPr>
                <w:rFonts w:hint="default"/>
                <w:sz w:val="24"/>
                <w:szCs w:val="24"/>
              </w:rPr>
            </w:pPr>
            <w:r>
              <w:rPr>
                <w:rFonts w:hint="eastAsia" w:ascii="宋体" w:hAnsi="宋体" w:eastAsia="宋体"/>
                <w:sz w:val="24"/>
                <w:szCs w:val="24"/>
              </w:rPr>
              <w:t>（</w:t>
            </w:r>
            <w:r>
              <w:rPr>
                <w:rFonts w:hint="default" w:ascii="Times New Roman" w:hAnsi="Times New Roman" w:eastAsia="Times New Roman"/>
                <w:sz w:val="24"/>
                <w:szCs w:val="24"/>
              </w:rPr>
              <w:t>5</w:t>
            </w:r>
            <w:r>
              <w:rPr>
                <w:rFonts w:hint="eastAsia" w:ascii="宋体" w:hAnsi="宋体" w:eastAsia="宋体"/>
                <w:sz w:val="24"/>
                <w:szCs w:val="24"/>
              </w:rPr>
              <w:t>）排查可疑人员，对于不出示证件、不按规</w:t>
            </w:r>
          </w:p>
        </w:tc>
      </w:tr>
      <w:tr w14:paraId="2A428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exact"/>
        </w:trPr>
        <w:tc>
          <w:tcPr>
            <w:tcW w:w="7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510E6045">
            <w:pPr>
              <w:pStyle w:val="42"/>
              <w:kinsoku w:val="0"/>
              <w:overflowPunct w:val="0"/>
              <w:spacing w:before="24" w:beforeLines="0" w:afterLines="0"/>
              <w:ind w:left="343"/>
              <w:rPr>
                <w:rFonts w:hint="default"/>
                <w:sz w:val="24"/>
                <w:szCs w:val="24"/>
              </w:rPr>
            </w:pPr>
          </w:p>
        </w:tc>
        <w:tc>
          <w:tcPr>
            <w:tcW w:w="197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56E360A6">
            <w:pPr>
              <w:pStyle w:val="42"/>
              <w:kinsoku w:val="0"/>
              <w:overflowPunct w:val="0"/>
              <w:spacing w:before="24" w:beforeLines="0" w:afterLines="0"/>
              <w:ind w:left="343"/>
              <w:rPr>
                <w:rFonts w:hint="default"/>
                <w:sz w:val="24"/>
                <w:szCs w:val="24"/>
              </w:rPr>
            </w:pPr>
          </w:p>
        </w:tc>
        <w:tc>
          <w:tcPr>
            <w:tcW w:w="5786" w:type="dxa"/>
            <w:tcBorders>
              <w:top w:val="nil"/>
              <w:left w:val="single" w:color="000000" w:sz="4" w:space="0"/>
              <w:bottom w:val="nil"/>
              <w:right w:val="single" w:color="000000" w:sz="4" w:space="0"/>
              <w:tl2br w:val="nil"/>
              <w:tr2bl w:val="nil"/>
            </w:tcBorders>
            <w:noWrap w:val="0"/>
            <w:vAlign w:val="top"/>
          </w:tcPr>
          <w:p w14:paraId="79C4E646">
            <w:pPr>
              <w:pStyle w:val="42"/>
              <w:kinsoku w:val="0"/>
              <w:overflowPunct w:val="0"/>
              <w:spacing w:before="32" w:beforeLines="0" w:afterLines="0"/>
              <w:ind w:left="103"/>
              <w:rPr>
                <w:rFonts w:hint="default"/>
                <w:sz w:val="24"/>
                <w:szCs w:val="24"/>
              </w:rPr>
            </w:pPr>
            <w:r>
              <w:rPr>
                <w:rFonts w:hint="eastAsia" w:ascii="宋体" w:hAnsi="宋体" w:eastAsia="宋体"/>
                <w:sz w:val="24"/>
                <w:szCs w:val="24"/>
              </w:rPr>
              <w:t>定登记、不听劝阻而强行闯入者，及时劝离，必要时</w:t>
            </w:r>
          </w:p>
        </w:tc>
      </w:tr>
      <w:tr w14:paraId="087D3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exact"/>
        </w:trPr>
        <w:tc>
          <w:tcPr>
            <w:tcW w:w="7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3839C97C">
            <w:pPr>
              <w:pStyle w:val="42"/>
              <w:kinsoku w:val="0"/>
              <w:overflowPunct w:val="0"/>
              <w:spacing w:before="32" w:beforeLines="0" w:afterLines="0"/>
              <w:ind w:left="103"/>
              <w:rPr>
                <w:rFonts w:hint="default"/>
                <w:sz w:val="24"/>
                <w:szCs w:val="24"/>
              </w:rPr>
            </w:pPr>
          </w:p>
        </w:tc>
        <w:tc>
          <w:tcPr>
            <w:tcW w:w="197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AF94C0A">
            <w:pPr>
              <w:pStyle w:val="42"/>
              <w:kinsoku w:val="0"/>
              <w:overflowPunct w:val="0"/>
              <w:spacing w:before="32" w:beforeLines="0" w:afterLines="0"/>
              <w:ind w:left="103"/>
              <w:rPr>
                <w:rFonts w:hint="default"/>
                <w:sz w:val="24"/>
                <w:szCs w:val="24"/>
              </w:rPr>
            </w:pPr>
          </w:p>
        </w:tc>
        <w:tc>
          <w:tcPr>
            <w:tcW w:w="5786" w:type="dxa"/>
            <w:tcBorders>
              <w:top w:val="nil"/>
              <w:left w:val="single" w:color="000000" w:sz="4" w:space="0"/>
              <w:bottom w:val="single" w:color="000000" w:sz="4" w:space="0"/>
              <w:right w:val="single" w:color="000000" w:sz="4" w:space="0"/>
              <w:tl2br w:val="nil"/>
              <w:tr2bl w:val="nil"/>
            </w:tcBorders>
            <w:noWrap w:val="0"/>
            <w:vAlign w:val="top"/>
          </w:tcPr>
          <w:p w14:paraId="380592E3">
            <w:pPr>
              <w:pStyle w:val="42"/>
              <w:kinsoku w:val="0"/>
              <w:overflowPunct w:val="0"/>
              <w:spacing w:beforeLines="0" w:afterLines="0"/>
              <w:ind w:left="103"/>
              <w:rPr>
                <w:rFonts w:hint="default"/>
                <w:sz w:val="24"/>
                <w:szCs w:val="24"/>
              </w:rPr>
            </w:pPr>
            <w:r>
              <w:rPr>
                <w:rFonts w:hint="eastAsia" w:ascii="宋体" w:hAnsi="宋体" w:eastAsia="宋体"/>
                <w:sz w:val="24"/>
                <w:szCs w:val="24"/>
              </w:rPr>
              <w:t>通知公安机关进行处理。</w:t>
            </w:r>
          </w:p>
        </w:tc>
      </w:tr>
      <w:tr w14:paraId="386C6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exact"/>
        </w:trPr>
        <w:tc>
          <w:tcPr>
            <w:tcW w:w="7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6739D25E">
            <w:pPr>
              <w:pStyle w:val="42"/>
              <w:kinsoku w:val="0"/>
              <w:overflowPunct w:val="0"/>
              <w:spacing w:beforeLines="0" w:afterLines="0"/>
              <w:ind w:left="103"/>
              <w:rPr>
                <w:rFonts w:hint="default"/>
                <w:sz w:val="24"/>
                <w:szCs w:val="24"/>
              </w:rPr>
            </w:pPr>
          </w:p>
        </w:tc>
        <w:tc>
          <w:tcPr>
            <w:tcW w:w="197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3D84DCAF">
            <w:pPr>
              <w:pStyle w:val="42"/>
              <w:kinsoku w:val="0"/>
              <w:overflowPunct w:val="0"/>
              <w:spacing w:beforeLines="0" w:afterLines="0"/>
              <w:ind w:left="103"/>
              <w:rPr>
                <w:rFonts w:hint="default"/>
                <w:sz w:val="24"/>
                <w:szCs w:val="24"/>
              </w:rPr>
            </w:pPr>
          </w:p>
        </w:tc>
        <w:tc>
          <w:tcPr>
            <w:tcW w:w="5786" w:type="dxa"/>
            <w:tcBorders>
              <w:top w:val="single" w:color="000000" w:sz="4" w:space="0"/>
              <w:left w:val="single" w:color="000000" w:sz="4" w:space="0"/>
              <w:bottom w:val="nil"/>
              <w:right w:val="single" w:color="000000" w:sz="4" w:space="0"/>
              <w:tl2br w:val="nil"/>
              <w:tr2bl w:val="nil"/>
            </w:tcBorders>
            <w:noWrap w:val="0"/>
            <w:vAlign w:val="top"/>
          </w:tcPr>
          <w:p w14:paraId="6843275F">
            <w:pPr>
              <w:pStyle w:val="42"/>
              <w:kinsoku w:val="0"/>
              <w:overflowPunct w:val="0"/>
              <w:spacing w:before="24" w:beforeLines="0" w:afterLines="0"/>
              <w:ind w:left="343"/>
              <w:rPr>
                <w:rFonts w:hint="default"/>
                <w:sz w:val="24"/>
                <w:szCs w:val="24"/>
              </w:rPr>
            </w:pPr>
            <w:r>
              <w:rPr>
                <w:rFonts w:hint="eastAsia" w:ascii="宋体" w:hAnsi="宋体" w:eastAsia="宋体"/>
                <w:sz w:val="24"/>
                <w:szCs w:val="24"/>
              </w:rPr>
              <w:t>（</w:t>
            </w:r>
            <w:r>
              <w:rPr>
                <w:rFonts w:hint="default" w:ascii="Times New Roman" w:hAnsi="Times New Roman" w:eastAsia="Times New Roman"/>
                <w:sz w:val="24"/>
                <w:szCs w:val="24"/>
              </w:rPr>
              <w:t>6</w:t>
            </w:r>
            <w:r>
              <w:rPr>
                <w:rFonts w:hint="eastAsia" w:ascii="宋体" w:hAnsi="宋体" w:eastAsia="宋体"/>
                <w:sz w:val="24"/>
                <w:szCs w:val="24"/>
              </w:rPr>
              <w:t>）配合相关部门积极疏导上访人员，有效疏</w:t>
            </w:r>
          </w:p>
        </w:tc>
      </w:tr>
      <w:tr w14:paraId="2FEA9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exact"/>
        </w:trPr>
        <w:tc>
          <w:tcPr>
            <w:tcW w:w="7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61B5EDFE">
            <w:pPr>
              <w:pStyle w:val="42"/>
              <w:kinsoku w:val="0"/>
              <w:overflowPunct w:val="0"/>
              <w:spacing w:before="24" w:beforeLines="0" w:afterLines="0"/>
              <w:ind w:left="343"/>
              <w:rPr>
                <w:rFonts w:hint="default"/>
                <w:sz w:val="24"/>
                <w:szCs w:val="24"/>
              </w:rPr>
            </w:pPr>
          </w:p>
        </w:tc>
        <w:tc>
          <w:tcPr>
            <w:tcW w:w="197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37E476E8">
            <w:pPr>
              <w:pStyle w:val="42"/>
              <w:kinsoku w:val="0"/>
              <w:overflowPunct w:val="0"/>
              <w:spacing w:before="24" w:beforeLines="0" w:afterLines="0"/>
              <w:ind w:left="343"/>
              <w:rPr>
                <w:rFonts w:hint="default"/>
                <w:sz w:val="24"/>
                <w:szCs w:val="24"/>
              </w:rPr>
            </w:pPr>
          </w:p>
        </w:tc>
        <w:tc>
          <w:tcPr>
            <w:tcW w:w="5786" w:type="dxa"/>
            <w:tcBorders>
              <w:top w:val="nil"/>
              <w:left w:val="single" w:color="000000" w:sz="4" w:space="0"/>
              <w:bottom w:val="nil"/>
              <w:right w:val="single" w:color="000000" w:sz="4" w:space="0"/>
              <w:tl2br w:val="nil"/>
              <w:tr2bl w:val="nil"/>
            </w:tcBorders>
            <w:noWrap w:val="0"/>
            <w:vAlign w:val="top"/>
          </w:tcPr>
          <w:p w14:paraId="5C230A22">
            <w:pPr>
              <w:pStyle w:val="42"/>
              <w:kinsoku w:val="0"/>
              <w:overflowPunct w:val="0"/>
              <w:spacing w:before="32" w:beforeLines="0" w:afterLines="0"/>
              <w:ind w:left="103"/>
              <w:rPr>
                <w:rFonts w:hint="default"/>
                <w:sz w:val="24"/>
                <w:szCs w:val="24"/>
              </w:rPr>
            </w:pPr>
            <w:r>
              <w:rPr>
                <w:rFonts w:hint="eastAsia" w:ascii="宋体" w:hAnsi="宋体" w:eastAsia="宋体"/>
                <w:sz w:val="24"/>
                <w:szCs w:val="24"/>
              </w:rPr>
              <w:t>导如出入口人群集聚、车辆拥堵、货物堵塞道路等情</w:t>
            </w:r>
          </w:p>
        </w:tc>
      </w:tr>
      <w:tr w14:paraId="32AD0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7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27F1543C">
            <w:pPr>
              <w:pStyle w:val="42"/>
              <w:kinsoku w:val="0"/>
              <w:overflowPunct w:val="0"/>
              <w:spacing w:before="32" w:beforeLines="0" w:afterLines="0"/>
              <w:ind w:left="103"/>
              <w:rPr>
                <w:rFonts w:hint="default"/>
                <w:sz w:val="24"/>
                <w:szCs w:val="24"/>
              </w:rPr>
            </w:pPr>
          </w:p>
        </w:tc>
        <w:tc>
          <w:tcPr>
            <w:tcW w:w="197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3F9A2215">
            <w:pPr>
              <w:pStyle w:val="42"/>
              <w:kinsoku w:val="0"/>
              <w:overflowPunct w:val="0"/>
              <w:spacing w:before="32" w:beforeLines="0" w:afterLines="0"/>
              <w:ind w:left="103"/>
              <w:rPr>
                <w:rFonts w:hint="default"/>
                <w:sz w:val="24"/>
                <w:szCs w:val="24"/>
              </w:rPr>
            </w:pPr>
          </w:p>
        </w:tc>
        <w:tc>
          <w:tcPr>
            <w:tcW w:w="5786" w:type="dxa"/>
            <w:tcBorders>
              <w:top w:val="nil"/>
              <w:left w:val="single" w:color="000000" w:sz="4" w:space="0"/>
              <w:bottom w:val="single" w:color="000000" w:sz="4" w:space="0"/>
              <w:right w:val="single" w:color="000000" w:sz="4" w:space="0"/>
              <w:tl2br w:val="nil"/>
              <w:tr2bl w:val="nil"/>
            </w:tcBorders>
            <w:noWrap w:val="0"/>
            <w:vAlign w:val="top"/>
          </w:tcPr>
          <w:p w14:paraId="36404D24">
            <w:pPr>
              <w:pStyle w:val="42"/>
              <w:kinsoku w:val="0"/>
              <w:overflowPunct w:val="0"/>
              <w:spacing w:beforeLines="0" w:afterLines="0"/>
              <w:ind w:left="103"/>
              <w:rPr>
                <w:rFonts w:hint="default"/>
                <w:sz w:val="24"/>
                <w:szCs w:val="24"/>
              </w:rPr>
            </w:pPr>
            <w:r>
              <w:rPr>
                <w:rFonts w:hint="eastAsia" w:ascii="宋体" w:hAnsi="宋体" w:eastAsia="宋体"/>
                <w:sz w:val="24"/>
                <w:szCs w:val="24"/>
              </w:rPr>
              <w:t>况。</w:t>
            </w:r>
          </w:p>
        </w:tc>
      </w:tr>
      <w:tr w14:paraId="0DAFD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exact"/>
        </w:trPr>
        <w:tc>
          <w:tcPr>
            <w:tcW w:w="7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253CB415">
            <w:pPr>
              <w:pStyle w:val="42"/>
              <w:kinsoku w:val="0"/>
              <w:overflowPunct w:val="0"/>
              <w:spacing w:beforeLines="0" w:afterLines="0"/>
              <w:ind w:left="103"/>
              <w:rPr>
                <w:rFonts w:hint="default"/>
                <w:sz w:val="24"/>
                <w:szCs w:val="24"/>
              </w:rPr>
            </w:pPr>
          </w:p>
        </w:tc>
        <w:tc>
          <w:tcPr>
            <w:tcW w:w="197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6E6E1BD7">
            <w:pPr>
              <w:pStyle w:val="42"/>
              <w:kinsoku w:val="0"/>
              <w:overflowPunct w:val="0"/>
              <w:spacing w:beforeLines="0" w:afterLines="0"/>
              <w:ind w:left="103"/>
              <w:rPr>
                <w:rFonts w:hint="default"/>
                <w:sz w:val="24"/>
                <w:szCs w:val="24"/>
              </w:rPr>
            </w:pPr>
          </w:p>
        </w:tc>
        <w:tc>
          <w:tcPr>
            <w:tcW w:w="578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443031F">
            <w:pPr>
              <w:pStyle w:val="42"/>
              <w:kinsoku w:val="0"/>
              <w:overflowPunct w:val="0"/>
              <w:spacing w:before="24" w:beforeLines="0" w:afterLines="0" w:line="336" w:lineRule="auto"/>
              <w:ind w:left="103" w:right="151" w:firstLine="240"/>
              <w:rPr>
                <w:rFonts w:hint="default"/>
                <w:sz w:val="24"/>
                <w:szCs w:val="24"/>
              </w:rPr>
            </w:pPr>
            <w:r>
              <w:rPr>
                <w:rFonts w:hint="eastAsia" w:ascii="宋体" w:hAnsi="宋体" w:eastAsia="宋体"/>
                <w:sz w:val="24"/>
                <w:szCs w:val="24"/>
              </w:rPr>
              <w:t>（</w:t>
            </w:r>
            <w:r>
              <w:rPr>
                <w:rFonts w:hint="default" w:ascii="Times New Roman" w:hAnsi="Times New Roman" w:eastAsia="Times New Roman"/>
                <w:sz w:val="24"/>
                <w:szCs w:val="24"/>
              </w:rPr>
              <w:t>7</w:t>
            </w:r>
            <w:r>
              <w:rPr>
                <w:rFonts w:hint="eastAsia" w:ascii="宋体" w:hAnsi="宋体" w:eastAsia="宋体"/>
                <w:sz w:val="24"/>
                <w:szCs w:val="24"/>
              </w:rPr>
              <w:t>）根据物业服务合同约定，对物品进出实行安检、登记、电话确认等分类管理措施。大宗物品进</w:t>
            </w:r>
          </w:p>
        </w:tc>
      </w:tr>
    </w:tbl>
    <w:p w14:paraId="1D22ED73">
      <w:pPr>
        <w:spacing w:beforeLines="0" w:afterLines="0"/>
        <w:rPr>
          <w:rFonts w:hint="default"/>
          <w:sz w:val="24"/>
          <w:szCs w:val="24"/>
        </w:rPr>
        <w:sectPr>
          <w:pgSz w:w="11910" w:h="16840"/>
          <w:pgMar w:top="980" w:right="1600" w:bottom="880" w:left="1580" w:header="746" w:footer="699" w:gutter="0"/>
          <w:lnNumType w:countBy="0" w:distance="360"/>
          <w:cols w:space="720" w:num="1"/>
        </w:sectPr>
      </w:pPr>
    </w:p>
    <w:p w14:paraId="0FB52D38">
      <w:pPr>
        <w:pStyle w:val="8"/>
        <w:kinsoku w:val="0"/>
        <w:overflowPunct w:val="0"/>
        <w:spacing w:beforeLines="0" w:afterLines="0"/>
        <w:ind w:left="0"/>
        <w:rPr>
          <w:rFonts w:hint="default" w:ascii="Times New Roman" w:hAnsi="Times New Roman" w:eastAsia="Times New Roman"/>
          <w:sz w:val="20"/>
          <w:szCs w:val="24"/>
        </w:rPr>
      </w:pPr>
    </w:p>
    <w:p w14:paraId="23C71FE9">
      <w:pPr>
        <w:pStyle w:val="8"/>
        <w:kinsoku w:val="0"/>
        <w:overflowPunct w:val="0"/>
        <w:spacing w:before="3" w:beforeLines="0" w:afterLines="0"/>
        <w:ind w:left="0"/>
        <w:rPr>
          <w:rFonts w:hint="default" w:ascii="Times New Roman" w:hAnsi="Times New Roman" w:eastAsia="Times New Roman"/>
          <w:sz w:val="19"/>
          <w:szCs w:val="24"/>
        </w:rPr>
      </w:pPr>
    </w:p>
    <w:tbl>
      <w:tblPr>
        <w:tblStyle w:val="19"/>
        <w:tblW w:w="0" w:type="auto"/>
        <w:tblInd w:w="2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4"/>
        <w:gridCol w:w="1971"/>
        <w:gridCol w:w="5786"/>
      </w:tblGrid>
      <w:tr w14:paraId="046C9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exact"/>
        </w:trPr>
        <w:tc>
          <w:tcPr>
            <w:tcW w:w="73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0A5F2D56">
            <w:pPr>
              <w:spacing w:beforeLines="0" w:afterLines="0"/>
              <w:rPr>
                <w:rFonts w:hint="default"/>
                <w:sz w:val="24"/>
                <w:szCs w:val="24"/>
              </w:rPr>
            </w:pPr>
          </w:p>
        </w:tc>
        <w:tc>
          <w:tcPr>
            <w:tcW w:w="197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766D62D7">
            <w:pPr>
              <w:spacing w:beforeLines="0" w:afterLines="0"/>
              <w:rPr>
                <w:rFonts w:hint="default"/>
                <w:sz w:val="24"/>
                <w:szCs w:val="24"/>
              </w:rPr>
            </w:pPr>
          </w:p>
        </w:tc>
        <w:tc>
          <w:tcPr>
            <w:tcW w:w="5786" w:type="dxa"/>
            <w:tcBorders>
              <w:top w:val="single" w:color="000000" w:sz="4" w:space="0"/>
              <w:left w:val="single" w:color="000000" w:sz="4" w:space="0"/>
              <w:bottom w:val="nil"/>
              <w:right w:val="single" w:color="000000" w:sz="4" w:space="0"/>
              <w:tl2br w:val="nil"/>
              <w:tr2bl w:val="nil"/>
            </w:tcBorders>
            <w:noWrap w:val="0"/>
            <w:vAlign w:val="top"/>
          </w:tcPr>
          <w:p w14:paraId="78BAF090">
            <w:pPr>
              <w:pStyle w:val="42"/>
              <w:kinsoku w:val="0"/>
              <w:overflowPunct w:val="0"/>
              <w:spacing w:beforeLines="0" w:afterLines="0" w:line="277" w:lineRule="exact"/>
              <w:ind w:left="103"/>
              <w:rPr>
                <w:rFonts w:hint="default"/>
                <w:sz w:val="24"/>
                <w:szCs w:val="24"/>
              </w:rPr>
            </w:pPr>
            <w:r>
              <w:rPr>
                <w:rFonts w:hint="eastAsia" w:ascii="宋体" w:hAnsi="宋体" w:eastAsia="宋体"/>
                <w:sz w:val="24"/>
                <w:szCs w:val="24"/>
              </w:rPr>
              <w:t>出会同接收单位收件人审检，严防违禁品（包括毒</w:t>
            </w:r>
          </w:p>
        </w:tc>
      </w:tr>
      <w:tr w14:paraId="665B2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6" w:hRule="exact"/>
        </w:trPr>
        <w:tc>
          <w:tcPr>
            <w:tcW w:w="7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58C18782">
            <w:pPr>
              <w:pStyle w:val="42"/>
              <w:kinsoku w:val="0"/>
              <w:overflowPunct w:val="0"/>
              <w:spacing w:beforeLines="0" w:afterLines="0" w:line="277" w:lineRule="exact"/>
              <w:ind w:left="103"/>
              <w:rPr>
                <w:rFonts w:hint="default"/>
                <w:sz w:val="24"/>
                <w:szCs w:val="24"/>
              </w:rPr>
            </w:pPr>
          </w:p>
        </w:tc>
        <w:tc>
          <w:tcPr>
            <w:tcW w:w="197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3CB1E94F">
            <w:pPr>
              <w:pStyle w:val="42"/>
              <w:kinsoku w:val="0"/>
              <w:overflowPunct w:val="0"/>
              <w:spacing w:beforeLines="0" w:afterLines="0" w:line="277" w:lineRule="exact"/>
              <w:ind w:left="103"/>
              <w:rPr>
                <w:rFonts w:hint="default"/>
                <w:sz w:val="24"/>
                <w:szCs w:val="24"/>
              </w:rPr>
            </w:pPr>
          </w:p>
        </w:tc>
        <w:tc>
          <w:tcPr>
            <w:tcW w:w="5786" w:type="dxa"/>
            <w:tcBorders>
              <w:top w:val="nil"/>
              <w:left w:val="single" w:color="000000" w:sz="4" w:space="0"/>
              <w:bottom w:val="nil"/>
              <w:right w:val="single" w:color="000000" w:sz="4" w:space="0"/>
              <w:tl2br w:val="nil"/>
              <w:tr2bl w:val="nil"/>
            </w:tcBorders>
            <w:noWrap w:val="0"/>
            <w:vAlign w:val="top"/>
          </w:tcPr>
          <w:p w14:paraId="135EB2E3">
            <w:pPr>
              <w:pStyle w:val="42"/>
              <w:kinsoku w:val="0"/>
              <w:overflowPunct w:val="0"/>
              <w:spacing w:beforeLines="0" w:afterLines="0"/>
              <w:ind w:left="103"/>
              <w:rPr>
                <w:rFonts w:hint="eastAsia" w:ascii="Times New Roman" w:hAnsi="Times New Roman" w:eastAsia="宋体"/>
                <w:sz w:val="24"/>
                <w:szCs w:val="24"/>
                <w:lang w:eastAsia="zh-CN"/>
              </w:rPr>
            </w:pPr>
            <w:r>
              <w:rPr>
                <w:rFonts w:hint="eastAsia" w:ascii="宋体" w:hAnsi="宋体" w:eastAsia="宋体"/>
                <w:sz w:val="24"/>
                <w:szCs w:val="24"/>
              </w:rPr>
              <w:t>品、军火弹药、管制刀具、易燃易爆品等）、限带品（包括动物、任何未经授权的专业摄影设备、无人机等）进入</w:t>
            </w:r>
            <w:r>
              <w:rPr>
                <w:rFonts w:hint="eastAsia" w:ascii="宋体" w:hAnsi="宋体" w:eastAsia="宋体"/>
                <w:sz w:val="24"/>
                <w:szCs w:val="24"/>
                <w:lang w:eastAsia="zh-CN"/>
              </w:rPr>
              <w:t>。</w:t>
            </w:r>
          </w:p>
        </w:tc>
      </w:tr>
      <w:tr w14:paraId="2BD2F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exact"/>
        </w:trPr>
        <w:tc>
          <w:tcPr>
            <w:tcW w:w="7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78E2BE4D">
            <w:pPr>
              <w:pStyle w:val="42"/>
              <w:kinsoku w:val="0"/>
              <w:overflowPunct w:val="0"/>
              <w:spacing w:beforeLines="0" w:afterLines="0"/>
              <w:ind w:left="103"/>
              <w:rPr>
                <w:rFonts w:hint="default"/>
                <w:sz w:val="24"/>
                <w:szCs w:val="24"/>
              </w:rPr>
            </w:pPr>
          </w:p>
        </w:tc>
        <w:tc>
          <w:tcPr>
            <w:tcW w:w="197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66C0D5A7">
            <w:pPr>
              <w:pStyle w:val="42"/>
              <w:kinsoku w:val="0"/>
              <w:overflowPunct w:val="0"/>
              <w:spacing w:beforeLines="0" w:afterLines="0"/>
              <w:ind w:left="103"/>
              <w:rPr>
                <w:rFonts w:hint="default"/>
                <w:sz w:val="24"/>
                <w:szCs w:val="24"/>
              </w:rPr>
            </w:pPr>
          </w:p>
        </w:tc>
        <w:tc>
          <w:tcPr>
            <w:tcW w:w="5786" w:type="dxa"/>
            <w:tcBorders>
              <w:top w:val="single" w:color="000000" w:sz="4" w:space="0"/>
              <w:left w:val="single" w:color="000000" w:sz="4" w:space="0"/>
              <w:bottom w:val="nil"/>
              <w:right w:val="single" w:color="000000" w:sz="4" w:space="0"/>
              <w:tl2br w:val="nil"/>
              <w:tr2bl w:val="nil"/>
            </w:tcBorders>
            <w:noWrap w:val="0"/>
            <w:vAlign w:val="top"/>
          </w:tcPr>
          <w:p w14:paraId="730F5F37">
            <w:pPr>
              <w:pStyle w:val="42"/>
              <w:kinsoku w:val="0"/>
              <w:overflowPunct w:val="0"/>
              <w:spacing w:before="24" w:beforeLines="0" w:afterLines="0"/>
              <w:ind w:left="343"/>
              <w:rPr>
                <w:rFonts w:hint="default"/>
                <w:sz w:val="24"/>
                <w:szCs w:val="24"/>
              </w:rPr>
            </w:pPr>
            <w:r>
              <w:rPr>
                <w:rFonts w:hint="eastAsia" w:ascii="宋体" w:hAnsi="宋体" w:eastAsia="宋体"/>
                <w:sz w:val="24"/>
                <w:szCs w:val="24"/>
              </w:rPr>
              <w:t>（</w:t>
            </w:r>
            <w:r>
              <w:rPr>
                <w:rFonts w:hint="default" w:ascii="Times New Roman" w:hAnsi="Times New Roman" w:eastAsia="Times New Roman"/>
                <w:sz w:val="24"/>
                <w:szCs w:val="24"/>
              </w:rPr>
              <w:t>8</w:t>
            </w:r>
            <w:r>
              <w:rPr>
                <w:rFonts w:hint="eastAsia" w:ascii="宋体" w:hAnsi="宋体" w:eastAsia="宋体"/>
                <w:sz w:val="24"/>
                <w:szCs w:val="24"/>
              </w:rPr>
              <w:t>）提供现场接待服务。</w:t>
            </w:r>
          </w:p>
        </w:tc>
      </w:tr>
      <w:tr w14:paraId="25C3D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7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7515EA3A">
            <w:pPr>
              <w:pStyle w:val="42"/>
              <w:kinsoku w:val="0"/>
              <w:overflowPunct w:val="0"/>
              <w:spacing w:before="24" w:beforeLines="0" w:afterLines="0"/>
              <w:ind w:left="343"/>
              <w:rPr>
                <w:rFonts w:hint="default"/>
                <w:sz w:val="24"/>
                <w:szCs w:val="24"/>
              </w:rPr>
            </w:pPr>
          </w:p>
        </w:tc>
        <w:tc>
          <w:tcPr>
            <w:tcW w:w="197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2564A434">
            <w:pPr>
              <w:pStyle w:val="42"/>
              <w:kinsoku w:val="0"/>
              <w:overflowPunct w:val="0"/>
              <w:spacing w:before="24" w:beforeLines="0" w:afterLines="0"/>
              <w:ind w:left="343"/>
              <w:rPr>
                <w:rFonts w:hint="default"/>
                <w:sz w:val="24"/>
                <w:szCs w:val="24"/>
              </w:rPr>
            </w:pPr>
          </w:p>
        </w:tc>
        <w:tc>
          <w:tcPr>
            <w:tcW w:w="5786" w:type="dxa"/>
            <w:tcBorders>
              <w:top w:val="nil"/>
              <w:left w:val="single" w:color="000000" w:sz="4" w:space="0"/>
              <w:bottom w:val="nil"/>
              <w:right w:val="single" w:color="000000" w:sz="4" w:space="0"/>
              <w:tl2br w:val="nil"/>
              <w:tr2bl w:val="nil"/>
            </w:tcBorders>
            <w:noWrap w:val="0"/>
            <w:vAlign w:val="top"/>
          </w:tcPr>
          <w:p w14:paraId="6677BAA1">
            <w:pPr>
              <w:pStyle w:val="42"/>
              <w:kinsoku w:val="0"/>
              <w:overflowPunct w:val="0"/>
              <w:spacing w:before="32" w:beforeLines="0" w:afterLines="0"/>
              <w:ind w:left="343"/>
              <w:rPr>
                <w:rFonts w:hint="default"/>
                <w:sz w:val="24"/>
                <w:szCs w:val="24"/>
              </w:rPr>
            </w:pPr>
            <w:r>
              <w:rPr>
                <w:rFonts w:hint="default" w:ascii="Calibri" w:hAnsi="Calibri" w:eastAsia="Calibri"/>
                <w:sz w:val="24"/>
                <w:szCs w:val="24"/>
              </w:rPr>
              <w:t>①</w:t>
            </w:r>
            <w:r>
              <w:rPr>
                <w:rFonts w:hint="eastAsia" w:ascii="宋体" w:hAnsi="宋体" w:eastAsia="宋体"/>
                <w:sz w:val="24"/>
                <w:szCs w:val="24"/>
              </w:rPr>
              <w:t>做好来访人员进出证件登记，及时通报。</w:t>
            </w:r>
          </w:p>
        </w:tc>
      </w:tr>
      <w:tr w14:paraId="2E8A3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7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5DD817FA">
            <w:pPr>
              <w:pStyle w:val="42"/>
              <w:kinsoku w:val="0"/>
              <w:overflowPunct w:val="0"/>
              <w:spacing w:before="32" w:beforeLines="0" w:afterLines="0"/>
              <w:ind w:left="343"/>
              <w:rPr>
                <w:rFonts w:hint="default"/>
                <w:sz w:val="24"/>
                <w:szCs w:val="24"/>
              </w:rPr>
            </w:pPr>
          </w:p>
        </w:tc>
        <w:tc>
          <w:tcPr>
            <w:tcW w:w="197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1D2E080B">
            <w:pPr>
              <w:pStyle w:val="42"/>
              <w:kinsoku w:val="0"/>
              <w:overflowPunct w:val="0"/>
              <w:spacing w:before="32" w:beforeLines="0" w:afterLines="0"/>
              <w:ind w:left="343"/>
              <w:rPr>
                <w:rFonts w:hint="default"/>
                <w:sz w:val="24"/>
                <w:szCs w:val="24"/>
              </w:rPr>
            </w:pPr>
          </w:p>
        </w:tc>
        <w:tc>
          <w:tcPr>
            <w:tcW w:w="5786" w:type="dxa"/>
            <w:tcBorders>
              <w:top w:val="nil"/>
              <w:left w:val="single" w:color="000000" w:sz="4" w:space="0"/>
              <w:bottom w:val="nil"/>
              <w:right w:val="single" w:color="000000" w:sz="4" w:space="0"/>
              <w:tl2br w:val="nil"/>
              <w:tr2bl w:val="nil"/>
            </w:tcBorders>
            <w:noWrap w:val="0"/>
            <w:vAlign w:val="top"/>
          </w:tcPr>
          <w:p w14:paraId="6B4FEA3E">
            <w:pPr>
              <w:pStyle w:val="42"/>
              <w:kinsoku w:val="0"/>
              <w:overflowPunct w:val="0"/>
              <w:spacing w:beforeLines="0" w:afterLines="0" w:line="333" w:lineRule="exact"/>
              <w:ind w:left="343"/>
              <w:rPr>
                <w:rFonts w:hint="default"/>
                <w:sz w:val="24"/>
                <w:szCs w:val="24"/>
              </w:rPr>
            </w:pPr>
            <w:r>
              <w:rPr>
                <w:rFonts w:hint="default" w:ascii="Calibri" w:hAnsi="Calibri" w:eastAsia="Calibri"/>
                <w:sz w:val="24"/>
                <w:szCs w:val="24"/>
              </w:rPr>
              <w:t>②</w:t>
            </w:r>
            <w:r>
              <w:rPr>
                <w:rFonts w:hint="eastAsia" w:ascii="宋体" w:hAnsi="宋体" w:eastAsia="宋体"/>
                <w:sz w:val="24"/>
                <w:szCs w:val="24"/>
              </w:rPr>
              <w:t>严禁无关人员、可疑人员和危险物品进入办公</w:t>
            </w:r>
          </w:p>
        </w:tc>
      </w:tr>
      <w:tr w14:paraId="3984F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exact"/>
        </w:trPr>
        <w:tc>
          <w:tcPr>
            <w:tcW w:w="7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2BFDA4D9">
            <w:pPr>
              <w:pStyle w:val="42"/>
              <w:kinsoku w:val="0"/>
              <w:overflowPunct w:val="0"/>
              <w:spacing w:beforeLines="0" w:afterLines="0" w:line="333" w:lineRule="exact"/>
              <w:ind w:left="343"/>
              <w:rPr>
                <w:rFonts w:hint="default"/>
                <w:sz w:val="24"/>
                <w:szCs w:val="24"/>
              </w:rPr>
            </w:pPr>
          </w:p>
        </w:tc>
        <w:tc>
          <w:tcPr>
            <w:tcW w:w="197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5BD69261">
            <w:pPr>
              <w:pStyle w:val="42"/>
              <w:kinsoku w:val="0"/>
              <w:overflowPunct w:val="0"/>
              <w:spacing w:beforeLines="0" w:afterLines="0" w:line="333" w:lineRule="exact"/>
              <w:ind w:left="343"/>
              <w:rPr>
                <w:rFonts w:hint="default"/>
                <w:sz w:val="24"/>
                <w:szCs w:val="24"/>
              </w:rPr>
            </w:pPr>
          </w:p>
        </w:tc>
        <w:tc>
          <w:tcPr>
            <w:tcW w:w="5786" w:type="dxa"/>
            <w:tcBorders>
              <w:top w:val="nil"/>
              <w:left w:val="single" w:color="000000" w:sz="4" w:space="0"/>
              <w:bottom w:val="nil"/>
              <w:right w:val="single" w:color="000000" w:sz="4" w:space="0"/>
              <w:tl2br w:val="nil"/>
              <w:tr2bl w:val="nil"/>
            </w:tcBorders>
            <w:noWrap w:val="0"/>
            <w:vAlign w:val="top"/>
          </w:tcPr>
          <w:p w14:paraId="052C2E09">
            <w:pPr>
              <w:pStyle w:val="42"/>
              <w:kinsoku w:val="0"/>
              <w:overflowPunct w:val="0"/>
              <w:spacing w:beforeLines="0" w:afterLines="0" w:line="301" w:lineRule="exact"/>
              <w:ind w:left="103"/>
              <w:rPr>
                <w:rFonts w:hint="default"/>
                <w:sz w:val="24"/>
                <w:szCs w:val="24"/>
              </w:rPr>
            </w:pPr>
            <w:r>
              <w:rPr>
                <w:rFonts w:hint="eastAsia" w:ascii="宋体" w:hAnsi="宋体" w:eastAsia="宋体"/>
                <w:sz w:val="24"/>
                <w:szCs w:val="24"/>
              </w:rPr>
              <w:t>楼（区）内。</w:t>
            </w:r>
          </w:p>
        </w:tc>
      </w:tr>
      <w:tr w14:paraId="3CDFF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exact"/>
        </w:trPr>
        <w:tc>
          <w:tcPr>
            <w:tcW w:w="7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2139432D">
            <w:pPr>
              <w:pStyle w:val="42"/>
              <w:kinsoku w:val="0"/>
              <w:overflowPunct w:val="0"/>
              <w:spacing w:beforeLines="0" w:afterLines="0" w:line="301" w:lineRule="exact"/>
              <w:ind w:left="103"/>
              <w:rPr>
                <w:rFonts w:hint="default"/>
                <w:sz w:val="24"/>
                <w:szCs w:val="24"/>
              </w:rPr>
            </w:pPr>
          </w:p>
        </w:tc>
        <w:tc>
          <w:tcPr>
            <w:tcW w:w="197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1A7F9408">
            <w:pPr>
              <w:pStyle w:val="42"/>
              <w:kinsoku w:val="0"/>
              <w:overflowPunct w:val="0"/>
              <w:spacing w:beforeLines="0" w:afterLines="0" w:line="301" w:lineRule="exact"/>
              <w:ind w:left="103"/>
              <w:rPr>
                <w:rFonts w:hint="default"/>
                <w:sz w:val="24"/>
                <w:szCs w:val="24"/>
              </w:rPr>
            </w:pPr>
          </w:p>
        </w:tc>
        <w:tc>
          <w:tcPr>
            <w:tcW w:w="5786" w:type="dxa"/>
            <w:tcBorders>
              <w:top w:val="nil"/>
              <w:left w:val="single" w:color="000000" w:sz="4" w:space="0"/>
              <w:bottom w:val="nil"/>
              <w:right w:val="single" w:color="000000" w:sz="4" w:space="0"/>
              <w:tl2br w:val="nil"/>
              <w:tr2bl w:val="nil"/>
            </w:tcBorders>
            <w:noWrap w:val="0"/>
            <w:vAlign w:val="top"/>
          </w:tcPr>
          <w:p w14:paraId="614A0B9A">
            <w:pPr>
              <w:pStyle w:val="42"/>
              <w:kinsoku w:val="0"/>
              <w:overflowPunct w:val="0"/>
              <w:spacing w:beforeLines="0" w:afterLines="0"/>
              <w:ind w:left="343"/>
              <w:rPr>
                <w:rFonts w:hint="default"/>
                <w:sz w:val="24"/>
                <w:szCs w:val="24"/>
              </w:rPr>
            </w:pPr>
            <w:r>
              <w:rPr>
                <w:rFonts w:hint="eastAsia" w:ascii="宋体" w:hAnsi="宋体" w:eastAsia="宋体"/>
                <w:sz w:val="24"/>
                <w:szCs w:val="24"/>
              </w:rPr>
              <w:t>③物品摆放整齐有序、分类放置。</w:t>
            </w:r>
          </w:p>
        </w:tc>
      </w:tr>
      <w:tr w14:paraId="302F6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exact"/>
        </w:trPr>
        <w:tc>
          <w:tcPr>
            <w:tcW w:w="7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61BA08E3">
            <w:pPr>
              <w:pStyle w:val="42"/>
              <w:kinsoku w:val="0"/>
              <w:overflowPunct w:val="0"/>
              <w:spacing w:beforeLines="0" w:afterLines="0"/>
              <w:ind w:left="343"/>
              <w:rPr>
                <w:rFonts w:hint="default"/>
                <w:sz w:val="24"/>
                <w:szCs w:val="24"/>
              </w:rPr>
            </w:pPr>
          </w:p>
        </w:tc>
        <w:tc>
          <w:tcPr>
            <w:tcW w:w="197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100BE535">
            <w:pPr>
              <w:pStyle w:val="42"/>
              <w:kinsoku w:val="0"/>
              <w:overflowPunct w:val="0"/>
              <w:spacing w:beforeLines="0" w:afterLines="0"/>
              <w:ind w:left="343"/>
              <w:rPr>
                <w:rFonts w:hint="default"/>
                <w:sz w:val="24"/>
                <w:szCs w:val="24"/>
              </w:rPr>
            </w:pPr>
          </w:p>
        </w:tc>
        <w:tc>
          <w:tcPr>
            <w:tcW w:w="5786" w:type="dxa"/>
            <w:tcBorders>
              <w:top w:val="nil"/>
              <w:left w:val="single" w:color="000000" w:sz="4" w:space="0"/>
              <w:bottom w:val="nil"/>
              <w:right w:val="single" w:color="000000" w:sz="4" w:space="0"/>
              <w:tl2br w:val="nil"/>
              <w:tr2bl w:val="nil"/>
            </w:tcBorders>
            <w:noWrap w:val="0"/>
            <w:vAlign w:val="top"/>
          </w:tcPr>
          <w:p w14:paraId="618CA9B7">
            <w:pPr>
              <w:pStyle w:val="42"/>
              <w:kinsoku w:val="0"/>
              <w:overflowPunct w:val="0"/>
              <w:spacing w:beforeLines="0" w:afterLines="0"/>
              <w:ind w:left="343"/>
              <w:rPr>
                <w:rFonts w:hint="default"/>
                <w:sz w:val="24"/>
                <w:szCs w:val="24"/>
              </w:rPr>
            </w:pPr>
            <w:r>
              <w:rPr>
                <w:rFonts w:hint="eastAsia" w:ascii="宋体" w:hAnsi="宋体" w:eastAsia="宋体"/>
                <w:sz w:val="24"/>
                <w:szCs w:val="24"/>
              </w:rPr>
              <w:t>⑤对来访人员，做好引导。</w:t>
            </w:r>
          </w:p>
        </w:tc>
      </w:tr>
      <w:tr w14:paraId="75D7B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exact"/>
        </w:trPr>
        <w:tc>
          <w:tcPr>
            <w:tcW w:w="7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78017F45">
            <w:pPr>
              <w:pStyle w:val="42"/>
              <w:kinsoku w:val="0"/>
              <w:overflowPunct w:val="0"/>
              <w:spacing w:beforeLines="0" w:afterLines="0"/>
              <w:ind w:left="343"/>
              <w:rPr>
                <w:rFonts w:hint="default"/>
                <w:sz w:val="24"/>
                <w:szCs w:val="24"/>
              </w:rPr>
            </w:pPr>
          </w:p>
        </w:tc>
        <w:tc>
          <w:tcPr>
            <w:tcW w:w="197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346F2194">
            <w:pPr>
              <w:pStyle w:val="42"/>
              <w:kinsoku w:val="0"/>
              <w:overflowPunct w:val="0"/>
              <w:spacing w:beforeLines="0" w:afterLines="0"/>
              <w:ind w:left="343"/>
              <w:rPr>
                <w:rFonts w:hint="default"/>
                <w:sz w:val="24"/>
                <w:szCs w:val="24"/>
              </w:rPr>
            </w:pPr>
          </w:p>
        </w:tc>
        <w:tc>
          <w:tcPr>
            <w:tcW w:w="5786" w:type="dxa"/>
            <w:tcBorders>
              <w:top w:val="nil"/>
              <w:left w:val="single" w:color="000000" w:sz="4" w:space="0"/>
              <w:bottom w:val="nil"/>
              <w:right w:val="single" w:color="000000" w:sz="4" w:space="0"/>
              <w:tl2br w:val="nil"/>
              <w:tr2bl w:val="nil"/>
            </w:tcBorders>
            <w:noWrap w:val="0"/>
            <w:vAlign w:val="top"/>
          </w:tcPr>
          <w:p w14:paraId="0D237057">
            <w:pPr>
              <w:pStyle w:val="42"/>
              <w:kinsoku w:val="0"/>
              <w:overflowPunct w:val="0"/>
              <w:spacing w:beforeLines="0" w:afterLines="0"/>
              <w:ind w:left="343"/>
              <w:rPr>
                <w:rFonts w:hint="default"/>
                <w:sz w:val="24"/>
                <w:szCs w:val="24"/>
              </w:rPr>
            </w:pPr>
            <w:r>
              <w:rPr>
                <w:rFonts w:hint="eastAsia" w:ascii="宋体" w:hAnsi="宋体" w:eastAsia="宋体"/>
                <w:sz w:val="24"/>
                <w:szCs w:val="24"/>
              </w:rPr>
              <w:t>⑦不对外办公期间对来访人员进行核实确认；告知</w:t>
            </w:r>
          </w:p>
        </w:tc>
      </w:tr>
      <w:tr w14:paraId="43714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exact"/>
        </w:trPr>
        <w:tc>
          <w:tcPr>
            <w:tcW w:w="7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ED5B9DE">
            <w:pPr>
              <w:pStyle w:val="42"/>
              <w:kinsoku w:val="0"/>
              <w:overflowPunct w:val="0"/>
              <w:spacing w:beforeLines="0" w:afterLines="0"/>
              <w:ind w:left="343"/>
              <w:rPr>
                <w:rFonts w:hint="default"/>
                <w:sz w:val="24"/>
                <w:szCs w:val="24"/>
              </w:rPr>
            </w:pPr>
          </w:p>
        </w:tc>
        <w:tc>
          <w:tcPr>
            <w:tcW w:w="197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1104C652">
            <w:pPr>
              <w:pStyle w:val="42"/>
              <w:kinsoku w:val="0"/>
              <w:overflowPunct w:val="0"/>
              <w:spacing w:beforeLines="0" w:afterLines="0"/>
              <w:ind w:left="343"/>
              <w:rPr>
                <w:rFonts w:hint="default"/>
                <w:sz w:val="24"/>
                <w:szCs w:val="24"/>
              </w:rPr>
            </w:pPr>
          </w:p>
        </w:tc>
        <w:tc>
          <w:tcPr>
            <w:tcW w:w="5786" w:type="dxa"/>
            <w:tcBorders>
              <w:top w:val="nil"/>
              <w:left w:val="single" w:color="000000" w:sz="4" w:space="0"/>
              <w:bottom w:val="single" w:color="000000" w:sz="4" w:space="0"/>
              <w:right w:val="single" w:color="000000" w:sz="4" w:space="0"/>
              <w:tl2br w:val="nil"/>
              <w:tr2bl w:val="nil"/>
            </w:tcBorders>
            <w:noWrap w:val="0"/>
            <w:vAlign w:val="top"/>
          </w:tcPr>
          <w:p w14:paraId="43501DA0">
            <w:pPr>
              <w:pStyle w:val="42"/>
              <w:kinsoku w:val="0"/>
              <w:overflowPunct w:val="0"/>
              <w:spacing w:beforeLines="0" w:afterLines="0"/>
              <w:ind w:left="103"/>
              <w:rPr>
                <w:rFonts w:hint="eastAsia" w:ascii="Times New Roman" w:hAnsi="Times New Roman" w:eastAsia="宋体"/>
                <w:sz w:val="24"/>
                <w:szCs w:val="24"/>
                <w:lang w:eastAsia="zh-CN"/>
              </w:rPr>
            </w:pPr>
            <w:r>
              <w:rPr>
                <w:rFonts w:hint="eastAsia" w:ascii="宋体" w:hAnsi="宋体" w:eastAsia="宋体"/>
                <w:sz w:val="24"/>
                <w:szCs w:val="24"/>
              </w:rPr>
              <w:t>被访人的具体办公位置</w:t>
            </w:r>
            <w:r>
              <w:rPr>
                <w:rFonts w:hint="eastAsia" w:ascii="宋体" w:hAnsi="宋体" w:eastAsia="宋体"/>
                <w:sz w:val="24"/>
                <w:szCs w:val="24"/>
                <w:lang w:eastAsia="zh-CN"/>
              </w:rPr>
              <w:t>。</w:t>
            </w:r>
          </w:p>
        </w:tc>
      </w:tr>
      <w:tr w14:paraId="37E0C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73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228DDAEC">
            <w:pPr>
              <w:pStyle w:val="42"/>
              <w:kinsoku w:val="0"/>
              <w:overflowPunct w:val="0"/>
              <w:spacing w:beforeLines="0" w:afterLines="0"/>
              <w:rPr>
                <w:rFonts w:hint="default" w:ascii="Times New Roman" w:hAnsi="Times New Roman" w:eastAsia="Times New Roman"/>
                <w:sz w:val="24"/>
                <w:szCs w:val="24"/>
              </w:rPr>
            </w:pPr>
          </w:p>
          <w:p w14:paraId="749FEAE9">
            <w:pPr>
              <w:pStyle w:val="42"/>
              <w:kinsoku w:val="0"/>
              <w:overflowPunct w:val="0"/>
              <w:spacing w:beforeLines="0" w:afterLines="0"/>
              <w:rPr>
                <w:rFonts w:hint="default" w:ascii="Times New Roman" w:hAnsi="Times New Roman" w:eastAsia="Times New Roman"/>
                <w:sz w:val="24"/>
                <w:szCs w:val="24"/>
              </w:rPr>
            </w:pPr>
          </w:p>
          <w:p w14:paraId="19752379">
            <w:pPr>
              <w:pStyle w:val="42"/>
              <w:kinsoku w:val="0"/>
              <w:overflowPunct w:val="0"/>
              <w:spacing w:beforeLines="0" w:afterLines="0"/>
              <w:rPr>
                <w:rFonts w:hint="default" w:ascii="Times New Roman" w:hAnsi="Times New Roman" w:eastAsia="Times New Roman"/>
                <w:sz w:val="24"/>
                <w:szCs w:val="24"/>
              </w:rPr>
            </w:pPr>
          </w:p>
          <w:p w14:paraId="5AA1942F">
            <w:pPr>
              <w:pStyle w:val="42"/>
              <w:kinsoku w:val="0"/>
              <w:overflowPunct w:val="0"/>
              <w:spacing w:beforeLines="0" w:afterLines="0"/>
              <w:rPr>
                <w:rFonts w:hint="default" w:ascii="Times New Roman" w:hAnsi="Times New Roman" w:eastAsia="Times New Roman"/>
                <w:sz w:val="24"/>
                <w:szCs w:val="24"/>
              </w:rPr>
            </w:pPr>
          </w:p>
          <w:p w14:paraId="0AE029C2">
            <w:pPr>
              <w:pStyle w:val="42"/>
              <w:kinsoku w:val="0"/>
              <w:overflowPunct w:val="0"/>
              <w:spacing w:before="2" w:beforeLines="0" w:afterLines="0"/>
              <w:rPr>
                <w:rFonts w:hint="default" w:ascii="Times New Roman" w:hAnsi="Times New Roman" w:eastAsia="Times New Roman"/>
                <w:sz w:val="33"/>
                <w:szCs w:val="24"/>
              </w:rPr>
            </w:pPr>
          </w:p>
          <w:p w14:paraId="3A4689C9">
            <w:pPr>
              <w:pStyle w:val="42"/>
              <w:kinsoku w:val="0"/>
              <w:overflowPunct w:val="0"/>
              <w:spacing w:beforeLines="0" w:afterLines="0"/>
              <w:jc w:val="center"/>
              <w:rPr>
                <w:rFonts w:hint="default"/>
                <w:sz w:val="24"/>
                <w:szCs w:val="24"/>
              </w:rPr>
            </w:pPr>
            <w:r>
              <w:rPr>
                <w:rFonts w:hint="default" w:ascii="Times New Roman" w:hAnsi="Times New Roman" w:eastAsia="Times New Roman"/>
                <w:sz w:val="24"/>
                <w:szCs w:val="24"/>
              </w:rPr>
              <w:t>3</w:t>
            </w:r>
          </w:p>
        </w:tc>
        <w:tc>
          <w:tcPr>
            <w:tcW w:w="197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670A833D">
            <w:pPr>
              <w:pStyle w:val="42"/>
              <w:kinsoku w:val="0"/>
              <w:overflowPunct w:val="0"/>
              <w:spacing w:beforeLines="0" w:afterLines="0"/>
              <w:rPr>
                <w:rFonts w:hint="default" w:ascii="Times New Roman" w:hAnsi="Times New Roman" w:eastAsia="Times New Roman"/>
                <w:sz w:val="24"/>
                <w:szCs w:val="24"/>
              </w:rPr>
            </w:pPr>
          </w:p>
          <w:p w14:paraId="25F748AA">
            <w:pPr>
              <w:pStyle w:val="42"/>
              <w:kinsoku w:val="0"/>
              <w:overflowPunct w:val="0"/>
              <w:spacing w:beforeLines="0" w:afterLines="0"/>
              <w:rPr>
                <w:rFonts w:hint="default" w:ascii="Times New Roman" w:hAnsi="Times New Roman" w:eastAsia="Times New Roman"/>
                <w:sz w:val="24"/>
                <w:szCs w:val="24"/>
              </w:rPr>
            </w:pPr>
          </w:p>
          <w:p w14:paraId="64A8FE2E">
            <w:pPr>
              <w:pStyle w:val="42"/>
              <w:kinsoku w:val="0"/>
              <w:overflowPunct w:val="0"/>
              <w:spacing w:beforeLines="0" w:afterLines="0"/>
              <w:rPr>
                <w:rFonts w:hint="default" w:ascii="Times New Roman" w:hAnsi="Times New Roman" w:eastAsia="Times New Roman"/>
                <w:sz w:val="24"/>
                <w:szCs w:val="24"/>
              </w:rPr>
            </w:pPr>
          </w:p>
          <w:p w14:paraId="00F0CC4E">
            <w:pPr>
              <w:pStyle w:val="42"/>
              <w:kinsoku w:val="0"/>
              <w:overflowPunct w:val="0"/>
              <w:spacing w:beforeLines="0" w:afterLines="0"/>
              <w:rPr>
                <w:rFonts w:hint="default" w:ascii="Times New Roman" w:hAnsi="Times New Roman" w:eastAsia="Times New Roman"/>
                <w:sz w:val="24"/>
                <w:szCs w:val="24"/>
              </w:rPr>
            </w:pPr>
          </w:p>
          <w:p w14:paraId="4C7AA8D2">
            <w:pPr>
              <w:pStyle w:val="42"/>
              <w:kinsoku w:val="0"/>
              <w:overflowPunct w:val="0"/>
              <w:spacing w:before="10" w:beforeLines="0" w:afterLines="0"/>
              <w:rPr>
                <w:rFonts w:hint="default" w:ascii="Times New Roman" w:hAnsi="Times New Roman" w:eastAsia="Times New Roman"/>
                <w:sz w:val="27"/>
                <w:szCs w:val="24"/>
              </w:rPr>
            </w:pPr>
          </w:p>
          <w:p w14:paraId="50AF4582">
            <w:pPr>
              <w:pStyle w:val="42"/>
              <w:kinsoku w:val="0"/>
              <w:overflowPunct w:val="0"/>
              <w:spacing w:beforeLines="0" w:afterLines="0"/>
              <w:ind w:left="103"/>
              <w:rPr>
                <w:rFonts w:hint="default"/>
                <w:sz w:val="24"/>
                <w:szCs w:val="24"/>
              </w:rPr>
            </w:pPr>
            <w:r>
              <w:rPr>
                <w:rFonts w:hint="eastAsia" w:ascii="宋体" w:hAnsi="宋体" w:eastAsia="宋体"/>
                <w:sz w:val="24"/>
                <w:szCs w:val="24"/>
              </w:rPr>
              <w:t>值班巡查</w:t>
            </w:r>
          </w:p>
        </w:tc>
        <w:tc>
          <w:tcPr>
            <w:tcW w:w="578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2A7653C">
            <w:pPr>
              <w:pStyle w:val="42"/>
              <w:kinsoku w:val="0"/>
              <w:overflowPunct w:val="0"/>
              <w:spacing w:before="25" w:beforeLines="0" w:afterLines="0"/>
              <w:ind w:left="343"/>
              <w:rPr>
                <w:rFonts w:hint="default"/>
                <w:sz w:val="24"/>
                <w:szCs w:val="24"/>
              </w:rPr>
            </w:pPr>
            <w:r>
              <w:rPr>
                <w:rFonts w:hint="eastAsia" w:ascii="宋体" w:hAnsi="宋体" w:eastAsia="宋体"/>
                <w:sz w:val="24"/>
                <w:szCs w:val="24"/>
              </w:rPr>
              <w:t>（</w:t>
            </w:r>
            <w:r>
              <w:rPr>
                <w:rFonts w:hint="default" w:ascii="Times New Roman" w:hAnsi="Times New Roman" w:eastAsia="Times New Roman"/>
                <w:sz w:val="24"/>
                <w:szCs w:val="24"/>
              </w:rPr>
              <w:t>1</w:t>
            </w:r>
            <w:r>
              <w:rPr>
                <w:rFonts w:hint="eastAsia" w:ascii="宋体" w:hAnsi="宋体" w:eastAsia="宋体"/>
                <w:sz w:val="24"/>
                <w:szCs w:val="24"/>
              </w:rPr>
              <w:t>）建立</w:t>
            </w:r>
            <w:r>
              <w:rPr>
                <w:rFonts w:hint="default" w:ascii="Times New Roman" w:hAnsi="Times New Roman" w:eastAsia="Times New Roman"/>
                <w:sz w:val="24"/>
                <w:szCs w:val="24"/>
              </w:rPr>
              <w:t>24</w:t>
            </w:r>
            <w:r>
              <w:rPr>
                <w:rFonts w:hint="eastAsia" w:ascii="宋体" w:hAnsi="宋体" w:eastAsia="宋体"/>
                <w:sz w:val="24"/>
                <w:szCs w:val="24"/>
              </w:rPr>
              <w:t>小时值班巡查制度。</w:t>
            </w:r>
          </w:p>
        </w:tc>
      </w:tr>
      <w:tr w14:paraId="4CF74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5" w:hRule="exact"/>
        </w:trPr>
        <w:tc>
          <w:tcPr>
            <w:tcW w:w="7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706F29D1">
            <w:pPr>
              <w:pStyle w:val="42"/>
              <w:kinsoku w:val="0"/>
              <w:overflowPunct w:val="0"/>
              <w:spacing w:before="25" w:beforeLines="0" w:afterLines="0"/>
              <w:ind w:left="343"/>
              <w:rPr>
                <w:rFonts w:hint="default"/>
                <w:sz w:val="24"/>
                <w:szCs w:val="24"/>
              </w:rPr>
            </w:pPr>
          </w:p>
        </w:tc>
        <w:tc>
          <w:tcPr>
            <w:tcW w:w="197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61F9464E">
            <w:pPr>
              <w:pStyle w:val="42"/>
              <w:kinsoku w:val="0"/>
              <w:overflowPunct w:val="0"/>
              <w:spacing w:before="25" w:beforeLines="0" w:afterLines="0"/>
              <w:ind w:left="343"/>
              <w:rPr>
                <w:rFonts w:hint="default"/>
                <w:sz w:val="24"/>
                <w:szCs w:val="24"/>
              </w:rPr>
            </w:pPr>
          </w:p>
        </w:tc>
        <w:tc>
          <w:tcPr>
            <w:tcW w:w="578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7E04729">
            <w:pPr>
              <w:pStyle w:val="42"/>
              <w:kinsoku w:val="0"/>
              <w:overflowPunct w:val="0"/>
              <w:spacing w:before="23" w:beforeLines="0" w:afterLines="0" w:line="338" w:lineRule="auto"/>
              <w:ind w:left="103" w:right="391" w:firstLine="240"/>
              <w:rPr>
                <w:rFonts w:hint="eastAsia" w:ascii="Times New Roman" w:hAnsi="Times New Roman" w:eastAsia="宋体"/>
                <w:sz w:val="24"/>
                <w:szCs w:val="24"/>
                <w:lang w:eastAsia="zh-CN"/>
              </w:rPr>
            </w:pPr>
            <w:r>
              <w:rPr>
                <w:rFonts w:hint="eastAsia" w:ascii="宋体" w:hAnsi="宋体" w:eastAsia="宋体"/>
                <w:sz w:val="24"/>
                <w:szCs w:val="24"/>
              </w:rPr>
              <w:t>（</w:t>
            </w:r>
            <w:r>
              <w:rPr>
                <w:rFonts w:hint="default" w:ascii="Times New Roman" w:hAnsi="Times New Roman" w:eastAsia="Times New Roman"/>
                <w:sz w:val="24"/>
                <w:szCs w:val="24"/>
              </w:rPr>
              <w:t>2</w:t>
            </w:r>
            <w:r>
              <w:rPr>
                <w:rFonts w:hint="eastAsia" w:ascii="宋体" w:hAnsi="宋体" w:eastAsia="宋体"/>
                <w:sz w:val="24"/>
                <w:szCs w:val="24"/>
              </w:rPr>
              <w:t>）制定巡查路线，按照指定时间和路线执行，加强重点区域、重点部位及装修区域的巡查</w:t>
            </w:r>
            <w:r>
              <w:rPr>
                <w:rFonts w:hint="eastAsia" w:ascii="宋体" w:hAnsi="宋体" w:eastAsia="宋体"/>
                <w:sz w:val="24"/>
                <w:szCs w:val="24"/>
                <w:lang w:eastAsia="zh-CN"/>
              </w:rPr>
              <w:t>。</w:t>
            </w:r>
          </w:p>
        </w:tc>
      </w:tr>
      <w:tr w14:paraId="056C7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exact"/>
        </w:trPr>
        <w:tc>
          <w:tcPr>
            <w:tcW w:w="7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0886B014">
            <w:pPr>
              <w:pStyle w:val="42"/>
              <w:kinsoku w:val="0"/>
              <w:overflowPunct w:val="0"/>
              <w:spacing w:before="23" w:beforeLines="0" w:afterLines="0" w:line="338" w:lineRule="auto"/>
              <w:ind w:left="103" w:right="391" w:firstLine="240"/>
              <w:rPr>
                <w:rFonts w:hint="default"/>
                <w:sz w:val="24"/>
                <w:szCs w:val="24"/>
              </w:rPr>
            </w:pPr>
          </w:p>
        </w:tc>
        <w:tc>
          <w:tcPr>
            <w:tcW w:w="197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071FD714">
            <w:pPr>
              <w:pStyle w:val="42"/>
              <w:kinsoku w:val="0"/>
              <w:overflowPunct w:val="0"/>
              <w:spacing w:before="23" w:beforeLines="0" w:afterLines="0" w:line="338" w:lineRule="auto"/>
              <w:ind w:left="103" w:right="391" w:firstLine="240"/>
              <w:rPr>
                <w:rFonts w:hint="default"/>
                <w:sz w:val="24"/>
                <w:szCs w:val="24"/>
              </w:rPr>
            </w:pPr>
          </w:p>
        </w:tc>
        <w:tc>
          <w:tcPr>
            <w:tcW w:w="578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783E194">
            <w:pPr>
              <w:pStyle w:val="42"/>
              <w:kinsoku w:val="0"/>
              <w:overflowPunct w:val="0"/>
              <w:spacing w:before="26" w:beforeLines="0" w:afterLines="0" w:line="336" w:lineRule="auto"/>
              <w:ind w:left="103" w:right="211" w:firstLine="240"/>
              <w:rPr>
                <w:rFonts w:hint="default"/>
                <w:sz w:val="24"/>
                <w:szCs w:val="24"/>
              </w:rPr>
            </w:pPr>
            <w:r>
              <w:rPr>
                <w:rFonts w:hint="eastAsia" w:ascii="宋体" w:hAnsi="宋体" w:eastAsia="宋体"/>
                <w:sz w:val="24"/>
                <w:szCs w:val="24"/>
              </w:rPr>
              <w:t>（</w:t>
            </w:r>
            <w:r>
              <w:rPr>
                <w:rFonts w:hint="default" w:ascii="Times New Roman" w:hAnsi="Times New Roman" w:eastAsia="Times New Roman"/>
                <w:sz w:val="24"/>
                <w:szCs w:val="24"/>
              </w:rPr>
              <w:t>3</w:t>
            </w:r>
            <w:r>
              <w:rPr>
                <w:rFonts w:hint="eastAsia" w:ascii="宋体" w:hAnsi="宋体" w:eastAsia="宋体"/>
                <w:sz w:val="24"/>
                <w:szCs w:val="24"/>
              </w:rPr>
              <w:t>）巡查期间保持通信设施设备畅通，遇到异常情况立即上报并在现场采取相应措施。</w:t>
            </w:r>
          </w:p>
        </w:tc>
      </w:tr>
      <w:tr w14:paraId="4F8B4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exact"/>
        </w:trPr>
        <w:tc>
          <w:tcPr>
            <w:tcW w:w="7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017070BB">
            <w:pPr>
              <w:pStyle w:val="42"/>
              <w:kinsoku w:val="0"/>
              <w:overflowPunct w:val="0"/>
              <w:spacing w:before="26" w:beforeLines="0" w:afterLines="0" w:line="336" w:lineRule="auto"/>
              <w:ind w:left="103" w:right="211" w:firstLine="240"/>
              <w:rPr>
                <w:rFonts w:hint="default"/>
                <w:sz w:val="24"/>
                <w:szCs w:val="24"/>
              </w:rPr>
            </w:pPr>
          </w:p>
        </w:tc>
        <w:tc>
          <w:tcPr>
            <w:tcW w:w="197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6B37871B">
            <w:pPr>
              <w:pStyle w:val="42"/>
              <w:kinsoku w:val="0"/>
              <w:overflowPunct w:val="0"/>
              <w:spacing w:before="26" w:beforeLines="0" w:afterLines="0" w:line="336" w:lineRule="auto"/>
              <w:ind w:left="103" w:right="211" w:firstLine="240"/>
              <w:rPr>
                <w:rFonts w:hint="default"/>
                <w:sz w:val="24"/>
                <w:szCs w:val="24"/>
              </w:rPr>
            </w:pPr>
          </w:p>
        </w:tc>
        <w:tc>
          <w:tcPr>
            <w:tcW w:w="578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BC4E0E8">
            <w:pPr>
              <w:pStyle w:val="42"/>
              <w:kinsoku w:val="0"/>
              <w:overflowPunct w:val="0"/>
              <w:spacing w:before="23" w:beforeLines="0" w:afterLines="0" w:line="336" w:lineRule="auto"/>
              <w:ind w:left="103" w:right="211" w:firstLine="240"/>
              <w:rPr>
                <w:rFonts w:hint="default"/>
                <w:sz w:val="24"/>
                <w:szCs w:val="24"/>
              </w:rPr>
            </w:pPr>
            <w:r>
              <w:rPr>
                <w:rFonts w:hint="eastAsia" w:ascii="宋体" w:hAnsi="宋体" w:eastAsia="宋体"/>
                <w:sz w:val="24"/>
                <w:szCs w:val="24"/>
              </w:rPr>
              <w:t>（</w:t>
            </w:r>
            <w:r>
              <w:rPr>
                <w:rFonts w:hint="default" w:ascii="Times New Roman" w:hAnsi="Times New Roman" w:eastAsia="Times New Roman"/>
                <w:sz w:val="24"/>
                <w:szCs w:val="24"/>
              </w:rPr>
              <w:t>4</w:t>
            </w:r>
            <w:r>
              <w:rPr>
                <w:rFonts w:hint="eastAsia" w:ascii="宋体" w:hAnsi="宋体" w:eastAsia="宋体"/>
                <w:sz w:val="24"/>
                <w:szCs w:val="24"/>
              </w:rPr>
              <w:t>）收到监控室指令后，巡查人员及时到达指定地点并迅速采取相应措施。</w:t>
            </w:r>
          </w:p>
        </w:tc>
      </w:tr>
      <w:tr w14:paraId="6C279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exact"/>
        </w:trPr>
        <w:tc>
          <w:tcPr>
            <w:tcW w:w="73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4BDAB090">
            <w:pPr>
              <w:pStyle w:val="42"/>
              <w:kinsoku w:val="0"/>
              <w:overflowPunct w:val="0"/>
              <w:spacing w:beforeLines="0" w:afterLines="0"/>
              <w:rPr>
                <w:rFonts w:hint="default" w:ascii="Times New Roman" w:hAnsi="Times New Roman" w:eastAsia="Times New Roman"/>
                <w:sz w:val="24"/>
                <w:szCs w:val="24"/>
              </w:rPr>
            </w:pPr>
          </w:p>
          <w:p w14:paraId="7C5EA286">
            <w:pPr>
              <w:pStyle w:val="42"/>
              <w:kinsoku w:val="0"/>
              <w:overflowPunct w:val="0"/>
              <w:spacing w:beforeLines="0" w:afterLines="0"/>
              <w:rPr>
                <w:rFonts w:hint="default" w:ascii="Times New Roman" w:hAnsi="Times New Roman" w:eastAsia="Times New Roman"/>
                <w:sz w:val="24"/>
                <w:szCs w:val="24"/>
              </w:rPr>
            </w:pPr>
          </w:p>
          <w:p w14:paraId="70352989">
            <w:pPr>
              <w:pStyle w:val="42"/>
              <w:kinsoku w:val="0"/>
              <w:overflowPunct w:val="0"/>
              <w:spacing w:beforeLines="0" w:afterLines="0"/>
              <w:rPr>
                <w:rFonts w:hint="default" w:ascii="Times New Roman" w:hAnsi="Times New Roman" w:eastAsia="Times New Roman"/>
                <w:sz w:val="24"/>
                <w:szCs w:val="24"/>
              </w:rPr>
            </w:pPr>
          </w:p>
          <w:p w14:paraId="00D6370B">
            <w:pPr>
              <w:pStyle w:val="42"/>
              <w:kinsoku w:val="0"/>
              <w:overflowPunct w:val="0"/>
              <w:spacing w:beforeLines="0" w:afterLines="0"/>
              <w:rPr>
                <w:rFonts w:hint="default" w:ascii="Times New Roman" w:hAnsi="Times New Roman" w:eastAsia="Times New Roman"/>
                <w:sz w:val="24"/>
                <w:szCs w:val="24"/>
              </w:rPr>
            </w:pPr>
          </w:p>
          <w:p w14:paraId="0341B944">
            <w:pPr>
              <w:pStyle w:val="42"/>
              <w:kinsoku w:val="0"/>
              <w:overflowPunct w:val="0"/>
              <w:spacing w:beforeLines="0" w:afterLines="0"/>
              <w:rPr>
                <w:rFonts w:hint="default" w:ascii="Times New Roman" w:hAnsi="Times New Roman" w:eastAsia="Times New Roman"/>
                <w:sz w:val="24"/>
                <w:szCs w:val="24"/>
              </w:rPr>
            </w:pPr>
          </w:p>
          <w:p w14:paraId="296E5204">
            <w:pPr>
              <w:pStyle w:val="42"/>
              <w:kinsoku w:val="0"/>
              <w:overflowPunct w:val="0"/>
              <w:spacing w:beforeLines="0" w:afterLines="0"/>
              <w:rPr>
                <w:rFonts w:hint="default" w:ascii="Times New Roman" w:hAnsi="Times New Roman" w:eastAsia="Times New Roman"/>
                <w:sz w:val="24"/>
                <w:szCs w:val="24"/>
              </w:rPr>
            </w:pPr>
          </w:p>
          <w:p w14:paraId="6451A52C">
            <w:pPr>
              <w:pStyle w:val="42"/>
              <w:kinsoku w:val="0"/>
              <w:overflowPunct w:val="0"/>
              <w:spacing w:beforeLines="0" w:afterLines="0"/>
              <w:rPr>
                <w:rFonts w:hint="default" w:ascii="Times New Roman" w:hAnsi="Times New Roman" w:eastAsia="Times New Roman"/>
                <w:sz w:val="24"/>
                <w:szCs w:val="24"/>
              </w:rPr>
            </w:pPr>
          </w:p>
          <w:p w14:paraId="1D2A4663">
            <w:pPr>
              <w:pStyle w:val="42"/>
              <w:kinsoku w:val="0"/>
              <w:overflowPunct w:val="0"/>
              <w:spacing w:beforeLines="0" w:afterLines="0"/>
              <w:rPr>
                <w:rFonts w:hint="default" w:ascii="Times New Roman" w:hAnsi="Times New Roman" w:eastAsia="Times New Roman"/>
                <w:sz w:val="24"/>
                <w:szCs w:val="24"/>
              </w:rPr>
            </w:pPr>
          </w:p>
          <w:p w14:paraId="43EA193B">
            <w:pPr>
              <w:pStyle w:val="42"/>
              <w:kinsoku w:val="0"/>
              <w:overflowPunct w:val="0"/>
              <w:spacing w:before="8" w:beforeLines="0" w:afterLines="0"/>
              <w:rPr>
                <w:rFonts w:hint="default" w:ascii="Times New Roman" w:hAnsi="Times New Roman" w:eastAsia="Times New Roman"/>
                <w:sz w:val="34"/>
                <w:szCs w:val="24"/>
              </w:rPr>
            </w:pPr>
          </w:p>
          <w:p w14:paraId="4CC63131">
            <w:pPr>
              <w:pStyle w:val="42"/>
              <w:kinsoku w:val="0"/>
              <w:overflowPunct w:val="0"/>
              <w:spacing w:beforeLines="0" w:afterLines="0"/>
              <w:jc w:val="center"/>
              <w:rPr>
                <w:rFonts w:hint="default"/>
                <w:sz w:val="24"/>
                <w:szCs w:val="24"/>
              </w:rPr>
            </w:pPr>
            <w:r>
              <w:rPr>
                <w:rFonts w:hint="default" w:ascii="Times New Roman" w:hAnsi="Times New Roman" w:eastAsia="Times New Roman"/>
                <w:sz w:val="24"/>
                <w:szCs w:val="24"/>
              </w:rPr>
              <w:t>4</w:t>
            </w:r>
          </w:p>
        </w:tc>
        <w:tc>
          <w:tcPr>
            <w:tcW w:w="197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5E6E2DD3">
            <w:pPr>
              <w:pStyle w:val="42"/>
              <w:kinsoku w:val="0"/>
              <w:overflowPunct w:val="0"/>
              <w:spacing w:beforeLines="0" w:afterLines="0"/>
              <w:rPr>
                <w:rFonts w:hint="default" w:ascii="Times New Roman" w:hAnsi="Times New Roman" w:eastAsia="Times New Roman"/>
                <w:sz w:val="24"/>
                <w:szCs w:val="24"/>
              </w:rPr>
            </w:pPr>
          </w:p>
          <w:p w14:paraId="11ADA144">
            <w:pPr>
              <w:pStyle w:val="42"/>
              <w:kinsoku w:val="0"/>
              <w:overflowPunct w:val="0"/>
              <w:spacing w:beforeLines="0" w:afterLines="0"/>
              <w:rPr>
                <w:rFonts w:hint="default" w:ascii="Times New Roman" w:hAnsi="Times New Roman" w:eastAsia="Times New Roman"/>
                <w:sz w:val="24"/>
                <w:szCs w:val="24"/>
              </w:rPr>
            </w:pPr>
          </w:p>
          <w:p w14:paraId="12115C7E">
            <w:pPr>
              <w:pStyle w:val="42"/>
              <w:kinsoku w:val="0"/>
              <w:overflowPunct w:val="0"/>
              <w:spacing w:beforeLines="0" w:afterLines="0"/>
              <w:rPr>
                <w:rFonts w:hint="default" w:ascii="Times New Roman" w:hAnsi="Times New Roman" w:eastAsia="Times New Roman"/>
                <w:sz w:val="24"/>
                <w:szCs w:val="24"/>
              </w:rPr>
            </w:pPr>
          </w:p>
          <w:p w14:paraId="6C2547B2">
            <w:pPr>
              <w:pStyle w:val="42"/>
              <w:kinsoku w:val="0"/>
              <w:overflowPunct w:val="0"/>
              <w:spacing w:beforeLines="0" w:afterLines="0"/>
              <w:rPr>
                <w:rFonts w:hint="default" w:ascii="Times New Roman" w:hAnsi="Times New Roman" w:eastAsia="Times New Roman"/>
                <w:sz w:val="24"/>
                <w:szCs w:val="24"/>
              </w:rPr>
            </w:pPr>
          </w:p>
          <w:p w14:paraId="7B7FAD31">
            <w:pPr>
              <w:pStyle w:val="42"/>
              <w:kinsoku w:val="0"/>
              <w:overflowPunct w:val="0"/>
              <w:spacing w:beforeLines="0" w:afterLines="0"/>
              <w:rPr>
                <w:rFonts w:hint="default" w:ascii="Times New Roman" w:hAnsi="Times New Roman" w:eastAsia="Times New Roman"/>
                <w:sz w:val="24"/>
                <w:szCs w:val="24"/>
              </w:rPr>
            </w:pPr>
          </w:p>
          <w:p w14:paraId="2050CDF9">
            <w:pPr>
              <w:pStyle w:val="42"/>
              <w:kinsoku w:val="0"/>
              <w:overflowPunct w:val="0"/>
              <w:spacing w:beforeLines="0" w:afterLines="0"/>
              <w:rPr>
                <w:rFonts w:hint="default" w:ascii="Times New Roman" w:hAnsi="Times New Roman" w:eastAsia="Times New Roman"/>
                <w:sz w:val="24"/>
                <w:szCs w:val="24"/>
              </w:rPr>
            </w:pPr>
          </w:p>
          <w:p w14:paraId="16907BCD">
            <w:pPr>
              <w:pStyle w:val="42"/>
              <w:kinsoku w:val="0"/>
              <w:overflowPunct w:val="0"/>
              <w:spacing w:beforeLines="0" w:afterLines="0"/>
              <w:rPr>
                <w:rFonts w:hint="default" w:ascii="Times New Roman" w:hAnsi="Times New Roman" w:eastAsia="Times New Roman"/>
                <w:sz w:val="24"/>
                <w:szCs w:val="24"/>
              </w:rPr>
            </w:pPr>
          </w:p>
          <w:p w14:paraId="5376B0D9">
            <w:pPr>
              <w:pStyle w:val="42"/>
              <w:kinsoku w:val="0"/>
              <w:overflowPunct w:val="0"/>
              <w:spacing w:beforeLines="0" w:afterLines="0"/>
              <w:rPr>
                <w:rFonts w:hint="default" w:ascii="Times New Roman" w:hAnsi="Times New Roman" w:eastAsia="Times New Roman"/>
                <w:sz w:val="24"/>
                <w:szCs w:val="24"/>
              </w:rPr>
            </w:pPr>
          </w:p>
          <w:p w14:paraId="5539376F">
            <w:pPr>
              <w:pStyle w:val="42"/>
              <w:kinsoku w:val="0"/>
              <w:overflowPunct w:val="0"/>
              <w:spacing w:before="4" w:beforeLines="0" w:afterLines="0"/>
              <w:rPr>
                <w:rFonts w:hint="default" w:ascii="Times New Roman" w:hAnsi="Times New Roman" w:eastAsia="Times New Roman"/>
                <w:sz w:val="29"/>
                <w:szCs w:val="24"/>
              </w:rPr>
            </w:pPr>
          </w:p>
          <w:p w14:paraId="37DBDC79">
            <w:pPr>
              <w:pStyle w:val="42"/>
              <w:kinsoku w:val="0"/>
              <w:overflowPunct w:val="0"/>
              <w:spacing w:beforeLines="0" w:afterLines="0"/>
              <w:ind w:left="103"/>
              <w:rPr>
                <w:rFonts w:hint="default"/>
                <w:sz w:val="24"/>
                <w:szCs w:val="24"/>
              </w:rPr>
            </w:pPr>
            <w:r>
              <w:rPr>
                <w:rFonts w:hint="eastAsia" w:ascii="宋体" w:hAnsi="宋体" w:eastAsia="宋体"/>
                <w:sz w:val="24"/>
                <w:szCs w:val="24"/>
              </w:rPr>
              <w:t>突发事件处理</w:t>
            </w:r>
          </w:p>
        </w:tc>
        <w:tc>
          <w:tcPr>
            <w:tcW w:w="578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4DE67C2">
            <w:pPr>
              <w:pStyle w:val="42"/>
              <w:kinsoku w:val="0"/>
              <w:overflowPunct w:val="0"/>
              <w:spacing w:before="23" w:beforeLines="0" w:afterLines="0" w:line="336" w:lineRule="auto"/>
              <w:ind w:left="103" w:right="211" w:firstLine="240"/>
              <w:rPr>
                <w:rFonts w:hint="default"/>
                <w:sz w:val="24"/>
                <w:szCs w:val="24"/>
              </w:rPr>
            </w:pPr>
            <w:r>
              <w:rPr>
                <w:rFonts w:hint="eastAsia" w:ascii="宋体" w:hAnsi="宋体" w:eastAsia="宋体"/>
                <w:sz w:val="24"/>
                <w:szCs w:val="24"/>
              </w:rPr>
              <w:t>（</w:t>
            </w:r>
            <w:r>
              <w:rPr>
                <w:rFonts w:hint="default" w:ascii="Times New Roman" w:hAnsi="Times New Roman" w:eastAsia="Times New Roman"/>
                <w:sz w:val="24"/>
                <w:szCs w:val="24"/>
              </w:rPr>
              <w:t>1</w:t>
            </w:r>
            <w:r>
              <w:rPr>
                <w:rFonts w:hint="eastAsia" w:ascii="宋体" w:hAnsi="宋体" w:eastAsia="宋体"/>
                <w:sz w:val="24"/>
                <w:szCs w:val="24"/>
              </w:rPr>
              <w:t>）制定突发事件安全责任书，明确突发事件责任人及应承担的安全责任。</w:t>
            </w:r>
          </w:p>
        </w:tc>
      </w:tr>
      <w:tr w14:paraId="053E7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exact"/>
        </w:trPr>
        <w:tc>
          <w:tcPr>
            <w:tcW w:w="7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91FF524">
            <w:pPr>
              <w:pStyle w:val="42"/>
              <w:kinsoku w:val="0"/>
              <w:overflowPunct w:val="0"/>
              <w:spacing w:before="23" w:beforeLines="0" w:afterLines="0" w:line="336" w:lineRule="auto"/>
              <w:ind w:left="103" w:right="211" w:firstLine="240"/>
              <w:rPr>
                <w:rFonts w:hint="default"/>
                <w:sz w:val="24"/>
                <w:szCs w:val="24"/>
              </w:rPr>
            </w:pPr>
          </w:p>
        </w:tc>
        <w:tc>
          <w:tcPr>
            <w:tcW w:w="197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3D14479F">
            <w:pPr>
              <w:pStyle w:val="42"/>
              <w:kinsoku w:val="0"/>
              <w:overflowPunct w:val="0"/>
              <w:spacing w:before="23" w:beforeLines="0" w:afterLines="0" w:line="336" w:lineRule="auto"/>
              <w:ind w:left="103" w:right="211" w:firstLine="240"/>
              <w:rPr>
                <w:rFonts w:hint="default"/>
                <w:sz w:val="24"/>
                <w:szCs w:val="24"/>
              </w:rPr>
            </w:pPr>
          </w:p>
        </w:tc>
        <w:tc>
          <w:tcPr>
            <w:tcW w:w="578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A99C161">
            <w:pPr>
              <w:pStyle w:val="42"/>
              <w:kinsoku w:val="0"/>
              <w:overflowPunct w:val="0"/>
              <w:spacing w:before="24" w:beforeLines="0" w:afterLines="0" w:line="338" w:lineRule="auto"/>
              <w:ind w:left="103" w:right="211" w:firstLine="240"/>
              <w:rPr>
                <w:rFonts w:hint="default"/>
                <w:sz w:val="24"/>
                <w:szCs w:val="24"/>
              </w:rPr>
            </w:pPr>
            <w:r>
              <w:rPr>
                <w:rFonts w:hint="eastAsia" w:ascii="宋体" w:hAnsi="宋体" w:eastAsia="宋体"/>
                <w:sz w:val="24"/>
                <w:szCs w:val="24"/>
              </w:rPr>
              <w:t>（</w:t>
            </w:r>
            <w:r>
              <w:rPr>
                <w:rFonts w:hint="default" w:ascii="Times New Roman" w:hAnsi="Times New Roman" w:eastAsia="Times New Roman"/>
                <w:sz w:val="24"/>
                <w:szCs w:val="24"/>
              </w:rPr>
              <w:t>2</w:t>
            </w:r>
            <w:r>
              <w:rPr>
                <w:rFonts w:hint="eastAsia" w:ascii="宋体" w:hAnsi="宋体" w:eastAsia="宋体"/>
                <w:sz w:val="24"/>
                <w:szCs w:val="24"/>
              </w:rPr>
              <w:t>）建立应急突发事件处置队伍，明确各自的职责。</w:t>
            </w:r>
          </w:p>
        </w:tc>
      </w:tr>
      <w:tr w14:paraId="1F4D8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exact"/>
        </w:trPr>
        <w:tc>
          <w:tcPr>
            <w:tcW w:w="7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07253F3E">
            <w:pPr>
              <w:pStyle w:val="42"/>
              <w:kinsoku w:val="0"/>
              <w:overflowPunct w:val="0"/>
              <w:spacing w:before="24" w:beforeLines="0" w:afterLines="0" w:line="338" w:lineRule="auto"/>
              <w:ind w:left="103" w:right="211" w:firstLine="240"/>
              <w:rPr>
                <w:rFonts w:hint="default"/>
                <w:sz w:val="24"/>
                <w:szCs w:val="24"/>
              </w:rPr>
            </w:pPr>
          </w:p>
        </w:tc>
        <w:tc>
          <w:tcPr>
            <w:tcW w:w="197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72B53AAD">
            <w:pPr>
              <w:pStyle w:val="42"/>
              <w:kinsoku w:val="0"/>
              <w:overflowPunct w:val="0"/>
              <w:spacing w:before="24" w:beforeLines="0" w:afterLines="0" w:line="338" w:lineRule="auto"/>
              <w:ind w:left="103" w:right="211" w:firstLine="240"/>
              <w:rPr>
                <w:rFonts w:hint="default"/>
                <w:sz w:val="24"/>
                <w:szCs w:val="24"/>
              </w:rPr>
            </w:pPr>
          </w:p>
        </w:tc>
        <w:tc>
          <w:tcPr>
            <w:tcW w:w="578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4C447D4">
            <w:pPr>
              <w:pStyle w:val="42"/>
              <w:kinsoku w:val="0"/>
              <w:overflowPunct w:val="0"/>
              <w:spacing w:before="24" w:beforeLines="0" w:afterLines="0" w:line="336" w:lineRule="auto"/>
              <w:ind w:left="103" w:right="211" w:firstLine="240"/>
              <w:rPr>
                <w:rFonts w:hint="default"/>
                <w:sz w:val="24"/>
                <w:szCs w:val="24"/>
              </w:rPr>
            </w:pPr>
            <w:r>
              <w:rPr>
                <w:rFonts w:hint="eastAsia" w:ascii="宋体" w:hAnsi="宋体" w:eastAsia="宋体"/>
                <w:sz w:val="24"/>
                <w:szCs w:val="24"/>
              </w:rPr>
              <w:t>（</w:t>
            </w:r>
            <w:r>
              <w:rPr>
                <w:rFonts w:hint="default" w:ascii="Times New Roman" w:hAnsi="Times New Roman" w:eastAsia="Times New Roman"/>
                <w:sz w:val="24"/>
                <w:szCs w:val="24"/>
              </w:rPr>
              <w:t>3</w:t>
            </w:r>
            <w:r>
              <w:rPr>
                <w:rFonts w:hint="eastAsia" w:ascii="宋体" w:hAnsi="宋体" w:eastAsia="宋体"/>
                <w:sz w:val="24"/>
                <w:szCs w:val="24"/>
              </w:rPr>
              <w:t>）识别、分析各种潜在风险，针对不同风险类型制定相应解决方案，并配备应急物资。</w:t>
            </w:r>
          </w:p>
        </w:tc>
      </w:tr>
      <w:tr w14:paraId="2E37D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exact"/>
        </w:trPr>
        <w:tc>
          <w:tcPr>
            <w:tcW w:w="7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6CB07F2">
            <w:pPr>
              <w:pStyle w:val="42"/>
              <w:kinsoku w:val="0"/>
              <w:overflowPunct w:val="0"/>
              <w:spacing w:before="24" w:beforeLines="0" w:afterLines="0" w:line="336" w:lineRule="auto"/>
              <w:ind w:left="103" w:right="211" w:firstLine="240"/>
              <w:rPr>
                <w:rFonts w:hint="default"/>
                <w:sz w:val="24"/>
                <w:szCs w:val="24"/>
              </w:rPr>
            </w:pPr>
          </w:p>
        </w:tc>
        <w:tc>
          <w:tcPr>
            <w:tcW w:w="197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68F910B">
            <w:pPr>
              <w:pStyle w:val="42"/>
              <w:kinsoku w:val="0"/>
              <w:overflowPunct w:val="0"/>
              <w:spacing w:before="24" w:beforeLines="0" w:afterLines="0" w:line="336" w:lineRule="auto"/>
              <w:ind w:left="103" w:right="211" w:firstLine="240"/>
              <w:rPr>
                <w:rFonts w:hint="default"/>
                <w:sz w:val="24"/>
                <w:szCs w:val="24"/>
              </w:rPr>
            </w:pPr>
          </w:p>
        </w:tc>
        <w:tc>
          <w:tcPr>
            <w:tcW w:w="578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F4D9A09">
            <w:pPr>
              <w:pStyle w:val="42"/>
              <w:kinsoku w:val="0"/>
              <w:overflowPunct w:val="0"/>
              <w:spacing w:before="24" w:beforeLines="0" w:afterLines="0" w:line="324" w:lineRule="auto"/>
              <w:ind w:left="103" w:right="206" w:firstLine="240"/>
              <w:rPr>
                <w:rFonts w:hint="default"/>
                <w:sz w:val="24"/>
                <w:szCs w:val="24"/>
              </w:rPr>
            </w:pPr>
            <w:r>
              <w:rPr>
                <w:rFonts w:hint="eastAsia" w:ascii="宋体" w:hAnsi="宋体" w:eastAsia="宋体"/>
                <w:sz w:val="24"/>
                <w:szCs w:val="24"/>
              </w:rPr>
              <w:t>（</w:t>
            </w:r>
            <w:r>
              <w:rPr>
                <w:rFonts w:hint="default" w:ascii="Times New Roman" w:hAnsi="Times New Roman" w:eastAsia="Times New Roman"/>
                <w:sz w:val="24"/>
                <w:szCs w:val="24"/>
              </w:rPr>
              <w:t>4</w:t>
            </w:r>
            <w:r>
              <w:rPr>
                <w:rFonts w:hint="eastAsia" w:ascii="宋体" w:hAnsi="宋体" w:eastAsia="宋体"/>
                <w:sz w:val="24"/>
                <w:szCs w:val="24"/>
              </w:rPr>
              <w:t>）每半年至少开展</w:t>
            </w:r>
            <w:r>
              <w:rPr>
                <w:rFonts w:hint="default" w:ascii="Calibri" w:hAnsi="Calibri" w:eastAsia="Calibri"/>
                <w:sz w:val="24"/>
                <w:szCs w:val="24"/>
              </w:rPr>
              <w:t>1</w:t>
            </w:r>
            <w:r>
              <w:rPr>
                <w:rFonts w:hint="eastAsia" w:ascii="宋体" w:hAnsi="宋体" w:eastAsia="宋体"/>
                <w:sz w:val="24"/>
                <w:szCs w:val="24"/>
              </w:rPr>
              <w:t>次突发事件应急演练，并有相应记录。</w:t>
            </w:r>
          </w:p>
        </w:tc>
      </w:tr>
      <w:tr w14:paraId="3885D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exact"/>
        </w:trPr>
        <w:tc>
          <w:tcPr>
            <w:tcW w:w="7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54A904E5">
            <w:pPr>
              <w:pStyle w:val="42"/>
              <w:kinsoku w:val="0"/>
              <w:overflowPunct w:val="0"/>
              <w:spacing w:before="24" w:beforeLines="0" w:afterLines="0" w:line="324" w:lineRule="auto"/>
              <w:ind w:left="103" w:right="206" w:firstLine="240"/>
              <w:rPr>
                <w:rFonts w:hint="default"/>
                <w:sz w:val="24"/>
                <w:szCs w:val="24"/>
              </w:rPr>
            </w:pPr>
          </w:p>
        </w:tc>
        <w:tc>
          <w:tcPr>
            <w:tcW w:w="197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1BFF8318">
            <w:pPr>
              <w:pStyle w:val="42"/>
              <w:kinsoku w:val="0"/>
              <w:overflowPunct w:val="0"/>
              <w:spacing w:before="24" w:beforeLines="0" w:afterLines="0" w:line="324" w:lineRule="auto"/>
              <w:ind w:left="103" w:right="206" w:firstLine="240"/>
              <w:rPr>
                <w:rFonts w:hint="default"/>
                <w:sz w:val="24"/>
                <w:szCs w:val="24"/>
              </w:rPr>
            </w:pPr>
          </w:p>
        </w:tc>
        <w:tc>
          <w:tcPr>
            <w:tcW w:w="578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E13EBB0">
            <w:pPr>
              <w:pStyle w:val="42"/>
              <w:kinsoku w:val="0"/>
              <w:overflowPunct w:val="0"/>
              <w:spacing w:before="24" w:beforeLines="0" w:afterLines="0" w:line="336" w:lineRule="auto"/>
              <w:ind w:left="103" w:right="151" w:firstLine="240"/>
              <w:rPr>
                <w:rFonts w:hint="default"/>
                <w:sz w:val="24"/>
                <w:szCs w:val="24"/>
              </w:rPr>
            </w:pPr>
            <w:r>
              <w:rPr>
                <w:rFonts w:hint="eastAsia" w:ascii="宋体" w:hAnsi="宋体" w:eastAsia="宋体"/>
                <w:sz w:val="24"/>
                <w:szCs w:val="24"/>
              </w:rPr>
              <w:t>（</w:t>
            </w:r>
            <w:r>
              <w:rPr>
                <w:rFonts w:hint="default" w:ascii="Times New Roman" w:hAnsi="Times New Roman" w:eastAsia="Times New Roman"/>
                <w:sz w:val="24"/>
                <w:szCs w:val="24"/>
              </w:rPr>
              <w:t>5</w:t>
            </w:r>
            <w:r>
              <w:rPr>
                <w:rFonts w:hint="eastAsia" w:ascii="宋体" w:hAnsi="宋体" w:eastAsia="宋体"/>
                <w:sz w:val="24"/>
                <w:szCs w:val="24"/>
              </w:rPr>
              <w:t>）发生意外事件时，及时采取应急措施，维护办公区域物业服务正常进行，保护人身财产安全。</w:t>
            </w:r>
          </w:p>
        </w:tc>
      </w:tr>
      <w:tr w14:paraId="3E088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exact"/>
        </w:trPr>
        <w:tc>
          <w:tcPr>
            <w:tcW w:w="7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27D5F1F4">
            <w:pPr>
              <w:pStyle w:val="42"/>
              <w:kinsoku w:val="0"/>
              <w:overflowPunct w:val="0"/>
              <w:spacing w:before="24" w:beforeLines="0" w:afterLines="0" w:line="336" w:lineRule="auto"/>
              <w:ind w:left="103" w:right="151" w:firstLine="240"/>
              <w:rPr>
                <w:rFonts w:hint="default"/>
                <w:sz w:val="24"/>
                <w:szCs w:val="24"/>
              </w:rPr>
            </w:pPr>
          </w:p>
        </w:tc>
        <w:tc>
          <w:tcPr>
            <w:tcW w:w="197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6B15444E">
            <w:pPr>
              <w:pStyle w:val="42"/>
              <w:kinsoku w:val="0"/>
              <w:overflowPunct w:val="0"/>
              <w:spacing w:before="24" w:beforeLines="0" w:afterLines="0" w:line="336" w:lineRule="auto"/>
              <w:ind w:left="103" w:right="151" w:firstLine="240"/>
              <w:rPr>
                <w:rFonts w:hint="default"/>
                <w:sz w:val="24"/>
                <w:szCs w:val="24"/>
              </w:rPr>
            </w:pPr>
          </w:p>
        </w:tc>
        <w:tc>
          <w:tcPr>
            <w:tcW w:w="578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4A04F71">
            <w:pPr>
              <w:pStyle w:val="42"/>
              <w:kinsoku w:val="0"/>
              <w:overflowPunct w:val="0"/>
              <w:spacing w:before="24" w:beforeLines="0" w:afterLines="0" w:line="336" w:lineRule="auto"/>
              <w:ind w:left="103" w:right="151" w:firstLine="240"/>
              <w:rPr>
                <w:rFonts w:hint="default"/>
                <w:sz w:val="24"/>
                <w:szCs w:val="24"/>
              </w:rPr>
            </w:pPr>
            <w:r>
              <w:rPr>
                <w:rFonts w:hint="eastAsia" w:ascii="宋体" w:hAnsi="宋体" w:eastAsia="宋体"/>
                <w:sz w:val="24"/>
                <w:szCs w:val="24"/>
              </w:rPr>
              <w:t>（</w:t>
            </w:r>
            <w:r>
              <w:rPr>
                <w:rFonts w:hint="default" w:ascii="Times New Roman" w:hAnsi="Times New Roman" w:eastAsia="Times New Roman"/>
                <w:sz w:val="24"/>
                <w:szCs w:val="24"/>
              </w:rPr>
              <w:t>6</w:t>
            </w:r>
            <w:r>
              <w:rPr>
                <w:rFonts w:hint="eastAsia" w:ascii="宋体" w:hAnsi="宋体" w:eastAsia="宋体"/>
                <w:sz w:val="24"/>
                <w:szCs w:val="24"/>
              </w:rPr>
              <w:t>）办公区域物业服务应急预案终止实施后，积极采取措施，在尽可能短的时间内，消除事故带来</w:t>
            </w:r>
          </w:p>
        </w:tc>
      </w:tr>
    </w:tbl>
    <w:p w14:paraId="04BEB07F">
      <w:pPr>
        <w:spacing w:beforeLines="0" w:afterLines="0"/>
        <w:rPr>
          <w:rFonts w:hint="default"/>
          <w:sz w:val="24"/>
          <w:szCs w:val="24"/>
        </w:rPr>
        <w:sectPr>
          <w:pgSz w:w="11910" w:h="16840"/>
          <w:pgMar w:top="980" w:right="1620" w:bottom="880" w:left="1580" w:header="746" w:footer="699" w:gutter="0"/>
          <w:lnNumType w:countBy="0" w:distance="360"/>
          <w:cols w:space="720" w:num="1"/>
        </w:sectPr>
      </w:pPr>
    </w:p>
    <w:p w14:paraId="39F5EAF8">
      <w:pPr>
        <w:pStyle w:val="8"/>
        <w:kinsoku w:val="0"/>
        <w:overflowPunct w:val="0"/>
        <w:spacing w:beforeLines="0" w:afterLines="0"/>
        <w:ind w:left="0"/>
        <w:rPr>
          <w:rFonts w:hint="default" w:ascii="Times New Roman" w:hAnsi="Times New Roman" w:eastAsia="Times New Roman"/>
          <w:sz w:val="20"/>
          <w:szCs w:val="24"/>
        </w:rPr>
      </w:pPr>
    </w:p>
    <w:p w14:paraId="2CF98940">
      <w:pPr>
        <w:pStyle w:val="8"/>
        <w:kinsoku w:val="0"/>
        <w:overflowPunct w:val="0"/>
        <w:spacing w:before="3" w:beforeLines="0" w:afterLines="0"/>
        <w:ind w:left="0"/>
        <w:rPr>
          <w:rFonts w:hint="default" w:ascii="Times New Roman" w:hAnsi="Times New Roman" w:eastAsia="Times New Roman"/>
          <w:sz w:val="19"/>
          <w:szCs w:val="24"/>
        </w:rPr>
      </w:pPr>
    </w:p>
    <w:tbl>
      <w:tblPr>
        <w:tblStyle w:val="19"/>
        <w:tblW w:w="0" w:type="auto"/>
        <w:tblInd w:w="2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4"/>
        <w:gridCol w:w="1971"/>
        <w:gridCol w:w="5786"/>
      </w:tblGrid>
      <w:tr w14:paraId="497CD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exact"/>
        </w:trPr>
        <w:tc>
          <w:tcPr>
            <w:tcW w:w="73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5E25F969">
            <w:pPr>
              <w:spacing w:beforeLines="0" w:afterLines="0"/>
              <w:rPr>
                <w:rFonts w:hint="default"/>
                <w:sz w:val="24"/>
                <w:szCs w:val="24"/>
              </w:rPr>
            </w:pPr>
          </w:p>
        </w:tc>
        <w:tc>
          <w:tcPr>
            <w:tcW w:w="197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31C88689">
            <w:pPr>
              <w:spacing w:beforeLines="0" w:afterLines="0"/>
              <w:rPr>
                <w:rFonts w:hint="default"/>
                <w:sz w:val="24"/>
                <w:szCs w:val="24"/>
              </w:rPr>
            </w:pPr>
          </w:p>
        </w:tc>
        <w:tc>
          <w:tcPr>
            <w:tcW w:w="578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BED06B0">
            <w:pPr>
              <w:pStyle w:val="42"/>
              <w:kinsoku w:val="0"/>
              <w:overflowPunct w:val="0"/>
              <w:spacing w:beforeLines="0" w:afterLines="0" w:line="277" w:lineRule="exact"/>
              <w:ind w:left="103"/>
              <w:rPr>
                <w:rFonts w:hint="eastAsia" w:ascii="宋体" w:hAnsi="宋体" w:eastAsia="宋体"/>
                <w:sz w:val="24"/>
                <w:szCs w:val="24"/>
              </w:rPr>
            </w:pPr>
            <w:r>
              <w:rPr>
                <w:rFonts w:hint="eastAsia" w:ascii="宋体" w:hAnsi="宋体" w:eastAsia="宋体"/>
                <w:sz w:val="24"/>
                <w:szCs w:val="24"/>
              </w:rPr>
              <w:t>的不良影响，妥善安置和慰问受害及受影响的人员和部门。</w:t>
            </w:r>
          </w:p>
          <w:p w14:paraId="2D482F4E">
            <w:pPr>
              <w:pStyle w:val="42"/>
              <w:kinsoku w:val="0"/>
              <w:overflowPunct w:val="0"/>
              <w:spacing w:before="74" w:beforeLines="0" w:afterLines="0"/>
              <w:ind w:left="103"/>
              <w:rPr>
                <w:rFonts w:hint="default"/>
                <w:sz w:val="24"/>
                <w:szCs w:val="24"/>
              </w:rPr>
            </w:pPr>
          </w:p>
        </w:tc>
      </w:tr>
      <w:tr w14:paraId="750A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exact"/>
        </w:trPr>
        <w:tc>
          <w:tcPr>
            <w:tcW w:w="7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DF36B2F">
            <w:pPr>
              <w:pStyle w:val="42"/>
              <w:kinsoku w:val="0"/>
              <w:overflowPunct w:val="0"/>
              <w:spacing w:before="74" w:beforeLines="0" w:afterLines="0"/>
              <w:ind w:left="103"/>
              <w:rPr>
                <w:rFonts w:hint="default"/>
                <w:sz w:val="24"/>
                <w:szCs w:val="24"/>
              </w:rPr>
            </w:pPr>
          </w:p>
        </w:tc>
        <w:tc>
          <w:tcPr>
            <w:tcW w:w="197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0FF483B">
            <w:pPr>
              <w:pStyle w:val="42"/>
              <w:kinsoku w:val="0"/>
              <w:overflowPunct w:val="0"/>
              <w:spacing w:before="74" w:beforeLines="0" w:afterLines="0"/>
              <w:ind w:left="103"/>
              <w:rPr>
                <w:rFonts w:hint="default"/>
                <w:sz w:val="24"/>
                <w:szCs w:val="24"/>
              </w:rPr>
            </w:pPr>
          </w:p>
        </w:tc>
        <w:tc>
          <w:tcPr>
            <w:tcW w:w="578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5158625">
            <w:pPr>
              <w:pStyle w:val="42"/>
              <w:kinsoku w:val="0"/>
              <w:overflowPunct w:val="0"/>
              <w:spacing w:before="24" w:beforeLines="0" w:afterLines="0" w:line="336" w:lineRule="auto"/>
              <w:ind w:right="451" w:firstLine="240" w:firstLineChars="100"/>
              <w:rPr>
                <w:rFonts w:hint="default"/>
                <w:sz w:val="24"/>
                <w:szCs w:val="24"/>
              </w:rPr>
            </w:pPr>
            <w:r>
              <w:rPr>
                <w:rFonts w:hint="eastAsia" w:ascii="宋体" w:hAnsi="宋体" w:eastAsia="宋体"/>
                <w:sz w:val="24"/>
                <w:szCs w:val="24"/>
              </w:rPr>
              <w:t>（</w:t>
            </w:r>
            <w:r>
              <w:rPr>
                <w:rFonts w:hint="default" w:ascii="Times New Roman" w:hAnsi="Times New Roman" w:eastAsia="Times New Roman"/>
                <w:sz w:val="24"/>
                <w:szCs w:val="24"/>
              </w:rPr>
              <w:t>7</w:t>
            </w:r>
            <w:r>
              <w:rPr>
                <w:rFonts w:hint="eastAsia" w:ascii="宋体" w:hAnsi="宋体" w:eastAsia="宋体"/>
                <w:sz w:val="24"/>
                <w:szCs w:val="24"/>
              </w:rPr>
              <w:t>）事故处理后，及时形成事故应急总结报告，完善应急救援工作方案。</w:t>
            </w:r>
          </w:p>
        </w:tc>
      </w:tr>
    </w:tbl>
    <w:p w14:paraId="32680740">
      <w:pPr>
        <w:pStyle w:val="8"/>
        <w:kinsoku w:val="0"/>
        <w:overflowPunct w:val="0"/>
        <w:spacing w:beforeLines="0" w:afterLines="0"/>
        <w:ind w:left="0"/>
        <w:rPr>
          <w:rFonts w:hint="default" w:ascii="Times New Roman" w:hAnsi="Times New Roman" w:eastAsia="Times New Roman"/>
          <w:sz w:val="20"/>
          <w:szCs w:val="24"/>
        </w:rPr>
      </w:pPr>
    </w:p>
    <w:p w14:paraId="7A341177">
      <w:pPr>
        <w:pStyle w:val="8"/>
        <w:kinsoku w:val="0"/>
        <w:overflowPunct w:val="0"/>
        <w:spacing w:beforeLines="0" w:afterLines="0"/>
        <w:ind w:left="0"/>
        <w:rPr>
          <w:rFonts w:hint="default" w:ascii="Times New Roman" w:hAnsi="Times New Roman" w:eastAsia="Times New Roman"/>
          <w:sz w:val="20"/>
          <w:szCs w:val="24"/>
        </w:rPr>
      </w:pPr>
    </w:p>
    <w:p w14:paraId="69E7D950">
      <w:pPr>
        <w:pStyle w:val="8"/>
        <w:kinsoku w:val="0"/>
        <w:overflowPunct w:val="0"/>
        <w:spacing w:beforeLines="0" w:afterLines="0"/>
        <w:ind w:left="2742"/>
        <w:rPr>
          <w:rFonts w:hint="eastAsia" w:ascii="黑体" w:hAnsi="黑体" w:eastAsia="黑体"/>
          <w:sz w:val="30"/>
          <w:szCs w:val="24"/>
        </w:rPr>
      </w:pPr>
      <w:bookmarkStart w:id="21" w:name="4.供应商履行合同所需的设备"/>
      <w:bookmarkEnd w:id="21"/>
      <w:r>
        <w:rPr>
          <w:rFonts w:hint="eastAsia" w:ascii="黑体" w:hAnsi="黑体" w:eastAsia="黑体" w:cs="Times New Roman"/>
          <w:b/>
          <w:sz w:val="30"/>
          <w:szCs w:val="24"/>
        </w:rPr>
        <w:t>4.</w:t>
      </w:r>
      <w:r>
        <w:rPr>
          <w:rFonts w:hint="eastAsia" w:ascii="黑体" w:hAnsi="黑体" w:eastAsia="黑体"/>
          <w:b/>
          <w:sz w:val="30"/>
          <w:szCs w:val="24"/>
        </w:rPr>
        <w:t>物业管理服务人员需求</w:t>
      </w:r>
    </w:p>
    <w:p w14:paraId="0AE9296F">
      <w:pPr>
        <w:pStyle w:val="8"/>
        <w:kinsoku w:val="0"/>
        <w:overflowPunct w:val="0"/>
        <w:spacing w:before="2" w:beforeLines="0" w:afterLines="0"/>
        <w:ind w:left="0"/>
        <w:rPr>
          <w:rFonts w:hint="eastAsia" w:ascii="黑体" w:hAnsi="黑体" w:eastAsia="黑体"/>
          <w:b/>
          <w:sz w:val="9"/>
          <w:szCs w:val="24"/>
        </w:rPr>
      </w:pPr>
    </w:p>
    <w:tbl>
      <w:tblPr>
        <w:tblStyle w:val="19"/>
        <w:tblW w:w="0" w:type="auto"/>
        <w:tblInd w:w="2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9"/>
        <w:gridCol w:w="987"/>
        <w:gridCol w:w="1200"/>
        <w:gridCol w:w="2247"/>
        <w:gridCol w:w="2713"/>
      </w:tblGrid>
      <w:tr w14:paraId="055BB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exact"/>
        </w:trPr>
        <w:tc>
          <w:tcPr>
            <w:tcW w:w="98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25352EB">
            <w:pPr>
              <w:pStyle w:val="42"/>
              <w:kinsoku w:val="0"/>
              <w:overflowPunct w:val="0"/>
              <w:spacing w:beforeLines="0" w:afterLines="0" w:line="297" w:lineRule="auto"/>
              <w:ind w:right="205"/>
              <w:jc w:val="center"/>
              <w:rPr>
                <w:rFonts w:hint="default"/>
                <w:sz w:val="24"/>
                <w:szCs w:val="24"/>
              </w:rPr>
            </w:pPr>
            <w:r>
              <w:rPr>
                <w:rFonts w:hint="eastAsia" w:ascii="宋体" w:hAnsi="宋体" w:eastAsia="宋体"/>
                <w:b/>
                <w:w w:val="95"/>
                <w:sz w:val="24"/>
                <w:szCs w:val="24"/>
              </w:rPr>
              <w:t>部门职能</w:t>
            </w:r>
          </w:p>
        </w:tc>
        <w:tc>
          <w:tcPr>
            <w:tcW w:w="98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5B06D9A">
            <w:pPr>
              <w:pStyle w:val="42"/>
              <w:kinsoku w:val="0"/>
              <w:overflowPunct w:val="0"/>
              <w:spacing w:beforeLines="0" w:afterLines="0"/>
              <w:jc w:val="center"/>
              <w:rPr>
                <w:rFonts w:hint="default"/>
                <w:sz w:val="24"/>
                <w:szCs w:val="24"/>
              </w:rPr>
            </w:pPr>
            <w:r>
              <w:rPr>
                <w:rFonts w:hint="eastAsia" w:ascii="宋体" w:hAnsi="宋体" w:eastAsia="宋体"/>
                <w:b/>
                <w:sz w:val="24"/>
                <w:szCs w:val="24"/>
              </w:rPr>
              <w:t>岗位</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B5895B1">
            <w:pPr>
              <w:pStyle w:val="42"/>
              <w:kinsoku w:val="0"/>
              <w:overflowPunct w:val="0"/>
              <w:spacing w:beforeLines="0" w:afterLines="0"/>
              <w:jc w:val="center"/>
              <w:rPr>
                <w:rFonts w:hint="default" w:ascii="Times New Roman" w:hAnsi="Times New Roman" w:eastAsia="宋体"/>
                <w:sz w:val="24"/>
                <w:szCs w:val="24"/>
                <w:lang w:val="en-US" w:eastAsia="zh-CN"/>
              </w:rPr>
            </w:pPr>
            <w:r>
              <w:rPr>
                <w:rFonts w:hint="eastAsia" w:ascii="宋体" w:hAnsi="宋体" w:eastAsia="宋体"/>
                <w:b/>
                <w:sz w:val="24"/>
                <w:szCs w:val="24"/>
              </w:rPr>
              <w:t>岗位所需总人数</w:t>
            </w:r>
          </w:p>
        </w:tc>
        <w:tc>
          <w:tcPr>
            <w:tcW w:w="22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D038330">
            <w:pPr>
              <w:pStyle w:val="42"/>
              <w:kinsoku w:val="0"/>
              <w:overflowPunct w:val="0"/>
              <w:spacing w:beforeLines="0" w:afterLines="0"/>
              <w:jc w:val="center"/>
              <w:rPr>
                <w:rFonts w:hint="default" w:ascii="Times New Roman" w:hAnsi="Times New Roman" w:eastAsia="宋体"/>
                <w:sz w:val="24"/>
                <w:szCs w:val="24"/>
                <w:lang w:val="en-US" w:eastAsia="zh-CN"/>
              </w:rPr>
            </w:pPr>
            <w:r>
              <w:rPr>
                <w:rFonts w:hint="eastAsia" w:ascii="宋体" w:hAnsi="宋体" w:eastAsia="宋体" w:cs="Times New Roman"/>
                <w:b/>
                <w:sz w:val="24"/>
                <w:szCs w:val="24"/>
                <w:lang w:val="en-US" w:eastAsia="zh-CN"/>
              </w:rPr>
              <w:t>岗位职责</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2E2FFBC">
            <w:pPr>
              <w:pStyle w:val="42"/>
              <w:kinsoku w:val="0"/>
              <w:overflowPunct w:val="0"/>
              <w:spacing w:beforeLines="0" w:afterLines="0" w:line="277" w:lineRule="exact"/>
              <w:ind w:right="1"/>
              <w:jc w:val="center"/>
              <w:rPr>
                <w:rFonts w:hint="default"/>
                <w:sz w:val="24"/>
                <w:szCs w:val="24"/>
              </w:rPr>
            </w:pPr>
            <w:r>
              <w:rPr>
                <w:rFonts w:hint="eastAsia" w:ascii="宋体" w:hAnsi="宋体" w:eastAsia="宋体"/>
                <w:b/>
                <w:sz w:val="24"/>
                <w:szCs w:val="24"/>
              </w:rPr>
              <w:t>备注</w:t>
            </w:r>
          </w:p>
        </w:tc>
      </w:tr>
      <w:tr w14:paraId="7EDF7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exact"/>
        </w:trPr>
        <w:tc>
          <w:tcPr>
            <w:tcW w:w="989" w:type="dxa"/>
            <w:vMerge w:val="restart"/>
            <w:tcBorders>
              <w:top w:val="single" w:color="000000" w:sz="4" w:space="0"/>
              <w:left w:val="single" w:color="000000" w:sz="4" w:space="0"/>
              <w:bottom w:val="nil"/>
              <w:right w:val="single" w:color="000000" w:sz="4" w:space="0"/>
              <w:tl2br w:val="nil"/>
              <w:tr2bl w:val="nil"/>
            </w:tcBorders>
            <w:noWrap w:val="0"/>
            <w:vAlign w:val="top"/>
          </w:tcPr>
          <w:p w14:paraId="3FD99ADB">
            <w:pPr>
              <w:pStyle w:val="42"/>
              <w:kinsoku w:val="0"/>
              <w:overflowPunct w:val="0"/>
              <w:spacing w:before="74" w:beforeLines="0" w:afterLines="0"/>
              <w:ind w:left="103"/>
              <w:jc w:val="center"/>
              <w:rPr>
                <w:rFonts w:hint="eastAsia" w:ascii="宋体" w:hAnsi="宋体" w:eastAsia="宋体" w:cs="宋体"/>
                <w:spacing w:val="6"/>
                <w:sz w:val="24"/>
                <w:szCs w:val="24"/>
              </w:rPr>
            </w:pPr>
            <w:r>
              <w:rPr>
                <w:rFonts w:hint="eastAsia" w:ascii="宋体" w:hAnsi="宋体" w:eastAsia="宋体" w:cs="宋体"/>
                <w:spacing w:val="6"/>
                <w:sz w:val="24"/>
                <w:szCs w:val="24"/>
              </w:rPr>
              <w:t>保安</w:t>
            </w:r>
          </w:p>
          <w:p w14:paraId="2F6D8369">
            <w:pPr>
              <w:pStyle w:val="42"/>
              <w:kinsoku w:val="0"/>
              <w:overflowPunct w:val="0"/>
              <w:spacing w:before="74" w:beforeLines="0" w:afterLines="0"/>
              <w:ind w:left="103"/>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服务</w:t>
            </w:r>
          </w:p>
          <w:p w14:paraId="6876E5E1">
            <w:pPr>
              <w:pStyle w:val="42"/>
              <w:kinsoku w:val="0"/>
              <w:overflowPunct w:val="0"/>
              <w:spacing w:before="74" w:beforeLines="0" w:afterLines="0"/>
              <w:ind w:left="103"/>
              <w:jc w:val="center"/>
              <w:rPr>
                <w:rFonts w:hint="eastAsia" w:ascii="宋体" w:hAnsi="宋体" w:eastAsia="宋体" w:cs="宋体"/>
                <w:sz w:val="24"/>
                <w:szCs w:val="24"/>
                <w:lang w:val="en-US" w:eastAsia="zh-CN"/>
              </w:rPr>
            </w:pPr>
          </w:p>
        </w:tc>
        <w:tc>
          <w:tcPr>
            <w:tcW w:w="98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CA408DF">
            <w:pPr>
              <w:pStyle w:val="42"/>
              <w:kinsoku w:val="0"/>
              <w:overflowPunct w:val="0"/>
              <w:spacing w:before="74" w:beforeLines="0" w:afterLines="0"/>
              <w:ind w:left="103"/>
              <w:jc w:val="center"/>
              <w:rPr>
                <w:rFonts w:hint="eastAsia" w:ascii="宋体" w:hAnsi="宋体" w:eastAsia="宋体" w:cs="宋体"/>
                <w:sz w:val="21"/>
                <w:szCs w:val="21"/>
              </w:rPr>
            </w:pPr>
            <w:r>
              <w:rPr>
                <w:rFonts w:hint="eastAsia" w:ascii="宋体" w:hAnsi="宋体" w:eastAsia="宋体" w:cs="宋体"/>
                <w:spacing w:val="6"/>
                <w:sz w:val="21"/>
                <w:szCs w:val="21"/>
                <w:lang w:val="en-US" w:eastAsia="zh-CN"/>
              </w:rPr>
              <w:t>主管</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E6E6D6F">
            <w:pPr>
              <w:pStyle w:val="42"/>
              <w:kinsoku w:val="0"/>
              <w:overflowPunct w:val="0"/>
              <w:spacing w:before="204" w:beforeLines="0" w:afterLines="0"/>
              <w:jc w:val="center"/>
              <w:rPr>
                <w:rFonts w:hint="eastAsia" w:ascii="宋体" w:hAnsi="宋体" w:eastAsia="宋体" w:cs="宋体"/>
                <w:sz w:val="21"/>
                <w:szCs w:val="21"/>
              </w:rPr>
            </w:pPr>
            <w:r>
              <w:rPr>
                <w:rFonts w:hint="eastAsia" w:ascii="宋体" w:hAnsi="宋体" w:eastAsia="宋体" w:cs="宋体"/>
                <w:sz w:val="21"/>
                <w:szCs w:val="21"/>
              </w:rPr>
              <w:t>1</w:t>
            </w:r>
          </w:p>
        </w:tc>
        <w:tc>
          <w:tcPr>
            <w:tcW w:w="22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A4F1D94">
            <w:pPr>
              <w:pStyle w:val="42"/>
              <w:kinsoku w:val="0"/>
              <w:overflowPunct w:val="0"/>
              <w:spacing w:before="44" w:beforeLines="0" w:afterLines="0"/>
              <w:rPr>
                <w:rFonts w:hint="eastAsia" w:ascii="宋体" w:hAnsi="宋体" w:eastAsia="宋体" w:cs="宋体"/>
                <w:spacing w:val="6"/>
                <w:sz w:val="18"/>
                <w:szCs w:val="18"/>
                <w:lang w:val="en-US" w:eastAsia="zh-CN"/>
              </w:rPr>
            </w:pPr>
            <w:r>
              <w:rPr>
                <w:rFonts w:hint="eastAsia" w:ascii="宋体" w:hAnsi="宋体" w:eastAsia="宋体" w:cs="宋体"/>
                <w:spacing w:val="6"/>
                <w:sz w:val="18"/>
                <w:szCs w:val="18"/>
                <w:lang w:val="en-US" w:eastAsia="zh-CN"/>
              </w:rPr>
              <w:t>统筹调配人员、场馆安保。</w:t>
            </w:r>
            <w:r>
              <w:rPr>
                <w:rFonts w:hint="eastAsia" w:ascii="宋体" w:hAnsi="宋体" w:eastAsia="宋体" w:cs="宋体"/>
                <w:spacing w:val="-3"/>
                <w:sz w:val="21"/>
                <w:szCs w:val="21"/>
                <w:lang w:val="en-US" w:eastAsia="zh-CN"/>
              </w:rPr>
              <w:t>国通语达标</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0D20EA5">
            <w:pPr>
              <w:pStyle w:val="42"/>
              <w:kinsoku w:val="0"/>
              <w:overflowPunct w:val="0"/>
              <w:spacing w:before="155" w:beforeLines="0" w:afterLines="0"/>
              <w:ind w:left="104"/>
              <w:jc w:val="center"/>
              <w:rPr>
                <w:rFonts w:hint="eastAsia" w:ascii="宋体" w:hAnsi="宋体" w:eastAsia="宋体" w:cs="宋体"/>
                <w:sz w:val="21"/>
                <w:szCs w:val="21"/>
              </w:rPr>
            </w:pPr>
            <w:r>
              <w:rPr>
                <w:rFonts w:hint="eastAsia" w:ascii="Calibri" w:hAnsi="Calibri" w:eastAsia="宋体"/>
              </w:rPr>
              <w:t>★</w:t>
            </w:r>
            <w:r>
              <w:rPr>
                <w:rFonts w:hint="eastAsia" w:ascii="宋体" w:hAnsi="宋体" w:eastAsia="宋体" w:cs="宋体"/>
                <w:spacing w:val="-3"/>
                <w:sz w:val="21"/>
                <w:szCs w:val="21"/>
              </w:rPr>
              <w:t>保安员证</w:t>
            </w:r>
          </w:p>
        </w:tc>
      </w:tr>
      <w:tr w14:paraId="04685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exact"/>
        </w:trPr>
        <w:tc>
          <w:tcPr>
            <w:tcW w:w="989" w:type="dxa"/>
            <w:vMerge w:val="continue"/>
            <w:tcBorders>
              <w:top w:val="nil"/>
              <w:left w:val="single" w:color="000000" w:sz="4" w:space="0"/>
              <w:bottom w:val="nil"/>
              <w:right w:val="single" w:color="000000" w:sz="4" w:space="0"/>
              <w:tl2br w:val="nil"/>
              <w:tr2bl w:val="nil"/>
            </w:tcBorders>
            <w:noWrap w:val="0"/>
            <w:vAlign w:val="top"/>
          </w:tcPr>
          <w:p w14:paraId="29E5A38F">
            <w:pPr>
              <w:pStyle w:val="42"/>
              <w:kinsoku w:val="0"/>
              <w:overflowPunct w:val="0"/>
              <w:spacing w:before="74" w:beforeLines="0" w:afterLines="0"/>
              <w:ind w:left="103"/>
              <w:jc w:val="center"/>
              <w:rPr>
                <w:rFonts w:hint="eastAsia" w:ascii="宋体" w:hAnsi="宋体" w:eastAsia="宋体" w:cs="宋体"/>
                <w:sz w:val="24"/>
                <w:szCs w:val="24"/>
                <w:lang w:val="en-US" w:eastAsia="zh-CN"/>
              </w:rPr>
            </w:pPr>
          </w:p>
        </w:tc>
        <w:tc>
          <w:tcPr>
            <w:tcW w:w="98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51E043E">
            <w:pPr>
              <w:pStyle w:val="42"/>
              <w:kinsoku w:val="0"/>
              <w:overflowPunct w:val="0"/>
              <w:spacing w:before="154" w:beforeLines="0" w:afterLines="0"/>
              <w:ind w:left="102"/>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门岗</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74FB6D0">
            <w:pPr>
              <w:pStyle w:val="42"/>
              <w:kinsoku w:val="0"/>
              <w:overflowPunct w:val="0"/>
              <w:spacing w:before="204" w:beforeLines="0" w:afterLine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22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7D0FF57">
            <w:pPr>
              <w:pStyle w:val="42"/>
              <w:kinsoku w:val="0"/>
              <w:overflowPunct w:val="0"/>
              <w:spacing w:before="44" w:beforeLines="0" w:afterLines="0"/>
              <w:rPr>
                <w:rFonts w:hint="eastAsia" w:ascii="宋体" w:hAnsi="宋体" w:eastAsia="宋体" w:cs="宋体"/>
                <w:spacing w:val="6"/>
                <w:sz w:val="18"/>
                <w:szCs w:val="18"/>
                <w:lang w:val="en-US" w:eastAsia="zh-CN"/>
              </w:rPr>
            </w:pPr>
            <w:r>
              <w:rPr>
                <w:rFonts w:hint="eastAsia" w:ascii="宋体" w:hAnsi="宋体" w:eastAsia="宋体" w:cs="宋体"/>
                <w:spacing w:val="6"/>
                <w:sz w:val="18"/>
                <w:szCs w:val="18"/>
                <w:lang w:val="en-US" w:eastAsia="zh-CN"/>
              </w:rPr>
              <w:t>1.场馆办公区内的治安防范管理；2.进出车辆管理；3.场馆临时性工作。</w:t>
            </w:r>
            <w:r>
              <w:rPr>
                <w:rFonts w:hint="eastAsia" w:ascii="宋体" w:hAnsi="宋体" w:eastAsia="宋体" w:cs="宋体"/>
                <w:spacing w:val="-3"/>
                <w:sz w:val="21"/>
                <w:szCs w:val="21"/>
                <w:lang w:val="en-US" w:eastAsia="zh-CN"/>
              </w:rPr>
              <w:t>国通语达标</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F8EFFA1">
            <w:pPr>
              <w:pStyle w:val="42"/>
              <w:kinsoku w:val="0"/>
              <w:overflowPunct w:val="0"/>
              <w:spacing w:before="44" w:beforeLines="0" w:afterLines="0"/>
              <w:ind w:left="104"/>
              <w:jc w:val="center"/>
              <w:rPr>
                <w:rFonts w:hint="eastAsia" w:ascii="宋体" w:hAnsi="宋体" w:eastAsia="宋体" w:cs="宋体"/>
                <w:sz w:val="21"/>
                <w:szCs w:val="21"/>
              </w:rPr>
            </w:pPr>
            <w:r>
              <w:rPr>
                <w:rFonts w:hint="eastAsia" w:ascii="Calibri" w:hAnsi="Calibri" w:eastAsia="宋体"/>
              </w:rPr>
              <w:t>★</w:t>
            </w:r>
            <w:r>
              <w:rPr>
                <w:rFonts w:hint="eastAsia" w:ascii="宋体" w:hAnsi="宋体" w:eastAsia="宋体" w:cs="宋体"/>
                <w:spacing w:val="-3"/>
                <w:sz w:val="21"/>
                <w:szCs w:val="21"/>
              </w:rPr>
              <w:t>保安员证</w:t>
            </w:r>
          </w:p>
        </w:tc>
      </w:tr>
      <w:tr w14:paraId="167C5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exact"/>
        </w:trPr>
        <w:tc>
          <w:tcPr>
            <w:tcW w:w="98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56A8199">
            <w:pPr>
              <w:pStyle w:val="42"/>
              <w:tabs>
                <w:tab w:val="left" w:pos="547"/>
              </w:tabs>
              <w:kinsoku w:val="0"/>
              <w:overflowPunct w:val="0"/>
              <w:spacing w:before="30" w:beforeLines="0" w:afterLines="0" w:line="299" w:lineRule="auto"/>
              <w:ind w:left="103" w:right="102"/>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保洁服务</w:t>
            </w:r>
          </w:p>
        </w:tc>
        <w:tc>
          <w:tcPr>
            <w:tcW w:w="98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0EA9F05">
            <w:pPr>
              <w:pStyle w:val="42"/>
              <w:kinsoku w:val="0"/>
              <w:overflowPunct w:val="0"/>
              <w:spacing w:beforeLines="0" w:afterLines="0" w:line="308" w:lineRule="exact"/>
              <w:ind w:firstLine="210" w:firstLineChars="100"/>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保洁员</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B725154">
            <w:pPr>
              <w:pStyle w:val="42"/>
              <w:kinsoku w:val="0"/>
              <w:overflowPunct w:val="0"/>
              <w:spacing w:before="43" w:beforeLines="0" w:afterLine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22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B16985E">
            <w:pPr>
              <w:pStyle w:val="42"/>
              <w:kinsoku w:val="0"/>
              <w:overflowPunct w:val="0"/>
              <w:spacing w:before="44" w:beforeLines="0" w:afterLines="0"/>
              <w:rPr>
                <w:rFonts w:hint="default" w:ascii="宋体" w:hAnsi="宋体" w:eastAsia="宋体" w:cs="宋体"/>
                <w:spacing w:val="6"/>
                <w:sz w:val="18"/>
                <w:szCs w:val="18"/>
                <w:lang w:val="en-US" w:eastAsia="zh-CN"/>
              </w:rPr>
            </w:pPr>
            <w:r>
              <w:rPr>
                <w:rFonts w:hint="eastAsia" w:ascii="宋体" w:hAnsi="宋体" w:eastAsia="宋体" w:cs="宋体"/>
                <w:spacing w:val="6"/>
                <w:sz w:val="18"/>
                <w:szCs w:val="18"/>
                <w:lang w:val="en-US" w:eastAsia="zh-CN"/>
              </w:rPr>
              <w:t>场馆内部、停车场、绿化带保洁。</w:t>
            </w:r>
            <w:r>
              <w:rPr>
                <w:rFonts w:hint="eastAsia" w:ascii="宋体" w:hAnsi="宋体" w:eastAsia="宋体" w:cs="宋体"/>
                <w:spacing w:val="-3"/>
                <w:sz w:val="21"/>
                <w:szCs w:val="21"/>
                <w:lang w:val="en-US" w:eastAsia="zh-CN"/>
              </w:rPr>
              <w:t>国通语达标</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1E1104F">
            <w:pPr>
              <w:pStyle w:val="42"/>
              <w:kinsoku w:val="0"/>
              <w:overflowPunct w:val="0"/>
              <w:spacing w:beforeLines="0" w:afterLines="0" w:line="308" w:lineRule="exact"/>
              <w:ind w:left="104"/>
              <w:jc w:val="center"/>
              <w:rPr>
                <w:rFonts w:hint="eastAsia" w:ascii="宋体" w:hAnsi="宋体" w:eastAsia="宋体" w:cs="宋体"/>
                <w:sz w:val="21"/>
                <w:szCs w:val="21"/>
                <w:lang w:val="en-US" w:eastAsia="zh-CN"/>
              </w:rPr>
            </w:pPr>
            <w:r>
              <w:rPr>
                <w:rFonts w:hint="eastAsia" w:ascii="Calibri" w:hAnsi="Calibri" w:eastAsia="宋体"/>
              </w:rPr>
              <w:t>★</w:t>
            </w:r>
            <w:r>
              <w:rPr>
                <w:rFonts w:hint="eastAsia" w:ascii="宋体" w:hAnsi="宋体" w:eastAsia="宋体" w:cs="宋体"/>
                <w:sz w:val="21"/>
                <w:szCs w:val="21"/>
              </w:rPr>
              <w:t>健康证</w:t>
            </w:r>
            <w:r>
              <w:rPr>
                <w:rFonts w:hint="eastAsia" w:ascii="宋体" w:hAnsi="宋体" w:eastAsia="宋体" w:cs="宋体"/>
                <w:sz w:val="21"/>
                <w:szCs w:val="21"/>
                <w:lang w:val="en-US" w:eastAsia="zh-CN"/>
              </w:rPr>
              <w:t>上岗</w:t>
            </w:r>
          </w:p>
        </w:tc>
      </w:tr>
      <w:tr w14:paraId="55F86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8" w:hRule="exact"/>
        </w:trPr>
        <w:tc>
          <w:tcPr>
            <w:tcW w:w="98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7EF7DAD">
            <w:pPr>
              <w:pStyle w:val="42"/>
              <w:tabs>
                <w:tab w:val="left" w:pos="547"/>
              </w:tabs>
              <w:kinsoku w:val="0"/>
              <w:overflowPunct w:val="0"/>
              <w:spacing w:beforeLines="0" w:afterLines="0" w:line="309" w:lineRule="exact"/>
              <w:ind w:left="103"/>
              <w:jc w:val="center"/>
              <w:rPr>
                <w:rFonts w:hint="eastAsia" w:ascii="宋体" w:hAnsi="宋体" w:eastAsia="宋体" w:cs="宋体"/>
                <w:sz w:val="24"/>
                <w:szCs w:val="24"/>
                <w:lang w:val="en-US" w:eastAsia="zh-CN"/>
              </w:rPr>
            </w:pPr>
          </w:p>
          <w:p w14:paraId="1CFD3C92">
            <w:pPr>
              <w:pStyle w:val="42"/>
              <w:tabs>
                <w:tab w:val="left" w:pos="547"/>
              </w:tabs>
              <w:kinsoku w:val="0"/>
              <w:overflowPunct w:val="0"/>
              <w:spacing w:beforeLines="0" w:afterLines="0" w:line="309" w:lineRule="exact"/>
              <w:ind w:left="103"/>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维修服务</w:t>
            </w:r>
          </w:p>
        </w:tc>
        <w:tc>
          <w:tcPr>
            <w:tcW w:w="98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E0BE652">
            <w:pPr>
              <w:pStyle w:val="42"/>
              <w:kinsoku w:val="0"/>
              <w:overflowPunct w:val="0"/>
              <w:spacing w:beforeLines="0" w:afterLines="0" w:line="309" w:lineRule="exact"/>
              <w:ind w:left="102"/>
              <w:jc w:val="center"/>
              <w:rPr>
                <w:rFonts w:hint="eastAsia" w:ascii="宋体" w:hAnsi="宋体" w:eastAsia="宋体" w:cs="宋体"/>
                <w:sz w:val="21"/>
                <w:szCs w:val="21"/>
                <w:lang w:val="en-US" w:eastAsia="zh-CN"/>
              </w:rPr>
            </w:pPr>
          </w:p>
          <w:p w14:paraId="51D6EA24">
            <w:pPr>
              <w:pStyle w:val="42"/>
              <w:kinsoku w:val="0"/>
              <w:overflowPunct w:val="0"/>
              <w:spacing w:beforeLines="0" w:afterLines="0" w:line="309" w:lineRule="exact"/>
              <w:ind w:left="102"/>
              <w:jc w:val="center"/>
              <w:rPr>
                <w:rFonts w:hint="eastAsia" w:ascii="宋体" w:hAnsi="宋体" w:eastAsia="宋体" w:cs="宋体"/>
                <w:sz w:val="21"/>
                <w:szCs w:val="21"/>
              </w:rPr>
            </w:pPr>
            <w:r>
              <w:rPr>
                <w:rFonts w:hint="eastAsia" w:ascii="宋体" w:hAnsi="宋体" w:eastAsia="宋体" w:cs="宋体"/>
                <w:sz w:val="21"/>
                <w:szCs w:val="21"/>
                <w:lang w:val="en-US" w:eastAsia="zh-CN"/>
              </w:rPr>
              <w:t>维修员</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A36D21E">
            <w:pPr>
              <w:pStyle w:val="42"/>
              <w:kinsoku w:val="0"/>
              <w:overflowPunct w:val="0"/>
              <w:spacing w:before="44" w:beforeLines="0" w:afterLines="0"/>
              <w:jc w:val="center"/>
              <w:rPr>
                <w:rFonts w:hint="eastAsia" w:ascii="宋体" w:hAnsi="宋体" w:eastAsia="宋体" w:cs="宋体"/>
                <w:sz w:val="21"/>
                <w:szCs w:val="21"/>
              </w:rPr>
            </w:pPr>
            <w:r>
              <w:rPr>
                <w:rFonts w:hint="eastAsia" w:ascii="宋体" w:hAnsi="宋体" w:eastAsia="宋体" w:cs="宋体"/>
                <w:sz w:val="21"/>
                <w:szCs w:val="21"/>
              </w:rPr>
              <w:t>1</w:t>
            </w:r>
          </w:p>
        </w:tc>
        <w:tc>
          <w:tcPr>
            <w:tcW w:w="22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EFFCBEB">
            <w:pPr>
              <w:pStyle w:val="42"/>
              <w:kinsoku w:val="0"/>
              <w:overflowPunct w:val="0"/>
              <w:spacing w:before="44" w:beforeLines="0" w:afterLines="0"/>
              <w:rPr>
                <w:rFonts w:hint="default" w:ascii="宋体" w:hAnsi="宋体" w:eastAsia="宋体" w:cs="宋体"/>
                <w:spacing w:val="6"/>
                <w:sz w:val="18"/>
                <w:szCs w:val="18"/>
                <w:lang w:val="en-US" w:eastAsia="zh-CN"/>
              </w:rPr>
            </w:pPr>
            <w:r>
              <w:rPr>
                <w:rFonts w:hint="eastAsia" w:ascii="宋体" w:hAnsi="宋体" w:eastAsia="宋体" w:cs="宋体"/>
                <w:spacing w:val="6"/>
                <w:sz w:val="18"/>
                <w:szCs w:val="18"/>
                <w:lang w:val="en-US" w:eastAsia="zh-CN"/>
              </w:rPr>
              <w:t>场馆公共区域水、电、暖维护。</w:t>
            </w:r>
            <w:r>
              <w:rPr>
                <w:rFonts w:hint="eastAsia" w:ascii="宋体" w:hAnsi="宋体" w:eastAsia="宋体" w:cs="宋体"/>
                <w:spacing w:val="-3"/>
                <w:sz w:val="21"/>
                <w:szCs w:val="21"/>
                <w:lang w:val="en-US" w:eastAsia="zh-CN"/>
              </w:rPr>
              <w:t>国通语达标</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83B499A">
            <w:pPr>
              <w:pStyle w:val="42"/>
              <w:kinsoku w:val="0"/>
              <w:overflowPunct w:val="0"/>
              <w:spacing w:beforeLines="0" w:afterLines="0" w:line="339" w:lineRule="exact"/>
              <w:ind w:left="104"/>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持</w:t>
            </w:r>
            <w:r>
              <w:rPr>
                <w:rFonts w:hint="eastAsia" w:ascii="宋体" w:hAnsi="宋体" w:eastAsia="宋体" w:cs="宋体"/>
                <w:spacing w:val="-1"/>
                <w:sz w:val="21"/>
                <w:szCs w:val="21"/>
              </w:rPr>
              <w:t>特种作业操作证</w:t>
            </w:r>
            <w:r>
              <w:rPr>
                <w:rFonts w:hint="eastAsia" w:ascii="宋体" w:hAnsi="宋体" w:eastAsia="宋体" w:cs="宋体"/>
                <w:spacing w:val="-1"/>
                <w:sz w:val="21"/>
                <w:szCs w:val="21"/>
                <w:lang w:val="en-US" w:eastAsia="zh-CN"/>
              </w:rPr>
              <w:t>上岗</w:t>
            </w:r>
          </w:p>
        </w:tc>
      </w:tr>
      <w:tr w14:paraId="68BEB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2" w:hRule="exact"/>
        </w:trPr>
        <w:tc>
          <w:tcPr>
            <w:tcW w:w="989" w:type="dxa"/>
            <w:vMerge w:val="restart"/>
            <w:tcBorders>
              <w:top w:val="single" w:color="000000" w:sz="4" w:space="0"/>
              <w:left w:val="single" w:color="000000" w:sz="4" w:space="0"/>
              <w:bottom w:val="nil"/>
              <w:right w:val="single" w:color="000000" w:sz="4" w:space="0"/>
              <w:tl2br w:val="nil"/>
              <w:tr2bl w:val="nil"/>
            </w:tcBorders>
            <w:noWrap w:val="0"/>
            <w:vAlign w:val="top"/>
          </w:tcPr>
          <w:p w14:paraId="5E905ABB">
            <w:pPr>
              <w:pStyle w:val="37"/>
              <w:spacing w:before="38" w:beforeLines="0" w:afterLines="0" w:line="240" w:lineRule="exact"/>
              <w:ind w:left="124"/>
              <w:jc w:val="center"/>
              <w:rPr>
                <w:rFonts w:hint="eastAsia"/>
                <w:spacing w:val="-9"/>
                <w:sz w:val="24"/>
                <w:szCs w:val="24"/>
              </w:rPr>
            </w:pPr>
          </w:p>
          <w:p w14:paraId="6184D4A2">
            <w:pPr>
              <w:pStyle w:val="37"/>
              <w:spacing w:before="38" w:beforeLines="0" w:afterLines="0" w:line="240" w:lineRule="exact"/>
              <w:ind w:left="124"/>
              <w:jc w:val="center"/>
              <w:rPr>
                <w:rFonts w:hint="eastAsia"/>
                <w:sz w:val="24"/>
                <w:szCs w:val="24"/>
              </w:rPr>
            </w:pPr>
            <w:r>
              <w:rPr>
                <w:rFonts w:hint="eastAsia"/>
                <w:spacing w:val="-9"/>
                <w:sz w:val="24"/>
                <w:szCs w:val="24"/>
              </w:rPr>
              <w:t>公用</w:t>
            </w:r>
            <w:r>
              <w:rPr>
                <w:rFonts w:hint="eastAsia"/>
                <w:spacing w:val="-7"/>
                <w:sz w:val="24"/>
                <w:szCs w:val="24"/>
              </w:rPr>
              <w:t>设施设备</w:t>
            </w:r>
          </w:p>
          <w:p w14:paraId="1315D2AC">
            <w:pPr>
              <w:pStyle w:val="42"/>
              <w:tabs>
                <w:tab w:val="left" w:pos="547"/>
              </w:tabs>
              <w:kinsoku w:val="0"/>
              <w:overflowPunct w:val="0"/>
              <w:spacing w:beforeLines="0" w:afterLines="0" w:line="240" w:lineRule="exact"/>
              <w:ind w:left="103"/>
              <w:jc w:val="center"/>
              <w:rPr>
                <w:rFonts w:hint="eastAsia" w:ascii="宋体" w:hAnsi="宋体" w:eastAsia="宋体" w:cs="宋体"/>
                <w:sz w:val="24"/>
                <w:szCs w:val="24"/>
                <w:lang w:val="en-US" w:eastAsia="zh-CN"/>
              </w:rPr>
            </w:pPr>
            <w:r>
              <w:rPr>
                <w:rFonts w:hint="eastAsia" w:ascii="宋体" w:hAnsi="宋体" w:eastAsia="宋体" w:cs="宋体"/>
                <w:spacing w:val="-12"/>
                <w:sz w:val="24"/>
                <w:szCs w:val="24"/>
              </w:rPr>
              <w:t>维护</w:t>
            </w:r>
            <w:r>
              <w:rPr>
                <w:rFonts w:hint="eastAsia" w:ascii="宋体" w:hAnsi="宋体" w:eastAsia="宋体" w:cs="宋体"/>
                <w:sz w:val="24"/>
                <w:szCs w:val="24"/>
              </w:rPr>
              <w:t xml:space="preserve"> </w:t>
            </w:r>
            <w:r>
              <w:rPr>
                <w:rFonts w:hint="eastAsia" w:ascii="宋体" w:hAnsi="宋体" w:eastAsia="宋体" w:cs="宋体"/>
                <w:spacing w:val="-5"/>
                <w:sz w:val="24"/>
                <w:szCs w:val="24"/>
              </w:rPr>
              <w:t>服务</w:t>
            </w:r>
          </w:p>
        </w:tc>
        <w:tc>
          <w:tcPr>
            <w:tcW w:w="98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7D48B38">
            <w:pPr>
              <w:pStyle w:val="42"/>
              <w:kinsoku w:val="0"/>
              <w:overflowPunct w:val="0"/>
              <w:spacing w:beforeLines="0" w:afterLines="0" w:line="309" w:lineRule="exact"/>
              <w:ind w:left="10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消防员</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C04B515">
            <w:pPr>
              <w:pStyle w:val="42"/>
              <w:kinsoku w:val="0"/>
              <w:overflowPunct w:val="0"/>
              <w:spacing w:before="44" w:beforeLines="0" w:afterLine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2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D17DC57">
            <w:pPr>
              <w:pStyle w:val="42"/>
              <w:kinsoku w:val="0"/>
              <w:overflowPunct w:val="0"/>
              <w:spacing w:before="44" w:beforeLines="0" w:afterLines="0"/>
              <w:rPr>
                <w:rFonts w:hint="eastAsia" w:ascii="宋体" w:hAnsi="宋体" w:eastAsia="宋体" w:cs="宋体"/>
                <w:sz w:val="24"/>
                <w:szCs w:val="24"/>
                <w:lang w:val="en-US" w:eastAsia="zh-CN"/>
              </w:rPr>
            </w:pPr>
            <w:r>
              <w:rPr>
                <w:rFonts w:hint="eastAsia" w:ascii="宋体" w:hAnsi="宋体" w:eastAsia="宋体" w:cs="宋体"/>
                <w:spacing w:val="6"/>
                <w:sz w:val="18"/>
                <w:szCs w:val="18"/>
                <w:lang w:val="en-US" w:eastAsia="zh-CN"/>
              </w:rPr>
              <w:t>1.消防预警工作；2.展区巡查，开馆前、闭馆后的巡检；2.熟练掌握计算机基本操作。</w:t>
            </w:r>
            <w:r>
              <w:rPr>
                <w:rFonts w:hint="eastAsia" w:ascii="宋体" w:hAnsi="宋体" w:eastAsia="宋体" w:cs="宋体"/>
                <w:spacing w:val="-3"/>
                <w:sz w:val="21"/>
                <w:szCs w:val="21"/>
                <w:lang w:val="en-US" w:eastAsia="zh-CN"/>
              </w:rPr>
              <w:t>国通语达标</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20E64B7">
            <w:pPr>
              <w:pStyle w:val="42"/>
              <w:kinsoku w:val="0"/>
              <w:overflowPunct w:val="0"/>
              <w:spacing w:beforeLines="0" w:afterLines="0" w:line="339" w:lineRule="exact"/>
              <w:ind w:left="104"/>
              <w:jc w:val="center"/>
              <w:rPr>
                <w:rFonts w:hint="eastAsia" w:ascii="宋体" w:hAnsi="宋体" w:eastAsia="宋体" w:cs="宋体"/>
                <w:sz w:val="21"/>
                <w:szCs w:val="21"/>
                <w:lang w:val="en-US"/>
              </w:rPr>
            </w:pPr>
            <w:r>
              <w:rPr>
                <w:rFonts w:hint="eastAsia" w:ascii="宋体" w:hAnsi="宋体" w:eastAsia="宋体" w:cs="宋体"/>
                <w:sz w:val="21"/>
                <w:szCs w:val="21"/>
                <w:lang w:val="en-US" w:eastAsia="zh-CN"/>
              </w:rPr>
              <w:t>持专业资格证上岗</w:t>
            </w:r>
          </w:p>
        </w:tc>
      </w:tr>
      <w:tr w14:paraId="7BA16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9" w:hRule="exact"/>
        </w:trPr>
        <w:tc>
          <w:tcPr>
            <w:tcW w:w="989" w:type="dxa"/>
            <w:vMerge w:val="continue"/>
            <w:tcBorders>
              <w:top w:val="nil"/>
              <w:left w:val="single" w:color="000000" w:sz="4" w:space="0"/>
              <w:bottom w:val="single" w:color="000000" w:sz="4" w:space="0"/>
              <w:right w:val="single" w:color="000000" w:sz="4" w:space="0"/>
              <w:tl2br w:val="nil"/>
              <w:tr2bl w:val="nil"/>
            </w:tcBorders>
            <w:noWrap w:val="0"/>
            <w:vAlign w:val="top"/>
          </w:tcPr>
          <w:p w14:paraId="5F0F8B0D">
            <w:pPr>
              <w:pStyle w:val="42"/>
              <w:tabs>
                <w:tab w:val="left" w:pos="547"/>
              </w:tabs>
              <w:kinsoku w:val="0"/>
              <w:overflowPunct w:val="0"/>
              <w:spacing w:beforeLines="0" w:afterLines="0" w:line="309" w:lineRule="exact"/>
              <w:ind w:left="103"/>
              <w:jc w:val="center"/>
              <w:rPr>
                <w:rFonts w:hint="eastAsia" w:ascii="宋体" w:hAnsi="宋体" w:eastAsia="宋体" w:cs="宋体"/>
                <w:sz w:val="24"/>
                <w:szCs w:val="24"/>
                <w:lang w:val="en-US" w:eastAsia="zh-CN"/>
              </w:rPr>
            </w:pPr>
          </w:p>
        </w:tc>
        <w:tc>
          <w:tcPr>
            <w:tcW w:w="98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C083D13">
            <w:pPr>
              <w:pStyle w:val="42"/>
              <w:kinsoku w:val="0"/>
              <w:overflowPunct w:val="0"/>
              <w:spacing w:beforeLines="0" w:afterLines="0" w:line="309" w:lineRule="exact"/>
              <w:ind w:left="10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安全员</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E733564">
            <w:pPr>
              <w:pStyle w:val="42"/>
              <w:kinsoku w:val="0"/>
              <w:overflowPunct w:val="0"/>
              <w:spacing w:before="44" w:beforeLines="0" w:afterLine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2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5B8F6C7">
            <w:pPr>
              <w:widowControl/>
              <w:kinsoku w:val="0"/>
              <w:snapToGrid w:val="0"/>
              <w:spacing w:beforeLines="0" w:afterLines="0" w:line="240" w:lineRule="exact"/>
              <w:textAlignment w:val="baseline"/>
              <w:rPr>
                <w:rFonts w:hint="eastAsia" w:ascii="宋体" w:hAnsi="宋体" w:eastAsia="宋体" w:cs="宋体"/>
                <w:spacing w:val="6"/>
                <w:sz w:val="18"/>
                <w:szCs w:val="18"/>
                <w:lang w:val="en-US" w:eastAsia="zh-CN"/>
              </w:rPr>
            </w:pPr>
            <w:r>
              <w:rPr>
                <w:rFonts w:hint="eastAsia" w:ascii="宋体" w:hAnsi="宋体" w:eastAsia="宋体" w:cs="宋体"/>
                <w:spacing w:val="6"/>
                <w:sz w:val="18"/>
                <w:szCs w:val="18"/>
                <w:lang w:val="en-US" w:eastAsia="zh-CN"/>
              </w:rPr>
              <w:t>1.展区巡视，维持秩序；2.维护电梯安全；3.巡查展区电力系统，确保展品展项的安全。4.开馆前、闭馆后的巡检。</w:t>
            </w:r>
            <w:r>
              <w:rPr>
                <w:rFonts w:hint="eastAsia" w:ascii="宋体" w:hAnsi="宋体" w:eastAsia="宋体" w:cs="宋体"/>
                <w:spacing w:val="-3"/>
                <w:sz w:val="21"/>
                <w:szCs w:val="21"/>
                <w:lang w:val="en-US" w:eastAsia="zh-CN"/>
              </w:rPr>
              <w:t>国通语达标</w:t>
            </w:r>
          </w:p>
          <w:p w14:paraId="321B8DC8">
            <w:pPr>
              <w:widowControl/>
              <w:kinsoku w:val="0"/>
              <w:snapToGrid w:val="0"/>
              <w:spacing w:beforeLines="0" w:afterLines="0" w:line="240" w:lineRule="exact"/>
              <w:ind w:firstLine="384" w:firstLineChars="200"/>
              <w:textAlignment w:val="baseline"/>
              <w:rPr>
                <w:rFonts w:hint="eastAsia" w:ascii="宋体" w:hAnsi="宋体" w:eastAsia="宋体" w:cs="宋体"/>
                <w:spacing w:val="6"/>
                <w:sz w:val="18"/>
                <w:szCs w:val="18"/>
                <w:lang w:val="en-US" w:eastAsia="zh-CN"/>
              </w:rPr>
            </w:pP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854E4B2">
            <w:pPr>
              <w:pStyle w:val="42"/>
              <w:kinsoku w:val="0"/>
              <w:overflowPunct w:val="0"/>
              <w:spacing w:beforeLines="0" w:afterLines="0" w:line="339" w:lineRule="exact"/>
              <w:ind w:left="104"/>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持专业资格证上岗</w:t>
            </w:r>
          </w:p>
        </w:tc>
      </w:tr>
    </w:tbl>
    <w:p w14:paraId="5FDDE7C7">
      <w:pPr>
        <w:widowControl/>
        <w:kinsoku w:val="0"/>
        <w:snapToGrid w:val="0"/>
        <w:spacing w:beforeLines="0" w:afterLines="0" w:line="400" w:lineRule="exact"/>
        <w:ind w:firstLine="480" w:firstLineChars="200"/>
        <w:textAlignment w:val="baseline"/>
        <w:rPr>
          <w:rFonts w:hint="eastAsia" w:ascii="楷体" w:hAnsi="楷体" w:eastAsia="楷体" w:cs="Times New Roman"/>
          <w:sz w:val="24"/>
          <w:szCs w:val="24"/>
        </w:rPr>
      </w:pPr>
      <w:r>
        <w:rPr>
          <w:rFonts w:hint="eastAsia" w:ascii="楷体" w:hAnsi="楷体" w:eastAsia="楷体" w:cs="Times New Roman"/>
          <w:sz w:val="24"/>
          <w:szCs w:val="24"/>
        </w:rPr>
        <w:t>注：</w:t>
      </w:r>
      <w:r>
        <w:rPr>
          <w:rFonts w:hint="eastAsia" w:ascii="楷体" w:hAnsi="楷体" w:eastAsia="楷体" w:cs="Times New Roman"/>
          <w:sz w:val="24"/>
          <w:szCs w:val="24"/>
          <w:lang w:val="en-US" w:eastAsia="zh-CN"/>
        </w:rPr>
        <w:t>1.</w:t>
      </w:r>
      <w:r>
        <w:rPr>
          <w:rFonts w:hint="eastAsia" w:ascii="楷体" w:hAnsi="楷体" w:eastAsia="楷体" w:cs="Times New Roman"/>
          <w:sz w:val="24"/>
          <w:szCs w:val="24"/>
        </w:rPr>
        <w:t>供应商应当按国家相关法律法规，合理确定服务人员工资标准、社保、医保等薪资福利由成交供应商负责保障，必须持证上岗。</w:t>
      </w:r>
    </w:p>
    <w:p w14:paraId="01015168">
      <w:pPr>
        <w:spacing w:beforeLines="0" w:afterLines="0"/>
        <w:rPr>
          <w:rFonts w:hint="default"/>
          <w:sz w:val="24"/>
          <w:szCs w:val="24"/>
        </w:rPr>
        <w:sectPr>
          <w:pgSz w:w="11910" w:h="16840"/>
          <w:pgMar w:top="980" w:right="1580" w:bottom="880" w:left="1580" w:header="746" w:footer="699" w:gutter="0"/>
          <w:lnNumType w:countBy="0" w:distance="360"/>
          <w:cols w:space="720" w:num="1"/>
        </w:sectPr>
      </w:pPr>
      <w:r>
        <w:rPr>
          <w:rFonts w:hint="eastAsia" w:ascii="楷体" w:hAnsi="楷体" w:eastAsia="楷体" w:cs="Times New Roman"/>
          <w:sz w:val="24"/>
          <w:szCs w:val="24"/>
          <w:lang w:val="en-US" w:eastAsia="zh-CN"/>
        </w:rPr>
        <w:t>2.</w:t>
      </w:r>
      <w:r>
        <w:rPr>
          <w:rFonts w:hint="eastAsia" w:ascii="楷体" w:hAnsi="楷体" w:eastAsia="楷体" w:cs="Times New Roman"/>
          <w:sz w:val="24"/>
          <w:szCs w:val="24"/>
        </w:rPr>
        <w:t>供应商应当自行为服务人员办理必需的保险，有关人员伤亡及第三者责任险均应当考虑在报价因素中。</w:t>
      </w:r>
    </w:p>
    <w:p w14:paraId="078FE2BF">
      <w:pPr>
        <w:rPr>
          <w:rFonts w:hint="eastAsia"/>
          <w:lang w:val="en-US" w:eastAsia="zh-CN"/>
        </w:rPr>
        <w:sectPr>
          <w:footerReference r:id="rId8" w:type="first"/>
          <w:footerReference r:id="rId7" w:type="default"/>
          <w:pgSz w:w="11906" w:h="16838"/>
          <w:pgMar w:top="1440" w:right="1797" w:bottom="1440" w:left="1797" w:header="851" w:footer="992" w:gutter="0"/>
          <w:pgNumType w:fmt="decimal" w:start="1"/>
          <w:cols w:space="720" w:num="1"/>
          <w:titlePg/>
          <w:docGrid w:type="linesAndChars" w:linePitch="312" w:charSpace="0"/>
        </w:sectPr>
      </w:pPr>
    </w:p>
    <w:p w14:paraId="586A2DA2">
      <w:pPr>
        <w:pStyle w:val="6"/>
        <w:ind w:left="0" w:leftChars="0" w:firstLine="0" w:firstLineChars="0"/>
        <w:rPr>
          <w:rFonts w:hint="eastAsia"/>
          <w:lang w:eastAsia="zh-CN"/>
        </w:rPr>
      </w:pPr>
      <w:r>
        <w:rPr>
          <w:rFonts w:hint="eastAsia" w:ascii="宋体" w:hAnsi="宋体" w:eastAsia="宋体"/>
          <w:b/>
          <w:color w:val="FF0000"/>
          <w:szCs w:val="21"/>
        </w:rPr>
        <w:t>带</w:t>
      </w:r>
      <w:r>
        <w:rPr>
          <w:rFonts w:hint="eastAsia" w:ascii="宋体" w:hAnsi="宋体" w:eastAsia="宋体"/>
          <w:b/>
          <w:bCs/>
          <w:color w:val="FF0000"/>
          <w:szCs w:val="21"/>
        </w:rPr>
        <w:t>★</w:t>
      </w:r>
      <w:r>
        <w:rPr>
          <w:rFonts w:hint="eastAsia" w:ascii="宋体" w:hAnsi="宋体" w:eastAsia="宋体"/>
          <w:b/>
          <w:color w:val="FF0000"/>
          <w:szCs w:val="21"/>
        </w:rPr>
        <w:t>号条款为不可偏离条款，投标人必须完全响应满足，否则将导致投标无效。</w:t>
      </w:r>
    </w:p>
    <w:p w14:paraId="27EF28F0">
      <w:pPr>
        <w:rPr>
          <w:rFonts w:hint="eastAsia"/>
          <w:lang w:eastAsia="zh-CN"/>
        </w:rPr>
      </w:pPr>
    </w:p>
    <w:p w14:paraId="70C27B5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firstLine="480" w:firstLineChars="200"/>
        <w:jc w:val="left"/>
        <w:textAlignment w:val="auto"/>
        <w:rPr>
          <w:rFonts w:hint="default" w:ascii="楷体" w:hAnsi="楷体" w:eastAsia="楷体" w:cs="楷体"/>
          <w:b w:val="0"/>
          <w:bCs/>
          <w:color w:val="auto"/>
          <w:kern w:val="0"/>
          <w:szCs w:val="21"/>
          <w:highlight w:val="none"/>
          <w:u w:val="none"/>
          <w:lang w:val="en-US" w:eastAsia="zh-CN"/>
        </w:rPr>
      </w:pPr>
    </w:p>
    <w:p w14:paraId="013FBA6F">
      <w:pPr>
        <w:numPr>
          <w:ilvl w:val="0"/>
          <w:numId w:val="0"/>
        </w:numPr>
        <w:ind w:left="560" w:leftChars="0"/>
        <w:rPr>
          <w:rFonts w:hint="eastAsia" w:ascii="宋体" w:hAnsi="宋体" w:cs="宋体"/>
          <w:color w:val="000000" w:themeColor="text1"/>
          <w:sz w:val="28"/>
          <w:szCs w:val="28"/>
          <w:lang w:val="en-US" w:eastAsia="zh-CN" w:bidi="zh-CN"/>
          <w14:textFill>
            <w14:solidFill>
              <w14:schemeClr w14:val="tx1"/>
            </w14:solidFill>
          </w14:textFill>
        </w:rPr>
      </w:pPr>
    </w:p>
    <w:p w14:paraId="14AA0B8A">
      <w:pPr>
        <w:pStyle w:val="24"/>
        <w:rPr>
          <w:rFonts w:hint="default"/>
          <w:lang w:val="en-US" w:eastAsia="zh-CN"/>
        </w:rPr>
        <w:sectPr>
          <w:footerReference r:id="rId9" w:type="default"/>
          <w:pgSz w:w="11906" w:h="16838"/>
          <w:pgMar w:top="1440" w:right="1797" w:bottom="1440" w:left="1797" w:header="851" w:footer="992" w:gutter="0"/>
          <w:pgNumType w:fmt="decimal" w:start="1"/>
          <w:cols w:space="720" w:num="1"/>
          <w:titlePg/>
          <w:docGrid w:type="linesAndChars" w:linePitch="312" w:charSpace="0"/>
        </w:sectPr>
      </w:pPr>
    </w:p>
    <w:p w14:paraId="7DF36E38">
      <w:pPr>
        <w:pStyle w:val="24"/>
        <w:rPr>
          <w:rFonts w:hint="eastAsia"/>
          <w:lang w:eastAsia="zh-CN"/>
        </w:rPr>
      </w:pPr>
    </w:p>
    <w:p w14:paraId="0CE93F6E">
      <w:pPr>
        <w:rPr>
          <w:rFonts w:hint="eastAsia"/>
          <w:lang w:eastAsia="zh-CN"/>
        </w:rPr>
      </w:pPr>
    </w:p>
    <w:p w14:paraId="2D4DC113">
      <w:pPr>
        <w:rPr>
          <w:color w:val="FF0000"/>
        </w:rPr>
      </w:pPr>
      <w:r>
        <w:rPr>
          <w:rFonts w:hint="eastAsia"/>
          <w:color w:val="FF0000"/>
        </w:rPr>
        <w:t>备注：</w:t>
      </w:r>
    </w:p>
    <w:p w14:paraId="2FF4F07D">
      <w:pPr>
        <w:ind w:firstLine="480" w:firstLineChars="200"/>
        <w:rPr>
          <w:color w:val="FF0000"/>
        </w:rPr>
      </w:pPr>
      <w:r>
        <w:rPr>
          <w:rFonts w:hint="eastAsia"/>
          <w:color w:val="FF0000"/>
        </w:rPr>
        <w:t>1、</w:t>
      </w:r>
      <w:r>
        <w:rPr>
          <w:rFonts w:hint="eastAsia" w:eastAsia="宋体"/>
          <w:color w:val="FF0000"/>
          <w:lang w:eastAsia="zh-CN"/>
        </w:rPr>
        <w:t>清单</w:t>
      </w:r>
      <w:r>
        <w:rPr>
          <w:rFonts w:hint="eastAsia"/>
          <w:color w:val="FF0000"/>
        </w:rPr>
        <w:t>注明有“接受进口”或“允许进口”的产品允许投标人选用进口产品参与投标，但不排斥国内产品投标；未注明“接受进口”或“允许进口”的产品均不接受进口产品投标。进口产品是指通过海关验放进入中国境内且产自关境外的产品。即所谓进口产品是指制造过程均在国外，如果产品在国内组装，其中的零部件（包括核心部件）是进口产品，则应当视为非进口产品。</w:t>
      </w:r>
    </w:p>
    <w:p w14:paraId="1C2E2615">
      <w:pPr>
        <w:ind w:firstLine="480" w:firstLineChars="200"/>
        <w:rPr>
          <w:color w:val="FF0000"/>
        </w:rPr>
      </w:pPr>
      <w:r>
        <w:rPr>
          <w:rFonts w:hint="eastAsia"/>
          <w:color w:val="FF0000"/>
        </w:rPr>
        <w:t>2、如注明有单价控制金额的产品，投标人对该产品的报价不得超过控制金额，否则将作投标无效处理。</w:t>
      </w:r>
    </w:p>
    <w:p w14:paraId="21E7BF6C">
      <w:pPr>
        <w:keepNext/>
        <w:keepLines/>
        <w:numPr>
          <w:ilvl w:val="0"/>
          <w:numId w:val="4"/>
        </w:numPr>
        <w:tabs>
          <w:tab w:val="left" w:pos="1680"/>
        </w:tabs>
        <w:spacing w:before="260" w:after="60" w:afterLines="25"/>
        <w:jc w:val="center"/>
        <w:outlineLvl w:val="2"/>
        <w:rPr>
          <w:rFonts w:hint="eastAsia" w:ascii="Arial" w:hAnsi="Arial" w:eastAsia="宋体"/>
          <w:b/>
          <w:bCs/>
          <w:sz w:val="32"/>
          <w:szCs w:val="32"/>
        </w:rPr>
      </w:pPr>
      <w:r>
        <w:rPr>
          <w:rFonts w:hint="eastAsia" w:ascii="Arial" w:hAnsi="Arial" w:eastAsia="宋体"/>
          <w:b/>
          <w:bCs/>
          <w:sz w:val="32"/>
          <w:szCs w:val="32"/>
        </w:rPr>
        <w:t>技术规格及具体参数部分</w:t>
      </w:r>
    </w:p>
    <w:p w14:paraId="343F78F9">
      <w:pPr>
        <w:pStyle w:val="6"/>
        <w:numPr>
          <w:ilvl w:val="0"/>
          <w:numId w:val="0"/>
        </w:numPr>
      </w:pPr>
    </w:p>
    <w:p w14:paraId="4D7C3C4F"/>
    <w:p w14:paraId="0DA3E73C">
      <w:pPr>
        <w:pStyle w:val="6"/>
        <w:ind w:left="0" w:leftChars="0" w:firstLine="0" w:firstLineChars="0"/>
        <w:rPr>
          <w:rFonts w:hint="eastAsia" w:eastAsia="宋体"/>
          <w:lang w:eastAsia="zh-CN"/>
        </w:rPr>
      </w:pPr>
      <w:r>
        <w:rPr>
          <w:rFonts w:hint="eastAsia" w:eastAsia="宋体"/>
          <w:lang w:eastAsia="zh-CN"/>
        </w:rPr>
        <w:t>详见二、服务需求明细</w:t>
      </w:r>
    </w:p>
    <w:p w14:paraId="5AAF78EC">
      <w:pPr>
        <w:rPr>
          <w:rFonts w:hint="eastAsia" w:eastAsia="宋体"/>
          <w:lang w:eastAsia="zh-CN"/>
        </w:rPr>
      </w:pPr>
    </w:p>
    <w:p w14:paraId="0E37556D">
      <w:pPr>
        <w:pStyle w:val="6"/>
        <w:rPr>
          <w:rFonts w:hint="eastAsia" w:eastAsia="宋体"/>
          <w:lang w:eastAsia="zh-CN"/>
        </w:rPr>
      </w:pPr>
    </w:p>
    <w:p w14:paraId="0C80DFFE"/>
    <w:p w14:paraId="56BB434D">
      <w:pPr>
        <w:rPr>
          <w:rFonts w:ascii="宋体" w:hAnsi="宋体" w:eastAsia="黑体"/>
          <w:bCs/>
          <w:kern w:val="44"/>
          <w:sz w:val="28"/>
          <w:szCs w:val="44"/>
        </w:rPr>
      </w:pPr>
      <w:r>
        <w:rPr>
          <w:rFonts w:hint="eastAsia" w:ascii="宋体" w:hAnsi="宋体" w:eastAsia="宋体"/>
          <w:b/>
          <w:color w:val="FF0000"/>
          <w:szCs w:val="21"/>
        </w:rPr>
        <w:t>带</w:t>
      </w:r>
      <w:r>
        <w:rPr>
          <w:rFonts w:hint="eastAsia" w:ascii="宋体" w:hAnsi="宋体" w:eastAsia="宋体"/>
          <w:b/>
          <w:bCs/>
          <w:color w:val="FF0000"/>
          <w:szCs w:val="21"/>
        </w:rPr>
        <w:t>★</w:t>
      </w:r>
      <w:r>
        <w:rPr>
          <w:rFonts w:hint="eastAsia" w:ascii="宋体" w:hAnsi="宋体" w:eastAsia="宋体"/>
          <w:b/>
          <w:color w:val="FF0000"/>
          <w:szCs w:val="21"/>
        </w:rPr>
        <w:t>号条款为不可偏离条款，投标人必须完全响应满足，否则将导致投标无效。投标人是否满足本部分带★号条款要求，以《</w:t>
      </w:r>
      <w:r>
        <w:rPr>
          <w:rFonts w:hint="eastAsia" w:ascii="宋体" w:hAnsi="宋体" w:eastAsia="宋体"/>
          <w:b/>
          <w:bCs/>
          <w:color w:val="FF0000"/>
          <w:szCs w:val="21"/>
        </w:rPr>
        <w:t>商务（服务）条款偏离表</w:t>
      </w:r>
      <w:r>
        <w:rPr>
          <w:rFonts w:hint="eastAsia" w:ascii="宋体" w:hAnsi="宋体" w:eastAsia="宋体"/>
          <w:b/>
          <w:color w:val="FF0000"/>
          <w:szCs w:val="21"/>
        </w:rPr>
        <w:t>》响应为准。</w:t>
      </w:r>
      <w:r>
        <w:br w:type="page"/>
      </w:r>
    </w:p>
    <w:p w14:paraId="3755298D">
      <w:pPr>
        <w:keepNext/>
        <w:keepLines/>
        <w:tabs>
          <w:tab w:val="left" w:pos="1680"/>
        </w:tabs>
        <w:spacing w:before="260" w:after="60" w:afterLines="25"/>
        <w:jc w:val="center"/>
        <w:outlineLvl w:val="2"/>
        <w:rPr>
          <w:rFonts w:ascii="Arial" w:hAnsi="Arial" w:eastAsia="宋体"/>
          <w:b/>
          <w:bCs/>
          <w:sz w:val="32"/>
          <w:szCs w:val="32"/>
        </w:rPr>
      </w:pPr>
      <w:r>
        <w:rPr>
          <w:rFonts w:hint="eastAsia" w:ascii="Arial" w:hAnsi="Arial" w:eastAsia="宋体"/>
          <w:b/>
          <w:bCs/>
          <w:sz w:val="32"/>
          <w:szCs w:val="32"/>
        </w:rPr>
        <w:t>三、商务和服务条款部分</w:t>
      </w:r>
    </w:p>
    <w:p w14:paraId="319066E2">
      <w:pPr>
        <w:spacing w:after="60" w:afterLines="25" w:line="300" w:lineRule="auto"/>
        <w:rPr>
          <w:rFonts w:ascii="Arial" w:hAnsi="Arial" w:eastAsia="宋体"/>
          <w:b/>
          <w:color w:val="FF0000"/>
        </w:rPr>
      </w:pPr>
      <w:r>
        <w:rPr>
          <w:rFonts w:hint="eastAsia" w:ascii="宋体" w:hAnsi="宋体" w:eastAsia="宋体"/>
          <w:b/>
          <w:color w:val="FF0000"/>
          <w:szCs w:val="21"/>
        </w:rPr>
        <w:t xml:space="preserve">    带</w:t>
      </w:r>
      <w:r>
        <w:rPr>
          <w:rFonts w:hint="eastAsia" w:ascii="宋体" w:hAnsi="宋体" w:eastAsia="宋体"/>
          <w:b/>
          <w:bCs/>
          <w:color w:val="FF0000"/>
          <w:szCs w:val="21"/>
        </w:rPr>
        <w:t>★</w:t>
      </w:r>
      <w:r>
        <w:rPr>
          <w:rFonts w:hint="eastAsia" w:ascii="宋体" w:hAnsi="宋体" w:eastAsia="宋体"/>
          <w:b/>
          <w:color w:val="FF0000"/>
          <w:szCs w:val="21"/>
        </w:rPr>
        <w:t>号条款为不可偏离条款，投标人必须完全响应满足，否则将导致投标无效。投标人是否满足本部分带★号条款要求，以《</w:t>
      </w:r>
      <w:r>
        <w:rPr>
          <w:rFonts w:hint="eastAsia" w:ascii="宋体" w:hAnsi="宋体" w:eastAsia="宋体"/>
          <w:b/>
          <w:bCs/>
          <w:color w:val="FF0000"/>
          <w:szCs w:val="21"/>
        </w:rPr>
        <w:t>商务（服务）条款偏离表</w:t>
      </w:r>
      <w:r>
        <w:rPr>
          <w:rFonts w:hint="eastAsia" w:ascii="宋体" w:hAnsi="宋体" w:eastAsia="宋体"/>
          <w:b/>
          <w:color w:val="FF0000"/>
          <w:szCs w:val="21"/>
        </w:rPr>
        <w:t>》响应为准。</w:t>
      </w:r>
    </w:p>
    <w:tbl>
      <w:tblPr>
        <w:tblStyle w:val="19"/>
        <w:tblW w:w="997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8389"/>
      </w:tblGrid>
      <w:tr w14:paraId="01F35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84" w:type="dxa"/>
            <w:tcBorders>
              <w:top w:val="single" w:color="auto" w:sz="4" w:space="0"/>
              <w:left w:val="single" w:color="auto" w:sz="4" w:space="0"/>
              <w:bottom w:val="single" w:color="auto" w:sz="4" w:space="0"/>
              <w:right w:val="single" w:color="auto" w:sz="4" w:space="0"/>
            </w:tcBorders>
            <w:vAlign w:val="center"/>
          </w:tcPr>
          <w:p w14:paraId="449894A0">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cs="宋体"/>
                <w:b/>
                <w:color w:val="FF0000"/>
                <w:sz w:val="22"/>
                <w:szCs w:val="21"/>
              </w:rPr>
              <w:t>报价要求</w:t>
            </w:r>
          </w:p>
        </w:tc>
        <w:tc>
          <w:tcPr>
            <w:tcW w:w="8389" w:type="dxa"/>
            <w:tcBorders>
              <w:top w:val="single" w:color="auto" w:sz="4" w:space="0"/>
              <w:left w:val="single" w:color="auto" w:sz="4" w:space="0"/>
              <w:bottom w:val="single" w:color="auto" w:sz="4" w:space="0"/>
              <w:right w:val="single" w:color="auto" w:sz="4" w:space="0"/>
            </w:tcBorders>
            <w:vAlign w:val="center"/>
          </w:tcPr>
          <w:p w14:paraId="2F9DD958">
            <w:pPr>
              <w:snapToGrid w:val="0"/>
              <w:spacing w:line="360" w:lineRule="exact"/>
              <w:rPr>
                <w:rFonts w:ascii="宋体" w:hAnsi="宋体" w:eastAsia="宋体" w:cs="宋体"/>
                <w:sz w:val="22"/>
                <w:szCs w:val="21"/>
              </w:rPr>
            </w:pPr>
            <w:r>
              <w:rPr>
                <w:rFonts w:hint="eastAsia" w:ascii="宋体" w:hAnsi="宋体" w:eastAsia="宋体" w:cs="仿宋_GB2312"/>
                <w:sz w:val="22"/>
                <w:szCs w:val="28"/>
              </w:rPr>
              <w:t>投标总价必须是完成该项目的一切费用总和，包括投标费、设备费、运输费、装卸费、保险费、技术培训费、设备安装费、调试费、检测费、国家规定的各项税费等。</w:t>
            </w:r>
          </w:p>
        </w:tc>
      </w:tr>
      <w:tr w14:paraId="4AE57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84" w:type="dxa"/>
            <w:tcBorders>
              <w:top w:val="single" w:color="auto" w:sz="4" w:space="0"/>
              <w:left w:val="single" w:color="auto" w:sz="4" w:space="0"/>
              <w:bottom w:val="single" w:color="auto" w:sz="4" w:space="0"/>
              <w:right w:val="single" w:color="auto" w:sz="4" w:space="0"/>
            </w:tcBorders>
            <w:vAlign w:val="center"/>
          </w:tcPr>
          <w:p w14:paraId="1FF617B5">
            <w:pPr>
              <w:spacing w:after="60" w:afterLines="25" w:line="360" w:lineRule="exact"/>
              <w:rPr>
                <w:rFonts w:ascii="宋体" w:hAnsi="宋体" w:eastAsia="宋体" w:cs="宋体"/>
                <w:b/>
                <w:color w:val="FF0000"/>
                <w:sz w:val="22"/>
                <w:szCs w:val="21"/>
              </w:rPr>
            </w:pPr>
            <w:r>
              <w:rPr>
                <w:rFonts w:hint="eastAsia" w:ascii="宋体" w:hAnsi="宋体" w:eastAsia="宋体" w:cs="仿宋_GB2312"/>
                <w:color w:val="FF0000"/>
                <w:sz w:val="22"/>
                <w:szCs w:val="28"/>
              </w:rPr>
              <w:t>★</w:t>
            </w:r>
            <w:r>
              <w:rPr>
                <w:rFonts w:hint="eastAsia" w:ascii="宋体" w:hAnsi="宋体" w:eastAsia="宋体" w:cs="宋体"/>
                <w:b/>
                <w:color w:val="FF0000"/>
                <w:sz w:val="22"/>
                <w:szCs w:val="21"/>
              </w:rPr>
              <w:t>交货地点</w:t>
            </w:r>
          </w:p>
        </w:tc>
        <w:tc>
          <w:tcPr>
            <w:tcW w:w="8389" w:type="dxa"/>
            <w:tcBorders>
              <w:top w:val="single" w:color="auto" w:sz="4" w:space="0"/>
              <w:left w:val="single" w:color="auto" w:sz="4" w:space="0"/>
              <w:bottom w:val="single" w:color="auto" w:sz="4" w:space="0"/>
              <w:right w:val="single" w:color="auto" w:sz="4" w:space="0"/>
            </w:tcBorders>
            <w:vAlign w:val="center"/>
          </w:tcPr>
          <w:p w14:paraId="65C9175E">
            <w:pPr>
              <w:spacing w:after="60" w:afterLines="25" w:line="360" w:lineRule="exact"/>
              <w:rPr>
                <w:rFonts w:ascii="宋体" w:hAnsi="宋体" w:eastAsia="宋体" w:cs="宋体"/>
                <w:sz w:val="22"/>
                <w:szCs w:val="21"/>
              </w:rPr>
            </w:pPr>
            <w:r>
              <w:rPr>
                <w:rFonts w:hint="eastAsia" w:ascii="宋体" w:hAnsi="宋体" w:eastAsia="宋体"/>
                <w:sz w:val="22"/>
                <w:szCs w:val="28"/>
              </w:rPr>
              <w:t>采购人指定地点</w:t>
            </w:r>
          </w:p>
        </w:tc>
      </w:tr>
      <w:tr w14:paraId="18236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84" w:type="dxa"/>
            <w:tcBorders>
              <w:top w:val="single" w:color="auto" w:sz="4" w:space="0"/>
              <w:left w:val="single" w:color="auto" w:sz="4" w:space="0"/>
              <w:bottom w:val="single" w:color="auto" w:sz="4" w:space="0"/>
              <w:right w:val="single" w:color="auto" w:sz="4" w:space="0"/>
            </w:tcBorders>
            <w:vAlign w:val="center"/>
          </w:tcPr>
          <w:p w14:paraId="1B115EE9">
            <w:pPr>
              <w:spacing w:after="60" w:afterLines="25" w:line="360" w:lineRule="exact"/>
              <w:rPr>
                <w:rFonts w:hint="eastAsia" w:ascii="宋体" w:hAnsi="宋体" w:eastAsia="宋体"/>
                <w:b/>
                <w:bCs/>
                <w:color w:val="FF0000"/>
                <w:sz w:val="22"/>
                <w:szCs w:val="21"/>
                <w:lang w:eastAsia="zh-CN"/>
              </w:rPr>
            </w:pPr>
            <w:r>
              <w:rPr>
                <w:rFonts w:hint="eastAsia" w:ascii="宋体" w:hAnsi="宋体" w:eastAsia="宋体" w:cs="仿宋_GB2312"/>
                <w:color w:val="FF0000"/>
                <w:sz w:val="22"/>
                <w:szCs w:val="28"/>
              </w:rPr>
              <w:t>★</w:t>
            </w:r>
            <w:r>
              <w:rPr>
                <w:rFonts w:hint="eastAsia" w:ascii="宋体" w:hAnsi="宋体" w:eastAsia="宋体"/>
                <w:b/>
                <w:bCs/>
                <w:color w:val="FF0000"/>
                <w:sz w:val="22"/>
                <w:szCs w:val="21"/>
                <w:lang w:eastAsia="zh-CN"/>
              </w:rPr>
              <w:t>服务期</w:t>
            </w:r>
          </w:p>
        </w:tc>
        <w:tc>
          <w:tcPr>
            <w:tcW w:w="8389" w:type="dxa"/>
            <w:tcBorders>
              <w:top w:val="single" w:color="auto" w:sz="4" w:space="0"/>
              <w:left w:val="single" w:color="auto" w:sz="4" w:space="0"/>
              <w:bottom w:val="single" w:color="auto" w:sz="4" w:space="0"/>
              <w:right w:val="single" w:color="auto" w:sz="4" w:space="0"/>
            </w:tcBorders>
            <w:vAlign w:val="center"/>
          </w:tcPr>
          <w:p w14:paraId="0E262978">
            <w:pPr>
              <w:spacing w:after="60" w:afterLines="25" w:line="360" w:lineRule="exact"/>
              <w:rPr>
                <w:rFonts w:hint="default" w:ascii="宋体" w:hAnsi="宋体" w:eastAsia="微软雅黑" w:cs="宋体"/>
                <w:sz w:val="22"/>
                <w:szCs w:val="21"/>
                <w:lang w:val="en-US" w:eastAsia="zh-CN"/>
              </w:rPr>
            </w:pPr>
            <w:r>
              <w:rPr>
                <w:rFonts w:ascii="微软雅黑" w:hAnsi="微软雅黑" w:eastAsia="微软雅黑" w:cs="微软雅黑"/>
                <w:i w:val="0"/>
                <w:iCs w:val="0"/>
                <w:caps w:val="0"/>
                <w:color w:val="333333"/>
                <w:spacing w:val="0"/>
                <w:sz w:val="21"/>
                <w:szCs w:val="21"/>
                <w:shd w:val="clear" w:fill="FFFFFF"/>
              </w:rPr>
              <w:t>合同期限三年，合同一年一签（具体时间以合同签订为准）。</w:t>
            </w:r>
          </w:p>
        </w:tc>
      </w:tr>
      <w:tr w14:paraId="65439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84" w:type="dxa"/>
            <w:tcBorders>
              <w:top w:val="single" w:color="auto" w:sz="4" w:space="0"/>
              <w:left w:val="single" w:color="auto" w:sz="4" w:space="0"/>
              <w:bottom w:val="single" w:color="auto" w:sz="4" w:space="0"/>
              <w:right w:val="single" w:color="auto" w:sz="4" w:space="0"/>
            </w:tcBorders>
            <w:vAlign w:val="center"/>
          </w:tcPr>
          <w:p w14:paraId="31BE9157">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color w:val="FF0000"/>
                <w:sz w:val="22"/>
              </w:rPr>
              <w:t>付款方式</w:t>
            </w:r>
          </w:p>
        </w:tc>
        <w:tc>
          <w:tcPr>
            <w:tcW w:w="8389" w:type="dxa"/>
            <w:tcBorders>
              <w:top w:val="single" w:color="auto" w:sz="4" w:space="0"/>
              <w:left w:val="single" w:color="auto" w:sz="4" w:space="0"/>
              <w:bottom w:val="single" w:color="auto" w:sz="4" w:space="0"/>
              <w:right w:val="single" w:color="auto" w:sz="4" w:space="0"/>
            </w:tcBorders>
            <w:vAlign w:val="center"/>
          </w:tcPr>
          <w:p w14:paraId="68C911CF">
            <w:pPr>
              <w:spacing w:after="60" w:afterLines="25" w:line="360" w:lineRule="exact"/>
              <w:rPr>
                <w:rFonts w:ascii="微软雅黑" w:hAnsi="微软雅黑" w:eastAsia="微软雅黑" w:cs="微软雅黑"/>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shd w:val="clear" w:fill="FFFFFF"/>
              </w:rPr>
              <w:t>每个物业服务年度的第一个月，甲方向乙方支付本年度物业服务</w:t>
            </w:r>
            <w:r>
              <w:rPr>
                <w:rFonts w:hint="eastAsia" w:ascii="微软雅黑" w:hAnsi="微软雅黑" w:eastAsia="微软雅黑" w:cs="微软雅黑"/>
                <w:i w:val="0"/>
                <w:iCs w:val="0"/>
                <w:caps w:val="0"/>
                <w:color w:val="333333"/>
                <w:spacing w:val="0"/>
                <w:sz w:val="21"/>
                <w:szCs w:val="21"/>
                <w:shd w:val="clear" w:fill="FFFFFF"/>
                <w:lang w:val="en-US" w:eastAsia="zh-CN"/>
              </w:rPr>
              <w:t>预付款至</w:t>
            </w:r>
            <w:r>
              <w:rPr>
                <w:rFonts w:ascii="微软雅黑" w:hAnsi="微软雅黑" w:eastAsia="微软雅黑" w:cs="微软雅黑"/>
                <w:i w:val="0"/>
                <w:iCs w:val="0"/>
                <w:caps w:val="0"/>
                <w:color w:val="333333"/>
                <w:spacing w:val="0"/>
                <w:sz w:val="21"/>
                <w:szCs w:val="21"/>
                <w:shd w:val="clear" w:fill="FFFFFF"/>
              </w:rPr>
              <w:t>30%，半年考核，考核结果良好以上支付年度进度款至70%，</w:t>
            </w:r>
            <w:r>
              <w:rPr>
                <w:rFonts w:hint="eastAsia" w:ascii="微软雅黑" w:hAnsi="微软雅黑" w:eastAsia="微软雅黑" w:cs="微软雅黑"/>
                <w:i w:val="0"/>
                <w:iCs w:val="0"/>
                <w:caps w:val="0"/>
                <w:color w:val="333333"/>
                <w:spacing w:val="0"/>
                <w:sz w:val="21"/>
                <w:szCs w:val="21"/>
                <w:shd w:val="clear" w:fill="FFFFFF"/>
                <w:lang w:val="en-US" w:eastAsia="zh-CN"/>
              </w:rPr>
              <w:t>年度</w:t>
            </w:r>
            <w:r>
              <w:rPr>
                <w:rFonts w:ascii="微软雅黑" w:hAnsi="微软雅黑" w:eastAsia="微软雅黑" w:cs="微软雅黑"/>
                <w:i w:val="0"/>
                <w:iCs w:val="0"/>
                <w:caps w:val="0"/>
                <w:color w:val="333333"/>
                <w:spacing w:val="0"/>
                <w:sz w:val="21"/>
                <w:szCs w:val="21"/>
                <w:shd w:val="clear" w:fill="FFFFFF"/>
              </w:rPr>
              <w:t>最后一个月考核</w:t>
            </w:r>
            <w:r>
              <w:rPr>
                <w:rFonts w:hint="eastAsia" w:ascii="微软雅黑" w:hAnsi="微软雅黑" w:eastAsia="微软雅黑" w:cs="微软雅黑"/>
                <w:i w:val="0"/>
                <w:iCs w:val="0"/>
                <w:caps w:val="0"/>
                <w:color w:val="333333"/>
                <w:spacing w:val="0"/>
                <w:sz w:val="21"/>
                <w:szCs w:val="21"/>
                <w:shd w:val="clear" w:fill="FFFFFF"/>
                <w:lang w:val="en-US" w:eastAsia="zh-CN"/>
              </w:rPr>
              <w:t>结果</w:t>
            </w:r>
            <w:r>
              <w:rPr>
                <w:rFonts w:ascii="微软雅黑" w:hAnsi="微软雅黑" w:eastAsia="微软雅黑" w:cs="微软雅黑"/>
                <w:i w:val="0"/>
                <w:iCs w:val="0"/>
                <w:caps w:val="0"/>
                <w:color w:val="333333"/>
                <w:spacing w:val="0"/>
                <w:sz w:val="21"/>
                <w:szCs w:val="21"/>
                <w:shd w:val="clear" w:fill="FFFFFF"/>
              </w:rPr>
              <w:t>良好以上</w:t>
            </w:r>
            <w:r>
              <w:rPr>
                <w:rFonts w:hint="eastAsia" w:ascii="微软雅黑" w:hAnsi="微软雅黑" w:eastAsia="微软雅黑" w:cs="微软雅黑"/>
                <w:i w:val="0"/>
                <w:iCs w:val="0"/>
                <w:caps w:val="0"/>
                <w:color w:val="333333"/>
                <w:spacing w:val="0"/>
                <w:sz w:val="21"/>
                <w:szCs w:val="21"/>
                <w:shd w:val="clear" w:fill="FFFFFF"/>
                <w:lang w:eastAsia="zh-CN"/>
              </w:rPr>
              <w:t>，</w:t>
            </w:r>
            <w:r>
              <w:rPr>
                <w:rFonts w:ascii="微软雅黑" w:hAnsi="微软雅黑" w:eastAsia="微软雅黑" w:cs="微软雅黑"/>
                <w:i w:val="0"/>
                <w:iCs w:val="0"/>
                <w:caps w:val="0"/>
                <w:color w:val="333333"/>
                <w:spacing w:val="0"/>
                <w:sz w:val="21"/>
                <w:szCs w:val="21"/>
                <w:shd w:val="clear" w:fill="FFFFFF"/>
              </w:rPr>
              <w:t>支付剩余款至100%。</w:t>
            </w:r>
          </w:p>
          <w:p w14:paraId="0919E590">
            <w:pPr>
              <w:spacing w:after="60" w:afterLines="25" w:line="360" w:lineRule="exact"/>
              <w:rPr>
                <w:rFonts w:hint="eastAsia" w:ascii="宋体" w:hAnsi="宋体" w:eastAsia="宋体"/>
                <w:sz w:val="22"/>
                <w:szCs w:val="21"/>
                <w:lang w:eastAsia="zh-CN"/>
              </w:rPr>
            </w:pPr>
            <w:r>
              <w:rPr>
                <w:rFonts w:hint="eastAsia" w:ascii="微软雅黑" w:hAnsi="微软雅黑" w:eastAsia="微软雅黑" w:cs="微软雅黑"/>
                <w:i w:val="0"/>
                <w:iCs w:val="0"/>
                <w:caps w:val="0"/>
                <w:color w:val="333333"/>
                <w:spacing w:val="0"/>
                <w:sz w:val="21"/>
                <w:szCs w:val="21"/>
                <w:shd w:val="clear" w:fill="FFFFFF"/>
              </w:rPr>
              <w:t>履约保证金金额:本项目收中标单位10000元取约保证金。 履约保证金缴纳时间:中标后，合同签订前2个工作日缴纳履约保证金。 履约保证金缴纳方式：对公转账</w:t>
            </w:r>
          </w:p>
        </w:tc>
      </w:tr>
      <w:tr w14:paraId="71BCD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84" w:type="dxa"/>
            <w:tcBorders>
              <w:top w:val="single" w:color="auto" w:sz="4" w:space="0"/>
              <w:left w:val="single" w:color="auto" w:sz="4" w:space="0"/>
              <w:bottom w:val="single" w:color="auto" w:sz="4" w:space="0"/>
              <w:right w:val="single" w:color="auto" w:sz="4" w:space="0"/>
            </w:tcBorders>
            <w:vAlign w:val="center"/>
          </w:tcPr>
          <w:p w14:paraId="6651E91B">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color w:val="FF0000"/>
                <w:sz w:val="22"/>
                <w:szCs w:val="21"/>
              </w:rPr>
              <w:t>验收方式</w:t>
            </w:r>
          </w:p>
        </w:tc>
        <w:tc>
          <w:tcPr>
            <w:tcW w:w="8389" w:type="dxa"/>
            <w:tcBorders>
              <w:top w:val="single" w:color="auto" w:sz="4" w:space="0"/>
              <w:left w:val="single" w:color="auto" w:sz="4" w:space="0"/>
              <w:bottom w:val="single" w:color="auto" w:sz="4" w:space="0"/>
              <w:right w:val="single" w:color="auto" w:sz="4" w:space="0"/>
            </w:tcBorders>
            <w:vAlign w:val="center"/>
          </w:tcPr>
          <w:p w14:paraId="1447308B">
            <w:pPr>
              <w:spacing w:after="60" w:afterLines="25" w:line="360" w:lineRule="exact"/>
              <w:rPr>
                <w:rFonts w:ascii="宋体" w:hAnsi="宋体" w:eastAsia="宋体"/>
                <w:bCs/>
                <w:sz w:val="22"/>
                <w:szCs w:val="21"/>
              </w:rPr>
            </w:pPr>
            <w:r>
              <w:rPr>
                <w:rFonts w:hint="eastAsia" w:ascii="宋体" w:hAnsi="宋体" w:eastAsia="宋体" w:cs="仿宋_GB2312"/>
                <w:sz w:val="22"/>
                <w:szCs w:val="28"/>
              </w:rPr>
              <w:t>由</w:t>
            </w:r>
            <w:r>
              <w:rPr>
                <w:rFonts w:hint="eastAsia" w:ascii="宋体" w:hAnsi="宋体" w:eastAsia="宋体" w:cs="仿宋_GB2312"/>
                <w:bCs/>
                <w:sz w:val="22"/>
                <w:szCs w:val="28"/>
                <w:lang w:eastAsia="zh-CN"/>
              </w:rPr>
              <w:t>喀什市科学技术局</w:t>
            </w:r>
            <w:r>
              <w:rPr>
                <w:rFonts w:hint="eastAsia" w:ascii="宋体" w:hAnsi="宋体" w:eastAsia="宋体" w:cs="仿宋_GB2312"/>
                <w:sz w:val="22"/>
                <w:szCs w:val="28"/>
              </w:rPr>
              <w:t>组织验收。</w:t>
            </w:r>
          </w:p>
        </w:tc>
      </w:tr>
      <w:tr w14:paraId="03E83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84" w:type="dxa"/>
            <w:tcBorders>
              <w:top w:val="single" w:color="auto" w:sz="4" w:space="0"/>
              <w:left w:val="single" w:color="auto" w:sz="4" w:space="0"/>
              <w:bottom w:val="single" w:color="auto" w:sz="4" w:space="0"/>
              <w:right w:val="single" w:color="auto" w:sz="4" w:space="0"/>
            </w:tcBorders>
            <w:vAlign w:val="center"/>
          </w:tcPr>
          <w:p w14:paraId="45435734">
            <w:pPr>
              <w:spacing w:after="60" w:afterLines="25" w:line="360" w:lineRule="exact"/>
              <w:rPr>
                <w:rFonts w:hint="eastAsia" w:ascii="宋体" w:hAnsi="宋体" w:eastAsia="宋体" w:cs="仿宋_GB2312"/>
                <w:color w:val="FF0000"/>
                <w:sz w:val="22"/>
                <w:szCs w:val="28"/>
                <w:lang w:eastAsia="zh-CN"/>
              </w:rPr>
            </w:pPr>
            <w:r>
              <w:rPr>
                <w:rFonts w:hint="eastAsia" w:ascii="宋体" w:hAnsi="宋体" w:eastAsia="宋体" w:cs="仿宋_GB2312"/>
                <w:color w:val="FF0000"/>
                <w:sz w:val="22"/>
                <w:szCs w:val="28"/>
              </w:rPr>
              <w:t>★</w:t>
            </w:r>
            <w:r>
              <w:rPr>
                <w:rFonts w:hint="eastAsia" w:ascii="宋体" w:hAnsi="宋体" w:eastAsia="宋体" w:cs="Times New Roman"/>
                <w:b/>
                <w:color w:val="FF0000"/>
                <w:sz w:val="22"/>
                <w:szCs w:val="21"/>
                <w:lang w:eastAsia="zh-CN"/>
              </w:rPr>
              <w:t>其他要求</w:t>
            </w:r>
          </w:p>
        </w:tc>
        <w:tc>
          <w:tcPr>
            <w:tcW w:w="8389" w:type="dxa"/>
            <w:tcBorders>
              <w:top w:val="single" w:color="auto" w:sz="4" w:space="0"/>
              <w:left w:val="single" w:color="auto" w:sz="4" w:space="0"/>
              <w:bottom w:val="single" w:color="auto" w:sz="4" w:space="0"/>
              <w:right w:val="single" w:color="auto" w:sz="4" w:space="0"/>
            </w:tcBorders>
            <w:vAlign w:val="center"/>
          </w:tcPr>
          <w:p w14:paraId="337BA277">
            <w:pPr>
              <w:numPr>
                <w:ilvl w:val="0"/>
                <w:numId w:val="5"/>
              </w:numPr>
              <w:spacing w:after="60" w:afterLines="25" w:line="360" w:lineRule="exact"/>
              <w:rPr>
                <w:rFonts w:ascii="微软雅黑" w:hAnsi="微软雅黑" w:eastAsia="微软雅黑" w:cs="微软雅黑"/>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shd w:val="clear" w:fill="FFFFFF"/>
              </w:rPr>
              <w:t>日常巡检：安排专业技术人员每日对场馆设施设备进行巡检，涵盖照明系统、空调通风系统、电梯、消防设施、展览设备等。每次巡检需详细记录设备运行状态，包括设备是否正常运转、有无异常声响、温度及压力是否在正常范围等信息，一旦发现问题立即上报。 2.定期保养：每月对电梯进行清洁、润滑和安全部件检查；每季度对空调系统进行滤网更换、冷凝器清洗等保养工作；每年对消防设施进行全面检测与维护，确保其处于良好的运行状态。保养完成后，填写详细的保养报告，记录保养内容、更换的零部件等信息。 3.故障维修：建立24小时故障响应机制，当接到设施设备故障报告后，维修人员需在30分钟内响应，并在1小时内到达现场进行维修。对于简单故障，力争当场修复；对于复杂故障，需制定详细维修方案，尽快恢复设备正常运行。</w:t>
            </w:r>
          </w:p>
          <w:p w14:paraId="6E8754CC">
            <w:pPr>
              <w:numPr>
                <w:ilvl w:val="0"/>
                <w:numId w:val="5"/>
              </w:numPr>
              <w:spacing w:after="60" w:afterLines="25" w:line="360" w:lineRule="exact"/>
              <w:rPr>
                <w:rFonts w:hint="eastAsia" w:ascii="微软雅黑" w:hAnsi="微软雅黑" w:eastAsia="微软雅黑" w:cs="微软雅黑"/>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shd w:val="clear" w:fill="FFFFFF"/>
              </w:rPr>
              <w:t>紧急情况响应：对于火灾、地震、漏水、设备突发严重故障等紧急情况，设立 7×24 小时应急值班电话，确保第一时间接听并响应。应急小组在接到通知后 10 分钟内集合完毕，携带相应的应急设备和工具赶赴现场进行处理，同时通知相关领导和科技馆管理方。 2.一般问题响应：针对日常的设施设备报修、环境卫生问题、参观者咨询与投诉等一般问题，通过服务热线、线上平台等渠道接收信息。客服人员在接到问题后，15分钟内与相关人员取得联系，了解具体情况，并将问题分配至相应的处理人员。处理人员在 2 小时内到达现场进行处理，并在 24 小时内反馈处理结果。对于较为复杂的问题，处理时间根据实际情况适当延长，但需及时向提出问题的人员说明进展情况。</w:t>
            </w:r>
          </w:p>
          <w:p w14:paraId="70F15E6C">
            <w:pPr>
              <w:numPr>
                <w:ilvl w:val="0"/>
                <w:numId w:val="5"/>
              </w:numPr>
              <w:spacing w:after="60" w:afterLines="25" w:line="360" w:lineRule="exact"/>
              <w:rPr>
                <w:rFonts w:hint="eastAsia" w:ascii="微软雅黑" w:hAnsi="微软雅黑" w:eastAsia="微软雅黑" w:cs="微软雅黑"/>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shd w:val="clear" w:fill="FFFFFF"/>
              </w:rPr>
              <w:t>服务团队本地化：组建本地化的物业服务团队，团队成员熟悉喀什市的文化习俗，使用国家通用语言，国家通用语言达标。团队中配备具备丰富本地物业工作经验的管理人员、技术人员和服务人员，确保服务的高效开展。 2.应急响应本地化：与喀什市当地的消防、医疗、电力、供水等相关部门建立紧密的合作关系，制定本地化的应急预案。发生紧急情况时，能够迅速协调当地资源，及时开展救援和抢修工作，最大限度减少损失和影响。</w:t>
            </w:r>
          </w:p>
          <w:p w14:paraId="68A3EE6F">
            <w:pPr>
              <w:numPr>
                <w:ilvl w:val="0"/>
                <w:numId w:val="5"/>
              </w:numPr>
              <w:spacing w:after="60" w:afterLines="25" w:line="360" w:lineRule="exact"/>
              <w:rPr>
                <w:rFonts w:hint="eastAsia" w:ascii="微软雅黑" w:hAnsi="微软雅黑" w:eastAsia="微软雅黑" w:cs="微软雅黑"/>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shd w:val="clear" w:fill="FFFFFF"/>
              </w:rPr>
              <w:t>应急处理培训：每季度开展一次应急处理培训，模拟火灾、设备故障、突发公共事件等场景，进行应急演练。培训员工如何正确使用应急设备，如何在紧急情况下迅速疏散人群、开展救援工作，以及如何与相关部门协同配合，提高员工的应急处理能力和团队协作能力 。</w:t>
            </w:r>
          </w:p>
          <w:p w14:paraId="2EB5F36B">
            <w:pPr>
              <w:numPr>
                <w:ilvl w:val="0"/>
                <w:numId w:val="5"/>
              </w:numPr>
              <w:spacing w:after="60" w:afterLines="25" w:line="360" w:lineRule="exact"/>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严格依据国家标准，每日对科技馆场馆电梯进行运行状态巡检，检查门机系统、制动装置等关键部位。每月开展深度保养，包含润滑、部件紧固；每季度全面检测调试。配备应急救援队伍，24 小时待命，确保电梯安全稳定运行。</w:t>
            </w:r>
          </w:p>
        </w:tc>
      </w:tr>
      <w:tr w14:paraId="0CEEA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84" w:type="dxa"/>
            <w:tcBorders>
              <w:top w:val="single" w:color="auto" w:sz="4" w:space="0"/>
              <w:left w:val="single" w:color="auto" w:sz="4" w:space="0"/>
              <w:right w:val="single" w:color="auto" w:sz="4" w:space="0"/>
            </w:tcBorders>
            <w:vAlign w:val="center"/>
          </w:tcPr>
          <w:p w14:paraId="1698CE6A">
            <w:pPr>
              <w:spacing w:after="60" w:afterLines="25" w:line="360" w:lineRule="exact"/>
              <w:rPr>
                <w:rFonts w:hint="eastAsia" w:ascii="宋体" w:hAnsi="宋体" w:eastAsia="宋体" w:cs="仿宋_GB2312"/>
                <w:color w:val="FF0000"/>
                <w:sz w:val="22"/>
                <w:szCs w:val="28"/>
              </w:rPr>
            </w:pPr>
            <w:r>
              <w:rPr>
                <w:rFonts w:hint="eastAsia" w:ascii="宋体" w:hAnsi="宋体" w:eastAsia="宋体" w:cs="仿宋_GB2312"/>
                <w:color w:val="FF0000"/>
                <w:sz w:val="22"/>
                <w:szCs w:val="28"/>
              </w:rPr>
              <w:t>★</w:t>
            </w:r>
            <w:r>
              <w:rPr>
                <w:rFonts w:hint="eastAsia" w:ascii="宋体" w:hAnsi="宋体" w:eastAsia="宋体" w:cs="Times New Roman"/>
                <w:b/>
                <w:color w:val="FF0000"/>
                <w:sz w:val="22"/>
                <w:szCs w:val="21"/>
                <w:lang w:eastAsia="zh-CN"/>
              </w:rPr>
              <w:t>违约责任及争议解决方式</w:t>
            </w:r>
          </w:p>
        </w:tc>
        <w:tc>
          <w:tcPr>
            <w:tcW w:w="8389" w:type="dxa"/>
            <w:tcBorders>
              <w:top w:val="single" w:color="auto" w:sz="4" w:space="0"/>
              <w:left w:val="single" w:color="auto" w:sz="4" w:space="0"/>
              <w:right w:val="single" w:color="auto" w:sz="4" w:space="0"/>
            </w:tcBorders>
            <w:vAlign w:val="center"/>
          </w:tcPr>
          <w:p w14:paraId="6C7EDD0B">
            <w:pPr>
              <w:numPr>
                <w:ilvl w:val="0"/>
                <w:numId w:val="0"/>
              </w:numPr>
              <w:spacing w:after="60" w:afterLines="25" w:line="360" w:lineRule="exact"/>
              <w:rPr>
                <w:rFonts w:ascii="微软雅黑" w:hAnsi="微软雅黑" w:eastAsia="微软雅黑" w:cs="微软雅黑"/>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shd w:val="clear" w:fill="FFFFFF"/>
              </w:rPr>
              <w:t>第一条 甲方未按时支付物业服务费用，致使乙方未完成规定的管理服务目标，乙方不承担由此引起的相关责任。 第二条 乙方违反本合同约定，未能达到约定的管理服务目标及质量要求的，甲方有权要求乙方限期整改，逾期未整改的，甲方有权终止合同，要求乙方退还已支付的物业管理费用，并向乙方追偿全部经济损失。如因乙方管理失职造成甲方重大损失的，乙方负责全额赔偿，并支付本合同物业管理费总额的20%作为违约金，且甲方有权根据损失的严重程度决定是否提前终止合同，乙方须无条件服从。 第三条 甲乙任何一方无正当理由提前终止合同的，应向对方支付违约金（本合同物业管理费总额的20%）；给对方造成的经济损失超过上述违约金的，还应给予补足。 第四条 在合同履行期间，乙方服务人员因非甲方原因发生任何意外伤亡事故，一切责任和后果均由乙方自行承担。 第五条 本合同执行期间，如遇不可抗力，致使合同无法履行时，双方应按有关法律规定及时协商处理。如发生争议，双方协商解决，协商不成，任何一方可向喀什地区有管辖权的人民法院起诉。</w:t>
            </w:r>
          </w:p>
        </w:tc>
      </w:tr>
    </w:tbl>
    <w:p w14:paraId="4A384E06">
      <w:pPr>
        <w:tabs>
          <w:tab w:val="left" w:pos="7016"/>
        </w:tabs>
      </w:pPr>
      <w:r>
        <w:rPr>
          <w:rFonts w:ascii="Arial" w:hAnsi="Arial" w:eastAsia="宋体"/>
        </w:rPr>
        <w:tab/>
      </w:r>
    </w:p>
    <w:p w14:paraId="1C78C473">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第四章 投标文件组成要求及格式</w:t>
      </w:r>
    </w:p>
    <w:p w14:paraId="39E92981">
      <w:pPr>
        <w:jc w:val="center"/>
        <w:rPr>
          <w:rFonts w:ascii="黑体" w:eastAsia="黑体"/>
          <w:b/>
          <w:bCs/>
          <w:color w:val="FF0000"/>
          <w:sz w:val="28"/>
        </w:rPr>
      </w:pPr>
    </w:p>
    <w:p w14:paraId="49AA7571">
      <w:pPr>
        <w:rPr>
          <w:rFonts w:ascii="宋体" w:hAnsi="宋体" w:eastAsia="黑体"/>
          <w:bCs/>
          <w:kern w:val="44"/>
          <w:sz w:val="32"/>
          <w:szCs w:val="32"/>
        </w:rPr>
      </w:pPr>
      <w:r>
        <w:rPr>
          <w:rFonts w:hint="eastAsia" w:ascii="宋体" w:hAnsi="宋体" w:eastAsia="黑体"/>
          <w:bCs/>
          <w:kern w:val="44"/>
          <w:sz w:val="32"/>
          <w:szCs w:val="32"/>
        </w:rPr>
        <w:t>投标文件组成：</w:t>
      </w:r>
    </w:p>
    <w:p w14:paraId="61C8390D">
      <w:pPr>
        <w:snapToGrid w:val="0"/>
        <w:rPr>
          <w:rFonts w:ascii="Arial" w:hAnsi="Arial" w:eastAsia="宋体" w:cs="Arial"/>
          <w:b/>
          <w:sz w:val="32"/>
          <w:szCs w:val="32"/>
        </w:rPr>
      </w:pPr>
      <w:r>
        <w:rPr>
          <w:rFonts w:hint="eastAsia" w:ascii="宋体" w:hAnsi="宋体" w:eastAsia="宋体" w:cs="宋体"/>
          <w:b/>
          <w:sz w:val="32"/>
          <w:szCs w:val="32"/>
        </w:rPr>
        <w:t>开标一览表及资格证明文件：</w:t>
      </w:r>
    </w:p>
    <w:p w14:paraId="0A1E5360">
      <w:pPr>
        <w:numPr>
          <w:ilvl w:val="0"/>
          <w:numId w:val="6"/>
        </w:numPr>
        <w:snapToGrid w:val="0"/>
        <w:spacing w:after="60" w:afterLines="25"/>
        <w:rPr>
          <w:rFonts w:ascii="宋体" w:hAnsi="宋体" w:eastAsia="宋体"/>
          <w:sz w:val="30"/>
          <w:szCs w:val="30"/>
        </w:rPr>
      </w:pPr>
      <w:r>
        <w:rPr>
          <w:rFonts w:hint="eastAsia" w:ascii="宋体" w:hAnsi="宋体" w:eastAsia="宋体"/>
          <w:sz w:val="30"/>
          <w:szCs w:val="30"/>
          <w:lang w:eastAsia="zh-CN"/>
        </w:rPr>
        <w:t>开标一览表；</w:t>
      </w:r>
    </w:p>
    <w:p w14:paraId="412A04B2">
      <w:pPr>
        <w:numPr>
          <w:ilvl w:val="0"/>
          <w:numId w:val="6"/>
        </w:numPr>
        <w:snapToGrid w:val="0"/>
        <w:spacing w:after="60" w:afterLines="25"/>
        <w:rPr>
          <w:rFonts w:ascii="宋体" w:hAnsi="宋体" w:eastAsia="宋体"/>
          <w:sz w:val="30"/>
          <w:szCs w:val="30"/>
        </w:rPr>
      </w:pPr>
      <w:bookmarkStart w:id="22" w:name="_Hlk72062521"/>
      <w:r>
        <w:rPr>
          <w:rFonts w:hint="eastAsia" w:ascii="宋体" w:hAnsi="宋体" w:eastAsia="宋体"/>
          <w:sz w:val="30"/>
          <w:szCs w:val="30"/>
        </w:rPr>
        <w:t>政府采购投标及履约承诺函</w:t>
      </w:r>
      <w:bookmarkEnd w:id="22"/>
      <w:r>
        <w:rPr>
          <w:rFonts w:hint="eastAsia" w:ascii="宋体" w:hAnsi="宋体" w:eastAsia="宋体"/>
          <w:sz w:val="30"/>
          <w:szCs w:val="30"/>
        </w:rPr>
        <w:t>；</w:t>
      </w:r>
    </w:p>
    <w:p w14:paraId="3B979D25">
      <w:pPr>
        <w:numPr>
          <w:ilvl w:val="0"/>
          <w:numId w:val="6"/>
        </w:numPr>
        <w:snapToGrid w:val="0"/>
        <w:spacing w:after="60" w:afterLines="25"/>
        <w:rPr>
          <w:rFonts w:hint="eastAsia"/>
          <w:lang w:eastAsia="zh-CN"/>
        </w:rPr>
      </w:pPr>
      <w:r>
        <w:rPr>
          <w:rFonts w:hint="eastAsia" w:ascii="宋体" w:hAnsi="宋体" w:eastAsia="宋体"/>
          <w:bCs/>
          <w:sz w:val="30"/>
          <w:szCs w:val="30"/>
          <w:lang w:eastAsia="zh-CN"/>
        </w:rPr>
        <w:t>法人或者非法人组织的营业执照等证明文件扫描件</w:t>
      </w:r>
      <w:r>
        <w:rPr>
          <w:rFonts w:hint="eastAsia" w:ascii="宋体" w:hAnsi="宋体" w:eastAsia="宋体"/>
          <w:bCs/>
          <w:sz w:val="30"/>
          <w:szCs w:val="30"/>
        </w:rPr>
        <w:t>等；</w:t>
      </w:r>
    </w:p>
    <w:p w14:paraId="26B28A61">
      <w:pPr>
        <w:numPr>
          <w:ilvl w:val="0"/>
          <w:numId w:val="6"/>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会计事务所出具的2022-2024年度任意一年的年度财务审计报告书扫描件或影印件；（新办企业（营业执照所标注的成立日期距本项目开标日期一年内为新办企业）提供银行资信证明扫描件或影印件）；</w:t>
      </w:r>
    </w:p>
    <w:p w14:paraId="78FC5227">
      <w:pPr>
        <w:numPr>
          <w:ilvl w:val="0"/>
          <w:numId w:val="6"/>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近6个月内任意一个月的完税证明扫描件和社保缴纳记录明细扫描件（含员工社保明细。注：1.无需提供委托人代理人或被授权委托人社保明细。2.若供应商某月税收为零申报，须提供当月加盖税务局公章的无欠税证明。3.完税证明中“税种”非养老保险、医疗保险、失业保险、工伤保险和生育保险）；</w:t>
      </w:r>
    </w:p>
    <w:p w14:paraId="4A44FEF7">
      <w:pPr>
        <w:numPr>
          <w:ilvl w:val="0"/>
          <w:numId w:val="6"/>
        </w:numPr>
        <w:snapToGrid w:val="0"/>
        <w:spacing w:after="60" w:afterLines="25"/>
        <w:rPr>
          <w:rFonts w:ascii="宋体" w:hAnsi="宋体" w:eastAsia="宋体"/>
          <w:sz w:val="30"/>
          <w:szCs w:val="30"/>
        </w:rPr>
      </w:pPr>
      <w:r>
        <w:rPr>
          <w:rFonts w:hint="eastAsia" w:ascii="宋体" w:hAnsi="宋体" w:eastAsia="宋体"/>
          <w:kern w:val="2"/>
          <w:sz w:val="30"/>
          <w:szCs w:val="30"/>
          <w:lang w:eastAsia="zh-CN"/>
        </w:rPr>
        <w:t>投标保证金收据扫描件或银行转款证明扫描件或支票扫描件、汇票扫描件、本票扫描件或者金融机构、担保机构出具的保函扫描件（供应商缴纳投标保证金5000元，开标后5个工作日原路退还。）；</w:t>
      </w:r>
    </w:p>
    <w:p w14:paraId="57F13EF1">
      <w:pPr>
        <w:numPr>
          <w:ilvl w:val="0"/>
          <w:numId w:val="6"/>
        </w:numPr>
        <w:snapToGrid w:val="0"/>
        <w:spacing w:after="60" w:afterLines="25"/>
        <w:rPr>
          <w:rFonts w:hint="eastAsia" w:ascii="宋体" w:hAnsi="宋体" w:eastAsia="宋体"/>
          <w:kern w:val="2"/>
          <w:sz w:val="30"/>
          <w:szCs w:val="30"/>
          <w:lang w:eastAsia="zh-CN"/>
        </w:rPr>
      </w:pPr>
      <w:r>
        <w:rPr>
          <w:rFonts w:hint="eastAsia" w:ascii="宋体" w:hAnsi="宋体" w:eastAsia="宋体"/>
          <w:sz w:val="30"/>
          <w:szCs w:val="30"/>
        </w:rPr>
        <w:t>评标优惠政策声明函；</w:t>
      </w:r>
    </w:p>
    <w:p w14:paraId="67575F33">
      <w:pPr>
        <w:numPr>
          <w:ilvl w:val="0"/>
          <w:numId w:val="6"/>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非联合体投标承诺函（承诺函格式自拟）；</w:t>
      </w:r>
    </w:p>
    <w:p w14:paraId="7B4B664C">
      <w:pPr>
        <w:numPr>
          <w:ilvl w:val="0"/>
          <w:numId w:val="6"/>
        </w:numPr>
        <w:snapToGrid w:val="0"/>
        <w:spacing w:after="60" w:afterLines="25"/>
        <w:rPr>
          <w:rFonts w:hint="eastAsia"/>
          <w:lang w:eastAsia="zh-CN"/>
        </w:rPr>
      </w:pPr>
      <w:r>
        <w:rPr>
          <w:rFonts w:hint="eastAsia" w:ascii="宋体" w:hAnsi="宋体" w:eastAsia="宋体"/>
          <w:kern w:val="2"/>
          <w:sz w:val="30"/>
          <w:szCs w:val="30"/>
          <w:lang w:eastAsia="zh-CN"/>
        </w:rPr>
        <w:t>非进口产品投标承诺函（承诺函格式自拟）</w:t>
      </w:r>
    </w:p>
    <w:p w14:paraId="208FF11F">
      <w:pPr>
        <w:snapToGrid w:val="0"/>
        <w:rPr>
          <w:rFonts w:hint="eastAsia" w:ascii="宋体" w:hAnsi="宋体" w:eastAsia="宋体" w:cs="宋体"/>
          <w:b/>
          <w:sz w:val="32"/>
          <w:szCs w:val="32"/>
        </w:rPr>
      </w:pPr>
      <w:r>
        <w:rPr>
          <w:rFonts w:hint="eastAsia" w:ascii="宋体" w:hAnsi="宋体" w:eastAsia="宋体" w:cs="宋体"/>
          <w:b/>
          <w:sz w:val="32"/>
          <w:szCs w:val="32"/>
        </w:rPr>
        <w:t>商务及技术文件：</w:t>
      </w:r>
    </w:p>
    <w:p w14:paraId="2A4AB9C6">
      <w:pPr>
        <w:numPr>
          <w:ilvl w:val="0"/>
          <w:numId w:val="6"/>
        </w:numPr>
        <w:snapToGrid w:val="0"/>
        <w:spacing w:after="60" w:afterLines="25"/>
        <w:rPr>
          <w:rFonts w:hint="eastAsia"/>
          <w:lang w:eastAsia="zh-CN"/>
        </w:rPr>
      </w:pPr>
      <w:r>
        <w:rPr>
          <w:rFonts w:hint="eastAsia" w:ascii="宋体" w:hAnsi="宋体" w:eastAsia="宋体"/>
          <w:sz w:val="30"/>
          <w:szCs w:val="30"/>
        </w:rPr>
        <w:t>投标函；</w:t>
      </w:r>
    </w:p>
    <w:p w14:paraId="3C35642B">
      <w:pPr>
        <w:numPr>
          <w:ilvl w:val="0"/>
          <w:numId w:val="6"/>
        </w:numPr>
        <w:snapToGrid w:val="0"/>
        <w:spacing w:after="60" w:afterLines="25"/>
        <w:rPr>
          <w:rFonts w:hint="eastAsia"/>
          <w:lang w:eastAsia="zh-CN"/>
        </w:rPr>
      </w:pPr>
      <w:r>
        <w:rPr>
          <w:rFonts w:hint="eastAsia" w:ascii="宋体" w:hAnsi="宋体" w:eastAsia="宋体"/>
          <w:kern w:val="2"/>
          <w:sz w:val="30"/>
          <w:szCs w:val="30"/>
        </w:rPr>
        <w:t>法定代表人证明书（附有效身份证正反面扫描件）</w:t>
      </w:r>
      <w:r>
        <w:rPr>
          <w:rFonts w:hint="eastAsia" w:ascii="宋体" w:hAnsi="宋体" w:eastAsia="宋体"/>
          <w:kern w:val="2"/>
          <w:sz w:val="30"/>
          <w:szCs w:val="30"/>
          <w:lang w:eastAsia="zh-CN"/>
        </w:rPr>
        <w:t>；</w:t>
      </w:r>
    </w:p>
    <w:p w14:paraId="53F7DB4F">
      <w:pPr>
        <w:numPr>
          <w:ilvl w:val="0"/>
          <w:numId w:val="6"/>
        </w:numPr>
        <w:snapToGrid w:val="0"/>
        <w:spacing w:after="60" w:afterLines="25"/>
        <w:rPr>
          <w:rFonts w:hint="eastAsia"/>
          <w:lang w:eastAsia="zh-CN"/>
        </w:rPr>
      </w:pPr>
      <w:r>
        <w:rPr>
          <w:rFonts w:hint="eastAsia" w:ascii="宋体" w:hAnsi="宋体" w:eastAsia="宋体"/>
          <w:kern w:val="2"/>
          <w:sz w:val="30"/>
          <w:szCs w:val="30"/>
        </w:rPr>
        <w:t>法定代表人授权书（附有效身份证正反面扫描件）</w:t>
      </w:r>
      <w:r>
        <w:rPr>
          <w:rFonts w:hint="eastAsia" w:ascii="宋体" w:hAnsi="宋体" w:eastAsia="宋体"/>
          <w:kern w:val="2"/>
          <w:sz w:val="30"/>
          <w:szCs w:val="30"/>
          <w:lang w:eastAsia="zh-CN"/>
        </w:rPr>
        <w:t>；</w:t>
      </w:r>
    </w:p>
    <w:p w14:paraId="3A16DE4B">
      <w:pPr>
        <w:numPr>
          <w:ilvl w:val="0"/>
          <w:numId w:val="6"/>
        </w:numPr>
        <w:snapToGrid w:val="0"/>
        <w:spacing w:after="60" w:afterLines="25"/>
        <w:ind w:left="1456"/>
        <w:rPr>
          <w:rFonts w:hint="eastAsia" w:ascii="宋体" w:hAnsi="宋体" w:eastAsia="宋体" w:cs="Times New Roman"/>
          <w:bCs/>
          <w:sz w:val="30"/>
          <w:szCs w:val="30"/>
        </w:rPr>
      </w:pPr>
      <w:r>
        <w:rPr>
          <w:rFonts w:hint="eastAsia" w:ascii="宋体" w:hAnsi="宋体" w:eastAsia="宋体"/>
          <w:bCs/>
          <w:sz w:val="30"/>
          <w:szCs w:val="30"/>
        </w:rPr>
        <w:t>分项报价清</w:t>
      </w:r>
      <w:r>
        <w:rPr>
          <w:rFonts w:hint="eastAsia" w:ascii="宋体" w:hAnsi="宋体" w:eastAsia="宋体" w:cs="Times New Roman"/>
          <w:bCs/>
          <w:sz w:val="30"/>
          <w:szCs w:val="30"/>
        </w:rPr>
        <w:t>单</w:t>
      </w:r>
      <w:r>
        <w:rPr>
          <w:rFonts w:hint="eastAsia" w:ascii="宋体" w:hAnsi="宋体" w:eastAsia="宋体" w:cs="Times New Roman"/>
          <w:bCs/>
          <w:sz w:val="30"/>
          <w:szCs w:val="30"/>
          <w:lang w:eastAsia="zh-CN"/>
        </w:rPr>
        <w:t>（本项目为服务类，如有需求参照本表填写）</w:t>
      </w:r>
      <w:r>
        <w:rPr>
          <w:rFonts w:hint="eastAsia" w:ascii="宋体" w:hAnsi="宋体" w:eastAsia="宋体" w:cs="Times New Roman"/>
          <w:bCs/>
          <w:sz w:val="30"/>
          <w:szCs w:val="30"/>
        </w:rPr>
        <w:t>；</w:t>
      </w:r>
    </w:p>
    <w:p w14:paraId="602D0234">
      <w:pPr>
        <w:numPr>
          <w:ilvl w:val="0"/>
          <w:numId w:val="6"/>
        </w:numPr>
        <w:snapToGrid w:val="0"/>
        <w:spacing w:after="60" w:afterLines="25"/>
        <w:ind w:left="1456"/>
        <w:rPr>
          <w:rFonts w:ascii="宋体" w:hAnsi="宋体" w:eastAsia="宋体"/>
          <w:sz w:val="30"/>
          <w:szCs w:val="30"/>
        </w:rPr>
      </w:pPr>
      <w:r>
        <w:rPr>
          <w:rFonts w:hint="eastAsia" w:ascii="宋体" w:hAnsi="宋体" w:eastAsia="宋体"/>
          <w:kern w:val="2"/>
          <w:sz w:val="30"/>
          <w:szCs w:val="30"/>
        </w:rPr>
        <w:t>商务（服务）条款偏离表；</w:t>
      </w:r>
    </w:p>
    <w:p w14:paraId="6978EA1A">
      <w:pPr>
        <w:numPr>
          <w:ilvl w:val="0"/>
          <w:numId w:val="6"/>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技术规格偏离表；</w:t>
      </w:r>
    </w:p>
    <w:p w14:paraId="1A8B71AB">
      <w:pPr>
        <w:numPr>
          <w:ilvl w:val="0"/>
          <w:numId w:val="6"/>
        </w:numPr>
        <w:snapToGrid w:val="0"/>
        <w:spacing w:after="60" w:afterLines="25"/>
        <w:ind w:left="1456"/>
        <w:rPr>
          <w:rFonts w:ascii="宋体" w:hAnsi="宋体" w:eastAsia="宋体"/>
          <w:bCs/>
          <w:sz w:val="30"/>
          <w:szCs w:val="30"/>
        </w:rPr>
      </w:pPr>
      <w:r>
        <w:rPr>
          <w:rFonts w:hint="eastAsia" w:ascii="宋体" w:hAnsi="宋体" w:eastAsia="宋体"/>
          <w:bCs/>
          <w:sz w:val="30"/>
          <w:szCs w:val="30"/>
          <w:lang w:eastAsia="zh-CN"/>
        </w:rPr>
        <w:t>相关</w:t>
      </w:r>
      <w:r>
        <w:rPr>
          <w:rFonts w:hint="eastAsia" w:ascii="宋体" w:hAnsi="宋体" w:eastAsia="宋体"/>
          <w:bCs/>
          <w:sz w:val="30"/>
          <w:szCs w:val="30"/>
        </w:rPr>
        <w:t>项目</w:t>
      </w:r>
      <w:r>
        <w:rPr>
          <w:rFonts w:hint="eastAsia" w:ascii="宋体" w:hAnsi="宋体" w:eastAsia="宋体"/>
          <w:bCs/>
          <w:sz w:val="30"/>
          <w:szCs w:val="30"/>
          <w:lang w:eastAsia="zh-CN"/>
        </w:rPr>
        <w:t>经验资料</w:t>
      </w:r>
      <w:r>
        <w:rPr>
          <w:rFonts w:hint="eastAsia" w:ascii="宋体" w:hAnsi="宋体" w:eastAsia="宋体"/>
          <w:sz w:val="30"/>
          <w:szCs w:val="30"/>
        </w:rPr>
        <w:t>(如有)</w:t>
      </w:r>
      <w:r>
        <w:rPr>
          <w:rFonts w:hint="eastAsia" w:ascii="宋体" w:hAnsi="宋体" w:eastAsia="宋体"/>
          <w:bCs/>
          <w:sz w:val="30"/>
          <w:szCs w:val="30"/>
        </w:rPr>
        <w:t>；</w:t>
      </w:r>
    </w:p>
    <w:p w14:paraId="440C5A4F">
      <w:pPr>
        <w:numPr>
          <w:ilvl w:val="0"/>
          <w:numId w:val="6"/>
        </w:numPr>
        <w:snapToGrid w:val="0"/>
        <w:spacing w:after="60" w:afterLines="25"/>
        <w:ind w:left="1456"/>
        <w:rPr>
          <w:rFonts w:ascii="宋体" w:hAnsi="宋体" w:eastAsia="宋体"/>
          <w:bCs/>
          <w:sz w:val="30"/>
          <w:szCs w:val="30"/>
        </w:rPr>
      </w:pPr>
      <w:r>
        <w:rPr>
          <w:rFonts w:hint="eastAsia" w:ascii="宋体" w:hAnsi="宋体" w:eastAsia="宋体"/>
          <w:bCs/>
          <w:sz w:val="30"/>
          <w:szCs w:val="30"/>
        </w:rPr>
        <w:t>售后服务</w:t>
      </w:r>
      <w:r>
        <w:rPr>
          <w:rFonts w:hint="eastAsia" w:ascii="宋体" w:hAnsi="宋体" w:eastAsia="宋体"/>
          <w:bCs/>
          <w:sz w:val="30"/>
          <w:szCs w:val="30"/>
          <w:lang w:eastAsia="zh-CN"/>
        </w:rPr>
        <w:t>相关资料</w:t>
      </w:r>
      <w:r>
        <w:rPr>
          <w:rFonts w:hint="eastAsia" w:ascii="宋体" w:hAnsi="宋体" w:eastAsia="宋体"/>
          <w:sz w:val="30"/>
          <w:szCs w:val="30"/>
        </w:rPr>
        <w:t>(如有)</w:t>
      </w:r>
      <w:r>
        <w:rPr>
          <w:rFonts w:hint="eastAsia" w:ascii="宋体" w:hAnsi="宋体" w:eastAsia="宋体"/>
          <w:bCs/>
          <w:sz w:val="30"/>
          <w:szCs w:val="30"/>
        </w:rPr>
        <w:t>；</w:t>
      </w:r>
    </w:p>
    <w:p w14:paraId="1ECD0DBD">
      <w:pPr>
        <w:numPr>
          <w:ilvl w:val="0"/>
          <w:numId w:val="6"/>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lang w:eastAsia="zh-CN"/>
        </w:rPr>
        <w:t>产品</w:t>
      </w:r>
      <w:r>
        <w:rPr>
          <w:rFonts w:hint="eastAsia" w:ascii="宋体" w:hAnsi="宋体" w:eastAsia="宋体"/>
          <w:kern w:val="2"/>
          <w:sz w:val="30"/>
          <w:szCs w:val="30"/>
        </w:rPr>
        <w:t>检测报告</w:t>
      </w:r>
      <w:r>
        <w:rPr>
          <w:rFonts w:hint="eastAsia" w:ascii="宋体" w:hAnsi="宋体" w:eastAsia="宋体"/>
          <w:sz w:val="30"/>
          <w:szCs w:val="30"/>
        </w:rPr>
        <w:t>(如有)</w:t>
      </w:r>
      <w:r>
        <w:rPr>
          <w:rFonts w:hint="eastAsia" w:ascii="宋体" w:hAnsi="宋体" w:eastAsia="宋体"/>
          <w:kern w:val="2"/>
          <w:sz w:val="30"/>
          <w:szCs w:val="30"/>
        </w:rPr>
        <w:t>；</w:t>
      </w:r>
    </w:p>
    <w:p w14:paraId="2B2AD947">
      <w:pPr>
        <w:numPr>
          <w:ilvl w:val="0"/>
          <w:numId w:val="6"/>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节能产品认证证书</w:t>
      </w:r>
      <w:r>
        <w:rPr>
          <w:rFonts w:hint="eastAsia" w:ascii="宋体" w:hAnsi="宋体" w:eastAsia="宋体"/>
          <w:sz w:val="30"/>
          <w:szCs w:val="30"/>
        </w:rPr>
        <w:t>(如有)</w:t>
      </w:r>
      <w:r>
        <w:rPr>
          <w:rFonts w:hint="eastAsia" w:ascii="宋体" w:hAnsi="宋体" w:eastAsia="宋体"/>
          <w:kern w:val="2"/>
          <w:sz w:val="30"/>
          <w:szCs w:val="30"/>
        </w:rPr>
        <w:t>；</w:t>
      </w:r>
    </w:p>
    <w:p w14:paraId="678B775A">
      <w:pPr>
        <w:numPr>
          <w:ilvl w:val="0"/>
          <w:numId w:val="6"/>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设计、施工方案的合理性评价</w:t>
      </w:r>
      <w:r>
        <w:rPr>
          <w:rFonts w:hint="eastAsia" w:ascii="宋体" w:hAnsi="宋体" w:eastAsia="宋体"/>
          <w:sz w:val="30"/>
          <w:szCs w:val="30"/>
        </w:rPr>
        <w:t>(如有)</w:t>
      </w:r>
      <w:r>
        <w:rPr>
          <w:rFonts w:hint="eastAsia" w:ascii="宋体" w:hAnsi="宋体" w:eastAsia="宋体"/>
          <w:kern w:val="2"/>
          <w:sz w:val="30"/>
          <w:szCs w:val="30"/>
          <w:lang w:eastAsia="zh-CN"/>
        </w:rPr>
        <w:t>；</w:t>
      </w:r>
    </w:p>
    <w:p w14:paraId="01CDA3E6">
      <w:pPr>
        <w:numPr>
          <w:ilvl w:val="0"/>
          <w:numId w:val="6"/>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其他招标文件要求或投标人认为需要补充的内容</w:t>
      </w:r>
      <w:r>
        <w:rPr>
          <w:rFonts w:hint="eastAsia" w:ascii="宋体" w:hAnsi="宋体" w:eastAsia="宋体"/>
          <w:sz w:val="30"/>
          <w:szCs w:val="30"/>
        </w:rPr>
        <w:t>(如有)</w:t>
      </w:r>
      <w:r>
        <w:rPr>
          <w:rFonts w:hint="eastAsia" w:ascii="宋体" w:hAnsi="宋体" w:eastAsia="宋体"/>
          <w:kern w:val="2"/>
          <w:sz w:val="30"/>
          <w:szCs w:val="30"/>
        </w:rPr>
        <w:t>。</w:t>
      </w:r>
    </w:p>
    <w:p w14:paraId="74879ED4">
      <w:pPr>
        <w:snapToGrid w:val="0"/>
        <w:spacing w:after="60" w:afterLines="25"/>
        <w:rPr>
          <w:rFonts w:ascii="宋体" w:hAnsi="宋体" w:eastAsia="宋体" w:cs="宋体"/>
          <w:b/>
          <w:color w:val="FF0000"/>
          <w:sz w:val="32"/>
          <w:szCs w:val="32"/>
        </w:rPr>
      </w:pPr>
      <w:r>
        <w:br w:type="page"/>
      </w:r>
    </w:p>
    <w:p w14:paraId="37974B62">
      <w:pPr>
        <w:keepNext/>
        <w:keepLines/>
        <w:adjustRightInd w:val="0"/>
        <w:snapToGrid w:val="0"/>
        <w:spacing w:line="360" w:lineRule="auto"/>
        <w:jc w:val="center"/>
        <w:textAlignment w:val="baseline"/>
        <w:outlineLvl w:val="3"/>
        <w:rPr>
          <w:rFonts w:hint="eastAsia" w:ascii="宋体" w:hAnsi="宋体" w:eastAsia="宋体" w:cs="Times New Roman"/>
          <w:b/>
          <w:bCs/>
          <w:szCs w:val="20"/>
        </w:rPr>
      </w:pPr>
      <w:r>
        <w:rPr>
          <w:rFonts w:hint="eastAsia" w:ascii="宋体" w:hAnsi="宋体" w:eastAsia="宋体" w:cs="Times New Roman"/>
          <w:b/>
          <w:bCs/>
          <w:szCs w:val="20"/>
          <w:lang w:val="en-US" w:eastAsia="zh-CN"/>
        </w:rPr>
        <w:t>1.</w:t>
      </w:r>
      <w:r>
        <w:rPr>
          <w:rFonts w:hint="eastAsia" w:ascii="宋体" w:hAnsi="宋体" w:eastAsia="宋体" w:cs="Times New Roman"/>
          <w:b/>
          <w:bCs/>
          <w:szCs w:val="20"/>
        </w:rPr>
        <w:t>开标一览表</w:t>
      </w:r>
    </w:p>
    <w:p w14:paraId="67EE1979">
      <w:pPr>
        <w:spacing w:line="440" w:lineRule="exact"/>
        <w:rPr>
          <w:rFonts w:hint="eastAsia" w:asciiTheme="minorEastAsia" w:hAnsiTheme="minorEastAsia" w:eastAsiaTheme="minorEastAsia" w:cstheme="minorEastAsia"/>
          <w:b w:val="0"/>
          <w:bCs w:val="0"/>
          <w:szCs w:val="21"/>
        </w:rPr>
      </w:pPr>
    </w:p>
    <w:p w14:paraId="37021B9F">
      <w:pPr>
        <w:spacing w:line="440" w:lineRule="exact"/>
        <w:rPr>
          <w:rFonts w:hint="eastAsia" w:asciiTheme="minorEastAsia" w:hAnsiTheme="minorEastAsia" w:eastAsiaTheme="minorEastAsia" w:cstheme="minorEastAsia"/>
          <w:b w:val="0"/>
          <w:bCs w:val="0"/>
          <w:szCs w:val="21"/>
        </w:rPr>
      </w:pPr>
    </w:p>
    <w:p w14:paraId="1F5D1FF3">
      <w:pPr>
        <w:spacing w:line="440" w:lineRule="exact"/>
        <w:rPr>
          <w:rFonts w:hint="eastAsia" w:asciiTheme="minorEastAsia" w:hAnsiTheme="minorEastAsia" w:eastAsiaTheme="minorEastAsia" w:cstheme="minorEastAsia"/>
          <w:b w:val="0"/>
          <w:bCs w:val="0"/>
          <w:szCs w:val="21"/>
        </w:rPr>
      </w:pPr>
    </w:p>
    <w:p w14:paraId="31595212">
      <w:pPr>
        <w:spacing w:line="440" w:lineRule="exac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项目名称：                          项目编号：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322"/>
        <w:gridCol w:w="2420"/>
      </w:tblGrid>
      <w:tr w14:paraId="3A6C1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485" w:type="dxa"/>
            <w:noWrap w:val="0"/>
            <w:vAlign w:val="center"/>
          </w:tcPr>
          <w:p w14:paraId="73D6C868">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序号</w:t>
            </w:r>
          </w:p>
        </w:tc>
        <w:tc>
          <w:tcPr>
            <w:tcW w:w="3322" w:type="dxa"/>
            <w:noWrap w:val="0"/>
            <w:vAlign w:val="center"/>
          </w:tcPr>
          <w:p w14:paraId="4B49DFB4">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项目名称</w:t>
            </w:r>
          </w:p>
        </w:tc>
        <w:tc>
          <w:tcPr>
            <w:tcW w:w="2420" w:type="dxa"/>
            <w:noWrap w:val="0"/>
            <w:vAlign w:val="center"/>
          </w:tcPr>
          <w:p w14:paraId="5188B66D">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投标</w:t>
            </w:r>
            <w:r>
              <w:rPr>
                <w:rFonts w:hint="eastAsia" w:asciiTheme="minorEastAsia" w:hAnsiTheme="minorEastAsia" w:eastAsiaTheme="minorEastAsia" w:cstheme="minorEastAsia"/>
                <w:b w:val="0"/>
                <w:bCs w:val="0"/>
                <w:sz w:val="24"/>
                <w:szCs w:val="28"/>
                <w:lang w:eastAsia="zh-CN"/>
              </w:rPr>
              <w:t>总</w:t>
            </w:r>
            <w:r>
              <w:rPr>
                <w:rFonts w:hint="eastAsia" w:asciiTheme="minorEastAsia" w:hAnsiTheme="minorEastAsia" w:eastAsiaTheme="minorEastAsia" w:cstheme="minorEastAsia"/>
                <w:b w:val="0"/>
                <w:bCs w:val="0"/>
                <w:sz w:val="24"/>
                <w:szCs w:val="28"/>
              </w:rPr>
              <w:t>价（元）</w:t>
            </w:r>
          </w:p>
        </w:tc>
      </w:tr>
      <w:tr w14:paraId="07EE1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485" w:type="dxa"/>
            <w:noWrap w:val="0"/>
            <w:vAlign w:val="center"/>
          </w:tcPr>
          <w:p w14:paraId="279B6697">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1</w:t>
            </w:r>
          </w:p>
        </w:tc>
        <w:tc>
          <w:tcPr>
            <w:tcW w:w="3322" w:type="dxa"/>
            <w:noWrap w:val="0"/>
            <w:vAlign w:val="center"/>
          </w:tcPr>
          <w:p w14:paraId="5DB373B5">
            <w:pPr>
              <w:spacing w:line="440" w:lineRule="exact"/>
              <w:jc w:val="center"/>
              <w:rPr>
                <w:rFonts w:hint="eastAsia" w:asciiTheme="minorEastAsia" w:hAnsiTheme="minorEastAsia" w:eastAsiaTheme="minorEastAsia" w:cstheme="minorEastAsia"/>
                <w:b w:val="0"/>
                <w:bCs w:val="0"/>
                <w:sz w:val="24"/>
                <w:szCs w:val="28"/>
              </w:rPr>
            </w:pPr>
          </w:p>
        </w:tc>
        <w:tc>
          <w:tcPr>
            <w:tcW w:w="2420" w:type="dxa"/>
            <w:noWrap w:val="0"/>
            <w:vAlign w:val="center"/>
          </w:tcPr>
          <w:p w14:paraId="1CF6D4E2">
            <w:pPr>
              <w:spacing w:line="440" w:lineRule="exact"/>
              <w:jc w:val="left"/>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大写：</w:t>
            </w:r>
          </w:p>
          <w:p w14:paraId="02CC9341">
            <w:pPr>
              <w:spacing w:line="440" w:lineRule="exact"/>
              <w:jc w:val="left"/>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小写：</w:t>
            </w:r>
          </w:p>
        </w:tc>
      </w:tr>
    </w:tbl>
    <w:p w14:paraId="50823E3F">
      <w:pPr>
        <w:spacing w:line="600" w:lineRule="exact"/>
        <w:rPr>
          <w:rFonts w:hint="eastAsia" w:asciiTheme="minorEastAsia" w:hAnsiTheme="minorEastAsia" w:eastAsiaTheme="minorEastAsia" w:cstheme="minorEastAsia"/>
          <w:b w:val="0"/>
          <w:bCs w:val="0"/>
          <w:color w:val="000000"/>
          <w:sz w:val="24"/>
        </w:rPr>
      </w:pPr>
      <w:r>
        <w:rPr>
          <w:rFonts w:hint="eastAsia" w:asciiTheme="minorEastAsia" w:hAnsiTheme="minorEastAsia" w:eastAsiaTheme="minorEastAsia" w:cstheme="minorEastAsia"/>
          <w:b w:val="0"/>
          <w:bCs w:val="0"/>
          <w:color w:val="000000"/>
          <w:sz w:val="24"/>
        </w:rPr>
        <w:t>注：此表作为唱标的依据。</w:t>
      </w:r>
    </w:p>
    <w:p w14:paraId="490EED4E">
      <w:pPr>
        <w:pStyle w:val="17"/>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投标总价应和投标分项报价表的总价相一致。</w:t>
      </w:r>
    </w:p>
    <w:p w14:paraId="08045EF8">
      <w:pPr>
        <w:spacing w:line="600" w:lineRule="exact"/>
        <w:ind w:firstLine="560" w:firstLineChars="200"/>
        <w:rPr>
          <w:rFonts w:hint="eastAsia" w:asciiTheme="minorEastAsia" w:hAnsiTheme="minorEastAsia" w:eastAsiaTheme="minorEastAsia" w:cstheme="minorEastAsia"/>
          <w:sz w:val="28"/>
          <w:szCs w:val="28"/>
        </w:rPr>
      </w:pPr>
    </w:p>
    <w:p w14:paraId="2254C1DF">
      <w:pPr>
        <w:spacing w:line="600" w:lineRule="exact"/>
        <w:ind w:firstLine="3080" w:firstLineChars="11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投标方：（单位盖章）</w:t>
      </w:r>
    </w:p>
    <w:p w14:paraId="03D1764F">
      <w:pPr>
        <w:pStyle w:val="18"/>
        <w:rPr>
          <w:rFonts w:hint="eastAsia" w:asciiTheme="minorEastAsia" w:hAnsiTheme="minorEastAsia" w:eastAsiaTheme="minorEastAsia" w:cstheme="minorEastAsia"/>
        </w:rPr>
      </w:pPr>
    </w:p>
    <w:p w14:paraId="102F64CC">
      <w:pPr>
        <w:spacing w:line="600" w:lineRule="exact"/>
        <w:jc w:val="right"/>
        <w:rPr>
          <w:rFonts w:hint="eastAsia"/>
        </w:rPr>
      </w:pPr>
      <w:r>
        <w:rPr>
          <w:rFonts w:hint="eastAsia" w:asciiTheme="minorEastAsia" w:hAnsiTheme="minorEastAsia" w:eastAsiaTheme="minorEastAsia" w:cstheme="minorEastAsia"/>
          <w:sz w:val="28"/>
          <w:szCs w:val="28"/>
        </w:rPr>
        <w:t>法定代表人或委托全权代理人： （签字或盖章）</w:t>
      </w:r>
    </w:p>
    <w:p w14:paraId="6156478C">
      <w:pPr>
        <w:spacing w:line="600" w:lineRule="exact"/>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p w14:paraId="1C92330B">
      <w:pPr>
        <w:pStyle w:val="15"/>
        <w:rPr>
          <w:rFonts w:hint="eastAsia" w:ascii="仿宋" w:hAnsi="仿宋" w:eastAsia="仿宋"/>
          <w:sz w:val="28"/>
          <w:szCs w:val="28"/>
        </w:rPr>
      </w:pPr>
    </w:p>
    <w:p w14:paraId="280F5882">
      <w:pPr>
        <w:pStyle w:val="15"/>
        <w:rPr>
          <w:rFonts w:hint="eastAsia" w:ascii="仿宋" w:hAnsi="仿宋" w:eastAsia="仿宋"/>
          <w:sz w:val="28"/>
          <w:szCs w:val="28"/>
        </w:rPr>
      </w:pPr>
    </w:p>
    <w:p w14:paraId="16A35BE2">
      <w:pPr>
        <w:pStyle w:val="15"/>
        <w:rPr>
          <w:rFonts w:hint="eastAsia" w:ascii="仿宋" w:hAnsi="仿宋" w:eastAsia="仿宋"/>
          <w:sz w:val="28"/>
          <w:szCs w:val="28"/>
        </w:rPr>
      </w:pPr>
    </w:p>
    <w:p w14:paraId="7CE11507">
      <w:pPr>
        <w:pStyle w:val="15"/>
        <w:rPr>
          <w:rFonts w:hint="eastAsia" w:ascii="仿宋" w:hAnsi="仿宋" w:eastAsia="仿宋"/>
          <w:sz w:val="28"/>
          <w:szCs w:val="28"/>
        </w:rPr>
      </w:pPr>
    </w:p>
    <w:p w14:paraId="450DF8B4">
      <w:pPr>
        <w:spacing w:after="60" w:afterLines="25" w:line="300" w:lineRule="auto"/>
      </w:pPr>
    </w:p>
    <w:p w14:paraId="667B3986">
      <w:pPr>
        <w:spacing w:after="60" w:afterLines="25" w:line="300" w:lineRule="auto"/>
      </w:pPr>
    </w:p>
    <w:p w14:paraId="1D118796">
      <w:pPr>
        <w:spacing w:after="60" w:afterLines="25" w:line="300" w:lineRule="auto"/>
        <w:jc w:val="center"/>
        <w:outlineLvl w:val="3"/>
        <w:rPr>
          <w:rFonts w:hint="eastAsia" w:ascii="宋体" w:hAnsi="宋体" w:eastAsia="宋体" w:cs="Times New Roman"/>
          <w:b/>
          <w:bCs/>
          <w:szCs w:val="20"/>
          <w:lang w:val="en-US" w:eastAsia="zh-CN"/>
        </w:rPr>
      </w:pPr>
      <w:r>
        <w:br w:type="page"/>
      </w:r>
      <w:r>
        <w:rPr>
          <w:rFonts w:hint="eastAsia" w:eastAsia="宋体"/>
          <w:lang w:val="en-US" w:eastAsia="zh-CN"/>
        </w:rPr>
        <w:t>2</w:t>
      </w:r>
      <w:r>
        <w:rPr>
          <w:rFonts w:hint="eastAsia" w:ascii="宋体" w:hAnsi="宋体" w:eastAsia="宋体" w:cs="Times New Roman"/>
          <w:b/>
          <w:bCs/>
          <w:szCs w:val="20"/>
          <w:lang w:val="en-US" w:eastAsia="zh-CN"/>
        </w:rPr>
        <w:t>.政府采购投标及履约承诺函</w:t>
      </w:r>
    </w:p>
    <w:p w14:paraId="64004C65">
      <w:pPr>
        <w:snapToGrid w:val="0"/>
        <w:spacing w:line="360" w:lineRule="auto"/>
        <w:rPr>
          <w:rFonts w:ascii="Arial" w:hAnsi="Arial" w:eastAsia="宋体"/>
        </w:rPr>
      </w:pPr>
    </w:p>
    <w:p w14:paraId="4DB30002">
      <w:pPr>
        <w:adjustRightInd w:val="0"/>
        <w:snapToGrid w:val="0"/>
        <w:rPr>
          <w:rFonts w:hint="eastAsia" w:ascii="宋体" w:hAnsi="宋体" w:eastAsia="宋体"/>
          <w:lang w:eastAsia="zh-CN"/>
        </w:rPr>
      </w:pPr>
      <w:r>
        <w:rPr>
          <w:rFonts w:hint="eastAsia" w:ascii="宋体" w:hAnsi="宋体" w:eastAsia="宋体"/>
        </w:rPr>
        <w:t>致：</w:t>
      </w:r>
      <w:r>
        <w:rPr>
          <w:rFonts w:hint="eastAsia" w:ascii="宋体" w:hAnsi="宋体" w:eastAsia="宋体"/>
          <w:u w:val="single"/>
          <w:lang w:eastAsia="zh-CN"/>
        </w:rPr>
        <w:t>喀什市科学技术局</w:t>
      </w:r>
    </w:p>
    <w:p w14:paraId="2BE2E512">
      <w:pPr>
        <w:ind w:right="-815" w:firstLine="480" w:firstLineChars="200"/>
        <w:rPr>
          <w:rFonts w:ascii="宋体" w:hAnsi="宋体"/>
          <w:szCs w:val="21"/>
        </w:rPr>
      </w:pPr>
      <w:r>
        <w:rPr>
          <w:rFonts w:hint="eastAsia" w:ascii="宋体" w:hAnsi="宋体"/>
          <w:szCs w:val="21"/>
        </w:rPr>
        <w:t>我单位承诺：</w:t>
      </w:r>
    </w:p>
    <w:p w14:paraId="065C8760">
      <w:pPr>
        <w:ind w:firstLine="480" w:firstLineChars="200"/>
        <w:rPr>
          <w:rFonts w:ascii="宋体" w:hAnsi="宋体"/>
          <w:szCs w:val="21"/>
        </w:rPr>
      </w:pPr>
      <w:r>
        <w:rPr>
          <w:rFonts w:hint="eastAsia" w:ascii="宋体" w:hAnsi="宋体"/>
          <w:szCs w:val="21"/>
        </w:rPr>
        <w:t>1.我单位本招标项目所提供的货物或服务未侵犯知识产权。</w:t>
      </w:r>
    </w:p>
    <w:p w14:paraId="6D8ACC6F">
      <w:pPr>
        <w:ind w:firstLine="480" w:firstLineChars="200"/>
        <w:rPr>
          <w:rFonts w:ascii="宋体" w:hAnsi="宋体"/>
          <w:szCs w:val="21"/>
        </w:rPr>
      </w:pPr>
      <w:r>
        <w:rPr>
          <w:rFonts w:hint="eastAsia" w:ascii="宋体" w:hAnsi="宋体"/>
          <w:szCs w:val="21"/>
        </w:rPr>
        <w:t>2.我单位参与本项目投标前三年内，在经营活动中没有重大违法记录。</w:t>
      </w:r>
    </w:p>
    <w:p w14:paraId="5F8236DB">
      <w:pPr>
        <w:ind w:firstLine="48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38208920">
      <w:pPr>
        <w:ind w:firstLine="480" w:firstLineChars="200"/>
        <w:rPr>
          <w:rFonts w:ascii="宋体" w:hAnsi="宋体"/>
          <w:szCs w:val="21"/>
        </w:rPr>
      </w:pPr>
      <w:r>
        <w:rPr>
          <w:rFonts w:hint="eastAsia" w:ascii="宋体" w:hAnsi="宋体"/>
          <w:szCs w:val="21"/>
        </w:rPr>
        <w:t>4.我单位具备《中华人民共和国政府采购法》第二十二条第一款规定的六项条件。</w:t>
      </w:r>
    </w:p>
    <w:p w14:paraId="38295B9F">
      <w:pPr>
        <w:ind w:firstLine="48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0401BDD8">
      <w:pPr>
        <w:ind w:firstLine="480" w:firstLineChars="200"/>
        <w:rPr>
          <w:rFonts w:ascii="宋体" w:hAnsi="宋体"/>
          <w:szCs w:val="21"/>
        </w:rPr>
      </w:pPr>
      <w:r>
        <w:rPr>
          <w:rFonts w:hint="eastAsia" w:ascii="宋体" w:hAnsi="宋体"/>
          <w:szCs w:val="21"/>
        </w:rPr>
        <w:t>6.</w:t>
      </w:r>
      <w:bookmarkStart w:id="23" w:name="_Hlk72587269"/>
      <w:bookmarkStart w:id="24"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23"/>
      <w:r>
        <w:rPr>
          <w:rFonts w:hint="eastAsia" w:ascii="宋体" w:hAnsi="宋体"/>
          <w:szCs w:val="21"/>
        </w:rPr>
        <w:t>。</w:t>
      </w:r>
      <w:bookmarkEnd w:id="24"/>
    </w:p>
    <w:p w14:paraId="6BBF9E01">
      <w:pPr>
        <w:ind w:firstLine="48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92778A6">
      <w:pPr>
        <w:ind w:firstLine="48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766C8D1E">
      <w:pPr>
        <w:ind w:firstLine="48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69CD7FA0">
      <w:pPr>
        <w:ind w:firstLine="48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119E09DF">
      <w:pPr>
        <w:ind w:firstLine="48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w:t>
      </w:r>
      <w:r>
        <w:rPr>
          <w:rFonts w:hint="eastAsia" w:ascii="宋体" w:hAnsi="宋体" w:eastAsia="宋体"/>
          <w:lang w:eastAsia="zh-CN"/>
        </w:rPr>
        <w:t>物流管理</w:t>
      </w:r>
      <w:r>
        <w:rPr>
          <w:rFonts w:hint="eastAsia" w:ascii="宋体" w:hAnsi="宋体"/>
        </w:rPr>
        <w:t>设计权等知识产权和侵犯其所有权、抵押权等物权及其他权利而引发的纠纷；如有纠纷，我单位承担全部责任。</w:t>
      </w:r>
    </w:p>
    <w:p w14:paraId="6CE86BA3">
      <w:pPr>
        <w:ind w:firstLine="48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p>
    <w:p w14:paraId="745A4309">
      <w:pPr>
        <w:snapToGrid w:val="0"/>
        <w:ind w:firstLine="480" w:firstLineChars="200"/>
        <w:rPr>
          <w:rFonts w:ascii="宋体" w:hAnsi="宋体" w:eastAsia="宋体"/>
        </w:rPr>
      </w:pPr>
      <w:r>
        <w:rPr>
          <w:rFonts w:hint="eastAsia" w:ascii="宋体" w:hAnsi="宋体"/>
          <w:szCs w:val="21"/>
        </w:rPr>
        <w:t>以上承诺，如有违反，愿依照国家相关法律法规处理，并承担由此给采购人带来的损失。</w:t>
      </w:r>
    </w:p>
    <w:p w14:paraId="7B5C4200">
      <w:pPr>
        <w:snapToGrid w:val="0"/>
        <w:rPr>
          <w:rFonts w:ascii="宋体" w:hAnsi="宋体" w:eastAsia="宋体"/>
        </w:rPr>
      </w:pPr>
    </w:p>
    <w:p w14:paraId="00CBDC44">
      <w:pPr>
        <w:snapToGrid w:val="0"/>
        <w:ind w:right="420"/>
        <w:rPr>
          <w:rFonts w:ascii="宋体" w:hAnsi="宋体" w:eastAsia="宋体"/>
        </w:rPr>
      </w:pPr>
      <w:r>
        <w:rPr>
          <w:rFonts w:hint="eastAsia" w:ascii="宋体" w:hAnsi="宋体" w:eastAsia="宋体"/>
        </w:rPr>
        <w:t xml:space="preserve">                       投标单位（投标人）名称</w:t>
      </w:r>
      <w:r>
        <w:rPr>
          <w:rFonts w:hint="eastAsia" w:asciiTheme="minorEastAsia" w:hAnsiTheme="minorEastAsia" w:eastAsiaTheme="minorEastAsia" w:cstheme="minorEastAsia"/>
          <w:sz w:val="28"/>
          <w:szCs w:val="28"/>
        </w:rPr>
        <w:t>（单位盖章）</w:t>
      </w:r>
      <w:r>
        <w:rPr>
          <w:rFonts w:hint="eastAsia" w:ascii="宋体" w:hAnsi="宋体" w:eastAsia="宋体"/>
        </w:rPr>
        <w:t>：</w:t>
      </w:r>
    </w:p>
    <w:p w14:paraId="6BA94BBD">
      <w:pPr>
        <w:snapToGrid w:val="0"/>
        <w:ind w:right="450" w:firstLine="480" w:firstLineChars="200"/>
        <w:jc w:val="right"/>
        <w:rPr>
          <w:rFonts w:ascii="宋体" w:hAnsi="宋体" w:eastAsia="宋体"/>
        </w:rPr>
      </w:pPr>
      <w:r>
        <w:rPr>
          <w:rFonts w:hint="eastAsia" w:ascii="宋体" w:hAnsi="宋体" w:eastAsia="宋体"/>
        </w:rPr>
        <w:t>年月日</w:t>
      </w:r>
    </w:p>
    <w:p w14:paraId="2D2A2D08">
      <w:pPr>
        <w:snapToGrid w:val="0"/>
        <w:spacing w:line="360" w:lineRule="auto"/>
        <w:ind w:right="450" w:firstLine="480" w:firstLineChars="200"/>
        <w:jc w:val="right"/>
        <w:rPr>
          <w:rFonts w:ascii="仿宋" w:hAnsi="仿宋" w:eastAsia="仿宋"/>
        </w:rPr>
      </w:pPr>
    </w:p>
    <w:p w14:paraId="2638A8F2">
      <w:pPr>
        <w:snapToGrid w:val="0"/>
        <w:spacing w:line="360" w:lineRule="auto"/>
        <w:ind w:right="450" w:firstLine="480" w:firstLineChars="200"/>
        <w:jc w:val="right"/>
        <w:rPr>
          <w:rFonts w:ascii="仿宋" w:hAnsi="仿宋" w:eastAsia="仿宋"/>
        </w:rPr>
      </w:pPr>
    </w:p>
    <w:p w14:paraId="5D958A1D">
      <w:pPr>
        <w:snapToGrid w:val="0"/>
        <w:rPr>
          <w:rFonts w:ascii="宋体" w:hAnsi="宋体" w:eastAsia="宋体"/>
          <w:b/>
          <w:color w:val="FF0000"/>
        </w:rPr>
      </w:pPr>
      <w:r>
        <w:rPr>
          <w:rFonts w:hint="eastAsia" w:ascii="宋体" w:hAnsi="宋体" w:eastAsia="宋体"/>
          <w:b/>
          <w:color w:val="FF0000"/>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14:paraId="2D67F5C1">
      <w:pPr>
        <w:jc w:val="center"/>
        <w:outlineLvl w:val="3"/>
        <w:rPr>
          <w:rFonts w:hint="eastAsia"/>
        </w:rPr>
      </w:pPr>
      <w:r>
        <w:br w:type="page"/>
      </w:r>
      <w:r>
        <w:rPr>
          <w:rFonts w:hint="eastAsia" w:eastAsia="宋体"/>
          <w:lang w:val="en-US" w:eastAsia="zh-CN"/>
        </w:rPr>
        <w:t>3</w:t>
      </w:r>
      <w:r>
        <w:rPr>
          <w:rFonts w:hint="eastAsia" w:asciiTheme="majorEastAsia" w:hAnsiTheme="majorEastAsia" w:eastAsiaTheme="majorEastAsia" w:cstheme="majorEastAsia"/>
          <w:b/>
          <w:bCs/>
          <w:szCs w:val="20"/>
          <w:lang w:val="en-US" w:eastAsia="zh-CN"/>
        </w:rPr>
        <w:t>.法人或者非法人组织的营业执照等证明文件扫描件</w:t>
      </w:r>
    </w:p>
    <w:p w14:paraId="2B5ADEBF">
      <w:pPr>
        <w:rPr>
          <w:rFonts w:hint="eastAsia"/>
        </w:rPr>
      </w:pPr>
    </w:p>
    <w:p w14:paraId="0C40F7CD">
      <w:pPr>
        <w:rPr>
          <w:rFonts w:hint="eastAsia"/>
        </w:rPr>
      </w:pPr>
    </w:p>
    <w:p w14:paraId="6E75522D">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说明：1.提供有效的营业执照等证明文件</w:t>
      </w:r>
      <w:r>
        <w:rPr>
          <w:rFonts w:hint="eastAsia" w:asciiTheme="minorEastAsia" w:hAnsiTheme="minorEastAsia" w:eastAsiaTheme="minorEastAsia" w:cstheme="minorEastAsia"/>
          <w:lang w:eastAsia="zh-CN"/>
        </w:rPr>
        <w:t>。</w:t>
      </w:r>
    </w:p>
    <w:p w14:paraId="766130A2">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 投标人为自然人的，应提供身份证明</w:t>
      </w:r>
      <w:r>
        <w:rPr>
          <w:rFonts w:hint="eastAsia" w:asciiTheme="minorEastAsia" w:hAnsiTheme="minorEastAsia" w:eastAsiaTheme="minorEastAsia" w:cstheme="minorEastAsia"/>
          <w:lang w:val="en-US" w:eastAsia="zh-CN"/>
        </w:rPr>
        <w:t>扫描件</w:t>
      </w:r>
      <w:r>
        <w:rPr>
          <w:rFonts w:hint="eastAsia" w:asciiTheme="minorEastAsia" w:hAnsiTheme="minorEastAsia" w:eastAsiaTheme="minorEastAsia" w:cstheme="minorEastAsia"/>
        </w:rPr>
        <w:t>。</w:t>
      </w:r>
    </w:p>
    <w:p w14:paraId="0788886B">
      <w:pPr>
        <w:rPr>
          <w:rFonts w:hint="eastAsia"/>
        </w:rPr>
      </w:pPr>
      <w:r>
        <w:rPr>
          <w:rFonts w:hint="eastAsia" w:asciiTheme="minorEastAsia" w:hAnsiTheme="minorEastAsia" w:eastAsiaTheme="minorEastAsia" w:cstheme="minorEastAsia"/>
        </w:rPr>
        <w:t xml:space="preserve">      3.联合体投标应提供联合体各方满足以上要求的证明文件。</w:t>
      </w:r>
    </w:p>
    <w:p w14:paraId="7AFDE771">
      <w:pPr>
        <w:pStyle w:val="17"/>
        <w:rPr>
          <w:rFonts w:hint="eastAsia"/>
        </w:rPr>
      </w:pPr>
    </w:p>
    <w:p w14:paraId="3772C18E">
      <w:pPr>
        <w:rPr>
          <w:rFonts w:hint="eastAsia"/>
        </w:rPr>
      </w:pPr>
    </w:p>
    <w:p w14:paraId="61831E06">
      <w:pPr>
        <w:pStyle w:val="17"/>
        <w:rPr>
          <w:rFonts w:hint="eastAsia"/>
        </w:rPr>
      </w:pPr>
    </w:p>
    <w:p w14:paraId="60C8CF4C">
      <w:pPr>
        <w:rPr>
          <w:rFonts w:hint="eastAsia"/>
        </w:rPr>
      </w:pPr>
    </w:p>
    <w:p w14:paraId="5312639D">
      <w:pPr>
        <w:pStyle w:val="17"/>
        <w:rPr>
          <w:rFonts w:hint="eastAsia"/>
        </w:rPr>
      </w:pPr>
    </w:p>
    <w:p w14:paraId="4B19C4CD">
      <w:pPr>
        <w:rPr>
          <w:rFonts w:hint="eastAsia"/>
        </w:rPr>
      </w:pPr>
    </w:p>
    <w:p w14:paraId="39B23386">
      <w:pPr>
        <w:pStyle w:val="17"/>
        <w:rPr>
          <w:rFonts w:hint="eastAsia"/>
        </w:rPr>
      </w:pPr>
    </w:p>
    <w:p w14:paraId="2150D2E3">
      <w:pPr>
        <w:rPr>
          <w:rFonts w:hint="eastAsia"/>
        </w:rPr>
      </w:pPr>
    </w:p>
    <w:p w14:paraId="52D1BBAE">
      <w:pPr>
        <w:pStyle w:val="17"/>
        <w:rPr>
          <w:rFonts w:hint="eastAsia"/>
        </w:rPr>
      </w:pPr>
    </w:p>
    <w:p w14:paraId="5B75D22C">
      <w:pPr>
        <w:rPr>
          <w:rFonts w:hint="eastAsia"/>
        </w:rPr>
      </w:pPr>
    </w:p>
    <w:p w14:paraId="43F86437">
      <w:pPr>
        <w:pStyle w:val="17"/>
        <w:rPr>
          <w:rFonts w:hint="eastAsia"/>
        </w:rPr>
      </w:pPr>
    </w:p>
    <w:p w14:paraId="6A3D35F1">
      <w:pPr>
        <w:rPr>
          <w:rFonts w:hint="eastAsia"/>
        </w:rPr>
      </w:pPr>
    </w:p>
    <w:p w14:paraId="73BDC5E9">
      <w:pPr>
        <w:pStyle w:val="17"/>
        <w:rPr>
          <w:rFonts w:hint="eastAsia"/>
        </w:rPr>
      </w:pPr>
    </w:p>
    <w:p w14:paraId="02CDC7BD">
      <w:pPr>
        <w:rPr>
          <w:rFonts w:hint="eastAsia"/>
        </w:rPr>
      </w:pPr>
    </w:p>
    <w:p w14:paraId="4B633287">
      <w:pPr>
        <w:pStyle w:val="17"/>
        <w:rPr>
          <w:rFonts w:hint="eastAsia"/>
        </w:rPr>
      </w:pPr>
    </w:p>
    <w:p w14:paraId="295C544C">
      <w:pPr>
        <w:rPr>
          <w:rFonts w:hint="eastAsia"/>
        </w:rPr>
      </w:pPr>
    </w:p>
    <w:p w14:paraId="0C39E9D0">
      <w:pPr>
        <w:pStyle w:val="17"/>
        <w:rPr>
          <w:rFonts w:hint="eastAsia"/>
        </w:rPr>
      </w:pPr>
    </w:p>
    <w:p w14:paraId="7FEC3AE2">
      <w:pPr>
        <w:rPr>
          <w:rFonts w:hint="eastAsia"/>
        </w:rPr>
      </w:pPr>
    </w:p>
    <w:p w14:paraId="4A923F59">
      <w:pPr>
        <w:pStyle w:val="17"/>
        <w:rPr>
          <w:rFonts w:hint="eastAsia"/>
        </w:rPr>
      </w:pPr>
    </w:p>
    <w:p w14:paraId="1F711B1E">
      <w:pPr>
        <w:rPr>
          <w:rFonts w:hint="eastAsia"/>
        </w:rPr>
      </w:pPr>
    </w:p>
    <w:p w14:paraId="35C17C2A">
      <w:pPr>
        <w:pStyle w:val="17"/>
        <w:rPr>
          <w:rFonts w:hint="eastAsia"/>
        </w:rPr>
      </w:pPr>
    </w:p>
    <w:p w14:paraId="2E8DD932">
      <w:pPr>
        <w:rPr>
          <w:rFonts w:hint="eastAsia"/>
        </w:rPr>
      </w:pPr>
    </w:p>
    <w:p w14:paraId="70BDF5F4">
      <w:pPr>
        <w:pStyle w:val="17"/>
        <w:rPr>
          <w:rFonts w:hint="eastAsia"/>
        </w:rPr>
      </w:pPr>
    </w:p>
    <w:p w14:paraId="6BC863FE">
      <w:pPr>
        <w:rPr>
          <w:rFonts w:hint="eastAsia"/>
        </w:rPr>
      </w:pPr>
    </w:p>
    <w:p w14:paraId="033572ED">
      <w:pPr>
        <w:pStyle w:val="17"/>
        <w:rPr>
          <w:rFonts w:hint="eastAsia"/>
        </w:rPr>
      </w:pPr>
    </w:p>
    <w:p w14:paraId="40DCF078">
      <w:pPr>
        <w:rPr>
          <w:rFonts w:hint="eastAsia"/>
        </w:rPr>
      </w:pPr>
    </w:p>
    <w:p w14:paraId="20F1415A">
      <w:pPr>
        <w:pStyle w:val="17"/>
        <w:rPr>
          <w:rFonts w:hint="eastAsia"/>
        </w:rPr>
      </w:pPr>
    </w:p>
    <w:p w14:paraId="1B214357">
      <w:pPr>
        <w:pStyle w:val="17"/>
        <w:ind w:left="0" w:leftChars="0" w:firstLine="0" w:firstLineChars="0"/>
        <w:rPr>
          <w:rFonts w:hint="eastAsia"/>
        </w:rPr>
      </w:pPr>
    </w:p>
    <w:p w14:paraId="23973DE9">
      <w:pPr>
        <w:rPr>
          <w:rFonts w:hint="eastAsia"/>
        </w:rPr>
      </w:pPr>
    </w:p>
    <w:p w14:paraId="76393823">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4.年度财务审计报告书扫描件或银行资信证明扫描件</w:t>
      </w:r>
    </w:p>
    <w:p w14:paraId="2AD3335D">
      <w:pPr>
        <w:tabs>
          <w:tab w:val="left" w:pos="5580"/>
        </w:tabs>
        <w:spacing w:line="240" w:lineRule="atLeast"/>
        <w:ind w:left="1156" w:leftChars="257" w:hanging="540"/>
        <w:rPr>
          <w:rFonts w:hint="eastAsia" w:ascii="仿宋_GB2312" w:eastAsia="仿宋_GB2312"/>
          <w:sz w:val="24"/>
        </w:rPr>
      </w:pPr>
    </w:p>
    <w:p w14:paraId="753A570D">
      <w:pPr>
        <w:pStyle w:val="27"/>
        <w:numPr>
          <w:ilvl w:val="0"/>
          <w:numId w:val="0"/>
        </w:numPr>
        <w:ind w:left="900" w:leftChars="0"/>
        <w:jc w:val="both"/>
        <w:rPr>
          <w:rFonts w:hint="eastAsia" w:eastAsia="宋体"/>
          <w:lang w:eastAsia="zh-CN"/>
        </w:rPr>
      </w:pPr>
      <w:r>
        <w:rPr>
          <w:rFonts w:hint="eastAsia" w:eastAsia="宋体"/>
          <w:lang w:eastAsia="zh-CN"/>
        </w:rPr>
        <w:t>说明：</w:t>
      </w:r>
    </w:p>
    <w:p w14:paraId="125EE8F8">
      <w:pPr>
        <w:tabs>
          <w:tab w:val="left" w:pos="5580"/>
        </w:tabs>
        <w:spacing w:line="240" w:lineRule="atLeast"/>
        <w:ind w:left="540"/>
        <w:rPr>
          <w:rFonts w:hint="eastAsia" w:ascii="仿宋_GB2312" w:hAnsi="宋体" w:eastAsia="仿宋_GB2312"/>
          <w:bCs/>
          <w:sz w:val="24"/>
          <w:lang w:eastAsia="zh-CN"/>
        </w:rPr>
      </w:pPr>
      <w:r>
        <w:rPr>
          <w:rFonts w:hint="eastAsia" w:ascii="仿宋_GB2312" w:eastAsia="仿宋_GB2312"/>
          <w:sz w:val="24"/>
        </w:rPr>
        <w:t>1、提供会计事务所出具的</w:t>
      </w:r>
      <w:r>
        <w:rPr>
          <w:rFonts w:hint="eastAsia" w:ascii="仿宋_GB2312" w:eastAsia="仿宋_GB2312"/>
          <w:sz w:val="24"/>
          <w:lang w:eastAsia="zh-CN"/>
        </w:rPr>
        <w:t>2022-2024</w:t>
      </w:r>
      <w:r>
        <w:rPr>
          <w:rFonts w:hint="eastAsia" w:ascii="仿宋_GB2312" w:eastAsia="仿宋_GB2312"/>
          <w:sz w:val="24"/>
        </w:rPr>
        <w:t>年度任意一年的年度财务审计报告书扫描件或影印件</w:t>
      </w:r>
      <w:r>
        <w:rPr>
          <w:rFonts w:hint="eastAsia" w:ascii="仿宋_GB2312" w:eastAsia="仿宋_GB2312"/>
          <w:bCs/>
          <w:sz w:val="24"/>
        </w:rPr>
        <w:t>。（新办企业（营业执照所标注的成立日期距本项目开标日期一年内为新办企业）提供银行资信证明扫描件或影印件）</w:t>
      </w:r>
      <w:r>
        <w:rPr>
          <w:rFonts w:hint="eastAsia" w:ascii="仿宋_GB2312" w:eastAsia="仿宋_GB2312"/>
          <w:bCs/>
          <w:sz w:val="24"/>
          <w:lang w:eastAsia="zh-CN"/>
        </w:rPr>
        <w:t>；</w:t>
      </w:r>
    </w:p>
    <w:p w14:paraId="12957AFE">
      <w:pPr>
        <w:tabs>
          <w:tab w:val="left" w:pos="5580"/>
        </w:tabs>
        <w:spacing w:line="240" w:lineRule="atLeast"/>
        <w:ind w:left="540"/>
        <w:rPr>
          <w:rFonts w:hint="eastAsia" w:ascii="仿宋_GB2312" w:eastAsia="仿宋_GB2312"/>
          <w:sz w:val="24"/>
        </w:rPr>
      </w:pPr>
      <w:r>
        <w:rPr>
          <w:rFonts w:hint="eastAsia" w:ascii="仿宋_GB2312" w:eastAsia="仿宋_GB2312"/>
          <w:sz w:val="24"/>
        </w:rPr>
        <w:t>2、如提供</w:t>
      </w:r>
      <w:r>
        <w:rPr>
          <w:rFonts w:hint="eastAsia" w:ascii="仿宋_GB2312" w:hAnsi="宋体" w:eastAsia="仿宋_GB2312"/>
          <w:sz w:val="24"/>
        </w:rPr>
        <w:t>银行出具的证明文件。</w:t>
      </w:r>
      <w:r>
        <w:rPr>
          <w:rFonts w:hint="eastAsia" w:ascii="仿宋_GB2312" w:eastAsia="仿宋_GB2312"/>
          <w:sz w:val="24"/>
        </w:rPr>
        <w:t>银行出具</w:t>
      </w:r>
      <w:r>
        <w:rPr>
          <w:rFonts w:ascii="仿宋_GB2312" w:eastAsia="仿宋_GB2312"/>
          <w:sz w:val="24"/>
        </w:rPr>
        <w:t>的</w:t>
      </w:r>
      <w:r>
        <w:rPr>
          <w:rFonts w:hint="eastAsia" w:ascii="仿宋_GB2312" w:eastAsia="仿宋_GB2312"/>
          <w:sz w:val="24"/>
        </w:rPr>
        <w:t>证明文件应能说明该投标人与银行之间业务往来正常，企业信誉良好等。</w:t>
      </w:r>
    </w:p>
    <w:p w14:paraId="2E7BB8D4">
      <w:pPr>
        <w:tabs>
          <w:tab w:val="left" w:pos="5580"/>
        </w:tabs>
        <w:spacing w:line="240" w:lineRule="atLeast"/>
        <w:ind w:left="540"/>
        <w:rPr>
          <w:rFonts w:ascii="仿宋_GB2312" w:eastAsia="仿宋_GB2312"/>
          <w:sz w:val="24"/>
        </w:rPr>
      </w:pPr>
      <w:r>
        <w:rPr>
          <w:rFonts w:hint="eastAsia" w:ascii="仿宋_GB2312" w:eastAsia="仿宋_GB2312"/>
          <w:sz w:val="24"/>
          <w:lang w:val="en-US" w:eastAsia="zh-CN"/>
        </w:rPr>
        <w:t>3、</w:t>
      </w:r>
      <w:r>
        <w:rPr>
          <w:rFonts w:hint="eastAsia" w:ascii="仿宋_GB2312" w:eastAsia="仿宋_GB2312"/>
          <w:sz w:val="24"/>
        </w:rPr>
        <w:t>如果是联合体投标，联合体各方均需提供上述证明。</w:t>
      </w:r>
    </w:p>
    <w:p w14:paraId="0042CDFE">
      <w:pPr>
        <w:jc w:val="center"/>
        <w:rPr>
          <w:rFonts w:hint="eastAsia" w:asciiTheme="majorEastAsia" w:hAnsiTheme="majorEastAsia" w:eastAsiaTheme="majorEastAsia" w:cstheme="majorEastAsia"/>
          <w:b/>
          <w:bCs/>
          <w:szCs w:val="20"/>
          <w:lang w:val="en-US" w:eastAsia="zh-CN"/>
        </w:rPr>
      </w:pPr>
    </w:p>
    <w:p w14:paraId="4E56A8B2">
      <w:pPr>
        <w:jc w:val="center"/>
        <w:rPr>
          <w:rFonts w:hint="eastAsia" w:asciiTheme="majorEastAsia" w:hAnsiTheme="majorEastAsia" w:eastAsiaTheme="majorEastAsia" w:cstheme="majorEastAsia"/>
          <w:b/>
          <w:bCs/>
          <w:szCs w:val="20"/>
          <w:lang w:val="en-US" w:eastAsia="zh-CN"/>
        </w:rPr>
      </w:pPr>
    </w:p>
    <w:p w14:paraId="63162496">
      <w:pPr>
        <w:pStyle w:val="17"/>
        <w:rPr>
          <w:rFonts w:hint="eastAsia" w:asciiTheme="majorEastAsia" w:hAnsiTheme="majorEastAsia" w:eastAsiaTheme="majorEastAsia" w:cstheme="majorEastAsia"/>
          <w:b/>
          <w:bCs/>
          <w:szCs w:val="20"/>
          <w:lang w:val="en-US" w:eastAsia="zh-CN"/>
        </w:rPr>
      </w:pPr>
    </w:p>
    <w:p w14:paraId="19071BCD">
      <w:pPr>
        <w:rPr>
          <w:rFonts w:hint="eastAsia" w:asciiTheme="majorEastAsia" w:hAnsiTheme="majorEastAsia" w:eastAsiaTheme="majorEastAsia" w:cstheme="majorEastAsia"/>
          <w:b/>
          <w:bCs/>
          <w:szCs w:val="20"/>
          <w:lang w:val="en-US" w:eastAsia="zh-CN"/>
        </w:rPr>
      </w:pPr>
    </w:p>
    <w:p w14:paraId="259AE6EB">
      <w:pPr>
        <w:pStyle w:val="17"/>
        <w:rPr>
          <w:rFonts w:hint="eastAsia" w:asciiTheme="majorEastAsia" w:hAnsiTheme="majorEastAsia" w:eastAsiaTheme="majorEastAsia" w:cstheme="majorEastAsia"/>
          <w:b/>
          <w:bCs/>
          <w:szCs w:val="20"/>
          <w:lang w:val="en-US" w:eastAsia="zh-CN"/>
        </w:rPr>
      </w:pPr>
    </w:p>
    <w:p w14:paraId="010AB339">
      <w:pPr>
        <w:rPr>
          <w:rFonts w:hint="eastAsia" w:asciiTheme="majorEastAsia" w:hAnsiTheme="majorEastAsia" w:eastAsiaTheme="majorEastAsia" w:cstheme="majorEastAsia"/>
          <w:b/>
          <w:bCs/>
          <w:szCs w:val="20"/>
          <w:lang w:val="en-US" w:eastAsia="zh-CN"/>
        </w:rPr>
      </w:pPr>
    </w:p>
    <w:p w14:paraId="2A4E4FC5">
      <w:pPr>
        <w:pStyle w:val="17"/>
        <w:rPr>
          <w:rFonts w:hint="eastAsia" w:asciiTheme="majorEastAsia" w:hAnsiTheme="majorEastAsia" w:eastAsiaTheme="majorEastAsia" w:cstheme="majorEastAsia"/>
          <w:b/>
          <w:bCs/>
          <w:szCs w:val="20"/>
          <w:lang w:val="en-US" w:eastAsia="zh-CN"/>
        </w:rPr>
      </w:pPr>
    </w:p>
    <w:p w14:paraId="505C0930">
      <w:pPr>
        <w:rPr>
          <w:rFonts w:hint="eastAsia" w:asciiTheme="majorEastAsia" w:hAnsiTheme="majorEastAsia" w:eastAsiaTheme="majorEastAsia" w:cstheme="majorEastAsia"/>
          <w:b/>
          <w:bCs/>
          <w:szCs w:val="20"/>
          <w:lang w:val="en-US" w:eastAsia="zh-CN"/>
        </w:rPr>
      </w:pPr>
    </w:p>
    <w:p w14:paraId="3E4E748E">
      <w:pPr>
        <w:pStyle w:val="17"/>
        <w:rPr>
          <w:rFonts w:hint="eastAsia" w:asciiTheme="majorEastAsia" w:hAnsiTheme="majorEastAsia" w:eastAsiaTheme="majorEastAsia" w:cstheme="majorEastAsia"/>
          <w:b/>
          <w:bCs/>
          <w:szCs w:val="20"/>
          <w:lang w:val="en-US" w:eastAsia="zh-CN"/>
        </w:rPr>
      </w:pPr>
    </w:p>
    <w:p w14:paraId="4E15A19B">
      <w:pPr>
        <w:rPr>
          <w:rFonts w:hint="eastAsia" w:asciiTheme="majorEastAsia" w:hAnsiTheme="majorEastAsia" w:eastAsiaTheme="majorEastAsia" w:cstheme="majorEastAsia"/>
          <w:b/>
          <w:bCs/>
          <w:szCs w:val="20"/>
          <w:lang w:val="en-US" w:eastAsia="zh-CN"/>
        </w:rPr>
      </w:pPr>
    </w:p>
    <w:p w14:paraId="5B8C9130">
      <w:pPr>
        <w:pStyle w:val="17"/>
        <w:rPr>
          <w:rFonts w:hint="eastAsia" w:asciiTheme="majorEastAsia" w:hAnsiTheme="majorEastAsia" w:eastAsiaTheme="majorEastAsia" w:cstheme="majorEastAsia"/>
          <w:b/>
          <w:bCs/>
          <w:szCs w:val="20"/>
          <w:lang w:val="en-US" w:eastAsia="zh-CN"/>
        </w:rPr>
      </w:pPr>
    </w:p>
    <w:p w14:paraId="4C233A6D">
      <w:pPr>
        <w:rPr>
          <w:rFonts w:hint="eastAsia" w:asciiTheme="majorEastAsia" w:hAnsiTheme="majorEastAsia" w:eastAsiaTheme="majorEastAsia" w:cstheme="majorEastAsia"/>
          <w:b/>
          <w:bCs/>
          <w:szCs w:val="20"/>
          <w:lang w:val="en-US" w:eastAsia="zh-CN"/>
        </w:rPr>
      </w:pPr>
    </w:p>
    <w:p w14:paraId="266592B7">
      <w:pPr>
        <w:pStyle w:val="17"/>
        <w:rPr>
          <w:rFonts w:hint="eastAsia" w:asciiTheme="majorEastAsia" w:hAnsiTheme="majorEastAsia" w:eastAsiaTheme="majorEastAsia" w:cstheme="majorEastAsia"/>
          <w:b/>
          <w:bCs/>
          <w:szCs w:val="20"/>
          <w:lang w:val="en-US" w:eastAsia="zh-CN"/>
        </w:rPr>
      </w:pPr>
    </w:p>
    <w:p w14:paraId="1B40D6AB">
      <w:pPr>
        <w:rPr>
          <w:rFonts w:hint="eastAsia" w:asciiTheme="majorEastAsia" w:hAnsiTheme="majorEastAsia" w:eastAsiaTheme="majorEastAsia" w:cstheme="majorEastAsia"/>
          <w:b/>
          <w:bCs/>
          <w:szCs w:val="20"/>
          <w:lang w:val="en-US" w:eastAsia="zh-CN"/>
        </w:rPr>
      </w:pPr>
    </w:p>
    <w:p w14:paraId="402E19AC">
      <w:pPr>
        <w:pStyle w:val="17"/>
        <w:rPr>
          <w:rFonts w:hint="eastAsia" w:asciiTheme="majorEastAsia" w:hAnsiTheme="majorEastAsia" w:eastAsiaTheme="majorEastAsia" w:cstheme="majorEastAsia"/>
          <w:b/>
          <w:bCs/>
          <w:szCs w:val="20"/>
          <w:lang w:val="en-US" w:eastAsia="zh-CN"/>
        </w:rPr>
      </w:pPr>
    </w:p>
    <w:p w14:paraId="51DC1232">
      <w:pPr>
        <w:rPr>
          <w:rFonts w:hint="eastAsia" w:asciiTheme="majorEastAsia" w:hAnsiTheme="majorEastAsia" w:eastAsiaTheme="majorEastAsia" w:cstheme="majorEastAsia"/>
          <w:b/>
          <w:bCs/>
          <w:szCs w:val="20"/>
          <w:lang w:val="en-US" w:eastAsia="zh-CN"/>
        </w:rPr>
      </w:pPr>
    </w:p>
    <w:p w14:paraId="41C7B422">
      <w:pPr>
        <w:pStyle w:val="17"/>
        <w:rPr>
          <w:rFonts w:hint="eastAsia" w:asciiTheme="majorEastAsia" w:hAnsiTheme="majorEastAsia" w:eastAsiaTheme="majorEastAsia" w:cstheme="majorEastAsia"/>
          <w:b/>
          <w:bCs/>
          <w:szCs w:val="20"/>
          <w:lang w:val="en-US" w:eastAsia="zh-CN"/>
        </w:rPr>
      </w:pPr>
    </w:p>
    <w:p w14:paraId="21BEA4E7">
      <w:pPr>
        <w:rPr>
          <w:rFonts w:hint="eastAsia" w:asciiTheme="majorEastAsia" w:hAnsiTheme="majorEastAsia" w:eastAsiaTheme="majorEastAsia" w:cstheme="majorEastAsia"/>
          <w:b/>
          <w:bCs/>
          <w:szCs w:val="20"/>
          <w:lang w:val="en-US" w:eastAsia="zh-CN"/>
        </w:rPr>
      </w:pPr>
    </w:p>
    <w:p w14:paraId="77521B14">
      <w:pPr>
        <w:pStyle w:val="17"/>
        <w:rPr>
          <w:rFonts w:hint="eastAsia" w:asciiTheme="majorEastAsia" w:hAnsiTheme="majorEastAsia" w:eastAsiaTheme="majorEastAsia" w:cstheme="majorEastAsia"/>
          <w:b/>
          <w:bCs/>
          <w:szCs w:val="20"/>
          <w:lang w:val="en-US" w:eastAsia="zh-CN"/>
        </w:rPr>
      </w:pPr>
    </w:p>
    <w:p w14:paraId="2D112F64">
      <w:pPr>
        <w:rPr>
          <w:rFonts w:hint="eastAsia" w:asciiTheme="majorEastAsia" w:hAnsiTheme="majorEastAsia" w:eastAsiaTheme="majorEastAsia" w:cstheme="majorEastAsia"/>
          <w:b/>
          <w:bCs/>
          <w:szCs w:val="20"/>
          <w:lang w:val="en-US" w:eastAsia="zh-CN"/>
        </w:rPr>
      </w:pPr>
    </w:p>
    <w:p w14:paraId="7A2C8F72">
      <w:pPr>
        <w:pStyle w:val="17"/>
        <w:rPr>
          <w:rFonts w:hint="eastAsia" w:asciiTheme="majorEastAsia" w:hAnsiTheme="majorEastAsia" w:eastAsiaTheme="majorEastAsia" w:cstheme="majorEastAsia"/>
          <w:b/>
          <w:bCs/>
          <w:szCs w:val="20"/>
          <w:lang w:val="en-US" w:eastAsia="zh-CN"/>
        </w:rPr>
      </w:pPr>
    </w:p>
    <w:p w14:paraId="3490CBBD">
      <w:pPr>
        <w:rPr>
          <w:rFonts w:hint="eastAsia" w:asciiTheme="majorEastAsia" w:hAnsiTheme="majorEastAsia" w:eastAsiaTheme="majorEastAsia" w:cstheme="majorEastAsia"/>
          <w:b/>
          <w:bCs/>
          <w:szCs w:val="20"/>
          <w:lang w:val="en-US" w:eastAsia="zh-CN"/>
        </w:rPr>
      </w:pPr>
    </w:p>
    <w:p w14:paraId="0481348A">
      <w:pPr>
        <w:pStyle w:val="17"/>
        <w:rPr>
          <w:rFonts w:hint="eastAsia" w:asciiTheme="majorEastAsia" w:hAnsiTheme="majorEastAsia" w:eastAsiaTheme="majorEastAsia" w:cstheme="majorEastAsia"/>
          <w:b/>
          <w:bCs/>
          <w:szCs w:val="20"/>
          <w:lang w:val="en-US" w:eastAsia="zh-CN"/>
        </w:rPr>
      </w:pPr>
    </w:p>
    <w:p w14:paraId="7E706D5F">
      <w:pPr>
        <w:rPr>
          <w:rFonts w:hint="eastAsia" w:asciiTheme="majorEastAsia" w:hAnsiTheme="majorEastAsia" w:eastAsiaTheme="majorEastAsia" w:cstheme="majorEastAsia"/>
          <w:b/>
          <w:bCs/>
          <w:szCs w:val="20"/>
          <w:lang w:val="en-US" w:eastAsia="zh-CN"/>
        </w:rPr>
      </w:pPr>
    </w:p>
    <w:p w14:paraId="78E805AD">
      <w:pPr>
        <w:pStyle w:val="17"/>
        <w:ind w:left="0" w:leftChars="0" w:firstLine="0" w:firstLineChars="0"/>
        <w:rPr>
          <w:rFonts w:hint="eastAsia"/>
          <w:lang w:val="en-US" w:eastAsia="zh-CN"/>
        </w:rPr>
      </w:pPr>
    </w:p>
    <w:p w14:paraId="065E37DD">
      <w:pPr>
        <w:rPr>
          <w:rFonts w:hint="eastAsia"/>
          <w:lang w:val="en-US" w:eastAsia="zh-CN"/>
        </w:rPr>
      </w:pPr>
    </w:p>
    <w:p w14:paraId="5E7F7C90">
      <w:pPr>
        <w:numPr>
          <w:ilvl w:val="0"/>
          <w:numId w:val="0"/>
        </w:numPr>
        <w:jc w:val="both"/>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5.完税证明扫描件和社保缴纳记录明细扫描件</w:t>
      </w:r>
    </w:p>
    <w:p w14:paraId="558A2F2A">
      <w:pPr>
        <w:tabs>
          <w:tab w:val="left" w:pos="5580"/>
        </w:tabs>
        <w:spacing w:line="240" w:lineRule="atLeast"/>
        <w:ind w:left="540"/>
        <w:rPr>
          <w:rFonts w:hint="eastAsia" w:ascii="仿宋_GB2312" w:eastAsia="仿宋_GB2312"/>
          <w:sz w:val="24"/>
          <w:lang w:val="en-US" w:eastAsia="zh-CN"/>
        </w:rPr>
      </w:pPr>
    </w:p>
    <w:p w14:paraId="1C4C9A07">
      <w:pPr>
        <w:tabs>
          <w:tab w:val="left" w:pos="5580"/>
        </w:tabs>
        <w:spacing w:line="240" w:lineRule="atLeast"/>
        <w:ind w:left="540"/>
        <w:rPr>
          <w:rFonts w:hint="eastAsia" w:ascii="仿宋_GB2312" w:eastAsia="仿宋_GB2312"/>
          <w:sz w:val="24"/>
          <w:lang w:val="en-US" w:eastAsia="zh-CN"/>
        </w:rPr>
      </w:pPr>
    </w:p>
    <w:p w14:paraId="03E79008">
      <w:pPr>
        <w:tabs>
          <w:tab w:val="left" w:pos="5580"/>
        </w:tabs>
        <w:spacing w:line="240" w:lineRule="atLeast"/>
        <w:ind w:left="540"/>
        <w:rPr>
          <w:rFonts w:hint="default" w:ascii="仿宋_GB2312" w:eastAsia="仿宋_GB2312"/>
          <w:sz w:val="24"/>
          <w:lang w:val="en-US" w:eastAsia="zh-CN"/>
        </w:rPr>
      </w:pPr>
      <w:r>
        <w:rPr>
          <w:rFonts w:hint="eastAsia" w:ascii="仿宋_GB2312" w:eastAsia="仿宋_GB2312"/>
          <w:sz w:val="24"/>
          <w:lang w:val="en-US" w:eastAsia="zh-CN"/>
        </w:rPr>
        <w:t>1、近6个月内任意一个月的完税证明扫描件和社保缴纳记录明细扫描件（含员工社保明细。注：1.无需提供委托人代理人或被授权委托人社保明细。2.若供应商某月税收为零申报，须提供当月加盖税务局公章的无欠税证明。3.完税证明中“税种”非养老保险、医疗保险、失业保险、工伤保险和生育保险）；</w:t>
      </w:r>
    </w:p>
    <w:p w14:paraId="36EC934C">
      <w:pPr>
        <w:numPr>
          <w:ilvl w:val="0"/>
          <w:numId w:val="7"/>
        </w:numPr>
        <w:tabs>
          <w:tab w:val="left" w:pos="5580"/>
        </w:tabs>
        <w:spacing w:line="240" w:lineRule="atLeast"/>
        <w:ind w:left="540"/>
        <w:rPr>
          <w:rFonts w:ascii="仿宋_GB2312" w:eastAsia="仿宋_GB2312"/>
          <w:sz w:val="24"/>
        </w:rPr>
      </w:pPr>
      <w:r>
        <w:rPr>
          <w:rFonts w:hint="eastAsia" w:ascii="仿宋_GB2312" w:eastAsia="仿宋_GB2312"/>
          <w:sz w:val="24"/>
        </w:rPr>
        <w:t>如果是联合体投标，联合体各方均需提供上述证明。</w:t>
      </w:r>
    </w:p>
    <w:p w14:paraId="2B6EDFCC">
      <w:pPr>
        <w:pStyle w:val="17"/>
        <w:numPr>
          <w:ilvl w:val="0"/>
          <w:numId w:val="0"/>
        </w:numPr>
        <w:rPr>
          <w:rFonts w:hint="eastAsia"/>
          <w:lang w:val="en-US" w:eastAsia="zh-CN"/>
        </w:rPr>
      </w:pPr>
    </w:p>
    <w:p w14:paraId="2BB4E2EF">
      <w:pPr>
        <w:rPr>
          <w:rFonts w:hint="eastAsia"/>
          <w:lang w:val="en-US" w:eastAsia="zh-CN"/>
        </w:rPr>
      </w:pPr>
    </w:p>
    <w:p w14:paraId="7964A083">
      <w:pPr>
        <w:pStyle w:val="17"/>
        <w:rPr>
          <w:rFonts w:hint="eastAsia"/>
          <w:lang w:val="en-US" w:eastAsia="zh-CN"/>
        </w:rPr>
      </w:pPr>
    </w:p>
    <w:p w14:paraId="5BD79625">
      <w:pPr>
        <w:rPr>
          <w:rFonts w:hint="eastAsia"/>
          <w:lang w:val="en-US" w:eastAsia="zh-CN"/>
        </w:rPr>
      </w:pPr>
    </w:p>
    <w:p w14:paraId="5BF1E059">
      <w:pPr>
        <w:pStyle w:val="17"/>
        <w:rPr>
          <w:rFonts w:hint="eastAsia"/>
          <w:lang w:val="en-US" w:eastAsia="zh-CN"/>
        </w:rPr>
      </w:pPr>
    </w:p>
    <w:p w14:paraId="1A52BC76">
      <w:pPr>
        <w:rPr>
          <w:rFonts w:hint="eastAsia"/>
          <w:lang w:val="en-US" w:eastAsia="zh-CN"/>
        </w:rPr>
      </w:pPr>
    </w:p>
    <w:p w14:paraId="5C23A84F">
      <w:pPr>
        <w:pStyle w:val="17"/>
        <w:rPr>
          <w:rFonts w:hint="eastAsia"/>
          <w:lang w:val="en-US" w:eastAsia="zh-CN"/>
        </w:rPr>
      </w:pPr>
    </w:p>
    <w:p w14:paraId="61C1B130">
      <w:pPr>
        <w:rPr>
          <w:rFonts w:hint="eastAsia"/>
          <w:lang w:val="en-US" w:eastAsia="zh-CN"/>
        </w:rPr>
      </w:pPr>
    </w:p>
    <w:p w14:paraId="767FE606">
      <w:pPr>
        <w:pStyle w:val="17"/>
        <w:rPr>
          <w:rFonts w:hint="eastAsia"/>
          <w:lang w:val="en-US" w:eastAsia="zh-CN"/>
        </w:rPr>
      </w:pPr>
    </w:p>
    <w:p w14:paraId="6D9FBFFD">
      <w:pPr>
        <w:rPr>
          <w:rFonts w:hint="eastAsia"/>
          <w:lang w:val="en-US" w:eastAsia="zh-CN"/>
        </w:rPr>
      </w:pPr>
    </w:p>
    <w:p w14:paraId="6DB9335A">
      <w:pPr>
        <w:pStyle w:val="17"/>
        <w:rPr>
          <w:rFonts w:hint="eastAsia"/>
          <w:lang w:val="en-US" w:eastAsia="zh-CN"/>
        </w:rPr>
      </w:pPr>
    </w:p>
    <w:p w14:paraId="14B20A18">
      <w:pPr>
        <w:rPr>
          <w:rFonts w:hint="eastAsia"/>
          <w:lang w:val="en-US" w:eastAsia="zh-CN"/>
        </w:rPr>
      </w:pPr>
    </w:p>
    <w:p w14:paraId="0640B406">
      <w:pPr>
        <w:rPr>
          <w:rFonts w:hint="eastAsia"/>
          <w:lang w:val="en-US" w:eastAsia="zh-CN"/>
        </w:rPr>
      </w:pPr>
    </w:p>
    <w:p w14:paraId="46D4B99D">
      <w:pPr>
        <w:pStyle w:val="17"/>
        <w:rPr>
          <w:rFonts w:hint="eastAsia"/>
          <w:lang w:val="en-US" w:eastAsia="zh-CN"/>
        </w:rPr>
      </w:pPr>
    </w:p>
    <w:p w14:paraId="777CB96F">
      <w:pPr>
        <w:rPr>
          <w:rFonts w:hint="eastAsia"/>
          <w:lang w:val="en-US" w:eastAsia="zh-CN"/>
        </w:rPr>
      </w:pPr>
    </w:p>
    <w:p w14:paraId="6B8E57C3">
      <w:pPr>
        <w:pStyle w:val="17"/>
        <w:rPr>
          <w:rFonts w:hint="eastAsia"/>
          <w:lang w:val="en-US" w:eastAsia="zh-CN"/>
        </w:rPr>
      </w:pPr>
    </w:p>
    <w:p w14:paraId="522DD68A">
      <w:pPr>
        <w:rPr>
          <w:rFonts w:hint="eastAsia"/>
          <w:lang w:val="en-US" w:eastAsia="zh-CN"/>
        </w:rPr>
      </w:pPr>
    </w:p>
    <w:p w14:paraId="01212F2D">
      <w:pPr>
        <w:pStyle w:val="17"/>
        <w:rPr>
          <w:rFonts w:hint="eastAsia"/>
          <w:lang w:val="en-US" w:eastAsia="zh-CN"/>
        </w:rPr>
      </w:pPr>
    </w:p>
    <w:p w14:paraId="0949EC43">
      <w:pPr>
        <w:rPr>
          <w:rFonts w:hint="eastAsia"/>
          <w:lang w:val="en-US" w:eastAsia="zh-CN"/>
        </w:rPr>
      </w:pPr>
    </w:p>
    <w:p w14:paraId="4CF76235">
      <w:pPr>
        <w:pStyle w:val="17"/>
        <w:rPr>
          <w:rFonts w:hint="eastAsia"/>
          <w:lang w:val="en-US" w:eastAsia="zh-CN"/>
        </w:rPr>
      </w:pPr>
    </w:p>
    <w:p w14:paraId="18368619">
      <w:pPr>
        <w:rPr>
          <w:rFonts w:hint="eastAsia"/>
          <w:lang w:val="en-US" w:eastAsia="zh-CN"/>
        </w:rPr>
      </w:pPr>
    </w:p>
    <w:p w14:paraId="30236216">
      <w:pPr>
        <w:pStyle w:val="17"/>
        <w:rPr>
          <w:rFonts w:hint="eastAsia"/>
          <w:lang w:val="en-US" w:eastAsia="zh-CN"/>
        </w:rPr>
      </w:pPr>
    </w:p>
    <w:p w14:paraId="38C38B78">
      <w:pPr>
        <w:rPr>
          <w:rFonts w:hint="eastAsia"/>
          <w:lang w:val="en-US" w:eastAsia="zh-CN"/>
        </w:rPr>
      </w:pPr>
    </w:p>
    <w:p w14:paraId="27EE05AD">
      <w:pPr>
        <w:pStyle w:val="17"/>
        <w:rPr>
          <w:rFonts w:hint="eastAsia"/>
          <w:lang w:val="en-US" w:eastAsia="zh-CN"/>
        </w:rPr>
      </w:pPr>
    </w:p>
    <w:p w14:paraId="0236DB90">
      <w:pPr>
        <w:rPr>
          <w:rFonts w:hint="eastAsia"/>
          <w:lang w:val="en-US" w:eastAsia="zh-CN"/>
        </w:rPr>
      </w:pPr>
    </w:p>
    <w:p w14:paraId="4FBB4940">
      <w:pPr>
        <w:pStyle w:val="17"/>
        <w:ind w:left="0" w:leftChars="0" w:firstLine="0" w:firstLineChars="0"/>
        <w:rPr>
          <w:rFonts w:hint="eastAsia"/>
          <w:lang w:val="en-US" w:eastAsia="zh-CN"/>
        </w:rPr>
      </w:pPr>
    </w:p>
    <w:p w14:paraId="2C90331B">
      <w:pPr>
        <w:jc w:val="center"/>
        <w:outlineLvl w:val="3"/>
        <w:rPr>
          <w:rFonts w:hint="default"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6.投标保证金收据扫描件或银行转款证明扫描件或支票扫描件、汇票扫描件、本票扫描件或者金融机构、担保机构出具的保函扫描件（供应商缴纳投标保证金5000元，开标后5个工作日原路退还。）；</w:t>
      </w:r>
    </w:p>
    <w:p w14:paraId="4762BBFB">
      <w:pPr>
        <w:jc w:val="center"/>
        <w:rPr>
          <w:rFonts w:hint="eastAsia" w:ascii="仿宋" w:hAnsi="仿宋" w:eastAsia="仿宋"/>
          <w:sz w:val="28"/>
          <w:szCs w:val="28"/>
        </w:rPr>
      </w:pPr>
    </w:p>
    <w:p w14:paraId="05F3D457">
      <w:pPr>
        <w:pStyle w:val="10"/>
        <w:tabs>
          <w:tab w:val="left" w:pos="5580"/>
        </w:tabs>
        <w:spacing w:line="240" w:lineRule="atLeast"/>
        <w:ind w:left="1156" w:leftChars="257" w:hanging="540"/>
        <w:rPr>
          <w:rFonts w:hint="eastAsia" w:ascii="仿宋_GB2312" w:hAnsi="宋体" w:eastAsia="仿宋_GB2312"/>
          <w:b w:val="0"/>
          <w:bCs/>
          <w:sz w:val="24"/>
          <w:lang w:eastAsia="zh-CN"/>
        </w:rPr>
        <w:sectPr>
          <w:pgSz w:w="11906" w:h="16838"/>
          <w:pgMar w:top="1440" w:right="1797" w:bottom="1440" w:left="1797" w:header="851" w:footer="992" w:gutter="0"/>
          <w:pgNumType w:fmt="decimal" w:start="1"/>
          <w:cols w:space="720" w:num="1"/>
          <w:titlePg/>
          <w:docGrid w:type="linesAndChars" w:linePitch="312" w:charSpace="0"/>
        </w:sectPr>
      </w:pPr>
      <w:r>
        <w:rPr>
          <w:rFonts w:hint="eastAsia" w:ascii="仿宋_GB2312" w:hAnsi="宋体" w:eastAsia="仿宋_GB2312"/>
          <w:b w:val="0"/>
          <w:bCs/>
          <w:sz w:val="24"/>
        </w:rPr>
        <w:t>说明：</w:t>
      </w:r>
      <w:r>
        <w:rPr>
          <w:rFonts w:hint="eastAsia" w:ascii="仿宋_GB2312" w:hAnsi="宋体" w:eastAsia="仿宋_GB2312"/>
          <w:b w:val="0"/>
          <w:bCs/>
          <w:sz w:val="24"/>
          <w:lang w:eastAsia="zh-CN"/>
        </w:rPr>
        <w:t>建议注明投标或响应保证金项目名称，未注明项目名称的不作废标处理。重新开展采购活动的项目，若供应商告知采购人再次进行投标或响应的，未退还的投标或响应保证金则自动转为新项目的投标保证金。</w:t>
      </w:r>
    </w:p>
    <w:p w14:paraId="02C0EF1F">
      <w:pPr>
        <w:pStyle w:val="17"/>
        <w:ind w:left="0" w:leftChars="0" w:firstLine="0" w:firstLineChars="0"/>
        <w:rPr>
          <w:rFonts w:hint="eastAsia"/>
        </w:rPr>
      </w:pPr>
    </w:p>
    <w:p w14:paraId="0087C39E">
      <w:pPr>
        <w:jc w:val="center"/>
        <w:rPr>
          <w:rFonts w:hint="eastAsia" w:ascii="仿宋" w:hAnsi="仿宋" w:eastAsia="仿宋"/>
          <w:sz w:val="28"/>
          <w:szCs w:val="28"/>
        </w:rPr>
      </w:pPr>
      <w:r>
        <w:rPr>
          <w:rFonts w:hint="eastAsia" w:ascii="仿宋" w:hAnsi="仿宋" w:eastAsia="仿宋"/>
          <w:sz w:val="28"/>
          <w:szCs w:val="28"/>
          <w:lang w:eastAsia="zh-CN"/>
        </w:rPr>
        <w:t>附件：</w:t>
      </w:r>
      <w:r>
        <w:rPr>
          <w:rFonts w:hint="eastAsia" w:ascii="仿宋" w:hAnsi="仿宋" w:eastAsia="仿宋"/>
          <w:sz w:val="28"/>
          <w:szCs w:val="28"/>
        </w:rPr>
        <w:t>政府采购投标担保函 （项目用）</w:t>
      </w:r>
    </w:p>
    <w:p w14:paraId="4A9334C5">
      <w:pPr>
        <w:ind w:firstLine="7680" w:firstLineChars="3200"/>
        <w:rPr>
          <w:rFonts w:hint="eastAsia" w:ascii="仿宋" w:hAnsi="仿宋" w:eastAsia="仿宋"/>
        </w:rPr>
      </w:pPr>
      <w:r>
        <w:rPr>
          <w:rFonts w:hint="eastAsia" w:ascii="仿宋" w:hAnsi="仿宋" w:eastAsia="仿宋"/>
        </w:rPr>
        <w:t>编号：</w:t>
      </w:r>
    </w:p>
    <w:p w14:paraId="19A0DFB9">
      <w:pPr>
        <w:rPr>
          <w:rFonts w:hint="eastAsia" w:ascii="仿宋" w:hAnsi="仿宋" w:eastAsia="仿宋"/>
        </w:rPr>
      </w:pPr>
      <w:r>
        <w:rPr>
          <w:rFonts w:ascii="仿宋" w:hAnsi="仿宋" w:eastAsia="仿宋"/>
        </w:rPr>
        <w:t xml:space="preserve"> </w:t>
      </w:r>
      <w:r>
        <w:rPr>
          <w:rFonts w:hint="eastAsia" w:ascii="仿宋" w:hAnsi="仿宋" w:eastAsia="仿宋"/>
          <w:u w:val="single"/>
        </w:rPr>
        <w:t xml:space="preserve">                  </w:t>
      </w:r>
      <w:r>
        <w:rPr>
          <w:rFonts w:hint="eastAsia" w:ascii="仿宋" w:hAnsi="仿宋" w:eastAsia="仿宋"/>
        </w:rPr>
        <w:t>（采购人）：</w:t>
      </w:r>
    </w:p>
    <w:p w14:paraId="32D49725">
      <w:pPr>
        <w:ind w:firstLine="480" w:firstLineChars="200"/>
        <w:rPr>
          <w:rFonts w:hint="eastAsia" w:ascii="仿宋" w:hAnsi="仿宋" w:eastAsia="仿宋"/>
        </w:rPr>
      </w:pPr>
      <w:r>
        <w:rPr>
          <w:rFonts w:hint="eastAsia" w:ascii="仿宋" w:hAnsi="仿宋" w:eastAsia="仿宋"/>
        </w:rPr>
        <w:t>鉴于</w:t>
      </w:r>
      <w:r>
        <w:rPr>
          <w:rFonts w:hint="eastAsia" w:ascii="仿宋" w:hAnsi="仿宋" w:eastAsia="仿宋"/>
          <w:u w:val="single"/>
        </w:rPr>
        <w:t xml:space="preserve">               </w:t>
      </w:r>
      <w:r>
        <w:rPr>
          <w:rFonts w:hint="eastAsia" w:ascii="仿宋" w:hAnsi="仿宋" w:eastAsia="仿宋"/>
        </w:rPr>
        <w:t>（以下简称“投标人”）拟参加编号为</w:t>
      </w:r>
      <w:r>
        <w:rPr>
          <w:rFonts w:hint="eastAsia" w:ascii="仿宋" w:hAnsi="仿宋" w:eastAsia="仿宋"/>
          <w:u w:val="single"/>
        </w:rPr>
        <w:t xml:space="preserve">            </w:t>
      </w:r>
      <w:r>
        <w:rPr>
          <w:rFonts w:hint="eastAsia" w:ascii="仿宋" w:hAnsi="仿宋" w:eastAsia="仿宋"/>
        </w:rPr>
        <w:t>的</w:t>
      </w:r>
      <w:r>
        <w:rPr>
          <w:rFonts w:hint="eastAsia" w:ascii="仿宋" w:hAnsi="仿宋" w:eastAsia="仿宋"/>
          <w:u w:val="single"/>
        </w:rPr>
        <w:t xml:space="preserve">           </w:t>
      </w:r>
      <w:r>
        <w:rPr>
          <w:rFonts w:hint="eastAsia" w:ascii="仿宋" w:hAnsi="仿宋" w:eastAsia="仿宋"/>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65EAEA05">
      <w:pPr>
        <w:ind w:firstLine="480" w:firstLineChars="200"/>
        <w:rPr>
          <w:rFonts w:hint="eastAsia" w:ascii="仿宋" w:hAnsi="仿宋" w:eastAsia="仿宋"/>
        </w:rPr>
      </w:pPr>
      <w:r>
        <w:rPr>
          <w:rFonts w:hint="eastAsia" w:ascii="仿宋" w:hAnsi="仿宋" w:eastAsia="仿宋"/>
        </w:rPr>
        <w:t>一、保证责任的情形及保证金额</w:t>
      </w:r>
    </w:p>
    <w:p w14:paraId="020E533E">
      <w:pPr>
        <w:ind w:firstLine="240" w:firstLineChars="100"/>
        <w:rPr>
          <w:rFonts w:hint="eastAsia" w:ascii="仿宋" w:hAnsi="仿宋" w:eastAsia="仿宋"/>
        </w:rPr>
      </w:pPr>
      <w:r>
        <w:rPr>
          <w:rFonts w:hint="eastAsia" w:ascii="仿宋" w:hAnsi="仿宋" w:eastAsia="仿宋"/>
        </w:rPr>
        <w:t>（一）在投标人出现下列情形之一时，我方承担保证责任：</w:t>
      </w:r>
    </w:p>
    <w:p w14:paraId="0EEA8A4E">
      <w:pPr>
        <w:ind w:firstLine="480" w:firstLineChars="200"/>
        <w:rPr>
          <w:rFonts w:hint="eastAsia" w:ascii="仿宋" w:hAnsi="仿宋" w:eastAsia="仿宋"/>
        </w:rPr>
      </w:pPr>
      <w:r>
        <w:rPr>
          <w:rFonts w:hint="eastAsia" w:ascii="仿宋" w:hAnsi="仿宋" w:eastAsia="仿宋"/>
        </w:rPr>
        <w:t>1．中标后投标人无正当理由不与采购人或者采购代理机构签订《政府采购合同》；</w:t>
      </w:r>
    </w:p>
    <w:p w14:paraId="1FC22913">
      <w:pPr>
        <w:ind w:firstLine="480" w:firstLineChars="200"/>
        <w:rPr>
          <w:rFonts w:hint="eastAsia" w:ascii="仿宋" w:hAnsi="仿宋" w:eastAsia="仿宋"/>
        </w:rPr>
      </w:pPr>
      <w:r>
        <w:rPr>
          <w:rFonts w:hint="eastAsia" w:ascii="仿宋" w:hAnsi="仿宋" w:eastAsia="仿宋"/>
        </w:rPr>
        <w:t>2．招标文件规定的投标人应当缴纳保证金的其他情形。</w:t>
      </w:r>
    </w:p>
    <w:p w14:paraId="71221E90">
      <w:pPr>
        <w:ind w:firstLine="240" w:firstLineChars="100"/>
        <w:rPr>
          <w:rFonts w:hint="eastAsia" w:ascii="仿宋" w:hAnsi="仿宋" w:eastAsia="仿宋"/>
          <w:lang w:eastAsia="zh-CN"/>
        </w:rPr>
      </w:pPr>
      <w:r>
        <w:rPr>
          <w:rFonts w:hint="eastAsia" w:ascii="仿宋" w:hAnsi="仿宋" w:eastAsia="仿宋"/>
        </w:rPr>
        <w:t>（二）我方承担保证责任的最高金额为人民币</w:t>
      </w:r>
      <w:r>
        <w:rPr>
          <w:rFonts w:hint="eastAsia" w:ascii="仿宋" w:hAnsi="仿宋" w:eastAsia="仿宋"/>
          <w:u w:val="single"/>
        </w:rPr>
        <w:t xml:space="preserve">      </w:t>
      </w:r>
      <w:r>
        <w:rPr>
          <w:rFonts w:hint="eastAsia" w:ascii="仿宋" w:hAnsi="仿宋" w:eastAsia="仿宋"/>
        </w:rPr>
        <w:t>元（</w:t>
      </w:r>
      <w:r>
        <w:rPr>
          <w:rFonts w:hint="eastAsia" w:ascii="仿宋" w:hAnsi="仿宋" w:eastAsia="仿宋"/>
          <w:lang w:eastAsia="zh-CN"/>
        </w:rPr>
        <w:t>大写</w:t>
      </w:r>
      <w:r>
        <w:rPr>
          <w:rFonts w:hint="eastAsia" w:ascii="仿宋" w:hAnsi="仿宋" w:eastAsia="仿宋"/>
          <w:u w:val="single"/>
        </w:rPr>
        <w:t xml:space="preserve">     </w:t>
      </w:r>
      <w:r>
        <w:rPr>
          <w:rFonts w:hint="eastAsia" w:ascii="仿宋" w:hAnsi="仿宋" w:eastAsia="仿宋"/>
        </w:rPr>
        <w:t>）</w:t>
      </w:r>
      <w:r>
        <w:rPr>
          <w:rFonts w:hint="eastAsia" w:ascii="仿宋" w:hAnsi="仿宋" w:eastAsia="仿宋"/>
          <w:lang w:eastAsia="zh-CN"/>
        </w:rPr>
        <w:t>，即本项目的</w:t>
      </w:r>
      <w:r>
        <w:rPr>
          <w:rFonts w:hint="eastAsia" w:ascii="仿宋" w:hAnsi="仿宋" w:eastAsia="仿宋"/>
        </w:rPr>
        <w:t>投标保证金金额</w:t>
      </w:r>
      <w:r>
        <w:rPr>
          <w:rFonts w:hint="eastAsia" w:ascii="仿宋" w:hAnsi="仿宋" w:eastAsia="仿宋"/>
          <w:lang w:eastAsia="zh-CN"/>
        </w:rPr>
        <w:t>。</w:t>
      </w:r>
    </w:p>
    <w:p w14:paraId="6D02FEA8">
      <w:pPr>
        <w:ind w:firstLine="480" w:firstLineChars="200"/>
        <w:rPr>
          <w:rFonts w:hint="eastAsia" w:ascii="仿宋" w:hAnsi="仿宋" w:eastAsia="仿宋"/>
        </w:rPr>
      </w:pPr>
      <w:r>
        <w:rPr>
          <w:rFonts w:hint="eastAsia" w:ascii="仿宋" w:hAnsi="仿宋" w:eastAsia="仿宋"/>
        </w:rPr>
        <w:t>二、保证的方式及保证期间</w:t>
      </w:r>
    </w:p>
    <w:p w14:paraId="6B7934BD">
      <w:pPr>
        <w:ind w:firstLine="480" w:firstLineChars="200"/>
        <w:rPr>
          <w:rFonts w:hint="eastAsia" w:ascii="仿宋" w:hAnsi="仿宋" w:eastAsia="仿宋"/>
        </w:rPr>
      </w:pPr>
      <w:r>
        <w:rPr>
          <w:rFonts w:hint="eastAsia" w:ascii="仿宋" w:hAnsi="仿宋" w:eastAsia="仿宋"/>
        </w:rPr>
        <w:t>我方保证的方式为：连带责任保证。</w:t>
      </w:r>
    </w:p>
    <w:p w14:paraId="59D04771">
      <w:pPr>
        <w:ind w:firstLine="480" w:firstLineChars="200"/>
        <w:rPr>
          <w:rFonts w:hint="eastAsia" w:ascii="仿宋" w:hAnsi="仿宋" w:eastAsia="仿宋"/>
        </w:rPr>
      </w:pPr>
      <w:r>
        <w:rPr>
          <w:rFonts w:hint="eastAsia" w:ascii="仿宋" w:hAnsi="仿宋" w:eastAsia="仿宋"/>
        </w:rPr>
        <w:t>我方的保证期间为：自本保函生效之日起</w:t>
      </w:r>
      <w:r>
        <w:rPr>
          <w:rFonts w:hint="eastAsia" w:ascii="仿宋" w:hAnsi="仿宋" w:eastAsia="仿宋"/>
          <w:u w:val="single"/>
        </w:rPr>
        <w:t xml:space="preserve">    </w:t>
      </w:r>
      <w:r>
        <w:rPr>
          <w:rFonts w:hint="eastAsia" w:ascii="仿宋" w:hAnsi="仿宋" w:eastAsia="仿宋"/>
        </w:rPr>
        <w:t>个月止。</w:t>
      </w:r>
    </w:p>
    <w:p w14:paraId="4E149188">
      <w:pPr>
        <w:ind w:firstLine="480" w:firstLineChars="200"/>
        <w:rPr>
          <w:rFonts w:hint="eastAsia" w:ascii="仿宋" w:hAnsi="仿宋" w:eastAsia="仿宋"/>
        </w:rPr>
      </w:pPr>
      <w:r>
        <w:rPr>
          <w:rFonts w:hint="eastAsia" w:ascii="仿宋" w:hAnsi="仿宋" w:eastAsia="仿宋"/>
        </w:rPr>
        <w:t>三、承担保证责任的程序</w:t>
      </w:r>
    </w:p>
    <w:p w14:paraId="79E465B6">
      <w:pPr>
        <w:ind w:firstLine="480" w:firstLineChars="200"/>
        <w:rPr>
          <w:rFonts w:hint="eastAsia" w:ascii="仿宋" w:hAnsi="仿宋" w:eastAsia="仿宋"/>
        </w:rPr>
      </w:pPr>
      <w:r>
        <w:rPr>
          <w:rFonts w:hint="eastAsia" w:ascii="仿宋" w:hAnsi="仿宋" w:eastAsia="仿宋"/>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0F56900C">
      <w:pPr>
        <w:ind w:firstLine="480" w:firstLineChars="200"/>
        <w:rPr>
          <w:rFonts w:hint="eastAsia" w:ascii="仿宋" w:hAnsi="仿宋" w:eastAsia="仿宋"/>
        </w:rPr>
      </w:pPr>
      <w:r>
        <w:rPr>
          <w:rFonts w:hint="eastAsia" w:ascii="仿宋" w:hAnsi="仿宋" w:eastAsia="仿宋"/>
        </w:rPr>
        <w:t>2．我方在收到索赔通知及相关证明材料后，在</w:t>
      </w:r>
      <w:r>
        <w:rPr>
          <w:rFonts w:hint="eastAsia" w:ascii="仿宋" w:hAnsi="仿宋" w:eastAsia="仿宋"/>
          <w:u w:val="single"/>
        </w:rPr>
        <w:t>　　　</w:t>
      </w:r>
      <w:r>
        <w:rPr>
          <w:rFonts w:hint="eastAsia" w:ascii="仿宋" w:hAnsi="仿宋" w:eastAsia="仿宋"/>
        </w:rPr>
        <w:t>个工作日内进行审查，符合应承担保证责任情形的，我方应按照你方的要求代投标人向你方支付投标保证金。</w:t>
      </w:r>
    </w:p>
    <w:p w14:paraId="7BFFA734">
      <w:pPr>
        <w:ind w:firstLine="480" w:firstLineChars="200"/>
        <w:rPr>
          <w:rFonts w:hint="eastAsia" w:ascii="仿宋" w:hAnsi="仿宋" w:eastAsia="仿宋"/>
        </w:rPr>
      </w:pPr>
      <w:r>
        <w:rPr>
          <w:rFonts w:hint="eastAsia" w:ascii="仿宋" w:hAnsi="仿宋" w:eastAsia="仿宋"/>
        </w:rPr>
        <w:t>四、保证责任的终止</w:t>
      </w:r>
    </w:p>
    <w:p w14:paraId="7406A57A">
      <w:pPr>
        <w:ind w:firstLine="480" w:firstLineChars="200"/>
        <w:rPr>
          <w:rFonts w:hint="eastAsia" w:ascii="仿宋" w:hAnsi="仿宋" w:eastAsia="仿宋"/>
        </w:rPr>
      </w:pPr>
      <w:r>
        <w:rPr>
          <w:rFonts w:hint="eastAsia" w:ascii="仿宋" w:hAnsi="仿宋" w:eastAsia="仿宋"/>
        </w:rPr>
        <w:t>1．保证期间届满你方未向我方书面主张保证责任的，自保证期间届满次日起，我方保证责任自动终止。</w:t>
      </w:r>
    </w:p>
    <w:p w14:paraId="0200D643">
      <w:pPr>
        <w:ind w:firstLine="480" w:firstLineChars="200"/>
        <w:rPr>
          <w:rFonts w:hint="eastAsia" w:ascii="仿宋" w:hAnsi="仿宋" w:eastAsia="仿宋"/>
        </w:rPr>
      </w:pPr>
      <w:r>
        <w:rPr>
          <w:rFonts w:hint="eastAsia" w:ascii="仿宋" w:hAnsi="仿宋" w:eastAsia="仿宋"/>
        </w:rPr>
        <w:t>2．我方按照本保函向你贵方履行了保证责任后，自我方向你贵方支付款项（支付款项从我方账户划出）之日起，保证责任终止。</w:t>
      </w:r>
    </w:p>
    <w:p w14:paraId="445454AF">
      <w:pPr>
        <w:ind w:firstLine="480" w:firstLineChars="200"/>
        <w:rPr>
          <w:rFonts w:hint="eastAsia" w:ascii="仿宋" w:hAnsi="仿宋" w:eastAsia="仿宋"/>
        </w:rPr>
      </w:pPr>
      <w:r>
        <w:rPr>
          <w:rFonts w:hint="eastAsia" w:ascii="仿宋" w:hAnsi="仿宋" w:eastAsia="仿宋"/>
        </w:rPr>
        <w:t>3．按照法律法规的规定或出现我方保证责任终止的其它情形的，我方在本保函项下的保证责任亦终止。</w:t>
      </w:r>
    </w:p>
    <w:p w14:paraId="50BAC01D">
      <w:pPr>
        <w:ind w:firstLine="480" w:firstLineChars="200"/>
        <w:rPr>
          <w:rFonts w:hint="eastAsia" w:ascii="仿宋" w:hAnsi="仿宋" w:eastAsia="仿宋"/>
        </w:rPr>
      </w:pPr>
      <w:r>
        <w:rPr>
          <w:rFonts w:hint="eastAsia" w:ascii="仿宋" w:hAnsi="仿宋" w:eastAsia="仿宋"/>
        </w:rPr>
        <w:t>五、免责条款</w:t>
      </w:r>
    </w:p>
    <w:p w14:paraId="579585D1">
      <w:pPr>
        <w:ind w:firstLine="480" w:firstLineChars="200"/>
        <w:rPr>
          <w:rFonts w:hint="eastAsia" w:ascii="仿宋" w:hAnsi="仿宋" w:eastAsia="仿宋"/>
        </w:rPr>
      </w:pPr>
      <w:r>
        <w:rPr>
          <w:rFonts w:hint="eastAsia" w:ascii="仿宋" w:hAnsi="仿宋" w:eastAsia="仿宋"/>
        </w:rPr>
        <w:t>1．依照法律规定或你方与投标人的另行约定，全部或者部分免除投标人投标保证金义务时，我方亦免除相应的保证责任。</w:t>
      </w:r>
    </w:p>
    <w:p w14:paraId="759371BD">
      <w:pPr>
        <w:ind w:firstLine="480" w:firstLineChars="200"/>
        <w:rPr>
          <w:rFonts w:hint="eastAsia" w:ascii="仿宋" w:hAnsi="仿宋" w:eastAsia="仿宋"/>
        </w:rPr>
      </w:pPr>
      <w:r>
        <w:rPr>
          <w:rFonts w:hint="eastAsia" w:ascii="仿宋" w:hAnsi="仿宋" w:eastAsia="仿宋"/>
        </w:rPr>
        <w:t>2．因你方原因致使投标人发生本保函第一条第（一）款约定情形的，我方不承担保证责任。</w:t>
      </w:r>
    </w:p>
    <w:p w14:paraId="23A36E17">
      <w:pPr>
        <w:ind w:firstLine="480" w:firstLineChars="200"/>
        <w:rPr>
          <w:rFonts w:hint="eastAsia" w:ascii="仿宋" w:hAnsi="仿宋" w:eastAsia="仿宋"/>
        </w:rPr>
      </w:pPr>
      <w:r>
        <w:rPr>
          <w:rFonts w:hint="eastAsia" w:ascii="仿宋" w:hAnsi="仿宋" w:eastAsia="仿宋"/>
        </w:rPr>
        <w:t>3．因不可抗力造成投标人发生本保函第一条约定情形的，我方不承担保证责任。</w:t>
      </w:r>
    </w:p>
    <w:p w14:paraId="0992FF25">
      <w:pPr>
        <w:ind w:firstLine="480" w:firstLineChars="200"/>
        <w:rPr>
          <w:rFonts w:hint="eastAsia" w:ascii="仿宋" w:hAnsi="仿宋" w:eastAsia="仿宋"/>
        </w:rPr>
      </w:pPr>
      <w:r>
        <w:rPr>
          <w:rFonts w:hint="eastAsia" w:ascii="仿宋" w:hAnsi="仿宋" w:eastAsia="仿宋"/>
        </w:rPr>
        <w:t>4．你方或其他有权机关对招标文件进行任何澄清或修改，加重我方保证责任的，我方对加重部分不承担保证责任，但该澄清或修改经我方事先书面同意的除外。</w:t>
      </w:r>
    </w:p>
    <w:p w14:paraId="5A0D5A3F">
      <w:pPr>
        <w:ind w:firstLine="480" w:firstLineChars="200"/>
        <w:rPr>
          <w:rFonts w:hint="eastAsia" w:ascii="仿宋" w:hAnsi="仿宋" w:eastAsia="仿宋"/>
        </w:rPr>
      </w:pPr>
      <w:r>
        <w:rPr>
          <w:rFonts w:hint="eastAsia" w:ascii="仿宋" w:hAnsi="仿宋" w:eastAsia="仿宋"/>
        </w:rPr>
        <w:t>六、争议的解决</w:t>
      </w:r>
    </w:p>
    <w:p w14:paraId="5CA83FF3">
      <w:pPr>
        <w:ind w:firstLine="480" w:firstLineChars="200"/>
        <w:rPr>
          <w:rFonts w:hint="eastAsia" w:ascii="仿宋" w:hAnsi="仿宋" w:eastAsia="仿宋"/>
        </w:rPr>
      </w:pPr>
      <w:r>
        <w:rPr>
          <w:rFonts w:hint="eastAsia" w:ascii="仿宋" w:hAnsi="仿宋" w:eastAsia="仿宋"/>
        </w:rPr>
        <w:t>因本保函发生的纠纷，由你我双方协商解决，协商不成的，通过诉讼程序解决，诉讼管辖地法院为</w:t>
      </w:r>
      <w:r>
        <w:rPr>
          <w:rFonts w:hint="eastAsia" w:ascii="仿宋" w:hAnsi="仿宋" w:eastAsia="仿宋"/>
          <w:u w:val="single"/>
        </w:rPr>
        <w:t xml:space="preserve">          </w:t>
      </w:r>
      <w:r>
        <w:rPr>
          <w:rFonts w:hint="eastAsia" w:ascii="仿宋" w:hAnsi="仿宋" w:eastAsia="仿宋"/>
        </w:rPr>
        <w:t>法院。</w:t>
      </w:r>
    </w:p>
    <w:p w14:paraId="34C3CCA5">
      <w:pPr>
        <w:ind w:firstLine="480" w:firstLineChars="200"/>
        <w:rPr>
          <w:rFonts w:hint="eastAsia" w:ascii="仿宋" w:hAnsi="仿宋" w:eastAsia="仿宋"/>
        </w:rPr>
      </w:pPr>
      <w:r>
        <w:rPr>
          <w:rFonts w:hint="eastAsia" w:ascii="仿宋" w:hAnsi="仿宋" w:eastAsia="仿宋"/>
        </w:rPr>
        <w:t>七、保函的生效</w:t>
      </w:r>
    </w:p>
    <w:p w14:paraId="06D0C990">
      <w:pPr>
        <w:ind w:firstLine="480" w:firstLineChars="200"/>
        <w:rPr>
          <w:rFonts w:ascii="仿宋" w:hAnsi="仿宋" w:eastAsia="仿宋"/>
        </w:rPr>
      </w:pPr>
      <w:r>
        <w:rPr>
          <w:rFonts w:hint="eastAsia" w:ascii="仿宋" w:hAnsi="仿宋" w:eastAsia="仿宋"/>
        </w:rPr>
        <w:t>本保函自我方加盖公章之日起生效。</w:t>
      </w:r>
    </w:p>
    <w:p w14:paraId="66745571">
      <w:pPr>
        <w:ind w:firstLine="6360" w:firstLineChars="2650"/>
        <w:rPr>
          <w:rFonts w:hint="eastAsia" w:ascii="仿宋" w:hAnsi="仿宋" w:eastAsia="仿宋"/>
        </w:rPr>
      </w:pPr>
      <w:r>
        <w:rPr>
          <w:rFonts w:hint="eastAsia" w:ascii="仿宋" w:hAnsi="仿宋" w:eastAsia="仿宋"/>
        </w:rPr>
        <w:t>保证人：（公章）</w:t>
      </w:r>
    </w:p>
    <w:p w14:paraId="0970BBA7">
      <w:pPr>
        <w:rPr>
          <w:rFonts w:ascii="仿宋" w:hAnsi="仿宋" w:eastAsia="仿宋"/>
        </w:rPr>
      </w:pPr>
      <w:r>
        <w:rPr>
          <w:rFonts w:ascii="仿宋" w:hAnsi="仿宋" w:eastAsia="仿宋"/>
        </w:rPr>
        <w:t xml:space="preserve">                               </w:t>
      </w:r>
    </w:p>
    <w:p w14:paraId="3F8AC1A4">
      <w:pPr>
        <w:jc w:val="right"/>
        <w:rPr>
          <w:rFonts w:hint="eastAsia" w:ascii="仿宋" w:hAnsi="仿宋" w:eastAsia="仿宋"/>
        </w:rPr>
      </w:pPr>
      <w:r>
        <w:rPr>
          <w:rFonts w:hint="eastAsia" w:ascii="仿宋" w:hAnsi="仿宋" w:eastAsia="仿宋"/>
        </w:rPr>
        <w:t>年     月      日</w:t>
      </w:r>
    </w:p>
    <w:p w14:paraId="2CA3170F">
      <w:pPr>
        <w:pStyle w:val="17"/>
      </w:pPr>
    </w:p>
    <w:p w14:paraId="180DDE95"/>
    <w:p w14:paraId="0DC9274B">
      <w:pPr>
        <w:pStyle w:val="17"/>
      </w:pPr>
    </w:p>
    <w:p w14:paraId="7ABD19EA"/>
    <w:p w14:paraId="72CCF566">
      <w:pPr>
        <w:pStyle w:val="17"/>
      </w:pPr>
    </w:p>
    <w:p w14:paraId="5B65CB99"/>
    <w:p w14:paraId="39C2DFC3">
      <w:pPr>
        <w:pStyle w:val="17"/>
      </w:pPr>
    </w:p>
    <w:p w14:paraId="418A1336"/>
    <w:p w14:paraId="39012CF4">
      <w:pPr>
        <w:pStyle w:val="17"/>
      </w:pPr>
    </w:p>
    <w:p w14:paraId="043017DF"/>
    <w:p w14:paraId="378DADB3">
      <w:pPr>
        <w:pStyle w:val="17"/>
      </w:pPr>
    </w:p>
    <w:p w14:paraId="68A4E8FF"/>
    <w:p w14:paraId="06CE4A68">
      <w:pPr>
        <w:pStyle w:val="17"/>
      </w:pPr>
    </w:p>
    <w:p w14:paraId="7F2178E4"/>
    <w:p w14:paraId="50CB3DB5">
      <w:pPr>
        <w:pStyle w:val="17"/>
      </w:pPr>
    </w:p>
    <w:p w14:paraId="1E514F48"/>
    <w:p w14:paraId="1BD19066">
      <w:pPr>
        <w:pStyle w:val="17"/>
      </w:pPr>
    </w:p>
    <w:p w14:paraId="3FDD80E2"/>
    <w:p w14:paraId="59B29352">
      <w:pPr>
        <w:pStyle w:val="17"/>
      </w:pPr>
    </w:p>
    <w:p w14:paraId="179E6B88"/>
    <w:p w14:paraId="0F5168E9">
      <w:pPr>
        <w:pStyle w:val="17"/>
      </w:pPr>
    </w:p>
    <w:p w14:paraId="063307F7"/>
    <w:p w14:paraId="186197CA">
      <w:pPr>
        <w:pStyle w:val="17"/>
      </w:pPr>
    </w:p>
    <w:p w14:paraId="63DD7CF6"/>
    <w:p w14:paraId="7040154C">
      <w:pPr>
        <w:pStyle w:val="17"/>
      </w:pPr>
    </w:p>
    <w:p w14:paraId="3010FB3F"/>
    <w:p w14:paraId="763C2ED4">
      <w:pPr>
        <w:pStyle w:val="17"/>
      </w:pPr>
    </w:p>
    <w:p w14:paraId="6602A8C6"/>
    <w:p w14:paraId="01726668">
      <w:pPr>
        <w:pStyle w:val="17"/>
      </w:pPr>
    </w:p>
    <w:p w14:paraId="58F6AB0F"/>
    <w:p w14:paraId="1B532B31">
      <w:pPr>
        <w:pStyle w:val="17"/>
        <w:numPr>
          <w:ilvl w:val="0"/>
          <w:numId w:val="0"/>
        </w:numPr>
      </w:pPr>
    </w:p>
    <w:p w14:paraId="0C8E9C41">
      <w:pPr>
        <w:keepNext/>
        <w:keepLines/>
        <w:pageBreakBefore/>
        <w:adjustRightInd w:val="0"/>
        <w:snapToGrid w:val="0"/>
        <w:spacing w:line="360" w:lineRule="auto"/>
        <w:jc w:val="center"/>
        <w:textAlignment w:val="baseline"/>
        <w:outlineLvl w:val="3"/>
        <w:rPr>
          <w:rFonts w:hint="eastAsia" w:ascii="宋体" w:hAnsi="宋体" w:eastAsia="宋体"/>
          <w:b/>
          <w:bCs/>
          <w:szCs w:val="20"/>
          <w:lang w:eastAsia="zh-CN"/>
        </w:rPr>
      </w:pPr>
      <w:r>
        <w:rPr>
          <w:rFonts w:hint="eastAsia" w:ascii="宋体" w:hAnsi="宋体" w:eastAsia="宋体"/>
          <w:b/>
          <w:bCs/>
          <w:szCs w:val="20"/>
          <w:lang w:val="en-US" w:eastAsia="zh-CN"/>
        </w:rPr>
        <w:t>7</w:t>
      </w:r>
      <w:r>
        <w:rPr>
          <w:rFonts w:hint="eastAsia" w:ascii="宋体" w:hAnsi="宋体" w:eastAsia="宋体"/>
          <w:b/>
          <w:bCs/>
          <w:szCs w:val="20"/>
        </w:rPr>
        <w:t>.政府采购</w:t>
      </w:r>
      <w:r>
        <w:rPr>
          <w:rFonts w:ascii="宋体" w:hAnsi="宋体" w:eastAsia="宋体"/>
          <w:b/>
          <w:bCs/>
          <w:szCs w:val="20"/>
        </w:rPr>
        <w:t>优惠</w:t>
      </w:r>
      <w:r>
        <w:rPr>
          <w:rFonts w:hint="eastAsia" w:ascii="宋体" w:hAnsi="宋体" w:eastAsia="宋体"/>
          <w:b/>
          <w:bCs/>
          <w:szCs w:val="20"/>
        </w:rPr>
        <w:t>政策</w:t>
      </w:r>
      <w:r>
        <w:rPr>
          <w:rFonts w:hint="eastAsia" w:ascii="宋体" w:hAnsi="宋体" w:eastAsia="宋体"/>
          <w:b/>
          <w:bCs/>
          <w:szCs w:val="20"/>
          <w:lang w:eastAsia="zh-CN"/>
        </w:rPr>
        <w:t>声明函</w:t>
      </w:r>
    </w:p>
    <w:p w14:paraId="46ECAAE7">
      <w:pPr>
        <w:snapToGrid w:val="0"/>
        <w:outlineLvl w:val="4"/>
        <w:rPr>
          <w:rFonts w:ascii="仿宋" w:hAnsi="仿宋" w:eastAsia="仿宋"/>
          <w:b/>
          <w:bCs/>
          <w:color w:val="FF0000"/>
          <w:sz w:val="25"/>
          <w:szCs w:val="25"/>
        </w:rPr>
      </w:pPr>
      <w:r>
        <w:rPr>
          <w:rFonts w:hint="eastAsia" w:ascii="仿宋" w:hAnsi="仿宋" w:eastAsia="仿宋"/>
          <w:b/>
          <w:bCs/>
          <w:color w:val="FF0000"/>
          <w:sz w:val="25"/>
          <w:szCs w:val="25"/>
        </w:rPr>
        <w:t>填写指引：</w:t>
      </w:r>
    </w:p>
    <w:p w14:paraId="46C4CA9D">
      <w:pPr>
        <w:snapToGrid w:val="0"/>
        <w:rPr>
          <w:rFonts w:ascii="仿宋" w:hAnsi="仿宋" w:eastAsia="仿宋"/>
          <w:color w:val="FF0000"/>
          <w:sz w:val="25"/>
          <w:szCs w:val="25"/>
        </w:rPr>
      </w:pPr>
      <w:r>
        <w:rPr>
          <w:rFonts w:hint="eastAsia" w:ascii="仿宋" w:hAnsi="仿宋" w:eastAsia="仿宋"/>
          <w:color w:val="FF0000"/>
          <w:sz w:val="25"/>
          <w:szCs w:val="25"/>
        </w:rPr>
        <w:t xml:space="preserve">    1、该部分内容由投标人根据自身实际情况填写，</w:t>
      </w:r>
      <w:r>
        <w:rPr>
          <w:rFonts w:hint="eastAsia" w:ascii="仿宋" w:hAnsi="仿宋" w:eastAsia="仿宋"/>
          <w:b/>
          <w:color w:val="FF0000"/>
          <w:sz w:val="25"/>
          <w:szCs w:val="25"/>
          <w:highlight w:val="green"/>
          <w:lang w:eastAsia="zh-CN"/>
        </w:rPr>
        <w:t>本项目为专门面向中小企业采购项目，</w:t>
      </w:r>
      <w:r>
        <w:rPr>
          <w:rFonts w:hint="eastAsia" w:ascii="仿宋" w:hAnsi="仿宋" w:eastAsia="仿宋"/>
          <w:b/>
          <w:color w:val="FF0000"/>
          <w:sz w:val="25"/>
          <w:szCs w:val="25"/>
          <w:highlight w:val="green"/>
        </w:rPr>
        <w:t>需提供相应的声明函</w:t>
      </w:r>
      <w:r>
        <w:rPr>
          <w:rFonts w:hint="eastAsia" w:ascii="仿宋" w:hAnsi="仿宋" w:eastAsia="仿宋"/>
          <w:color w:val="FF0000"/>
          <w:sz w:val="25"/>
          <w:szCs w:val="25"/>
        </w:rPr>
        <w:t>。投标人提供的声明函不属实的，属于提供虚假资料谋取中标，依照《中华人民共和国政府采购法》等国家有关规定追究相应责任。</w:t>
      </w:r>
    </w:p>
    <w:p w14:paraId="201A2D59">
      <w:pPr>
        <w:snapToGrid w:val="0"/>
        <w:ind w:firstLine="555"/>
        <w:rPr>
          <w:rFonts w:ascii="仿宋" w:hAnsi="仿宋" w:eastAsia="仿宋"/>
          <w:color w:val="FF0000"/>
          <w:sz w:val="25"/>
          <w:szCs w:val="25"/>
        </w:rPr>
      </w:pPr>
      <w:r>
        <w:rPr>
          <w:rFonts w:hint="eastAsia" w:ascii="仿宋" w:hAnsi="仿宋" w:eastAsia="仿宋"/>
          <w:color w:val="FF0000"/>
          <w:sz w:val="25"/>
          <w:szCs w:val="25"/>
        </w:rPr>
        <w:t>2、该部分内容填写需要参考的相关文件包括但不限于：</w:t>
      </w:r>
    </w:p>
    <w:p w14:paraId="118A33A1">
      <w:pPr>
        <w:snapToGrid w:val="0"/>
        <w:ind w:left="499" w:leftChars="208" w:firstLine="75" w:firstLineChars="30"/>
        <w:rPr>
          <w:rFonts w:ascii="仿宋" w:hAnsi="仿宋" w:eastAsia="仿宋"/>
          <w:color w:val="FF0000"/>
          <w:sz w:val="25"/>
          <w:szCs w:val="25"/>
        </w:rPr>
      </w:pPr>
      <w:r>
        <w:rPr>
          <w:rFonts w:hint="eastAsia" w:ascii="仿宋" w:hAnsi="仿宋" w:eastAsia="仿宋"/>
          <w:color w:val="FF0000"/>
          <w:sz w:val="25"/>
          <w:szCs w:val="25"/>
        </w:rPr>
        <w:t>(</w:t>
      </w:r>
      <w:r>
        <w:rPr>
          <w:rFonts w:ascii="仿宋" w:hAnsi="仿宋" w:eastAsia="仿宋"/>
          <w:color w:val="FF0000"/>
          <w:sz w:val="25"/>
          <w:szCs w:val="25"/>
        </w:rPr>
        <w:t>1</w:t>
      </w:r>
      <w:r>
        <w:rPr>
          <w:rFonts w:hint="eastAsia" w:ascii="仿宋" w:hAnsi="仿宋" w:eastAsia="仿宋"/>
          <w:color w:val="FF0000"/>
          <w:sz w:val="25"/>
          <w:szCs w:val="25"/>
        </w:rPr>
        <w:t>)《政府采购促进中小企业发展管理办法》（财库〔2020〕46号），(</w:t>
      </w:r>
      <w:r>
        <w:rPr>
          <w:rFonts w:ascii="仿宋" w:hAnsi="仿宋" w:eastAsia="仿宋"/>
          <w:color w:val="FF0000"/>
          <w:sz w:val="25"/>
          <w:szCs w:val="25"/>
        </w:rPr>
        <w:t>2</w:t>
      </w:r>
      <w:r>
        <w:rPr>
          <w:rFonts w:hint="eastAsia" w:ascii="仿宋" w:hAnsi="仿宋" w:eastAsia="仿宋"/>
          <w:color w:val="FF0000"/>
          <w:sz w:val="25"/>
          <w:szCs w:val="25"/>
        </w:rPr>
        <w:t>)</w:t>
      </w:r>
      <w:bookmarkStart w:id="25" w:name="_Hlk71925120"/>
      <w:r>
        <w:rPr>
          <w:rFonts w:hint="eastAsia" w:ascii="仿宋" w:hAnsi="仿宋" w:eastAsia="仿宋"/>
          <w:color w:val="FF0000"/>
          <w:sz w:val="25"/>
          <w:szCs w:val="25"/>
        </w:rPr>
        <w:t>《关于印发中小企业划型标准规定的通知》（工信部联企业〔2011〕300 号</w:t>
      </w:r>
      <w:bookmarkEnd w:id="25"/>
      <w:r>
        <w:rPr>
          <w:rFonts w:hint="eastAsia" w:ascii="仿宋" w:hAnsi="仿宋" w:eastAsia="仿宋"/>
          <w:color w:val="FF0000"/>
          <w:sz w:val="25"/>
          <w:szCs w:val="25"/>
        </w:rPr>
        <w:t>），</w:t>
      </w:r>
    </w:p>
    <w:p w14:paraId="03CC2ED2">
      <w:pPr>
        <w:snapToGrid w:val="0"/>
        <w:ind w:firstLine="555"/>
        <w:rPr>
          <w:rFonts w:ascii="仿宋" w:hAnsi="仿宋" w:eastAsia="仿宋"/>
          <w:color w:val="FF0000"/>
          <w:sz w:val="25"/>
          <w:szCs w:val="25"/>
        </w:rPr>
      </w:pPr>
      <w:r>
        <w:rPr>
          <w:rFonts w:hint="eastAsia" w:ascii="仿宋" w:hAnsi="仿宋" w:eastAsia="仿宋"/>
          <w:color w:val="FF0000"/>
          <w:sz w:val="25"/>
          <w:szCs w:val="25"/>
        </w:rPr>
        <w:t>(3)《统计上大中小微型企业划分办法(2017)》（国统字〔2017〕213 号），</w:t>
      </w:r>
    </w:p>
    <w:p w14:paraId="48E56158">
      <w:pPr>
        <w:snapToGrid w:val="0"/>
        <w:ind w:firstLine="555"/>
        <w:rPr>
          <w:rFonts w:ascii="仿宋" w:hAnsi="仿宋" w:eastAsia="仿宋"/>
          <w:color w:val="FF0000"/>
          <w:sz w:val="25"/>
          <w:szCs w:val="25"/>
        </w:rPr>
      </w:pPr>
      <w:r>
        <w:rPr>
          <w:rFonts w:hint="eastAsia" w:ascii="仿宋" w:hAnsi="仿宋" w:eastAsia="仿宋"/>
          <w:color w:val="FF0000"/>
          <w:sz w:val="25"/>
          <w:szCs w:val="25"/>
        </w:rPr>
        <w:t>(4)《关于促进残疾人就业政府采购政策的通知》（财库〔2017〕141号），</w:t>
      </w:r>
    </w:p>
    <w:p w14:paraId="4D5392DD">
      <w:pPr>
        <w:snapToGrid w:val="0"/>
        <w:ind w:firstLine="555"/>
        <w:rPr>
          <w:rFonts w:ascii="仿宋" w:hAnsi="仿宋" w:eastAsia="仿宋"/>
          <w:color w:val="FF0000"/>
          <w:sz w:val="25"/>
          <w:szCs w:val="25"/>
        </w:rPr>
      </w:pPr>
      <w:r>
        <w:rPr>
          <w:rFonts w:hint="eastAsia" w:ascii="仿宋" w:hAnsi="仿宋" w:eastAsia="仿宋"/>
          <w:color w:val="FF0000"/>
          <w:sz w:val="25"/>
          <w:szCs w:val="25"/>
        </w:rPr>
        <w:t>(5)《关于政府采购支持监狱企业发展有关问题的通知》（财库〔2014〕68号），</w:t>
      </w:r>
    </w:p>
    <w:p w14:paraId="23444EEC">
      <w:pPr>
        <w:snapToGrid w:val="0"/>
        <w:rPr>
          <w:rFonts w:ascii="仿宋" w:hAnsi="仿宋" w:eastAsia="仿宋"/>
          <w:color w:val="FF0000"/>
          <w:sz w:val="25"/>
          <w:szCs w:val="25"/>
        </w:rPr>
      </w:pPr>
      <w:r>
        <w:rPr>
          <w:rFonts w:hint="eastAsia" w:ascii="仿宋" w:hAnsi="仿宋" w:eastAsia="仿宋"/>
          <w:color w:val="FF0000"/>
          <w:sz w:val="25"/>
          <w:szCs w:val="25"/>
        </w:rPr>
        <w:t xml:space="preserve">    3、请依照招标文件提供的格式和内容填写声明函，不要随意变更格式；满足多项优惠政策的投标人，不重复享受多项价格扣除政策。</w:t>
      </w:r>
    </w:p>
    <w:p w14:paraId="3A0A2D6C">
      <w:pPr>
        <w:snapToGrid w:val="0"/>
        <w:rPr>
          <w:rFonts w:ascii="仿宋" w:hAnsi="仿宋" w:eastAsia="仿宋"/>
          <w:color w:val="FF0000"/>
          <w:sz w:val="25"/>
          <w:szCs w:val="25"/>
        </w:rPr>
      </w:pPr>
      <w:r>
        <w:rPr>
          <w:rFonts w:hint="eastAsia" w:ascii="仿宋" w:hAnsi="仿宋" w:eastAsia="仿宋"/>
          <w:color w:val="FF0000"/>
          <w:sz w:val="25"/>
          <w:szCs w:val="25"/>
        </w:rPr>
        <w:t xml:space="preserve">    4、声明函具体填写要求：</w:t>
      </w:r>
    </w:p>
    <w:p w14:paraId="7C8DDEF4">
      <w:pPr>
        <w:snapToGrid w:val="0"/>
        <w:rPr>
          <w:rFonts w:ascii="仿宋" w:hAnsi="仿宋" w:eastAsia="仿宋"/>
          <w:color w:val="FF0000"/>
          <w:sz w:val="25"/>
          <w:szCs w:val="25"/>
        </w:rPr>
      </w:pPr>
      <w:r>
        <w:rPr>
          <w:rFonts w:hint="eastAsia" w:ascii="仿宋" w:hAnsi="仿宋" w:eastAsia="仿宋"/>
          <w:color w:val="FF0000"/>
          <w:sz w:val="25"/>
          <w:szCs w:val="25"/>
        </w:rPr>
        <w:t xml:space="preserve">    （1）声明是中小企业须填写《中小企业声明函》的以下内容：</w:t>
      </w:r>
    </w:p>
    <w:p w14:paraId="714EB5BB">
      <w:pPr>
        <w:snapToGrid w:val="0"/>
        <w:rPr>
          <w:rFonts w:ascii="仿宋" w:hAnsi="仿宋" w:eastAsia="仿宋"/>
          <w:color w:val="FF0000"/>
          <w:sz w:val="25"/>
          <w:szCs w:val="25"/>
        </w:rPr>
      </w:pPr>
      <w:r>
        <w:rPr>
          <w:rFonts w:hint="eastAsia" w:ascii="仿宋" w:hAnsi="仿宋" w:eastAsia="仿宋"/>
          <w:color w:val="FF0000"/>
          <w:sz w:val="25"/>
          <w:szCs w:val="25"/>
        </w:rPr>
        <w:t xml:space="preserve">    第一处，在“单位名称”下划线处如实填写采购人名称（</w:t>
      </w:r>
      <w:r>
        <w:rPr>
          <w:rFonts w:hint="eastAsia" w:ascii="仿宋" w:hAnsi="仿宋" w:eastAsia="仿宋"/>
          <w:color w:val="FF0000"/>
          <w:sz w:val="25"/>
          <w:szCs w:val="25"/>
          <w:lang w:eastAsia="zh-CN"/>
        </w:rPr>
        <w:t>喀什市招投标中心</w:t>
      </w:r>
      <w:r>
        <w:rPr>
          <w:rFonts w:hint="eastAsia" w:ascii="仿宋" w:hAnsi="仿宋" w:eastAsia="仿宋"/>
          <w:color w:val="FF0000"/>
          <w:sz w:val="25"/>
          <w:szCs w:val="25"/>
        </w:rPr>
        <w:t>不是本项目的采购人，而是组织实施机构）；</w:t>
      </w:r>
    </w:p>
    <w:p w14:paraId="7E324F9E">
      <w:pPr>
        <w:snapToGrid w:val="0"/>
        <w:rPr>
          <w:rFonts w:ascii="仿宋" w:hAnsi="仿宋" w:eastAsia="仿宋"/>
          <w:color w:val="FF0000"/>
          <w:sz w:val="25"/>
          <w:szCs w:val="25"/>
        </w:rPr>
      </w:pPr>
      <w:r>
        <w:rPr>
          <w:rFonts w:hint="eastAsia" w:ascii="仿宋" w:hAnsi="仿宋" w:eastAsia="仿宋"/>
          <w:color w:val="FF0000"/>
          <w:sz w:val="25"/>
          <w:szCs w:val="25"/>
        </w:rPr>
        <w:t xml:space="preserve">    第二处，在“项目名称”下划线处如实填写采购项目名称；</w:t>
      </w:r>
    </w:p>
    <w:p w14:paraId="59C2EA2C">
      <w:pPr>
        <w:snapToGrid w:val="0"/>
        <w:rPr>
          <w:rFonts w:ascii="仿宋" w:hAnsi="仿宋" w:eastAsia="仿宋"/>
          <w:color w:val="FF0000"/>
          <w:sz w:val="25"/>
          <w:szCs w:val="25"/>
        </w:rPr>
      </w:pPr>
      <w:r>
        <w:rPr>
          <w:rFonts w:hint="eastAsia" w:ascii="仿宋" w:hAnsi="仿宋" w:eastAsia="仿宋"/>
          <w:color w:val="FF0000"/>
          <w:sz w:val="25"/>
          <w:szCs w:val="25"/>
        </w:rPr>
        <w:t xml:space="preserve">    第三处，在“标的名称”下划线处填写所采购标的（货物或服务）的具体名称；如果涉及多项标的（货物或服务）为同一企业制造或承接，“标的名称”下划线处可以如实填写多项标的名称；</w:t>
      </w:r>
    </w:p>
    <w:p w14:paraId="6D572EC1">
      <w:pPr>
        <w:snapToGrid w:val="0"/>
        <w:rPr>
          <w:rFonts w:ascii="仿宋" w:hAnsi="仿宋" w:eastAsia="仿宋"/>
          <w:color w:val="FF0000"/>
          <w:sz w:val="25"/>
          <w:szCs w:val="25"/>
        </w:rPr>
      </w:pPr>
      <w:r>
        <w:rPr>
          <w:rFonts w:hint="eastAsia" w:ascii="仿宋" w:hAnsi="仿宋" w:eastAsia="仿宋"/>
          <w:color w:val="FF0000"/>
          <w:sz w:val="25"/>
          <w:szCs w:val="25"/>
        </w:rPr>
        <w:t xml:space="preserve">    第四处，在“招标文件中明确的所属行业”下划线处填写采购标的对应的中小企业划分标准所属行业；</w:t>
      </w:r>
    </w:p>
    <w:p w14:paraId="683235D2">
      <w:pPr>
        <w:snapToGrid w:val="0"/>
        <w:rPr>
          <w:rFonts w:ascii="仿宋" w:hAnsi="仿宋" w:eastAsia="仿宋"/>
          <w:color w:val="FF0000"/>
          <w:sz w:val="25"/>
          <w:szCs w:val="25"/>
        </w:rPr>
      </w:pPr>
      <w:r>
        <w:rPr>
          <w:rFonts w:hint="eastAsia" w:ascii="仿宋" w:hAnsi="仿宋" w:eastAsia="仿宋"/>
          <w:color w:val="FF0000"/>
          <w:sz w:val="25"/>
          <w:szCs w:val="25"/>
        </w:rPr>
        <w:t xml:space="preserve">    第五处，在“企业名称”下划线处如实填写制造商或承接企业名称；在“从业人员”、“营业收入”、“资产总额”下划线处如实填写从业人员、营业收入、资产总额；在“中型企业、小型企业、微型企业”下划线处如实依照工信部联企业〔2011〕300号文填写相应的企业类型；从业人员、营业收入、资产总额填报上一年度数据，无上一年度数据的新成立企业可以不填报。</w:t>
      </w:r>
    </w:p>
    <w:p w14:paraId="09BA16C2">
      <w:pPr>
        <w:snapToGrid w:val="0"/>
        <w:rPr>
          <w:rFonts w:ascii="仿宋" w:hAnsi="仿宋" w:eastAsia="仿宋"/>
          <w:color w:val="FF0000"/>
          <w:sz w:val="25"/>
          <w:szCs w:val="25"/>
        </w:rPr>
      </w:pPr>
      <w:r>
        <w:rPr>
          <w:rFonts w:hint="eastAsia" w:ascii="仿宋" w:hAnsi="仿宋" w:eastAsia="仿宋"/>
          <w:color w:val="FF0000"/>
          <w:sz w:val="25"/>
          <w:szCs w:val="25"/>
        </w:rPr>
        <w:t xml:space="preserve">    （2）声明是残疾人福利性单位须填写《残疾人福利性单位声明函》的相关内容，具体参照以上《中小企业声明函》填写要求执行。</w:t>
      </w:r>
    </w:p>
    <w:p w14:paraId="613FB6B1">
      <w:pPr>
        <w:snapToGrid w:val="0"/>
        <w:rPr>
          <w:rFonts w:ascii="仿宋" w:hAnsi="仿宋" w:eastAsia="仿宋"/>
          <w:color w:val="FF0000"/>
          <w:sz w:val="25"/>
          <w:szCs w:val="25"/>
        </w:rPr>
      </w:pPr>
      <w:r>
        <w:rPr>
          <w:rFonts w:hint="eastAsia" w:ascii="仿宋" w:hAnsi="仿宋" w:eastAsia="仿宋"/>
          <w:color w:val="FF0000"/>
          <w:sz w:val="25"/>
          <w:szCs w:val="25"/>
        </w:rPr>
        <w:t xml:space="preserve">    （3）声明是监狱企业须填写《监狱企业声明函》的三项内容（填写位置的字体已加粗），具体参照以上《中小企业声明函》填写要求执行。</w:t>
      </w:r>
    </w:p>
    <w:p w14:paraId="4DE40156">
      <w:pPr>
        <w:snapToGrid w:val="0"/>
        <w:rPr>
          <w:rFonts w:ascii="仿宋" w:hAnsi="仿宋" w:eastAsia="仿宋"/>
          <w:b/>
          <w:color w:val="FF0000"/>
          <w:sz w:val="25"/>
          <w:szCs w:val="25"/>
        </w:rPr>
      </w:pPr>
      <w:r>
        <w:rPr>
          <w:rFonts w:hint="eastAsia" w:ascii="仿宋" w:hAnsi="仿宋" w:eastAsia="仿宋"/>
          <w:b/>
          <w:color w:val="FF0000"/>
          <w:sz w:val="25"/>
          <w:szCs w:val="25"/>
        </w:rPr>
        <w:t xml:space="preserve">   </w:t>
      </w:r>
    </w:p>
    <w:p w14:paraId="2462CD4E">
      <w:pPr>
        <w:jc w:val="center"/>
        <w:outlineLvl w:val="4"/>
        <w:rPr>
          <w:rFonts w:hint="eastAsia" w:ascii="Arial" w:hAnsi="Arial" w:eastAsia="宋体"/>
          <w:b/>
        </w:rPr>
      </w:pPr>
      <w:r>
        <w:br w:type="page"/>
      </w:r>
      <w:r>
        <w:rPr>
          <w:rFonts w:ascii="宋体" w:hAnsi="宋体" w:eastAsia="宋体"/>
          <w:b/>
        </w:rPr>
        <w:fldChar w:fldCharType="begin"/>
      </w:r>
      <w:r>
        <w:rPr>
          <w:rFonts w:ascii="宋体" w:hAnsi="宋体" w:eastAsia="宋体"/>
          <w:b/>
        </w:rPr>
        <w:instrText xml:space="preserve"> = 1 \* GB3 </w:instrText>
      </w:r>
      <w:r>
        <w:rPr>
          <w:rFonts w:ascii="宋体" w:hAnsi="宋体" w:eastAsia="宋体"/>
          <w:b/>
          <w:bCs/>
        </w:rPr>
        <w:fldChar w:fldCharType="separate"/>
      </w:r>
      <w:r>
        <w:rPr>
          <w:rFonts w:ascii="宋体" w:hAnsi="宋体" w:eastAsia="宋体"/>
          <w:b/>
        </w:rPr>
        <w:t>1</w:t>
      </w:r>
      <w:r>
        <w:rPr>
          <w:rFonts w:ascii="宋体" w:hAnsi="宋体" w:eastAsia="宋体"/>
          <w:b/>
          <w:bCs/>
        </w:rPr>
        <w:fldChar w:fldCharType="end"/>
      </w:r>
      <w:r>
        <w:rPr>
          <w:rFonts w:hint="eastAsia" w:ascii="Arial" w:hAnsi="Arial" w:eastAsia="宋体"/>
          <w:b/>
          <w:lang w:eastAsia="zh-CN"/>
        </w:rPr>
        <w:t>中小</w:t>
      </w:r>
      <w:r>
        <w:rPr>
          <w:rFonts w:hint="eastAsia" w:ascii="Arial" w:hAnsi="Arial" w:eastAsia="宋体"/>
          <w:b/>
        </w:rPr>
        <w:t>企业声明函</w:t>
      </w:r>
    </w:p>
    <w:p w14:paraId="658B0ABB">
      <w:pPr>
        <w:pStyle w:val="6"/>
      </w:pPr>
    </w:p>
    <w:p w14:paraId="2502592E">
      <w:pPr>
        <w:spacing w:after="60" w:afterLines="25" w:line="300" w:lineRule="auto"/>
        <w:ind w:right="420"/>
        <w:rPr>
          <w:rFonts w:ascii="Arial" w:hAnsi="Arial" w:eastAsia="宋体"/>
          <w:szCs w:val="21"/>
        </w:rPr>
      </w:pPr>
      <w:bookmarkStart w:id="26" w:name="_Hlk73562203"/>
      <w:r>
        <w:rPr>
          <w:rFonts w:hint="eastAsia" w:ascii="Arial" w:hAnsi="Arial" w:eastAsia="宋体"/>
          <w:szCs w:val="21"/>
          <w:lang w:eastAsia="zh-CN"/>
        </w:rPr>
        <w:t>详见</w:t>
      </w:r>
      <w:r>
        <w:rPr>
          <w:rFonts w:ascii="Arial" w:hAnsi="Arial" w:eastAsia="宋体"/>
          <w:szCs w:val="21"/>
        </w:rPr>
        <w:t>《政府采购促进中小企业发展管理办法》（财库〔2020〕46 号）</w:t>
      </w:r>
      <w:bookmarkEnd w:id="26"/>
    </w:p>
    <w:p w14:paraId="6FA4B301">
      <w:pPr>
        <w:spacing w:after="60" w:afterLines="25" w:line="300" w:lineRule="auto"/>
        <w:ind w:right="420" w:firstLine="6385" w:firstLineChars="2650"/>
        <w:rPr>
          <w:rFonts w:ascii="Arial" w:hAnsi="Arial" w:eastAsia="宋体"/>
          <w:b/>
          <w:szCs w:val="21"/>
        </w:rPr>
      </w:pPr>
    </w:p>
    <w:p w14:paraId="359E5EA8">
      <w:pPr>
        <w:spacing w:after="60" w:afterLines="25" w:line="300" w:lineRule="auto"/>
        <w:ind w:right="420" w:firstLine="6385" w:firstLineChars="2650"/>
        <w:rPr>
          <w:rFonts w:hint="eastAsia" w:ascii="Arial" w:hAnsi="Arial" w:eastAsia="宋体"/>
          <w:b/>
          <w:szCs w:val="21"/>
          <w:lang w:val="en-US" w:eastAsia="zh-CN"/>
        </w:rPr>
      </w:pPr>
      <w:r>
        <w:rPr>
          <w:rFonts w:hint="eastAsia" w:ascii="Arial" w:hAnsi="Arial" w:eastAsia="宋体"/>
          <w:b/>
          <w:szCs w:val="21"/>
          <w:lang w:val="en-US" w:eastAsia="zh-CN"/>
        </w:rPr>
        <w:t xml:space="preserve">   </w:t>
      </w:r>
    </w:p>
    <w:p w14:paraId="36C0E166">
      <w:pPr>
        <w:pStyle w:val="6"/>
        <w:rPr>
          <w:rFonts w:hint="eastAsia" w:ascii="Arial" w:hAnsi="Arial" w:eastAsia="宋体"/>
          <w:b/>
          <w:szCs w:val="21"/>
          <w:lang w:val="en-US" w:eastAsia="zh-CN"/>
        </w:rPr>
      </w:pPr>
    </w:p>
    <w:p w14:paraId="43F992D0">
      <w:pPr>
        <w:rPr>
          <w:rFonts w:hint="eastAsia" w:ascii="Arial" w:hAnsi="Arial" w:eastAsia="宋体"/>
          <w:b/>
          <w:szCs w:val="21"/>
          <w:lang w:val="en-US" w:eastAsia="zh-CN"/>
        </w:rPr>
      </w:pPr>
    </w:p>
    <w:p w14:paraId="32CC0B07">
      <w:pPr>
        <w:pStyle w:val="6"/>
        <w:rPr>
          <w:rFonts w:hint="eastAsia" w:ascii="Arial" w:hAnsi="Arial" w:eastAsia="宋体"/>
          <w:b/>
          <w:szCs w:val="21"/>
          <w:lang w:val="en-US" w:eastAsia="zh-CN"/>
        </w:rPr>
      </w:pPr>
    </w:p>
    <w:p w14:paraId="5728D519">
      <w:pPr>
        <w:rPr>
          <w:rFonts w:hint="eastAsia" w:ascii="Arial" w:hAnsi="Arial" w:eastAsia="宋体"/>
          <w:b/>
          <w:szCs w:val="21"/>
          <w:lang w:val="en-US" w:eastAsia="zh-CN"/>
        </w:rPr>
      </w:pPr>
    </w:p>
    <w:p w14:paraId="2C86CB7C">
      <w:pPr>
        <w:pStyle w:val="6"/>
        <w:rPr>
          <w:rFonts w:hint="eastAsia" w:ascii="Arial" w:hAnsi="Arial" w:eastAsia="宋体"/>
          <w:b/>
          <w:szCs w:val="21"/>
          <w:lang w:val="en-US" w:eastAsia="zh-CN"/>
        </w:rPr>
      </w:pPr>
    </w:p>
    <w:p w14:paraId="4023DEA7">
      <w:pPr>
        <w:rPr>
          <w:rFonts w:hint="eastAsia" w:ascii="Arial" w:hAnsi="Arial" w:eastAsia="宋体"/>
          <w:b/>
          <w:szCs w:val="21"/>
          <w:lang w:val="en-US" w:eastAsia="zh-CN"/>
        </w:rPr>
      </w:pPr>
    </w:p>
    <w:p w14:paraId="116694FC">
      <w:pPr>
        <w:pStyle w:val="6"/>
        <w:rPr>
          <w:rFonts w:hint="eastAsia" w:ascii="Arial" w:hAnsi="Arial" w:eastAsia="宋体"/>
          <w:b/>
          <w:szCs w:val="21"/>
          <w:lang w:val="en-US" w:eastAsia="zh-CN"/>
        </w:rPr>
      </w:pPr>
    </w:p>
    <w:p w14:paraId="30443ED2">
      <w:pPr>
        <w:rPr>
          <w:rFonts w:hint="eastAsia" w:ascii="Arial" w:hAnsi="Arial" w:eastAsia="宋体"/>
          <w:b/>
          <w:szCs w:val="21"/>
          <w:lang w:val="en-US" w:eastAsia="zh-CN"/>
        </w:rPr>
      </w:pPr>
    </w:p>
    <w:p w14:paraId="3216C32D">
      <w:pPr>
        <w:pStyle w:val="6"/>
        <w:rPr>
          <w:rFonts w:hint="eastAsia" w:ascii="Arial" w:hAnsi="Arial" w:eastAsia="宋体"/>
          <w:b/>
          <w:szCs w:val="21"/>
          <w:lang w:val="en-US" w:eastAsia="zh-CN"/>
        </w:rPr>
      </w:pPr>
    </w:p>
    <w:p w14:paraId="693EAB72">
      <w:pPr>
        <w:rPr>
          <w:rFonts w:hint="eastAsia" w:ascii="Arial" w:hAnsi="Arial" w:eastAsia="宋体"/>
          <w:b/>
          <w:szCs w:val="21"/>
          <w:lang w:val="en-US" w:eastAsia="zh-CN"/>
        </w:rPr>
      </w:pPr>
    </w:p>
    <w:p w14:paraId="274341BA">
      <w:pPr>
        <w:pStyle w:val="6"/>
        <w:rPr>
          <w:rFonts w:hint="default"/>
          <w:lang w:val="en-US" w:eastAsia="zh-CN"/>
        </w:rPr>
      </w:pPr>
    </w:p>
    <w:p w14:paraId="0103DB51">
      <w:pPr>
        <w:spacing w:after="60" w:afterLines="25" w:line="300" w:lineRule="auto"/>
        <w:ind w:firstLine="482" w:firstLineChars="200"/>
        <w:rPr>
          <w:rFonts w:ascii="宋体" w:hAnsi="宋体" w:eastAsia="宋体"/>
          <w:color w:val="FF0000"/>
          <w:highlight w:val="yellow"/>
        </w:rPr>
      </w:pPr>
      <w:r>
        <w:rPr>
          <w:rFonts w:hint="eastAsia" w:ascii="宋体" w:hAnsi="宋体" w:eastAsia="宋体"/>
          <w:b/>
          <w:color w:val="FF0000"/>
          <w:highlight w:val="yellow"/>
        </w:rPr>
        <w:t>说明：</w:t>
      </w:r>
      <w:r>
        <w:rPr>
          <w:rFonts w:hint="eastAsia" w:ascii="宋体" w:hAnsi="宋体" w:eastAsia="宋体"/>
          <w:color w:val="FF0000"/>
          <w:highlight w:val="yellow"/>
        </w:rPr>
        <w:t>对中小企业的认定，由货物制造商或者工程、服务供应商注册登记所在地的县级以上人民政府中小企业主管部门负责。</w:t>
      </w:r>
      <w:r>
        <w:rPr>
          <w:rFonts w:hint="eastAsia" w:ascii="宋体" w:hAnsi="宋体" w:eastAsia="宋体"/>
          <w:color w:val="0000FF"/>
          <w:highlight w:val="yellow"/>
        </w:rPr>
        <w:t>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14:paraId="00158C1A">
      <w:pPr>
        <w:rPr>
          <w:rFonts w:ascii="宋体" w:hAnsi="宋体" w:eastAsia="宋体"/>
          <w:b/>
        </w:rPr>
      </w:pPr>
      <w:r>
        <w:br w:type="page"/>
      </w:r>
    </w:p>
    <w:p w14:paraId="1D8C4D82">
      <w:pPr>
        <w:spacing w:after="60" w:afterLines="25" w:line="300" w:lineRule="auto"/>
        <w:jc w:val="center"/>
        <w:outlineLvl w:val="4"/>
        <w:rPr>
          <w:rFonts w:ascii="Arial" w:hAnsi="Arial" w:eastAsia="宋体"/>
          <w:b/>
        </w:rPr>
      </w:pPr>
      <w:r>
        <w:rPr>
          <w:rFonts w:hint="eastAsia" w:ascii="宋体" w:hAnsi="宋体" w:eastAsia="宋体"/>
          <w:b/>
        </w:rPr>
        <w:t>②</w:t>
      </w:r>
      <w:r>
        <w:rPr>
          <w:rFonts w:hint="eastAsia" w:ascii="Arial" w:hAnsi="Arial" w:eastAsia="宋体"/>
          <w:b/>
        </w:rPr>
        <w:t>残疾人福利性单位声明函（</w:t>
      </w:r>
      <w:r>
        <w:rPr>
          <w:rFonts w:hint="eastAsia" w:ascii="Arial" w:hAnsi="Arial" w:eastAsia="宋体"/>
          <w:b/>
          <w:lang w:val="en-US" w:eastAsia="zh-CN"/>
        </w:rPr>
        <w:t>服务</w:t>
      </w:r>
      <w:r>
        <w:rPr>
          <w:rFonts w:hint="eastAsia" w:ascii="Arial" w:hAnsi="Arial" w:eastAsia="宋体"/>
          <w:b/>
        </w:rPr>
        <w:t>）</w:t>
      </w:r>
      <w:r>
        <w:rPr>
          <w:rFonts w:hint="eastAsia" w:ascii="Arial" w:hAnsi="Arial" w:eastAsia="宋体"/>
          <w:b/>
          <w:lang w:eastAsia="zh-CN"/>
        </w:rPr>
        <w:t>（</w:t>
      </w:r>
      <w:r>
        <w:rPr>
          <w:rFonts w:hint="eastAsia" w:ascii="Arial" w:hAnsi="Arial" w:eastAsia="宋体"/>
          <w:b/>
          <w:lang w:val="en-US" w:eastAsia="zh-CN"/>
        </w:rPr>
        <w:t>如是可提供</w:t>
      </w:r>
      <w:r>
        <w:rPr>
          <w:rFonts w:hint="eastAsia" w:ascii="Arial" w:hAnsi="Arial" w:eastAsia="宋体"/>
          <w:b/>
          <w:lang w:eastAsia="zh-CN"/>
        </w:rPr>
        <w:t>）</w:t>
      </w:r>
    </w:p>
    <w:p w14:paraId="1428AB27">
      <w:pPr>
        <w:spacing w:after="60" w:afterLines="25" w:line="300" w:lineRule="auto"/>
        <w:ind w:firstLine="480" w:firstLineChars="200"/>
        <w:rPr>
          <w:rFonts w:ascii="宋体" w:hAnsi="宋体"/>
          <w:szCs w:val="21"/>
        </w:rPr>
      </w:pPr>
      <w:r>
        <w:rPr>
          <w:rFonts w:ascii="宋体" w:hAnsi="宋体"/>
          <w:szCs w:val="21"/>
        </w:rPr>
        <w:t>本</w:t>
      </w:r>
      <w:r>
        <w:rPr>
          <w:rFonts w:hint="eastAsia" w:ascii="宋体" w:hAnsi="宋体"/>
          <w:szCs w:val="21"/>
        </w:rPr>
        <w:t>投标人郑重声明，根据《财政部民政部中国残疾人联合会关于促进残疾人就业政府采购政策的通知》（财库〔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 xml:space="preserve">141 </w:t>
      </w:r>
      <w:r>
        <w:rPr>
          <w:rFonts w:hint="eastAsia" w:ascii="宋体" w:hAnsi="宋体"/>
          <w:szCs w:val="21"/>
        </w:rPr>
        <w:t>号）的规定，本投标人</w:t>
      </w:r>
      <w:r>
        <w:rPr>
          <w:rFonts w:ascii="宋体" w:hAnsi="宋体"/>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w:t>
      </w:r>
      <w:r>
        <w:rPr>
          <w:rFonts w:hint="eastAsia" w:ascii="宋体" w:hAnsi="宋体"/>
          <w:szCs w:val="21"/>
          <w:lang w:val="en-US" w:eastAsia="zh-CN"/>
        </w:rPr>
        <w:t>服务</w:t>
      </w:r>
      <w:r>
        <w:rPr>
          <w:rFonts w:ascii="宋体" w:hAnsi="宋体"/>
          <w:szCs w:val="21"/>
        </w:rPr>
        <w:t>全部由符合政策要求的</w:t>
      </w:r>
      <w:r>
        <w:rPr>
          <w:rFonts w:hint="eastAsia" w:ascii="宋体" w:hAnsi="宋体"/>
          <w:szCs w:val="21"/>
        </w:rPr>
        <w:t>残疾人福利性单位</w:t>
      </w:r>
      <w:r>
        <w:rPr>
          <w:rFonts w:hint="eastAsia" w:ascii="宋体" w:hAnsi="宋体"/>
          <w:szCs w:val="21"/>
          <w:lang w:val="en-US" w:eastAsia="zh-CN"/>
        </w:rPr>
        <w:t>承接</w:t>
      </w:r>
      <w:r>
        <w:rPr>
          <w:rFonts w:ascii="宋体" w:hAnsi="宋体"/>
          <w:szCs w:val="21"/>
        </w:rPr>
        <w:t>。相关</w:t>
      </w:r>
      <w:r>
        <w:rPr>
          <w:rFonts w:hint="eastAsia" w:ascii="宋体" w:hAnsi="宋体"/>
          <w:szCs w:val="21"/>
        </w:rPr>
        <w:t>残疾人福利性单位</w:t>
      </w:r>
      <w:r>
        <w:rPr>
          <w:rFonts w:ascii="宋体" w:hAnsi="宋体"/>
          <w:szCs w:val="21"/>
        </w:rPr>
        <w:t>的具体情况如下：</w:t>
      </w:r>
    </w:p>
    <w:p w14:paraId="58BBE6FD">
      <w:pPr>
        <w:spacing w:after="60" w:afterLines="25" w:line="300" w:lineRule="auto"/>
        <w:ind w:firstLine="48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hint="eastAsia" w:ascii="宋体" w:hAnsi="宋体"/>
          <w:szCs w:val="21"/>
        </w:rPr>
        <w:t>，</w:t>
      </w:r>
      <w:r>
        <w:rPr>
          <w:rFonts w:hint="eastAsia" w:ascii="宋体" w:hAnsi="宋体"/>
          <w:szCs w:val="21"/>
          <w:lang w:val="en-US" w:eastAsia="zh-CN"/>
        </w:rPr>
        <w:t>承接企业</w:t>
      </w:r>
      <w:r>
        <w:rPr>
          <w:rFonts w:ascii="宋体" w:hAnsi="宋体"/>
          <w:szCs w:val="21"/>
        </w:rPr>
        <w:t>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ascii="宋体" w:hAnsi="宋体"/>
          <w:szCs w:val="21"/>
        </w:rPr>
        <w:t>；</w:t>
      </w:r>
    </w:p>
    <w:p w14:paraId="7F69A950">
      <w:pPr>
        <w:spacing w:after="60" w:afterLines="25" w:line="300" w:lineRule="auto"/>
        <w:ind w:firstLine="48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hint="eastAsia" w:ascii="宋体" w:hAnsi="宋体"/>
          <w:szCs w:val="21"/>
        </w:rPr>
        <w:t>，</w:t>
      </w:r>
      <w:r>
        <w:rPr>
          <w:rFonts w:hint="eastAsia" w:ascii="宋体" w:hAnsi="宋体"/>
          <w:szCs w:val="21"/>
          <w:lang w:val="en-US" w:eastAsia="zh-CN"/>
        </w:rPr>
        <w:t>承接企业</w:t>
      </w:r>
      <w:r>
        <w:rPr>
          <w:rFonts w:ascii="宋体" w:hAnsi="宋体"/>
          <w:szCs w:val="21"/>
        </w:rPr>
        <w:t>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hint="eastAsia" w:ascii="宋体" w:hAnsi="宋体"/>
          <w:szCs w:val="21"/>
        </w:rPr>
        <w:t>。</w:t>
      </w:r>
    </w:p>
    <w:p w14:paraId="45120E9D">
      <w:pPr>
        <w:spacing w:after="60" w:afterLines="25" w:line="300" w:lineRule="auto"/>
        <w:ind w:firstLine="480" w:firstLineChars="200"/>
        <w:rPr>
          <w:rFonts w:ascii="宋体" w:hAnsi="宋体"/>
          <w:szCs w:val="21"/>
        </w:rPr>
      </w:pPr>
      <w:r>
        <w:rPr>
          <w:rFonts w:ascii="宋体" w:hAnsi="宋体"/>
          <w:szCs w:val="21"/>
        </w:rPr>
        <w:t xml:space="preserve">…… </w:t>
      </w:r>
    </w:p>
    <w:p w14:paraId="1ECBE7D0">
      <w:pPr>
        <w:spacing w:after="60" w:afterLines="25" w:line="300" w:lineRule="auto"/>
        <w:ind w:firstLine="480" w:firstLineChars="200"/>
        <w:rPr>
          <w:rFonts w:ascii="宋体" w:hAnsi="宋体"/>
          <w:szCs w:val="21"/>
        </w:rPr>
      </w:pPr>
      <w:bookmarkStart w:id="27" w:name="_Hlk73562331"/>
      <w:r>
        <w:rPr>
          <w:rFonts w:hint="eastAsia" w:ascii="宋体" w:hAnsi="宋体"/>
          <w:szCs w:val="21"/>
        </w:rPr>
        <w:t>本</w:t>
      </w:r>
      <w:r>
        <w:rPr>
          <w:rFonts w:ascii="宋体" w:hAnsi="宋体"/>
          <w:szCs w:val="21"/>
        </w:rPr>
        <w:t>投标人</w:t>
      </w:r>
      <w:r>
        <w:rPr>
          <w:rFonts w:hint="eastAsia" w:ascii="宋体" w:hAnsi="宋体"/>
          <w:szCs w:val="21"/>
        </w:rPr>
        <w:t>已</w:t>
      </w:r>
      <w:r>
        <w:rPr>
          <w:rFonts w:ascii="宋体" w:hAnsi="宋体"/>
          <w:szCs w:val="21"/>
        </w:rPr>
        <w:t>知悉</w:t>
      </w:r>
      <w:r>
        <w:rPr>
          <w:rFonts w:hint="eastAsia" w:ascii="宋体" w:hAnsi="宋体"/>
          <w:szCs w:val="21"/>
        </w:rPr>
        <w:t>《财政部民政部中国残疾人联合会关于促进残疾人就业政府采购政策的通知》（财库〔2017〕141 号）</w:t>
      </w:r>
      <w:r>
        <w:rPr>
          <w:rFonts w:ascii="宋体" w:hAnsi="宋体"/>
          <w:szCs w:val="21"/>
        </w:rPr>
        <w:t>的规定，承诺提供的声明函内容是真实的，如提供声明函内容不实，则依法追究相关法律责任</w:t>
      </w:r>
      <w:r>
        <w:rPr>
          <w:rFonts w:hint="eastAsia" w:ascii="宋体" w:hAnsi="宋体"/>
          <w:szCs w:val="21"/>
        </w:rPr>
        <w:t>。</w:t>
      </w:r>
      <w:bookmarkEnd w:id="27"/>
    </w:p>
    <w:p w14:paraId="52568342">
      <w:pPr>
        <w:spacing w:after="60" w:afterLines="25" w:line="300" w:lineRule="auto"/>
        <w:jc w:val="right"/>
        <w:rPr>
          <w:rFonts w:ascii="宋体" w:hAnsi="宋体"/>
          <w:szCs w:val="21"/>
        </w:rPr>
      </w:pPr>
    </w:p>
    <w:p w14:paraId="42FCDF7C">
      <w:pPr>
        <w:spacing w:after="60" w:afterLines="25" w:line="300" w:lineRule="auto"/>
        <w:ind w:right="420" w:firstLine="3840" w:firstLineChars="1600"/>
        <w:rPr>
          <w:rFonts w:ascii="宋体" w:hAnsi="宋体"/>
          <w:szCs w:val="21"/>
        </w:rPr>
      </w:pPr>
      <w:r>
        <w:rPr>
          <w:rFonts w:hint="eastAsia" w:ascii="宋体" w:hAnsi="宋体"/>
          <w:szCs w:val="21"/>
        </w:rPr>
        <w:t>投标人（投标单位）（单位盖章）：</w:t>
      </w:r>
    </w:p>
    <w:p w14:paraId="6F59F809">
      <w:pPr>
        <w:spacing w:after="60" w:afterLines="25" w:line="300" w:lineRule="auto"/>
        <w:ind w:right="420" w:firstLine="5280" w:firstLineChars="2200"/>
        <w:rPr>
          <w:rFonts w:ascii="宋体" w:hAnsi="宋体"/>
          <w:szCs w:val="21"/>
        </w:rPr>
      </w:pPr>
      <w:r>
        <w:rPr>
          <w:rFonts w:hint="eastAsia" w:ascii="宋体" w:hAnsi="宋体"/>
          <w:szCs w:val="21"/>
        </w:rPr>
        <w:t>日期：</w:t>
      </w:r>
    </w:p>
    <w:p w14:paraId="1D6903AF">
      <w:pPr>
        <w:pageBreakBefore w:val="0"/>
        <w:numPr>
          <w:ilvl w:val="0"/>
          <w:numId w:val="0"/>
        </w:numPr>
        <w:wordWrap/>
        <w:overflowPunct/>
        <w:topLinePunct w:val="0"/>
        <w:bidi w:val="0"/>
        <w:spacing w:line="400" w:lineRule="exact"/>
        <w:ind w:leftChars="0"/>
        <w:rPr>
          <w:rFonts w:hint="default"/>
          <w:b/>
          <w:bCs/>
          <w:lang w:val="en-US" w:eastAsia="zh-CN"/>
        </w:rPr>
      </w:pPr>
    </w:p>
    <w:p w14:paraId="645516B3">
      <w:pPr>
        <w:pageBreakBefore w:val="0"/>
        <w:numPr>
          <w:ilvl w:val="0"/>
          <w:numId w:val="0"/>
        </w:numPr>
        <w:wordWrap/>
        <w:overflowPunct/>
        <w:topLinePunct w:val="0"/>
        <w:bidi w:val="0"/>
        <w:spacing w:line="400" w:lineRule="exact"/>
        <w:ind w:leftChars="0"/>
        <w:rPr>
          <w:rFonts w:hint="default"/>
          <w:b/>
          <w:bCs/>
          <w:lang w:val="en-US" w:eastAsia="zh-CN"/>
        </w:rPr>
      </w:pPr>
    </w:p>
    <w:p w14:paraId="24215054">
      <w:pPr>
        <w:spacing w:after="60" w:afterLines="25" w:line="300" w:lineRule="auto"/>
        <w:jc w:val="right"/>
        <w:rPr>
          <w:rFonts w:ascii="宋体" w:hAnsi="宋体"/>
          <w:b/>
          <w:color w:val="FF0000"/>
          <w:sz w:val="28"/>
          <w:szCs w:val="28"/>
        </w:rPr>
      </w:pPr>
    </w:p>
    <w:p w14:paraId="0825FDE1">
      <w:pPr>
        <w:spacing w:after="60" w:afterLines="25" w:line="300" w:lineRule="auto"/>
        <w:jc w:val="right"/>
        <w:rPr>
          <w:rFonts w:ascii="Arial" w:hAnsi="Arial" w:eastAsia="宋体"/>
          <w:b/>
          <w:color w:val="FF0000"/>
          <w:sz w:val="28"/>
          <w:szCs w:val="28"/>
        </w:rPr>
      </w:pPr>
    </w:p>
    <w:p w14:paraId="7BFF2E84">
      <w:pPr>
        <w:spacing w:after="60" w:afterLines="25" w:line="300" w:lineRule="auto"/>
        <w:ind w:firstLine="482" w:firstLineChars="200"/>
        <w:rPr>
          <w:rFonts w:ascii="宋体" w:hAnsi="宋体" w:eastAsia="宋体"/>
          <w:color w:val="FF0000"/>
          <w:szCs w:val="21"/>
          <w:highlight w:val="yellow"/>
        </w:rPr>
      </w:pPr>
      <w:r>
        <w:rPr>
          <w:rFonts w:hint="eastAsia" w:ascii="宋体" w:hAnsi="宋体" w:eastAsia="宋体"/>
          <w:b/>
          <w:color w:val="FF0000"/>
          <w:szCs w:val="21"/>
          <w:highlight w:val="yellow"/>
        </w:rPr>
        <w:t>说明：</w:t>
      </w:r>
      <w:r>
        <w:rPr>
          <w:rFonts w:hint="eastAsia" w:ascii="宋体" w:hAnsi="宋体" w:eastAsia="宋体"/>
          <w:color w:val="FF0000"/>
          <w:szCs w:val="21"/>
          <w:highlight w:val="yellow"/>
        </w:rPr>
        <w:t>根据财库〔2017〕141号文件的规定,享受政府采购支持政策的残疾人福利性单位应当同时满足以下条件：</w:t>
      </w:r>
    </w:p>
    <w:p w14:paraId="06770F27">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（一）</w:t>
      </w:r>
      <w:r>
        <w:rPr>
          <w:rFonts w:hint="eastAsia" w:ascii="宋体" w:hAnsi="宋体" w:eastAsia="宋体"/>
          <w:b/>
          <w:color w:val="FF0000"/>
          <w:szCs w:val="21"/>
          <w:highlight w:val="yellow"/>
        </w:rPr>
        <w:t>安置的残疾人占本单位在职职工人数的比例不低于25%（含25%），并且安置的残疾人人数不少于10人（含10人）</w:t>
      </w:r>
      <w:r>
        <w:rPr>
          <w:rFonts w:hint="eastAsia" w:ascii="宋体" w:hAnsi="宋体" w:eastAsia="宋体"/>
          <w:color w:val="FF0000"/>
          <w:szCs w:val="21"/>
          <w:highlight w:val="yellow"/>
        </w:rPr>
        <w:t>；</w:t>
      </w:r>
    </w:p>
    <w:p w14:paraId="1C91686B">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（二）依法与安置的每位残疾人签订了一年以上（含一年）的劳动合同或服务协议；</w:t>
      </w:r>
    </w:p>
    <w:p w14:paraId="4AB238F8">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（三）为安置的每位残疾人按月足额缴纳了基本养老保险、基本医疗保险、失业保险、工伤保险和生育保险等社会保险费；</w:t>
      </w:r>
    </w:p>
    <w:p w14:paraId="3B9CDA15">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（四）通过银行等金融机构向安置的每位残疾人，按月支付了不低于单位所在区县适用的经省级人民政府批准的月最低工资标准的工资；</w:t>
      </w:r>
    </w:p>
    <w:p w14:paraId="5DF68491">
      <w:pPr>
        <w:spacing w:after="60" w:afterLines="25" w:line="300" w:lineRule="auto"/>
        <w:ind w:firstLine="480" w:firstLineChars="200"/>
        <w:rPr>
          <w:rFonts w:ascii="宋体" w:hAnsi="宋体" w:eastAsia="宋体"/>
          <w:color w:val="FF0000"/>
          <w:szCs w:val="21"/>
        </w:rPr>
      </w:pPr>
      <w:r>
        <w:rPr>
          <w:rFonts w:hint="eastAsia" w:ascii="宋体" w:hAnsi="宋体" w:eastAsia="宋体"/>
          <w:color w:val="FF0000"/>
          <w:szCs w:val="21"/>
          <w:highlight w:val="yellow"/>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45FE48C">
      <w:pPr>
        <w:numPr>
          <w:ilvl w:val="0"/>
          <w:numId w:val="0"/>
        </w:numPr>
        <w:ind w:leftChars="0"/>
        <w:jc w:val="both"/>
        <w:outlineLvl w:val="4"/>
        <w:rPr>
          <w:rFonts w:hint="eastAsia" w:ascii="Arial" w:hAnsi="Arial" w:eastAsia="宋体"/>
          <w:b/>
          <w:lang w:eastAsia="zh-CN"/>
        </w:rPr>
      </w:pPr>
      <w:r>
        <w:br w:type="page"/>
      </w:r>
      <w:r>
        <w:rPr>
          <w:rFonts w:hint="eastAsia"/>
          <w:b/>
          <w:bCs/>
          <w:lang w:val="en-US" w:eastAsia="zh-CN"/>
        </w:rPr>
        <w:t xml:space="preserve"> </w:t>
      </w:r>
      <w:r>
        <w:rPr>
          <w:rFonts w:hint="eastAsia" w:ascii="宋体" w:hAnsi="宋体" w:eastAsia="宋体"/>
          <w:b/>
        </w:rPr>
        <w:t>③</w:t>
      </w:r>
      <w:r>
        <w:rPr>
          <w:rFonts w:hint="eastAsia" w:ascii="Arial" w:hAnsi="Arial" w:eastAsia="宋体"/>
          <w:b/>
        </w:rPr>
        <w:t>监狱企业声明函（</w:t>
      </w:r>
      <w:r>
        <w:rPr>
          <w:rFonts w:hint="eastAsia" w:ascii="Arial" w:hAnsi="Arial" w:eastAsia="宋体"/>
          <w:b/>
          <w:lang w:val="en-US" w:eastAsia="zh-CN"/>
        </w:rPr>
        <w:t>服务</w:t>
      </w:r>
      <w:r>
        <w:rPr>
          <w:rFonts w:hint="eastAsia" w:ascii="Arial" w:hAnsi="Arial" w:eastAsia="宋体"/>
          <w:b/>
        </w:rPr>
        <w:t>）</w:t>
      </w:r>
      <w:r>
        <w:rPr>
          <w:rFonts w:hint="eastAsia" w:ascii="Arial" w:hAnsi="Arial" w:eastAsia="宋体"/>
          <w:b/>
          <w:lang w:eastAsia="zh-CN"/>
        </w:rPr>
        <w:t>（</w:t>
      </w:r>
      <w:r>
        <w:rPr>
          <w:rFonts w:hint="eastAsia" w:ascii="Arial" w:hAnsi="Arial" w:eastAsia="宋体"/>
          <w:b/>
          <w:lang w:val="en-US" w:eastAsia="zh-CN"/>
        </w:rPr>
        <w:t>如是可提供</w:t>
      </w:r>
      <w:r>
        <w:rPr>
          <w:rFonts w:hint="eastAsia" w:ascii="Arial" w:hAnsi="Arial" w:eastAsia="宋体"/>
          <w:b/>
          <w:lang w:eastAsia="zh-CN"/>
        </w:rPr>
        <w:t>）</w:t>
      </w:r>
    </w:p>
    <w:p w14:paraId="103533BD">
      <w:pPr>
        <w:pStyle w:val="27"/>
        <w:numPr>
          <w:ilvl w:val="0"/>
          <w:numId w:val="0"/>
        </w:numPr>
        <w:ind w:left="3600" w:leftChars="0"/>
        <w:jc w:val="both"/>
      </w:pPr>
    </w:p>
    <w:p w14:paraId="25F12BF6">
      <w:pPr>
        <w:spacing w:after="60" w:afterLines="25" w:line="300" w:lineRule="auto"/>
        <w:ind w:firstLine="480" w:firstLineChars="200"/>
        <w:rPr>
          <w:rFonts w:ascii="Arial" w:hAnsi="Arial" w:eastAsia="宋体"/>
          <w:szCs w:val="21"/>
        </w:rPr>
      </w:pPr>
      <w:r>
        <w:rPr>
          <w:rFonts w:hint="eastAsia" w:ascii="Arial" w:hAnsi="Arial" w:eastAsia="宋体"/>
          <w:szCs w:val="21"/>
        </w:rPr>
        <w:t>本投标人郑重声明，根据《财政部司法部关于政府采购支持监狱企业发展有关问题的通知》（财库〔</w:t>
      </w:r>
      <w:r>
        <w:rPr>
          <w:rFonts w:ascii="Arial" w:hAnsi="Arial" w:eastAsia="宋体"/>
          <w:szCs w:val="21"/>
        </w:rPr>
        <w:t>2014</w:t>
      </w:r>
      <w:r>
        <w:rPr>
          <w:rFonts w:hint="eastAsia" w:ascii="Arial" w:hAnsi="Arial" w:eastAsia="宋体"/>
          <w:szCs w:val="21"/>
        </w:rPr>
        <w:t>〕</w:t>
      </w:r>
      <w:r>
        <w:rPr>
          <w:rFonts w:ascii="Arial" w:hAnsi="Arial" w:eastAsia="宋体"/>
          <w:szCs w:val="21"/>
        </w:rPr>
        <w:t>68</w:t>
      </w:r>
      <w:r>
        <w:rPr>
          <w:rFonts w:hint="eastAsia" w:ascii="Arial" w:hAnsi="Arial" w:eastAsia="宋体"/>
          <w:szCs w:val="21"/>
        </w:rPr>
        <w:t>号）的规定，本投标人</w:t>
      </w:r>
      <w:r>
        <w:rPr>
          <w:rFonts w:ascii="Arial" w:hAnsi="Arial" w:eastAsia="宋体"/>
          <w:szCs w:val="21"/>
        </w:rPr>
        <w:t>参加</w:t>
      </w:r>
      <w:r>
        <w:rPr>
          <w:rFonts w:ascii="Arial" w:hAnsi="Arial" w:eastAsia="宋体"/>
          <w:b/>
          <w:bCs/>
          <w:szCs w:val="21"/>
          <w:u w:val="single"/>
        </w:rPr>
        <w:t>（</w:t>
      </w:r>
      <w:r>
        <w:rPr>
          <w:rFonts w:hint="eastAsia" w:ascii="Arial" w:hAnsi="Arial" w:eastAsia="宋体"/>
          <w:b/>
          <w:bCs/>
          <w:szCs w:val="21"/>
          <w:u w:val="single"/>
        </w:rPr>
        <w:t>采购人</w:t>
      </w:r>
      <w:r>
        <w:rPr>
          <w:rFonts w:ascii="Arial" w:hAnsi="Arial" w:eastAsia="宋体"/>
          <w:b/>
          <w:bCs/>
          <w:szCs w:val="21"/>
          <w:u w:val="single"/>
        </w:rPr>
        <w:t>名称）</w:t>
      </w:r>
      <w:r>
        <w:rPr>
          <w:rFonts w:ascii="Arial" w:hAnsi="Arial" w:eastAsia="宋体"/>
          <w:szCs w:val="21"/>
        </w:rPr>
        <w:t>的</w:t>
      </w:r>
      <w:r>
        <w:rPr>
          <w:rFonts w:ascii="Arial" w:hAnsi="Arial" w:eastAsia="宋体"/>
          <w:b/>
          <w:bCs/>
          <w:szCs w:val="21"/>
          <w:u w:val="single"/>
        </w:rPr>
        <w:t>（项目名称）</w:t>
      </w:r>
      <w:r>
        <w:rPr>
          <w:rFonts w:ascii="Arial" w:hAnsi="Arial" w:eastAsia="宋体"/>
          <w:szCs w:val="21"/>
        </w:rPr>
        <w:t>采购活动，提供的</w:t>
      </w:r>
      <w:r>
        <w:rPr>
          <w:rFonts w:hint="eastAsia" w:ascii="Arial" w:hAnsi="Arial" w:eastAsia="宋体"/>
          <w:szCs w:val="21"/>
          <w:lang w:val="en-US" w:eastAsia="zh-CN"/>
        </w:rPr>
        <w:t>服务</w:t>
      </w:r>
      <w:r>
        <w:rPr>
          <w:rFonts w:ascii="Arial" w:hAnsi="Arial" w:eastAsia="宋体"/>
          <w:szCs w:val="21"/>
        </w:rPr>
        <w:t>全部由符合政策要求的</w:t>
      </w:r>
      <w:r>
        <w:rPr>
          <w:rFonts w:hint="eastAsia" w:ascii="Arial" w:hAnsi="Arial" w:eastAsia="宋体"/>
          <w:szCs w:val="21"/>
        </w:rPr>
        <w:t>监狱企业</w:t>
      </w:r>
      <w:r>
        <w:rPr>
          <w:rFonts w:hint="eastAsia" w:ascii="Arial" w:hAnsi="Arial" w:eastAsia="宋体"/>
          <w:szCs w:val="21"/>
          <w:lang w:val="en-US" w:eastAsia="zh-CN"/>
        </w:rPr>
        <w:t>承接</w:t>
      </w:r>
      <w:r>
        <w:rPr>
          <w:rFonts w:ascii="Arial" w:hAnsi="Arial" w:eastAsia="宋体"/>
          <w:szCs w:val="21"/>
        </w:rPr>
        <w:t>。相关</w:t>
      </w:r>
      <w:r>
        <w:rPr>
          <w:rFonts w:hint="eastAsia" w:ascii="Arial" w:hAnsi="Arial" w:eastAsia="宋体"/>
          <w:szCs w:val="21"/>
        </w:rPr>
        <w:t>监狱企业</w:t>
      </w:r>
      <w:r>
        <w:rPr>
          <w:rFonts w:ascii="Arial" w:hAnsi="Arial" w:eastAsia="宋体"/>
          <w:szCs w:val="21"/>
        </w:rPr>
        <w:t>的具体情况如下：</w:t>
      </w:r>
    </w:p>
    <w:p w14:paraId="12FBCB9C">
      <w:pPr>
        <w:spacing w:after="60" w:afterLines="25" w:line="300" w:lineRule="auto"/>
        <w:ind w:firstLine="480" w:firstLineChars="200"/>
        <w:rPr>
          <w:rFonts w:ascii="Arial" w:hAnsi="Arial" w:eastAsia="宋体"/>
          <w:szCs w:val="21"/>
        </w:rPr>
      </w:pPr>
      <w:r>
        <w:rPr>
          <w:rFonts w:ascii="Arial" w:hAnsi="Arial" w:eastAsia="宋体"/>
          <w:szCs w:val="21"/>
        </w:rPr>
        <w:t>1.</w:t>
      </w:r>
      <w:r>
        <w:rPr>
          <w:rFonts w:ascii="Arial" w:hAnsi="Arial" w:eastAsia="宋体"/>
          <w:b/>
          <w:bCs/>
          <w:szCs w:val="21"/>
          <w:u w:val="single"/>
        </w:rPr>
        <w:t>（标的名称）</w:t>
      </w:r>
      <w:r>
        <w:rPr>
          <w:rFonts w:hint="eastAsia" w:ascii="Arial" w:hAnsi="Arial" w:eastAsia="宋体"/>
          <w:szCs w:val="21"/>
        </w:rPr>
        <w:t>，</w:t>
      </w:r>
      <w:r>
        <w:rPr>
          <w:rFonts w:hint="eastAsia" w:ascii="Arial" w:hAnsi="Arial" w:eastAsia="宋体"/>
          <w:szCs w:val="21"/>
          <w:lang w:val="en-US" w:eastAsia="zh-CN"/>
        </w:rPr>
        <w:t>承接企业</w:t>
      </w:r>
      <w:r>
        <w:rPr>
          <w:rFonts w:ascii="Arial" w:hAnsi="Arial" w:eastAsia="宋体"/>
          <w:szCs w:val="21"/>
        </w:rPr>
        <w:t>为</w:t>
      </w:r>
      <w:r>
        <w:rPr>
          <w:rFonts w:ascii="Arial" w:hAnsi="Arial" w:eastAsia="宋体"/>
          <w:b/>
          <w:bCs/>
          <w:szCs w:val="21"/>
          <w:u w:val="single"/>
        </w:rPr>
        <w:t>（</w:t>
      </w:r>
      <w:r>
        <w:rPr>
          <w:rFonts w:hint="eastAsia" w:ascii="Arial" w:hAnsi="Arial" w:eastAsia="宋体"/>
          <w:b/>
          <w:bCs/>
          <w:szCs w:val="21"/>
          <w:u w:val="single"/>
        </w:rPr>
        <w:t>企业</w:t>
      </w:r>
      <w:r>
        <w:rPr>
          <w:rFonts w:ascii="Arial" w:hAnsi="Arial" w:eastAsia="宋体"/>
          <w:b/>
          <w:bCs/>
          <w:szCs w:val="21"/>
          <w:u w:val="single"/>
        </w:rPr>
        <w:t>名称）</w:t>
      </w:r>
      <w:r>
        <w:rPr>
          <w:rFonts w:ascii="Arial" w:hAnsi="Arial" w:eastAsia="宋体"/>
          <w:szCs w:val="21"/>
        </w:rPr>
        <w:t>，属于</w:t>
      </w:r>
      <w:r>
        <w:rPr>
          <w:rFonts w:hint="eastAsia" w:ascii="Arial" w:hAnsi="Arial" w:eastAsia="宋体"/>
          <w:b/>
          <w:bCs/>
          <w:szCs w:val="21"/>
          <w:u w:val="single"/>
        </w:rPr>
        <w:t>监狱企业</w:t>
      </w:r>
      <w:r>
        <w:rPr>
          <w:rFonts w:ascii="Arial" w:hAnsi="Arial" w:eastAsia="宋体"/>
          <w:szCs w:val="21"/>
        </w:rPr>
        <w:t>；</w:t>
      </w:r>
    </w:p>
    <w:p w14:paraId="6CD03AA0">
      <w:pPr>
        <w:spacing w:after="60" w:afterLines="25" w:line="300" w:lineRule="auto"/>
        <w:ind w:firstLine="480" w:firstLineChars="200"/>
        <w:rPr>
          <w:rFonts w:ascii="Arial" w:hAnsi="Arial" w:eastAsia="宋体"/>
          <w:szCs w:val="21"/>
        </w:rPr>
      </w:pPr>
      <w:r>
        <w:rPr>
          <w:rFonts w:ascii="Arial" w:hAnsi="Arial" w:eastAsia="宋体"/>
          <w:szCs w:val="21"/>
        </w:rPr>
        <w:t>2.</w:t>
      </w:r>
      <w:r>
        <w:rPr>
          <w:rFonts w:ascii="Arial" w:hAnsi="Arial" w:eastAsia="宋体"/>
          <w:b/>
          <w:bCs/>
          <w:szCs w:val="21"/>
          <w:u w:val="single"/>
        </w:rPr>
        <w:t>（标的名称）</w:t>
      </w:r>
      <w:r>
        <w:rPr>
          <w:rFonts w:hint="eastAsia" w:ascii="Arial" w:hAnsi="Arial" w:eastAsia="宋体"/>
          <w:szCs w:val="21"/>
        </w:rPr>
        <w:t>，</w:t>
      </w:r>
      <w:r>
        <w:rPr>
          <w:rFonts w:hint="eastAsia" w:ascii="Arial" w:hAnsi="Arial" w:eastAsia="宋体"/>
          <w:szCs w:val="21"/>
          <w:lang w:val="en-US" w:eastAsia="zh-CN"/>
        </w:rPr>
        <w:t>承接企业</w:t>
      </w:r>
      <w:r>
        <w:rPr>
          <w:rFonts w:ascii="Arial" w:hAnsi="Arial" w:eastAsia="宋体"/>
          <w:szCs w:val="21"/>
        </w:rPr>
        <w:t>为</w:t>
      </w:r>
      <w:r>
        <w:rPr>
          <w:rFonts w:ascii="Arial" w:hAnsi="Arial" w:eastAsia="宋体"/>
          <w:b/>
          <w:bCs/>
          <w:szCs w:val="21"/>
          <w:u w:val="single"/>
        </w:rPr>
        <w:t>（</w:t>
      </w:r>
      <w:r>
        <w:rPr>
          <w:rFonts w:hint="eastAsia" w:ascii="Arial" w:hAnsi="Arial" w:eastAsia="宋体"/>
          <w:b/>
          <w:bCs/>
          <w:szCs w:val="21"/>
          <w:u w:val="single"/>
        </w:rPr>
        <w:t>企业</w:t>
      </w:r>
      <w:r>
        <w:rPr>
          <w:rFonts w:ascii="Arial" w:hAnsi="Arial" w:eastAsia="宋体"/>
          <w:b/>
          <w:bCs/>
          <w:szCs w:val="21"/>
          <w:u w:val="single"/>
        </w:rPr>
        <w:t>名称）</w:t>
      </w:r>
      <w:r>
        <w:rPr>
          <w:rFonts w:ascii="Arial" w:hAnsi="Arial" w:eastAsia="宋体"/>
          <w:szCs w:val="21"/>
        </w:rPr>
        <w:t>，属于</w:t>
      </w:r>
      <w:r>
        <w:rPr>
          <w:rFonts w:hint="eastAsia" w:ascii="Arial" w:hAnsi="Arial" w:eastAsia="宋体"/>
          <w:b/>
          <w:bCs/>
          <w:szCs w:val="21"/>
          <w:u w:val="single"/>
        </w:rPr>
        <w:t>监狱企业</w:t>
      </w:r>
      <w:r>
        <w:rPr>
          <w:rFonts w:hint="eastAsia" w:ascii="Arial" w:hAnsi="Arial" w:eastAsia="宋体"/>
          <w:szCs w:val="21"/>
        </w:rPr>
        <w:t>。</w:t>
      </w:r>
    </w:p>
    <w:p w14:paraId="2BDD73E2">
      <w:pPr>
        <w:spacing w:after="60" w:afterLines="25" w:line="300" w:lineRule="auto"/>
        <w:ind w:firstLine="480" w:firstLineChars="200"/>
        <w:rPr>
          <w:rFonts w:ascii="Arial" w:hAnsi="Arial" w:eastAsia="宋体"/>
          <w:szCs w:val="21"/>
        </w:rPr>
      </w:pPr>
      <w:r>
        <w:rPr>
          <w:rFonts w:ascii="Arial" w:hAnsi="Arial" w:eastAsia="宋体"/>
          <w:szCs w:val="21"/>
        </w:rPr>
        <w:t xml:space="preserve">…… </w:t>
      </w:r>
    </w:p>
    <w:p w14:paraId="0B3FE385">
      <w:pPr>
        <w:spacing w:after="60" w:afterLines="25" w:line="300" w:lineRule="auto"/>
        <w:ind w:firstLine="480" w:firstLineChars="200"/>
        <w:rPr>
          <w:rFonts w:ascii="Arial" w:hAnsi="Arial" w:eastAsia="宋体"/>
          <w:szCs w:val="21"/>
        </w:rPr>
      </w:pPr>
      <w:r>
        <w:rPr>
          <w:rFonts w:ascii="Arial" w:hAnsi="Arial" w:eastAsia="宋体"/>
          <w:szCs w:val="21"/>
        </w:rPr>
        <w:t>本</w:t>
      </w:r>
      <w:r>
        <w:rPr>
          <w:rFonts w:hint="eastAsia" w:ascii="Arial" w:hAnsi="Arial" w:eastAsia="宋体"/>
          <w:szCs w:val="21"/>
        </w:rPr>
        <w:t>投标人</w:t>
      </w:r>
      <w:r>
        <w:rPr>
          <w:rFonts w:ascii="Arial" w:hAnsi="Arial" w:eastAsia="宋体"/>
          <w:szCs w:val="21"/>
        </w:rPr>
        <w:t>对上述声明内容的真实性负责。如有虚假，将依法承担相应责任。</w:t>
      </w:r>
    </w:p>
    <w:p w14:paraId="46671184">
      <w:pPr>
        <w:spacing w:after="60" w:afterLines="25" w:line="300" w:lineRule="auto"/>
        <w:ind w:firstLine="482" w:firstLineChars="200"/>
        <w:rPr>
          <w:rFonts w:ascii="Arial" w:hAnsi="Arial" w:eastAsia="宋体"/>
          <w:b/>
          <w:color w:val="FF0000"/>
          <w:szCs w:val="21"/>
        </w:rPr>
      </w:pPr>
    </w:p>
    <w:p w14:paraId="1FC6DF6E">
      <w:pPr>
        <w:spacing w:after="60" w:afterLines="25" w:line="300" w:lineRule="auto"/>
        <w:ind w:firstLine="482" w:firstLineChars="200"/>
        <w:rPr>
          <w:rFonts w:ascii="Arial" w:hAnsi="Arial" w:eastAsia="宋体"/>
          <w:b/>
          <w:color w:val="FF0000"/>
          <w:szCs w:val="21"/>
        </w:rPr>
      </w:pPr>
      <w:r>
        <w:rPr>
          <w:rFonts w:hint="eastAsia" w:ascii="Arial" w:hAnsi="Arial" w:eastAsia="宋体"/>
          <w:b/>
          <w:color w:val="FF0000"/>
          <w:szCs w:val="21"/>
        </w:rPr>
        <w:t>附：省级以上监狱管理局、戒毒管理局（含新疆生产建设兵团）出具的监狱企业证明文件。</w:t>
      </w:r>
    </w:p>
    <w:p w14:paraId="034126C4">
      <w:pPr>
        <w:spacing w:after="60" w:afterLines="25" w:line="300" w:lineRule="auto"/>
        <w:ind w:firstLine="482" w:firstLineChars="200"/>
        <w:rPr>
          <w:rFonts w:ascii="Arial" w:hAnsi="Arial" w:eastAsia="宋体"/>
          <w:b/>
          <w:color w:val="FF0000"/>
          <w:szCs w:val="21"/>
        </w:rPr>
      </w:pPr>
    </w:p>
    <w:p w14:paraId="711C1B1E">
      <w:pPr>
        <w:spacing w:after="60" w:afterLines="25" w:line="300" w:lineRule="auto"/>
        <w:ind w:firstLine="482" w:firstLineChars="200"/>
        <w:rPr>
          <w:rFonts w:ascii="Arial" w:hAnsi="Arial" w:eastAsia="宋体"/>
          <w:b/>
          <w:color w:val="FF0000"/>
          <w:szCs w:val="21"/>
        </w:rPr>
      </w:pPr>
    </w:p>
    <w:p w14:paraId="30096ACF">
      <w:pPr>
        <w:wordWrap w:val="0"/>
        <w:spacing w:after="60" w:afterLines="25" w:line="300" w:lineRule="auto"/>
        <w:ind w:right="420"/>
        <w:jc w:val="right"/>
        <w:rPr>
          <w:rFonts w:ascii="Arial" w:hAnsi="Arial" w:eastAsia="宋体"/>
          <w:szCs w:val="21"/>
        </w:rPr>
      </w:pPr>
      <w:r>
        <w:rPr>
          <w:rFonts w:hint="eastAsia" w:ascii="Arial" w:hAnsi="Arial" w:eastAsia="宋体"/>
          <w:szCs w:val="21"/>
        </w:rPr>
        <w:t>投标人（投标单位）</w:t>
      </w:r>
      <w:r>
        <w:rPr>
          <w:rFonts w:hint="eastAsia" w:ascii="宋体" w:hAnsi="宋体"/>
          <w:szCs w:val="21"/>
        </w:rPr>
        <w:t>（单位盖章）</w:t>
      </w:r>
      <w:r>
        <w:rPr>
          <w:rFonts w:hint="eastAsia" w:ascii="Arial" w:hAnsi="Arial" w:eastAsia="宋体"/>
          <w:szCs w:val="21"/>
        </w:rPr>
        <w:t>：</w:t>
      </w:r>
    </w:p>
    <w:p w14:paraId="630D99E5">
      <w:pPr>
        <w:wordWrap w:val="0"/>
        <w:spacing w:after="60" w:afterLines="25" w:line="300" w:lineRule="auto"/>
        <w:ind w:right="420" w:firstLine="6000" w:firstLineChars="2500"/>
        <w:jc w:val="both"/>
        <w:rPr>
          <w:rFonts w:ascii="Arial" w:hAnsi="Arial" w:eastAsia="宋体"/>
          <w:szCs w:val="21"/>
        </w:rPr>
      </w:pPr>
      <w:r>
        <w:rPr>
          <w:rFonts w:hint="eastAsia" w:ascii="Arial" w:hAnsi="Arial" w:eastAsia="宋体"/>
          <w:szCs w:val="21"/>
        </w:rPr>
        <w:t>日期：</w:t>
      </w:r>
    </w:p>
    <w:p w14:paraId="2FF8D8A5">
      <w:pPr>
        <w:spacing w:after="60" w:afterLines="25" w:line="300" w:lineRule="auto"/>
        <w:ind w:firstLine="480" w:firstLineChars="200"/>
        <w:rPr>
          <w:rFonts w:ascii="Arial" w:hAnsi="Arial" w:eastAsia="宋体"/>
          <w:szCs w:val="21"/>
        </w:rPr>
      </w:pPr>
    </w:p>
    <w:p w14:paraId="5095E9F3">
      <w:pPr>
        <w:spacing w:after="60" w:afterLines="25" w:line="300" w:lineRule="auto"/>
        <w:ind w:firstLine="482" w:firstLineChars="200"/>
        <w:rPr>
          <w:rFonts w:ascii="Arial" w:hAnsi="Arial" w:eastAsia="宋体"/>
          <w:b/>
          <w:color w:val="FF0000"/>
          <w:szCs w:val="21"/>
        </w:rPr>
      </w:pPr>
    </w:p>
    <w:p w14:paraId="06AB6FEA">
      <w:pPr>
        <w:rPr>
          <w:rFonts w:ascii="宋体" w:hAnsi="宋体" w:eastAsia="宋体"/>
          <w:b/>
        </w:rPr>
      </w:pPr>
      <w:r>
        <w:br w:type="page"/>
      </w:r>
    </w:p>
    <w:p w14:paraId="23F99922">
      <w:pPr>
        <w:spacing w:after="60" w:afterLines="25" w:line="300" w:lineRule="auto"/>
        <w:ind w:firstLine="482" w:firstLineChars="200"/>
        <w:jc w:val="center"/>
        <w:outlineLvl w:val="4"/>
        <w:rPr>
          <w:rFonts w:ascii="Arial" w:hAnsi="Arial" w:eastAsia="宋体"/>
          <w:b/>
        </w:rPr>
      </w:pPr>
      <w:r>
        <w:rPr>
          <w:rFonts w:hint="eastAsia" w:ascii="宋体" w:hAnsi="宋体" w:eastAsia="宋体"/>
          <w:b/>
        </w:rPr>
        <w:t>④</w:t>
      </w:r>
      <w:r>
        <w:rPr>
          <w:rFonts w:hint="eastAsia" w:ascii="Arial" w:hAnsi="Arial" w:eastAsia="宋体"/>
          <w:b/>
        </w:rPr>
        <w:t>含有优惠主体的联合体声明函</w:t>
      </w:r>
    </w:p>
    <w:p w14:paraId="63B07F4E">
      <w:pPr>
        <w:spacing w:after="60" w:afterLines="25" w:line="300" w:lineRule="auto"/>
        <w:ind w:right="420"/>
        <w:rPr>
          <w:rFonts w:ascii="Arial" w:hAnsi="Arial" w:eastAsia="宋体"/>
          <w:szCs w:val="21"/>
        </w:rPr>
      </w:pPr>
      <w:r>
        <w:rPr>
          <w:rFonts w:hint="eastAsia" w:ascii="Arial" w:hAnsi="Arial" w:eastAsia="宋体"/>
          <w:szCs w:val="21"/>
          <w:lang w:eastAsia="zh-CN"/>
        </w:rPr>
        <w:t>详见</w:t>
      </w:r>
      <w:r>
        <w:rPr>
          <w:rFonts w:ascii="Arial" w:hAnsi="Arial" w:eastAsia="宋体"/>
          <w:szCs w:val="21"/>
        </w:rPr>
        <w:t>《政府采购促进中小企业发展管理办法》（财库〔2020〕46 号）</w:t>
      </w:r>
    </w:p>
    <w:p w14:paraId="43194C9E">
      <w:pPr>
        <w:spacing w:after="60" w:afterLines="25" w:line="300" w:lineRule="auto"/>
        <w:rPr>
          <w:rFonts w:ascii="宋体" w:hAnsi="宋体" w:eastAsia="宋体"/>
          <w:szCs w:val="21"/>
        </w:rPr>
      </w:pPr>
      <w:r>
        <w:rPr>
          <w:rFonts w:hint="eastAsia" w:ascii="宋体" w:hAnsi="宋体" w:eastAsia="宋体"/>
          <w:szCs w:val="21"/>
        </w:rPr>
        <w:t xml:space="preserve">  </w:t>
      </w:r>
    </w:p>
    <w:p w14:paraId="061E4253">
      <w:pPr>
        <w:spacing w:after="60" w:afterLines="25" w:line="300" w:lineRule="auto"/>
        <w:rPr>
          <w:rFonts w:ascii="Arial" w:hAnsi="Arial" w:eastAsia="宋体"/>
        </w:rPr>
      </w:pPr>
    </w:p>
    <w:p w14:paraId="67454139">
      <w:pPr>
        <w:spacing w:after="60" w:afterLines="25" w:line="300" w:lineRule="auto"/>
        <w:rPr>
          <w:rFonts w:ascii="Arial" w:hAnsi="Arial" w:eastAsia="宋体"/>
        </w:rPr>
      </w:pPr>
    </w:p>
    <w:p w14:paraId="2C83646D">
      <w:pPr>
        <w:spacing w:after="60" w:afterLines="25" w:line="300" w:lineRule="auto"/>
        <w:rPr>
          <w:rFonts w:ascii="Arial" w:hAnsi="Arial" w:eastAsia="宋体"/>
        </w:rPr>
      </w:pPr>
    </w:p>
    <w:p w14:paraId="7F597EC7">
      <w:pPr>
        <w:snapToGrid w:val="0"/>
        <w:spacing w:after="60" w:afterLines="25" w:line="300" w:lineRule="auto"/>
        <w:ind w:firstLine="480" w:firstLineChars="200"/>
        <w:jc w:val="center"/>
        <w:rPr>
          <w:rFonts w:hint="eastAsia" w:ascii="Arial" w:hAnsi="Arial" w:eastAsia="宋体"/>
          <w:color w:val="FF0000"/>
          <w:highlight w:val="yellow"/>
        </w:rPr>
      </w:pPr>
    </w:p>
    <w:p w14:paraId="1865F27D">
      <w:pPr>
        <w:snapToGrid w:val="0"/>
        <w:spacing w:after="60" w:afterLines="25" w:line="300" w:lineRule="auto"/>
        <w:ind w:firstLine="480" w:firstLineChars="200"/>
        <w:jc w:val="center"/>
        <w:rPr>
          <w:rFonts w:hint="eastAsia" w:ascii="Arial" w:hAnsi="Arial" w:eastAsia="宋体"/>
          <w:color w:val="FF0000"/>
          <w:highlight w:val="yellow"/>
        </w:rPr>
      </w:pPr>
    </w:p>
    <w:p w14:paraId="57377D98">
      <w:pPr>
        <w:numPr>
          <w:ilvl w:val="0"/>
          <w:numId w:val="0"/>
        </w:numPr>
        <w:jc w:val="both"/>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8.非联合体投标承诺函（承诺函格式自拟）</w:t>
      </w:r>
    </w:p>
    <w:p w14:paraId="58738C44">
      <w:pPr>
        <w:pStyle w:val="17"/>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716ADDE6">
      <w:pPr>
        <w:pStyle w:val="14"/>
        <w:numPr>
          <w:ilvl w:val="0"/>
          <w:numId w:val="0"/>
        </w:numPr>
        <w:rPr>
          <w:rFonts w:hint="eastAsia"/>
          <w:lang w:val="en-US" w:eastAsia="zh-CN"/>
        </w:rPr>
      </w:pPr>
    </w:p>
    <w:p w14:paraId="5BB835C1">
      <w:pPr>
        <w:jc w:val="both"/>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9.非进口产品投标承诺函（承诺函格式自拟）</w:t>
      </w:r>
    </w:p>
    <w:p w14:paraId="707EEE79">
      <w:pPr>
        <w:pStyle w:val="17"/>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5F5C5BB1">
      <w:pPr>
        <w:snapToGrid w:val="0"/>
        <w:spacing w:after="60" w:afterLines="25" w:line="300" w:lineRule="auto"/>
        <w:ind w:firstLine="480" w:firstLineChars="200"/>
        <w:jc w:val="center"/>
        <w:rPr>
          <w:rFonts w:hint="eastAsia" w:ascii="Arial" w:hAnsi="Arial" w:eastAsia="宋体"/>
          <w:color w:val="FF0000"/>
          <w:highlight w:val="yellow"/>
        </w:rPr>
      </w:pPr>
    </w:p>
    <w:p w14:paraId="5AA98B7C">
      <w:pPr>
        <w:snapToGrid w:val="0"/>
        <w:spacing w:after="60" w:afterLines="25" w:line="300" w:lineRule="auto"/>
        <w:ind w:firstLine="480" w:firstLineChars="200"/>
        <w:jc w:val="center"/>
      </w:pPr>
      <w:r>
        <w:br w:type="page"/>
      </w:r>
    </w:p>
    <w:p w14:paraId="571C6D88">
      <w:pPr>
        <w:keepNext/>
        <w:keepLines/>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10</w:t>
      </w:r>
      <w:r>
        <w:rPr>
          <w:rFonts w:ascii="宋体" w:hAnsi="宋体" w:eastAsia="宋体"/>
          <w:b/>
          <w:bCs/>
          <w:szCs w:val="20"/>
        </w:rPr>
        <w:t>.投标</w:t>
      </w:r>
      <w:r>
        <w:rPr>
          <w:rFonts w:hint="eastAsia" w:ascii="宋体" w:hAnsi="宋体" w:eastAsia="宋体"/>
          <w:b/>
          <w:bCs/>
          <w:szCs w:val="20"/>
        </w:rPr>
        <w:t>函</w:t>
      </w:r>
    </w:p>
    <w:p w14:paraId="34E5B418">
      <w:pPr>
        <w:snapToGrid w:val="0"/>
        <w:spacing w:line="360" w:lineRule="auto"/>
        <w:rPr>
          <w:rFonts w:ascii="Arial" w:hAnsi="Arial" w:eastAsia="宋体"/>
        </w:rPr>
      </w:pPr>
    </w:p>
    <w:p w14:paraId="4C96AF24">
      <w:pPr>
        <w:snapToGrid w:val="0"/>
        <w:spacing w:line="360" w:lineRule="auto"/>
        <w:rPr>
          <w:rFonts w:hint="eastAsia" w:ascii="Arial" w:hAnsi="Arial" w:eastAsia="宋体" w:cs="Arial"/>
          <w:u w:val="single"/>
          <w:lang w:eastAsia="zh-CN"/>
        </w:rPr>
      </w:pPr>
      <w:r>
        <w:rPr>
          <w:rFonts w:ascii="Arial" w:hAnsi="Arial" w:eastAsia="宋体" w:cs="Arial"/>
        </w:rPr>
        <w:t>致：</w:t>
      </w:r>
      <w:r>
        <w:rPr>
          <w:rFonts w:hint="eastAsia" w:ascii="Arial" w:hAnsi="Arial" w:eastAsia="宋体" w:cs="Arial"/>
          <w:u w:val="single"/>
          <w:lang w:eastAsia="zh-CN"/>
        </w:rPr>
        <w:t>喀什市科学技术局</w:t>
      </w:r>
    </w:p>
    <w:p w14:paraId="205FB24E">
      <w:pPr>
        <w:snapToGrid w:val="0"/>
        <w:spacing w:line="360" w:lineRule="auto"/>
        <w:ind w:firstLine="560"/>
        <w:rPr>
          <w:rFonts w:ascii="Arial" w:hAnsi="Arial" w:eastAsia="宋体" w:cs="Arial"/>
        </w:rPr>
      </w:pPr>
      <w:r>
        <w:rPr>
          <w:rFonts w:ascii="Arial" w:hAnsi="Arial" w:eastAsia="宋体" w:cs="Arial"/>
        </w:rPr>
        <w:t>根据贵方</w:t>
      </w:r>
      <w:r>
        <w:rPr>
          <w:rFonts w:hint="eastAsia" w:ascii="Arial" w:hAnsi="Arial" w:eastAsia="宋体" w:cs="Arial"/>
        </w:rPr>
        <w:t>项目编号为</w:t>
      </w:r>
      <w:r>
        <w:rPr>
          <w:rFonts w:hint="eastAsia" w:ascii="Arial" w:hAnsi="Arial" w:eastAsia="宋体" w:cs="Arial"/>
          <w:u w:val="single"/>
        </w:rPr>
        <w:t xml:space="preserve">   </w:t>
      </w:r>
      <w:r>
        <w:rPr>
          <w:rFonts w:hint="eastAsia" w:ascii="Arial" w:hAnsi="Arial" w:eastAsia="宋体" w:cs="Arial"/>
          <w:u w:val="single"/>
          <w:lang w:eastAsia="zh-CN"/>
        </w:rPr>
        <w:t>KSS(GK)2025-027</w:t>
      </w:r>
      <w:r>
        <w:rPr>
          <w:rFonts w:hint="eastAsia" w:ascii="Arial" w:hAnsi="Arial" w:eastAsia="宋体" w:cs="Arial"/>
        </w:rPr>
        <w:t>的</w:t>
      </w:r>
      <w:r>
        <w:rPr>
          <w:rFonts w:hint="eastAsia" w:ascii="Arial" w:hAnsi="Arial" w:eastAsia="宋体" w:cs="Arial"/>
          <w:u w:val="single"/>
        </w:rPr>
        <w:t xml:space="preserve">   </w:t>
      </w:r>
      <w:r>
        <w:rPr>
          <w:rFonts w:hint="eastAsia" w:ascii="Arial" w:hAnsi="Arial" w:eastAsia="宋体" w:cs="Arial"/>
          <w:u w:val="single"/>
          <w:lang w:eastAsia="zh-CN"/>
        </w:rPr>
        <w:t>喀什市青少年科学教育活动基地物业服务</w:t>
      </w:r>
      <w:r>
        <w:rPr>
          <w:rFonts w:hint="eastAsia" w:ascii="Arial" w:hAnsi="Arial" w:eastAsia="宋体" w:cs="Arial"/>
        </w:rPr>
        <w:t>项目的招标文件</w:t>
      </w:r>
      <w:r>
        <w:rPr>
          <w:rFonts w:ascii="Arial" w:hAnsi="Arial" w:eastAsia="宋体" w:cs="Arial"/>
        </w:rPr>
        <w:t>，</w:t>
      </w:r>
      <w:r>
        <w:rPr>
          <w:rFonts w:hint="eastAsia" w:ascii="Arial" w:hAnsi="Arial" w:eastAsia="宋体" w:cs="Arial"/>
        </w:rPr>
        <w:t>本投标人宣布同意如下</w:t>
      </w:r>
      <w:r>
        <w:rPr>
          <w:rFonts w:ascii="Arial" w:hAnsi="Arial" w:eastAsia="宋体" w:cs="Arial"/>
        </w:rPr>
        <w:t>：</w:t>
      </w:r>
    </w:p>
    <w:p w14:paraId="2B86BF7E">
      <w:pPr>
        <w:numPr>
          <w:ilvl w:val="0"/>
          <w:numId w:val="8"/>
        </w:numPr>
        <w:snapToGrid w:val="0"/>
        <w:spacing w:after="60" w:afterLines="25" w:line="360" w:lineRule="auto"/>
        <w:ind w:left="890" w:hanging="365"/>
        <w:rPr>
          <w:rFonts w:ascii="Arial" w:hAnsi="Arial" w:eastAsia="宋体" w:cs="Arial"/>
        </w:rPr>
      </w:pPr>
      <w:r>
        <w:rPr>
          <w:rFonts w:ascii="Arial" w:hAnsi="Arial" w:eastAsia="宋体" w:cs="Arial"/>
        </w:rPr>
        <w:t>投标人将按招标文件的规定履行合同责任和义务。</w:t>
      </w:r>
      <w:r>
        <w:rPr>
          <w:rFonts w:hint="eastAsia" w:ascii="Arial" w:hAnsi="Arial" w:eastAsia="宋体" w:cs="Arial"/>
        </w:rPr>
        <w:t>除非另外达成协议并生效，贵单位的中标通知书和本投标文件将构成合同的重要内容。</w:t>
      </w:r>
    </w:p>
    <w:p w14:paraId="3A538C40">
      <w:pPr>
        <w:numPr>
          <w:ilvl w:val="0"/>
          <w:numId w:val="8"/>
        </w:numPr>
        <w:snapToGrid w:val="0"/>
        <w:spacing w:after="60" w:afterLines="25" w:line="360" w:lineRule="auto"/>
        <w:ind w:left="890" w:hanging="365"/>
        <w:rPr>
          <w:rFonts w:ascii="Arial" w:hAnsi="Arial" w:eastAsia="宋体" w:cs="Arial"/>
        </w:rPr>
      </w:pPr>
      <w:r>
        <w:rPr>
          <w:rFonts w:ascii="Arial" w:hAnsi="Arial" w:eastAsia="宋体" w:cs="Arial"/>
        </w:rPr>
        <w:t>投标人已详细审查全部招标文件，包括</w:t>
      </w:r>
      <w:r>
        <w:rPr>
          <w:rFonts w:hint="eastAsia" w:ascii="Arial" w:hAnsi="Arial" w:eastAsia="宋体" w:cs="Arial"/>
        </w:rPr>
        <w:t>答疑、补充、修改等公告</w:t>
      </w:r>
      <w:r>
        <w:rPr>
          <w:rFonts w:ascii="Arial" w:hAnsi="Arial" w:eastAsia="宋体" w:cs="Arial"/>
        </w:rPr>
        <w:t>。我们完全理解并同意放弃对这方面有不明及误解的权</w:t>
      </w:r>
      <w:r>
        <w:rPr>
          <w:rFonts w:hint="eastAsia" w:ascii="Arial" w:hAnsi="Arial" w:eastAsia="宋体" w:cs="Arial"/>
        </w:rPr>
        <w:t>利</w:t>
      </w:r>
      <w:r>
        <w:rPr>
          <w:rFonts w:ascii="Arial" w:hAnsi="Arial" w:eastAsia="宋体" w:cs="Arial"/>
        </w:rPr>
        <w:t>。</w:t>
      </w:r>
    </w:p>
    <w:p w14:paraId="227773F1">
      <w:pPr>
        <w:numPr>
          <w:ilvl w:val="0"/>
          <w:numId w:val="8"/>
        </w:numPr>
        <w:snapToGrid w:val="0"/>
        <w:spacing w:after="60" w:afterLines="25" w:line="360" w:lineRule="auto"/>
        <w:ind w:left="890" w:hanging="365"/>
        <w:rPr>
          <w:rFonts w:ascii="Arial" w:hAnsi="Arial" w:eastAsia="宋体" w:cs="Arial"/>
        </w:rPr>
      </w:pPr>
      <w:r>
        <w:rPr>
          <w:rFonts w:ascii="Arial" w:hAnsi="Arial" w:eastAsia="宋体" w:cs="Arial"/>
        </w:rPr>
        <w:t>本投标有效期为开标日起</w:t>
      </w:r>
      <w:r>
        <w:rPr>
          <w:rFonts w:hint="eastAsia" w:ascii="Arial" w:hAnsi="Arial" w:eastAsia="宋体" w:cs="Arial"/>
          <w:bCs/>
        </w:rPr>
        <w:t>____</w:t>
      </w:r>
      <w:r>
        <w:rPr>
          <w:rFonts w:ascii="Arial" w:hAnsi="Arial" w:eastAsia="宋体" w:cs="Arial"/>
        </w:rPr>
        <w:t>个日历日。</w:t>
      </w:r>
    </w:p>
    <w:p w14:paraId="68BE8D4B">
      <w:pPr>
        <w:numPr>
          <w:ilvl w:val="0"/>
          <w:numId w:val="8"/>
        </w:numPr>
        <w:snapToGrid w:val="0"/>
        <w:spacing w:after="60" w:afterLines="25" w:line="360" w:lineRule="auto"/>
        <w:ind w:left="890" w:hanging="365"/>
        <w:rPr>
          <w:rFonts w:ascii="Arial" w:hAnsi="Arial" w:eastAsia="宋体" w:cs="Arial"/>
        </w:rPr>
      </w:pPr>
      <w:r>
        <w:rPr>
          <w:rFonts w:hint="eastAsia" w:ascii="Arial" w:hAnsi="Arial" w:eastAsia="宋体" w:cs="Arial"/>
        </w:rPr>
        <w:t>投标人同意提供按照贵方可能要求的与其投标有关的一切数据或资料，完全理解贵方不一定接受最低价的投标或收到的任何投标。</w:t>
      </w:r>
    </w:p>
    <w:p w14:paraId="5D7CAE25">
      <w:pPr>
        <w:snapToGrid w:val="0"/>
        <w:spacing w:line="360" w:lineRule="auto"/>
        <w:ind w:firstLine="560"/>
        <w:rPr>
          <w:rFonts w:ascii="Arial" w:hAnsi="Arial" w:eastAsia="宋体" w:cs="Arial"/>
        </w:rPr>
      </w:pPr>
    </w:p>
    <w:p w14:paraId="39D199A3">
      <w:pPr>
        <w:snapToGrid w:val="0"/>
        <w:spacing w:line="360" w:lineRule="auto"/>
        <w:rPr>
          <w:rFonts w:ascii="Arial" w:hAnsi="Arial" w:eastAsia="宋体" w:cs="Arial"/>
          <w:u w:val="single"/>
        </w:rPr>
      </w:pPr>
      <w:r>
        <w:rPr>
          <w:rFonts w:ascii="Arial" w:hAnsi="Arial" w:eastAsia="宋体" w:cs="Arial"/>
        </w:rPr>
        <w:t>投标</w:t>
      </w:r>
      <w:r>
        <w:rPr>
          <w:rFonts w:hint="eastAsia" w:ascii="Arial" w:hAnsi="Arial" w:eastAsia="宋体" w:cs="Arial"/>
        </w:rPr>
        <w:t>单位（投标人）</w:t>
      </w:r>
      <w:r>
        <w:rPr>
          <w:rFonts w:ascii="Arial" w:hAnsi="Arial" w:eastAsia="宋体" w:cs="Arial"/>
        </w:rPr>
        <w:t>名称</w:t>
      </w:r>
      <w:r>
        <w:rPr>
          <w:rFonts w:hint="eastAsia" w:ascii="宋体" w:hAnsi="宋体"/>
          <w:szCs w:val="21"/>
        </w:rPr>
        <w:t>（单位盖章）</w:t>
      </w:r>
      <w:r>
        <w:rPr>
          <w:rFonts w:hint="eastAsia" w:ascii="Arial" w:hAnsi="Arial" w:eastAsia="宋体" w:cs="Arial"/>
        </w:rPr>
        <w:t>：</w:t>
      </w:r>
    </w:p>
    <w:p w14:paraId="44B681EE">
      <w:pPr>
        <w:snapToGrid w:val="0"/>
        <w:spacing w:line="360" w:lineRule="auto"/>
        <w:rPr>
          <w:rFonts w:ascii="Arial" w:hAnsi="Arial" w:eastAsia="宋体" w:cs="Arial"/>
        </w:rPr>
      </w:pPr>
      <w:r>
        <w:rPr>
          <w:rFonts w:hint="eastAsia" w:ascii="Arial" w:hAnsi="Arial" w:eastAsia="宋体" w:cs="Arial"/>
        </w:rPr>
        <w:t>办公</w:t>
      </w:r>
      <w:r>
        <w:rPr>
          <w:rFonts w:ascii="Arial" w:hAnsi="Arial" w:eastAsia="宋体" w:cs="Arial"/>
        </w:rPr>
        <w:t>地址</w:t>
      </w:r>
      <w:r>
        <w:rPr>
          <w:rFonts w:hint="eastAsia" w:ascii="Arial" w:hAnsi="Arial" w:eastAsia="宋体" w:cs="Arial"/>
        </w:rPr>
        <w:t>：</w:t>
      </w:r>
    </w:p>
    <w:p w14:paraId="0C307EFA">
      <w:pPr>
        <w:snapToGrid w:val="0"/>
        <w:spacing w:line="360" w:lineRule="auto"/>
        <w:rPr>
          <w:rFonts w:ascii="Arial" w:hAnsi="Arial" w:eastAsia="宋体" w:cs="Arial"/>
          <w:u w:val="single"/>
        </w:rPr>
      </w:pPr>
      <w:r>
        <w:rPr>
          <w:rFonts w:hint="eastAsia" w:ascii="Arial" w:hAnsi="Arial" w:eastAsia="宋体" w:cs="Arial"/>
        </w:rPr>
        <w:t>办公</w:t>
      </w:r>
      <w:r>
        <w:rPr>
          <w:rFonts w:ascii="Arial" w:hAnsi="Arial" w:eastAsia="宋体" w:cs="Arial"/>
        </w:rPr>
        <w:t>电话</w:t>
      </w:r>
      <w:r>
        <w:rPr>
          <w:rFonts w:hint="eastAsia" w:ascii="Arial" w:hAnsi="Arial" w:eastAsia="宋体" w:cs="Arial"/>
        </w:rPr>
        <w:t>：</w:t>
      </w:r>
    </w:p>
    <w:p w14:paraId="383240E4">
      <w:pPr>
        <w:snapToGrid w:val="0"/>
        <w:spacing w:line="360" w:lineRule="auto"/>
        <w:rPr>
          <w:rFonts w:ascii="Arial" w:hAnsi="Arial" w:eastAsia="宋体" w:cs="Arial"/>
          <w:u w:val="single"/>
        </w:rPr>
      </w:pPr>
      <w:r>
        <w:rPr>
          <w:rFonts w:hint="eastAsia" w:ascii="Arial" w:hAnsi="Arial" w:eastAsia="宋体" w:cs="Arial"/>
        </w:rPr>
        <w:t>办公</w:t>
      </w:r>
      <w:r>
        <w:rPr>
          <w:rFonts w:ascii="Arial" w:hAnsi="Arial" w:eastAsia="宋体" w:cs="Arial"/>
        </w:rPr>
        <w:t>传真</w:t>
      </w:r>
      <w:r>
        <w:rPr>
          <w:rFonts w:hint="eastAsia" w:ascii="Arial" w:hAnsi="Arial" w:eastAsia="宋体" w:cs="Arial"/>
        </w:rPr>
        <w:t>：</w:t>
      </w:r>
    </w:p>
    <w:p w14:paraId="2A1372E9">
      <w:pPr>
        <w:snapToGrid w:val="0"/>
        <w:spacing w:line="360" w:lineRule="auto"/>
        <w:rPr>
          <w:rFonts w:ascii="Arial" w:hAnsi="Arial" w:eastAsia="宋体" w:cs="Arial"/>
          <w:b/>
        </w:rPr>
      </w:pPr>
      <w:r>
        <w:rPr>
          <w:rFonts w:ascii="Arial" w:hAnsi="Arial" w:eastAsia="宋体" w:cs="Arial"/>
          <w:b/>
        </w:rPr>
        <w:t>电子</w:t>
      </w:r>
      <w:r>
        <w:rPr>
          <w:rFonts w:hint="eastAsia" w:ascii="Arial" w:hAnsi="Arial" w:eastAsia="宋体" w:cs="Arial"/>
          <w:b/>
        </w:rPr>
        <w:t>邮箱：</w:t>
      </w:r>
    </w:p>
    <w:p w14:paraId="58635A05">
      <w:pPr>
        <w:snapToGrid w:val="0"/>
        <w:spacing w:line="360" w:lineRule="auto"/>
        <w:ind w:firstLine="560"/>
        <w:rPr>
          <w:rFonts w:ascii="Arial" w:hAnsi="Arial" w:eastAsia="宋体" w:cs="Arial"/>
        </w:rPr>
      </w:pPr>
    </w:p>
    <w:p w14:paraId="3F0D901A">
      <w:pPr>
        <w:snapToGrid w:val="0"/>
        <w:spacing w:line="360" w:lineRule="auto"/>
        <w:rPr>
          <w:rFonts w:ascii="Arial" w:hAnsi="Arial" w:eastAsia="宋体" w:cs="Arial"/>
          <w:u w:val="single"/>
        </w:rPr>
      </w:pPr>
      <w:r>
        <w:rPr>
          <w:rFonts w:hint="eastAsia" w:ascii="Arial" w:hAnsi="Arial" w:eastAsia="宋体" w:cs="Arial"/>
        </w:rPr>
        <w:t>法定代表人或</w:t>
      </w:r>
      <w:r>
        <w:rPr>
          <w:rFonts w:ascii="Arial" w:hAnsi="Arial" w:eastAsia="宋体" w:cs="Arial"/>
        </w:rPr>
        <w:t>投标人代表</w:t>
      </w:r>
      <w:r>
        <w:rPr>
          <w:rFonts w:hint="eastAsia" w:ascii="Arial" w:hAnsi="Arial" w:eastAsia="宋体"/>
          <w:szCs w:val="21"/>
        </w:rPr>
        <w:t>（签字或盖章）</w:t>
      </w:r>
      <w:r>
        <w:rPr>
          <w:rFonts w:hint="eastAsia" w:ascii="Arial" w:hAnsi="Arial" w:eastAsia="宋体" w:cs="Arial"/>
        </w:rPr>
        <w:t>：</w:t>
      </w:r>
    </w:p>
    <w:p w14:paraId="6D5C0B35">
      <w:pPr>
        <w:snapToGrid w:val="0"/>
        <w:spacing w:line="360" w:lineRule="auto"/>
        <w:rPr>
          <w:rFonts w:ascii="Arial" w:hAnsi="Arial" w:eastAsia="宋体" w:cs="Arial"/>
        </w:rPr>
      </w:pPr>
      <w:r>
        <w:rPr>
          <w:rFonts w:hint="eastAsia" w:ascii="Arial" w:hAnsi="Arial" w:eastAsia="宋体" w:cs="Arial"/>
        </w:rPr>
        <w:t>联系电话：</w:t>
      </w:r>
    </w:p>
    <w:p w14:paraId="508CCBD5">
      <w:pPr>
        <w:snapToGrid w:val="0"/>
        <w:spacing w:line="360" w:lineRule="auto"/>
        <w:rPr>
          <w:rFonts w:ascii="Arial" w:hAnsi="Arial" w:eastAsia="宋体" w:cs="Arial"/>
          <w:u w:val="single"/>
        </w:rPr>
      </w:pPr>
      <w:r>
        <w:rPr>
          <w:rFonts w:ascii="Arial" w:hAnsi="Arial" w:eastAsia="宋体" w:cs="Arial"/>
        </w:rPr>
        <w:t>日期</w:t>
      </w:r>
      <w:r>
        <w:rPr>
          <w:rFonts w:hint="eastAsia" w:ascii="Arial" w:hAnsi="Arial" w:eastAsia="宋体" w:cs="Arial"/>
        </w:rPr>
        <w:t>：</w:t>
      </w:r>
    </w:p>
    <w:p w14:paraId="449F7F48">
      <w:pPr>
        <w:snapToGrid w:val="0"/>
        <w:spacing w:line="360" w:lineRule="auto"/>
        <w:rPr>
          <w:rFonts w:ascii="Arial" w:hAnsi="Arial" w:eastAsia="宋体"/>
        </w:rPr>
      </w:pPr>
    </w:p>
    <w:p w14:paraId="20372514">
      <w:pPr>
        <w:spacing w:after="60" w:afterLines="25" w:line="300" w:lineRule="auto"/>
      </w:pPr>
    </w:p>
    <w:p w14:paraId="29268BE2">
      <w:pPr>
        <w:pStyle w:val="17"/>
      </w:pPr>
    </w:p>
    <w:p w14:paraId="287EF608"/>
    <w:p w14:paraId="438231D2">
      <w:pPr>
        <w:spacing w:after="60" w:afterLines="25" w:line="300" w:lineRule="auto"/>
      </w:pPr>
    </w:p>
    <w:p w14:paraId="0BFCC16E">
      <w:pPr>
        <w:spacing w:after="60" w:afterLines="25" w:line="300" w:lineRule="auto"/>
      </w:pPr>
    </w:p>
    <w:p w14:paraId="50E2BB75">
      <w:pPr>
        <w:spacing w:after="60" w:afterLines="25" w:line="300" w:lineRule="auto"/>
      </w:pPr>
    </w:p>
    <w:p w14:paraId="420D07C3">
      <w:pPr>
        <w:spacing w:after="60" w:afterLines="25" w:line="300" w:lineRule="auto"/>
      </w:pPr>
    </w:p>
    <w:p w14:paraId="204089DD">
      <w:pPr>
        <w:pStyle w:val="6"/>
      </w:pPr>
    </w:p>
    <w:p w14:paraId="4849618C">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11.法定代表人证明书（附有效身份证正反面扫描件）</w:t>
      </w:r>
    </w:p>
    <w:p w14:paraId="2A540B0C">
      <w:pPr>
        <w:spacing w:line="300" w:lineRule="auto"/>
        <w:ind w:left="140"/>
        <w:jc w:val="center"/>
        <w:rPr>
          <w:rFonts w:hint="eastAsia" w:ascii="Arial" w:hAnsi="Arial" w:eastAsia="宋体" w:cs="Arial"/>
          <w:b/>
        </w:rPr>
      </w:pPr>
    </w:p>
    <w:p w14:paraId="5DC5FCDB">
      <w:pPr>
        <w:spacing w:line="300" w:lineRule="auto"/>
        <w:ind w:left="140"/>
        <w:jc w:val="center"/>
        <w:rPr>
          <w:rFonts w:ascii="Arial" w:hAnsi="Arial" w:eastAsia="宋体" w:cs="Arial"/>
          <w:b/>
        </w:rPr>
      </w:pPr>
      <w:r>
        <w:rPr>
          <w:rFonts w:hint="eastAsia" w:ascii="Arial" w:hAnsi="Arial" w:eastAsia="宋体" w:cs="Arial"/>
          <w:b/>
        </w:rPr>
        <w:t>法定代表人资格证明书</w:t>
      </w:r>
    </w:p>
    <w:p w14:paraId="0FDF42FB">
      <w:pPr>
        <w:spacing w:line="480" w:lineRule="atLeast"/>
        <w:ind w:firstLine="480" w:firstLineChars="200"/>
        <w:rPr>
          <w:rFonts w:ascii="Arial" w:hAnsi="Arial" w:eastAsia="仿宋_GB2312"/>
        </w:rPr>
      </w:pPr>
    </w:p>
    <w:p w14:paraId="78E90AAF">
      <w:pPr>
        <w:spacing w:line="300" w:lineRule="auto"/>
        <w:rPr>
          <w:rFonts w:ascii="Arial" w:hAnsi="Arial" w:eastAsia="宋体"/>
          <w:szCs w:val="21"/>
          <w:u w:val="single"/>
        </w:rPr>
      </w:pPr>
      <w:r>
        <w:rPr>
          <w:rFonts w:hint="eastAsia" w:ascii="Arial" w:hAnsi="Arial" w:eastAsia="宋体"/>
          <w:szCs w:val="21"/>
        </w:rPr>
        <w:t>单位名称：</w:t>
      </w:r>
    </w:p>
    <w:p w14:paraId="566E60A6">
      <w:pPr>
        <w:spacing w:line="300" w:lineRule="auto"/>
        <w:rPr>
          <w:rFonts w:ascii="Arial" w:hAnsi="Arial" w:eastAsia="宋体"/>
          <w:szCs w:val="21"/>
          <w:u w:val="single"/>
        </w:rPr>
      </w:pPr>
      <w:r>
        <w:rPr>
          <w:rFonts w:hint="eastAsia" w:ascii="Arial" w:hAnsi="Arial" w:eastAsia="宋体"/>
          <w:szCs w:val="21"/>
        </w:rPr>
        <w:t>地址：</w:t>
      </w:r>
    </w:p>
    <w:p w14:paraId="7F6A4B8D">
      <w:pPr>
        <w:spacing w:line="300" w:lineRule="auto"/>
        <w:rPr>
          <w:rFonts w:hint="eastAsia" w:ascii="Arial" w:hAnsi="Arial" w:eastAsia="宋体"/>
          <w:szCs w:val="21"/>
        </w:rPr>
      </w:pPr>
      <w:r>
        <w:rPr>
          <w:rFonts w:hint="eastAsia" w:ascii="Arial" w:hAnsi="Arial" w:eastAsia="宋体"/>
          <w:szCs w:val="21"/>
        </w:rPr>
        <w:t>姓名（签字或盖章）：</w:t>
      </w:r>
    </w:p>
    <w:p w14:paraId="382EBD68">
      <w:pPr>
        <w:spacing w:line="300" w:lineRule="auto"/>
        <w:rPr>
          <w:rFonts w:ascii="Arial" w:hAnsi="Arial" w:eastAsia="宋体"/>
          <w:szCs w:val="21"/>
          <w:u w:val="single"/>
        </w:rPr>
      </w:pPr>
      <w:r>
        <w:rPr>
          <w:rFonts w:hint="eastAsia" w:ascii="Arial" w:hAnsi="Arial" w:eastAsia="宋体"/>
          <w:szCs w:val="21"/>
        </w:rPr>
        <w:t>性别：年龄：职务：</w:t>
      </w:r>
    </w:p>
    <w:p w14:paraId="207B8700">
      <w:pPr>
        <w:spacing w:line="300" w:lineRule="auto"/>
        <w:rPr>
          <w:rFonts w:ascii="Arial" w:hAnsi="Arial" w:eastAsia="宋体"/>
          <w:szCs w:val="21"/>
        </w:rPr>
      </w:pPr>
      <w:r>
        <w:rPr>
          <w:rFonts w:hint="eastAsia" w:ascii="Arial" w:hAnsi="Arial" w:eastAsia="宋体"/>
          <w:szCs w:val="21"/>
        </w:rPr>
        <w:t>系（投标人名称）的法定代表人。</w:t>
      </w:r>
    </w:p>
    <w:p w14:paraId="2153204F">
      <w:pPr>
        <w:spacing w:line="300" w:lineRule="auto"/>
        <w:rPr>
          <w:rFonts w:ascii="Arial" w:hAnsi="Arial" w:eastAsia="宋体"/>
          <w:szCs w:val="21"/>
        </w:rPr>
      </w:pPr>
      <w:r>
        <w:rPr>
          <w:rFonts w:hint="eastAsia" w:ascii="Arial" w:hAnsi="Arial" w:eastAsia="宋体"/>
          <w:szCs w:val="21"/>
        </w:rPr>
        <w:t>特此证明</w:t>
      </w:r>
    </w:p>
    <w:p w14:paraId="5925F1E1">
      <w:pPr>
        <w:spacing w:line="300" w:lineRule="auto"/>
        <w:rPr>
          <w:rFonts w:ascii="Arial" w:hAnsi="Arial" w:eastAsia="宋体"/>
          <w:szCs w:val="21"/>
        </w:rPr>
      </w:pPr>
    </w:p>
    <w:p w14:paraId="034C6F50">
      <w:pPr>
        <w:spacing w:line="300" w:lineRule="auto"/>
        <w:rPr>
          <w:rFonts w:ascii="Arial" w:hAnsi="Arial" w:eastAsia="宋体"/>
          <w:szCs w:val="21"/>
        </w:rPr>
      </w:pPr>
      <w:r>
        <w:rPr>
          <w:rFonts w:hint="eastAsia" w:ascii="Arial" w:hAnsi="Arial" w:eastAsia="宋体"/>
          <w:szCs w:val="21"/>
        </w:rPr>
        <w:t>投标人（投标单位）</w:t>
      </w:r>
      <w:r>
        <w:rPr>
          <w:rFonts w:hint="eastAsia" w:ascii="宋体" w:hAnsi="宋体"/>
          <w:szCs w:val="21"/>
        </w:rPr>
        <w:t>（单位盖章）</w:t>
      </w:r>
      <w:r>
        <w:rPr>
          <w:rFonts w:hint="eastAsia" w:ascii="Arial" w:hAnsi="Arial" w:eastAsia="宋体"/>
          <w:szCs w:val="21"/>
        </w:rPr>
        <w:t>：</w:t>
      </w:r>
    </w:p>
    <w:p w14:paraId="398DCA67">
      <w:pPr>
        <w:spacing w:line="300" w:lineRule="auto"/>
        <w:rPr>
          <w:rFonts w:ascii="Arial" w:hAnsi="Arial" w:eastAsia="宋体"/>
          <w:szCs w:val="21"/>
        </w:rPr>
      </w:pPr>
      <w:r>
        <w:rPr>
          <w:rFonts w:hint="eastAsia" w:ascii="Arial" w:hAnsi="Arial" w:eastAsia="宋体"/>
          <w:szCs w:val="21"/>
        </w:rPr>
        <w:t>日期：年月日</w:t>
      </w:r>
    </w:p>
    <w:p w14:paraId="3FCAB20B">
      <w:pPr>
        <w:spacing w:line="300" w:lineRule="auto"/>
        <w:rPr>
          <w:rFonts w:ascii="Arial" w:hAnsi="Arial" w:eastAsia="宋体"/>
          <w:b/>
          <w:color w:val="FF0000"/>
          <w:szCs w:val="21"/>
        </w:rPr>
      </w:pPr>
      <w:r>
        <w:rPr>
          <w:rFonts w:hint="eastAsia" w:ascii="Arial" w:hAnsi="Arial" w:eastAsia="宋体"/>
          <w:szCs w:val="21"/>
        </w:rPr>
        <w:t>联系电话：手机：</w:t>
      </w:r>
      <w:r>
        <w:rPr>
          <w:rFonts w:hint="eastAsia" w:ascii="Arial" w:hAnsi="Arial" w:eastAsia="宋体"/>
          <w:b/>
          <w:szCs w:val="21"/>
        </w:rPr>
        <w:t>（如法定代表人为投标人代表，则需填写此项）</w:t>
      </w:r>
    </w:p>
    <w:p w14:paraId="7495B9F9">
      <w:pPr>
        <w:spacing w:line="500" w:lineRule="exact"/>
        <w:ind w:firstLine="480" w:firstLineChars="200"/>
        <w:rPr>
          <w:rFonts w:ascii="Arial" w:hAnsi="Arial" w:eastAsia="宋体"/>
        </w:rPr>
      </w:pPr>
    </w:p>
    <w:p w14:paraId="4108E81B">
      <w:pPr>
        <w:spacing w:line="500" w:lineRule="exact"/>
        <w:rPr>
          <w:rFonts w:ascii="宋体" w:hAnsi="宋体" w:eastAsia="宋体"/>
          <w:b/>
          <w:color w:val="FF0000"/>
          <w:sz w:val="32"/>
          <w:szCs w:val="32"/>
        </w:rPr>
      </w:pPr>
      <w:r>
        <w:rPr>
          <w:rFonts w:hint="eastAsia" w:ascii="宋体" w:hAnsi="宋体" w:eastAsia="宋体"/>
          <w:b/>
          <w:color w:val="FF0000"/>
          <w:sz w:val="32"/>
          <w:szCs w:val="32"/>
        </w:rPr>
        <w:t>★必须提供法定代表人有效期内身份证的正反面扫描件（港澳台居民可提供往来通行证），非中国国籍管辖范围的，可提供公安部门认可的身份证明材料，否则将导致投标无效。</w:t>
      </w:r>
    </w:p>
    <w:p w14:paraId="35D44984">
      <w:pPr>
        <w:spacing w:line="500" w:lineRule="exact"/>
        <w:rPr>
          <w:rFonts w:ascii="宋体" w:hAnsi="宋体" w:eastAsia="宋体"/>
          <w:b/>
          <w:color w:val="FF0000"/>
          <w:sz w:val="32"/>
          <w:szCs w:val="32"/>
        </w:rPr>
      </w:pPr>
    </w:p>
    <w:p w14:paraId="1CFCCAAC">
      <w:pPr>
        <w:snapToGrid w:val="0"/>
        <w:rPr>
          <w:rFonts w:ascii="宋体" w:hAnsi="宋体" w:eastAsia="宋体"/>
          <w:color w:val="FF0000"/>
          <w:sz w:val="28"/>
          <w:szCs w:val="28"/>
        </w:rPr>
      </w:pPr>
      <w:r>
        <w:rPr>
          <w:rFonts w:hint="eastAsia" w:ascii="宋体" w:hAnsi="宋体" w:eastAsia="宋体"/>
          <w:color w:val="FF0000"/>
          <w:sz w:val="28"/>
          <w:szCs w:val="28"/>
        </w:rPr>
        <w:t>备注：</w:t>
      </w:r>
    </w:p>
    <w:p w14:paraId="5177E55A">
      <w:pPr>
        <w:snapToGrid w:val="0"/>
        <w:ind w:firstLine="560" w:firstLineChars="200"/>
        <w:rPr>
          <w:rFonts w:ascii="Arial" w:hAnsi="Arial" w:eastAsia="宋体"/>
          <w:sz w:val="28"/>
          <w:szCs w:val="28"/>
        </w:rPr>
      </w:pPr>
      <w:r>
        <w:rPr>
          <w:rFonts w:hint="eastAsia" w:ascii="宋体" w:hAnsi="宋体" w:eastAsia="宋体"/>
          <w:color w:val="FF0000"/>
          <w:sz w:val="28"/>
          <w:szCs w:val="28"/>
        </w:rPr>
        <w:t>如发现上述人员非投标人法定代表人，视同提供虚假资料，按投标无效处理，并将依法承担相应法律责任。</w:t>
      </w:r>
    </w:p>
    <w:p w14:paraId="6AD5E08F">
      <w:pPr>
        <w:spacing w:line="500" w:lineRule="exact"/>
        <w:ind w:firstLine="480" w:firstLineChars="200"/>
        <w:rPr>
          <w:rFonts w:ascii="Arial" w:hAnsi="Arial" w:eastAsia="宋体"/>
        </w:rPr>
      </w:pPr>
    </w:p>
    <w:p w14:paraId="2B03025A">
      <w:pPr>
        <w:pStyle w:val="17"/>
        <w:rPr>
          <w:rFonts w:hint="eastAsia"/>
          <w:lang w:val="en-US" w:eastAsia="zh-CN"/>
        </w:rPr>
      </w:pPr>
    </w:p>
    <w:p w14:paraId="6218AAA3">
      <w:pPr>
        <w:rPr>
          <w:rFonts w:hint="eastAsia"/>
          <w:lang w:val="en-US" w:eastAsia="zh-CN"/>
        </w:rPr>
      </w:pPr>
    </w:p>
    <w:p w14:paraId="235578F3">
      <w:pPr>
        <w:pStyle w:val="17"/>
        <w:rPr>
          <w:rFonts w:hint="eastAsia"/>
          <w:lang w:val="en-US" w:eastAsia="zh-CN"/>
        </w:rPr>
      </w:pPr>
    </w:p>
    <w:p w14:paraId="6534E2A0">
      <w:pPr>
        <w:rPr>
          <w:rFonts w:hint="eastAsia"/>
          <w:lang w:val="en-US" w:eastAsia="zh-CN"/>
        </w:rPr>
      </w:pPr>
    </w:p>
    <w:p w14:paraId="03920A6E">
      <w:pPr>
        <w:pStyle w:val="17"/>
        <w:rPr>
          <w:rFonts w:hint="eastAsia"/>
          <w:lang w:val="en-US" w:eastAsia="zh-CN"/>
        </w:rPr>
      </w:pPr>
    </w:p>
    <w:p w14:paraId="03F5F05F">
      <w:pPr>
        <w:rPr>
          <w:rFonts w:hint="eastAsia"/>
          <w:lang w:val="en-US" w:eastAsia="zh-CN"/>
        </w:rPr>
      </w:pPr>
    </w:p>
    <w:p w14:paraId="476B812E">
      <w:pPr>
        <w:pStyle w:val="6"/>
        <w:rPr>
          <w:rFonts w:hint="eastAsia"/>
          <w:lang w:val="en-US" w:eastAsia="zh-CN"/>
        </w:rPr>
      </w:pPr>
    </w:p>
    <w:p w14:paraId="2615917F">
      <w:pPr>
        <w:rPr>
          <w:rFonts w:hint="eastAsia"/>
          <w:lang w:val="en-US" w:eastAsia="zh-CN"/>
        </w:rPr>
      </w:pPr>
    </w:p>
    <w:p w14:paraId="28CE46EF">
      <w:pPr>
        <w:pStyle w:val="17"/>
        <w:rPr>
          <w:rFonts w:hint="eastAsia"/>
          <w:lang w:val="en-US" w:eastAsia="zh-CN"/>
        </w:rPr>
      </w:pPr>
    </w:p>
    <w:p w14:paraId="6F32D791">
      <w:pPr>
        <w:rPr>
          <w:rFonts w:hint="eastAsia"/>
          <w:lang w:val="en-US" w:eastAsia="zh-CN"/>
        </w:rPr>
      </w:pPr>
    </w:p>
    <w:p w14:paraId="51A333AD">
      <w:pPr>
        <w:pStyle w:val="6"/>
        <w:rPr>
          <w:rFonts w:hint="eastAsia"/>
          <w:lang w:val="en-US" w:eastAsia="zh-CN"/>
        </w:rPr>
      </w:pPr>
    </w:p>
    <w:p w14:paraId="0398FA7B">
      <w:pPr>
        <w:pStyle w:val="17"/>
        <w:ind w:left="0" w:leftChars="0" w:firstLine="0" w:firstLineChars="0"/>
        <w:rPr>
          <w:rFonts w:hint="eastAsia"/>
          <w:lang w:val="en-US" w:eastAsia="zh-CN"/>
        </w:rPr>
      </w:pPr>
    </w:p>
    <w:p w14:paraId="683A6535">
      <w:pPr>
        <w:rPr>
          <w:rFonts w:hint="eastAsia"/>
          <w:lang w:val="en-US" w:eastAsia="zh-CN"/>
        </w:rPr>
      </w:pPr>
    </w:p>
    <w:p w14:paraId="5B7809EB">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12.法定代表人授权书（附有效身份证正反面扫描件）</w:t>
      </w:r>
    </w:p>
    <w:p w14:paraId="68648CD3">
      <w:pPr>
        <w:spacing w:line="300" w:lineRule="auto"/>
        <w:ind w:left="140"/>
        <w:jc w:val="center"/>
        <w:rPr>
          <w:rFonts w:hint="eastAsia" w:ascii="Arial" w:hAnsi="Arial" w:eastAsia="宋体" w:cs="Arial"/>
          <w:b/>
        </w:rPr>
      </w:pPr>
    </w:p>
    <w:p w14:paraId="2D477286">
      <w:pPr>
        <w:spacing w:line="300" w:lineRule="auto"/>
        <w:ind w:left="140"/>
        <w:jc w:val="center"/>
        <w:rPr>
          <w:rFonts w:hint="eastAsia" w:ascii="Arial" w:hAnsi="Arial" w:eastAsia="宋体" w:cs="Arial"/>
          <w:b/>
        </w:rPr>
      </w:pPr>
    </w:p>
    <w:p w14:paraId="7E08F350">
      <w:pPr>
        <w:spacing w:line="300" w:lineRule="auto"/>
        <w:ind w:left="140"/>
        <w:jc w:val="center"/>
        <w:rPr>
          <w:rFonts w:ascii="Arial" w:hAnsi="Arial" w:eastAsia="宋体" w:cs="Arial"/>
          <w:b/>
        </w:rPr>
      </w:pPr>
      <w:r>
        <w:rPr>
          <w:rFonts w:hint="eastAsia" w:ascii="Arial" w:hAnsi="Arial" w:eastAsia="宋体" w:cs="Arial"/>
          <w:b/>
        </w:rPr>
        <w:t>法定代表人授权书</w:t>
      </w:r>
    </w:p>
    <w:p w14:paraId="03810915">
      <w:pPr>
        <w:spacing w:line="360" w:lineRule="auto"/>
        <w:ind w:firstLine="480" w:firstLineChars="200"/>
        <w:rPr>
          <w:rFonts w:ascii="Arial" w:hAnsi="Arial" w:eastAsia="宋体"/>
          <w:szCs w:val="21"/>
        </w:rPr>
      </w:pPr>
    </w:p>
    <w:p w14:paraId="07732F2A">
      <w:pPr>
        <w:spacing w:line="360" w:lineRule="auto"/>
        <w:ind w:firstLine="480" w:firstLineChars="200"/>
        <w:rPr>
          <w:rFonts w:ascii="Arial" w:hAnsi="Arial" w:eastAsia="宋体"/>
          <w:szCs w:val="21"/>
        </w:rPr>
      </w:pPr>
      <w:r>
        <w:rPr>
          <w:rFonts w:hint="eastAsia" w:ascii="Arial" w:hAnsi="Arial" w:eastAsia="宋体"/>
          <w:szCs w:val="21"/>
        </w:rPr>
        <w:t>本授权委托书声明：我（姓名）系（投标人名称）的法定代表人，现授权委托我公司的（姓名）为我公司的投标代表，代表我公司签署本项目的投标文件、参与项目投标、澄清投标文件、签署合同和处理与该项目有关的一切事务。在此过程中所签署的一切文件及处理与该项目有关的一切事务，我均予以承认。</w:t>
      </w:r>
    </w:p>
    <w:p w14:paraId="30C3D8E2">
      <w:pPr>
        <w:spacing w:line="360" w:lineRule="auto"/>
        <w:ind w:firstLine="480" w:firstLineChars="200"/>
        <w:rPr>
          <w:rFonts w:ascii="Arial" w:hAnsi="Arial" w:eastAsia="宋体"/>
          <w:szCs w:val="21"/>
        </w:rPr>
      </w:pPr>
      <w:r>
        <w:rPr>
          <w:rFonts w:hint="eastAsia" w:ascii="Arial" w:hAnsi="Arial" w:eastAsia="宋体"/>
          <w:szCs w:val="21"/>
        </w:rPr>
        <w:t>授权书有效期内被授权人签署的所有文件不因授权的撤销而失效。被授权人无转委托权。</w:t>
      </w:r>
    </w:p>
    <w:p w14:paraId="313717C7">
      <w:pPr>
        <w:spacing w:line="300" w:lineRule="auto"/>
        <w:rPr>
          <w:rFonts w:ascii="Arial" w:hAnsi="Arial" w:eastAsia="宋体"/>
          <w:szCs w:val="21"/>
        </w:rPr>
      </w:pPr>
    </w:p>
    <w:p w14:paraId="234342B0">
      <w:pPr>
        <w:spacing w:line="360" w:lineRule="auto"/>
        <w:ind w:left="3840" w:leftChars="1600"/>
        <w:rPr>
          <w:rFonts w:hint="eastAsia" w:ascii="Arial" w:hAnsi="Arial" w:eastAsia="宋体"/>
          <w:szCs w:val="21"/>
        </w:rPr>
      </w:pPr>
      <w:r>
        <w:rPr>
          <w:rFonts w:hint="eastAsia" w:ascii="Arial" w:hAnsi="Arial" w:eastAsia="宋体"/>
          <w:szCs w:val="21"/>
        </w:rPr>
        <w:t>投标人代表（签字或盖章）：</w:t>
      </w:r>
    </w:p>
    <w:p w14:paraId="097DD5A8">
      <w:pPr>
        <w:spacing w:line="360" w:lineRule="auto"/>
        <w:ind w:left="3840" w:leftChars="1600"/>
        <w:rPr>
          <w:rFonts w:ascii="仿宋" w:hAnsi="仿宋" w:eastAsia="仿宋"/>
          <w:sz w:val="28"/>
          <w:szCs w:val="28"/>
          <w:u w:val="single"/>
        </w:rPr>
      </w:pPr>
      <w:r>
        <w:rPr>
          <w:rFonts w:hint="eastAsia" w:ascii="Arial" w:hAnsi="Arial" w:eastAsia="宋体"/>
          <w:szCs w:val="21"/>
        </w:rPr>
        <w:t>性别：</w:t>
      </w:r>
    </w:p>
    <w:p w14:paraId="76E8DC0D">
      <w:pPr>
        <w:spacing w:line="360" w:lineRule="auto"/>
        <w:ind w:left="3840" w:leftChars="1600"/>
        <w:rPr>
          <w:rFonts w:ascii="Arial" w:hAnsi="Arial" w:eastAsia="宋体"/>
          <w:szCs w:val="21"/>
        </w:rPr>
      </w:pPr>
      <w:r>
        <w:rPr>
          <w:rFonts w:hint="eastAsia" w:ascii="Arial" w:hAnsi="Arial" w:eastAsia="宋体"/>
          <w:szCs w:val="21"/>
        </w:rPr>
        <w:t>联系电话：手机：</w:t>
      </w:r>
    </w:p>
    <w:p w14:paraId="5CB8037B">
      <w:pPr>
        <w:spacing w:line="360" w:lineRule="auto"/>
        <w:ind w:left="3840" w:leftChars="1600"/>
        <w:rPr>
          <w:rFonts w:ascii="Arial" w:hAnsi="Arial" w:eastAsia="宋体"/>
          <w:szCs w:val="21"/>
          <w:u w:val="single"/>
        </w:rPr>
      </w:pPr>
      <w:r>
        <w:rPr>
          <w:rFonts w:hint="eastAsia" w:ascii="Arial" w:hAnsi="Arial" w:eastAsia="宋体"/>
          <w:szCs w:val="21"/>
        </w:rPr>
        <w:t>身份证号码：职务：</w:t>
      </w:r>
    </w:p>
    <w:p w14:paraId="5E6DDB34">
      <w:pPr>
        <w:spacing w:line="360" w:lineRule="auto"/>
        <w:ind w:left="3840" w:leftChars="1600"/>
        <w:rPr>
          <w:rFonts w:ascii="Arial" w:hAnsi="Arial" w:eastAsia="宋体"/>
          <w:szCs w:val="21"/>
        </w:rPr>
      </w:pPr>
      <w:r>
        <w:rPr>
          <w:rFonts w:hint="eastAsia" w:ascii="Arial" w:hAnsi="Arial" w:eastAsia="宋体"/>
          <w:szCs w:val="21"/>
        </w:rPr>
        <w:t>投标人（投标单位）</w:t>
      </w:r>
      <w:r>
        <w:rPr>
          <w:rFonts w:hint="eastAsia" w:ascii="宋体" w:hAnsi="宋体"/>
          <w:szCs w:val="21"/>
        </w:rPr>
        <w:t>（单位盖章）</w:t>
      </w:r>
      <w:r>
        <w:rPr>
          <w:rFonts w:hint="eastAsia" w:ascii="Arial" w:hAnsi="Arial" w:eastAsia="宋体"/>
          <w:szCs w:val="21"/>
        </w:rPr>
        <w:t>：</w:t>
      </w:r>
    </w:p>
    <w:p w14:paraId="61C262AF">
      <w:pPr>
        <w:spacing w:line="360" w:lineRule="auto"/>
        <w:ind w:left="3840" w:leftChars="1600"/>
        <w:rPr>
          <w:rFonts w:ascii="Arial" w:hAnsi="Arial" w:eastAsia="宋体"/>
          <w:szCs w:val="21"/>
        </w:rPr>
      </w:pPr>
      <w:r>
        <w:rPr>
          <w:rFonts w:hint="eastAsia" w:ascii="Arial" w:hAnsi="Arial" w:eastAsia="宋体"/>
          <w:szCs w:val="21"/>
        </w:rPr>
        <w:t>法定代表人（签字或盖章）：</w:t>
      </w:r>
    </w:p>
    <w:p w14:paraId="71DB0B33">
      <w:pPr>
        <w:spacing w:line="360" w:lineRule="auto"/>
        <w:ind w:left="3840" w:leftChars="1600"/>
        <w:rPr>
          <w:rFonts w:ascii="Arial" w:hAnsi="Arial" w:eastAsia="宋体"/>
          <w:szCs w:val="21"/>
        </w:rPr>
      </w:pPr>
      <w:r>
        <w:rPr>
          <w:rFonts w:hint="eastAsia" w:ascii="Arial" w:hAnsi="Arial" w:eastAsia="宋体"/>
          <w:szCs w:val="21"/>
        </w:rPr>
        <w:t>授权委托日期：年月日</w:t>
      </w:r>
    </w:p>
    <w:p w14:paraId="7D8652B4">
      <w:pPr>
        <w:spacing w:line="500" w:lineRule="exact"/>
        <w:ind w:firstLine="480" w:firstLineChars="200"/>
        <w:rPr>
          <w:rFonts w:ascii="Arial" w:hAnsi="Arial" w:eastAsia="宋体"/>
        </w:rPr>
      </w:pPr>
    </w:p>
    <w:p w14:paraId="7E23D8E6">
      <w:pPr>
        <w:spacing w:after="60" w:afterLines="25" w:line="300" w:lineRule="auto"/>
        <w:rPr>
          <w:rFonts w:ascii="宋体" w:hAnsi="宋体" w:eastAsia="宋体"/>
          <w:b/>
          <w:color w:val="FF0000"/>
          <w:sz w:val="32"/>
          <w:szCs w:val="32"/>
        </w:rPr>
      </w:pPr>
      <w:r>
        <w:rPr>
          <w:rFonts w:hint="eastAsia" w:ascii="宋体" w:hAnsi="宋体" w:eastAsia="宋体"/>
          <w:b/>
          <w:color w:val="FF0000"/>
          <w:sz w:val="32"/>
          <w:szCs w:val="32"/>
        </w:rPr>
        <w:t>★必须提供投标人代表有效期内身份证的正反面扫描件（港澳台居民可提供往来通行证），非中国国籍管辖范围的，可提供公安部门认可的身份证明材料，否则将导致投标无效。</w:t>
      </w:r>
    </w:p>
    <w:p w14:paraId="3B402A96">
      <w:pPr>
        <w:tabs>
          <w:tab w:val="left" w:pos="651"/>
        </w:tabs>
        <w:snapToGrid w:val="0"/>
        <w:rPr>
          <w:rFonts w:ascii="宋体" w:hAnsi="宋体" w:eastAsia="宋体"/>
          <w:color w:val="FF0000"/>
          <w:sz w:val="28"/>
          <w:szCs w:val="28"/>
        </w:rPr>
      </w:pPr>
      <w:r>
        <w:rPr>
          <w:rFonts w:hint="eastAsia" w:ascii="宋体" w:hAnsi="宋体" w:eastAsia="宋体"/>
          <w:color w:val="FF0000"/>
          <w:sz w:val="28"/>
          <w:szCs w:val="28"/>
        </w:rPr>
        <w:t>备注：</w:t>
      </w:r>
    </w:p>
    <w:p w14:paraId="3DF2F851">
      <w:pPr>
        <w:tabs>
          <w:tab w:val="left" w:pos="651"/>
        </w:tabs>
        <w:snapToGrid w:val="0"/>
        <w:ind w:firstLine="560" w:firstLineChars="200"/>
        <w:rPr>
          <w:rFonts w:hint="eastAsia" w:ascii="宋体" w:hAnsi="宋体" w:eastAsia="宋体"/>
          <w:color w:val="FF0000"/>
          <w:sz w:val="28"/>
          <w:szCs w:val="28"/>
        </w:rPr>
      </w:pPr>
      <w:r>
        <w:rPr>
          <w:rFonts w:hint="eastAsia" w:ascii="宋体" w:hAnsi="宋体" w:eastAsia="宋体"/>
          <w:color w:val="FF0000"/>
          <w:sz w:val="28"/>
          <w:szCs w:val="28"/>
        </w:rPr>
        <w:t>1、若投标人代表为法定代表人则不需提供《法定代表人授权书》，但需在《法定代表人证明书》中提供法定代表人联系方式。</w:t>
      </w:r>
    </w:p>
    <w:p w14:paraId="67A44CE2">
      <w:pPr>
        <w:rPr>
          <w:rFonts w:hint="eastAsia"/>
          <w:lang w:val="en-US" w:eastAsia="zh-CN"/>
        </w:rPr>
      </w:pPr>
    </w:p>
    <w:p w14:paraId="71C9C60A">
      <w:pPr>
        <w:pStyle w:val="15"/>
        <w:rPr>
          <w:rFonts w:hint="eastAsia"/>
          <w:lang w:val="en-US" w:eastAsia="zh-CN"/>
        </w:rPr>
      </w:pPr>
    </w:p>
    <w:p w14:paraId="3AD39A69">
      <w:pPr>
        <w:pStyle w:val="15"/>
        <w:rPr>
          <w:rFonts w:hint="eastAsia"/>
          <w:lang w:val="en-US" w:eastAsia="zh-CN"/>
        </w:rPr>
      </w:pPr>
    </w:p>
    <w:p w14:paraId="447EBFC8">
      <w:pPr>
        <w:pStyle w:val="15"/>
        <w:rPr>
          <w:rFonts w:hint="eastAsia"/>
          <w:lang w:val="en-US" w:eastAsia="zh-CN"/>
        </w:rPr>
      </w:pPr>
    </w:p>
    <w:p w14:paraId="2F5E2B13">
      <w:pPr>
        <w:snapToGrid w:val="0"/>
        <w:spacing w:after="60" w:afterLines="25" w:line="300" w:lineRule="auto"/>
        <w:ind w:firstLine="482" w:firstLineChars="200"/>
        <w:jc w:val="center"/>
        <w:outlineLvl w:val="3"/>
        <w:rPr>
          <w:rFonts w:hint="eastAsia" w:ascii="宋体" w:hAnsi="宋体" w:eastAsia="宋体"/>
          <w:b/>
          <w:bCs/>
          <w:szCs w:val="20"/>
          <w:lang w:eastAsia="zh-CN"/>
        </w:rPr>
      </w:pPr>
      <w:r>
        <w:rPr>
          <w:rFonts w:hint="eastAsia" w:ascii="宋体" w:hAnsi="宋体" w:eastAsia="宋体"/>
          <w:b/>
          <w:bCs/>
          <w:szCs w:val="20"/>
          <w:lang w:val="en-US" w:eastAsia="zh-CN"/>
        </w:rPr>
        <w:t>13</w:t>
      </w:r>
      <w:r>
        <w:rPr>
          <w:rFonts w:ascii="宋体" w:hAnsi="宋体" w:eastAsia="宋体"/>
          <w:b/>
          <w:bCs/>
          <w:szCs w:val="20"/>
        </w:rPr>
        <w:t>.</w:t>
      </w:r>
      <w:r>
        <w:rPr>
          <w:rFonts w:hint="eastAsia" w:ascii="宋体" w:hAnsi="宋体" w:eastAsia="宋体"/>
          <w:b/>
          <w:bCs/>
          <w:szCs w:val="20"/>
        </w:rPr>
        <w:t>分项报价清单</w:t>
      </w:r>
      <w:r>
        <w:rPr>
          <w:rFonts w:hint="eastAsia" w:ascii="宋体" w:hAnsi="宋体" w:eastAsia="宋体"/>
          <w:b/>
          <w:bCs/>
          <w:szCs w:val="20"/>
          <w:lang w:eastAsia="zh-CN"/>
        </w:rPr>
        <w:t>（本项目为服务类，如有需求参照本表填写）</w:t>
      </w:r>
    </w:p>
    <w:p w14:paraId="68398CE1">
      <w:pPr>
        <w:spacing w:after="60" w:afterLines="25" w:line="300" w:lineRule="auto"/>
        <w:rPr>
          <w:rFonts w:ascii="Arial" w:hAnsi="Arial" w:eastAsia="宋体" w:cs="Arial"/>
        </w:rPr>
      </w:pPr>
      <w:r>
        <w:rPr>
          <w:rFonts w:hint="eastAsia" w:ascii="Arial" w:hAnsi="Arial" w:eastAsia="宋体" w:cs="Arial"/>
          <w:color w:val="000000"/>
        </w:rPr>
        <w:t>投标单位（投标人）名称：</w:t>
      </w:r>
    </w:p>
    <w:p w14:paraId="0F5498BA">
      <w:pPr>
        <w:tabs>
          <w:tab w:val="left" w:pos="720"/>
        </w:tabs>
        <w:spacing w:after="60" w:afterLines="25" w:line="300" w:lineRule="auto"/>
        <w:rPr>
          <w:rFonts w:ascii="Arial" w:hAnsi="Arial" w:eastAsia="宋体"/>
          <w:b/>
        </w:rPr>
      </w:pPr>
      <w:r>
        <w:rPr>
          <w:rFonts w:hint="eastAsia" w:ascii="Arial" w:hAnsi="Arial" w:eastAsia="宋体"/>
          <w:b/>
        </w:rPr>
        <w:t>（一）项目报价表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127"/>
        <w:gridCol w:w="1417"/>
        <w:gridCol w:w="993"/>
        <w:gridCol w:w="992"/>
        <w:gridCol w:w="709"/>
        <w:gridCol w:w="708"/>
        <w:gridCol w:w="993"/>
        <w:gridCol w:w="1322"/>
      </w:tblGrid>
      <w:tr w14:paraId="07D25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tcPr>
          <w:p w14:paraId="6E339020">
            <w:pPr>
              <w:spacing w:after="60" w:afterLines="25" w:line="300" w:lineRule="auto"/>
              <w:jc w:val="center"/>
              <w:rPr>
                <w:rFonts w:ascii="Arial" w:hAnsi="Arial" w:eastAsia="宋体"/>
              </w:rPr>
            </w:pPr>
            <w:r>
              <w:rPr>
                <w:rFonts w:hint="eastAsia" w:ascii="Arial" w:hAnsi="Arial" w:eastAsia="宋体"/>
              </w:rPr>
              <w:t>序号</w:t>
            </w:r>
          </w:p>
        </w:tc>
        <w:tc>
          <w:tcPr>
            <w:tcW w:w="2127" w:type="dxa"/>
            <w:vAlign w:val="center"/>
          </w:tcPr>
          <w:p w14:paraId="1DD0461B">
            <w:pPr>
              <w:spacing w:after="60" w:afterLines="25" w:line="300" w:lineRule="auto"/>
              <w:jc w:val="center"/>
              <w:rPr>
                <w:rFonts w:ascii="Arial" w:hAnsi="Arial" w:eastAsia="宋体"/>
              </w:rPr>
            </w:pPr>
            <w:r>
              <w:rPr>
                <w:rFonts w:hint="eastAsia" w:ascii="Arial" w:hAnsi="Arial" w:eastAsia="宋体"/>
              </w:rPr>
              <w:t>货物</w:t>
            </w:r>
            <w:r>
              <w:rPr>
                <w:rFonts w:hint="eastAsia" w:ascii="Arial" w:hAnsi="Arial" w:eastAsia="宋体"/>
                <w:lang w:val="en-US" w:eastAsia="zh-CN"/>
              </w:rPr>
              <w:t>/服务</w:t>
            </w:r>
            <w:r>
              <w:rPr>
                <w:rFonts w:hint="eastAsia" w:ascii="Arial" w:hAnsi="Arial" w:eastAsia="宋体"/>
              </w:rPr>
              <w:t>名称</w:t>
            </w:r>
          </w:p>
        </w:tc>
        <w:tc>
          <w:tcPr>
            <w:tcW w:w="1417" w:type="dxa"/>
            <w:vAlign w:val="center"/>
          </w:tcPr>
          <w:p w14:paraId="20FEDB63">
            <w:pPr>
              <w:spacing w:after="60" w:afterLines="25" w:line="300" w:lineRule="auto"/>
              <w:jc w:val="center"/>
              <w:rPr>
                <w:rFonts w:ascii="Arial" w:hAnsi="Arial" w:eastAsia="宋体"/>
              </w:rPr>
            </w:pPr>
            <w:r>
              <w:rPr>
                <w:rFonts w:hint="eastAsia" w:ascii="Arial" w:hAnsi="Arial" w:eastAsia="宋体"/>
              </w:rPr>
              <w:t>规格及型号</w:t>
            </w:r>
          </w:p>
        </w:tc>
        <w:tc>
          <w:tcPr>
            <w:tcW w:w="993" w:type="dxa"/>
            <w:vAlign w:val="center"/>
          </w:tcPr>
          <w:p w14:paraId="5EAA1092">
            <w:pPr>
              <w:spacing w:after="60" w:afterLines="25" w:line="300" w:lineRule="auto"/>
              <w:jc w:val="center"/>
              <w:rPr>
                <w:rFonts w:ascii="Arial" w:hAnsi="Arial" w:eastAsia="宋体"/>
                <w:b/>
              </w:rPr>
            </w:pPr>
            <w:r>
              <w:rPr>
                <w:rFonts w:hint="eastAsia" w:ascii="Arial" w:hAnsi="Arial" w:eastAsia="宋体"/>
              </w:rPr>
              <w:t>品牌</w:t>
            </w:r>
          </w:p>
        </w:tc>
        <w:tc>
          <w:tcPr>
            <w:tcW w:w="992" w:type="dxa"/>
            <w:vAlign w:val="center"/>
          </w:tcPr>
          <w:p w14:paraId="346F8D43">
            <w:pPr>
              <w:spacing w:after="60" w:afterLines="25" w:line="300" w:lineRule="auto"/>
              <w:jc w:val="center"/>
              <w:rPr>
                <w:rFonts w:ascii="Arial" w:hAnsi="Arial" w:eastAsia="宋体"/>
              </w:rPr>
            </w:pPr>
            <w:r>
              <w:rPr>
                <w:rFonts w:hint="eastAsia" w:ascii="Arial" w:hAnsi="Arial" w:eastAsia="宋体"/>
              </w:rPr>
              <w:t>原产地</w:t>
            </w:r>
          </w:p>
        </w:tc>
        <w:tc>
          <w:tcPr>
            <w:tcW w:w="709" w:type="dxa"/>
            <w:vAlign w:val="center"/>
          </w:tcPr>
          <w:p w14:paraId="6E8D4B60">
            <w:pPr>
              <w:spacing w:after="60" w:afterLines="25" w:line="300" w:lineRule="auto"/>
              <w:jc w:val="center"/>
              <w:rPr>
                <w:rFonts w:ascii="Arial" w:hAnsi="Arial" w:eastAsia="宋体"/>
              </w:rPr>
            </w:pPr>
            <w:r>
              <w:rPr>
                <w:rFonts w:hint="eastAsia" w:ascii="Arial" w:hAnsi="Arial" w:eastAsia="宋体"/>
              </w:rPr>
              <w:t>数量</w:t>
            </w:r>
          </w:p>
        </w:tc>
        <w:tc>
          <w:tcPr>
            <w:tcW w:w="708" w:type="dxa"/>
          </w:tcPr>
          <w:p w14:paraId="65DF6245">
            <w:pPr>
              <w:spacing w:after="60" w:afterLines="25" w:line="300" w:lineRule="auto"/>
              <w:jc w:val="center"/>
              <w:rPr>
                <w:rFonts w:ascii="Arial" w:hAnsi="Arial" w:eastAsia="宋体"/>
              </w:rPr>
            </w:pPr>
            <w:r>
              <w:rPr>
                <w:rFonts w:hint="eastAsia" w:ascii="Arial" w:hAnsi="Arial" w:eastAsia="宋体"/>
              </w:rPr>
              <w:t>单位</w:t>
            </w:r>
          </w:p>
        </w:tc>
        <w:tc>
          <w:tcPr>
            <w:tcW w:w="993" w:type="dxa"/>
            <w:vAlign w:val="center"/>
          </w:tcPr>
          <w:p w14:paraId="58D51680">
            <w:pPr>
              <w:spacing w:after="60" w:afterLines="25" w:line="300" w:lineRule="auto"/>
              <w:jc w:val="center"/>
              <w:rPr>
                <w:rFonts w:ascii="Arial" w:hAnsi="Arial" w:eastAsia="宋体"/>
              </w:rPr>
            </w:pPr>
            <w:r>
              <w:rPr>
                <w:rFonts w:hint="eastAsia" w:ascii="Arial" w:hAnsi="Arial" w:eastAsia="宋体"/>
              </w:rPr>
              <w:t>单价(元)</w:t>
            </w:r>
          </w:p>
        </w:tc>
        <w:tc>
          <w:tcPr>
            <w:tcW w:w="1322" w:type="dxa"/>
            <w:vAlign w:val="center"/>
          </w:tcPr>
          <w:p w14:paraId="0B0996B3">
            <w:pPr>
              <w:spacing w:after="60" w:afterLines="25" w:line="300" w:lineRule="auto"/>
              <w:jc w:val="center"/>
              <w:rPr>
                <w:rFonts w:ascii="Arial" w:hAnsi="Arial" w:eastAsia="宋体"/>
              </w:rPr>
            </w:pPr>
            <w:r>
              <w:rPr>
                <w:rFonts w:hint="eastAsia" w:ascii="Arial" w:hAnsi="Arial" w:eastAsia="宋体"/>
              </w:rPr>
              <w:t>合价(元)</w:t>
            </w:r>
          </w:p>
        </w:tc>
      </w:tr>
      <w:tr w14:paraId="7D1FF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2" w:type="dxa"/>
            <w:vAlign w:val="center"/>
          </w:tcPr>
          <w:p w14:paraId="0D2277EA">
            <w:pPr>
              <w:spacing w:after="60" w:afterLines="25" w:line="300" w:lineRule="auto"/>
              <w:jc w:val="center"/>
              <w:rPr>
                <w:rFonts w:ascii="Arial" w:hAnsi="Arial" w:eastAsia="宋体"/>
              </w:rPr>
            </w:pPr>
            <w:r>
              <w:rPr>
                <w:rFonts w:hint="eastAsia" w:ascii="Arial" w:hAnsi="Arial" w:eastAsia="宋体"/>
              </w:rPr>
              <w:t>1</w:t>
            </w:r>
          </w:p>
        </w:tc>
        <w:tc>
          <w:tcPr>
            <w:tcW w:w="2127" w:type="dxa"/>
            <w:vAlign w:val="center"/>
          </w:tcPr>
          <w:p w14:paraId="3FAF8C11">
            <w:pPr>
              <w:spacing w:after="60" w:afterLines="25" w:line="300" w:lineRule="auto"/>
              <w:rPr>
                <w:rFonts w:ascii="Arial" w:hAnsi="Arial" w:eastAsia="宋体"/>
                <w:b/>
              </w:rPr>
            </w:pPr>
          </w:p>
        </w:tc>
        <w:tc>
          <w:tcPr>
            <w:tcW w:w="1417" w:type="dxa"/>
          </w:tcPr>
          <w:p w14:paraId="213FC2E6">
            <w:pPr>
              <w:spacing w:after="60" w:afterLines="25" w:line="300" w:lineRule="auto"/>
              <w:rPr>
                <w:rFonts w:ascii="Arial" w:hAnsi="Arial" w:eastAsia="宋体"/>
              </w:rPr>
            </w:pPr>
          </w:p>
        </w:tc>
        <w:tc>
          <w:tcPr>
            <w:tcW w:w="993" w:type="dxa"/>
          </w:tcPr>
          <w:p w14:paraId="6C13B099">
            <w:pPr>
              <w:spacing w:after="60" w:afterLines="25" w:line="300" w:lineRule="auto"/>
              <w:rPr>
                <w:rFonts w:ascii="Arial" w:hAnsi="Arial" w:eastAsia="宋体"/>
              </w:rPr>
            </w:pPr>
          </w:p>
        </w:tc>
        <w:tc>
          <w:tcPr>
            <w:tcW w:w="992" w:type="dxa"/>
          </w:tcPr>
          <w:p w14:paraId="21582352">
            <w:pPr>
              <w:spacing w:after="60" w:afterLines="25" w:line="300" w:lineRule="auto"/>
              <w:rPr>
                <w:rFonts w:ascii="Arial" w:hAnsi="Arial" w:eastAsia="宋体"/>
              </w:rPr>
            </w:pPr>
          </w:p>
        </w:tc>
        <w:tc>
          <w:tcPr>
            <w:tcW w:w="709" w:type="dxa"/>
          </w:tcPr>
          <w:p w14:paraId="0A389BDD">
            <w:pPr>
              <w:spacing w:after="60" w:afterLines="25" w:line="300" w:lineRule="auto"/>
              <w:rPr>
                <w:rFonts w:ascii="Arial" w:hAnsi="Arial" w:eastAsia="宋体"/>
              </w:rPr>
            </w:pPr>
          </w:p>
        </w:tc>
        <w:tc>
          <w:tcPr>
            <w:tcW w:w="708" w:type="dxa"/>
          </w:tcPr>
          <w:p w14:paraId="675CED86">
            <w:pPr>
              <w:spacing w:after="60" w:afterLines="25" w:line="300" w:lineRule="auto"/>
              <w:rPr>
                <w:rFonts w:ascii="Arial" w:hAnsi="Arial" w:eastAsia="宋体"/>
              </w:rPr>
            </w:pPr>
          </w:p>
        </w:tc>
        <w:tc>
          <w:tcPr>
            <w:tcW w:w="993" w:type="dxa"/>
          </w:tcPr>
          <w:p w14:paraId="6FBBE333">
            <w:pPr>
              <w:spacing w:after="60" w:afterLines="25" w:line="300" w:lineRule="auto"/>
              <w:rPr>
                <w:rFonts w:ascii="Arial" w:hAnsi="Arial" w:eastAsia="宋体"/>
              </w:rPr>
            </w:pPr>
          </w:p>
        </w:tc>
        <w:tc>
          <w:tcPr>
            <w:tcW w:w="1322" w:type="dxa"/>
          </w:tcPr>
          <w:p w14:paraId="16702520">
            <w:pPr>
              <w:spacing w:after="60" w:afterLines="25" w:line="300" w:lineRule="auto"/>
              <w:rPr>
                <w:rFonts w:ascii="Arial" w:hAnsi="Arial" w:eastAsia="宋体"/>
              </w:rPr>
            </w:pPr>
          </w:p>
        </w:tc>
      </w:tr>
      <w:tr w14:paraId="2FC5E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2" w:type="dxa"/>
          </w:tcPr>
          <w:p w14:paraId="07EAD2E6">
            <w:pPr>
              <w:spacing w:after="60" w:afterLines="25" w:line="300" w:lineRule="auto"/>
              <w:jc w:val="center"/>
              <w:rPr>
                <w:rFonts w:ascii="Arial" w:hAnsi="Arial" w:eastAsia="宋体"/>
              </w:rPr>
            </w:pPr>
            <w:r>
              <w:rPr>
                <w:rFonts w:hint="eastAsia" w:ascii="Arial" w:hAnsi="Arial" w:eastAsia="宋体"/>
              </w:rPr>
              <w:t>2</w:t>
            </w:r>
          </w:p>
        </w:tc>
        <w:tc>
          <w:tcPr>
            <w:tcW w:w="2127" w:type="dxa"/>
          </w:tcPr>
          <w:p w14:paraId="551CF20E">
            <w:pPr>
              <w:spacing w:after="60" w:afterLines="25" w:line="300" w:lineRule="auto"/>
              <w:rPr>
                <w:rFonts w:ascii="Arial" w:hAnsi="Arial" w:eastAsia="宋体"/>
                <w:b/>
              </w:rPr>
            </w:pPr>
          </w:p>
        </w:tc>
        <w:tc>
          <w:tcPr>
            <w:tcW w:w="1417" w:type="dxa"/>
          </w:tcPr>
          <w:p w14:paraId="162B699A">
            <w:pPr>
              <w:spacing w:after="60" w:afterLines="25" w:line="300" w:lineRule="auto"/>
              <w:rPr>
                <w:rFonts w:ascii="Arial" w:hAnsi="Arial" w:eastAsia="宋体"/>
              </w:rPr>
            </w:pPr>
          </w:p>
        </w:tc>
        <w:tc>
          <w:tcPr>
            <w:tcW w:w="993" w:type="dxa"/>
          </w:tcPr>
          <w:p w14:paraId="54751A26">
            <w:pPr>
              <w:spacing w:after="60" w:afterLines="25" w:line="300" w:lineRule="auto"/>
              <w:rPr>
                <w:rFonts w:ascii="Arial" w:hAnsi="Arial" w:eastAsia="宋体"/>
              </w:rPr>
            </w:pPr>
          </w:p>
        </w:tc>
        <w:tc>
          <w:tcPr>
            <w:tcW w:w="992" w:type="dxa"/>
          </w:tcPr>
          <w:p w14:paraId="52712760">
            <w:pPr>
              <w:spacing w:after="60" w:afterLines="25" w:line="300" w:lineRule="auto"/>
              <w:rPr>
                <w:rFonts w:ascii="Arial" w:hAnsi="Arial" w:eastAsia="宋体"/>
              </w:rPr>
            </w:pPr>
          </w:p>
        </w:tc>
        <w:tc>
          <w:tcPr>
            <w:tcW w:w="709" w:type="dxa"/>
          </w:tcPr>
          <w:p w14:paraId="71BDC2C1">
            <w:pPr>
              <w:spacing w:after="60" w:afterLines="25" w:line="300" w:lineRule="auto"/>
              <w:rPr>
                <w:rFonts w:ascii="Arial" w:hAnsi="Arial" w:eastAsia="宋体"/>
              </w:rPr>
            </w:pPr>
          </w:p>
        </w:tc>
        <w:tc>
          <w:tcPr>
            <w:tcW w:w="708" w:type="dxa"/>
          </w:tcPr>
          <w:p w14:paraId="534409C5">
            <w:pPr>
              <w:spacing w:after="60" w:afterLines="25" w:line="300" w:lineRule="auto"/>
              <w:rPr>
                <w:rFonts w:ascii="Arial" w:hAnsi="Arial" w:eastAsia="宋体"/>
              </w:rPr>
            </w:pPr>
          </w:p>
        </w:tc>
        <w:tc>
          <w:tcPr>
            <w:tcW w:w="993" w:type="dxa"/>
          </w:tcPr>
          <w:p w14:paraId="5EF56993">
            <w:pPr>
              <w:spacing w:after="60" w:afterLines="25" w:line="300" w:lineRule="auto"/>
              <w:rPr>
                <w:rFonts w:ascii="Arial" w:hAnsi="Arial" w:eastAsia="宋体"/>
              </w:rPr>
            </w:pPr>
          </w:p>
        </w:tc>
        <w:tc>
          <w:tcPr>
            <w:tcW w:w="1322" w:type="dxa"/>
          </w:tcPr>
          <w:p w14:paraId="083672DE">
            <w:pPr>
              <w:spacing w:after="60" w:afterLines="25" w:line="300" w:lineRule="auto"/>
              <w:rPr>
                <w:rFonts w:ascii="Arial" w:hAnsi="Arial" w:eastAsia="宋体"/>
              </w:rPr>
            </w:pPr>
          </w:p>
        </w:tc>
      </w:tr>
      <w:tr w14:paraId="34D67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72" w:type="dxa"/>
          </w:tcPr>
          <w:p w14:paraId="111CF099">
            <w:pPr>
              <w:spacing w:after="60" w:afterLines="25" w:line="300" w:lineRule="auto"/>
              <w:jc w:val="center"/>
              <w:rPr>
                <w:rFonts w:ascii="Arial" w:hAnsi="Arial" w:eastAsia="宋体"/>
              </w:rPr>
            </w:pPr>
            <w:r>
              <w:rPr>
                <w:rFonts w:hint="eastAsia" w:ascii="Arial" w:hAnsi="Arial" w:eastAsia="宋体"/>
              </w:rPr>
              <w:t>3</w:t>
            </w:r>
          </w:p>
        </w:tc>
        <w:tc>
          <w:tcPr>
            <w:tcW w:w="2127" w:type="dxa"/>
          </w:tcPr>
          <w:p w14:paraId="03CBB33A">
            <w:pPr>
              <w:spacing w:after="60" w:afterLines="25" w:line="300" w:lineRule="auto"/>
              <w:rPr>
                <w:rFonts w:ascii="Arial" w:hAnsi="Arial" w:eastAsia="宋体"/>
                <w:b/>
              </w:rPr>
            </w:pPr>
          </w:p>
        </w:tc>
        <w:tc>
          <w:tcPr>
            <w:tcW w:w="1417" w:type="dxa"/>
          </w:tcPr>
          <w:p w14:paraId="210C80B3">
            <w:pPr>
              <w:spacing w:after="60" w:afterLines="25" w:line="300" w:lineRule="auto"/>
              <w:rPr>
                <w:rFonts w:ascii="Arial" w:hAnsi="Arial" w:eastAsia="宋体"/>
              </w:rPr>
            </w:pPr>
          </w:p>
        </w:tc>
        <w:tc>
          <w:tcPr>
            <w:tcW w:w="993" w:type="dxa"/>
          </w:tcPr>
          <w:p w14:paraId="0F8AA3B4">
            <w:pPr>
              <w:spacing w:after="60" w:afterLines="25" w:line="300" w:lineRule="auto"/>
              <w:rPr>
                <w:rFonts w:ascii="Arial" w:hAnsi="Arial" w:eastAsia="宋体"/>
              </w:rPr>
            </w:pPr>
          </w:p>
        </w:tc>
        <w:tc>
          <w:tcPr>
            <w:tcW w:w="992" w:type="dxa"/>
          </w:tcPr>
          <w:p w14:paraId="2A3353F7">
            <w:pPr>
              <w:spacing w:after="60" w:afterLines="25" w:line="300" w:lineRule="auto"/>
              <w:rPr>
                <w:rFonts w:ascii="Arial" w:hAnsi="Arial" w:eastAsia="宋体"/>
              </w:rPr>
            </w:pPr>
          </w:p>
        </w:tc>
        <w:tc>
          <w:tcPr>
            <w:tcW w:w="709" w:type="dxa"/>
          </w:tcPr>
          <w:p w14:paraId="09E72FBC">
            <w:pPr>
              <w:spacing w:after="60" w:afterLines="25" w:line="300" w:lineRule="auto"/>
              <w:rPr>
                <w:rFonts w:ascii="Arial" w:hAnsi="Arial" w:eastAsia="宋体"/>
              </w:rPr>
            </w:pPr>
          </w:p>
        </w:tc>
        <w:tc>
          <w:tcPr>
            <w:tcW w:w="708" w:type="dxa"/>
          </w:tcPr>
          <w:p w14:paraId="326AD44A">
            <w:pPr>
              <w:spacing w:after="60" w:afterLines="25" w:line="300" w:lineRule="auto"/>
              <w:rPr>
                <w:rFonts w:ascii="Arial" w:hAnsi="Arial" w:eastAsia="宋体"/>
              </w:rPr>
            </w:pPr>
          </w:p>
        </w:tc>
        <w:tc>
          <w:tcPr>
            <w:tcW w:w="993" w:type="dxa"/>
          </w:tcPr>
          <w:p w14:paraId="5D52CDE6">
            <w:pPr>
              <w:spacing w:after="60" w:afterLines="25" w:line="300" w:lineRule="auto"/>
              <w:rPr>
                <w:rFonts w:ascii="Arial" w:hAnsi="Arial" w:eastAsia="宋体"/>
              </w:rPr>
            </w:pPr>
          </w:p>
        </w:tc>
        <w:tc>
          <w:tcPr>
            <w:tcW w:w="1322" w:type="dxa"/>
          </w:tcPr>
          <w:p w14:paraId="079EC218">
            <w:pPr>
              <w:spacing w:after="60" w:afterLines="25" w:line="300" w:lineRule="auto"/>
              <w:rPr>
                <w:rFonts w:ascii="Arial" w:hAnsi="Arial" w:eastAsia="宋体"/>
              </w:rPr>
            </w:pPr>
          </w:p>
        </w:tc>
      </w:tr>
      <w:tr w14:paraId="4909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72" w:type="dxa"/>
          </w:tcPr>
          <w:p w14:paraId="07DB0464">
            <w:pPr>
              <w:spacing w:after="60" w:afterLines="25" w:line="300" w:lineRule="auto"/>
              <w:jc w:val="center"/>
              <w:rPr>
                <w:rFonts w:ascii="Arial" w:hAnsi="Arial" w:eastAsia="宋体"/>
              </w:rPr>
            </w:pPr>
            <w:r>
              <w:rPr>
                <w:rFonts w:hint="eastAsia" w:ascii="Arial" w:hAnsi="Arial" w:eastAsia="宋体"/>
              </w:rPr>
              <w:t>……</w:t>
            </w:r>
          </w:p>
        </w:tc>
        <w:tc>
          <w:tcPr>
            <w:tcW w:w="2127" w:type="dxa"/>
          </w:tcPr>
          <w:p w14:paraId="3DD5D47E">
            <w:pPr>
              <w:spacing w:after="60" w:afterLines="25" w:line="300" w:lineRule="auto"/>
              <w:rPr>
                <w:rFonts w:ascii="Arial" w:hAnsi="Arial" w:eastAsia="宋体"/>
                <w:b/>
              </w:rPr>
            </w:pPr>
          </w:p>
        </w:tc>
        <w:tc>
          <w:tcPr>
            <w:tcW w:w="1417" w:type="dxa"/>
          </w:tcPr>
          <w:p w14:paraId="36B7ADA0">
            <w:pPr>
              <w:spacing w:after="60" w:afterLines="25" w:line="300" w:lineRule="auto"/>
              <w:rPr>
                <w:rFonts w:ascii="Arial" w:hAnsi="Arial" w:eastAsia="宋体"/>
              </w:rPr>
            </w:pPr>
          </w:p>
        </w:tc>
        <w:tc>
          <w:tcPr>
            <w:tcW w:w="993" w:type="dxa"/>
          </w:tcPr>
          <w:p w14:paraId="42088906">
            <w:pPr>
              <w:spacing w:after="60" w:afterLines="25" w:line="300" w:lineRule="auto"/>
              <w:rPr>
                <w:rFonts w:ascii="Arial" w:hAnsi="Arial" w:eastAsia="宋体"/>
              </w:rPr>
            </w:pPr>
          </w:p>
        </w:tc>
        <w:tc>
          <w:tcPr>
            <w:tcW w:w="992" w:type="dxa"/>
          </w:tcPr>
          <w:p w14:paraId="1EC9C70C">
            <w:pPr>
              <w:spacing w:after="60" w:afterLines="25" w:line="300" w:lineRule="auto"/>
              <w:rPr>
                <w:rFonts w:ascii="Arial" w:hAnsi="Arial" w:eastAsia="宋体"/>
              </w:rPr>
            </w:pPr>
          </w:p>
        </w:tc>
        <w:tc>
          <w:tcPr>
            <w:tcW w:w="709" w:type="dxa"/>
          </w:tcPr>
          <w:p w14:paraId="3302952A">
            <w:pPr>
              <w:spacing w:after="60" w:afterLines="25" w:line="300" w:lineRule="auto"/>
              <w:rPr>
                <w:rFonts w:ascii="Arial" w:hAnsi="Arial" w:eastAsia="宋体"/>
              </w:rPr>
            </w:pPr>
          </w:p>
        </w:tc>
        <w:tc>
          <w:tcPr>
            <w:tcW w:w="708" w:type="dxa"/>
          </w:tcPr>
          <w:p w14:paraId="2B5C9306">
            <w:pPr>
              <w:spacing w:after="60" w:afterLines="25" w:line="300" w:lineRule="auto"/>
              <w:rPr>
                <w:rFonts w:ascii="Arial" w:hAnsi="Arial" w:eastAsia="宋体"/>
              </w:rPr>
            </w:pPr>
          </w:p>
        </w:tc>
        <w:tc>
          <w:tcPr>
            <w:tcW w:w="993" w:type="dxa"/>
          </w:tcPr>
          <w:p w14:paraId="57634A2A">
            <w:pPr>
              <w:spacing w:after="60" w:afterLines="25" w:line="300" w:lineRule="auto"/>
              <w:rPr>
                <w:rFonts w:ascii="Arial" w:hAnsi="Arial" w:eastAsia="宋体"/>
              </w:rPr>
            </w:pPr>
          </w:p>
        </w:tc>
        <w:tc>
          <w:tcPr>
            <w:tcW w:w="1322" w:type="dxa"/>
          </w:tcPr>
          <w:p w14:paraId="0ABC4A83">
            <w:pPr>
              <w:spacing w:after="60" w:afterLines="25" w:line="300" w:lineRule="auto"/>
              <w:rPr>
                <w:rFonts w:ascii="Arial" w:hAnsi="Arial" w:eastAsia="宋体"/>
              </w:rPr>
            </w:pPr>
          </w:p>
        </w:tc>
      </w:tr>
      <w:tr w14:paraId="3B9CD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01" w:type="dxa"/>
            <w:gridSpan w:val="5"/>
          </w:tcPr>
          <w:p w14:paraId="646CF7F7">
            <w:pPr>
              <w:spacing w:after="60" w:afterLines="25" w:line="300" w:lineRule="auto"/>
              <w:jc w:val="center"/>
              <w:rPr>
                <w:rFonts w:ascii="Arial" w:hAnsi="Arial" w:eastAsia="宋体"/>
              </w:rPr>
            </w:pPr>
            <w:r>
              <w:rPr>
                <w:rFonts w:hint="eastAsia" w:ascii="Arial" w:hAnsi="Arial" w:eastAsia="宋体"/>
                <w:b/>
              </w:rPr>
              <w:t>投标总价</w:t>
            </w:r>
            <w:r>
              <w:rPr>
                <w:rFonts w:hint="eastAsia" w:ascii="Arial" w:hAnsi="Arial" w:eastAsia="宋体"/>
              </w:rPr>
              <w:t>（币种：人民币；单位：元）</w:t>
            </w:r>
          </w:p>
        </w:tc>
        <w:tc>
          <w:tcPr>
            <w:tcW w:w="3732" w:type="dxa"/>
            <w:gridSpan w:val="4"/>
          </w:tcPr>
          <w:p w14:paraId="6A7650A2">
            <w:pPr>
              <w:spacing w:after="60" w:afterLines="25" w:line="300" w:lineRule="auto"/>
              <w:rPr>
                <w:rFonts w:ascii="Arial" w:hAnsi="Arial" w:eastAsia="宋体"/>
              </w:rPr>
            </w:pPr>
          </w:p>
        </w:tc>
      </w:tr>
    </w:tbl>
    <w:p w14:paraId="7FD30005">
      <w:pPr>
        <w:tabs>
          <w:tab w:val="left" w:pos="720"/>
        </w:tabs>
        <w:rPr>
          <w:rFonts w:eastAsia="宋体"/>
          <w:b/>
        </w:rPr>
      </w:pPr>
    </w:p>
    <w:p w14:paraId="3A135BE5">
      <w:pPr>
        <w:tabs>
          <w:tab w:val="left" w:pos="720"/>
        </w:tabs>
        <w:rPr>
          <w:rFonts w:eastAsia="宋体"/>
          <w:b/>
          <w:color w:val="FF0000"/>
        </w:rPr>
      </w:pPr>
      <w:r>
        <w:rPr>
          <w:rFonts w:hint="eastAsia" w:eastAsia="宋体"/>
          <w:b/>
          <w:color w:val="FF0000"/>
        </w:rPr>
        <w:t>（二）核心产品品牌</w:t>
      </w:r>
    </w:p>
    <w:p w14:paraId="5C089911">
      <w:pPr>
        <w:rPr>
          <w:rFonts w:ascii="宋体" w:hAnsi="宋体" w:eastAsia="宋体"/>
          <w:b/>
          <w:color w:val="FF0000"/>
        </w:rPr>
      </w:pPr>
      <w:r>
        <w:rPr>
          <w:rFonts w:hint="eastAsia" w:eastAsia="宋体"/>
          <w:b/>
          <w:color w:val="FF0000"/>
        </w:rPr>
        <w:t>我单位所投核心产品的品牌为</w:t>
      </w:r>
      <w:r>
        <w:rPr>
          <w:rFonts w:hint="eastAsia" w:eastAsia="宋体"/>
          <w:b/>
          <w:color w:val="FF0000"/>
          <w:u w:val="single"/>
        </w:rPr>
        <w:t xml:space="preserve">：                 </w:t>
      </w:r>
      <w:r>
        <w:rPr>
          <w:rFonts w:hint="eastAsia" w:eastAsia="宋体"/>
          <w:b/>
          <w:color w:val="FF0000"/>
        </w:rPr>
        <w:t>。</w:t>
      </w:r>
    </w:p>
    <w:p w14:paraId="5157DD40">
      <w:pPr>
        <w:spacing w:after="60" w:afterLines="25" w:line="300" w:lineRule="auto"/>
        <w:rPr>
          <w:rFonts w:ascii="Arial" w:hAnsi="Arial" w:eastAsia="宋体"/>
          <w:b/>
        </w:rPr>
      </w:pPr>
      <w:r>
        <w:rPr>
          <w:rFonts w:hint="eastAsia" w:ascii="宋体" w:hAnsi="宋体" w:eastAsia="宋体"/>
          <w:color w:val="FF0000"/>
        </w:rPr>
        <w:t>备注：如招标文件未列明核心产品的，无需填写该项。</w:t>
      </w:r>
    </w:p>
    <w:p w14:paraId="771F05AD">
      <w:pPr>
        <w:spacing w:after="60" w:afterLines="25" w:line="300" w:lineRule="auto"/>
        <w:rPr>
          <w:rFonts w:ascii="Arial" w:hAnsi="Arial" w:eastAsia="宋体"/>
          <w:b/>
        </w:rPr>
      </w:pPr>
      <w:r>
        <w:rPr>
          <w:rFonts w:hint="eastAsia" w:ascii="Arial" w:hAnsi="Arial" w:eastAsia="宋体"/>
          <w:b/>
        </w:rPr>
        <w:t>（三）可选配件报价清单（非项目需求要求的必备配件，此部分不包括在总报价内）</w:t>
      </w:r>
    </w:p>
    <w:p w14:paraId="69AD29F5">
      <w:pPr>
        <w:spacing w:after="60" w:afterLines="25" w:line="300" w:lineRule="auto"/>
        <w:rPr>
          <w:rFonts w:ascii="Arial" w:hAnsi="Arial" w:eastAsia="宋体"/>
          <w:b/>
        </w:rPr>
      </w:pPr>
      <w:r>
        <w:rPr>
          <w:rFonts w:hint="eastAsia" w:ascii="Arial" w:hAnsi="Arial" w:eastAsia="宋体"/>
          <w:b/>
        </w:rPr>
        <w:t>（四）供应商认为需要涉及的其他内容报价清单</w:t>
      </w:r>
    </w:p>
    <w:p w14:paraId="7EC4B0DB">
      <w:pPr>
        <w:spacing w:after="60" w:afterLines="25" w:line="300" w:lineRule="auto"/>
        <w:rPr>
          <w:rFonts w:ascii="Arial" w:hAnsi="Arial" w:eastAsia="宋体"/>
        </w:rPr>
      </w:pPr>
    </w:p>
    <w:p w14:paraId="683C100C">
      <w:pPr>
        <w:snapToGrid w:val="0"/>
        <w:rPr>
          <w:rFonts w:ascii="宋体" w:hAnsi="宋体"/>
          <w:b/>
          <w:color w:val="FF0000"/>
        </w:rPr>
      </w:pPr>
      <w:r>
        <w:rPr>
          <w:rFonts w:hint="eastAsia" w:ascii="宋体" w:hAnsi="宋体"/>
          <w:bCs/>
          <w:color w:val="FF0000"/>
        </w:rPr>
        <w:t>★</w:t>
      </w:r>
      <w:r>
        <w:rPr>
          <w:rFonts w:hint="eastAsia" w:ascii="宋体" w:hAnsi="宋体"/>
          <w:b/>
          <w:color w:val="FF0000"/>
        </w:rPr>
        <w:t>填写</w:t>
      </w:r>
      <w:r>
        <w:rPr>
          <w:rFonts w:ascii="宋体" w:hAnsi="宋体"/>
          <w:b/>
          <w:color w:val="FF0000"/>
        </w:rPr>
        <w:t>要求：</w:t>
      </w:r>
    </w:p>
    <w:p w14:paraId="71A6F74B">
      <w:pPr>
        <w:snapToGrid w:val="0"/>
        <w:rPr>
          <w:rFonts w:ascii="宋体" w:hAnsi="宋体"/>
          <w:b/>
          <w:color w:val="FF0000"/>
        </w:rPr>
      </w:pPr>
      <w:r>
        <w:rPr>
          <w:rFonts w:ascii="宋体" w:hAnsi="宋体"/>
          <w:b/>
          <w:color w:val="FF0000"/>
        </w:rPr>
        <w:t>1.</w:t>
      </w:r>
      <w:r>
        <w:rPr>
          <w:rFonts w:hint="eastAsia" w:ascii="宋体" w:hAnsi="宋体"/>
          <w:b/>
          <w:color w:val="FF0000"/>
        </w:rPr>
        <w:t>《分项报价清单》</w:t>
      </w:r>
      <w:r>
        <w:rPr>
          <w:rFonts w:ascii="宋体" w:hAnsi="宋体"/>
          <w:b/>
          <w:color w:val="FF0000"/>
        </w:rPr>
        <w:t>所有价格应</w:t>
      </w:r>
      <w:r>
        <w:rPr>
          <w:rFonts w:hint="eastAsia" w:ascii="宋体" w:hAnsi="宋体"/>
          <w:b/>
          <w:color w:val="FF0000"/>
        </w:rPr>
        <w:t>以人民币为结算单位填写</w:t>
      </w:r>
      <w:r>
        <w:rPr>
          <w:rFonts w:ascii="宋体" w:hAnsi="宋体"/>
          <w:b/>
          <w:color w:val="FF0000"/>
        </w:rPr>
        <w:t>；</w:t>
      </w:r>
    </w:p>
    <w:p w14:paraId="535337F3">
      <w:pPr>
        <w:snapToGrid w:val="0"/>
        <w:rPr>
          <w:rFonts w:ascii="宋体" w:hAnsi="宋体"/>
          <w:b/>
          <w:color w:val="FF0000"/>
        </w:rPr>
      </w:pPr>
      <w:r>
        <w:rPr>
          <w:rFonts w:ascii="宋体" w:hAnsi="宋体"/>
          <w:b/>
          <w:color w:val="FF0000"/>
        </w:rPr>
        <w:t>2.可根据</w:t>
      </w:r>
      <w:r>
        <w:rPr>
          <w:rFonts w:hint="eastAsia" w:ascii="宋体" w:hAnsi="宋体"/>
          <w:b/>
          <w:color w:val="FF0000"/>
        </w:rPr>
        <w:t>实际需要</w:t>
      </w:r>
      <w:r>
        <w:rPr>
          <w:rFonts w:ascii="宋体" w:hAnsi="宋体"/>
          <w:b/>
          <w:color w:val="FF0000"/>
        </w:rPr>
        <w:t>增加</w:t>
      </w:r>
      <w:r>
        <w:rPr>
          <w:rFonts w:hint="eastAsia" w:ascii="宋体" w:hAnsi="宋体"/>
          <w:b/>
          <w:color w:val="FF0000"/>
        </w:rPr>
        <w:t>相关</w:t>
      </w:r>
      <w:r>
        <w:rPr>
          <w:rFonts w:ascii="宋体" w:hAnsi="宋体"/>
          <w:b/>
          <w:color w:val="FF0000"/>
        </w:rPr>
        <w:t>内容，</w:t>
      </w:r>
      <w:r>
        <w:rPr>
          <w:rFonts w:hint="eastAsia" w:ascii="宋体" w:hAnsi="宋体" w:eastAsia="宋体"/>
          <w:b/>
          <w:color w:val="FF0000"/>
          <w:lang w:eastAsia="zh-CN"/>
        </w:rPr>
        <w:t>若需求为货物则</w:t>
      </w:r>
      <w:r>
        <w:rPr>
          <w:rFonts w:ascii="宋体" w:hAnsi="宋体"/>
          <w:b/>
          <w:color w:val="FF0000"/>
        </w:rPr>
        <w:t>原</w:t>
      </w:r>
      <w:r>
        <w:rPr>
          <w:rFonts w:hint="eastAsia" w:ascii="宋体" w:hAnsi="宋体"/>
          <w:b/>
          <w:color w:val="FF0000"/>
        </w:rPr>
        <w:t>有</w:t>
      </w:r>
      <w:r>
        <w:rPr>
          <w:rFonts w:ascii="宋体" w:hAnsi="宋体"/>
          <w:b/>
          <w:color w:val="FF0000"/>
        </w:rPr>
        <w:t>的格式</w:t>
      </w:r>
      <w:r>
        <w:rPr>
          <w:rFonts w:hint="eastAsia" w:ascii="宋体" w:hAnsi="宋体"/>
          <w:b/>
          <w:color w:val="FF0000"/>
        </w:rPr>
        <w:t>内容</w:t>
      </w:r>
      <w:r>
        <w:rPr>
          <w:rFonts w:ascii="宋体" w:hAnsi="宋体"/>
          <w:b/>
          <w:color w:val="FF0000"/>
        </w:rPr>
        <w:t>不得删减</w:t>
      </w:r>
      <w:r>
        <w:rPr>
          <w:rFonts w:hint="eastAsia" w:ascii="宋体" w:hAnsi="宋体" w:eastAsia="宋体"/>
          <w:b/>
          <w:color w:val="FF0000"/>
          <w:lang w:eastAsia="zh-CN"/>
        </w:rPr>
        <w:t>。若需求为服务可根据需要进行修改，但应包含服务内容及服务分项报价</w:t>
      </w:r>
      <w:r>
        <w:rPr>
          <w:rFonts w:ascii="宋体" w:hAnsi="宋体"/>
          <w:b/>
          <w:color w:val="FF0000"/>
        </w:rPr>
        <w:t>；</w:t>
      </w:r>
    </w:p>
    <w:p w14:paraId="33B8CB0C">
      <w:pPr>
        <w:snapToGrid w:val="0"/>
        <w:rPr>
          <w:rFonts w:ascii="宋体" w:hAnsi="宋体"/>
          <w:b/>
        </w:rPr>
      </w:pPr>
    </w:p>
    <w:p w14:paraId="211794D3">
      <w:pPr>
        <w:snapToGrid w:val="0"/>
        <w:rPr>
          <w:rFonts w:ascii="宋体" w:hAnsi="宋体"/>
          <w:b/>
        </w:rPr>
      </w:pPr>
      <w:r>
        <w:rPr>
          <w:rFonts w:hint="eastAsia" w:ascii="宋体" w:hAnsi="宋体"/>
          <w:b/>
        </w:rPr>
        <w:t>填写说明：</w:t>
      </w:r>
    </w:p>
    <w:p w14:paraId="1CBC85C3">
      <w:pPr>
        <w:snapToGrid w:val="0"/>
        <w:rPr>
          <w:rFonts w:ascii="宋体" w:hAnsi="宋体"/>
          <w:b/>
        </w:rPr>
      </w:pPr>
      <w:r>
        <w:rPr>
          <w:rFonts w:hint="eastAsia" w:ascii="宋体" w:hAnsi="宋体"/>
          <w:b/>
        </w:rPr>
        <w:t>1、</w:t>
      </w:r>
      <w:r>
        <w:rPr>
          <w:rFonts w:ascii="宋体" w:hAnsi="宋体"/>
          <w:b/>
        </w:rPr>
        <w:t xml:space="preserve">“原产地”是指该产品的实际生产加工地，而非品牌总公司所在地。 </w:t>
      </w:r>
    </w:p>
    <w:p w14:paraId="23D2AEC5">
      <w:pPr>
        <w:snapToGrid w:val="0"/>
        <w:rPr>
          <w:rFonts w:ascii="宋体" w:hAnsi="宋体"/>
          <w:b/>
        </w:rPr>
      </w:pPr>
      <w:r>
        <w:rPr>
          <w:rFonts w:hint="eastAsia" w:ascii="宋体" w:hAnsi="宋体"/>
          <w:b/>
        </w:rPr>
        <w:t>2</w:t>
      </w:r>
      <w:r>
        <w:rPr>
          <w:rFonts w:ascii="宋体" w:hAnsi="宋体"/>
          <w:b/>
        </w:rPr>
        <w:t>、“规格</w:t>
      </w:r>
      <w:r>
        <w:rPr>
          <w:rFonts w:hint="eastAsia" w:ascii="宋体" w:hAnsi="宋体"/>
          <w:b/>
        </w:rPr>
        <w:t>及</w:t>
      </w:r>
      <w:r>
        <w:rPr>
          <w:rFonts w:ascii="宋体" w:hAnsi="宋体"/>
          <w:b/>
        </w:rPr>
        <w:t>型号、品牌”属于“按招标定制”产品</w:t>
      </w:r>
      <w:r>
        <w:rPr>
          <w:rFonts w:hint="eastAsia" w:ascii="宋体" w:hAnsi="宋体"/>
          <w:b/>
        </w:rPr>
        <w:t>，</w:t>
      </w:r>
      <w:r>
        <w:rPr>
          <w:rFonts w:ascii="宋体" w:hAnsi="宋体"/>
          <w:b/>
        </w:rPr>
        <w:t>可依招标要求响应填报；属于有明确品牌型号的产品报出具体</w:t>
      </w:r>
      <w:r>
        <w:rPr>
          <w:rFonts w:hint="eastAsia" w:ascii="宋体" w:hAnsi="宋体"/>
          <w:b/>
        </w:rPr>
        <w:t>品牌</w:t>
      </w:r>
      <w:r>
        <w:rPr>
          <w:rFonts w:ascii="宋体" w:hAnsi="宋体"/>
          <w:b/>
        </w:rPr>
        <w:t>型号。</w:t>
      </w:r>
    </w:p>
    <w:p w14:paraId="1AB73E7B">
      <w:pPr>
        <w:snapToGrid w:val="0"/>
        <w:rPr>
          <w:rFonts w:ascii="宋体" w:hAnsi="宋体"/>
          <w:b/>
        </w:rPr>
      </w:pPr>
      <w:r>
        <w:rPr>
          <w:rFonts w:hint="eastAsia" w:ascii="宋体" w:hAnsi="宋体"/>
          <w:b/>
        </w:rPr>
        <w:t>3、</w:t>
      </w:r>
      <w:r>
        <w:rPr>
          <w:rFonts w:ascii="宋体" w:hAnsi="宋体"/>
          <w:b/>
        </w:rPr>
        <w:t>投标人根据本项目采购需求方案中的配置清单或明细列表按此表格式要求进行填报（对规格型号、品牌的要求执行</w:t>
      </w:r>
      <w:r>
        <w:rPr>
          <w:rFonts w:hint="eastAsia" w:ascii="宋体" w:hAnsi="宋体"/>
          <w:b/>
        </w:rPr>
        <w:t>填写说明</w:t>
      </w:r>
      <w:r>
        <w:rPr>
          <w:rFonts w:ascii="宋体" w:hAnsi="宋体"/>
          <w:b/>
        </w:rPr>
        <w:t>第</w:t>
      </w:r>
      <w:r>
        <w:rPr>
          <w:rFonts w:hint="eastAsia" w:ascii="宋体" w:hAnsi="宋体"/>
          <w:b/>
        </w:rPr>
        <w:t>2</w:t>
      </w:r>
      <w:r>
        <w:rPr>
          <w:rFonts w:ascii="宋体" w:hAnsi="宋体"/>
          <w:b/>
        </w:rPr>
        <w:t>条规定）。</w:t>
      </w:r>
      <w:r>
        <w:rPr>
          <w:rFonts w:ascii="宋体" w:hAnsi="宋体"/>
          <w:b/>
          <w:highlight w:val="yellow"/>
        </w:rPr>
        <w:t>如不填报、漏报或错报评标委员会有权对投标人做出不利的判断。</w:t>
      </w:r>
      <w:r>
        <w:rPr>
          <w:rFonts w:ascii="宋体" w:hAnsi="宋体"/>
          <w:b/>
        </w:rPr>
        <w:t>（如有涉及采购需求有要求但无法明确具体量化标准的配套工程施工、安装、装修等，可依要求只报出相应报价即可）</w:t>
      </w:r>
    </w:p>
    <w:p w14:paraId="34FAE8CA">
      <w:pPr>
        <w:snapToGrid w:val="0"/>
        <w:rPr>
          <w:rFonts w:ascii="宋体" w:hAnsi="宋体"/>
        </w:rPr>
      </w:pPr>
    </w:p>
    <w:p w14:paraId="27593EDC">
      <w:pPr>
        <w:tabs>
          <w:tab w:val="left" w:pos="651"/>
        </w:tabs>
        <w:snapToGrid w:val="0"/>
        <w:rPr>
          <w:rFonts w:ascii="宋体" w:hAnsi="宋体" w:eastAsia="宋体"/>
          <w:color w:val="FF0000"/>
          <w:sz w:val="28"/>
          <w:szCs w:val="28"/>
        </w:rPr>
      </w:pPr>
    </w:p>
    <w:p w14:paraId="54CBC1B6">
      <w:pPr>
        <w:keepNext/>
        <w:keepLines/>
        <w:pageBreakBefore/>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14</w:t>
      </w:r>
      <w:r>
        <w:rPr>
          <w:rFonts w:ascii="宋体" w:hAnsi="宋体" w:eastAsia="宋体"/>
          <w:b/>
          <w:bCs/>
          <w:szCs w:val="20"/>
        </w:rPr>
        <w:t>.</w:t>
      </w:r>
      <w:r>
        <w:rPr>
          <w:rFonts w:hint="eastAsia" w:ascii="宋体" w:hAnsi="宋体" w:eastAsia="宋体"/>
          <w:b/>
          <w:bCs/>
          <w:szCs w:val="20"/>
        </w:rPr>
        <w:t>商务（服务）条款偏离表</w:t>
      </w:r>
    </w:p>
    <w:p w14:paraId="6A09CD78">
      <w:pPr>
        <w:snapToGrid w:val="0"/>
        <w:rPr>
          <w:rFonts w:ascii="Arial" w:hAnsi="Arial" w:eastAsia="宋体" w:cs="Arial"/>
        </w:rPr>
      </w:pPr>
      <w:r>
        <w:rPr>
          <w:rFonts w:hint="eastAsia" w:ascii="Arial" w:hAnsi="Arial" w:eastAsia="宋体" w:cs="Arial"/>
          <w:color w:val="000000"/>
        </w:rPr>
        <w:t>投标单位（投标人）名称：</w:t>
      </w:r>
    </w:p>
    <w:p w14:paraId="49CA4806">
      <w:pPr>
        <w:snapToGrid w:val="0"/>
        <w:rPr>
          <w:rFonts w:ascii="宋体" w:hAnsi="宋体"/>
          <w:b/>
        </w:rPr>
      </w:pPr>
    </w:p>
    <w:tbl>
      <w:tblPr>
        <w:tblStyle w:val="19"/>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901"/>
        <w:gridCol w:w="3414"/>
        <w:gridCol w:w="1186"/>
      </w:tblGrid>
      <w:tr w14:paraId="398CECA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14:paraId="460B95CC">
            <w:pPr>
              <w:jc w:val="center"/>
              <w:rPr>
                <w:rFonts w:ascii="宋体" w:hAnsi="宋体" w:eastAsia="宋体" w:cs="Arial"/>
                <w:b/>
                <w:szCs w:val="21"/>
              </w:rPr>
            </w:pPr>
            <w:r>
              <w:rPr>
                <w:rFonts w:hint="eastAsia" w:ascii="宋体" w:hAnsi="宋体" w:eastAsia="宋体" w:cs="Arial"/>
                <w:b/>
                <w:szCs w:val="21"/>
              </w:rPr>
              <w:t>序号</w:t>
            </w:r>
          </w:p>
        </w:tc>
        <w:tc>
          <w:tcPr>
            <w:tcW w:w="3901" w:type="dxa"/>
            <w:vAlign w:val="center"/>
          </w:tcPr>
          <w:p w14:paraId="54C01EF4">
            <w:pPr>
              <w:jc w:val="center"/>
              <w:rPr>
                <w:rFonts w:ascii="宋体" w:hAnsi="宋体" w:eastAsia="宋体" w:cs="Arial"/>
                <w:b/>
                <w:szCs w:val="21"/>
              </w:rPr>
            </w:pPr>
            <w:r>
              <w:rPr>
                <w:rFonts w:hint="eastAsia" w:ascii="宋体" w:hAnsi="宋体" w:eastAsia="宋体" w:cs="Arial"/>
                <w:b/>
                <w:szCs w:val="21"/>
              </w:rPr>
              <w:t>招标文件要求</w:t>
            </w:r>
          </w:p>
        </w:tc>
        <w:tc>
          <w:tcPr>
            <w:tcW w:w="3414" w:type="dxa"/>
            <w:vAlign w:val="center"/>
          </w:tcPr>
          <w:p w14:paraId="2B4D7093">
            <w:pPr>
              <w:jc w:val="center"/>
              <w:rPr>
                <w:rFonts w:ascii="宋体" w:hAnsi="宋体" w:eastAsia="宋体" w:cs="Arial"/>
                <w:b/>
                <w:szCs w:val="21"/>
              </w:rPr>
            </w:pPr>
            <w:r>
              <w:rPr>
                <w:rFonts w:hint="eastAsia" w:ascii="宋体" w:hAnsi="宋体" w:eastAsia="宋体" w:cs="Arial"/>
                <w:b/>
                <w:szCs w:val="21"/>
              </w:rPr>
              <w:t>投标文件响应</w:t>
            </w:r>
          </w:p>
        </w:tc>
        <w:tc>
          <w:tcPr>
            <w:tcW w:w="1186" w:type="dxa"/>
            <w:vAlign w:val="center"/>
          </w:tcPr>
          <w:p w14:paraId="21EAE086">
            <w:pPr>
              <w:jc w:val="center"/>
              <w:rPr>
                <w:rFonts w:ascii="宋体" w:hAnsi="宋体" w:eastAsia="宋体" w:cs="Arial"/>
                <w:b/>
                <w:szCs w:val="21"/>
              </w:rPr>
            </w:pPr>
            <w:r>
              <w:rPr>
                <w:rFonts w:hint="eastAsia" w:ascii="宋体" w:hAnsi="宋体" w:eastAsia="宋体" w:cs="Arial"/>
                <w:b/>
                <w:szCs w:val="21"/>
              </w:rPr>
              <w:t>说明</w:t>
            </w:r>
          </w:p>
        </w:tc>
      </w:tr>
      <w:tr w14:paraId="1D870C6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14:paraId="30BC0ABB">
            <w:pPr>
              <w:spacing w:line="300" w:lineRule="auto"/>
              <w:jc w:val="center"/>
              <w:rPr>
                <w:rFonts w:ascii="Arial" w:hAnsi="Arial" w:eastAsia="宋体"/>
              </w:rPr>
            </w:pPr>
            <w:r>
              <w:rPr>
                <w:rFonts w:hint="eastAsia" w:ascii="Arial" w:hAnsi="Arial" w:eastAsia="宋体"/>
              </w:rPr>
              <w:t>1</w:t>
            </w:r>
          </w:p>
        </w:tc>
        <w:tc>
          <w:tcPr>
            <w:tcW w:w="3901" w:type="dxa"/>
            <w:vAlign w:val="center"/>
          </w:tcPr>
          <w:p w14:paraId="2CDE838F">
            <w:pPr>
              <w:spacing w:line="300" w:lineRule="auto"/>
              <w:rPr>
                <w:rFonts w:ascii="Arial" w:hAnsi="Arial" w:eastAsia="宋体"/>
              </w:rPr>
            </w:pPr>
            <w:r>
              <w:rPr>
                <w:rFonts w:hint="eastAsia" w:ascii="宋体" w:hAnsi="宋体" w:eastAsia="宋体"/>
                <w:b/>
                <w:color w:val="FF0000"/>
                <w:szCs w:val="21"/>
              </w:rPr>
              <w:t>《第三章 用户需求书：三、商务和服务条款部分》中所有带★号条款要求。</w:t>
            </w:r>
          </w:p>
        </w:tc>
        <w:tc>
          <w:tcPr>
            <w:tcW w:w="3414" w:type="dxa"/>
            <w:vAlign w:val="center"/>
          </w:tcPr>
          <w:p w14:paraId="4C1278F5">
            <w:pPr>
              <w:rPr>
                <w:rFonts w:ascii="宋体" w:hAnsi="宋体" w:eastAsia="宋体" w:cs="Arial"/>
                <w:szCs w:val="21"/>
              </w:rPr>
            </w:pPr>
            <w:r>
              <w:rPr>
                <w:rFonts w:hint="eastAsia" w:ascii="宋体" w:hAnsi="宋体" w:eastAsia="宋体" w:cs="Arial"/>
                <w:szCs w:val="21"/>
              </w:rPr>
              <w:t>我公司完全响应满足招标文件中此项要求。</w:t>
            </w:r>
          </w:p>
        </w:tc>
        <w:tc>
          <w:tcPr>
            <w:tcW w:w="1186" w:type="dxa"/>
            <w:vAlign w:val="center"/>
          </w:tcPr>
          <w:p w14:paraId="3C83AE76">
            <w:pPr>
              <w:rPr>
                <w:rFonts w:ascii="宋体" w:hAnsi="宋体" w:eastAsia="宋体" w:cs="Arial"/>
                <w:szCs w:val="21"/>
              </w:rPr>
            </w:pPr>
            <w:r>
              <w:rPr>
                <w:rFonts w:hint="eastAsia" w:ascii="宋体" w:hAnsi="宋体" w:eastAsia="宋体" w:cs="Arial"/>
                <w:szCs w:val="21"/>
              </w:rPr>
              <w:t>无偏离</w:t>
            </w:r>
          </w:p>
        </w:tc>
      </w:tr>
    </w:tbl>
    <w:p w14:paraId="09A9BFB3">
      <w:pPr>
        <w:snapToGrid w:val="0"/>
        <w:rPr>
          <w:rFonts w:ascii="宋体" w:hAnsi="宋体"/>
        </w:rPr>
      </w:pPr>
    </w:p>
    <w:p w14:paraId="14166144">
      <w:pPr>
        <w:snapToGrid w:val="0"/>
        <w:rPr>
          <w:rFonts w:ascii="宋体" w:hAnsi="宋体"/>
          <w:b/>
        </w:rPr>
      </w:pPr>
      <w:r>
        <w:rPr>
          <w:rFonts w:hint="eastAsia" w:ascii="宋体" w:hAnsi="宋体" w:eastAsia="宋体"/>
          <w:b/>
        </w:rPr>
        <w:t>填写说明：</w:t>
      </w:r>
    </w:p>
    <w:p w14:paraId="65085624">
      <w:pPr>
        <w:numPr>
          <w:ilvl w:val="0"/>
          <w:numId w:val="9"/>
        </w:numPr>
        <w:snapToGrid w:val="0"/>
        <w:spacing w:after="60" w:afterLines="25" w:line="300" w:lineRule="auto"/>
        <w:rPr>
          <w:rFonts w:ascii="宋体" w:hAnsi="宋体" w:eastAsia="宋体"/>
        </w:rPr>
      </w:pPr>
      <w:r>
        <w:rPr>
          <w:rFonts w:hint="eastAsia" w:ascii="宋体" w:hAnsi="宋体" w:eastAsia="宋体"/>
        </w:rPr>
        <w:t>如投标人完全响应满足本表【招标文件要求】栏中内容的，建议投标人在对应的【投标文件响应】栏中填写“我公司完全响应满足招标文件中此项要求”即可，除招标文件另有注明外，不强制要求逐条列出响应；</w:t>
      </w:r>
    </w:p>
    <w:p w14:paraId="3A338E48">
      <w:pPr>
        <w:numPr>
          <w:ilvl w:val="0"/>
          <w:numId w:val="9"/>
        </w:numPr>
        <w:snapToGrid w:val="0"/>
        <w:spacing w:after="60" w:afterLines="25" w:line="300" w:lineRule="auto"/>
        <w:rPr>
          <w:rFonts w:ascii="宋体" w:hAnsi="宋体" w:eastAsia="宋体"/>
        </w:rPr>
      </w:pPr>
      <w:r>
        <w:rPr>
          <w:rFonts w:hint="eastAsia" w:ascii="宋体" w:hAnsi="宋体" w:eastAsia="宋体"/>
        </w:rPr>
        <w:t>如投标人响应情况优于或低于招标要求的，应在【投标文件响应】栏中作详细说明，如完全满足或符合招标文件要求的则无需说明，参照上一条填写内容即可，</w:t>
      </w:r>
      <w:r>
        <w:rPr>
          <w:rFonts w:ascii="宋体" w:hAnsi="宋体" w:eastAsia="宋体"/>
        </w:rPr>
        <w:t>评标委员会将根据具体情况给予是否偏离的认定，并以此认定</w:t>
      </w:r>
      <w:r>
        <w:rPr>
          <w:rFonts w:hint="eastAsia" w:ascii="宋体" w:hAnsi="宋体" w:eastAsia="宋体"/>
        </w:rPr>
        <w:t>标准</w:t>
      </w:r>
      <w:r>
        <w:rPr>
          <w:rFonts w:ascii="宋体" w:hAnsi="宋体" w:eastAsia="宋体"/>
        </w:rPr>
        <w:t>为最终评判标准</w:t>
      </w:r>
      <w:r>
        <w:rPr>
          <w:rFonts w:hint="eastAsia" w:ascii="宋体" w:hAnsi="宋体" w:eastAsia="宋体"/>
        </w:rPr>
        <w:t>；</w:t>
      </w:r>
    </w:p>
    <w:p w14:paraId="5DC8078A">
      <w:pPr>
        <w:numPr>
          <w:ilvl w:val="0"/>
          <w:numId w:val="9"/>
        </w:numPr>
        <w:snapToGrid w:val="0"/>
        <w:spacing w:after="60" w:afterLines="25" w:line="300" w:lineRule="auto"/>
        <w:rPr>
          <w:rFonts w:ascii="宋体" w:hAnsi="宋体" w:eastAsia="宋体"/>
          <w:b/>
          <w:color w:val="FF0000"/>
        </w:rPr>
      </w:pPr>
      <w:r>
        <w:rPr>
          <w:rFonts w:hint="eastAsia" w:ascii="宋体" w:hAnsi="宋体" w:eastAsia="宋体"/>
          <w:b/>
          <w:color w:val="FF0000"/>
        </w:rPr>
        <w:t>带★号条款为不可偏离条款，如未响应或出现负偏离的，将作投标无效处理。</w:t>
      </w:r>
    </w:p>
    <w:p w14:paraId="5167E54E">
      <w:pPr>
        <w:rPr>
          <w:rFonts w:ascii="宋体" w:hAnsi="宋体" w:eastAsia="宋体"/>
          <w:color w:val="FF0000"/>
          <w:sz w:val="32"/>
          <w:szCs w:val="32"/>
        </w:rPr>
      </w:pPr>
    </w:p>
    <w:p w14:paraId="32918A82">
      <w:pPr>
        <w:keepNext/>
        <w:keepLines/>
        <w:pageBreakBefore/>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15</w:t>
      </w:r>
      <w:r>
        <w:rPr>
          <w:rFonts w:hint="eastAsia" w:ascii="宋体" w:hAnsi="宋体" w:eastAsia="宋体"/>
          <w:b/>
          <w:bCs/>
          <w:szCs w:val="20"/>
        </w:rPr>
        <w:t>.技术规格偏离表</w:t>
      </w:r>
    </w:p>
    <w:p w14:paraId="6A881145">
      <w:pPr>
        <w:snapToGrid w:val="0"/>
        <w:rPr>
          <w:rFonts w:ascii="Arial" w:hAnsi="Arial" w:eastAsia="宋体" w:cs="Arial"/>
          <w:color w:val="000000"/>
          <w:u w:val="single"/>
        </w:rPr>
      </w:pPr>
      <w:r>
        <w:rPr>
          <w:rFonts w:hint="eastAsia" w:ascii="Arial" w:hAnsi="Arial" w:eastAsia="宋体" w:cs="Arial"/>
          <w:color w:val="000000"/>
        </w:rPr>
        <w:t>投标单位（投标人）名称：</w:t>
      </w:r>
    </w:p>
    <w:p w14:paraId="61D14BC2">
      <w:pPr>
        <w:snapToGrid w:val="0"/>
        <w:rPr>
          <w:rFonts w:ascii="宋体" w:hAnsi="宋体"/>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276"/>
        <w:gridCol w:w="2835"/>
        <w:gridCol w:w="2835"/>
        <w:gridCol w:w="1090"/>
      </w:tblGrid>
      <w:tr w14:paraId="6F14D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22F2D0D9">
            <w:pPr>
              <w:snapToGrid w:val="0"/>
              <w:jc w:val="center"/>
              <w:rPr>
                <w:rFonts w:ascii="宋体" w:hAnsi="宋体"/>
                <w:b/>
              </w:rPr>
            </w:pPr>
            <w:r>
              <w:rPr>
                <w:rFonts w:ascii="宋体" w:hAnsi="宋体"/>
                <w:b/>
              </w:rPr>
              <w:t>序号</w:t>
            </w:r>
          </w:p>
        </w:tc>
        <w:tc>
          <w:tcPr>
            <w:tcW w:w="1276" w:type="dxa"/>
            <w:tcBorders>
              <w:top w:val="double" w:color="auto" w:sz="4" w:space="0"/>
              <w:left w:val="double" w:color="auto" w:sz="4" w:space="0"/>
              <w:bottom w:val="double" w:color="auto" w:sz="4" w:space="0"/>
              <w:right w:val="double" w:color="auto" w:sz="4" w:space="0"/>
            </w:tcBorders>
            <w:vAlign w:val="center"/>
          </w:tcPr>
          <w:p w14:paraId="0BEB237D">
            <w:pPr>
              <w:snapToGrid w:val="0"/>
              <w:jc w:val="center"/>
              <w:rPr>
                <w:rFonts w:ascii="宋体" w:hAnsi="宋体"/>
                <w:b/>
              </w:rPr>
            </w:pPr>
            <w:r>
              <w:rPr>
                <w:rFonts w:hint="eastAsia" w:ascii="宋体" w:hAnsi="宋体" w:eastAsia="宋体"/>
                <w:b/>
                <w:lang w:eastAsia="zh-CN"/>
              </w:rPr>
              <w:t>服务</w:t>
            </w:r>
            <w:r>
              <w:rPr>
                <w:rFonts w:hint="eastAsia" w:ascii="宋体" w:hAnsi="宋体"/>
                <w:b/>
              </w:rPr>
              <w:t>名称</w:t>
            </w:r>
          </w:p>
        </w:tc>
        <w:tc>
          <w:tcPr>
            <w:tcW w:w="2835" w:type="dxa"/>
            <w:tcBorders>
              <w:top w:val="double" w:color="auto" w:sz="4" w:space="0"/>
              <w:left w:val="double" w:color="auto" w:sz="4" w:space="0"/>
              <w:bottom w:val="double" w:color="auto" w:sz="4" w:space="0"/>
              <w:right w:val="double" w:color="auto" w:sz="4" w:space="0"/>
            </w:tcBorders>
            <w:vAlign w:val="center"/>
          </w:tcPr>
          <w:p w14:paraId="3A7DF713">
            <w:pPr>
              <w:snapToGrid w:val="0"/>
              <w:jc w:val="center"/>
              <w:rPr>
                <w:rFonts w:ascii="宋体" w:hAnsi="宋体"/>
                <w:b/>
              </w:rPr>
            </w:pPr>
            <w:r>
              <w:rPr>
                <w:rFonts w:hint="eastAsia" w:ascii="宋体" w:hAnsi="宋体"/>
                <w:b/>
              </w:rPr>
              <w:t>招标参数要求</w:t>
            </w:r>
          </w:p>
        </w:tc>
        <w:tc>
          <w:tcPr>
            <w:tcW w:w="2835" w:type="dxa"/>
            <w:tcBorders>
              <w:top w:val="double" w:color="auto" w:sz="4" w:space="0"/>
              <w:left w:val="double" w:color="auto" w:sz="4" w:space="0"/>
              <w:bottom w:val="double" w:color="auto" w:sz="4" w:space="0"/>
              <w:right w:val="double" w:color="auto" w:sz="4" w:space="0"/>
            </w:tcBorders>
            <w:vAlign w:val="center"/>
          </w:tcPr>
          <w:p w14:paraId="3793C1EA">
            <w:pPr>
              <w:snapToGrid w:val="0"/>
              <w:jc w:val="center"/>
              <w:rPr>
                <w:rFonts w:ascii="宋体" w:hAnsi="宋体"/>
                <w:b/>
              </w:rPr>
            </w:pPr>
            <w:r>
              <w:rPr>
                <w:rFonts w:hint="eastAsia" w:ascii="宋体" w:hAnsi="宋体"/>
                <w:b/>
              </w:rPr>
              <w:t>投标参数响应</w:t>
            </w:r>
          </w:p>
        </w:tc>
        <w:tc>
          <w:tcPr>
            <w:tcW w:w="1090" w:type="dxa"/>
            <w:tcBorders>
              <w:top w:val="double" w:color="auto" w:sz="4" w:space="0"/>
              <w:left w:val="double" w:color="auto" w:sz="4" w:space="0"/>
              <w:bottom w:val="double" w:color="auto" w:sz="4" w:space="0"/>
              <w:right w:val="double" w:color="auto" w:sz="4" w:space="0"/>
            </w:tcBorders>
            <w:vAlign w:val="center"/>
          </w:tcPr>
          <w:p w14:paraId="10121411">
            <w:pPr>
              <w:snapToGrid w:val="0"/>
              <w:jc w:val="center"/>
              <w:rPr>
                <w:rFonts w:ascii="宋体" w:hAnsi="宋体"/>
                <w:b/>
              </w:rPr>
            </w:pPr>
            <w:r>
              <w:rPr>
                <w:rFonts w:hint="eastAsia" w:ascii="宋体" w:hAnsi="宋体"/>
                <w:b/>
              </w:rPr>
              <w:t>说明</w:t>
            </w:r>
          </w:p>
        </w:tc>
      </w:tr>
      <w:tr w14:paraId="1145B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06C824B1">
            <w:pPr>
              <w:snapToGrid w:val="0"/>
              <w:rPr>
                <w:rFonts w:ascii="宋体" w:hAnsi="宋体"/>
              </w:rPr>
            </w:pPr>
            <w:r>
              <w:rPr>
                <w:rFonts w:hint="eastAsia" w:ascii="宋体" w:hAnsi="宋体"/>
              </w:rPr>
              <w:t>1</w:t>
            </w:r>
          </w:p>
        </w:tc>
        <w:tc>
          <w:tcPr>
            <w:tcW w:w="1276" w:type="dxa"/>
            <w:tcBorders>
              <w:top w:val="double" w:color="auto" w:sz="4" w:space="0"/>
              <w:left w:val="double" w:color="auto" w:sz="4" w:space="0"/>
              <w:bottom w:val="double" w:color="auto" w:sz="4" w:space="0"/>
              <w:right w:val="double" w:color="auto" w:sz="4" w:space="0"/>
            </w:tcBorders>
            <w:vAlign w:val="center"/>
          </w:tcPr>
          <w:p w14:paraId="4E444866">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2597B8F3">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3DEA7EA2">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14:paraId="5D729735">
            <w:pPr>
              <w:snapToGrid w:val="0"/>
              <w:rPr>
                <w:rFonts w:ascii="宋体" w:hAnsi="宋体"/>
              </w:rPr>
            </w:pPr>
          </w:p>
        </w:tc>
      </w:tr>
      <w:tr w14:paraId="21CC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70329909">
            <w:pPr>
              <w:snapToGrid w:val="0"/>
              <w:rPr>
                <w:rFonts w:ascii="宋体" w:hAnsi="宋体"/>
              </w:rPr>
            </w:pPr>
          </w:p>
        </w:tc>
        <w:tc>
          <w:tcPr>
            <w:tcW w:w="1276" w:type="dxa"/>
            <w:tcBorders>
              <w:top w:val="double" w:color="auto" w:sz="4" w:space="0"/>
              <w:left w:val="double" w:color="auto" w:sz="4" w:space="0"/>
              <w:bottom w:val="double" w:color="auto" w:sz="4" w:space="0"/>
              <w:right w:val="double" w:color="auto" w:sz="4" w:space="0"/>
            </w:tcBorders>
            <w:vAlign w:val="center"/>
          </w:tcPr>
          <w:p w14:paraId="17B781AE">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26F57443">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7E9F17F0">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14:paraId="576FD8C5">
            <w:pPr>
              <w:snapToGrid w:val="0"/>
              <w:rPr>
                <w:rFonts w:ascii="宋体" w:hAnsi="宋体"/>
              </w:rPr>
            </w:pPr>
          </w:p>
        </w:tc>
      </w:tr>
      <w:tr w14:paraId="27797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7C6529CC">
            <w:pPr>
              <w:snapToGrid w:val="0"/>
              <w:rPr>
                <w:rFonts w:ascii="宋体" w:hAnsi="宋体"/>
              </w:rPr>
            </w:pPr>
          </w:p>
        </w:tc>
        <w:tc>
          <w:tcPr>
            <w:tcW w:w="1276" w:type="dxa"/>
            <w:tcBorders>
              <w:top w:val="double" w:color="auto" w:sz="4" w:space="0"/>
              <w:left w:val="double" w:color="auto" w:sz="4" w:space="0"/>
              <w:bottom w:val="double" w:color="auto" w:sz="4" w:space="0"/>
              <w:right w:val="double" w:color="auto" w:sz="4" w:space="0"/>
            </w:tcBorders>
            <w:vAlign w:val="center"/>
          </w:tcPr>
          <w:p w14:paraId="311894D6">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5DE45D60">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6BE9B769">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14:paraId="22387876">
            <w:pPr>
              <w:snapToGrid w:val="0"/>
              <w:rPr>
                <w:rFonts w:ascii="宋体" w:hAnsi="宋体"/>
              </w:rPr>
            </w:pPr>
          </w:p>
        </w:tc>
      </w:tr>
    </w:tbl>
    <w:p w14:paraId="39F22408">
      <w:pPr>
        <w:snapToGrid w:val="0"/>
        <w:rPr>
          <w:rFonts w:ascii="宋体" w:hAnsi="宋体"/>
        </w:rPr>
      </w:pPr>
      <w:r>
        <w:rPr>
          <w:rFonts w:hint="eastAsia" w:ascii="宋体" w:hAnsi="宋体"/>
        </w:rPr>
        <w:t>此表可延长。</w:t>
      </w:r>
    </w:p>
    <w:p w14:paraId="6A331675">
      <w:pPr>
        <w:snapToGrid w:val="0"/>
        <w:rPr>
          <w:rFonts w:ascii="宋体" w:hAnsi="宋体"/>
        </w:rPr>
      </w:pPr>
    </w:p>
    <w:p w14:paraId="435E8338">
      <w:pPr>
        <w:snapToGrid w:val="0"/>
        <w:rPr>
          <w:rFonts w:ascii="宋体" w:hAnsi="宋体"/>
          <w:b/>
        </w:rPr>
      </w:pPr>
      <w:r>
        <w:rPr>
          <w:rFonts w:hint="eastAsia" w:ascii="宋体" w:hAnsi="宋体"/>
          <w:b/>
        </w:rPr>
        <w:t>填写说明：</w:t>
      </w:r>
    </w:p>
    <w:p w14:paraId="7FEF6801">
      <w:pPr>
        <w:numPr>
          <w:ilvl w:val="0"/>
          <w:numId w:val="10"/>
        </w:numPr>
        <w:snapToGrid w:val="0"/>
        <w:spacing w:after="60" w:afterLines="25" w:line="300" w:lineRule="auto"/>
        <w:rPr>
          <w:rFonts w:ascii="宋体" w:hAnsi="宋体" w:eastAsia="宋体"/>
        </w:rPr>
      </w:pPr>
      <w:r>
        <w:rPr>
          <w:rFonts w:ascii="宋体" w:hAnsi="宋体" w:eastAsia="宋体"/>
        </w:rPr>
        <w:t>投标人</w:t>
      </w:r>
      <w:r>
        <w:rPr>
          <w:rFonts w:hint="eastAsia" w:ascii="宋体" w:hAnsi="宋体" w:eastAsia="宋体"/>
          <w:highlight w:val="green"/>
        </w:rPr>
        <w:t>根据《第三章 用户需求书：四、</w:t>
      </w:r>
      <w:r>
        <w:rPr>
          <w:rFonts w:hint="eastAsia" w:ascii="宋体" w:hAnsi="宋体" w:eastAsia="宋体"/>
          <w:bCs/>
          <w:highlight w:val="green"/>
        </w:rPr>
        <w:t>技术规格及具体参数部分</w:t>
      </w:r>
      <w:r>
        <w:rPr>
          <w:rFonts w:hint="eastAsia" w:ascii="宋体" w:hAnsi="宋体" w:eastAsia="宋体"/>
          <w:highlight w:val="green"/>
        </w:rPr>
        <w:t>》，</w:t>
      </w:r>
      <w:r>
        <w:rPr>
          <w:rFonts w:ascii="宋体" w:hAnsi="宋体" w:eastAsia="宋体"/>
        </w:rPr>
        <w:t>按其所投产品实际情况填写相应的投标</w:t>
      </w:r>
      <w:r>
        <w:rPr>
          <w:rFonts w:hint="eastAsia" w:ascii="宋体" w:hAnsi="宋体" w:eastAsia="宋体"/>
        </w:rPr>
        <w:t>参数</w:t>
      </w:r>
      <w:r>
        <w:rPr>
          <w:rFonts w:ascii="宋体" w:hAnsi="宋体" w:eastAsia="宋体"/>
        </w:rPr>
        <w:t>，如出现</w:t>
      </w:r>
      <w:r>
        <w:rPr>
          <w:rFonts w:hint="eastAsia" w:ascii="宋体" w:hAnsi="宋体" w:eastAsia="宋体"/>
        </w:rPr>
        <w:t>与</w:t>
      </w:r>
      <w:r>
        <w:rPr>
          <w:rFonts w:ascii="宋体" w:hAnsi="宋体" w:eastAsia="宋体"/>
        </w:rPr>
        <w:t>招标要求不一致的情况，评标委员会将根据具体情况给予是否偏离的认定，并以此认定</w:t>
      </w:r>
      <w:r>
        <w:rPr>
          <w:rFonts w:hint="eastAsia" w:ascii="宋体" w:hAnsi="宋体" w:eastAsia="宋体"/>
        </w:rPr>
        <w:t>标准</w:t>
      </w:r>
      <w:r>
        <w:rPr>
          <w:rFonts w:ascii="宋体" w:hAnsi="宋体" w:eastAsia="宋体"/>
        </w:rPr>
        <w:t>为最终评判标准</w:t>
      </w:r>
      <w:r>
        <w:rPr>
          <w:rFonts w:hint="eastAsia" w:ascii="宋体" w:hAnsi="宋体" w:eastAsia="宋体"/>
        </w:rPr>
        <w:t>；</w:t>
      </w:r>
    </w:p>
    <w:p w14:paraId="5F43F2C4">
      <w:pPr>
        <w:numPr>
          <w:ilvl w:val="0"/>
          <w:numId w:val="10"/>
        </w:numPr>
        <w:snapToGrid w:val="0"/>
        <w:spacing w:after="60" w:afterLines="25" w:line="300" w:lineRule="auto"/>
        <w:rPr>
          <w:rFonts w:ascii="宋体" w:hAnsi="宋体" w:eastAsia="宋体"/>
        </w:rPr>
      </w:pPr>
      <w:r>
        <w:rPr>
          <w:rFonts w:hint="eastAsia" w:ascii="宋体" w:hAnsi="宋体" w:eastAsia="宋体"/>
        </w:rPr>
        <w:t>投标人投标响应时若存在虚假响应情况，均视为提供虚假材料，按相关法律规定处理；</w:t>
      </w:r>
    </w:p>
    <w:p w14:paraId="35BCE22C">
      <w:pPr>
        <w:numPr>
          <w:ilvl w:val="0"/>
          <w:numId w:val="10"/>
        </w:numPr>
        <w:snapToGrid w:val="0"/>
        <w:spacing w:after="60" w:afterLines="25" w:line="300" w:lineRule="auto"/>
        <w:rPr>
          <w:rFonts w:ascii="宋体" w:hAnsi="宋体" w:eastAsia="宋体"/>
        </w:rPr>
      </w:pPr>
      <w:r>
        <w:rPr>
          <w:rFonts w:hint="eastAsia" w:ascii="宋体" w:hAnsi="宋体" w:eastAsia="宋体"/>
        </w:rPr>
        <w:t>除招标</w:t>
      </w:r>
      <w:r>
        <w:rPr>
          <w:rFonts w:ascii="宋体" w:hAnsi="宋体" w:eastAsia="宋体"/>
        </w:rPr>
        <w:t>文件另有注明外，投标文件其它位置如出现与本表中投标参数不一致的信息，均以本表信息为准。</w:t>
      </w:r>
    </w:p>
    <w:p w14:paraId="4B73E125">
      <w:pPr>
        <w:rPr>
          <w:rFonts w:ascii="宋体" w:hAnsi="宋体" w:eastAsia="宋体"/>
          <w:color w:val="FF0000"/>
          <w:sz w:val="32"/>
          <w:szCs w:val="32"/>
        </w:rPr>
      </w:pPr>
      <w:r>
        <w:br w:type="page"/>
      </w:r>
    </w:p>
    <w:p w14:paraId="2F6B6984">
      <w:pPr>
        <w:keepNext/>
        <w:keepLines/>
        <w:numPr>
          <w:ilvl w:val="0"/>
          <w:numId w:val="0"/>
        </w:numPr>
        <w:adjustRightInd w:val="0"/>
        <w:snapToGrid w:val="0"/>
        <w:spacing w:line="360" w:lineRule="auto"/>
        <w:jc w:val="left"/>
        <w:textAlignment w:val="baseline"/>
        <w:outlineLvl w:val="3"/>
        <w:rPr>
          <w:rFonts w:hint="eastAsia"/>
          <w:b w:val="0"/>
          <w:bCs w:val="0"/>
          <w:lang w:eastAsia="zh-CN"/>
        </w:rPr>
      </w:pPr>
      <w:r>
        <w:rPr>
          <w:rFonts w:hint="eastAsia" w:ascii="宋体" w:hAnsi="宋体" w:eastAsia="宋体"/>
          <w:b/>
          <w:bCs/>
          <w:szCs w:val="20"/>
          <w:lang w:val="en-US" w:eastAsia="zh-CN"/>
        </w:rPr>
        <w:t>16.</w:t>
      </w:r>
      <w:r>
        <w:rPr>
          <w:rFonts w:hint="eastAsia" w:ascii="宋体" w:hAnsi="宋体" w:eastAsia="宋体"/>
          <w:b/>
          <w:bCs/>
          <w:szCs w:val="20"/>
          <w:lang w:eastAsia="zh-CN"/>
        </w:rPr>
        <w:t>相关项目经验资料</w:t>
      </w:r>
      <w:r>
        <w:rPr>
          <w:rFonts w:hint="eastAsia" w:ascii="宋体" w:hAnsi="宋体" w:eastAsia="宋体" w:cs="Times New Roman"/>
          <w:b/>
          <w:bCs/>
          <w:sz w:val="21"/>
          <w:szCs w:val="20"/>
          <w:lang w:val="en-US" w:eastAsia="zh-CN"/>
        </w:rPr>
        <w:t>(如有)</w:t>
      </w:r>
    </w:p>
    <w:p w14:paraId="0A8EE8D4">
      <w:pPr>
        <w:pStyle w:val="17"/>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55AEE79F">
      <w:pPr>
        <w:pStyle w:val="17"/>
        <w:numPr>
          <w:ilvl w:val="0"/>
          <w:numId w:val="0"/>
        </w:numPr>
        <w:ind w:leftChars="0"/>
        <w:jc w:val="left"/>
        <w:outlineLvl w:val="3"/>
        <w:rPr>
          <w:rFonts w:hint="default"/>
          <w:lang w:val="en-US" w:eastAsia="zh-CN"/>
        </w:rPr>
      </w:pPr>
      <w:r>
        <w:rPr>
          <w:rFonts w:hint="eastAsia" w:ascii="宋体" w:hAnsi="宋体" w:eastAsia="宋体"/>
          <w:b/>
          <w:bCs/>
          <w:szCs w:val="20"/>
          <w:lang w:val="en-US" w:eastAsia="zh-CN"/>
        </w:rPr>
        <w:t>17.售后服务相关资料</w:t>
      </w:r>
      <w:r>
        <w:rPr>
          <w:rFonts w:hint="eastAsia" w:ascii="宋体" w:hAnsi="宋体" w:eastAsia="宋体" w:cs="Times New Roman"/>
          <w:b/>
          <w:bCs/>
          <w:sz w:val="21"/>
          <w:szCs w:val="20"/>
          <w:lang w:val="en-US" w:eastAsia="zh-CN"/>
        </w:rPr>
        <w:t>(如有)</w:t>
      </w:r>
    </w:p>
    <w:p w14:paraId="5A48FB53">
      <w:pPr>
        <w:pStyle w:val="17"/>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1E755A9D">
      <w:pPr>
        <w:pStyle w:val="17"/>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18.产品检测报告(如有)</w:t>
      </w:r>
    </w:p>
    <w:p w14:paraId="5FAC1A21">
      <w:pPr>
        <w:pStyle w:val="17"/>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70D891E6">
      <w:pPr>
        <w:pStyle w:val="17"/>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19.节能产品认证证书(如有)</w:t>
      </w:r>
    </w:p>
    <w:p w14:paraId="69EAD2E1">
      <w:pPr>
        <w:pStyle w:val="17"/>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21A77FD9">
      <w:pPr>
        <w:pStyle w:val="17"/>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20.设计、施工方案的合理性评价(如有)</w:t>
      </w:r>
    </w:p>
    <w:p w14:paraId="5C929832">
      <w:pPr>
        <w:pStyle w:val="17"/>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7FCA40A9">
      <w:pPr>
        <w:pStyle w:val="17"/>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21.其他招标文件要求或投标人认为需要补充的内容(如有)</w:t>
      </w:r>
    </w:p>
    <w:p w14:paraId="465EEEAC">
      <w:pPr>
        <w:pStyle w:val="17"/>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6B8BEB66">
      <w:pPr>
        <w:spacing w:after="60" w:afterLines="25" w:line="300" w:lineRule="auto"/>
        <w:rPr>
          <w:rFonts w:ascii="宋体" w:hAnsi="宋体" w:eastAsia="宋体"/>
          <w:color w:val="FF0000"/>
          <w:sz w:val="32"/>
          <w:szCs w:val="32"/>
        </w:rPr>
      </w:pPr>
      <w:r>
        <w:br w:type="page"/>
      </w:r>
    </w:p>
    <w:p w14:paraId="17F67FFD">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第五章  合同条款及格式</w:t>
      </w:r>
    </w:p>
    <w:p w14:paraId="13BAED77">
      <w:pPr>
        <w:jc w:val="center"/>
        <w:rPr>
          <w:rFonts w:ascii="宋体" w:hAnsi="宋体" w:eastAsia="黑体"/>
          <w:bCs/>
          <w:kern w:val="44"/>
          <w:sz w:val="28"/>
          <w:szCs w:val="44"/>
        </w:rPr>
      </w:pPr>
      <w:bookmarkStart w:id="28" w:name="_Hlk72574405"/>
      <w:r>
        <w:rPr>
          <w:rFonts w:hint="eastAsia"/>
          <w:b/>
        </w:rPr>
        <w:t>（仅供参考，具体以项目需求及采购结果为准）</w:t>
      </w:r>
      <w:bookmarkEnd w:id="28"/>
    </w:p>
    <w:p w14:paraId="4F0C891D">
      <w:pPr>
        <w:snapToGrid w:val="0"/>
        <w:spacing w:line="300" w:lineRule="auto"/>
        <w:jc w:val="center"/>
        <w:rPr>
          <w:rFonts w:ascii="仿宋" w:hAnsi="仿宋" w:eastAsia="仿宋"/>
          <w:sz w:val="28"/>
          <w:szCs w:val="28"/>
        </w:rPr>
      </w:pPr>
    </w:p>
    <w:p w14:paraId="17D86AA1">
      <w:pPr>
        <w:snapToGrid w:val="0"/>
        <w:spacing w:line="300" w:lineRule="auto"/>
        <w:rPr>
          <w:rFonts w:ascii="仿宋" w:hAnsi="仿宋" w:eastAsia="仿宋"/>
          <w:sz w:val="28"/>
          <w:szCs w:val="28"/>
          <w:u w:val="single"/>
        </w:rPr>
      </w:pPr>
      <w:r>
        <w:rPr>
          <w:rFonts w:ascii="仿宋" w:hAnsi="仿宋" w:eastAsia="仿宋"/>
          <w:sz w:val="28"/>
          <w:szCs w:val="28"/>
        </w:rPr>
        <w:t>甲方：</w:t>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rPr>
        <w:t xml:space="preserve">乙方: </w:t>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u w:val="single"/>
        </w:rPr>
        <w:tab/>
      </w:r>
    </w:p>
    <w:p w14:paraId="5DA6753D">
      <w:pPr>
        <w:snapToGrid w:val="0"/>
        <w:spacing w:line="300" w:lineRule="auto"/>
        <w:rPr>
          <w:rFonts w:ascii="仿宋" w:hAnsi="仿宋" w:eastAsia="仿宋"/>
          <w:sz w:val="28"/>
          <w:szCs w:val="28"/>
        </w:rPr>
      </w:pPr>
      <w:r>
        <w:rPr>
          <w:rFonts w:ascii="仿宋" w:hAnsi="仿宋" w:eastAsia="仿宋"/>
          <w:sz w:val="28"/>
          <w:szCs w:val="28"/>
        </w:rPr>
        <w:t>住所地：住所地：</w:t>
      </w:r>
    </w:p>
    <w:p w14:paraId="31020316">
      <w:pPr>
        <w:snapToGrid w:val="0"/>
        <w:spacing w:line="300" w:lineRule="auto"/>
        <w:rPr>
          <w:rFonts w:ascii="仿宋" w:hAnsi="仿宋" w:eastAsia="仿宋"/>
          <w:sz w:val="28"/>
          <w:szCs w:val="28"/>
        </w:rPr>
      </w:pPr>
      <w:r>
        <w:rPr>
          <w:rFonts w:ascii="仿宋" w:hAnsi="仿宋" w:eastAsia="仿宋"/>
          <w:sz w:val="28"/>
          <w:szCs w:val="28"/>
        </w:rPr>
        <w:t>法定代表人：法定代表人：</w:t>
      </w:r>
    </w:p>
    <w:p w14:paraId="73CF1DAA">
      <w:pPr>
        <w:snapToGrid w:val="0"/>
        <w:spacing w:line="300" w:lineRule="auto"/>
        <w:rPr>
          <w:rFonts w:ascii="仿宋" w:hAnsi="仿宋" w:eastAsia="仿宋"/>
          <w:sz w:val="28"/>
          <w:szCs w:val="28"/>
        </w:rPr>
      </w:pPr>
      <w:r>
        <w:rPr>
          <w:rFonts w:ascii="仿宋" w:hAnsi="仿宋" w:eastAsia="仿宋"/>
          <w:sz w:val="28"/>
          <w:szCs w:val="28"/>
        </w:rPr>
        <w:t>联系人：</w:t>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rPr>
        <w:t>联系人：</w:t>
      </w:r>
    </w:p>
    <w:p w14:paraId="1AE5B679">
      <w:pPr>
        <w:snapToGrid w:val="0"/>
        <w:spacing w:line="300" w:lineRule="auto"/>
        <w:rPr>
          <w:rFonts w:ascii="仿宋" w:hAnsi="仿宋" w:eastAsia="仿宋"/>
          <w:sz w:val="28"/>
          <w:szCs w:val="28"/>
        </w:rPr>
      </w:pPr>
      <w:r>
        <w:rPr>
          <w:rFonts w:ascii="仿宋" w:hAnsi="仿宋" w:eastAsia="仿宋"/>
          <w:sz w:val="28"/>
          <w:szCs w:val="28"/>
        </w:rPr>
        <w:t>电话：</w:t>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rPr>
        <w:t>电话：</w:t>
      </w:r>
    </w:p>
    <w:p w14:paraId="1A01C326">
      <w:pPr>
        <w:snapToGrid w:val="0"/>
        <w:spacing w:line="300" w:lineRule="auto"/>
        <w:rPr>
          <w:rFonts w:ascii="仿宋" w:hAnsi="仿宋" w:eastAsia="仿宋"/>
          <w:sz w:val="28"/>
          <w:szCs w:val="28"/>
        </w:rPr>
      </w:pPr>
      <w:r>
        <w:rPr>
          <w:rFonts w:ascii="仿宋" w:hAnsi="仿宋" w:eastAsia="仿宋"/>
          <w:sz w:val="28"/>
          <w:szCs w:val="28"/>
        </w:rPr>
        <w:t>传真：传真：</w:t>
      </w:r>
    </w:p>
    <w:p w14:paraId="1678F133">
      <w:pPr>
        <w:snapToGrid w:val="0"/>
        <w:spacing w:line="300" w:lineRule="auto"/>
        <w:rPr>
          <w:rFonts w:ascii="仿宋" w:hAnsi="仿宋" w:eastAsia="仿宋"/>
          <w:sz w:val="28"/>
          <w:szCs w:val="28"/>
        </w:rPr>
      </w:pPr>
    </w:p>
    <w:p w14:paraId="78B06DBE">
      <w:pPr>
        <w:numPr>
          <w:ilvl w:val="0"/>
          <w:numId w:val="11"/>
        </w:num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项目基本情况</w:t>
      </w:r>
    </w:p>
    <w:p w14:paraId="4D4E1AF4">
      <w:pPr>
        <w:tabs>
          <w:tab w:val="left" w:pos="0"/>
        </w:tabs>
        <w:snapToGrid w:val="0"/>
        <w:spacing w:line="300" w:lineRule="auto"/>
        <w:rPr>
          <w:rFonts w:ascii="仿宋" w:hAnsi="仿宋" w:eastAsia="仿宋"/>
          <w:sz w:val="28"/>
          <w:szCs w:val="28"/>
        </w:rPr>
      </w:pPr>
      <w:r>
        <w:rPr>
          <w:rFonts w:hint="eastAsia" w:ascii="仿宋" w:hAnsi="仿宋" w:eastAsia="仿宋"/>
          <w:sz w:val="28"/>
          <w:szCs w:val="28"/>
        </w:rPr>
        <w:t xml:space="preserve">    根据</w:t>
      </w:r>
      <w:r>
        <w:rPr>
          <w:rFonts w:hint="eastAsia" w:ascii="仿宋" w:hAnsi="仿宋" w:eastAsia="仿宋"/>
          <w:sz w:val="28"/>
          <w:szCs w:val="28"/>
          <w:u w:val="single"/>
          <w:lang w:eastAsia="zh-CN"/>
        </w:rPr>
        <w:t>采购人</w:t>
      </w:r>
      <w:r>
        <w:rPr>
          <w:rFonts w:hint="eastAsia" w:ascii="仿宋" w:hAnsi="仿宋" w:eastAsia="仿宋"/>
          <w:sz w:val="28"/>
          <w:szCs w:val="28"/>
        </w:rPr>
        <w:t>项目（招标编号：</w:t>
      </w:r>
      <w:r>
        <w:rPr>
          <w:rFonts w:hint="eastAsia" w:ascii="仿宋" w:hAnsi="仿宋" w:eastAsia="仿宋"/>
          <w:sz w:val="28"/>
          <w:szCs w:val="28"/>
          <w:u w:val="single"/>
          <w:lang w:val="en-US" w:eastAsia="zh-CN"/>
        </w:rPr>
        <w:t xml:space="preserve"> </w:t>
      </w:r>
      <w:r>
        <w:rPr>
          <w:rFonts w:hint="eastAsia" w:ascii="仿宋" w:hAnsi="仿宋" w:eastAsia="仿宋"/>
          <w:sz w:val="28"/>
          <w:szCs w:val="28"/>
        </w:rPr>
        <w:t>）结果，</w:t>
      </w:r>
      <w:r>
        <w:rPr>
          <w:rFonts w:hint="eastAsia" w:ascii="仿宋" w:hAnsi="仿宋" w:eastAsia="仿宋"/>
          <w:sz w:val="28"/>
          <w:szCs w:val="28"/>
          <w:u w:val="single"/>
          <w:lang w:val="en-US" w:eastAsia="zh-CN"/>
        </w:rPr>
        <w:t xml:space="preserve">    </w:t>
      </w:r>
      <w:r>
        <w:rPr>
          <w:rFonts w:hint="eastAsia" w:ascii="仿宋" w:hAnsi="仿宋" w:eastAsia="仿宋"/>
          <w:sz w:val="28"/>
          <w:szCs w:val="28"/>
        </w:rPr>
        <w:t>为中标人。按照《中华人民共和国民法典》（第三编 合同）》和《</w:t>
      </w:r>
      <w:r>
        <w:rPr>
          <w:rFonts w:hint="eastAsia" w:ascii="仿宋" w:hAnsi="仿宋" w:eastAsia="仿宋"/>
          <w:sz w:val="28"/>
          <w:szCs w:val="28"/>
          <w:lang w:eastAsia="zh-CN"/>
        </w:rPr>
        <w:t>中华人民共和国政府采购法</w:t>
      </w:r>
      <w:r>
        <w:rPr>
          <w:rFonts w:hint="eastAsia" w:ascii="仿宋" w:hAnsi="仿宋" w:eastAsia="仿宋"/>
          <w:sz w:val="28"/>
          <w:szCs w:val="28"/>
        </w:rPr>
        <w:t>》，经（以下简称甲方）和（以下简称乙方）协商，达成本合同条款。</w:t>
      </w:r>
    </w:p>
    <w:p w14:paraId="532DDF0C">
      <w:pPr>
        <w:tabs>
          <w:tab w:val="left" w:pos="0"/>
        </w:tabs>
        <w:snapToGrid w:val="0"/>
        <w:spacing w:line="300" w:lineRule="auto"/>
        <w:outlineLvl w:val="2"/>
        <w:rPr>
          <w:rFonts w:ascii="仿宋" w:hAnsi="仿宋" w:eastAsia="仿宋"/>
          <w:sz w:val="28"/>
          <w:szCs w:val="28"/>
        </w:rPr>
      </w:pPr>
      <w:r>
        <w:rPr>
          <w:rFonts w:hint="eastAsia" w:ascii="仿宋" w:hAnsi="仿宋" w:eastAsia="仿宋"/>
          <w:b/>
          <w:sz w:val="28"/>
          <w:szCs w:val="28"/>
        </w:rPr>
        <w:t>第二条 合同标的内容（标的数量或质量等）</w:t>
      </w:r>
    </w:p>
    <w:p w14:paraId="1A800785">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第三条 合同价款（金额）</w:t>
      </w:r>
    </w:p>
    <w:p w14:paraId="746F9007">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第四条 项目履约（交付、交货）地点</w:t>
      </w:r>
    </w:p>
    <w:p w14:paraId="18530280">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lang w:eastAsia="zh-CN"/>
        </w:rPr>
        <w:t>采购人指定地点</w:t>
      </w:r>
      <w:r>
        <w:rPr>
          <w:rFonts w:hint="eastAsia" w:ascii="仿宋" w:hAnsi="仿宋" w:eastAsia="仿宋"/>
          <w:sz w:val="28"/>
          <w:szCs w:val="28"/>
        </w:rPr>
        <w:t>。</w:t>
      </w:r>
    </w:p>
    <w:p w14:paraId="46114994">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第五条 项目服务期（完工期、履约时间、交货时间）</w:t>
      </w:r>
    </w:p>
    <w:p w14:paraId="55698A28">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1456C78A">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第六条 付款期限及方式</w:t>
      </w:r>
    </w:p>
    <w:p w14:paraId="6FB9F53A">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40CE83D2">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第七条 项目验收标准及方式</w:t>
      </w:r>
    </w:p>
    <w:p w14:paraId="1CBC7A90">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098EC493">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第八条 甲方的权利和义务</w:t>
      </w:r>
    </w:p>
    <w:p w14:paraId="16BA392F">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第九条 乙方的权利和义务</w:t>
      </w:r>
    </w:p>
    <w:p w14:paraId="7E227C6F">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第十条 违约责任与争议解决办法</w:t>
      </w:r>
    </w:p>
    <w:p w14:paraId="41DCBF7B">
      <w:pPr>
        <w:tabs>
          <w:tab w:val="left" w:pos="0"/>
        </w:tabs>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1、合同双方之任何一方不能全面履行合同条款，均属违约。违约所造成的经济损失概由违约方承担赔偿。违约造成工期延误责任分担：甲方违约，工期相应顺延；乙方违约，工期不得顺延。</w:t>
      </w:r>
    </w:p>
    <w:p w14:paraId="7C5B776C">
      <w:pPr>
        <w:tabs>
          <w:tab w:val="left" w:pos="0"/>
        </w:tabs>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2、协商或仲裁：如果发生与本合同的解释或执行中的有关争议，双方首先应通过友好协商解决，否则任何一方可将该争议提交仲裁。仲裁事项应提交</w:t>
      </w:r>
      <w:r>
        <w:rPr>
          <w:rFonts w:hint="eastAsia" w:ascii="仿宋" w:hAnsi="仿宋" w:eastAsia="仿宋"/>
          <w:sz w:val="28"/>
          <w:szCs w:val="28"/>
          <w:lang w:eastAsia="zh-CN"/>
        </w:rPr>
        <w:t>有关部门</w:t>
      </w:r>
      <w:r>
        <w:rPr>
          <w:rFonts w:hint="eastAsia" w:ascii="仿宋" w:hAnsi="仿宋" w:eastAsia="仿宋"/>
          <w:sz w:val="28"/>
          <w:szCs w:val="28"/>
        </w:rPr>
        <w:t>进行裁决。</w:t>
      </w:r>
    </w:p>
    <w:p w14:paraId="282537AB">
      <w:pPr>
        <w:tabs>
          <w:tab w:val="left" w:pos="0"/>
        </w:tabs>
        <w:snapToGrid w:val="0"/>
        <w:spacing w:line="300" w:lineRule="auto"/>
        <w:rPr>
          <w:rFonts w:ascii="仿宋" w:hAnsi="仿宋" w:eastAsia="仿宋"/>
          <w:sz w:val="28"/>
          <w:szCs w:val="28"/>
        </w:rPr>
      </w:pPr>
      <w:r>
        <w:rPr>
          <w:rFonts w:hint="eastAsia" w:ascii="仿宋" w:hAnsi="仿宋" w:eastAsia="仿宋"/>
          <w:sz w:val="28"/>
          <w:szCs w:val="28"/>
        </w:rPr>
        <w:t>……。</w:t>
      </w:r>
    </w:p>
    <w:p w14:paraId="371615A6">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第十一条 知识产权、保密或其他事项要求</w:t>
      </w:r>
    </w:p>
    <w:p w14:paraId="05D1B113">
      <w:pPr>
        <w:tabs>
          <w:tab w:val="left" w:pos="0"/>
        </w:tabs>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1、除政府采购合同继续履行将损害国家利益和社会公共利益外，双方不得擅自变更、中止或者终止合同。</w:t>
      </w:r>
    </w:p>
    <w:p w14:paraId="3E0CBFA7">
      <w:pPr>
        <w:tabs>
          <w:tab w:val="left" w:pos="0"/>
        </w:tabs>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2、乙方所提供的货物或服务未侵犯知识产权，不会产生因第三方提出的包括但不限于侵犯其专利权、商标权、</w:t>
      </w:r>
      <w:r>
        <w:rPr>
          <w:rFonts w:hint="eastAsia" w:ascii="仿宋" w:hAnsi="仿宋" w:eastAsia="仿宋"/>
          <w:sz w:val="28"/>
          <w:szCs w:val="28"/>
          <w:lang w:eastAsia="zh-CN"/>
        </w:rPr>
        <w:t>物流管理</w:t>
      </w:r>
      <w:r>
        <w:rPr>
          <w:rFonts w:hint="eastAsia" w:ascii="仿宋" w:hAnsi="仿宋" w:eastAsia="仿宋"/>
          <w:sz w:val="28"/>
          <w:szCs w:val="28"/>
        </w:rPr>
        <w:t>设计权等知识产权和侵犯其所有权、抵押权等物权及其他权利而引发的纠纷。如有纠纷，乙方应承担全部责任。</w:t>
      </w:r>
    </w:p>
    <w:p w14:paraId="08B25180">
      <w:pPr>
        <w:tabs>
          <w:tab w:val="left" w:pos="0"/>
        </w:tabs>
        <w:snapToGrid w:val="0"/>
        <w:spacing w:line="300" w:lineRule="auto"/>
        <w:rPr>
          <w:rFonts w:ascii="仿宋" w:hAnsi="仿宋" w:eastAsia="仿宋"/>
          <w:sz w:val="28"/>
          <w:szCs w:val="28"/>
        </w:rPr>
      </w:pPr>
      <w:r>
        <w:rPr>
          <w:rFonts w:hint="eastAsia" w:ascii="仿宋_GB2312" w:hAnsi="华文仿宋" w:eastAsia="仿宋_GB2312"/>
          <w:sz w:val="28"/>
          <w:szCs w:val="28"/>
        </w:rPr>
        <w:t>……。</w:t>
      </w:r>
    </w:p>
    <w:p w14:paraId="0CE971BC">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第十二条 附件（附录）</w:t>
      </w:r>
      <w:r>
        <w:rPr>
          <w:rFonts w:hint="eastAsia" w:ascii="仿宋" w:hAnsi="仿宋" w:eastAsia="仿宋"/>
          <w:sz w:val="28"/>
          <w:szCs w:val="28"/>
        </w:rPr>
        <w:t>（如有，可填写，并附相关内容）</w:t>
      </w:r>
    </w:p>
    <w:p w14:paraId="5B587AF7">
      <w:pPr>
        <w:tabs>
          <w:tab w:val="left" w:pos="0"/>
        </w:tabs>
        <w:snapToGrid w:val="0"/>
        <w:spacing w:line="300" w:lineRule="auto"/>
        <w:rPr>
          <w:rFonts w:ascii="仿宋" w:hAnsi="仿宋" w:eastAsia="仿宋"/>
          <w:sz w:val="28"/>
          <w:szCs w:val="28"/>
        </w:rPr>
      </w:pPr>
      <w:r>
        <w:rPr>
          <w:rFonts w:hint="eastAsia" w:ascii="仿宋" w:hAnsi="仿宋" w:eastAsia="仿宋"/>
          <w:sz w:val="28"/>
          <w:szCs w:val="28"/>
        </w:rPr>
        <w:t>……。</w:t>
      </w:r>
    </w:p>
    <w:p w14:paraId="5BEBAE3F">
      <w:pPr>
        <w:snapToGrid w:val="0"/>
        <w:spacing w:line="300" w:lineRule="auto"/>
        <w:ind w:firstLine="200"/>
        <w:rPr>
          <w:rFonts w:ascii="仿宋" w:hAnsi="仿宋" w:eastAsia="仿宋"/>
          <w:sz w:val="28"/>
          <w:szCs w:val="28"/>
        </w:rPr>
      </w:pPr>
    </w:p>
    <w:p w14:paraId="0AB67A23">
      <w:pPr>
        <w:snapToGrid w:val="0"/>
        <w:spacing w:line="300" w:lineRule="auto"/>
        <w:ind w:firstLine="200"/>
        <w:rPr>
          <w:rFonts w:ascii="仿宋" w:hAnsi="仿宋" w:eastAsia="仿宋"/>
          <w:sz w:val="28"/>
          <w:szCs w:val="28"/>
        </w:rPr>
      </w:pPr>
    </w:p>
    <w:p w14:paraId="04FC6248">
      <w:pPr>
        <w:snapToGrid w:val="0"/>
        <w:spacing w:line="300" w:lineRule="auto"/>
        <w:ind w:firstLine="200"/>
        <w:rPr>
          <w:rFonts w:ascii="仿宋" w:hAnsi="仿宋" w:eastAsia="仿宋"/>
          <w:sz w:val="28"/>
          <w:szCs w:val="28"/>
        </w:rPr>
      </w:pPr>
    </w:p>
    <w:p w14:paraId="13A4B757">
      <w:pPr>
        <w:snapToGrid w:val="0"/>
        <w:spacing w:line="300" w:lineRule="auto"/>
        <w:rPr>
          <w:rFonts w:ascii="仿宋_GB2312" w:hAnsi="华文仿宋" w:eastAsia="仿宋_GB2312"/>
          <w:sz w:val="28"/>
        </w:rPr>
      </w:pPr>
      <w:r>
        <w:rPr>
          <w:rFonts w:ascii="仿宋_GB2312" w:hAnsi="华文仿宋" w:eastAsia="仿宋_GB2312"/>
          <w:sz w:val="28"/>
        </w:rPr>
        <w:t>甲方（公章）</w:t>
      </w:r>
      <w:r>
        <w:rPr>
          <w:rFonts w:hint="eastAsia" w:ascii="仿宋_GB2312" w:hAnsi="华文仿宋" w:eastAsia="仿宋_GB2312"/>
          <w:sz w:val="28"/>
        </w:rPr>
        <w:t>：</w:t>
      </w:r>
      <w:r>
        <w:rPr>
          <w:rFonts w:ascii="仿宋_GB2312" w:hAnsi="华文仿宋" w:eastAsia="仿宋_GB2312"/>
          <w:sz w:val="28"/>
        </w:rPr>
        <w:t>乙方（公章）</w:t>
      </w:r>
      <w:r>
        <w:rPr>
          <w:rFonts w:hint="eastAsia" w:ascii="仿宋_GB2312" w:hAnsi="华文仿宋" w:eastAsia="仿宋_GB2312"/>
          <w:sz w:val="28"/>
        </w:rPr>
        <w:t>：</w:t>
      </w:r>
    </w:p>
    <w:p w14:paraId="398BAB1D">
      <w:pPr>
        <w:snapToGrid w:val="0"/>
        <w:spacing w:line="300" w:lineRule="auto"/>
        <w:rPr>
          <w:rFonts w:ascii="仿宋_GB2312" w:hAnsi="华文仿宋" w:eastAsia="仿宋_GB2312"/>
          <w:sz w:val="28"/>
        </w:rPr>
      </w:pPr>
      <w:r>
        <w:rPr>
          <w:rFonts w:ascii="仿宋_GB2312" w:hAnsi="华文仿宋" w:eastAsia="仿宋_GB2312"/>
          <w:sz w:val="28"/>
        </w:rPr>
        <w:t>法定代表人（签章）</w:t>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法定代表人（签章）</w:t>
      </w:r>
    </w:p>
    <w:p w14:paraId="563C109A">
      <w:pPr>
        <w:snapToGrid w:val="0"/>
        <w:spacing w:line="300" w:lineRule="auto"/>
        <w:rPr>
          <w:rFonts w:ascii="仿宋_GB2312" w:hAnsi="华文仿宋" w:eastAsia="仿宋_GB2312"/>
          <w:sz w:val="28"/>
        </w:rPr>
      </w:pPr>
      <w:r>
        <w:rPr>
          <w:rFonts w:ascii="仿宋_GB2312" w:hAnsi="华文仿宋" w:eastAsia="仿宋_GB2312"/>
          <w:sz w:val="28"/>
        </w:rPr>
        <w:t>或授权代表：</w:t>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或授权代表：</w:t>
      </w:r>
    </w:p>
    <w:p w14:paraId="100282B0">
      <w:pPr>
        <w:snapToGrid w:val="0"/>
        <w:spacing w:line="300" w:lineRule="auto"/>
        <w:rPr>
          <w:rFonts w:ascii="仿宋_GB2312" w:hAnsi="华文仿宋" w:eastAsia="仿宋_GB2312"/>
          <w:sz w:val="28"/>
        </w:rPr>
      </w:pP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 xml:space="preserve">年   月   日     </w:t>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年   月   日</w:t>
      </w:r>
    </w:p>
    <w:p w14:paraId="50DDDBF2">
      <w:pPr>
        <w:rPr>
          <w:rFonts w:ascii="Arial" w:hAnsi="Arial" w:eastAsia="宋体"/>
          <w:color w:val="FF0000"/>
        </w:rPr>
      </w:pPr>
    </w:p>
    <w:p w14:paraId="0752B2DD">
      <w:pPr>
        <w:rPr>
          <w:rFonts w:ascii="宋体" w:hAnsi="宋体" w:eastAsia="黑体"/>
          <w:b/>
          <w:bCs/>
          <w:color w:val="0000FF"/>
          <w:kern w:val="44"/>
          <w:sz w:val="36"/>
          <w:szCs w:val="44"/>
        </w:rPr>
      </w:pPr>
      <w:r>
        <w:br w:type="page"/>
      </w:r>
    </w:p>
    <w:p w14:paraId="158DEC89">
      <w:pPr>
        <w:keepNext/>
        <w:keepLines/>
        <w:spacing w:before="340" w:after="60" w:afterLines="25" w:line="578" w:lineRule="auto"/>
        <w:jc w:val="center"/>
        <w:outlineLvl w:val="0"/>
        <w:rPr>
          <w:rFonts w:ascii="Arial" w:hAnsi="Arial" w:eastAsia="宋体"/>
          <w:b/>
          <w:bCs/>
          <w:kern w:val="44"/>
          <w:sz w:val="32"/>
          <w:szCs w:val="32"/>
        </w:rPr>
      </w:pPr>
      <w:r>
        <w:rPr>
          <w:rFonts w:hint="eastAsia" w:ascii="Arial" w:hAnsi="Arial" w:eastAsia="宋体"/>
          <w:b/>
          <w:bCs/>
          <w:kern w:val="44"/>
          <w:sz w:val="32"/>
          <w:szCs w:val="32"/>
        </w:rPr>
        <w:t>第二册通用条款（公开招标）</w:t>
      </w:r>
    </w:p>
    <w:p w14:paraId="1762B722">
      <w:pPr>
        <w:keepNext/>
        <w:keepLines/>
        <w:numPr>
          <w:ilvl w:val="0"/>
          <w:numId w:val="12"/>
        </w:numPr>
        <w:adjustRightInd w:val="0"/>
        <w:spacing w:before="120" w:beforeLines="50" w:after="120" w:afterLines="50"/>
        <w:ind w:left="562" w:hanging="562"/>
        <w:jc w:val="center"/>
        <w:textAlignment w:val="baseline"/>
        <w:outlineLvl w:val="1"/>
        <w:rPr>
          <w:rFonts w:ascii="Cambria" w:hAnsi="Cambria" w:eastAsia="宋体"/>
          <w:b/>
          <w:bCs/>
          <w:sz w:val="28"/>
          <w:szCs w:val="28"/>
        </w:rPr>
      </w:pPr>
      <w:bookmarkStart w:id="29" w:name="_Hlk72399513"/>
      <w:r>
        <w:rPr>
          <w:rFonts w:hint="eastAsia" w:ascii="Cambria" w:hAnsi="Cambria" w:eastAsia="宋体"/>
          <w:b/>
          <w:bCs/>
          <w:sz w:val="28"/>
          <w:szCs w:val="28"/>
        </w:rPr>
        <w:t>总则</w:t>
      </w:r>
      <w:bookmarkEnd w:id="29"/>
    </w:p>
    <w:p w14:paraId="4E605DC9">
      <w:pPr>
        <w:outlineLvl w:val="2"/>
        <w:rPr>
          <w:rFonts w:ascii="黑体" w:hAnsi="宋体" w:eastAsia="黑体"/>
        </w:rPr>
      </w:pPr>
      <w:r>
        <w:rPr>
          <w:rFonts w:hint="eastAsia" w:ascii="黑体" w:hAnsi="宋体" w:eastAsia="黑体"/>
        </w:rPr>
        <w:t>1. 通用条款说明</w:t>
      </w:r>
    </w:p>
    <w:p w14:paraId="766CEB9A">
      <w:pPr>
        <w:ind w:firstLine="470" w:firstLineChars="196"/>
        <w:rPr>
          <w:rFonts w:ascii="宋体" w:hAnsi="宋体" w:eastAsia="宋体"/>
          <w:szCs w:val="21"/>
        </w:rPr>
      </w:pPr>
      <w:r>
        <w:rPr>
          <w:rFonts w:hint="eastAsia" w:ascii="宋体" w:hAnsi="宋体" w:eastAsia="宋体"/>
          <w:szCs w:val="21"/>
        </w:rPr>
        <w:t>1.1</w:t>
      </w:r>
      <w:r>
        <w:rPr>
          <w:rFonts w:hint="eastAsia" w:ascii="宋体" w:hAnsi="宋体" w:eastAsia="宋体"/>
          <w:szCs w:val="21"/>
          <w:lang w:eastAsia="zh-CN"/>
        </w:rPr>
        <w:t>本条款为</w:t>
      </w:r>
      <w:r>
        <w:rPr>
          <w:rFonts w:hint="eastAsia" w:ascii="宋体" w:hAnsi="宋体" w:eastAsia="宋体"/>
          <w:szCs w:val="21"/>
        </w:rPr>
        <w:t>招标文件通用条款版本，</w:t>
      </w:r>
      <w:bookmarkStart w:id="30" w:name="_Hlk72399729"/>
      <w:r>
        <w:rPr>
          <w:rFonts w:hint="eastAsia" w:ascii="宋体" w:hAnsi="宋体" w:eastAsia="宋体"/>
          <w:szCs w:val="21"/>
        </w:rPr>
        <w:t>如有需要，</w:t>
      </w:r>
      <w:r>
        <w:rPr>
          <w:rFonts w:hint="eastAsia" w:ascii="宋体" w:hAnsi="宋体" w:eastAsia="宋体"/>
          <w:szCs w:val="21"/>
          <w:lang w:eastAsia="zh-CN"/>
        </w:rPr>
        <w:t>采购人</w:t>
      </w:r>
      <w:r>
        <w:rPr>
          <w:rFonts w:hint="eastAsia" w:ascii="宋体" w:hAnsi="宋体" w:eastAsia="宋体"/>
          <w:szCs w:val="21"/>
        </w:rPr>
        <w:t>可以对通用条款的内容进行补充。</w:t>
      </w:r>
      <w:bookmarkEnd w:id="30"/>
    </w:p>
    <w:p w14:paraId="76FF2A83">
      <w:pPr>
        <w:ind w:firstLine="470" w:firstLineChars="196"/>
        <w:rPr>
          <w:rFonts w:ascii="宋体" w:hAnsi="宋体" w:eastAsia="宋体"/>
          <w:szCs w:val="21"/>
        </w:rPr>
      </w:pPr>
      <w:r>
        <w:rPr>
          <w:rFonts w:hint="eastAsia" w:ascii="宋体" w:hAnsi="宋体" w:eastAsia="宋体"/>
          <w:szCs w:val="21"/>
        </w:rPr>
        <w:t>1.2招标文件分为第一册“专用条款”和第二册“通用条款”。</w:t>
      </w:r>
    </w:p>
    <w:p w14:paraId="03A4B0EA">
      <w:pPr>
        <w:ind w:firstLine="470" w:firstLineChars="196"/>
        <w:rPr>
          <w:rFonts w:ascii="宋体" w:hAnsi="宋体" w:eastAsia="宋体"/>
          <w:szCs w:val="21"/>
        </w:rPr>
      </w:pPr>
      <w:r>
        <w:rPr>
          <w:rFonts w:hint="eastAsia" w:ascii="宋体" w:hAnsi="宋体" w:eastAsia="宋体"/>
          <w:szCs w:val="21"/>
        </w:rPr>
        <w:t>1.3“专用条款”是对本次采购项目的具体要求，包含招标公告、对通用条款的补充内容及其他关键信息、用户需求书、投标文件格式及附件、合同条款及格式等内容。</w:t>
      </w:r>
    </w:p>
    <w:p w14:paraId="6F7F93F1">
      <w:pPr>
        <w:ind w:firstLine="470" w:firstLineChars="196"/>
        <w:rPr>
          <w:rFonts w:ascii="宋体" w:hAnsi="宋体" w:eastAsia="宋体"/>
          <w:szCs w:val="21"/>
        </w:rPr>
      </w:pPr>
      <w:r>
        <w:rPr>
          <w:rFonts w:hint="eastAsia" w:ascii="宋体" w:hAnsi="宋体" w:eastAsia="宋体"/>
          <w:szCs w:val="21"/>
        </w:rPr>
        <w:t>1.4“通用条款”是适用于政府采购公开招标项目的基础性条款，具有普遍性和通用性。</w:t>
      </w:r>
    </w:p>
    <w:p w14:paraId="6214B3B9">
      <w:pPr>
        <w:ind w:firstLine="470" w:firstLineChars="196"/>
        <w:rPr>
          <w:rFonts w:ascii="宋体" w:hAnsi="宋体" w:eastAsia="宋体"/>
          <w:szCs w:val="21"/>
        </w:rPr>
      </w:pPr>
      <w:r>
        <w:rPr>
          <w:rFonts w:hint="eastAsia" w:ascii="宋体" w:hAnsi="宋体" w:eastAsia="宋体"/>
          <w:szCs w:val="21"/>
        </w:rPr>
        <w:t>1.5“专用条款”和“通用条款”表述不一致或有冲突时，以“专用条款”为准。</w:t>
      </w:r>
    </w:p>
    <w:p w14:paraId="4BEE44FB">
      <w:pPr>
        <w:outlineLvl w:val="2"/>
        <w:rPr>
          <w:rFonts w:ascii="黑体" w:hAnsi="宋体" w:eastAsia="黑体"/>
        </w:rPr>
      </w:pPr>
      <w:r>
        <w:rPr>
          <w:rFonts w:hint="eastAsia" w:ascii="黑体" w:hAnsi="宋体" w:eastAsia="黑体"/>
        </w:rPr>
        <w:t>2</w:t>
      </w:r>
      <w:r>
        <w:rPr>
          <w:rFonts w:ascii="黑体" w:hAnsi="宋体" w:eastAsia="黑体"/>
        </w:rPr>
        <w:t>．</w:t>
      </w:r>
      <w:r>
        <w:rPr>
          <w:rFonts w:hint="eastAsia" w:ascii="黑体" w:hAnsi="宋体" w:eastAsia="黑体"/>
        </w:rPr>
        <w:t>招标说明</w:t>
      </w:r>
    </w:p>
    <w:p w14:paraId="40735C4D">
      <w:pPr>
        <w:ind w:firstLine="470" w:firstLineChars="196"/>
        <w:rPr>
          <w:rFonts w:ascii="宋体" w:hAnsi="宋体" w:eastAsia="宋体"/>
          <w:szCs w:val="21"/>
        </w:rPr>
      </w:pPr>
      <w:r>
        <w:rPr>
          <w:rFonts w:hint="eastAsia" w:ascii="宋体" w:hAnsi="宋体" w:eastAsia="宋体"/>
          <w:szCs w:val="21"/>
        </w:rPr>
        <w:t>本项目按照政府采购其他法律法规，通过公开招标方式确定中标供应商。</w:t>
      </w:r>
    </w:p>
    <w:p w14:paraId="7E552672">
      <w:pPr>
        <w:outlineLvl w:val="2"/>
        <w:rPr>
          <w:rFonts w:ascii="黑体" w:hAnsi="宋体" w:eastAsia="黑体"/>
        </w:rPr>
      </w:pPr>
      <w:r>
        <w:rPr>
          <w:rFonts w:hint="eastAsia" w:ascii="黑体" w:hAnsi="宋体" w:eastAsia="黑体"/>
        </w:rPr>
        <w:t>3．定义</w:t>
      </w:r>
    </w:p>
    <w:p w14:paraId="1D111C14">
      <w:pPr>
        <w:ind w:firstLine="480" w:firstLineChars="200"/>
        <w:rPr>
          <w:rFonts w:ascii="宋体" w:hAnsi="宋体" w:eastAsia="宋体"/>
          <w:szCs w:val="21"/>
        </w:rPr>
      </w:pPr>
      <w:r>
        <w:rPr>
          <w:rFonts w:ascii="宋体" w:hAnsi="宋体" w:eastAsia="宋体"/>
          <w:szCs w:val="21"/>
        </w:rPr>
        <w:t>招标文件中下列术语应解释为：</w:t>
      </w:r>
    </w:p>
    <w:p w14:paraId="07AB22B7">
      <w:pPr>
        <w:ind w:firstLine="470" w:firstLineChars="196"/>
        <w:rPr>
          <w:rFonts w:ascii="宋体" w:hAnsi="宋体" w:eastAsia="宋体"/>
          <w:szCs w:val="21"/>
        </w:rPr>
      </w:pPr>
      <w:r>
        <w:rPr>
          <w:rFonts w:hint="eastAsia" w:ascii="宋体" w:hAnsi="宋体" w:eastAsia="宋体"/>
          <w:szCs w:val="21"/>
        </w:rPr>
        <w:t>3.</w:t>
      </w:r>
      <w:r>
        <w:rPr>
          <w:rFonts w:ascii="宋体" w:hAnsi="宋体" w:eastAsia="宋体"/>
          <w:szCs w:val="21"/>
        </w:rPr>
        <w:t>1</w:t>
      </w:r>
      <w:r>
        <w:rPr>
          <w:rFonts w:hint="eastAsia" w:ascii="宋体" w:hAnsi="宋体" w:eastAsia="宋体"/>
          <w:szCs w:val="21"/>
        </w:rPr>
        <w:t>“采购人”：指利用财政性资金依法进行政府采购的国家机关、事业单位、团体组织；</w:t>
      </w:r>
    </w:p>
    <w:p w14:paraId="4A7F683C">
      <w:pPr>
        <w:ind w:firstLine="470" w:firstLineChars="196"/>
        <w:rPr>
          <w:rFonts w:ascii="宋体" w:hAnsi="宋体" w:eastAsia="宋体"/>
          <w:szCs w:val="21"/>
        </w:rPr>
      </w:pPr>
      <w:r>
        <w:rPr>
          <w:rFonts w:hint="eastAsia" w:ascii="宋体" w:hAnsi="宋体" w:eastAsia="宋体"/>
          <w:szCs w:val="21"/>
        </w:rPr>
        <w:t>3.2“政府集中采购机构”</w:t>
      </w:r>
      <w:r>
        <w:rPr>
          <w:rFonts w:hint="eastAsia" w:ascii="Arial" w:hAnsi="Arial" w:eastAsia="宋体" w:cs="Arial"/>
          <w:szCs w:val="21"/>
          <w:shd w:val="clear" w:color="auto" w:fill="FFFFFF"/>
        </w:rPr>
        <w:t>是指市政府设立的，组织实施政府采购项目，并对政府采购活动提供服务的专门机构；</w:t>
      </w:r>
      <w:r>
        <w:rPr>
          <w:rFonts w:hint="eastAsia" w:ascii="宋体" w:hAnsi="宋体" w:eastAsia="宋体"/>
          <w:szCs w:val="21"/>
        </w:rPr>
        <w:t>本文件所述的“政府集中采购机构”</w:t>
      </w:r>
      <w:r>
        <w:rPr>
          <w:rFonts w:ascii="宋体" w:hAnsi="宋体" w:eastAsia="宋体"/>
          <w:szCs w:val="21"/>
        </w:rPr>
        <w:t>指</w:t>
      </w:r>
      <w:r>
        <w:rPr>
          <w:rFonts w:hint="eastAsia" w:ascii="宋体" w:hAnsi="宋体" w:eastAsia="宋体"/>
          <w:b/>
          <w:bCs/>
          <w:szCs w:val="21"/>
          <w:lang w:eastAsia="zh-CN"/>
        </w:rPr>
        <w:t>喀什市招投标中心</w:t>
      </w:r>
      <w:r>
        <w:rPr>
          <w:rFonts w:hint="eastAsia" w:ascii="宋体" w:hAnsi="宋体" w:eastAsia="宋体"/>
          <w:szCs w:val="21"/>
        </w:rPr>
        <w:t>；</w:t>
      </w:r>
    </w:p>
    <w:p w14:paraId="6928A988">
      <w:pPr>
        <w:ind w:firstLine="470" w:firstLineChars="196"/>
        <w:rPr>
          <w:rFonts w:ascii="宋体" w:hAnsi="宋体" w:eastAsia="宋体"/>
          <w:szCs w:val="21"/>
        </w:rPr>
      </w:pPr>
      <w:r>
        <w:rPr>
          <w:rFonts w:hint="eastAsia" w:ascii="宋体" w:hAnsi="宋体" w:eastAsia="宋体"/>
          <w:szCs w:val="21"/>
        </w:rPr>
        <w:t>3.3“投标人”，即供应商，指参加投标竞争并愿意按照招标文件要求向采购人提供货物、工程或者服务的依法成立的法人、其他组织或者自然人；</w:t>
      </w:r>
    </w:p>
    <w:p w14:paraId="648C945E">
      <w:pPr>
        <w:ind w:firstLine="470" w:firstLineChars="196"/>
        <w:rPr>
          <w:rFonts w:ascii="宋体" w:hAnsi="宋体" w:eastAsia="宋体"/>
          <w:szCs w:val="21"/>
        </w:rPr>
      </w:pPr>
      <w:r>
        <w:rPr>
          <w:rFonts w:hint="eastAsia" w:ascii="宋体" w:hAnsi="宋体" w:eastAsia="宋体"/>
          <w:szCs w:val="21"/>
        </w:rPr>
        <w:t>3.4“评审委员会”是依据政府采购其他法律法规等有关规定组建的专门负责本次招标评审工作的临时性机构；</w:t>
      </w:r>
    </w:p>
    <w:p w14:paraId="1701B3F4">
      <w:pPr>
        <w:ind w:firstLine="470" w:firstLineChars="196"/>
        <w:rPr>
          <w:rFonts w:ascii="宋体" w:hAnsi="宋体" w:eastAsia="宋体"/>
          <w:szCs w:val="21"/>
        </w:rPr>
      </w:pPr>
      <w:r>
        <w:rPr>
          <w:rFonts w:hint="eastAsia" w:ascii="宋体" w:hAnsi="宋体" w:eastAsia="宋体"/>
          <w:szCs w:val="21"/>
        </w:rPr>
        <w:t>3.5“日期”</w:t>
      </w:r>
      <w:r>
        <w:rPr>
          <w:rFonts w:ascii="宋体" w:hAnsi="宋体" w:eastAsia="宋体"/>
          <w:szCs w:val="21"/>
        </w:rPr>
        <w:t>指</w:t>
      </w:r>
      <w:r>
        <w:rPr>
          <w:rFonts w:hint="eastAsia" w:ascii="宋体" w:hAnsi="宋体" w:eastAsia="宋体"/>
          <w:szCs w:val="21"/>
        </w:rPr>
        <w:t>公历日；</w:t>
      </w:r>
    </w:p>
    <w:p w14:paraId="5E91C879">
      <w:pPr>
        <w:ind w:firstLine="470" w:firstLineChars="196"/>
        <w:rPr>
          <w:rFonts w:ascii="宋体" w:hAnsi="宋体" w:eastAsia="宋体"/>
          <w:szCs w:val="21"/>
        </w:rPr>
      </w:pPr>
      <w:r>
        <w:rPr>
          <w:rFonts w:hint="eastAsia" w:ascii="宋体" w:hAnsi="宋体" w:eastAsia="宋体"/>
          <w:szCs w:val="21"/>
        </w:rPr>
        <w:t>3.6“合同”指由本次招标所产生的合同或合约文件；</w:t>
      </w:r>
    </w:p>
    <w:p w14:paraId="1646F4D2">
      <w:pPr>
        <w:ind w:firstLine="470" w:firstLineChars="196"/>
        <w:rPr>
          <w:rFonts w:ascii="宋体" w:hAnsi="宋体" w:eastAsia="宋体"/>
          <w:szCs w:val="21"/>
        </w:rPr>
      </w:pPr>
      <w:r>
        <w:rPr>
          <w:rFonts w:hint="eastAsia" w:ascii="宋体" w:hAnsi="宋体" w:eastAsia="宋体"/>
          <w:szCs w:val="21"/>
        </w:rPr>
        <w:t>3.7“电子投标文件”指利用政府采购云平台投标客户端</w:t>
      </w:r>
      <w:r>
        <w:rPr>
          <w:rFonts w:hint="eastAsia" w:ascii="宋体" w:hAnsi="宋体" w:eastAsia="宋体"/>
          <w:szCs w:val="21"/>
          <w:lang w:eastAsia="zh-CN"/>
        </w:rPr>
        <w:t>及</w:t>
      </w:r>
      <w:r>
        <w:rPr>
          <w:rFonts w:hint="eastAsia" w:ascii="宋体" w:hAnsi="宋体" w:eastAsia="宋体"/>
          <w:szCs w:val="21"/>
        </w:rPr>
        <w:t>政府采购云</w:t>
      </w:r>
      <w:r>
        <w:rPr>
          <w:rFonts w:hint="eastAsia" w:ascii="宋体" w:hAnsi="宋体" w:eastAsia="宋体"/>
          <w:szCs w:val="21"/>
          <w:lang w:val="en-US" w:eastAsia="zh-CN"/>
        </w:rPr>
        <w:t>CA</w:t>
      </w:r>
      <w:r>
        <w:rPr>
          <w:rFonts w:hint="eastAsia" w:ascii="宋体" w:hAnsi="宋体" w:eastAsia="宋体"/>
          <w:szCs w:val="21"/>
        </w:rPr>
        <w:t>加密的投标文件,适用于网上投标</w:t>
      </w:r>
      <w:bookmarkStart w:id="31" w:name="_Hlk72398581"/>
      <w:r>
        <w:rPr>
          <w:rFonts w:hint="eastAsia" w:ascii="宋体" w:hAnsi="宋体" w:eastAsia="宋体"/>
          <w:szCs w:val="21"/>
        </w:rPr>
        <w:t>；</w:t>
      </w:r>
      <w:bookmarkEnd w:id="31"/>
    </w:p>
    <w:p w14:paraId="4638CE81">
      <w:pPr>
        <w:ind w:firstLine="470" w:firstLineChars="196"/>
        <w:rPr>
          <w:rFonts w:ascii="宋体" w:hAnsi="宋体" w:eastAsia="宋体"/>
          <w:szCs w:val="21"/>
        </w:rPr>
      </w:pPr>
      <w:r>
        <w:rPr>
          <w:rFonts w:hint="eastAsia" w:ascii="宋体" w:hAnsi="宋体" w:eastAsia="宋体"/>
          <w:szCs w:val="21"/>
        </w:rPr>
        <w:t>3.8“网上投标”指通过政府采购云平台投标客户端上传电子投标文件；</w:t>
      </w:r>
    </w:p>
    <w:p w14:paraId="1DF2239C">
      <w:pPr>
        <w:ind w:firstLine="470" w:firstLineChars="196"/>
        <w:rPr>
          <w:rFonts w:ascii="宋体" w:hAnsi="宋体" w:eastAsia="宋体"/>
          <w:szCs w:val="21"/>
        </w:rPr>
      </w:pPr>
      <w:r>
        <w:rPr>
          <w:rFonts w:hint="eastAsia" w:ascii="宋体" w:hAnsi="宋体" w:eastAsia="宋体"/>
          <w:szCs w:val="21"/>
        </w:rPr>
        <w:t>3.9招标文件中的标题或题名仅起引导作用，而不应视为对招标文件内容的理解和解释。</w:t>
      </w:r>
    </w:p>
    <w:p w14:paraId="2AE5AA80">
      <w:pPr>
        <w:outlineLvl w:val="2"/>
        <w:rPr>
          <w:rFonts w:ascii="黑体" w:hAnsi="宋体" w:eastAsia="黑体"/>
        </w:rPr>
      </w:pPr>
      <w:r>
        <w:rPr>
          <w:rFonts w:hint="eastAsia" w:ascii="黑体" w:hAnsi="宋体" w:eastAsia="黑体"/>
        </w:rPr>
        <w:t xml:space="preserve">4. </w:t>
      </w:r>
      <w:bookmarkStart w:id="32" w:name="_Hlk72398643"/>
      <w:r>
        <w:rPr>
          <w:rFonts w:hint="eastAsia" w:ascii="黑体" w:hAnsi="宋体" w:eastAsia="黑体"/>
        </w:rPr>
        <w:t>政府采购供应商责任</w:t>
      </w:r>
    </w:p>
    <w:p w14:paraId="63ED96E4">
      <w:pPr>
        <w:ind w:firstLine="470" w:firstLineChars="196"/>
        <w:rPr>
          <w:rFonts w:ascii="宋体" w:hAnsi="宋体" w:eastAsia="宋体"/>
          <w:szCs w:val="21"/>
        </w:rPr>
      </w:pPr>
      <w:r>
        <w:rPr>
          <w:rFonts w:hint="eastAsia" w:ascii="宋体" w:hAnsi="宋体" w:eastAsia="宋体"/>
          <w:szCs w:val="21"/>
        </w:rPr>
        <w:t>4.1欢迎诚信、有实力和有社会责任心的供应商参与政府采购事业。</w:t>
      </w:r>
    </w:p>
    <w:p w14:paraId="30027453">
      <w:pPr>
        <w:ind w:firstLine="470" w:firstLineChars="196"/>
        <w:rPr>
          <w:rFonts w:ascii="宋体" w:hAnsi="宋体" w:eastAsia="宋体"/>
          <w:szCs w:val="21"/>
        </w:rPr>
      </w:pPr>
      <w:r>
        <w:rPr>
          <w:rFonts w:hint="eastAsia" w:ascii="宋体" w:hAnsi="宋体" w:eastAsia="宋体"/>
          <w:szCs w:val="21"/>
        </w:rPr>
        <w:t>4.2投标人应当遵循公平竞争的原则，不得恶意串通，不得妨碍其他投标人的竞争行为，不得损害采购人或者其他投标人的合法权益。如违反上述要求，经核实后，供应商的投标无效。</w:t>
      </w:r>
    </w:p>
    <w:p w14:paraId="40E1738A">
      <w:pPr>
        <w:outlineLvl w:val="2"/>
        <w:rPr>
          <w:rFonts w:ascii="黑体" w:hAnsi="宋体" w:eastAsia="黑体"/>
        </w:rPr>
      </w:pPr>
      <w:r>
        <w:rPr>
          <w:rFonts w:hint="eastAsia" w:ascii="黑体" w:hAnsi="宋体" w:eastAsia="黑体"/>
        </w:rPr>
        <w:t>5．投标人参加政府采购的条件</w:t>
      </w:r>
    </w:p>
    <w:p w14:paraId="7BDFECC5">
      <w:pPr>
        <w:ind w:firstLine="470" w:firstLineChars="196"/>
        <w:rPr>
          <w:rFonts w:ascii="宋体" w:hAnsi="宋体" w:eastAsia="宋体"/>
          <w:szCs w:val="21"/>
        </w:rPr>
      </w:pPr>
      <w:r>
        <w:rPr>
          <w:rFonts w:hint="eastAsia" w:ascii="宋体" w:hAnsi="宋体" w:eastAsia="宋体"/>
          <w:szCs w:val="21"/>
        </w:rPr>
        <w:t>5.1投标人应在投标前到</w:t>
      </w:r>
      <w:r>
        <w:rPr>
          <w:rFonts w:hint="eastAsia" w:ascii="宋体" w:hAnsi="宋体" w:eastAsia="宋体"/>
          <w:szCs w:val="21"/>
          <w:lang w:eastAsia="zh-CN"/>
        </w:rPr>
        <w:t>政府采购云平台</w:t>
      </w:r>
      <w:r>
        <w:rPr>
          <w:rFonts w:hint="eastAsia" w:ascii="宋体" w:hAnsi="宋体" w:eastAsia="宋体"/>
          <w:szCs w:val="21"/>
        </w:rPr>
        <w:t>进行注册并办理</w:t>
      </w:r>
      <w:r>
        <w:rPr>
          <w:rFonts w:hint="eastAsia" w:ascii="宋体" w:hAnsi="宋体" w:eastAsia="宋体"/>
          <w:szCs w:val="21"/>
          <w:lang w:val="en-US" w:eastAsia="zh-CN"/>
        </w:rPr>
        <w:t>CA</w:t>
      </w:r>
      <w:r>
        <w:rPr>
          <w:rFonts w:hint="eastAsia" w:ascii="宋体" w:hAnsi="宋体" w:eastAsia="宋体"/>
          <w:szCs w:val="21"/>
        </w:rPr>
        <w:t>。《</w:t>
      </w:r>
      <w:r>
        <w:rPr>
          <w:rFonts w:hint="eastAsia" w:ascii="仿宋" w:hAnsi="仿宋" w:eastAsia="仿宋"/>
          <w:color w:val="000000"/>
          <w:kern w:val="2"/>
          <w:sz w:val="28"/>
          <w:szCs w:val="28"/>
        </w:rPr>
        <w:t>供应商电子标培训视频教程</w:t>
      </w:r>
      <w:r>
        <w:rPr>
          <w:rFonts w:hint="eastAsia" w:ascii="宋体" w:hAnsi="宋体" w:eastAsia="宋体"/>
          <w:szCs w:val="21"/>
        </w:rPr>
        <w:t>》详</w:t>
      </w:r>
      <w:r>
        <w:rPr>
          <w:rFonts w:hint="eastAsia" w:ascii="宋体" w:hAnsi="宋体" w:eastAsia="宋体"/>
          <w:szCs w:val="21"/>
          <w:lang w:eastAsia="zh-CN"/>
        </w:rPr>
        <w:t>见</w:t>
      </w:r>
      <w:r>
        <w:rPr>
          <w:rFonts w:hint="eastAsia" w:ascii="宋体" w:hAnsi="宋体" w:eastAsia="宋体"/>
          <w:szCs w:val="21"/>
        </w:rPr>
        <w:t>https://edu.zcygov.cn/live/hall/detail?id=afe2a098c89c426097379094cf6fec6f&amp;type=vod</w:t>
      </w:r>
    </w:p>
    <w:p w14:paraId="33C88F15">
      <w:pPr>
        <w:ind w:firstLine="470" w:firstLineChars="196"/>
        <w:rPr>
          <w:rFonts w:ascii="宋体" w:hAnsi="宋体" w:eastAsia="宋体"/>
          <w:szCs w:val="21"/>
        </w:rPr>
      </w:pPr>
      <w:r>
        <w:rPr>
          <w:rFonts w:hint="eastAsia" w:ascii="宋体" w:hAnsi="宋体" w:eastAsia="宋体"/>
          <w:szCs w:val="21"/>
        </w:rPr>
        <w:t>5.2投标人资格要求</w:t>
      </w:r>
    </w:p>
    <w:p w14:paraId="3DAB4027">
      <w:pPr>
        <w:ind w:firstLine="470" w:firstLineChars="196"/>
        <w:rPr>
          <w:rFonts w:ascii="宋体" w:hAnsi="宋体" w:eastAsia="宋体"/>
          <w:szCs w:val="21"/>
        </w:rPr>
      </w:pPr>
      <w:r>
        <w:rPr>
          <w:rFonts w:hint="eastAsia" w:ascii="宋体" w:hAnsi="宋体" w:eastAsia="宋体"/>
          <w:szCs w:val="21"/>
        </w:rPr>
        <w:t>参加本项目的投标人应具备的资格条件详见本项目招标公告中 “投标人资格要求”（即申请人的资格要求）的内容。</w:t>
      </w:r>
    </w:p>
    <w:p w14:paraId="29BEE9BE">
      <w:pPr>
        <w:ind w:firstLine="470" w:firstLineChars="196"/>
        <w:rPr>
          <w:rFonts w:ascii="宋体" w:hAnsi="宋体" w:eastAsia="宋体"/>
          <w:szCs w:val="21"/>
        </w:rPr>
      </w:pPr>
      <w:r>
        <w:rPr>
          <w:rFonts w:hint="eastAsia" w:ascii="宋体" w:hAnsi="宋体" w:eastAsia="宋体"/>
          <w:szCs w:val="21"/>
        </w:rPr>
        <w:t>5.3联合体投标</w:t>
      </w:r>
    </w:p>
    <w:p w14:paraId="26727B9C">
      <w:pPr>
        <w:ind w:firstLine="470" w:firstLineChars="196"/>
        <w:rPr>
          <w:rFonts w:ascii="宋体" w:hAnsi="宋体" w:eastAsia="宋体"/>
          <w:szCs w:val="21"/>
        </w:rPr>
      </w:pPr>
      <w:r>
        <w:rPr>
          <w:rFonts w:hint="eastAsia" w:ascii="宋体" w:hAnsi="宋体" w:eastAsia="宋体"/>
          <w:szCs w:val="21"/>
        </w:rPr>
        <w:t>5.3.1　以下有关联合体投标的条款仅适用于允许投标人组成联合体投标的项目。</w:t>
      </w:r>
    </w:p>
    <w:p w14:paraId="1AAA10DF">
      <w:pPr>
        <w:ind w:firstLine="470" w:firstLineChars="196"/>
        <w:rPr>
          <w:rFonts w:ascii="宋体" w:hAnsi="宋体" w:eastAsia="宋体"/>
          <w:szCs w:val="21"/>
        </w:rPr>
      </w:pPr>
      <w:r>
        <w:rPr>
          <w:rFonts w:hint="eastAsia" w:ascii="宋体" w:hAnsi="宋体" w:eastAsia="宋体"/>
          <w:szCs w:val="21"/>
        </w:rPr>
        <w:t>5.3.2  由两个或两个以上的自然人、法人或者其他组织可以组成一个联合体，以一个供应商的身份共同投标时，应符合以下原则：</w:t>
      </w:r>
    </w:p>
    <w:p w14:paraId="5F361667">
      <w:pPr>
        <w:ind w:firstLine="470" w:firstLineChars="196"/>
        <w:rPr>
          <w:rFonts w:ascii="宋体" w:hAnsi="宋体" w:eastAsia="宋体"/>
        </w:rPr>
      </w:pPr>
      <w:r>
        <w:rPr>
          <w:rFonts w:hint="eastAsia" w:ascii="宋体" w:hAnsi="宋体" w:eastAsia="宋体"/>
        </w:rPr>
        <w:t>（1）投标联合体各方参加政府采购活动应当具备下列条件：</w:t>
      </w:r>
    </w:p>
    <w:p w14:paraId="213394A4">
      <w:pPr>
        <w:ind w:left="480" w:leftChars="200" w:firstLine="470" w:firstLineChars="196"/>
        <w:rPr>
          <w:rFonts w:ascii="宋体" w:hAnsi="宋体" w:eastAsia="宋体"/>
        </w:rPr>
      </w:pPr>
      <w:r>
        <w:rPr>
          <w:rFonts w:hint="eastAsia" w:ascii="宋体" w:hAnsi="宋体" w:eastAsia="宋体"/>
        </w:rPr>
        <w:t>1、具有独立承担民事责任的能力；</w:t>
      </w:r>
    </w:p>
    <w:p w14:paraId="6556E955">
      <w:pPr>
        <w:ind w:left="420" w:firstLine="470" w:firstLineChars="196"/>
        <w:rPr>
          <w:rFonts w:ascii="宋体" w:hAnsi="宋体" w:eastAsia="宋体"/>
        </w:rPr>
      </w:pPr>
      <w:r>
        <w:rPr>
          <w:rFonts w:hint="eastAsia" w:ascii="宋体" w:hAnsi="宋体" w:eastAsia="宋体"/>
        </w:rPr>
        <w:t>2、有良好的商业信誉和健全的财务会计制度；</w:t>
      </w:r>
    </w:p>
    <w:p w14:paraId="0097DC84">
      <w:pPr>
        <w:ind w:left="480" w:leftChars="200" w:firstLine="470" w:firstLineChars="196"/>
        <w:rPr>
          <w:rFonts w:ascii="宋体" w:hAnsi="宋体" w:eastAsia="宋体"/>
        </w:rPr>
      </w:pPr>
      <w:r>
        <w:rPr>
          <w:rFonts w:hint="eastAsia" w:ascii="宋体" w:hAnsi="宋体" w:eastAsia="宋体"/>
        </w:rPr>
        <w:t>3、具有履行合同所必需的设备和专业技术能力；</w:t>
      </w:r>
    </w:p>
    <w:p w14:paraId="5B3AE23B">
      <w:pPr>
        <w:ind w:left="480" w:leftChars="200" w:firstLine="470" w:firstLineChars="196"/>
        <w:rPr>
          <w:rFonts w:ascii="宋体" w:hAnsi="宋体" w:eastAsia="宋体"/>
        </w:rPr>
      </w:pPr>
      <w:r>
        <w:rPr>
          <w:rFonts w:hint="eastAsia" w:ascii="宋体" w:hAnsi="宋体" w:eastAsia="宋体"/>
        </w:rPr>
        <w:t>4、有依法缴纳税收和社会保障资金的良好记录；</w:t>
      </w:r>
    </w:p>
    <w:p w14:paraId="78F448D5">
      <w:pPr>
        <w:ind w:left="480" w:leftChars="200" w:firstLine="470" w:firstLineChars="196"/>
        <w:rPr>
          <w:rFonts w:ascii="宋体" w:hAnsi="宋体" w:eastAsia="宋体"/>
        </w:rPr>
      </w:pPr>
      <w:r>
        <w:rPr>
          <w:rFonts w:hint="eastAsia" w:ascii="宋体" w:hAnsi="宋体" w:eastAsia="宋体"/>
        </w:rPr>
        <w:t>5、参加政府采购活动前三年内，在经营活动中没有重大违法记录；</w:t>
      </w:r>
    </w:p>
    <w:p w14:paraId="022BC167">
      <w:pPr>
        <w:ind w:left="480" w:leftChars="200" w:firstLine="470" w:firstLineChars="196"/>
        <w:rPr>
          <w:rFonts w:ascii="宋体" w:hAnsi="宋体" w:eastAsia="宋体"/>
        </w:rPr>
      </w:pPr>
      <w:r>
        <w:rPr>
          <w:rFonts w:hint="eastAsia" w:ascii="宋体" w:hAnsi="宋体" w:eastAsia="宋体"/>
        </w:rPr>
        <w:t>6、法律、行政法规规定的其他条件。</w:t>
      </w:r>
    </w:p>
    <w:p w14:paraId="498863A5">
      <w:pPr>
        <w:ind w:firstLine="470" w:firstLineChars="196"/>
        <w:rPr>
          <w:rFonts w:ascii="宋体" w:hAnsi="宋体" w:eastAsia="宋体"/>
        </w:rPr>
      </w:pPr>
      <w:r>
        <w:rPr>
          <w:rFonts w:hint="eastAsia" w:ascii="宋体" w:hAnsi="宋体" w:eastAsia="宋体"/>
        </w:rPr>
        <w:t>（2）在投标截止前，投标联合体各方均应注册成</w:t>
      </w:r>
      <w:r>
        <w:rPr>
          <w:rFonts w:hint="eastAsia" w:ascii="宋体" w:hAnsi="宋体" w:eastAsia="宋体"/>
          <w:lang w:eastAsia="zh-CN"/>
        </w:rPr>
        <w:t>政府采购云平台</w:t>
      </w:r>
      <w:r>
        <w:rPr>
          <w:rFonts w:hint="eastAsia" w:ascii="宋体" w:hAnsi="宋体" w:eastAsia="宋体"/>
        </w:rPr>
        <w:t>供应商；</w:t>
      </w:r>
    </w:p>
    <w:p w14:paraId="7D56EF47">
      <w:pPr>
        <w:ind w:firstLine="470" w:firstLineChars="196"/>
        <w:rPr>
          <w:rFonts w:ascii="宋体" w:hAnsi="宋体" w:eastAsia="宋体"/>
        </w:rPr>
      </w:pPr>
      <w:r>
        <w:rPr>
          <w:rFonts w:hint="eastAsia" w:ascii="宋体" w:hAnsi="宋体" w:eastAsia="宋体"/>
        </w:rPr>
        <w:t>（3）联合体中有同类资质的供应商按照联合体分工承担相同工作的，应当按照资质等级较低的供应商确定资质等级；</w:t>
      </w:r>
    </w:p>
    <w:p w14:paraId="0BCCA604">
      <w:pPr>
        <w:ind w:firstLine="470" w:firstLineChars="196"/>
        <w:rPr>
          <w:rFonts w:eastAsia="宋体"/>
        </w:rPr>
      </w:pPr>
      <w:r>
        <w:rPr>
          <w:rFonts w:hint="eastAsia" w:eastAsia="宋体"/>
        </w:rPr>
        <w:t>（4）是否允许联合体参加投标，应当由采购人和采购代理机构根据项目的实际情况和潜在供应商的数量自主决定，如果决定接受联合体投标则应当在招标公告中明示；</w:t>
      </w:r>
    </w:p>
    <w:p w14:paraId="1F8A7D45">
      <w:pPr>
        <w:ind w:firstLine="470" w:firstLineChars="196"/>
        <w:rPr>
          <w:rFonts w:ascii="宋体" w:hAnsi="宋体" w:eastAsia="宋体"/>
        </w:rPr>
      </w:pPr>
      <w:r>
        <w:rPr>
          <w:rFonts w:hint="eastAsia" w:ascii="宋体" w:hAnsi="宋体" w:eastAsia="宋体"/>
        </w:rPr>
        <w:t>（5）投标人的投标文件及中标后签署的合同协议对联合体各方均具法律约束力；</w:t>
      </w:r>
    </w:p>
    <w:p w14:paraId="4E65E00E">
      <w:pPr>
        <w:ind w:firstLine="470" w:firstLineChars="196"/>
        <w:rPr>
          <w:rFonts w:ascii="宋体" w:hAnsi="宋体" w:eastAsia="宋体"/>
        </w:rPr>
      </w:pPr>
      <w:r>
        <w:rPr>
          <w:rFonts w:hint="eastAsia" w:ascii="宋体" w:hAnsi="宋体" w:eastAsia="宋体"/>
        </w:rPr>
        <w:t>（6）联合体各方应当签订联合体投标协议，明确约定各方拟承担的工作和责任，并将该协议随投标文件一并递交给</w:t>
      </w:r>
      <w:r>
        <w:rPr>
          <w:rFonts w:hint="eastAsia" w:ascii="宋体" w:hAnsi="宋体" w:eastAsia="宋体"/>
          <w:lang w:eastAsia="zh-CN"/>
        </w:rPr>
        <w:t>采购人</w:t>
      </w:r>
      <w:r>
        <w:rPr>
          <w:rFonts w:hint="eastAsia" w:ascii="宋体" w:hAnsi="宋体" w:eastAsia="宋体"/>
        </w:rPr>
        <w:t>；</w:t>
      </w:r>
    </w:p>
    <w:p w14:paraId="242D9B06">
      <w:pPr>
        <w:ind w:firstLine="470" w:firstLineChars="196"/>
        <w:rPr>
          <w:rFonts w:ascii="宋体" w:hAnsi="宋体" w:eastAsia="宋体"/>
        </w:rPr>
      </w:pPr>
      <w:r>
        <w:rPr>
          <w:rFonts w:hint="eastAsia" w:ascii="宋体" w:hAnsi="宋体" w:eastAsia="宋体"/>
        </w:rPr>
        <w:t>（7）联合体中标后，联合体各方应当共同与采购人签订合同，就中标项目向采购人承担连带责任；</w:t>
      </w:r>
    </w:p>
    <w:p w14:paraId="23A76E12">
      <w:pPr>
        <w:ind w:firstLine="470" w:firstLineChars="196"/>
        <w:rPr>
          <w:rFonts w:ascii="宋体" w:hAnsi="宋体" w:eastAsia="宋体"/>
        </w:rPr>
      </w:pPr>
      <w:r>
        <w:rPr>
          <w:rFonts w:hint="eastAsia" w:ascii="宋体" w:hAnsi="宋体" w:eastAsia="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4D88EF71">
      <w:pPr>
        <w:ind w:firstLine="470" w:firstLineChars="196"/>
        <w:rPr>
          <w:rFonts w:ascii="宋体" w:hAnsi="宋体" w:eastAsia="宋体"/>
          <w:szCs w:val="21"/>
        </w:rPr>
      </w:pPr>
      <w:r>
        <w:rPr>
          <w:rFonts w:hint="eastAsia" w:ascii="宋体" w:hAnsi="宋体" w:eastAsia="宋体"/>
        </w:rPr>
        <w:t>（9）本通用条款中“投标人”一词亦指联合体各方，专用条款另有规定或说明的除外。</w:t>
      </w:r>
    </w:p>
    <w:p w14:paraId="15D9410E">
      <w:pPr>
        <w:outlineLvl w:val="2"/>
        <w:rPr>
          <w:rFonts w:ascii="黑体" w:hAnsi="宋体" w:eastAsia="黑体"/>
        </w:rPr>
      </w:pPr>
      <w:r>
        <w:rPr>
          <w:rFonts w:hint="eastAsia" w:ascii="黑体" w:hAnsi="宋体" w:eastAsia="黑体"/>
        </w:rPr>
        <w:t>6．政策导向</w:t>
      </w:r>
    </w:p>
    <w:p w14:paraId="29CB7B7C">
      <w:pPr>
        <w:ind w:firstLine="405"/>
        <w:rPr>
          <w:rFonts w:hint="eastAsia" w:eastAsia="宋体"/>
          <w:shd w:val="clear" w:color="auto" w:fill="FFFFFF"/>
          <w:lang w:eastAsia="zh-CN"/>
        </w:rPr>
      </w:pPr>
      <w:r>
        <w:rPr>
          <w:rFonts w:hint="eastAsia" w:ascii="宋体" w:hAnsi="宋体" w:eastAsia="宋体"/>
          <w:lang w:eastAsia="zh-CN"/>
        </w:rPr>
        <w:t>无</w:t>
      </w:r>
    </w:p>
    <w:p w14:paraId="063BF30A">
      <w:pPr>
        <w:outlineLvl w:val="2"/>
        <w:rPr>
          <w:rFonts w:ascii="黑体" w:hAnsi="宋体" w:eastAsia="黑体"/>
        </w:rPr>
      </w:pPr>
      <w:r>
        <w:rPr>
          <w:rFonts w:hint="eastAsia" w:ascii="黑体" w:hAnsi="宋体" w:eastAsia="黑体"/>
        </w:rPr>
        <w:t>7. 本项目若涉及采购货物，则合格的货物及相应服务应满足以下要求：</w:t>
      </w:r>
    </w:p>
    <w:p w14:paraId="619611FF">
      <w:pPr>
        <w:ind w:firstLine="470" w:firstLineChars="196"/>
        <w:rPr>
          <w:rFonts w:ascii="宋体" w:hAnsi="宋体" w:eastAsia="宋体"/>
        </w:rPr>
      </w:pPr>
      <w:r>
        <w:rPr>
          <w:rFonts w:hint="eastAsia" w:ascii="宋体" w:hAnsi="宋体" w:eastAsia="宋体"/>
        </w:rPr>
        <w:t>7</w:t>
      </w:r>
      <w:r>
        <w:rPr>
          <w:rFonts w:ascii="宋体" w:hAnsi="宋体" w:eastAsia="宋体"/>
        </w:rPr>
        <w:t xml:space="preserve">.1  </w:t>
      </w:r>
      <w:r>
        <w:rPr>
          <w:rFonts w:hint="eastAsia" w:ascii="宋体" w:hAnsi="宋体" w:eastAsia="宋体"/>
        </w:rPr>
        <w:t>必须是全新、未使用过的原装合格正品（包括零部件），如安装或配置了软件的，须为正版软件。</w:t>
      </w:r>
    </w:p>
    <w:p w14:paraId="6D88DEB9">
      <w:pPr>
        <w:ind w:firstLine="470" w:firstLineChars="196"/>
        <w:rPr>
          <w:rFonts w:ascii="宋体" w:hAnsi="宋体" w:eastAsia="宋体"/>
        </w:rPr>
      </w:pPr>
      <w:r>
        <w:rPr>
          <w:rFonts w:hint="eastAsia" w:ascii="宋体" w:hAnsi="宋体" w:eastAsia="宋体"/>
        </w:rPr>
        <w:t>7.2  国产的货物及其有关服务必须符合中华人民共和国的设计、制造生产标准及行业标准。招标公告有其他要求的，亦应符合其要求。</w:t>
      </w:r>
    </w:p>
    <w:p w14:paraId="789BBEB9">
      <w:pPr>
        <w:ind w:firstLine="470" w:firstLineChars="196"/>
        <w:rPr>
          <w:rFonts w:ascii="宋体" w:hAnsi="宋体" w:eastAsia="宋体"/>
        </w:rPr>
      </w:pPr>
      <w:r>
        <w:rPr>
          <w:rFonts w:hint="eastAsia" w:ascii="宋体" w:hAnsi="宋体" w:eastAsia="宋体"/>
        </w:rPr>
        <w:t>7</w:t>
      </w:r>
      <w:r>
        <w:rPr>
          <w:rFonts w:ascii="宋体" w:hAnsi="宋体" w:eastAsia="宋体"/>
        </w:rPr>
        <w:t>.</w:t>
      </w:r>
      <w:r>
        <w:rPr>
          <w:rFonts w:hint="eastAsia" w:ascii="宋体" w:hAnsi="宋体" w:eastAsia="宋体"/>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63AE3A1A">
      <w:pPr>
        <w:ind w:firstLine="470" w:firstLineChars="196"/>
        <w:rPr>
          <w:rFonts w:ascii="宋体" w:hAnsi="宋体" w:eastAsia="宋体"/>
        </w:rPr>
      </w:pPr>
      <w:r>
        <w:rPr>
          <w:rFonts w:hint="eastAsia" w:ascii="宋体" w:hAnsi="宋体" w:eastAsia="宋体"/>
        </w:rPr>
        <w:t>7</w:t>
      </w:r>
      <w:r>
        <w:rPr>
          <w:rFonts w:ascii="宋体" w:hAnsi="宋体" w:eastAsia="宋体"/>
        </w:rPr>
        <w:t>.</w:t>
      </w:r>
      <w:r>
        <w:rPr>
          <w:rFonts w:hint="eastAsia" w:ascii="宋体" w:hAnsi="宋体" w:eastAsia="宋体"/>
        </w:rPr>
        <w:t>4投标人</w:t>
      </w:r>
      <w:bookmarkStart w:id="33" w:name="_Hlk72152753"/>
      <w:r>
        <w:rPr>
          <w:rFonts w:hint="eastAsia" w:ascii="宋体" w:hAnsi="宋体" w:eastAsia="宋体"/>
        </w:rPr>
        <w:t>应保证，其所提供的货物通过合法正规渠道供货，在提供给采购人前具有完全的所有权，采购人在中华人民共和国使用该货物或货物的任何一部分时，不会产生因第三方提出的包括但不限于侵犯其专利权、商标权、</w:t>
      </w:r>
      <w:r>
        <w:rPr>
          <w:rFonts w:hint="eastAsia" w:ascii="宋体" w:hAnsi="宋体" w:eastAsia="宋体"/>
          <w:lang w:eastAsia="zh-CN"/>
        </w:rPr>
        <w:t>物流管理</w:t>
      </w:r>
      <w:r>
        <w:rPr>
          <w:rFonts w:hint="eastAsia" w:ascii="宋体" w:hAnsi="宋体" w:eastAsia="宋体"/>
        </w:rPr>
        <w:t>设计权等知识产权和侵犯其所有权、抵押权等物权及其他权利而引发的纠纷。如有纠纷，投标人应承担全部责任。</w:t>
      </w:r>
      <w:bookmarkEnd w:id="33"/>
    </w:p>
    <w:p w14:paraId="287B2E2E">
      <w:pPr>
        <w:ind w:firstLine="470" w:firstLineChars="196"/>
        <w:rPr>
          <w:rFonts w:ascii="宋体" w:hAnsi="宋体" w:eastAsia="宋体"/>
        </w:rPr>
      </w:pPr>
      <w:r>
        <w:rPr>
          <w:rFonts w:hint="eastAsia" w:ascii="宋体" w:hAnsi="宋体" w:eastAsia="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452229D8">
      <w:pPr>
        <w:ind w:firstLine="470" w:firstLineChars="196"/>
        <w:rPr>
          <w:rFonts w:ascii="宋体" w:hAnsi="宋体" w:eastAsia="宋体"/>
        </w:rPr>
      </w:pPr>
      <w:r>
        <w:rPr>
          <w:rFonts w:hint="eastAsia" w:ascii="宋体" w:hAnsi="宋体" w:eastAsia="宋体"/>
        </w:rPr>
        <w:t>7.6  工期要求：投标人在投标时对其所投项目应提交交货进度、交货计划等，在合同规定的时间内完成项目实施工作。</w:t>
      </w:r>
    </w:p>
    <w:p w14:paraId="0C475EB7">
      <w:pPr>
        <w:ind w:firstLine="470" w:firstLineChars="196"/>
        <w:rPr>
          <w:rFonts w:ascii="宋体" w:hAnsi="宋体" w:eastAsia="宋体"/>
        </w:rPr>
      </w:pPr>
      <w:r>
        <w:rPr>
          <w:rFonts w:hint="eastAsia" w:ascii="宋体" w:hAnsi="宋体" w:eastAsia="宋体"/>
        </w:rPr>
        <w:t>7.7  投标人必须承担的设备运输、安装调试、验收检测和提供设备操作说明书、图纸等其他相关及类似的义务。</w:t>
      </w:r>
    </w:p>
    <w:p w14:paraId="74C0B776">
      <w:pPr>
        <w:outlineLvl w:val="2"/>
        <w:rPr>
          <w:rFonts w:ascii="黑体" w:hAnsi="宋体" w:eastAsia="黑体"/>
        </w:rPr>
      </w:pPr>
      <w:r>
        <w:rPr>
          <w:rFonts w:hint="eastAsia" w:ascii="黑体" w:hAnsi="宋体" w:eastAsia="黑体"/>
        </w:rPr>
        <w:t>8．投标费用</w:t>
      </w:r>
    </w:p>
    <w:p w14:paraId="1F6FAF2A">
      <w:pPr>
        <w:ind w:firstLine="470" w:firstLineChars="196"/>
        <w:rPr>
          <w:rFonts w:ascii="宋体" w:hAnsi="宋体" w:eastAsia="宋体"/>
          <w:szCs w:val="21"/>
        </w:rPr>
      </w:pPr>
      <w:r>
        <w:rPr>
          <w:rFonts w:hint="eastAsia" w:ascii="宋体" w:hAnsi="宋体" w:eastAsia="宋体"/>
          <w:szCs w:val="21"/>
        </w:rPr>
        <w:t>不论投标结果如何，投标人应承担其编制投标文件与递交投标文件所涉及的一切费用。</w:t>
      </w:r>
    </w:p>
    <w:p w14:paraId="70504629">
      <w:pPr>
        <w:outlineLvl w:val="2"/>
        <w:rPr>
          <w:rFonts w:ascii="黑体" w:hAnsi="宋体" w:eastAsia="黑体"/>
        </w:rPr>
      </w:pPr>
      <w:r>
        <w:rPr>
          <w:rFonts w:hint="eastAsia" w:ascii="黑体" w:hAnsi="宋体" w:eastAsia="黑体"/>
        </w:rPr>
        <w:t>9．踏勘现场</w:t>
      </w:r>
    </w:p>
    <w:p w14:paraId="5769B2C0">
      <w:pPr>
        <w:ind w:firstLine="470" w:firstLineChars="196"/>
        <w:rPr>
          <w:rFonts w:ascii="宋体" w:hAnsi="宋体" w:eastAsia="宋体"/>
          <w:szCs w:val="21"/>
        </w:rPr>
      </w:pPr>
      <w:r>
        <w:rPr>
          <w:rFonts w:hint="eastAsia" w:ascii="宋体" w:hAnsi="宋体" w:eastAsia="宋体"/>
          <w:szCs w:val="21"/>
        </w:rPr>
        <w:t>9.1如有需要，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2C82073A">
      <w:pPr>
        <w:ind w:firstLine="470" w:firstLineChars="196"/>
        <w:rPr>
          <w:rFonts w:ascii="宋体" w:hAnsi="宋体" w:eastAsia="宋体"/>
        </w:rPr>
      </w:pPr>
      <w:r>
        <w:rPr>
          <w:rFonts w:hint="eastAsia" w:ascii="宋体" w:hAnsi="宋体" w:eastAsia="宋体"/>
        </w:rPr>
        <w:t>9.2投标人及其人员经过采购人的允许，可以进入采购人的项目现场踏勘。若招标文件要求投标人于统一时间地点踏勘现场的，投标人应当按时前往。</w:t>
      </w:r>
    </w:p>
    <w:p w14:paraId="5A37441E">
      <w:pPr>
        <w:ind w:firstLine="470" w:firstLineChars="196"/>
        <w:rPr>
          <w:rFonts w:ascii="宋体" w:hAnsi="宋体" w:eastAsia="宋体"/>
        </w:rPr>
      </w:pPr>
      <w:r>
        <w:rPr>
          <w:rFonts w:hint="eastAsia" w:ascii="宋体" w:hAnsi="宋体" w:eastAsia="宋体"/>
        </w:rPr>
        <w:t>9.3采购人应当通过政府集中采购机构向投标人提供有关现场的书面资料和数据。</w:t>
      </w:r>
    </w:p>
    <w:p w14:paraId="1FFBC2F5">
      <w:pPr>
        <w:ind w:firstLine="470" w:firstLineChars="196"/>
        <w:rPr>
          <w:rFonts w:ascii="宋体" w:hAnsi="宋体" w:eastAsia="宋体"/>
        </w:rPr>
      </w:pPr>
      <w:r>
        <w:rPr>
          <w:rFonts w:hint="eastAsia" w:ascii="宋体" w:hAnsi="宋体" w:eastAsia="宋体"/>
        </w:rPr>
        <w:t>9.4任何人或任何组织在踏勘现场时向投标人提供的任何书面资料或口头承诺，未经政府集中采购机构在网上发布或书面通知，均作无效处理。</w:t>
      </w:r>
    </w:p>
    <w:p w14:paraId="03B93154">
      <w:pPr>
        <w:ind w:firstLine="470" w:firstLineChars="196"/>
        <w:rPr>
          <w:rFonts w:ascii="宋体" w:hAnsi="宋体" w:eastAsia="宋体"/>
        </w:rPr>
      </w:pPr>
      <w:r>
        <w:rPr>
          <w:rFonts w:ascii="宋体" w:hAnsi="宋体" w:eastAsia="宋体"/>
          <w:szCs w:val="21"/>
        </w:rPr>
        <w:t>9</w:t>
      </w:r>
      <w:r>
        <w:rPr>
          <w:rFonts w:hint="eastAsia" w:ascii="宋体" w:hAnsi="宋体" w:eastAsia="宋体"/>
          <w:szCs w:val="21"/>
        </w:rPr>
        <w:t>.</w:t>
      </w:r>
      <w:r>
        <w:rPr>
          <w:rFonts w:ascii="宋体" w:hAnsi="宋体" w:eastAsia="宋体"/>
          <w:szCs w:val="21"/>
        </w:rPr>
        <w:t>5</w:t>
      </w:r>
      <w:r>
        <w:rPr>
          <w:rFonts w:hint="eastAsia" w:ascii="宋体" w:hAnsi="宋体" w:eastAsia="宋体"/>
          <w:szCs w:val="21"/>
        </w:rPr>
        <w:t>未参与踏勘现场不作为否定投标人资格的理由。</w:t>
      </w:r>
    </w:p>
    <w:p w14:paraId="2822829B">
      <w:pPr>
        <w:outlineLvl w:val="2"/>
        <w:rPr>
          <w:rFonts w:ascii="宋体" w:hAnsi="宋体" w:eastAsia="宋体"/>
          <w:szCs w:val="21"/>
        </w:rPr>
      </w:pPr>
      <w:r>
        <w:rPr>
          <w:rFonts w:hint="eastAsia" w:ascii="黑体" w:hAnsi="宋体" w:eastAsia="黑体"/>
        </w:rPr>
        <w:t>1</w:t>
      </w:r>
      <w:r>
        <w:rPr>
          <w:rFonts w:ascii="黑体" w:hAnsi="宋体" w:eastAsia="黑体"/>
        </w:rPr>
        <w:t>0</w:t>
      </w:r>
      <w:r>
        <w:rPr>
          <w:rFonts w:hint="eastAsia" w:ascii="黑体" w:hAnsi="宋体" w:eastAsia="黑体"/>
        </w:rPr>
        <w:t>．标前会议</w:t>
      </w:r>
    </w:p>
    <w:p w14:paraId="72943C47">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w:t>
      </w:r>
      <w:r>
        <w:rPr>
          <w:rFonts w:ascii="宋体" w:hAnsi="宋体" w:eastAsia="宋体"/>
          <w:szCs w:val="21"/>
        </w:rPr>
        <w:t>1</w:t>
      </w:r>
      <w:r>
        <w:rPr>
          <w:rFonts w:hint="eastAsia" w:ascii="宋体" w:hAnsi="宋体" w:eastAsia="宋体"/>
          <w:szCs w:val="21"/>
        </w:rPr>
        <w:t>如采购人或政府集中采购机构认为有必要组织标前会议，投标人应按照招标文件规定的时间或</w:t>
      </w:r>
      <w:r>
        <w:rPr>
          <w:rFonts w:hint="eastAsia" w:ascii="宋体" w:hAnsi="宋体" w:eastAsia="宋体"/>
          <w:szCs w:val="21"/>
          <w:lang w:eastAsia="zh-CN"/>
        </w:rPr>
        <w:t>采购人</w:t>
      </w:r>
      <w:r>
        <w:rPr>
          <w:rFonts w:hint="eastAsia" w:ascii="宋体" w:hAnsi="宋体" w:eastAsia="宋体"/>
          <w:szCs w:val="21"/>
        </w:rPr>
        <w:t>另行书面通知（包括</w:t>
      </w:r>
      <w:r>
        <w:rPr>
          <w:rFonts w:hint="eastAsia" w:ascii="宋体" w:hAnsi="宋体" w:eastAsia="宋体"/>
          <w:szCs w:val="21"/>
          <w:lang w:eastAsia="zh-CN"/>
        </w:rPr>
        <w:t>新疆政府采购网</w:t>
      </w:r>
      <w:r>
        <w:rPr>
          <w:rFonts w:hint="eastAsia" w:ascii="宋体" w:hAnsi="宋体" w:eastAsia="宋体"/>
          <w:szCs w:val="21"/>
        </w:rPr>
        <w:t>网站发布方式，如更正公告等）的时间和地点，参与标前会议。</w:t>
      </w:r>
    </w:p>
    <w:p w14:paraId="14FEEA8D">
      <w:pPr>
        <w:ind w:firstLine="470" w:firstLineChars="196"/>
        <w:rPr>
          <w:rFonts w:ascii="宋体" w:hAnsi="宋体" w:eastAsia="宋体"/>
          <w:szCs w:val="21"/>
        </w:rPr>
      </w:pPr>
      <w:r>
        <w:rPr>
          <w:rFonts w:ascii="宋体" w:hAnsi="宋体" w:eastAsia="宋体"/>
        </w:rPr>
        <w:t>10</w:t>
      </w:r>
      <w:r>
        <w:rPr>
          <w:rFonts w:hint="eastAsia" w:ascii="宋体" w:hAnsi="宋体" w:eastAsia="宋体"/>
        </w:rPr>
        <w:t>.</w:t>
      </w:r>
      <w:r>
        <w:rPr>
          <w:rFonts w:ascii="宋体" w:hAnsi="宋体" w:eastAsia="宋体"/>
        </w:rPr>
        <w:t>2</w:t>
      </w:r>
      <w:r>
        <w:rPr>
          <w:rFonts w:hint="eastAsia" w:ascii="宋体" w:hAnsi="宋体" w:eastAsia="宋体"/>
        </w:rPr>
        <w:t>任何人或任何组织在标前会议时向投标人提供的任何书面资料或口头承诺，未经政府集中采购机构在网上发布或书面通知，均作无效处理。</w:t>
      </w:r>
    </w:p>
    <w:p w14:paraId="17C49C4E">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w:t>
      </w:r>
      <w:r>
        <w:rPr>
          <w:rFonts w:ascii="宋体" w:hAnsi="宋体" w:eastAsia="宋体"/>
          <w:szCs w:val="21"/>
        </w:rPr>
        <w:t>3</w:t>
      </w:r>
      <w:r>
        <w:rPr>
          <w:rFonts w:hint="eastAsia" w:ascii="宋体" w:hAnsi="宋体" w:eastAsia="宋体"/>
          <w:szCs w:val="21"/>
        </w:rPr>
        <w:t>未参与标前会议不作为否定投标人资格的理由。</w:t>
      </w:r>
      <w:bookmarkEnd w:id="32"/>
    </w:p>
    <w:p w14:paraId="7E645EA8">
      <w:pPr>
        <w:keepNext/>
        <w:keepLines/>
        <w:numPr>
          <w:ilvl w:val="0"/>
          <w:numId w:val="12"/>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招标文件</w:t>
      </w:r>
    </w:p>
    <w:p w14:paraId="3F836489">
      <w:pPr>
        <w:rPr>
          <w:rFonts w:ascii="黑体" w:hAnsi="宋体" w:eastAsia="黑体"/>
        </w:rPr>
      </w:pPr>
      <w:r>
        <w:rPr>
          <w:rFonts w:hint="eastAsia" w:ascii="黑体" w:hAnsi="宋体" w:eastAsia="黑体"/>
        </w:rPr>
        <w:t>1</w:t>
      </w:r>
      <w:r>
        <w:rPr>
          <w:rFonts w:ascii="黑体" w:hAnsi="宋体" w:eastAsia="黑体"/>
        </w:rPr>
        <w:t>1</w:t>
      </w:r>
      <w:r>
        <w:rPr>
          <w:rFonts w:hint="eastAsia" w:ascii="黑体" w:hAnsi="宋体" w:eastAsia="黑体"/>
        </w:rPr>
        <w:t>．</w:t>
      </w:r>
      <w:bookmarkStart w:id="34" w:name="_Hlk72399819"/>
      <w:r>
        <w:rPr>
          <w:rFonts w:hint="eastAsia" w:ascii="黑体" w:hAnsi="宋体" w:eastAsia="黑体"/>
        </w:rPr>
        <w:t>招标文件的编制与组成</w:t>
      </w:r>
    </w:p>
    <w:p w14:paraId="503CD334">
      <w:pPr>
        <w:snapToGrid w:val="0"/>
        <w:ind w:firstLine="480" w:firstLineChars="200"/>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.1招标文件除以下内容外，</w:t>
      </w:r>
      <w:r>
        <w:rPr>
          <w:rFonts w:hint="eastAsia" w:ascii="宋体" w:hAnsi="宋体" w:eastAsia="宋体"/>
          <w:szCs w:val="21"/>
          <w:lang w:eastAsia="zh-CN"/>
        </w:rPr>
        <w:t>采购人</w:t>
      </w:r>
      <w:r>
        <w:rPr>
          <w:rFonts w:hint="eastAsia" w:ascii="宋体" w:hAnsi="宋体" w:eastAsia="宋体"/>
          <w:szCs w:val="21"/>
        </w:rPr>
        <w:t>在招标期间发出的澄清或修改等相关公告或通知内容，均是招标文件的组成部分，对投标人起约束作用；</w:t>
      </w:r>
    </w:p>
    <w:p w14:paraId="30438AFE">
      <w:pPr>
        <w:ind w:firstLine="470" w:firstLineChars="196"/>
        <w:rPr>
          <w:rFonts w:ascii="宋体" w:hAnsi="宋体" w:eastAsia="宋体"/>
          <w:szCs w:val="21"/>
        </w:rPr>
      </w:pPr>
      <w:r>
        <w:rPr>
          <w:rFonts w:hint="eastAsia" w:ascii="宋体" w:hAnsi="宋体" w:eastAsia="宋体"/>
          <w:szCs w:val="21"/>
        </w:rPr>
        <w:t>招标文件包括下列内容：</w:t>
      </w:r>
    </w:p>
    <w:p w14:paraId="56BD936D">
      <w:pPr>
        <w:ind w:left="480" w:leftChars="200" w:firstLine="472" w:firstLineChars="196"/>
        <w:outlineLvl w:val="0"/>
        <w:rPr>
          <w:rFonts w:ascii="宋体" w:hAnsi="宋体" w:eastAsia="宋体"/>
          <w:b/>
          <w:szCs w:val="21"/>
        </w:rPr>
      </w:pPr>
      <w:r>
        <w:rPr>
          <w:rFonts w:hint="eastAsia" w:ascii="宋体" w:hAnsi="宋体" w:eastAsia="宋体"/>
          <w:b/>
          <w:szCs w:val="21"/>
        </w:rPr>
        <w:t>第一册  专用条款</w:t>
      </w:r>
    </w:p>
    <w:p w14:paraId="4E4EAF19">
      <w:pPr>
        <w:ind w:left="1234" w:leftChars="514"/>
        <w:rPr>
          <w:rFonts w:ascii="宋体" w:hAnsi="宋体" w:eastAsia="宋体"/>
          <w:b/>
          <w:szCs w:val="21"/>
        </w:rPr>
      </w:pPr>
      <w:r>
        <w:rPr>
          <w:rFonts w:hint="eastAsia" w:ascii="宋体" w:hAnsi="宋体" w:eastAsia="宋体"/>
          <w:b/>
          <w:szCs w:val="21"/>
        </w:rPr>
        <w:t>关键信息</w:t>
      </w:r>
    </w:p>
    <w:p w14:paraId="3316D6D5">
      <w:pPr>
        <w:ind w:left="720" w:leftChars="300" w:firstLine="470" w:firstLineChars="196"/>
        <w:rPr>
          <w:rFonts w:ascii="宋体" w:hAnsi="宋体" w:eastAsia="宋体"/>
          <w:szCs w:val="21"/>
        </w:rPr>
      </w:pPr>
      <w:r>
        <w:rPr>
          <w:rFonts w:hint="eastAsia" w:ascii="宋体" w:hAnsi="宋体" w:eastAsia="宋体"/>
          <w:szCs w:val="21"/>
        </w:rPr>
        <w:t>第一章  招标公告</w:t>
      </w:r>
    </w:p>
    <w:p w14:paraId="0E674A4A">
      <w:pPr>
        <w:ind w:left="720" w:leftChars="300" w:firstLine="470" w:firstLineChars="196"/>
        <w:rPr>
          <w:rFonts w:ascii="宋体" w:hAnsi="宋体" w:eastAsia="宋体"/>
          <w:szCs w:val="21"/>
        </w:rPr>
      </w:pPr>
      <w:r>
        <w:rPr>
          <w:rFonts w:hint="eastAsia" w:ascii="宋体" w:hAnsi="宋体" w:eastAsia="宋体"/>
          <w:szCs w:val="21"/>
        </w:rPr>
        <w:t>第二章  对通用条款的补充内容及其他关键信息</w:t>
      </w:r>
    </w:p>
    <w:p w14:paraId="232CD615">
      <w:pPr>
        <w:ind w:left="720" w:leftChars="300" w:firstLine="470" w:firstLineChars="196"/>
        <w:rPr>
          <w:rFonts w:ascii="宋体" w:hAnsi="宋体" w:eastAsia="宋体"/>
          <w:szCs w:val="21"/>
        </w:rPr>
      </w:pPr>
      <w:r>
        <w:rPr>
          <w:rFonts w:hint="eastAsia" w:ascii="宋体" w:hAnsi="宋体" w:eastAsia="宋体"/>
          <w:szCs w:val="21"/>
        </w:rPr>
        <w:t>第三章  用户需求书</w:t>
      </w:r>
    </w:p>
    <w:p w14:paraId="491F8A36">
      <w:pPr>
        <w:ind w:left="720" w:leftChars="300" w:firstLine="470" w:firstLineChars="196"/>
        <w:rPr>
          <w:rFonts w:ascii="宋体" w:hAnsi="宋体" w:eastAsia="宋体"/>
          <w:szCs w:val="21"/>
        </w:rPr>
      </w:pPr>
      <w:r>
        <w:rPr>
          <w:rFonts w:hint="eastAsia" w:eastAsia="宋体"/>
        </w:rPr>
        <w:t>第四章投标文件格式及附件</w:t>
      </w:r>
    </w:p>
    <w:p w14:paraId="5287141D">
      <w:pPr>
        <w:ind w:left="720" w:leftChars="300" w:firstLine="470" w:firstLineChars="196"/>
        <w:rPr>
          <w:rFonts w:ascii="宋体" w:hAnsi="宋体" w:eastAsia="宋体"/>
          <w:szCs w:val="21"/>
        </w:rPr>
      </w:pPr>
      <w:r>
        <w:rPr>
          <w:rFonts w:hint="eastAsia" w:ascii="宋体" w:hAnsi="宋体" w:eastAsia="宋体"/>
          <w:szCs w:val="21"/>
        </w:rPr>
        <w:t>第五章  合同条款及格式</w:t>
      </w:r>
    </w:p>
    <w:p w14:paraId="2E30539F">
      <w:pPr>
        <w:ind w:left="480" w:leftChars="200" w:firstLine="472" w:firstLineChars="196"/>
        <w:outlineLvl w:val="0"/>
        <w:rPr>
          <w:rFonts w:ascii="宋体" w:hAnsi="宋体" w:eastAsia="宋体"/>
          <w:b/>
          <w:szCs w:val="21"/>
        </w:rPr>
      </w:pPr>
      <w:r>
        <w:rPr>
          <w:rFonts w:hint="eastAsia" w:ascii="宋体" w:hAnsi="宋体" w:eastAsia="宋体"/>
          <w:b/>
          <w:szCs w:val="21"/>
        </w:rPr>
        <w:t>第二册  通用条款</w:t>
      </w:r>
    </w:p>
    <w:p w14:paraId="5D2F9194">
      <w:pPr>
        <w:ind w:left="720" w:leftChars="300" w:firstLine="470" w:firstLineChars="196"/>
        <w:rPr>
          <w:rFonts w:ascii="宋体" w:hAnsi="宋体" w:eastAsia="宋体"/>
          <w:szCs w:val="21"/>
        </w:rPr>
      </w:pPr>
      <w:r>
        <w:rPr>
          <w:rFonts w:hint="eastAsia" w:ascii="宋体" w:hAnsi="宋体" w:eastAsia="宋体"/>
          <w:szCs w:val="21"/>
        </w:rPr>
        <w:t>第一章  总则</w:t>
      </w:r>
    </w:p>
    <w:p w14:paraId="4FAF53E8">
      <w:pPr>
        <w:ind w:left="720" w:leftChars="300" w:firstLine="470" w:firstLineChars="196"/>
        <w:rPr>
          <w:rFonts w:ascii="宋体" w:hAnsi="宋体" w:eastAsia="宋体"/>
          <w:szCs w:val="21"/>
        </w:rPr>
      </w:pPr>
      <w:r>
        <w:rPr>
          <w:rFonts w:hint="eastAsia" w:ascii="宋体" w:hAnsi="宋体" w:eastAsia="宋体"/>
          <w:szCs w:val="21"/>
        </w:rPr>
        <w:t>第二章  招标文件</w:t>
      </w:r>
    </w:p>
    <w:p w14:paraId="0B042B56">
      <w:pPr>
        <w:ind w:left="720" w:leftChars="300" w:firstLine="470" w:firstLineChars="196"/>
        <w:rPr>
          <w:rFonts w:ascii="宋体" w:hAnsi="宋体" w:eastAsia="宋体"/>
          <w:szCs w:val="21"/>
        </w:rPr>
      </w:pPr>
      <w:r>
        <w:rPr>
          <w:rFonts w:hint="eastAsia" w:ascii="宋体" w:hAnsi="宋体" w:eastAsia="宋体"/>
          <w:szCs w:val="21"/>
        </w:rPr>
        <w:t>第三章  投标文件的编制</w:t>
      </w:r>
    </w:p>
    <w:p w14:paraId="3D2EB7D1">
      <w:pPr>
        <w:ind w:left="720" w:leftChars="300" w:firstLine="470" w:firstLineChars="196"/>
        <w:rPr>
          <w:rFonts w:ascii="宋体" w:hAnsi="宋体" w:eastAsia="宋体"/>
          <w:szCs w:val="21"/>
        </w:rPr>
      </w:pPr>
      <w:r>
        <w:rPr>
          <w:rFonts w:hint="eastAsia" w:ascii="宋体" w:hAnsi="宋体" w:eastAsia="宋体"/>
          <w:szCs w:val="21"/>
        </w:rPr>
        <w:t>第四章  投标文件的递交</w:t>
      </w:r>
    </w:p>
    <w:p w14:paraId="23C73F70">
      <w:pPr>
        <w:ind w:left="720" w:leftChars="300" w:firstLine="470" w:firstLineChars="196"/>
        <w:rPr>
          <w:rFonts w:ascii="宋体" w:hAnsi="宋体" w:eastAsia="宋体"/>
          <w:szCs w:val="21"/>
        </w:rPr>
      </w:pPr>
      <w:r>
        <w:rPr>
          <w:rFonts w:hint="eastAsia" w:ascii="宋体" w:hAnsi="宋体" w:eastAsia="宋体"/>
          <w:szCs w:val="21"/>
        </w:rPr>
        <w:t>第五章  开标</w:t>
      </w:r>
    </w:p>
    <w:p w14:paraId="2F7992B3">
      <w:pPr>
        <w:ind w:left="720" w:leftChars="300" w:firstLine="470" w:firstLineChars="196"/>
        <w:rPr>
          <w:rFonts w:ascii="宋体" w:hAnsi="宋体" w:eastAsia="宋体"/>
          <w:szCs w:val="21"/>
        </w:rPr>
      </w:pPr>
      <w:r>
        <w:rPr>
          <w:rFonts w:hint="eastAsia" w:ascii="宋体" w:hAnsi="宋体" w:eastAsia="宋体"/>
          <w:szCs w:val="21"/>
        </w:rPr>
        <w:t>第六章  评审要求</w:t>
      </w:r>
    </w:p>
    <w:p w14:paraId="393FCF86">
      <w:pPr>
        <w:ind w:left="720" w:leftChars="300" w:firstLine="470" w:firstLineChars="196"/>
        <w:rPr>
          <w:rFonts w:ascii="宋体" w:hAnsi="宋体" w:eastAsia="宋体"/>
          <w:szCs w:val="21"/>
        </w:rPr>
      </w:pPr>
      <w:r>
        <w:rPr>
          <w:rFonts w:hint="eastAsia" w:ascii="宋体" w:hAnsi="宋体" w:eastAsia="宋体"/>
          <w:szCs w:val="21"/>
        </w:rPr>
        <w:t>第七章  评审程序及评审方法</w:t>
      </w:r>
    </w:p>
    <w:p w14:paraId="26B9F7F2">
      <w:pPr>
        <w:ind w:left="720" w:leftChars="300" w:firstLine="470" w:firstLineChars="196"/>
        <w:rPr>
          <w:rFonts w:ascii="宋体" w:hAnsi="宋体" w:eastAsia="宋体"/>
          <w:szCs w:val="21"/>
        </w:rPr>
      </w:pPr>
      <w:r>
        <w:rPr>
          <w:rFonts w:hint="eastAsia" w:ascii="宋体" w:hAnsi="宋体" w:eastAsia="宋体"/>
          <w:szCs w:val="21"/>
        </w:rPr>
        <w:t>第八章  定标及公示</w:t>
      </w:r>
    </w:p>
    <w:p w14:paraId="2DE3692D">
      <w:pPr>
        <w:ind w:left="720" w:leftChars="300" w:firstLine="470" w:firstLineChars="196"/>
        <w:rPr>
          <w:rFonts w:ascii="宋体" w:hAnsi="宋体" w:eastAsia="宋体"/>
          <w:szCs w:val="21"/>
        </w:rPr>
      </w:pPr>
      <w:r>
        <w:rPr>
          <w:rFonts w:hint="eastAsia" w:ascii="宋体" w:hAnsi="宋体" w:eastAsia="宋体"/>
          <w:szCs w:val="21"/>
        </w:rPr>
        <w:t>第九章  公开招标失败的后续处理</w:t>
      </w:r>
    </w:p>
    <w:p w14:paraId="064A5211">
      <w:pPr>
        <w:ind w:left="720" w:leftChars="300" w:firstLine="470" w:firstLineChars="196"/>
        <w:rPr>
          <w:rFonts w:ascii="宋体" w:hAnsi="宋体" w:eastAsia="宋体"/>
          <w:szCs w:val="21"/>
        </w:rPr>
      </w:pPr>
      <w:r>
        <w:rPr>
          <w:rFonts w:hint="eastAsia" w:ascii="宋体" w:hAnsi="宋体" w:eastAsia="宋体"/>
          <w:szCs w:val="21"/>
        </w:rPr>
        <w:t>第十章  合同的授予与备案</w:t>
      </w:r>
    </w:p>
    <w:p w14:paraId="7FF07F6E">
      <w:pPr>
        <w:ind w:left="720" w:leftChars="300" w:firstLine="470" w:firstLineChars="196"/>
        <w:rPr>
          <w:rFonts w:ascii="宋体" w:hAnsi="宋体" w:eastAsia="宋体"/>
          <w:szCs w:val="21"/>
        </w:rPr>
      </w:pPr>
      <w:r>
        <w:rPr>
          <w:rFonts w:hint="eastAsia" w:ascii="宋体" w:hAnsi="宋体" w:eastAsia="宋体"/>
          <w:szCs w:val="21"/>
        </w:rPr>
        <w:t>第十一章  质疑处理</w:t>
      </w:r>
    </w:p>
    <w:p w14:paraId="7F3CE4EE">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.2 投标人下载招标文件后，应仔细检查招标文件的所有内容，如有疑问应在答疑截止时间之前向</w:t>
      </w:r>
      <w:r>
        <w:rPr>
          <w:rFonts w:hint="eastAsia" w:ascii="宋体" w:hAnsi="宋体" w:eastAsia="宋体"/>
          <w:szCs w:val="21"/>
          <w:lang w:eastAsia="zh-CN"/>
        </w:rPr>
        <w:t>采购人</w:t>
      </w:r>
      <w:r>
        <w:rPr>
          <w:rFonts w:hint="eastAsia" w:ascii="宋体" w:hAnsi="宋体" w:eastAsia="宋体"/>
          <w:szCs w:val="21"/>
        </w:rPr>
        <w:t>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30164352">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.3</w:t>
      </w:r>
      <w:r>
        <w:rPr>
          <w:rFonts w:hint="eastAsia" w:ascii="宋体" w:hAnsi="宋体" w:eastAsia="宋体"/>
        </w:rPr>
        <w:t>任何人或任何组织向投标人提交的任何书面或口头资料，未经</w:t>
      </w:r>
      <w:r>
        <w:rPr>
          <w:rFonts w:hint="eastAsia" w:ascii="宋体" w:hAnsi="宋体" w:eastAsia="宋体"/>
          <w:lang w:eastAsia="zh-CN"/>
        </w:rPr>
        <w:t>采购人或</w:t>
      </w:r>
      <w:r>
        <w:rPr>
          <w:rFonts w:hint="eastAsia" w:ascii="宋体" w:hAnsi="宋体" w:eastAsia="宋体"/>
        </w:rPr>
        <w:t>政府集中采购机构在网上发布或书面通知，均作无效处理，不得作为招标文件的组成部分。政府集中采购机构对投标人由此而做出的推论、理解和结论概不负责。</w:t>
      </w:r>
    </w:p>
    <w:p w14:paraId="23129A3D">
      <w:pPr>
        <w:rPr>
          <w:rFonts w:ascii="黑体" w:hAnsi="宋体" w:eastAsia="黑体"/>
        </w:rPr>
      </w:pPr>
      <w:r>
        <w:rPr>
          <w:rFonts w:hint="eastAsia" w:ascii="黑体" w:hAnsi="宋体" w:eastAsia="黑体"/>
        </w:rPr>
        <w:t>1</w:t>
      </w:r>
      <w:r>
        <w:rPr>
          <w:rFonts w:ascii="黑体" w:hAnsi="宋体" w:eastAsia="黑体"/>
        </w:rPr>
        <w:t>2</w:t>
      </w:r>
      <w:r>
        <w:rPr>
          <w:rFonts w:hint="eastAsia" w:ascii="黑体" w:hAnsi="宋体" w:eastAsia="黑体"/>
        </w:rPr>
        <w:t>．招标文件的澄清</w:t>
      </w:r>
    </w:p>
    <w:p w14:paraId="3F6A7A2B">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.1招标文件澄清的目的是澄清、解答投标人在查阅招标文件后或现场踏勘中可能提出的与投标有关的疑问或询问。</w:t>
      </w:r>
    </w:p>
    <w:p w14:paraId="0C89F2C3">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.2投标人对政府采购活动事项有疑问的，可以向</w:t>
      </w:r>
      <w:r>
        <w:rPr>
          <w:rFonts w:hint="eastAsia" w:ascii="宋体" w:hAnsi="宋体" w:eastAsia="宋体"/>
          <w:szCs w:val="21"/>
          <w:lang w:eastAsia="zh-CN"/>
        </w:rPr>
        <w:t>采购人</w:t>
      </w:r>
      <w:r>
        <w:rPr>
          <w:rFonts w:hint="eastAsia" w:ascii="宋体" w:hAnsi="宋体" w:eastAsia="宋体"/>
          <w:szCs w:val="21"/>
        </w:rPr>
        <w:t>提出询问，</w:t>
      </w:r>
      <w:r>
        <w:rPr>
          <w:rFonts w:hint="eastAsia" w:ascii="宋体" w:hAnsi="宋体" w:eastAsia="宋体"/>
          <w:szCs w:val="21"/>
          <w:lang w:eastAsia="zh-CN"/>
        </w:rPr>
        <w:t>采购人</w:t>
      </w:r>
      <w:r>
        <w:rPr>
          <w:rFonts w:hint="eastAsia" w:ascii="宋体" w:hAnsi="宋体" w:eastAsia="宋体"/>
          <w:szCs w:val="21"/>
        </w:rPr>
        <w:t>应当及时予以答复，但答复的内容不得涉及商业秘密。投标人询问或质疑实行实名制。投标人询问或质疑应当有事实根据，不得进行虚假、恶意询问或质疑，干扰政府采购工作秩序。</w:t>
      </w:r>
    </w:p>
    <w:p w14:paraId="0407CFB1">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.3不论是</w:t>
      </w:r>
      <w:r>
        <w:rPr>
          <w:rFonts w:hint="eastAsia" w:ascii="宋体" w:hAnsi="宋体" w:eastAsia="宋体"/>
          <w:szCs w:val="21"/>
          <w:lang w:eastAsia="zh-CN"/>
        </w:rPr>
        <w:t>采购人或</w:t>
      </w:r>
      <w:r>
        <w:rPr>
          <w:rFonts w:hint="eastAsia" w:ascii="宋体" w:hAnsi="宋体" w:eastAsia="宋体"/>
          <w:szCs w:val="21"/>
        </w:rPr>
        <w:t>政府集中采购机构根据需要主动对招标文件进行必要的澄清或是根据投标人的要求对招标文件做出澄清，</w:t>
      </w:r>
      <w:r>
        <w:rPr>
          <w:rFonts w:hint="eastAsia" w:ascii="宋体" w:hAnsi="宋体" w:eastAsia="宋体"/>
          <w:szCs w:val="21"/>
          <w:lang w:eastAsia="zh-CN"/>
        </w:rPr>
        <w:t>采购人或</w:t>
      </w:r>
      <w:r>
        <w:rPr>
          <w:rFonts w:hint="eastAsia" w:ascii="宋体" w:hAnsi="宋体" w:eastAsia="宋体"/>
          <w:szCs w:val="21"/>
        </w:rPr>
        <w:t>政府集中采购机构都将在投标截止日期前以书面形式（包括</w:t>
      </w:r>
      <w:r>
        <w:rPr>
          <w:rFonts w:hint="eastAsia" w:ascii="宋体" w:hAnsi="宋体" w:eastAsia="宋体"/>
          <w:szCs w:val="21"/>
          <w:lang w:eastAsia="zh-CN"/>
        </w:rPr>
        <w:t>新疆政府采购网</w:t>
      </w:r>
      <w:r>
        <w:rPr>
          <w:rFonts w:hint="eastAsia" w:ascii="宋体" w:hAnsi="宋体" w:eastAsia="宋体"/>
          <w:szCs w:val="21"/>
        </w:rPr>
        <w:t>网站发布方式）答复或发送给所有投标人。答复内容是招标文件的组成部分，对投标人起约束作用，其有效性按照本通用条款第1</w:t>
      </w:r>
      <w:r>
        <w:rPr>
          <w:rFonts w:ascii="宋体" w:hAnsi="宋体" w:eastAsia="宋体"/>
          <w:szCs w:val="21"/>
        </w:rPr>
        <w:t>3.3</w:t>
      </w:r>
      <w:r>
        <w:rPr>
          <w:rFonts w:hint="eastAsia" w:ascii="宋体" w:hAnsi="宋体" w:eastAsia="宋体"/>
          <w:szCs w:val="21"/>
        </w:rPr>
        <w:t>、1</w:t>
      </w:r>
      <w:r>
        <w:rPr>
          <w:rFonts w:ascii="宋体" w:hAnsi="宋体" w:eastAsia="宋体"/>
          <w:szCs w:val="21"/>
        </w:rPr>
        <w:t>3.4</w:t>
      </w:r>
      <w:r>
        <w:rPr>
          <w:rFonts w:hint="eastAsia" w:ascii="宋体" w:hAnsi="宋体" w:eastAsia="宋体"/>
          <w:szCs w:val="21"/>
        </w:rPr>
        <w:t>款规定执行。</w:t>
      </w:r>
    </w:p>
    <w:p w14:paraId="0359F812">
      <w:pPr>
        <w:rPr>
          <w:rFonts w:ascii="黑体" w:hAnsi="宋体" w:eastAsia="黑体"/>
        </w:rPr>
      </w:pPr>
      <w:r>
        <w:rPr>
          <w:rFonts w:ascii="黑体" w:hAnsi="宋体" w:eastAsia="黑体"/>
        </w:rPr>
        <w:t>1</w:t>
      </w:r>
      <w:r>
        <w:rPr>
          <w:rFonts w:hint="eastAsia" w:ascii="黑体" w:hAnsi="宋体" w:eastAsia="黑体"/>
        </w:rPr>
        <w:t>3．招标文件的修改</w:t>
      </w:r>
    </w:p>
    <w:p w14:paraId="6EAB7ACD">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3.1招标文件发出后，在投标截止日期前任何时候，确需要变更招标文件内容的，</w:t>
      </w:r>
      <w:r>
        <w:rPr>
          <w:rFonts w:hint="eastAsia" w:ascii="宋体" w:hAnsi="宋体" w:eastAsia="宋体"/>
          <w:szCs w:val="21"/>
          <w:lang w:eastAsia="zh-CN"/>
        </w:rPr>
        <w:t>采购人或</w:t>
      </w:r>
      <w:r>
        <w:rPr>
          <w:rFonts w:hint="eastAsia" w:ascii="宋体" w:hAnsi="宋体" w:eastAsia="宋体"/>
          <w:szCs w:val="21"/>
        </w:rPr>
        <w:t>政府集中采购机构可主动或在解答投标人提出的澄清问题时对招标文件进行修改。</w:t>
      </w:r>
    </w:p>
    <w:p w14:paraId="1EE17CC8">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3.2招标文件的修改以书面形式（包括</w:t>
      </w:r>
      <w:r>
        <w:rPr>
          <w:rFonts w:hint="eastAsia" w:ascii="宋体" w:hAnsi="宋体" w:eastAsia="宋体"/>
          <w:szCs w:val="21"/>
          <w:lang w:eastAsia="zh-CN"/>
        </w:rPr>
        <w:t>新疆政府采购网</w:t>
      </w:r>
      <w:r>
        <w:rPr>
          <w:rFonts w:hint="eastAsia" w:ascii="宋体" w:hAnsi="宋体" w:eastAsia="宋体"/>
          <w:szCs w:val="21"/>
        </w:rPr>
        <w:t>网站发布方式，如更正公告等）发送给所有投标人，招标文件的修改内容作为招标文件的组成部分，并具有约束力。</w:t>
      </w:r>
    </w:p>
    <w:p w14:paraId="03006477">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3.3招标文件、招标文件澄清答复内容、招标文件修改补充内容均以书面形式（包括</w:t>
      </w:r>
      <w:r>
        <w:rPr>
          <w:rFonts w:hint="eastAsia" w:ascii="宋体" w:hAnsi="宋体" w:eastAsia="宋体"/>
          <w:szCs w:val="21"/>
          <w:lang w:eastAsia="zh-CN"/>
        </w:rPr>
        <w:t>新疆政府采购网</w:t>
      </w:r>
      <w:r>
        <w:rPr>
          <w:rFonts w:hint="eastAsia" w:ascii="宋体" w:hAnsi="宋体" w:eastAsia="宋体"/>
          <w:szCs w:val="21"/>
        </w:rPr>
        <w:t>网站公开发布方式，如更正公告等）明确的内容为准。当招标文件、修改补充通知、招标文件澄清答复内容相互矛盾时，以最后发出的内容为准。</w:t>
      </w:r>
    </w:p>
    <w:p w14:paraId="221673B7">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3.4</w:t>
      </w:r>
      <w:r>
        <w:rPr>
          <w:rFonts w:hint="eastAsia" w:ascii="宋体" w:hAnsi="宋体" w:eastAsia="宋体"/>
          <w:szCs w:val="21"/>
          <w:lang w:eastAsia="zh-CN"/>
        </w:rPr>
        <w:t>采购人或</w:t>
      </w:r>
      <w:r>
        <w:rPr>
          <w:rFonts w:hint="eastAsia" w:ascii="宋体" w:hAnsi="宋体" w:eastAsia="宋体"/>
          <w:szCs w:val="21"/>
        </w:rPr>
        <w:t>政府集中采购机构保证招标文件澄清答复内容和招标文件修改补充内容在投标截止时间前以书面形式（包括</w:t>
      </w:r>
      <w:r>
        <w:rPr>
          <w:rFonts w:hint="eastAsia" w:ascii="宋体" w:hAnsi="宋体" w:eastAsia="宋体"/>
          <w:szCs w:val="21"/>
          <w:lang w:eastAsia="zh-CN"/>
        </w:rPr>
        <w:t>新疆政府采购网</w:t>
      </w:r>
      <w:r>
        <w:rPr>
          <w:rFonts w:hint="eastAsia" w:ascii="宋体" w:hAnsi="宋体" w:eastAsia="宋体"/>
          <w:szCs w:val="21"/>
        </w:rPr>
        <w:t>网站发布方式，如更正公告等）发送给所有投标人。为使投标人在编制投标文件时有充分时间对招标文件的修改部分进行研究，政府集中采购机构可以酌情延长递交投标文件的截止日期。</w:t>
      </w:r>
      <w:bookmarkEnd w:id="34"/>
    </w:p>
    <w:p w14:paraId="67226792">
      <w:pPr>
        <w:keepNext/>
        <w:keepLines/>
        <w:numPr>
          <w:ilvl w:val="0"/>
          <w:numId w:val="12"/>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投标文件的编制</w:t>
      </w:r>
    </w:p>
    <w:p w14:paraId="5D344FA3">
      <w:pPr>
        <w:rPr>
          <w:rFonts w:ascii="黑体" w:hAnsi="宋体" w:eastAsia="黑体"/>
        </w:rPr>
      </w:pPr>
      <w:r>
        <w:rPr>
          <w:rFonts w:hint="eastAsia" w:ascii="黑体" w:hAnsi="宋体" w:eastAsia="黑体"/>
        </w:rPr>
        <w:t>14．</w:t>
      </w:r>
      <w:bookmarkStart w:id="35" w:name="_Hlk72400236"/>
      <w:r>
        <w:rPr>
          <w:rFonts w:hint="eastAsia" w:ascii="黑体" w:hAnsi="宋体" w:eastAsia="黑体"/>
        </w:rPr>
        <w:t>投标文件的语言及度量单位</w:t>
      </w:r>
    </w:p>
    <w:p w14:paraId="79A83329">
      <w:pPr>
        <w:ind w:firstLine="470" w:firstLineChars="196"/>
        <w:rPr>
          <w:rFonts w:ascii="宋体" w:hAnsi="宋体" w:eastAsia="宋体"/>
          <w:szCs w:val="21"/>
        </w:rPr>
      </w:pPr>
      <w:r>
        <w:rPr>
          <w:rFonts w:hint="eastAsia" w:ascii="宋体" w:hAnsi="宋体" w:eastAsia="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D8F1F5F">
      <w:pPr>
        <w:ind w:firstLine="470" w:firstLineChars="196"/>
        <w:rPr>
          <w:rFonts w:ascii="宋体" w:hAnsi="宋体" w:eastAsia="宋体"/>
          <w:szCs w:val="21"/>
        </w:rPr>
      </w:pPr>
      <w:r>
        <w:rPr>
          <w:rFonts w:hint="eastAsia" w:ascii="宋体" w:hAnsi="宋体" w:eastAsia="宋体"/>
          <w:szCs w:val="21"/>
        </w:rPr>
        <w:t>14.2 除技术规范另有规定外，投标文件使用的度量单位，均采用中华人民共和国法定计量单位。</w:t>
      </w:r>
      <w:bookmarkEnd w:id="35"/>
    </w:p>
    <w:p w14:paraId="50284B00">
      <w:pPr>
        <w:rPr>
          <w:rFonts w:ascii="黑体" w:hAnsi="宋体" w:eastAsia="黑体"/>
        </w:rPr>
      </w:pPr>
      <w:r>
        <w:rPr>
          <w:rFonts w:hint="eastAsia" w:ascii="黑体" w:hAnsi="宋体" w:eastAsia="黑体"/>
        </w:rPr>
        <w:t>15．</w:t>
      </w:r>
      <w:bookmarkStart w:id="36" w:name="_Hlk72401567"/>
      <w:r>
        <w:rPr>
          <w:rFonts w:hint="eastAsia" w:ascii="黑体" w:hAnsi="宋体" w:eastAsia="黑体"/>
        </w:rPr>
        <w:t>投标文件的组成</w:t>
      </w:r>
    </w:p>
    <w:p w14:paraId="77A517F2">
      <w:pPr>
        <w:ind w:firstLine="470" w:firstLineChars="196"/>
        <w:rPr>
          <w:rFonts w:ascii="宋体" w:hAnsi="宋体" w:eastAsia="宋体"/>
          <w:szCs w:val="21"/>
        </w:rPr>
      </w:pPr>
      <w:r>
        <w:rPr>
          <w:rFonts w:hint="eastAsia" w:ascii="宋体" w:hAnsi="宋体" w:eastAsia="宋体"/>
          <w:szCs w:val="21"/>
        </w:rPr>
        <w:t>具体内容在招标文件专用条款中进行规定。</w:t>
      </w:r>
    </w:p>
    <w:p w14:paraId="784DADE0">
      <w:pPr>
        <w:rPr>
          <w:rFonts w:ascii="黑体" w:hAnsi="宋体" w:eastAsia="黑体"/>
        </w:rPr>
      </w:pPr>
      <w:r>
        <w:rPr>
          <w:rFonts w:ascii="黑体" w:hAnsi="宋体" w:eastAsia="黑体"/>
        </w:rPr>
        <w:t>16．投标文件格式</w:t>
      </w:r>
    </w:p>
    <w:p w14:paraId="29FF7089">
      <w:pPr>
        <w:ind w:firstLine="470" w:firstLineChars="196"/>
        <w:rPr>
          <w:rFonts w:ascii="宋体" w:hAnsi="宋体" w:eastAsia="宋体"/>
          <w:szCs w:val="21"/>
        </w:rPr>
      </w:pPr>
      <w:r>
        <w:rPr>
          <w:rFonts w:hint="eastAsia" w:ascii="宋体" w:hAnsi="宋体" w:eastAsia="宋体"/>
          <w:szCs w:val="21"/>
        </w:rPr>
        <w:t>16.1投标文件包括本通用条款第</w:t>
      </w:r>
      <w:r>
        <w:rPr>
          <w:rFonts w:ascii="宋体" w:hAnsi="宋体" w:eastAsia="宋体"/>
          <w:szCs w:val="21"/>
        </w:rPr>
        <w:t>15条中规定的内容。如招标文件提供了投标文件格式，则</w:t>
      </w:r>
      <w:r>
        <w:rPr>
          <w:rFonts w:hint="eastAsia" w:ascii="宋体" w:hAnsi="宋体" w:eastAsia="宋体"/>
          <w:b/>
          <w:bCs/>
          <w:szCs w:val="21"/>
        </w:rPr>
        <w:t>投标人提交的投标文件应使用招标文件所提供的相应格式</w:t>
      </w:r>
      <w:r>
        <w:rPr>
          <w:rFonts w:hint="eastAsia" w:ascii="宋体" w:hAnsi="宋体" w:eastAsia="宋体"/>
          <w:szCs w:val="21"/>
        </w:rPr>
        <w:t>（表格均可按同样格式扩展）。</w:t>
      </w:r>
    </w:p>
    <w:p w14:paraId="0CE766B9">
      <w:pPr>
        <w:rPr>
          <w:rFonts w:ascii="黑体" w:hAnsi="宋体" w:eastAsia="黑体"/>
        </w:rPr>
      </w:pPr>
      <w:r>
        <w:rPr>
          <w:rFonts w:hint="eastAsia" w:ascii="黑体" w:hAnsi="宋体" w:eastAsia="黑体"/>
        </w:rPr>
        <w:t>17．投标货币</w:t>
      </w:r>
    </w:p>
    <w:p w14:paraId="1519FE03">
      <w:pPr>
        <w:ind w:firstLine="470" w:firstLineChars="196"/>
        <w:rPr>
          <w:rFonts w:ascii="宋体" w:hAnsi="宋体" w:eastAsia="宋体"/>
          <w:szCs w:val="21"/>
        </w:rPr>
      </w:pPr>
      <w:r>
        <w:rPr>
          <w:rFonts w:hint="eastAsia" w:ascii="宋体" w:hAnsi="宋体" w:eastAsia="宋体"/>
          <w:szCs w:val="21"/>
        </w:rPr>
        <w:t>本项目的投标报价应以人民币计。</w:t>
      </w:r>
      <w:bookmarkEnd w:id="36"/>
    </w:p>
    <w:p w14:paraId="5DD68318">
      <w:pPr>
        <w:rPr>
          <w:rFonts w:ascii="黑体" w:hAnsi="宋体" w:eastAsia="黑体"/>
        </w:rPr>
      </w:pPr>
      <w:r>
        <w:rPr>
          <w:rFonts w:hint="eastAsia" w:ascii="黑体" w:hAnsi="宋体" w:eastAsia="黑体"/>
        </w:rPr>
        <w:t>18．</w:t>
      </w:r>
      <w:bookmarkStart w:id="37" w:name="_Hlk72401735"/>
      <w:r>
        <w:rPr>
          <w:rFonts w:hint="eastAsia" w:ascii="黑体" w:hAnsi="宋体" w:eastAsia="黑体"/>
        </w:rPr>
        <w:t>证明投标文件投标技术方案的合格性和符合招标文件规定的文件要求</w:t>
      </w:r>
    </w:p>
    <w:p w14:paraId="0581D670">
      <w:pPr>
        <w:ind w:firstLine="470" w:firstLineChars="196"/>
        <w:rPr>
          <w:rFonts w:ascii="宋体" w:hAnsi="宋体" w:eastAsia="宋体"/>
          <w:szCs w:val="21"/>
        </w:rPr>
      </w:pPr>
      <w:r>
        <w:rPr>
          <w:rFonts w:hint="eastAsia" w:ascii="宋体" w:hAnsi="宋体" w:eastAsia="宋体"/>
          <w:szCs w:val="21"/>
        </w:rPr>
        <w:t>18</w:t>
      </w:r>
      <w:r>
        <w:rPr>
          <w:rFonts w:ascii="宋体" w:hAnsi="宋体" w:eastAsia="宋体"/>
          <w:szCs w:val="21"/>
        </w:rPr>
        <w:t xml:space="preserve">.1 </w:t>
      </w:r>
      <w:r>
        <w:rPr>
          <w:rFonts w:hint="eastAsia" w:ascii="宋体" w:hAnsi="宋体" w:eastAsia="宋体"/>
          <w:szCs w:val="21"/>
        </w:rPr>
        <w:t>投标人应提交证明文件，证明其投标技术方案项下的货物和服务的合格性符合招标文件规定。该投标技术方案及其证明文件均作为投标文件组成部分。</w:t>
      </w:r>
    </w:p>
    <w:p w14:paraId="053E6EB6">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 xml:space="preserve">.2 </w:t>
      </w:r>
      <w:r>
        <w:rPr>
          <w:rFonts w:hint="eastAsia" w:ascii="宋体" w:hAnsi="宋体" w:eastAsia="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4E78FE2F">
      <w:pPr>
        <w:ind w:firstLine="470" w:firstLineChars="196"/>
        <w:rPr>
          <w:rFonts w:ascii="宋体" w:hAnsi="宋体" w:eastAsia="宋体"/>
          <w:szCs w:val="21"/>
        </w:rPr>
      </w:pPr>
      <w:r>
        <w:rPr>
          <w:rFonts w:hint="eastAsia" w:ascii="宋体" w:hAnsi="宋体" w:eastAsia="宋体"/>
          <w:szCs w:val="21"/>
        </w:rPr>
        <w:t>18.2.1主要技术指标和性能的详细说明。</w:t>
      </w:r>
    </w:p>
    <w:p w14:paraId="11CC4690">
      <w:pPr>
        <w:ind w:firstLine="470" w:firstLineChars="196"/>
        <w:rPr>
          <w:rFonts w:ascii="宋体" w:hAnsi="宋体" w:eastAsia="宋体"/>
          <w:szCs w:val="21"/>
        </w:rPr>
      </w:pPr>
      <w:r>
        <w:rPr>
          <w:rFonts w:hint="eastAsia" w:ascii="宋体" w:hAnsi="宋体" w:eastAsia="宋体"/>
          <w:szCs w:val="21"/>
        </w:rPr>
        <w:t>18.2.</w:t>
      </w:r>
      <w:r>
        <w:rPr>
          <w:rFonts w:ascii="宋体" w:hAnsi="宋体" w:eastAsia="宋体"/>
          <w:szCs w:val="21"/>
        </w:rPr>
        <w:t>2</w:t>
      </w:r>
      <w:r>
        <w:rPr>
          <w:rFonts w:hint="eastAsia" w:ascii="宋体" w:hAnsi="宋体" w:eastAsia="宋体"/>
          <w:szCs w:val="21"/>
        </w:rPr>
        <w:t>投标产品从采购人开始使用至招标文件中规定的周期内正常、连续地使用所必须的备件和专用工具清单，包括备件和专用工具的货源及现行价格。</w:t>
      </w:r>
    </w:p>
    <w:p w14:paraId="45707D15">
      <w:pPr>
        <w:ind w:firstLine="470" w:firstLineChars="196"/>
        <w:rPr>
          <w:rFonts w:ascii="宋体" w:hAnsi="宋体" w:eastAsia="宋体"/>
          <w:szCs w:val="21"/>
        </w:rPr>
      </w:pPr>
      <w:r>
        <w:rPr>
          <w:rFonts w:hint="eastAsia" w:ascii="宋体" w:hAnsi="宋体" w:eastAsia="宋体"/>
          <w:szCs w:val="21"/>
        </w:rPr>
        <w:t>18.2.</w:t>
      </w:r>
      <w:r>
        <w:rPr>
          <w:rFonts w:ascii="宋体" w:hAnsi="宋体" w:eastAsia="宋体"/>
          <w:szCs w:val="21"/>
        </w:rPr>
        <w:t>3</w:t>
      </w:r>
      <w:r>
        <w:rPr>
          <w:rFonts w:hint="eastAsia" w:ascii="宋体" w:hAnsi="宋体" w:eastAsia="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368912EE">
      <w:pPr>
        <w:ind w:firstLine="470" w:firstLineChars="196"/>
        <w:rPr>
          <w:rFonts w:ascii="宋体" w:hAnsi="宋体" w:eastAsia="宋体"/>
          <w:szCs w:val="21"/>
        </w:rPr>
      </w:pPr>
      <w:r>
        <w:rPr>
          <w:rFonts w:hint="eastAsia" w:ascii="宋体" w:hAnsi="宋体" w:eastAsia="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eastAsia="宋体"/>
        </w:rPr>
        <w:t>清晰度要求能够使用电脑阅读、识别和判断</w:t>
      </w:r>
      <w:r>
        <w:rPr>
          <w:rFonts w:hint="eastAsia" w:ascii="宋体" w:hAnsi="宋体" w:eastAsia="宋体"/>
          <w:szCs w:val="21"/>
        </w:rPr>
        <w:t>；</w:t>
      </w:r>
    </w:p>
    <w:p w14:paraId="232B1C99">
      <w:pPr>
        <w:ind w:firstLine="470" w:firstLineChars="196"/>
        <w:rPr>
          <w:rFonts w:ascii="宋体" w:hAnsi="宋体" w:eastAsia="宋体"/>
          <w:szCs w:val="21"/>
        </w:rPr>
      </w:pPr>
      <w:r>
        <w:rPr>
          <w:rFonts w:hint="eastAsia" w:ascii="宋体" w:hAnsi="宋体" w:eastAsia="宋体"/>
          <w:szCs w:val="21"/>
        </w:rPr>
        <w:t>18.2.5我国政府机构出具的产品检验和核准证件应为证件正面、背面和附件标注的全部具体内容；产品检验和核准证件的尺寸和清晰度应该能够在电脑上被阅读、识别和判断，提供扫描件。</w:t>
      </w:r>
    </w:p>
    <w:p w14:paraId="1C8F0E43">
      <w:pPr>
        <w:ind w:firstLine="470" w:firstLineChars="196"/>
        <w:rPr>
          <w:rFonts w:ascii="宋体" w:hAnsi="宋体" w:eastAsia="宋体"/>
          <w:szCs w:val="21"/>
        </w:rPr>
      </w:pPr>
      <w:r>
        <w:rPr>
          <w:rFonts w:hint="eastAsia" w:ascii="宋体" w:hAnsi="宋体" w:eastAsia="宋体"/>
          <w:szCs w:val="21"/>
        </w:rPr>
        <w:t>18.3相关资料不符合18.2款要求的，评审委员会有权认定为投标技术方案不合格响应，其相关分数予以扣减或作投标无效处理。</w:t>
      </w:r>
    </w:p>
    <w:p w14:paraId="0B2B2351">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w:t>
      </w:r>
      <w:r>
        <w:rPr>
          <w:rFonts w:hint="eastAsia" w:ascii="宋体" w:hAnsi="宋体" w:eastAsia="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eastAsia="宋体"/>
        </w:rPr>
        <w:t>满足要求</w:t>
      </w:r>
      <w:r>
        <w:rPr>
          <w:rFonts w:hint="eastAsia" w:ascii="宋体" w:hAnsi="宋体" w:eastAsia="宋体"/>
          <w:szCs w:val="21"/>
        </w:rPr>
        <w:t>，由评审委员会来评判。</w:t>
      </w:r>
    </w:p>
    <w:p w14:paraId="7864EB78">
      <w:pPr>
        <w:ind w:firstLine="470" w:firstLineChars="196"/>
        <w:rPr>
          <w:rFonts w:ascii="宋体" w:hAnsi="宋体" w:eastAsia="宋体"/>
          <w:szCs w:val="21"/>
        </w:rPr>
      </w:pPr>
      <w:r>
        <w:rPr>
          <w:rFonts w:hint="eastAsia" w:ascii="宋体" w:hAnsi="宋体" w:eastAsia="宋体"/>
          <w:szCs w:val="21"/>
        </w:rPr>
        <w:t>18.5除非另有规定或说明，投标人对同一项目投标时，不得同时提供两套或两套以上的投标方案。</w:t>
      </w:r>
      <w:bookmarkEnd w:id="37"/>
    </w:p>
    <w:p w14:paraId="20E7AA8B">
      <w:pPr>
        <w:rPr>
          <w:rFonts w:ascii="黑体" w:hAnsi="宋体" w:eastAsia="黑体"/>
        </w:rPr>
      </w:pPr>
      <w:r>
        <w:rPr>
          <w:rFonts w:hint="eastAsia" w:ascii="黑体" w:hAnsi="宋体" w:eastAsia="黑体"/>
        </w:rPr>
        <w:t>19．</w:t>
      </w:r>
      <w:bookmarkStart w:id="38" w:name="_Hlk72402034"/>
      <w:r>
        <w:rPr>
          <w:rFonts w:hint="eastAsia" w:ascii="黑体" w:hAnsi="宋体" w:eastAsia="黑体"/>
        </w:rPr>
        <w:t>投标文件其他证明文件的要求</w:t>
      </w:r>
    </w:p>
    <w:p w14:paraId="4CCD8220">
      <w:pPr>
        <w:rPr>
          <w:rFonts w:ascii="宋体" w:hAnsi="宋体" w:eastAsia="宋体"/>
          <w:color w:val="FF0000"/>
          <w:szCs w:val="21"/>
        </w:rPr>
      </w:pPr>
      <w:r>
        <w:rPr>
          <w:rFonts w:hint="eastAsia" w:ascii="宋体" w:hAnsi="宋体" w:eastAsia="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39" w:name="_Hlk71407299"/>
      <w:bookmarkEnd w:id="39"/>
    </w:p>
    <w:p w14:paraId="728A2E9E">
      <w:pPr>
        <w:ind w:firstLine="470" w:firstLineChars="196"/>
        <w:rPr>
          <w:rFonts w:ascii="宋体" w:hAnsi="宋体" w:eastAsia="宋体"/>
          <w:szCs w:val="21"/>
        </w:rPr>
      </w:pPr>
      <w:r>
        <w:rPr>
          <w:rFonts w:hint="eastAsia" w:ascii="宋体" w:hAnsi="宋体" w:eastAsia="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7D9750B8">
      <w:pPr>
        <w:rPr>
          <w:rFonts w:ascii="黑体" w:hAnsi="宋体" w:eastAsia="黑体"/>
        </w:rPr>
      </w:pPr>
      <w:r>
        <w:rPr>
          <w:rFonts w:hint="eastAsia" w:ascii="黑体" w:hAnsi="宋体" w:eastAsia="黑体"/>
        </w:rPr>
        <w:t>20．投标有效期</w:t>
      </w:r>
    </w:p>
    <w:bookmarkEnd w:id="38"/>
    <w:p w14:paraId="7F36A148">
      <w:pPr>
        <w:ind w:firstLine="470" w:firstLineChars="196"/>
        <w:rPr>
          <w:rFonts w:ascii="宋体" w:hAnsi="宋体" w:eastAsia="宋体"/>
          <w:szCs w:val="21"/>
        </w:rPr>
      </w:pPr>
      <w:bookmarkStart w:id="40" w:name="_Hlk72402214"/>
      <w:r>
        <w:rPr>
          <w:rFonts w:hint="eastAsia" w:ascii="宋体" w:hAnsi="宋体" w:eastAsia="宋体"/>
          <w:szCs w:val="21"/>
        </w:rPr>
        <w:t>20.1 投标有效期为</w:t>
      </w:r>
      <w:r>
        <w:rPr>
          <w:rFonts w:hint="eastAsia" w:ascii="Arial" w:hAnsi="Arial" w:eastAsia="宋体" w:cs="Arial"/>
          <w:szCs w:val="21"/>
        </w:rPr>
        <w:t>从投标截止之日算起的日历天数。</w:t>
      </w:r>
      <w:r>
        <w:rPr>
          <w:rFonts w:hint="eastAsia" w:ascii="宋体" w:hAnsi="宋体" w:eastAsia="宋体"/>
          <w:szCs w:val="21"/>
        </w:rPr>
        <w:t>在此期限内，所有投标文件均保持有效。</w:t>
      </w:r>
    </w:p>
    <w:p w14:paraId="05D50191">
      <w:pPr>
        <w:ind w:firstLine="470" w:firstLineChars="196"/>
        <w:rPr>
          <w:rFonts w:ascii="宋体" w:hAnsi="宋体" w:eastAsia="宋体"/>
          <w:szCs w:val="21"/>
        </w:rPr>
      </w:pPr>
      <w:r>
        <w:rPr>
          <w:rFonts w:hint="eastAsia" w:ascii="宋体" w:hAnsi="宋体" w:eastAsia="宋体"/>
          <w:szCs w:val="21"/>
        </w:rPr>
        <w:t>20.2 在特殊情况下，</w:t>
      </w:r>
      <w:r>
        <w:rPr>
          <w:rFonts w:hint="eastAsia" w:ascii="宋体" w:hAnsi="宋体" w:eastAsia="宋体"/>
          <w:szCs w:val="21"/>
          <w:lang w:eastAsia="zh-CN"/>
        </w:rPr>
        <w:t>采购人或</w:t>
      </w:r>
      <w:r>
        <w:rPr>
          <w:rFonts w:hint="eastAsia" w:ascii="宋体" w:hAnsi="宋体" w:eastAsia="宋体"/>
          <w:szCs w:val="21"/>
        </w:rPr>
        <w:t>政府集中采购机构在原定的投标有效期满之前，</w:t>
      </w:r>
      <w:r>
        <w:rPr>
          <w:rFonts w:hint="eastAsia" w:ascii="宋体" w:hAnsi="宋体" w:eastAsia="宋体"/>
          <w:szCs w:val="21"/>
          <w:lang w:eastAsia="zh-CN"/>
        </w:rPr>
        <w:t>采购人或</w:t>
      </w:r>
      <w:r>
        <w:rPr>
          <w:rFonts w:hint="eastAsia" w:ascii="宋体" w:hAnsi="宋体" w:eastAsia="宋体"/>
          <w:szCs w:val="21"/>
        </w:rPr>
        <w:t>政府集中采购机构可以根据需要以书面形式（包括</w:t>
      </w:r>
      <w:r>
        <w:rPr>
          <w:rFonts w:hint="eastAsia" w:ascii="宋体" w:hAnsi="宋体" w:eastAsia="宋体"/>
          <w:szCs w:val="21"/>
          <w:lang w:eastAsia="zh-CN"/>
        </w:rPr>
        <w:t>新疆政府采购网网站</w:t>
      </w:r>
      <w:r>
        <w:rPr>
          <w:rFonts w:hint="eastAsia" w:ascii="宋体" w:hAnsi="宋体" w:eastAsia="宋体"/>
          <w:szCs w:val="21"/>
        </w:rPr>
        <w:t>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0658B606">
      <w:pPr>
        <w:ind w:firstLine="470" w:firstLineChars="196"/>
        <w:rPr>
          <w:rFonts w:ascii="宋体" w:hAnsi="宋体" w:eastAsia="宋体"/>
          <w:szCs w:val="21"/>
        </w:rPr>
      </w:pPr>
      <w:r>
        <w:rPr>
          <w:rFonts w:hint="eastAsia" w:ascii="宋体" w:hAnsi="宋体" w:eastAsia="宋体"/>
          <w:szCs w:val="21"/>
        </w:rPr>
        <w:t>20</w:t>
      </w:r>
      <w:r>
        <w:rPr>
          <w:rFonts w:ascii="宋体" w:hAnsi="宋体" w:eastAsia="宋体"/>
          <w:szCs w:val="21"/>
        </w:rPr>
        <w:t>.3</w:t>
      </w:r>
      <w:r>
        <w:rPr>
          <w:rFonts w:hint="eastAsia" w:ascii="宋体" w:hAnsi="宋体" w:eastAsia="宋体"/>
          <w:szCs w:val="21"/>
        </w:rPr>
        <w:t xml:space="preserve"> 中标供应商的投标文件有效期，截止于完成本招标文件规定的全部项目内容，并通过竣工验收及保修期结束。</w:t>
      </w:r>
      <w:bookmarkEnd w:id="40"/>
    </w:p>
    <w:p w14:paraId="255BD19E">
      <w:pPr>
        <w:rPr>
          <w:rFonts w:ascii="黑体" w:hAnsi="宋体" w:eastAsia="黑体"/>
        </w:rPr>
      </w:pPr>
      <w:r>
        <w:rPr>
          <w:rFonts w:hint="eastAsia" w:ascii="黑体" w:hAnsi="宋体" w:eastAsia="黑体"/>
        </w:rPr>
        <w:t>21．</w:t>
      </w:r>
      <w:bookmarkStart w:id="41" w:name="_Hlk72402325"/>
      <w:r>
        <w:rPr>
          <w:rFonts w:hint="eastAsia" w:ascii="黑体" w:hAnsi="宋体" w:eastAsia="黑体"/>
        </w:rPr>
        <w:t xml:space="preserve">关于投标保证金 </w:t>
      </w:r>
    </w:p>
    <w:p w14:paraId="1218875B">
      <w:pPr>
        <w:pStyle w:val="10"/>
        <w:tabs>
          <w:tab w:val="left" w:pos="5580"/>
        </w:tabs>
        <w:spacing w:line="240" w:lineRule="atLeast"/>
        <w:rPr>
          <w:rFonts w:ascii="宋体" w:hAnsi="宋体" w:eastAsia="宋体"/>
          <w:szCs w:val="21"/>
        </w:rPr>
      </w:pPr>
      <w:r>
        <w:rPr>
          <w:rFonts w:hint="eastAsia" w:ascii="宋体" w:hAnsi="宋体" w:eastAsia="宋体"/>
          <w:szCs w:val="21"/>
        </w:rPr>
        <w:t>说明：</w:t>
      </w:r>
      <w:r>
        <w:rPr>
          <w:rFonts w:hint="eastAsia" w:ascii="宋体" w:hAnsi="宋体" w:eastAsia="宋体" w:cs="宋体"/>
          <w:color w:val="000000"/>
          <w:kern w:val="0"/>
          <w:sz w:val="24"/>
          <w:lang w:eastAsia="zh-CN" w:bidi="ar"/>
        </w:rPr>
        <w:t>建议</w:t>
      </w:r>
      <w:r>
        <w:rPr>
          <w:rFonts w:hint="eastAsia" w:ascii="宋体" w:hAnsi="宋体" w:cs="宋体"/>
          <w:color w:val="000000"/>
          <w:kern w:val="0"/>
          <w:sz w:val="24"/>
          <w:lang w:bidi="ar"/>
        </w:rPr>
        <w:t>注明</w:t>
      </w:r>
      <w:r>
        <w:rPr>
          <w:rFonts w:hint="eastAsia" w:ascii="黑体" w:hAnsi="宋体" w:eastAsia="黑体"/>
          <w:lang w:eastAsia="zh-CN"/>
        </w:rPr>
        <w:t>投标或响应</w:t>
      </w:r>
      <w:r>
        <w:rPr>
          <w:rFonts w:hint="eastAsia" w:ascii="黑体" w:hAnsi="宋体" w:eastAsia="黑体"/>
        </w:rPr>
        <w:t>保证金</w:t>
      </w:r>
      <w:r>
        <w:rPr>
          <w:rFonts w:hint="eastAsia" w:ascii="宋体" w:hAnsi="宋体" w:cs="宋体"/>
          <w:color w:val="000000"/>
          <w:kern w:val="0"/>
          <w:sz w:val="24"/>
          <w:lang w:bidi="ar"/>
        </w:rPr>
        <w:t>项目名称</w:t>
      </w:r>
      <w:r>
        <w:rPr>
          <w:rFonts w:hint="eastAsia" w:ascii="宋体" w:hAnsi="宋体" w:eastAsia="宋体" w:cs="宋体"/>
          <w:color w:val="000000"/>
          <w:kern w:val="0"/>
          <w:sz w:val="24"/>
          <w:lang w:eastAsia="zh-CN" w:bidi="ar"/>
        </w:rPr>
        <w:t>，未注明</w:t>
      </w:r>
      <w:r>
        <w:rPr>
          <w:rFonts w:hint="eastAsia" w:ascii="宋体" w:hAnsi="宋体" w:cs="宋体"/>
          <w:color w:val="000000"/>
          <w:kern w:val="0"/>
          <w:sz w:val="24"/>
          <w:lang w:bidi="ar"/>
        </w:rPr>
        <w:t>项目名称</w:t>
      </w:r>
      <w:r>
        <w:rPr>
          <w:rFonts w:hint="eastAsia" w:ascii="宋体" w:hAnsi="宋体" w:eastAsia="宋体" w:cs="宋体"/>
          <w:color w:val="000000"/>
          <w:kern w:val="0"/>
          <w:sz w:val="24"/>
          <w:lang w:eastAsia="zh-CN" w:bidi="ar"/>
        </w:rPr>
        <w:t>的不作废标处理</w:t>
      </w:r>
      <w:r>
        <w:rPr>
          <w:rFonts w:hint="eastAsia" w:hAnsi="宋体" w:eastAsia="宋体" w:cs="宋体"/>
          <w:color w:val="000000"/>
          <w:kern w:val="0"/>
          <w:sz w:val="24"/>
          <w:lang w:eastAsia="zh-CN" w:bidi="ar"/>
        </w:rPr>
        <w:t>。重新开展采购活动的项目，若供应商告知采购人再次进行投标或响应的，未退还的</w:t>
      </w:r>
      <w:r>
        <w:rPr>
          <w:rFonts w:hint="eastAsia" w:ascii="黑体" w:hAnsi="宋体" w:eastAsia="黑体"/>
          <w:lang w:eastAsia="zh-CN"/>
        </w:rPr>
        <w:t>投标或响应</w:t>
      </w:r>
      <w:r>
        <w:rPr>
          <w:rFonts w:hint="eastAsia" w:ascii="黑体" w:hAnsi="宋体" w:eastAsia="黑体"/>
        </w:rPr>
        <w:t>保证金</w:t>
      </w:r>
      <w:r>
        <w:rPr>
          <w:rFonts w:hint="eastAsia" w:hAnsi="宋体" w:eastAsia="宋体" w:cs="宋体"/>
          <w:color w:val="000000"/>
          <w:kern w:val="0"/>
          <w:sz w:val="24"/>
          <w:lang w:eastAsia="zh-CN" w:bidi="ar"/>
        </w:rPr>
        <w:t>则自动转为新项目的投标保证金</w:t>
      </w:r>
      <w:r>
        <w:rPr>
          <w:rFonts w:hint="eastAsia" w:eastAsia="宋体"/>
        </w:rPr>
        <w:t>。</w:t>
      </w:r>
    </w:p>
    <w:p w14:paraId="2B22A9D1">
      <w:pPr>
        <w:rPr>
          <w:rFonts w:ascii="黑体" w:hAnsi="宋体" w:eastAsia="黑体"/>
        </w:rPr>
      </w:pPr>
      <w:r>
        <w:rPr>
          <w:rFonts w:hint="eastAsia" w:ascii="黑体" w:hAnsi="宋体" w:eastAsia="黑体"/>
        </w:rPr>
        <w:t>22．投标人的替代方案</w:t>
      </w:r>
    </w:p>
    <w:p w14:paraId="70F42BE6">
      <w:pPr>
        <w:ind w:firstLine="470" w:firstLineChars="196"/>
        <w:rPr>
          <w:rFonts w:ascii="宋体" w:hAnsi="宋体" w:eastAsia="宋体"/>
          <w:szCs w:val="21"/>
        </w:rPr>
      </w:pPr>
      <w:r>
        <w:rPr>
          <w:rFonts w:hint="eastAsia" w:ascii="宋体" w:hAnsi="宋体" w:eastAsia="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5684B9C2">
      <w:pPr>
        <w:ind w:firstLine="470" w:firstLineChars="196"/>
        <w:rPr>
          <w:rFonts w:ascii="宋体" w:hAnsi="宋体" w:eastAsia="宋体"/>
          <w:szCs w:val="21"/>
        </w:rPr>
      </w:pPr>
      <w:r>
        <w:rPr>
          <w:rFonts w:hint="eastAsia" w:ascii="宋体" w:hAnsi="宋体" w:eastAsia="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End w:id="41"/>
    </w:p>
    <w:p w14:paraId="03EB35EF">
      <w:pPr>
        <w:rPr>
          <w:rFonts w:ascii="黑体" w:hAnsi="宋体" w:eastAsia="黑体"/>
        </w:rPr>
      </w:pPr>
      <w:r>
        <w:rPr>
          <w:rFonts w:hint="eastAsia" w:ascii="黑体" w:hAnsi="宋体" w:eastAsia="黑体"/>
        </w:rPr>
        <w:t>23．</w:t>
      </w:r>
      <w:bookmarkStart w:id="42" w:name="_Hlk72402860"/>
      <w:r>
        <w:rPr>
          <w:rFonts w:ascii="黑体" w:hAnsi="宋体" w:eastAsia="黑体"/>
        </w:rPr>
        <w:t>投标文件的</w:t>
      </w:r>
      <w:r>
        <w:rPr>
          <w:rFonts w:hint="eastAsia" w:ascii="黑体" w:hAnsi="宋体" w:eastAsia="黑体"/>
        </w:rPr>
        <w:t>制作</w:t>
      </w:r>
      <w:r>
        <w:rPr>
          <w:rFonts w:ascii="黑体" w:hAnsi="宋体" w:eastAsia="黑体"/>
        </w:rPr>
        <w:t>要求</w:t>
      </w:r>
    </w:p>
    <w:p w14:paraId="201657B6">
      <w:pPr>
        <w:ind w:firstLine="470" w:firstLineChars="196"/>
        <w:rPr>
          <w:rFonts w:ascii="宋体" w:hAnsi="宋体" w:eastAsia="宋体"/>
        </w:rPr>
      </w:pPr>
      <w:r>
        <w:rPr>
          <w:rFonts w:hint="eastAsia" w:ascii="宋体" w:hAnsi="宋体" w:eastAsia="宋体"/>
        </w:rPr>
        <w:t>23.1本项目实行不见面开标（网上投标，网上开标、评标），投标人需办理CA锁。已办理CA锁的，需添加在政府采购云平台使用的功能。CA锁办理或升级地址：</w:t>
      </w:r>
      <w:r>
        <w:rPr>
          <w:rFonts w:hint="eastAsia" w:ascii="宋体" w:hAnsi="宋体" w:eastAsia="宋体"/>
          <w:lang w:eastAsia="zh-CN"/>
        </w:rPr>
        <w:t>喀什市政务服务中心</w:t>
      </w:r>
      <w:r>
        <w:rPr>
          <w:rFonts w:hint="eastAsia" w:ascii="宋体" w:hAnsi="宋体" w:eastAsia="宋体"/>
        </w:rPr>
        <w:t>二楼，联系人：张文丽，咨询电话：15001465669。或潜在投标人自行登录新疆数字认证中心网站https://www.xjca.com.cn/办理。供应商因未注册入政府采购云平台“供应商库”、或未办理CA数字证书等原因造成无法投标或投标失败等后果由供应商自行承担。</w:t>
      </w:r>
    </w:p>
    <w:p w14:paraId="52288E82">
      <w:pPr>
        <w:ind w:firstLine="470" w:firstLineChars="196"/>
        <w:rPr>
          <w:rFonts w:ascii="宋体" w:hAnsi="宋体" w:eastAsia="宋体"/>
        </w:rPr>
      </w:pPr>
      <w:r>
        <w:rPr>
          <w:rFonts w:hint="eastAsia" w:ascii="宋体" w:hAnsi="宋体" w:eastAsia="宋体"/>
        </w:rPr>
        <w:t>23.2政府集中采购机构不接受投标截止时间后递交的纸质、电子、传真等所有形式的投标文件。由于对网上政府采购系统操作不熟悉或自身电脑、网络等原因导致不能在投标截止时间之前上传投标文件，供应商自行承担。建议于开标前一个工作日完成投标文件的制作与上传，如上传确有困难，请及时咨询</w:t>
      </w:r>
      <w:r>
        <w:rPr>
          <w:rFonts w:hint="eastAsia" w:ascii="宋体" w:hAnsi="宋体" w:eastAsia="宋体"/>
          <w:lang w:eastAsia="zh-CN"/>
        </w:rPr>
        <w:t>政采云：</w:t>
      </w:r>
      <w:r>
        <w:rPr>
          <w:rFonts w:hint="eastAsia" w:ascii="宋体" w:hAnsi="宋体" w:eastAsia="宋体"/>
          <w:lang w:val="en-US" w:eastAsia="zh-CN"/>
        </w:rPr>
        <w:t>4008817190</w:t>
      </w:r>
      <w:r>
        <w:rPr>
          <w:rFonts w:hint="eastAsia" w:ascii="宋体" w:hAnsi="宋体" w:eastAsia="宋体"/>
        </w:rPr>
        <w:t>。</w:t>
      </w:r>
    </w:p>
    <w:p w14:paraId="765DA4F9">
      <w:pPr>
        <w:ind w:firstLine="470" w:firstLineChars="196"/>
        <w:rPr>
          <w:rFonts w:ascii="宋体" w:hAnsi="宋体" w:eastAsia="宋体"/>
        </w:rPr>
      </w:pPr>
      <w:r>
        <w:rPr>
          <w:rFonts w:hint="eastAsia" w:ascii="宋体" w:hAnsi="宋体" w:eastAsia="宋体"/>
        </w:rPr>
        <w:t>23.3电报、电话、传真形式的投标概不接受。</w:t>
      </w:r>
    </w:p>
    <w:p w14:paraId="5C2CA293">
      <w:pPr>
        <w:ind w:firstLine="472" w:firstLineChars="196"/>
        <w:rPr>
          <w:rFonts w:ascii="宋体" w:hAnsi="宋体" w:eastAsia="宋体"/>
        </w:rPr>
      </w:pPr>
      <w:r>
        <w:rPr>
          <w:rFonts w:hint="eastAsia" w:ascii="宋体" w:hAnsi="宋体" w:eastAsia="宋体"/>
          <w:b/>
        </w:rPr>
        <w:t>23.</w:t>
      </w:r>
      <w:r>
        <w:rPr>
          <w:rFonts w:hint="eastAsia" w:ascii="宋体" w:hAnsi="宋体" w:eastAsia="宋体"/>
          <w:b/>
          <w:lang w:val="en-US" w:eastAsia="zh-CN"/>
        </w:rPr>
        <w:t>4</w:t>
      </w:r>
      <w:r>
        <w:rPr>
          <w:rFonts w:hint="eastAsia" w:ascii="宋体" w:hAnsi="宋体" w:eastAsia="宋体"/>
        </w:rPr>
        <w:t xml:space="preserve"> 各类资格（资质）文件提供扫描件，专用条款另有要求的除外。</w:t>
      </w:r>
      <w:bookmarkEnd w:id="42"/>
    </w:p>
    <w:p w14:paraId="7E961535">
      <w:pPr>
        <w:keepNext/>
        <w:keepLines/>
        <w:numPr>
          <w:ilvl w:val="0"/>
          <w:numId w:val="12"/>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投标文件的递交</w:t>
      </w:r>
    </w:p>
    <w:p w14:paraId="41CC53C6">
      <w:pPr>
        <w:jc w:val="center"/>
        <w:rPr>
          <w:rFonts w:ascii="宋体" w:hAnsi="宋体" w:eastAsia="宋体" w:cs="宋体"/>
        </w:rPr>
      </w:pPr>
      <w:bookmarkStart w:id="43" w:name="_Hlk72405459"/>
      <w:r>
        <w:rPr>
          <w:rFonts w:hint="eastAsia" w:ascii="黑体" w:hAnsi="宋体" w:eastAsia="黑体"/>
        </w:rPr>
        <w:t>24．电子加密投标文件上传至政府采购云平台投标客户端</w:t>
      </w:r>
    </w:p>
    <w:p w14:paraId="7B80AB06">
      <w:pPr>
        <w:rPr>
          <w:rFonts w:hint="eastAsia" w:ascii="宋体" w:hAnsi="宋体" w:eastAsia="宋体"/>
        </w:rPr>
      </w:pPr>
      <w:r>
        <w:rPr>
          <w:rFonts w:hint="eastAsia" w:ascii="宋体" w:hAnsi="宋体" w:eastAsia="宋体"/>
        </w:rPr>
        <w:t>新疆自治区及兵团政府采购项目电子标供应商培训</w:t>
      </w:r>
      <w:r>
        <w:rPr>
          <w:rFonts w:hint="eastAsia" w:ascii="宋体" w:hAnsi="宋体" w:eastAsia="宋体"/>
          <w:lang w:eastAsia="zh-CN"/>
        </w:rPr>
        <w:t>视频：</w:t>
      </w:r>
      <w:r>
        <w:rPr>
          <w:rFonts w:hint="eastAsia" w:ascii="宋体" w:hAnsi="宋体" w:eastAsia="宋体"/>
        </w:rPr>
        <w:t>https://edu.zcygov.cn/live/hall/detail?id=afe2a098c89c426097379094cf6fec6f&amp;type=vod</w:t>
      </w:r>
    </w:p>
    <w:p w14:paraId="6D7A630B">
      <w:pPr>
        <w:jc w:val="center"/>
        <w:rPr>
          <w:rFonts w:eastAsia="宋体"/>
        </w:rPr>
      </w:pPr>
    </w:p>
    <w:bookmarkEnd w:id="43"/>
    <w:p w14:paraId="7737886B">
      <w:pPr>
        <w:rPr>
          <w:rFonts w:ascii="黑体" w:hAnsi="宋体" w:eastAsia="黑体"/>
        </w:rPr>
      </w:pPr>
      <w:bookmarkStart w:id="44" w:name="_Hlk72428346"/>
      <w:r>
        <w:rPr>
          <w:rFonts w:ascii="黑体" w:hAnsi="宋体" w:eastAsia="黑体"/>
        </w:rPr>
        <w:t>2</w:t>
      </w:r>
      <w:r>
        <w:rPr>
          <w:rFonts w:hint="eastAsia" w:ascii="黑体" w:hAnsi="宋体" w:eastAsia="黑体"/>
          <w:lang w:val="en-US" w:eastAsia="zh-CN"/>
        </w:rPr>
        <w:t>5</w:t>
      </w:r>
      <w:r>
        <w:rPr>
          <w:rFonts w:hint="eastAsia" w:ascii="黑体" w:hAnsi="宋体" w:eastAsia="黑体"/>
        </w:rPr>
        <w:t>．</w:t>
      </w:r>
      <w:r>
        <w:rPr>
          <w:rFonts w:ascii="黑体" w:hAnsi="宋体" w:eastAsia="黑体"/>
        </w:rPr>
        <w:t>投标文件的修改和撤销</w:t>
      </w:r>
    </w:p>
    <w:p w14:paraId="71D4331A">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1</w:t>
      </w:r>
      <w:r>
        <w:rPr>
          <w:rFonts w:ascii="宋体" w:hAnsi="宋体" w:eastAsia="宋体"/>
        </w:rPr>
        <w:t>投标</w:t>
      </w:r>
      <w:r>
        <w:rPr>
          <w:rFonts w:hint="eastAsia" w:ascii="宋体" w:hAnsi="宋体" w:eastAsia="宋体"/>
        </w:rPr>
        <w:t>人</w:t>
      </w:r>
      <w:r>
        <w:rPr>
          <w:rFonts w:ascii="宋体" w:hAnsi="宋体" w:eastAsia="宋体"/>
        </w:rPr>
        <w:t>在提交投标文件后可对其投标文件进行修改</w:t>
      </w:r>
      <w:r>
        <w:rPr>
          <w:rFonts w:hint="eastAsia" w:ascii="宋体" w:hAnsi="宋体" w:eastAsia="宋体"/>
        </w:rPr>
        <w:t>并重新上传投标文件</w:t>
      </w:r>
      <w:r>
        <w:rPr>
          <w:rFonts w:ascii="宋体" w:hAnsi="宋体" w:eastAsia="宋体"/>
        </w:rPr>
        <w:t>或</w:t>
      </w:r>
      <w:r>
        <w:rPr>
          <w:rFonts w:hint="eastAsia" w:ascii="宋体" w:hAnsi="宋体" w:eastAsia="宋体"/>
        </w:rPr>
        <w:t>在网上进行</w:t>
      </w:r>
      <w:r>
        <w:rPr>
          <w:rFonts w:ascii="宋体" w:hAnsi="宋体" w:eastAsia="宋体"/>
        </w:rPr>
        <w:t>撤销</w:t>
      </w:r>
      <w:r>
        <w:rPr>
          <w:rFonts w:hint="eastAsia" w:ascii="宋体" w:hAnsi="宋体" w:eastAsia="宋体"/>
        </w:rPr>
        <w:t>投标的操作</w:t>
      </w:r>
      <w:r>
        <w:rPr>
          <w:rFonts w:ascii="宋体" w:hAnsi="宋体" w:eastAsia="宋体"/>
        </w:rPr>
        <w:t>。</w:t>
      </w:r>
    </w:p>
    <w:p w14:paraId="05FD371A">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2</w:t>
      </w:r>
      <w:r>
        <w:rPr>
          <w:rFonts w:ascii="宋体" w:hAnsi="宋体" w:eastAsia="宋体"/>
        </w:rPr>
        <w:t>投标截止时间以后不得修改投标文件。</w:t>
      </w:r>
    </w:p>
    <w:p w14:paraId="317279A0">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3从投标截止期至投标人在投标文件中确定的投标有效期之间的这段时间内，投标人不得撤回其投标。</w:t>
      </w:r>
    </w:p>
    <w:p w14:paraId="7CD1AEA6">
      <w:pPr>
        <w:ind w:firstLine="470" w:firstLineChars="196"/>
        <w:rPr>
          <w:rFonts w:ascii="宋体" w:hAnsi="宋体" w:eastAsia="宋体"/>
          <w:szCs w:val="21"/>
        </w:rPr>
      </w:pPr>
      <w:r>
        <w:rPr>
          <w:rFonts w:hint="eastAsia" w:ascii="宋体" w:hAnsi="宋体" w:eastAsia="宋体"/>
          <w:szCs w:val="21"/>
        </w:rPr>
        <w:t>2</w:t>
      </w:r>
      <w:r>
        <w:rPr>
          <w:rFonts w:hint="eastAsia" w:ascii="宋体" w:hAnsi="宋体" w:eastAsia="宋体"/>
          <w:szCs w:val="21"/>
          <w:lang w:val="en-US" w:eastAsia="zh-CN"/>
        </w:rPr>
        <w:t>5</w:t>
      </w:r>
      <w:r>
        <w:rPr>
          <w:rFonts w:hint="eastAsia" w:ascii="宋体" w:hAnsi="宋体" w:eastAsia="宋体"/>
          <w:szCs w:val="21"/>
        </w:rPr>
        <w:t>.4政府集中采购机构不退还投标文件，专用条款另有规定的除外。</w:t>
      </w:r>
      <w:bookmarkEnd w:id="44"/>
    </w:p>
    <w:p w14:paraId="004AE111">
      <w:pPr>
        <w:keepNext/>
        <w:keepLines/>
        <w:numPr>
          <w:ilvl w:val="0"/>
          <w:numId w:val="12"/>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开标</w:t>
      </w:r>
    </w:p>
    <w:p w14:paraId="4A2909A9">
      <w:pPr>
        <w:rPr>
          <w:rFonts w:ascii="黑体" w:hAnsi="宋体" w:eastAsia="黑体"/>
        </w:rPr>
      </w:pPr>
      <w:r>
        <w:rPr>
          <w:rFonts w:hint="eastAsia" w:ascii="黑体" w:hAnsi="宋体" w:eastAsia="黑体"/>
        </w:rPr>
        <w:t>28．开标</w:t>
      </w:r>
    </w:p>
    <w:p w14:paraId="771A879E">
      <w:pPr>
        <w:ind w:firstLine="360" w:firstLineChars="150"/>
        <w:rPr>
          <w:rFonts w:hint="eastAsia" w:ascii="宋体" w:hAnsi="宋体" w:eastAsia="宋体"/>
          <w:szCs w:val="21"/>
        </w:rPr>
      </w:pPr>
      <w:r>
        <w:rPr>
          <w:rFonts w:hint="eastAsia" w:ascii="宋体" w:hAnsi="宋体" w:eastAsia="宋体"/>
          <w:szCs w:val="21"/>
        </w:rPr>
        <w:t>1、本项目实行不见面招标，投标人无需到开标现场提交纸质版投标文件。</w:t>
      </w:r>
    </w:p>
    <w:p w14:paraId="7F66462A">
      <w:pPr>
        <w:ind w:firstLine="360" w:firstLineChars="150"/>
        <w:rPr>
          <w:rFonts w:hint="eastAsia" w:ascii="宋体" w:hAnsi="宋体" w:eastAsia="宋体"/>
          <w:szCs w:val="21"/>
        </w:rPr>
      </w:pPr>
      <w:r>
        <w:rPr>
          <w:rFonts w:hint="eastAsia" w:ascii="宋体" w:hAnsi="宋体" w:eastAsia="宋体"/>
          <w:szCs w:val="21"/>
        </w:rPr>
        <w:t>2、投标人应按照招标文件要求制作投标文件。</w:t>
      </w:r>
    </w:p>
    <w:p w14:paraId="09762FDC">
      <w:pPr>
        <w:ind w:firstLine="360" w:firstLineChars="150"/>
        <w:rPr>
          <w:rFonts w:hint="eastAsia" w:ascii="宋体" w:hAnsi="宋体" w:eastAsia="宋体"/>
          <w:szCs w:val="21"/>
        </w:rPr>
      </w:pPr>
      <w:r>
        <w:rPr>
          <w:rFonts w:hint="eastAsia" w:ascii="宋体" w:hAnsi="宋体" w:eastAsia="宋体"/>
          <w:szCs w:val="21"/>
        </w:rPr>
        <w:t>3、投标人在上传投标文件时需将文件加密后再上传至政府采购云平台投标客户端。</w:t>
      </w:r>
    </w:p>
    <w:p w14:paraId="3B37A06E">
      <w:pPr>
        <w:ind w:firstLine="360" w:firstLineChars="150"/>
        <w:rPr>
          <w:rFonts w:hint="eastAsia" w:ascii="宋体" w:hAnsi="宋体" w:eastAsia="宋体"/>
          <w:szCs w:val="21"/>
        </w:rPr>
      </w:pPr>
      <w:r>
        <w:rPr>
          <w:rFonts w:hint="eastAsia" w:ascii="宋体" w:hAnsi="宋体" w:eastAsia="宋体"/>
          <w:szCs w:val="21"/>
        </w:rPr>
        <w:t>4、投标人需按公告规定的时间登录政府采购云平台投标客户端对电子加密上传的投标文件进行解密（投标文件解密时长30分钟）。</w:t>
      </w:r>
    </w:p>
    <w:p w14:paraId="64EB9E7E">
      <w:pPr>
        <w:ind w:firstLine="360" w:firstLineChars="150"/>
        <w:rPr>
          <w:rFonts w:ascii="宋体" w:hAnsi="宋体" w:eastAsia="宋体"/>
          <w:szCs w:val="21"/>
        </w:rPr>
      </w:pPr>
      <w:r>
        <w:rPr>
          <w:rFonts w:hint="eastAsia" w:ascii="宋体" w:hAnsi="宋体" w:eastAsia="宋体"/>
          <w:szCs w:val="21"/>
        </w:rPr>
        <w:t>5、投标人在评标结束后才能退出政府采购云平台投标客户端，因投标文件在线解密、报价文件开标记录在线确认、评标委员会在线提问等都需要投标人在政府采购云平台投标客户端操作响应，如投标人提前退出政府采购云平台投标客户端，后果自负。</w:t>
      </w:r>
    </w:p>
    <w:p w14:paraId="52DDE4C9">
      <w:pPr>
        <w:keepNext/>
        <w:keepLines/>
        <w:numPr>
          <w:ilvl w:val="0"/>
          <w:numId w:val="12"/>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评审要求</w:t>
      </w:r>
    </w:p>
    <w:p w14:paraId="60F5FA92">
      <w:pPr>
        <w:rPr>
          <w:rFonts w:ascii="黑体" w:hAnsi="宋体" w:eastAsia="黑体"/>
          <w:color w:val="auto"/>
        </w:rPr>
      </w:pPr>
      <w:r>
        <w:rPr>
          <w:rFonts w:hint="eastAsia" w:ascii="黑体" w:hAnsi="宋体" w:eastAsia="黑体"/>
          <w:color w:val="auto"/>
        </w:rPr>
        <w:t>29．评审委员会组成</w:t>
      </w:r>
    </w:p>
    <w:p w14:paraId="2847ED1F">
      <w:pPr>
        <w:ind w:firstLine="470" w:firstLineChars="196"/>
        <w:rPr>
          <w:rFonts w:hint="eastAsia" w:ascii="宋体" w:hAnsi="宋体" w:eastAsia="宋体"/>
        </w:rPr>
      </w:pPr>
      <w:r>
        <w:rPr>
          <w:rFonts w:hint="eastAsia" w:ascii="宋体" w:hAnsi="宋体" w:eastAsia="宋体"/>
        </w:rPr>
        <w:t>29.</w:t>
      </w:r>
      <w:r>
        <w:rPr>
          <w:rFonts w:hint="eastAsia" w:ascii="宋体" w:hAnsi="宋体" w:eastAsia="宋体"/>
          <w:lang w:val="en-US" w:eastAsia="zh-CN"/>
        </w:rPr>
        <w:t>1</w:t>
      </w:r>
      <w:r>
        <w:rPr>
          <w:rFonts w:hint="eastAsia" w:ascii="宋体" w:hAnsi="宋体" w:eastAsia="宋体"/>
          <w:szCs w:val="21"/>
        </w:rPr>
        <w:t>评审委员采购人将组建评标委员会。评标委员会负责对投标文件进行评审和比较，并向采购人推荐中标候选人。</w:t>
      </w:r>
      <w:bookmarkStart w:id="45" w:name="_Hlk72436580"/>
      <w:r>
        <w:rPr>
          <w:rFonts w:hint="eastAsia" w:ascii="宋体" w:hAnsi="宋体" w:eastAsia="宋体"/>
        </w:rPr>
        <w:t>评审委员会由采购人代表和评审专家组成，成员人数应当为5人以上单数（部分条件下为7人以上单数），其中评审专家不得少于成员总数的三分之二。</w:t>
      </w:r>
      <w:bookmarkEnd w:id="45"/>
    </w:p>
    <w:p w14:paraId="07B7DF83">
      <w:pPr>
        <w:ind w:firstLine="470" w:firstLineChars="196"/>
        <w:rPr>
          <w:rFonts w:ascii="宋体" w:hAnsi="宋体" w:eastAsia="宋体"/>
        </w:rPr>
      </w:pPr>
      <w:r>
        <w:rPr>
          <w:rFonts w:hint="eastAsia" w:ascii="宋体" w:hAnsi="宋体" w:eastAsia="宋体"/>
        </w:rPr>
        <w:t>29.2评审定标应当遵循公平、公正、科学、择优的原则。</w:t>
      </w:r>
    </w:p>
    <w:p w14:paraId="1E4A6D54">
      <w:pPr>
        <w:ind w:firstLine="470" w:firstLineChars="196"/>
        <w:rPr>
          <w:rFonts w:ascii="宋体" w:hAnsi="宋体" w:eastAsia="宋体"/>
        </w:rPr>
      </w:pPr>
      <w:r>
        <w:rPr>
          <w:rFonts w:hint="eastAsia" w:ascii="宋体" w:hAnsi="宋体" w:eastAsia="宋体"/>
        </w:rPr>
        <w:t>29.3评审活动依法进行，任何单位和个人不得非法干预评标过程和结果。</w:t>
      </w:r>
    </w:p>
    <w:p w14:paraId="2E8115EC">
      <w:pPr>
        <w:ind w:firstLine="470" w:firstLineChars="196"/>
        <w:rPr>
          <w:rFonts w:ascii="宋体" w:hAnsi="宋体" w:eastAsia="宋体"/>
        </w:rPr>
      </w:pPr>
      <w:r>
        <w:rPr>
          <w:rFonts w:hint="eastAsia" w:ascii="宋体" w:hAnsi="宋体" w:eastAsia="宋体"/>
        </w:rPr>
        <w:t>29.4评审过程中不允许违背评标程序或采用招标文件未载明的评标方法或评标因素进行评标。</w:t>
      </w:r>
    </w:p>
    <w:p w14:paraId="4B29C1E8">
      <w:pPr>
        <w:ind w:firstLine="470" w:firstLineChars="196"/>
        <w:rPr>
          <w:rFonts w:ascii="宋体" w:hAnsi="宋体" w:eastAsia="宋体"/>
          <w:bCs/>
        </w:rPr>
      </w:pPr>
      <w:r>
        <w:rPr>
          <w:rFonts w:hint="eastAsia" w:ascii="宋体" w:hAnsi="宋体" w:eastAsia="宋体"/>
          <w:bCs/>
        </w:rPr>
        <w:t>29.5 开标后，直到签订合同为止，凡属于对投标文件的审查、澄清、评价和比较的有关资料以及中标候选人的推荐情况、与评审有关的其他任何情况均严格保密（</w:t>
      </w:r>
      <w:r>
        <w:rPr>
          <w:rFonts w:hint="eastAsia" w:eastAsia="宋体"/>
        </w:rPr>
        <w:t>信息公开的内容除外</w:t>
      </w:r>
      <w:r>
        <w:rPr>
          <w:rFonts w:hint="eastAsia" w:ascii="宋体" w:hAnsi="宋体" w:eastAsia="宋体"/>
          <w:bCs/>
        </w:rPr>
        <w:t>）。</w:t>
      </w:r>
    </w:p>
    <w:p w14:paraId="46460953">
      <w:pPr>
        <w:rPr>
          <w:rFonts w:ascii="黑体" w:hAnsi="宋体" w:eastAsia="黑体"/>
        </w:rPr>
      </w:pPr>
      <w:r>
        <w:rPr>
          <w:rFonts w:hint="eastAsia" w:ascii="黑体" w:hAnsi="宋体" w:eastAsia="黑体"/>
        </w:rPr>
        <w:t>30．向评审委员会提供的资料</w:t>
      </w:r>
    </w:p>
    <w:p w14:paraId="25E3F282">
      <w:pPr>
        <w:ind w:firstLine="470" w:firstLineChars="196"/>
        <w:rPr>
          <w:rFonts w:ascii="宋体" w:hAnsi="宋体" w:eastAsia="宋体"/>
        </w:rPr>
      </w:pPr>
      <w:r>
        <w:rPr>
          <w:rFonts w:hint="eastAsia" w:ascii="宋体" w:hAnsi="宋体" w:eastAsia="宋体"/>
        </w:rPr>
        <w:t>30.1公开发布的招标文件，包括图纸、服务清单、答疑文件等；</w:t>
      </w:r>
    </w:p>
    <w:p w14:paraId="077C5AEC">
      <w:pPr>
        <w:ind w:firstLine="470" w:firstLineChars="196"/>
        <w:rPr>
          <w:rFonts w:ascii="宋体" w:hAnsi="宋体" w:eastAsia="宋体"/>
        </w:rPr>
      </w:pPr>
      <w:r>
        <w:rPr>
          <w:rFonts w:hint="eastAsia" w:ascii="宋体" w:hAnsi="宋体" w:eastAsia="宋体"/>
        </w:rPr>
        <w:t>30.2其他评标必须的资料。</w:t>
      </w:r>
    </w:p>
    <w:p w14:paraId="538BA890">
      <w:pPr>
        <w:ind w:firstLine="470" w:firstLineChars="196"/>
        <w:rPr>
          <w:rFonts w:ascii="宋体" w:hAnsi="宋体" w:eastAsia="宋体"/>
        </w:rPr>
      </w:pPr>
      <w:r>
        <w:rPr>
          <w:rFonts w:hint="eastAsia" w:ascii="宋体" w:hAnsi="宋体" w:eastAsia="宋体"/>
        </w:rPr>
        <w:t>30.3</w:t>
      </w:r>
      <w:r>
        <w:rPr>
          <w:rFonts w:hint="eastAsia" w:ascii="宋体" w:hAnsi="宋体" w:eastAsia="宋体"/>
          <w:szCs w:val="21"/>
        </w:rPr>
        <w:t>评审委员会</w:t>
      </w:r>
      <w:r>
        <w:rPr>
          <w:rFonts w:hint="eastAsia" w:ascii="宋体" w:hAnsi="宋体" w:eastAsia="宋体"/>
        </w:rPr>
        <w:t>应当认真研究招标文件，至少应了解熟悉以下内容：</w:t>
      </w:r>
    </w:p>
    <w:p w14:paraId="39D1C040">
      <w:pPr>
        <w:ind w:firstLine="470" w:firstLineChars="196"/>
        <w:rPr>
          <w:rFonts w:ascii="宋体" w:hAnsi="宋体" w:eastAsia="宋体"/>
        </w:rPr>
      </w:pPr>
      <w:r>
        <w:rPr>
          <w:rFonts w:hint="eastAsia" w:ascii="宋体" w:hAnsi="宋体" w:eastAsia="宋体"/>
        </w:rPr>
        <w:t>（1）招标的目的；</w:t>
      </w:r>
    </w:p>
    <w:p w14:paraId="7E662901">
      <w:pPr>
        <w:ind w:firstLine="470" w:firstLineChars="196"/>
        <w:rPr>
          <w:rFonts w:ascii="宋体" w:hAnsi="宋体" w:eastAsia="宋体"/>
        </w:rPr>
      </w:pPr>
      <w:r>
        <w:rPr>
          <w:rFonts w:hint="eastAsia" w:ascii="宋体" w:hAnsi="宋体" w:eastAsia="宋体"/>
        </w:rPr>
        <w:t>（2）招标项目需求的范围和性质；</w:t>
      </w:r>
    </w:p>
    <w:p w14:paraId="0FFE7EA5">
      <w:pPr>
        <w:ind w:firstLine="470" w:firstLineChars="196"/>
        <w:rPr>
          <w:rFonts w:ascii="宋体" w:hAnsi="宋体" w:eastAsia="宋体"/>
        </w:rPr>
      </w:pPr>
      <w:r>
        <w:rPr>
          <w:rFonts w:hint="eastAsia" w:ascii="宋体" w:hAnsi="宋体" w:eastAsia="宋体"/>
        </w:rPr>
        <w:t>（3）招标文件规定的投标人的资格、财政预算限额、商务条款；</w:t>
      </w:r>
    </w:p>
    <w:p w14:paraId="6798850C">
      <w:pPr>
        <w:ind w:firstLine="470" w:firstLineChars="196"/>
        <w:rPr>
          <w:rFonts w:ascii="宋体" w:hAnsi="宋体" w:eastAsia="宋体"/>
        </w:rPr>
      </w:pPr>
      <w:r>
        <w:rPr>
          <w:rFonts w:hint="eastAsia" w:ascii="宋体" w:hAnsi="宋体" w:eastAsia="宋体"/>
        </w:rPr>
        <w:t>（4）招标文件规定的评标程序、评标方法和评标因素；</w:t>
      </w:r>
    </w:p>
    <w:p w14:paraId="1548E0D2">
      <w:pPr>
        <w:ind w:firstLine="470" w:firstLineChars="196"/>
        <w:rPr>
          <w:rFonts w:ascii="宋体" w:hAnsi="宋体" w:eastAsia="宋体"/>
        </w:rPr>
      </w:pPr>
      <w:r>
        <w:rPr>
          <w:rFonts w:hint="eastAsia" w:ascii="宋体" w:hAnsi="宋体" w:eastAsia="宋体"/>
        </w:rPr>
        <w:t>（5）招标文件所列示的资格性审查表及符合性审查表。</w:t>
      </w:r>
    </w:p>
    <w:p w14:paraId="79DB5B83">
      <w:pPr>
        <w:rPr>
          <w:rFonts w:ascii="黑体" w:hAnsi="宋体" w:eastAsia="黑体"/>
        </w:rPr>
      </w:pPr>
      <w:r>
        <w:rPr>
          <w:rFonts w:hint="eastAsia" w:ascii="黑体" w:hAnsi="宋体" w:eastAsia="黑体"/>
        </w:rPr>
        <w:t>31．独立评审</w:t>
      </w:r>
    </w:p>
    <w:p w14:paraId="5667ABF0">
      <w:pPr>
        <w:ind w:firstLine="470" w:firstLineChars="196"/>
        <w:rPr>
          <w:rFonts w:ascii="宋体" w:hAnsi="宋体" w:eastAsia="宋体"/>
          <w:bCs/>
        </w:rPr>
      </w:pPr>
      <w:r>
        <w:rPr>
          <w:rFonts w:hint="eastAsia" w:ascii="宋体" w:hAnsi="宋体" w:eastAsia="宋体"/>
          <w:bCs/>
        </w:rPr>
        <w:t>3</w:t>
      </w:r>
      <w:r>
        <w:rPr>
          <w:rFonts w:ascii="宋体" w:hAnsi="宋体" w:eastAsia="宋体"/>
          <w:bCs/>
        </w:rPr>
        <w:t>1</w:t>
      </w:r>
      <w:r>
        <w:rPr>
          <w:rFonts w:hint="eastAsia" w:ascii="宋体" w:hAnsi="宋体" w:eastAsia="宋体"/>
          <w:bCs/>
        </w:rPr>
        <w:t>.1</w:t>
      </w:r>
      <w:r>
        <w:rPr>
          <w:rFonts w:hint="eastAsia" w:ascii="宋体" w:hAnsi="宋体" w:eastAsia="宋体"/>
          <w:szCs w:val="21"/>
        </w:rPr>
        <w:t>评审委员会</w:t>
      </w:r>
      <w:r>
        <w:rPr>
          <w:rFonts w:hint="eastAsia" w:ascii="宋体" w:hAnsi="宋体" w:eastAsia="宋体"/>
          <w:bCs/>
        </w:rPr>
        <w:t>成员的评标活动应当独立进行，并应遵循投标文件初审、澄清有关问题、比较与评价、确定中标供应商、编写评审报告的工作程序。</w:t>
      </w:r>
    </w:p>
    <w:p w14:paraId="6FFFE181">
      <w:pPr>
        <w:keepNext/>
        <w:keepLines/>
        <w:numPr>
          <w:ilvl w:val="0"/>
          <w:numId w:val="12"/>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评审程序及评审方法</w:t>
      </w:r>
    </w:p>
    <w:p w14:paraId="79E353C5">
      <w:pPr>
        <w:rPr>
          <w:rFonts w:ascii="黑体" w:hAnsi="宋体" w:eastAsia="黑体"/>
        </w:rPr>
      </w:pPr>
      <w:r>
        <w:rPr>
          <w:rFonts w:hint="eastAsia" w:ascii="黑体" w:hAnsi="宋体" w:eastAsia="黑体"/>
        </w:rPr>
        <w:t>32．投标文件初审</w:t>
      </w:r>
    </w:p>
    <w:p w14:paraId="60BE9AF7">
      <w:pPr>
        <w:ind w:firstLine="470" w:firstLineChars="196"/>
        <w:rPr>
          <w:rFonts w:ascii="宋体" w:hAnsi="宋体" w:eastAsia="宋体"/>
        </w:rPr>
      </w:pPr>
      <w:r>
        <w:rPr>
          <w:rFonts w:hint="eastAsia" w:ascii="宋体" w:hAnsi="宋体" w:eastAsia="宋体"/>
        </w:rPr>
        <w:t>32.1投标文件初审包括资格性审查和符合性审查。</w:t>
      </w:r>
    </w:p>
    <w:p w14:paraId="4E28D86B">
      <w:pPr>
        <w:ind w:firstLine="470" w:firstLineChars="196"/>
        <w:rPr>
          <w:rFonts w:ascii="宋体" w:hAnsi="宋体" w:eastAsia="宋体"/>
        </w:rPr>
      </w:pPr>
      <w:r>
        <w:rPr>
          <w:rFonts w:hint="eastAsia" w:ascii="宋体" w:hAnsi="宋体" w:eastAsia="宋体"/>
        </w:rPr>
        <w:t>资格性审查：依据法律法规和招标文件的规定，对投标文件中的资格证明等进行审查，以确定投标供应商是否具备投标资格。</w:t>
      </w:r>
    </w:p>
    <w:p w14:paraId="2C8354E2">
      <w:pPr>
        <w:ind w:firstLine="470" w:firstLineChars="196"/>
        <w:rPr>
          <w:rFonts w:ascii="宋体" w:hAnsi="宋体" w:eastAsia="宋体"/>
        </w:rPr>
      </w:pPr>
      <w:r>
        <w:rPr>
          <w:rFonts w:hint="eastAsia" w:ascii="宋体" w:hAnsi="宋体" w:eastAsia="宋体"/>
        </w:rPr>
        <w:t>符合性审查：依据招标文件的规定，对投标文件的有效性、完整性和对招标文件的响应程度进行审查，以确定是否满足符合性审查的要求。</w:t>
      </w:r>
    </w:p>
    <w:p w14:paraId="04C3E23C">
      <w:pPr>
        <w:ind w:firstLine="470" w:firstLineChars="196"/>
        <w:rPr>
          <w:rFonts w:ascii="宋体" w:hAnsi="宋体" w:eastAsia="宋体"/>
        </w:rPr>
      </w:pPr>
      <w:r>
        <w:rPr>
          <w:rFonts w:hint="eastAsia" w:ascii="宋体" w:hAnsi="宋体" w:eastAsia="宋体"/>
        </w:rPr>
        <w:t>32.2 投标文件初审内容请详见《资格性审查表》和《符合性审查表》部分。投标人若有一条审查不通过则按投标无效处理。</w:t>
      </w:r>
    </w:p>
    <w:p w14:paraId="56646ABB">
      <w:pPr>
        <w:ind w:firstLine="470" w:firstLineChars="196"/>
        <w:rPr>
          <w:rFonts w:ascii="宋体" w:hAnsi="宋体" w:eastAsia="宋体"/>
          <w:bCs/>
        </w:rPr>
      </w:pPr>
      <w:r>
        <w:rPr>
          <w:rFonts w:hint="eastAsia" w:ascii="宋体" w:hAnsi="宋体" w:eastAsia="宋体"/>
          <w:bCs/>
        </w:rPr>
        <w:t>32.3 投标文件初审中关于供应商家数的计算:</w:t>
      </w:r>
    </w:p>
    <w:p w14:paraId="010829CE">
      <w:pPr>
        <w:ind w:firstLine="470" w:firstLineChars="196"/>
        <w:rPr>
          <w:rFonts w:ascii="宋体" w:hAnsi="宋体" w:eastAsia="宋体"/>
          <w:bCs/>
        </w:rPr>
      </w:pPr>
      <w:r>
        <w:rPr>
          <w:rFonts w:hint="eastAsia" w:ascii="宋体" w:hAnsi="宋体" w:eastAsia="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4CE21F85">
      <w:pPr>
        <w:ind w:firstLine="470" w:firstLineChars="196"/>
        <w:rPr>
          <w:rFonts w:ascii="宋体" w:hAnsi="宋体" w:eastAsia="宋体"/>
          <w:bCs/>
        </w:rPr>
      </w:pPr>
      <w:r>
        <w:rPr>
          <w:rFonts w:hint="eastAsia" w:ascii="宋体" w:hAnsi="宋体" w:eastAsia="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eastAsia="宋体"/>
          <w:bCs/>
          <w:szCs w:val="21"/>
        </w:rPr>
        <w:t>评审委员会</w:t>
      </w:r>
      <w:r>
        <w:rPr>
          <w:rFonts w:hint="eastAsia" w:ascii="宋体" w:hAnsi="宋体" w:eastAsia="宋体"/>
          <w:bCs/>
        </w:rPr>
        <w:t>按照招标文件规定的方式确定一个投标人获得中标人推荐资格，招标文件未规定的采取随机抽取方式确定，其他同品牌投标人不作为中标候选人。</w:t>
      </w:r>
    </w:p>
    <w:p w14:paraId="33C8BA5B">
      <w:pPr>
        <w:ind w:firstLine="470" w:firstLineChars="196"/>
        <w:rPr>
          <w:rFonts w:ascii="宋体" w:hAnsi="宋体" w:eastAsia="宋体"/>
          <w:bCs/>
        </w:rPr>
      </w:pPr>
      <w:r>
        <w:rPr>
          <w:rFonts w:hint="eastAsia" w:ascii="宋体" w:hAnsi="宋体" w:eastAsia="宋体"/>
          <w:bCs/>
        </w:rPr>
        <w:t>32.3.3非单一产品采购项目，采购人应当根据采购项目技术构成、产品价格比重等合理确定核心产品，并在招标文件中载明。多家投标人提供的核心产品品牌相同的，按前两款规定处理。</w:t>
      </w:r>
    </w:p>
    <w:p w14:paraId="275C4179">
      <w:pPr>
        <w:ind w:firstLine="470" w:firstLineChars="196"/>
        <w:rPr>
          <w:rFonts w:ascii="宋体" w:hAnsi="宋体" w:eastAsia="宋体"/>
        </w:rPr>
      </w:pPr>
      <w:r>
        <w:rPr>
          <w:rFonts w:hint="eastAsia" w:ascii="宋体" w:hAnsi="宋体" w:eastAsia="宋体"/>
        </w:rPr>
        <w:t>32.4投标人投标文件作无效处理的情形，具体包括但不限于以下：</w:t>
      </w:r>
    </w:p>
    <w:p w14:paraId="1CFB5B85">
      <w:pPr>
        <w:ind w:firstLine="470" w:firstLineChars="196"/>
        <w:rPr>
          <w:rFonts w:eastAsia="宋体"/>
        </w:rPr>
      </w:pPr>
      <w:r>
        <w:rPr>
          <w:rFonts w:hint="eastAsia" w:ascii="宋体" w:hAnsi="宋体" w:eastAsia="宋体"/>
        </w:rPr>
        <w:t>32.4.1</w:t>
      </w:r>
      <w:r>
        <w:rPr>
          <w:rFonts w:hint="eastAsia" w:eastAsia="宋体"/>
        </w:rPr>
        <w:t>不同投标人的投标文件由同一单位或者同一个人编制，或者由同一个人分阶段参与编制；</w:t>
      </w:r>
    </w:p>
    <w:p w14:paraId="7D77675D">
      <w:pPr>
        <w:ind w:firstLine="470" w:firstLineChars="196"/>
        <w:rPr>
          <w:rFonts w:eastAsia="宋体"/>
        </w:rPr>
      </w:pPr>
      <w:r>
        <w:rPr>
          <w:rFonts w:ascii="宋体" w:hAnsi="宋体" w:eastAsia="宋体"/>
        </w:rPr>
        <w:t>32.4.</w:t>
      </w:r>
      <w:r>
        <w:rPr>
          <w:rFonts w:hint="eastAsia" w:ascii="宋体" w:hAnsi="宋体" w:eastAsia="宋体"/>
        </w:rPr>
        <w:t>2</w:t>
      </w:r>
      <w:r>
        <w:rPr>
          <w:rFonts w:hint="eastAsia" w:eastAsia="宋体"/>
        </w:rPr>
        <w:t>不同投标人委托同一单位或者个人办理投标事宜；</w:t>
      </w:r>
    </w:p>
    <w:p w14:paraId="6D7C0197">
      <w:pPr>
        <w:ind w:firstLine="470" w:firstLineChars="196"/>
        <w:rPr>
          <w:rFonts w:ascii="宋体" w:hAnsi="宋体" w:eastAsia="宋体"/>
        </w:rPr>
      </w:pPr>
      <w:r>
        <w:rPr>
          <w:rFonts w:hint="eastAsia" w:ascii="宋体" w:hAnsi="宋体" w:eastAsia="宋体"/>
        </w:rPr>
        <w:t>32.4.3不同投标人的投标文件载明的项目管理成员或者联系人员为同一人；</w:t>
      </w:r>
    </w:p>
    <w:p w14:paraId="20DB8702">
      <w:pPr>
        <w:ind w:firstLine="470" w:firstLineChars="196"/>
        <w:rPr>
          <w:rFonts w:ascii="宋体" w:hAnsi="宋体" w:eastAsia="宋体"/>
        </w:rPr>
      </w:pPr>
      <w:r>
        <w:rPr>
          <w:rFonts w:hint="eastAsia" w:ascii="宋体" w:hAnsi="宋体" w:eastAsia="宋体"/>
        </w:rPr>
        <w:t>32.4.4不同投标人的投标文件异常一致或者投标报价呈规律性差异；</w:t>
      </w:r>
    </w:p>
    <w:p w14:paraId="51E7BB1C">
      <w:pPr>
        <w:ind w:firstLine="470" w:firstLineChars="196"/>
        <w:rPr>
          <w:rFonts w:ascii="宋体" w:hAnsi="宋体" w:eastAsia="宋体"/>
        </w:rPr>
      </w:pPr>
      <w:r>
        <w:rPr>
          <w:rFonts w:hint="eastAsia" w:ascii="宋体" w:hAnsi="宋体" w:eastAsia="宋体"/>
        </w:rPr>
        <w:t>32.4.5</w:t>
      </w:r>
      <w:r>
        <w:rPr>
          <w:rFonts w:ascii="宋体" w:hAnsi="宋体" w:eastAsia="宋体"/>
        </w:rPr>
        <w:t>不同投标供应商的投标文件或部分投标文件相互混装</w:t>
      </w:r>
      <w:r>
        <w:rPr>
          <w:rFonts w:hint="eastAsia" w:ascii="宋体" w:hAnsi="宋体" w:eastAsia="宋体"/>
        </w:rPr>
        <w:t>；</w:t>
      </w:r>
    </w:p>
    <w:p w14:paraId="35150E93">
      <w:pPr>
        <w:ind w:firstLine="470" w:firstLineChars="196"/>
        <w:rPr>
          <w:rFonts w:ascii="宋体" w:hAnsi="宋体" w:eastAsia="宋体"/>
        </w:rPr>
      </w:pPr>
      <w:r>
        <w:rPr>
          <w:rFonts w:hint="eastAsia" w:ascii="宋体" w:hAnsi="宋体" w:eastAsia="宋体"/>
        </w:rPr>
        <w:t>32.4.6投标供应商之间相互约定给予未中标的供应商利益补偿；</w:t>
      </w:r>
    </w:p>
    <w:p w14:paraId="1A787753">
      <w:pPr>
        <w:ind w:firstLine="470" w:firstLineChars="196"/>
        <w:rPr>
          <w:rFonts w:ascii="宋体" w:hAnsi="宋体" w:eastAsia="宋体"/>
        </w:rPr>
      </w:pPr>
      <w:r>
        <w:rPr>
          <w:rFonts w:hint="eastAsia" w:ascii="宋体" w:hAnsi="宋体" w:eastAsia="宋体"/>
        </w:rPr>
        <w:t>32.4.7不同投标供应商的法定代表人、主要经营负责人、项目投标授权代表人、项目负责人、主要技术人员为同一人、属同一单位或者同一单位缴纳社会保险；</w:t>
      </w:r>
    </w:p>
    <w:p w14:paraId="396B62FC">
      <w:pPr>
        <w:ind w:firstLine="470" w:firstLineChars="196"/>
        <w:rPr>
          <w:rFonts w:ascii="宋体" w:hAnsi="宋体" w:eastAsia="宋体"/>
        </w:rPr>
      </w:pPr>
      <w:r>
        <w:rPr>
          <w:rFonts w:hint="eastAsia" w:ascii="宋体" w:hAnsi="宋体" w:eastAsia="宋体"/>
        </w:rPr>
        <w:t>32.4.8不同投标供应商的投标文件内容存在非正常一致；</w:t>
      </w:r>
    </w:p>
    <w:p w14:paraId="344C63EA">
      <w:pPr>
        <w:ind w:firstLine="470" w:firstLineChars="196"/>
        <w:rPr>
          <w:rFonts w:ascii="宋体" w:hAnsi="宋体" w:eastAsia="宋体"/>
        </w:rPr>
      </w:pPr>
      <w:r>
        <w:rPr>
          <w:rFonts w:hint="eastAsia" w:ascii="宋体" w:hAnsi="宋体" w:eastAsia="宋体"/>
        </w:rPr>
        <w:t>32.4.9在同一单位工作人员为两家以上（含两家）供应商进行同一项投标活动；</w:t>
      </w:r>
    </w:p>
    <w:p w14:paraId="7593A462">
      <w:pPr>
        <w:ind w:firstLine="470" w:firstLineChars="196"/>
        <w:rPr>
          <w:rFonts w:ascii="宋体" w:hAnsi="宋体" w:eastAsia="宋体"/>
        </w:rPr>
      </w:pPr>
      <w:r>
        <w:rPr>
          <w:rFonts w:hint="eastAsia" w:ascii="宋体" w:hAnsi="宋体" w:eastAsia="宋体"/>
        </w:rPr>
        <w:t>32.4.10主管部门依照法律、法规认定的其他情形。</w:t>
      </w:r>
    </w:p>
    <w:p w14:paraId="1C294DDF">
      <w:pPr>
        <w:ind w:firstLine="470" w:firstLineChars="196"/>
        <w:rPr>
          <w:rFonts w:ascii="宋体" w:hAnsi="宋体" w:eastAsia="宋体"/>
        </w:rPr>
      </w:pPr>
      <w:r>
        <w:rPr>
          <w:rFonts w:hint="eastAsia" w:ascii="宋体" w:hAnsi="宋体" w:eastAsia="宋体"/>
        </w:rPr>
        <w:t>32.5对不属于《资格性审查表》和《符合性审查表》所列的其他情形，除专用条款另有规定和32.4条款所列情形外，不得作为投标无效的理由。</w:t>
      </w:r>
    </w:p>
    <w:p w14:paraId="388F8F3E">
      <w:pPr>
        <w:rPr>
          <w:rFonts w:ascii="黑体" w:hAnsi="宋体" w:eastAsia="黑体"/>
        </w:rPr>
      </w:pPr>
      <w:r>
        <w:rPr>
          <w:rFonts w:hint="eastAsia" w:ascii="黑体" w:hAnsi="宋体" w:eastAsia="黑体"/>
        </w:rPr>
        <w:t>33．澄清有关问题</w:t>
      </w:r>
    </w:p>
    <w:p w14:paraId="0B8AF350">
      <w:pPr>
        <w:ind w:firstLine="470" w:firstLineChars="196"/>
        <w:rPr>
          <w:rFonts w:ascii="宋体" w:hAnsi="宋体" w:eastAsia="宋体"/>
        </w:rPr>
      </w:pPr>
      <w:bookmarkStart w:id="46" w:name="_Hlk71407321"/>
      <w:r>
        <w:rPr>
          <w:rFonts w:hint="eastAsia" w:ascii="宋体" w:hAnsi="宋体" w:eastAsia="宋体"/>
        </w:rPr>
        <w:t>3</w:t>
      </w:r>
      <w:r>
        <w:rPr>
          <w:rFonts w:ascii="宋体" w:hAnsi="宋体" w:eastAsia="宋体"/>
        </w:rPr>
        <w:t>3.1</w:t>
      </w:r>
      <w:r>
        <w:rPr>
          <w:rFonts w:hint="eastAsia" w:ascii="宋体" w:hAnsi="宋体" w:eastAsia="宋体"/>
        </w:rPr>
        <w:t>对招标文件中描述有歧义或前后不一致的地方（不含</w:t>
      </w:r>
      <w:r>
        <w:rPr>
          <w:rFonts w:eastAsia="宋体"/>
          <w:szCs w:val="21"/>
        </w:rPr>
        <w:t>招标文件存在歧义、重大缺陷导致评</w:t>
      </w:r>
      <w:r>
        <w:rPr>
          <w:rFonts w:hint="eastAsia" w:eastAsia="宋体"/>
          <w:szCs w:val="21"/>
        </w:rPr>
        <w:t>审</w:t>
      </w:r>
      <w:r>
        <w:rPr>
          <w:rFonts w:eastAsia="宋体"/>
          <w:szCs w:val="21"/>
        </w:rPr>
        <w:t>工作无法进行</w:t>
      </w:r>
      <w:r>
        <w:rPr>
          <w:rFonts w:hint="eastAsia" w:eastAsia="宋体"/>
          <w:szCs w:val="21"/>
        </w:rPr>
        <w:t>的情况）</w:t>
      </w:r>
      <w:r>
        <w:rPr>
          <w:rFonts w:hint="eastAsia" w:ascii="宋体" w:hAnsi="宋体" w:eastAsia="宋体"/>
        </w:rPr>
        <w:t>，评审委员会有权进行评判，但对同一条款的评判应适用于每个投标人。</w:t>
      </w:r>
      <w:bookmarkEnd w:id="46"/>
    </w:p>
    <w:p w14:paraId="3A8758EA">
      <w:pPr>
        <w:ind w:firstLine="470" w:firstLineChars="196"/>
        <w:rPr>
          <w:rFonts w:ascii="宋体" w:hAnsi="宋体" w:eastAsia="宋体"/>
        </w:rPr>
      </w:pPr>
      <w:r>
        <w:rPr>
          <w:rFonts w:hint="eastAsia" w:ascii="宋体" w:hAnsi="宋体" w:eastAsia="宋体"/>
        </w:rPr>
        <w:t>3</w:t>
      </w:r>
      <w:r>
        <w:rPr>
          <w:rFonts w:ascii="宋体" w:hAnsi="宋体" w:eastAsia="宋体"/>
        </w:rPr>
        <w:t>3.2</w:t>
      </w:r>
      <w:r>
        <w:rPr>
          <w:rFonts w:eastAsia="宋体"/>
          <w:szCs w:val="21"/>
        </w:rPr>
        <w:t>评</w:t>
      </w:r>
      <w:r>
        <w:rPr>
          <w:rFonts w:hint="eastAsia" w:eastAsia="宋体"/>
          <w:szCs w:val="21"/>
        </w:rPr>
        <w:t>审</w:t>
      </w:r>
      <w:r>
        <w:rPr>
          <w:rFonts w:eastAsia="宋体"/>
          <w:szCs w:val="21"/>
        </w:rPr>
        <w:t>委员会发现招标文件存在歧义、重大缺陷导致评</w:t>
      </w:r>
      <w:r>
        <w:rPr>
          <w:rFonts w:hint="eastAsia" w:eastAsia="宋体"/>
          <w:szCs w:val="21"/>
        </w:rPr>
        <w:t>审</w:t>
      </w:r>
      <w:r>
        <w:rPr>
          <w:rFonts w:eastAsia="宋体"/>
          <w:szCs w:val="21"/>
        </w:rPr>
        <w:t>工作无法进行，或者招标文件内容违反国家有关强制性规定的，应当停止评</w:t>
      </w:r>
      <w:r>
        <w:rPr>
          <w:rFonts w:hint="eastAsia" w:eastAsia="宋体"/>
          <w:szCs w:val="21"/>
        </w:rPr>
        <w:t>审</w:t>
      </w:r>
      <w:r>
        <w:rPr>
          <w:rFonts w:eastAsia="宋体"/>
          <w:szCs w:val="21"/>
        </w:rPr>
        <w:t>工作，与</w:t>
      </w:r>
      <w:r>
        <w:rPr>
          <w:rFonts w:hint="eastAsia" w:eastAsia="宋体"/>
          <w:szCs w:val="21"/>
        </w:rPr>
        <w:t>政府集中采购机构</w:t>
      </w:r>
      <w:r>
        <w:rPr>
          <w:rFonts w:eastAsia="宋体"/>
          <w:szCs w:val="21"/>
        </w:rPr>
        <w:t>沟通并作书面记录。</w:t>
      </w:r>
      <w:r>
        <w:rPr>
          <w:rFonts w:hint="eastAsia" w:eastAsia="宋体"/>
          <w:szCs w:val="21"/>
        </w:rPr>
        <w:t>经</w:t>
      </w:r>
      <w:r>
        <w:rPr>
          <w:rFonts w:eastAsia="宋体"/>
          <w:szCs w:val="21"/>
        </w:rPr>
        <w:t>确认后，</w:t>
      </w:r>
      <w:r>
        <w:rPr>
          <w:rFonts w:hint="eastAsia" w:eastAsia="宋体"/>
          <w:szCs w:val="21"/>
        </w:rPr>
        <w:t>项目</w:t>
      </w:r>
      <w:r>
        <w:rPr>
          <w:rFonts w:eastAsia="宋体"/>
          <w:szCs w:val="21"/>
        </w:rPr>
        <w:t>应当修改招标文件，重新组织采购活动。</w:t>
      </w:r>
    </w:p>
    <w:p w14:paraId="490CD878">
      <w:pPr>
        <w:ind w:firstLine="470" w:firstLineChars="196"/>
        <w:rPr>
          <w:rFonts w:ascii="宋体" w:hAnsi="宋体" w:eastAsia="宋体"/>
        </w:rPr>
      </w:pPr>
      <w:r>
        <w:rPr>
          <w:rFonts w:ascii="宋体" w:hAnsi="宋体" w:eastAsia="宋体"/>
        </w:rPr>
        <w:t>33.3</w:t>
      </w:r>
      <w:r>
        <w:rPr>
          <w:rFonts w:hint="eastAsia" w:ascii="宋体" w:hAnsi="宋体" w:eastAsia="宋体"/>
        </w:rPr>
        <w:t>对于投标文件中含义不明确、同类问题表述不一致或者有明显文字和计算错误的内容，评审委员会应当以书面形式要求投标人作出必要的澄清、说明或者补正。</w:t>
      </w:r>
    </w:p>
    <w:p w14:paraId="76F38BC7">
      <w:pPr>
        <w:ind w:firstLine="470" w:firstLineChars="196"/>
        <w:rPr>
          <w:rFonts w:ascii="宋体" w:hAnsi="宋体" w:eastAsia="宋体"/>
        </w:rPr>
      </w:pPr>
      <w:r>
        <w:rPr>
          <w:rFonts w:hint="eastAsia" w:ascii="宋体" w:hAnsi="宋体" w:eastAsia="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77CFB880">
      <w:pPr>
        <w:ind w:firstLine="470" w:firstLineChars="196"/>
        <w:rPr>
          <w:rFonts w:ascii="宋体" w:hAnsi="宋体" w:eastAsia="宋体"/>
          <w:szCs w:val="21"/>
        </w:rPr>
      </w:pPr>
      <w:r>
        <w:rPr>
          <w:rFonts w:hint="eastAsia" w:ascii="宋体" w:hAnsi="宋体" w:eastAsia="宋体"/>
          <w:szCs w:val="21"/>
        </w:rPr>
        <w:t>根据本通用条款第34条，凡属于评审委员会在评审中发现的算术错误进行核实的修改不在此列。</w:t>
      </w:r>
    </w:p>
    <w:p w14:paraId="45CE91F8">
      <w:pPr>
        <w:rPr>
          <w:rFonts w:ascii="黑体" w:hAnsi="宋体" w:eastAsia="黑体"/>
        </w:rPr>
      </w:pPr>
      <w:bookmarkStart w:id="47" w:name="_Toc73518151"/>
      <w:bookmarkStart w:id="48" w:name="_Toc73521581"/>
      <w:bookmarkStart w:id="49" w:name="_Toc100052400"/>
      <w:bookmarkStart w:id="50" w:name="_Toc73517673"/>
      <w:bookmarkStart w:id="51" w:name="_Toc73521669"/>
      <w:r>
        <w:rPr>
          <w:rFonts w:hint="eastAsia" w:ascii="黑体" w:hAnsi="宋体" w:eastAsia="黑体"/>
        </w:rPr>
        <w:t>34．错误的修正</w:t>
      </w:r>
      <w:bookmarkEnd w:id="47"/>
      <w:bookmarkEnd w:id="48"/>
      <w:bookmarkEnd w:id="49"/>
      <w:bookmarkEnd w:id="50"/>
      <w:bookmarkEnd w:id="51"/>
    </w:p>
    <w:p w14:paraId="1BB8F819">
      <w:pPr>
        <w:ind w:firstLine="470" w:firstLineChars="196"/>
        <w:rPr>
          <w:rFonts w:ascii="宋体" w:hAnsi="宋体" w:eastAsia="宋体"/>
          <w:szCs w:val="21"/>
        </w:rPr>
      </w:pPr>
      <w:r>
        <w:rPr>
          <w:rFonts w:hint="eastAsia" w:ascii="宋体" w:hAnsi="宋体" w:eastAsia="宋体"/>
          <w:szCs w:val="21"/>
        </w:rPr>
        <w:t>投标文件报价出现前后不一致的，除专用条款另有规定外，按照下列规定修正：</w:t>
      </w:r>
    </w:p>
    <w:p w14:paraId="7A692C54">
      <w:pPr>
        <w:ind w:firstLine="470" w:firstLineChars="196"/>
        <w:rPr>
          <w:rFonts w:ascii="宋体" w:hAnsi="宋体" w:eastAsia="宋体"/>
          <w:szCs w:val="21"/>
        </w:rPr>
      </w:pPr>
      <w:r>
        <w:rPr>
          <w:rFonts w:hint="eastAsia" w:ascii="宋体" w:hAnsi="宋体" w:eastAsia="宋体"/>
          <w:szCs w:val="21"/>
        </w:rPr>
        <w:t>34.1投标文件中开标一览表投标报价内容与投标文件中投标报价相应内容不一致的，以开标一览表为准；</w:t>
      </w:r>
    </w:p>
    <w:p w14:paraId="6EA95974">
      <w:pPr>
        <w:ind w:firstLine="470" w:firstLineChars="196"/>
        <w:rPr>
          <w:rFonts w:ascii="宋体" w:hAnsi="宋体" w:eastAsia="宋体"/>
          <w:szCs w:val="21"/>
        </w:rPr>
      </w:pPr>
      <w:r>
        <w:rPr>
          <w:rFonts w:hint="eastAsia" w:ascii="宋体" w:hAnsi="宋体" w:eastAsia="宋体"/>
          <w:szCs w:val="21"/>
        </w:rPr>
        <w:t>34.2大写金额和小写金额不一致的，以大写金额为准；</w:t>
      </w:r>
    </w:p>
    <w:p w14:paraId="7A914264">
      <w:pPr>
        <w:ind w:firstLine="470" w:firstLineChars="196"/>
        <w:rPr>
          <w:rFonts w:ascii="宋体" w:hAnsi="宋体" w:eastAsia="宋体"/>
          <w:szCs w:val="21"/>
        </w:rPr>
      </w:pPr>
      <w:r>
        <w:rPr>
          <w:rFonts w:hint="eastAsia" w:ascii="宋体" w:hAnsi="宋体" w:eastAsia="宋体"/>
          <w:szCs w:val="21"/>
        </w:rPr>
        <w:t>34.3单价金额小数点或者百分比有明显错位，以开标一览表的总价为准，并修改单价；</w:t>
      </w:r>
    </w:p>
    <w:p w14:paraId="03352FBA">
      <w:pPr>
        <w:ind w:firstLine="470" w:firstLineChars="196"/>
        <w:rPr>
          <w:rFonts w:ascii="宋体" w:hAnsi="宋体" w:eastAsia="宋体"/>
          <w:szCs w:val="21"/>
        </w:rPr>
      </w:pPr>
      <w:r>
        <w:rPr>
          <w:rFonts w:hint="eastAsia" w:ascii="宋体" w:hAnsi="宋体" w:eastAsia="宋体"/>
          <w:szCs w:val="21"/>
        </w:rPr>
        <w:t>34.4总价金额与按单价汇总金额不一致的，以单价金额计算结果为准。</w:t>
      </w:r>
    </w:p>
    <w:p w14:paraId="0AAADE1F">
      <w:pPr>
        <w:ind w:firstLine="470" w:firstLineChars="196"/>
        <w:rPr>
          <w:rFonts w:ascii="宋体" w:hAnsi="宋体" w:eastAsia="宋体"/>
          <w:szCs w:val="21"/>
        </w:rPr>
      </w:pPr>
      <w:r>
        <w:rPr>
          <w:rFonts w:hint="eastAsia" w:ascii="宋体" w:hAnsi="宋体" w:eastAsia="宋体"/>
          <w:szCs w:val="21"/>
        </w:rPr>
        <w:t>34.5同时出现两种以上不一致的，按照前款规定的顺序修正。修正后的报价按照本通用条款33条的规定，经投标人确认后产生约束力，投标人不确认的，其投标无效。</w:t>
      </w:r>
    </w:p>
    <w:p w14:paraId="126A3C47">
      <w:pPr>
        <w:rPr>
          <w:rFonts w:ascii="黑体" w:hAnsi="宋体" w:eastAsia="黑体"/>
        </w:rPr>
      </w:pPr>
      <w:r>
        <w:rPr>
          <w:rFonts w:hint="eastAsia" w:ascii="黑体" w:hAnsi="宋体" w:eastAsia="黑体"/>
        </w:rPr>
        <w:t>35．投标文件的比较与评价</w:t>
      </w:r>
    </w:p>
    <w:p w14:paraId="0627B003">
      <w:pPr>
        <w:ind w:firstLine="470" w:firstLineChars="196"/>
        <w:rPr>
          <w:rFonts w:ascii="宋体" w:hAnsi="宋体" w:eastAsia="宋体"/>
          <w:szCs w:val="21"/>
        </w:rPr>
      </w:pPr>
      <w:r>
        <w:rPr>
          <w:rFonts w:hint="eastAsia" w:ascii="宋体" w:hAnsi="宋体" w:eastAsia="宋体"/>
          <w:szCs w:val="21"/>
        </w:rPr>
        <w:t>评审委员会将按照政府采购其他法律法规，仅对通过资格性审查和符合性审查的投标文件进行综合比较与评价。</w:t>
      </w:r>
    </w:p>
    <w:p w14:paraId="4CA72390">
      <w:pPr>
        <w:ind w:firstLine="470" w:firstLineChars="196"/>
        <w:rPr>
          <w:rFonts w:ascii="宋体" w:hAnsi="宋体" w:eastAsia="宋体"/>
          <w:szCs w:val="21"/>
        </w:rPr>
      </w:pPr>
      <w:r>
        <w:rPr>
          <w:rFonts w:hint="eastAsia" w:ascii="宋体" w:hAnsi="宋体" w:eastAsia="宋体"/>
          <w:szCs w:val="21"/>
        </w:rPr>
        <w:t>评审委员会成员对需要共同认定的事项存在争议的，应当按照少数服从多数的原则作出结论。持不同意见的评审委员会成员应当书面作出说明，否则视为无异议。</w:t>
      </w:r>
    </w:p>
    <w:p w14:paraId="48DCF498">
      <w:pPr>
        <w:rPr>
          <w:rFonts w:ascii="黑体" w:hAnsi="宋体" w:eastAsia="黑体"/>
        </w:rPr>
      </w:pPr>
      <w:r>
        <w:rPr>
          <w:rFonts w:hint="eastAsia" w:ascii="黑体" w:hAnsi="宋体" w:eastAsia="黑体"/>
        </w:rPr>
        <w:t>36. 实地考察或资料查验</w:t>
      </w:r>
    </w:p>
    <w:p w14:paraId="1135ACC0">
      <w:pPr>
        <w:ind w:firstLine="470" w:firstLineChars="196"/>
        <w:rPr>
          <w:rFonts w:ascii="宋体" w:hAnsi="宋体" w:eastAsia="宋体"/>
          <w:szCs w:val="21"/>
        </w:rPr>
      </w:pPr>
      <w:r>
        <w:rPr>
          <w:rFonts w:hint="eastAsia" w:ascii="宋体" w:hAnsi="宋体" w:eastAsia="宋体"/>
          <w:szCs w:val="21"/>
        </w:rPr>
        <w:t>36.1在评审过程中，评审委员会有权决定是否对本项目投标人进行实地考察或资料查验。投标人应随时做好接受实地考察或资料查验的准备。</w:t>
      </w:r>
    </w:p>
    <w:p w14:paraId="65CF533E">
      <w:pPr>
        <w:rPr>
          <w:rFonts w:ascii="黑体" w:hAnsi="宋体" w:eastAsia="黑体"/>
        </w:rPr>
      </w:pPr>
      <w:r>
        <w:rPr>
          <w:rFonts w:hint="eastAsia" w:ascii="黑体" w:hAnsi="宋体" w:eastAsia="黑体"/>
        </w:rPr>
        <w:t>37．评审方法</w:t>
      </w:r>
    </w:p>
    <w:p w14:paraId="72815952">
      <w:pPr>
        <w:ind w:firstLine="472" w:firstLineChars="196"/>
        <w:rPr>
          <w:rFonts w:ascii="宋体" w:hAnsi="宋体" w:eastAsia="宋体"/>
          <w:b/>
          <w:bCs/>
          <w:szCs w:val="21"/>
        </w:rPr>
      </w:pPr>
      <w:r>
        <w:rPr>
          <w:rFonts w:hint="eastAsia" w:ascii="宋体" w:hAnsi="宋体" w:eastAsia="宋体"/>
          <w:b/>
          <w:bCs/>
          <w:szCs w:val="21"/>
        </w:rPr>
        <w:t>37.1.1最低价法</w:t>
      </w:r>
    </w:p>
    <w:p w14:paraId="1A45A551">
      <w:pPr>
        <w:ind w:firstLine="470" w:firstLineChars="196"/>
        <w:rPr>
          <w:rFonts w:ascii="ˎ̥" w:hAnsi="ˎ̥" w:eastAsia="宋体"/>
        </w:rPr>
      </w:pPr>
      <w:bookmarkStart w:id="52" w:name="_Hlk72438142"/>
      <w:r>
        <w:rPr>
          <w:rFonts w:ascii="ˎ̥" w:hAnsi="ˎ̥" w:eastAsia="宋体"/>
        </w:rPr>
        <w:t>最低价法，是指</w:t>
      </w:r>
      <w:r>
        <w:rPr>
          <w:rFonts w:hint="eastAsia" w:ascii="ˎ̥" w:hAnsi="ˎ̥" w:eastAsia="宋体"/>
        </w:rPr>
        <w:t>完全</w:t>
      </w:r>
      <w:r>
        <w:rPr>
          <w:rFonts w:ascii="ˎ̥" w:hAnsi="ˎ̥" w:eastAsia="宋体"/>
        </w:rPr>
        <w:t>满足招标文件实质性要求，</w:t>
      </w:r>
      <w:r>
        <w:rPr>
          <w:rFonts w:hint="eastAsia" w:ascii="ˎ̥" w:hAnsi="ˎ̥" w:eastAsia="宋体"/>
        </w:rPr>
        <w:t>按照报价由低到高的顺序，依据招标文件中规定的数量或者比例推荐候选中标供应商。</w:t>
      </w:r>
    </w:p>
    <w:p w14:paraId="0F9A7459">
      <w:pPr>
        <w:ind w:firstLine="472" w:firstLineChars="196"/>
        <w:rPr>
          <w:rFonts w:ascii="宋体" w:hAnsi="宋体" w:eastAsia="宋体"/>
          <w:b/>
          <w:bCs/>
          <w:szCs w:val="21"/>
        </w:rPr>
      </w:pPr>
      <w:r>
        <w:rPr>
          <w:rFonts w:hint="eastAsia" w:ascii="宋体" w:hAnsi="宋体" w:eastAsia="宋体"/>
          <w:b/>
          <w:bCs/>
          <w:szCs w:val="21"/>
        </w:rPr>
        <w:t>37.1.2综合评分法</w:t>
      </w:r>
    </w:p>
    <w:p w14:paraId="694089B6">
      <w:pPr>
        <w:ind w:firstLine="470" w:firstLineChars="196"/>
        <w:rPr>
          <w:rFonts w:ascii="ˎ̥" w:hAnsi="ˎ̥" w:eastAsia="宋体"/>
        </w:rPr>
      </w:pPr>
      <w:r>
        <w:rPr>
          <w:rFonts w:ascii="ˎ̥" w:hAnsi="ˎ̥" w:eastAsia="宋体"/>
        </w:rPr>
        <w:t>综合评分法，是指</w:t>
      </w:r>
      <w:r>
        <w:rPr>
          <w:rFonts w:hint="eastAsia" w:ascii="ˎ̥" w:hAnsi="ˎ̥" w:eastAsia="宋体"/>
        </w:rPr>
        <w:t>在</w:t>
      </w:r>
      <w:r>
        <w:rPr>
          <w:rFonts w:ascii="ˎ̥" w:hAnsi="ˎ̥" w:eastAsia="宋体"/>
        </w:rPr>
        <w:t>满足招标文件全部实质性要求</w:t>
      </w:r>
      <w:r>
        <w:rPr>
          <w:rFonts w:hint="eastAsia" w:ascii="ˎ̥" w:hAnsi="ˎ̥" w:eastAsia="宋体"/>
        </w:rPr>
        <w:t>的前提下</w:t>
      </w:r>
      <w:r>
        <w:rPr>
          <w:rFonts w:ascii="ˎ̥" w:hAnsi="ˎ̥" w:eastAsia="宋体"/>
        </w:rPr>
        <w:t>，</w:t>
      </w:r>
      <w:r>
        <w:rPr>
          <w:rFonts w:hint="eastAsia" w:ascii="ˎ̥" w:hAnsi="ˎ̥" w:eastAsia="宋体"/>
        </w:rPr>
        <w:t>按照招标文件中规定的各项因素进行综合评审，评审总得分排名前列的投标人，作为推荐的候选中标供应商。</w:t>
      </w:r>
      <w:bookmarkEnd w:id="52"/>
    </w:p>
    <w:p w14:paraId="542B5B16">
      <w:pPr>
        <w:ind w:firstLine="472" w:firstLineChars="196"/>
        <w:rPr>
          <w:rFonts w:ascii="宋体" w:hAnsi="宋体" w:eastAsia="宋体"/>
          <w:b/>
          <w:bCs/>
          <w:szCs w:val="21"/>
        </w:rPr>
      </w:pPr>
      <w:r>
        <w:rPr>
          <w:rFonts w:hint="eastAsia" w:ascii="宋体" w:hAnsi="宋体" w:eastAsia="宋体"/>
          <w:b/>
          <w:bCs/>
          <w:szCs w:val="21"/>
        </w:rPr>
        <w:t>37.2 本项目采用的评审方法见本项目招标文件第一册“专用条款”的相关内容。</w:t>
      </w:r>
    </w:p>
    <w:p w14:paraId="1323CC26">
      <w:pPr>
        <w:ind w:firstLine="472" w:firstLineChars="196"/>
        <w:rPr>
          <w:rFonts w:ascii="宋体" w:hAnsi="宋体" w:eastAsia="宋体"/>
          <w:b/>
          <w:bCs/>
          <w:color w:val="FF0000"/>
          <w:szCs w:val="21"/>
        </w:rPr>
      </w:pPr>
      <w:r>
        <w:rPr>
          <w:rFonts w:hint="eastAsia" w:ascii="宋体" w:hAnsi="宋体" w:eastAsia="宋体"/>
          <w:b/>
          <w:bCs/>
          <w:color w:val="FF0000"/>
          <w:szCs w:val="21"/>
        </w:rPr>
        <w:t>37.3重新评审的情形</w:t>
      </w:r>
    </w:p>
    <w:p w14:paraId="6916D046">
      <w:pPr>
        <w:ind w:firstLine="470" w:firstLineChars="196"/>
        <w:rPr>
          <w:rFonts w:ascii="宋体" w:hAnsi="宋体" w:eastAsia="宋体"/>
          <w:b/>
          <w:bCs/>
          <w:color w:val="FF0000"/>
          <w:szCs w:val="21"/>
        </w:rPr>
      </w:pPr>
      <w:r>
        <w:rPr>
          <w:rFonts w:hint="eastAsia" w:ascii="宋体" w:hAnsi="宋体" w:eastAsia="宋体" w:cs="宋体"/>
          <w:color w:val="FF0000"/>
          <w:szCs w:val="21"/>
        </w:rPr>
        <w:t>评审结果汇总完成后，除下列情形外，任何人不得修改评审结果：</w:t>
      </w:r>
    </w:p>
    <w:p w14:paraId="6F4C380B">
      <w:pPr>
        <w:ind w:firstLine="470" w:firstLineChars="196"/>
        <w:rPr>
          <w:rFonts w:ascii="宋体" w:hAnsi="宋体" w:eastAsia="宋体" w:cs="宋体"/>
          <w:color w:val="FF0000"/>
          <w:szCs w:val="21"/>
        </w:rPr>
      </w:pPr>
      <w:r>
        <w:rPr>
          <w:rFonts w:hint="eastAsia" w:ascii="宋体" w:hAnsi="宋体" w:eastAsia="宋体" w:cs="宋体"/>
          <w:color w:val="FF0000"/>
          <w:szCs w:val="21"/>
        </w:rPr>
        <w:t>37.3.1分值汇总计算错误的；</w:t>
      </w:r>
    </w:p>
    <w:p w14:paraId="6807F803">
      <w:pPr>
        <w:ind w:firstLine="470" w:firstLineChars="196"/>
        <w:rPr>
          <w:rFonts w:ascii="宋体" w:hAnsi="宋体" w:eastAsia="宋体" w:cs="宋体"/>
          <w:color w:val="FF0000"/>
          <w:szCs w:val="21"/>
        </w:rPr>
      </w:pPr>
      <w:r>
        <w:rPr>
          <w:rFonts w:hint="eastAsia" w:ascii="宋体" w:hAnsi="宋体" w:eastAsia="宋体" w:cs="宋体"/>
          <w:color w:val="FF0000"/>
          <w:szCs w:val="21"/>
        </w:rPr>
        <w:t>37.3.2分项评分超出评分标准范围的；</w:t>
      </w:r>
    </w:p>
    <w:p w14:paraId="7D286169">
      <w:pPr>
        <w:ind w:firstLine="470" w:firstLineChars="196"/>
        <w:rPr>
          <w:rFonts w:ascii="宋体" w:hAnsi="宋体" w:eastAsia="宋体" w:cs="宋体"/>
          <w:color w:val="FF0000"/>
          <w:szCs w:val="21"/>
        </w:rPr>
      </w:pPr>
      <w:r>
        <w:rPr>
          <w:rFonts w:hint="eastAsia" w:ascii="宋体" w:hAnsi="宋体" w:eastAsia="宋体" w:cs="宋体"/>
          <w:color w:val="FF0000"/>
          <w:szCs w:val="21"/>
        </w:rPr>
        <w:t>37.3.3评审委员会成员对客观评审因素评分不一致的；</w:t>
      </w:r>
    </w:p>
    <w:p w14:paraId="4305C489">
      <w:pPr>
        <w:ind w:firstLine="470" w:firstLineChars="196"/>
        <w:rPr>
          <w:rFonts w:ascii="宋体" w:hAnsi="宋体" w:eastAsia="宋体" w:cs="宋体"/>
          <w:color w:val="FF0000"/>
          <w:szCs w:val="21"/>
        </w:rPr>
      </w:pPr>
      <w:r>
        <w:rPr>
          <w:rFonts w:hint="eastAsia" w:ascii="宋体" w:hAnsi="宋体" w:eastAsia="宋体" w:cs="宋体"/>
          <w:color w:val="FF0000"/>
          <w:szCs w:val="21"/>
        </w:rPr>
        <w:t>37.3.4经评审委员会认定评分畸高、畸低的。</w:t>
      </w:r>
    </w:p>
    <w:p w14:paraId="4A7CCA97">
      <w:pPr>
        <w:ind w:firstLine="470" w:firstLineChars="196"/>
        <w:rPr>
          <w:rFonts w:ascii="宋体" w:hAnsi="宋体" w:eastAsia="宋体" w:cs="宋体"/>
          <w:color w:val="FF0000"/>
          <w:szCs w:val="21"/>
        </w:rPr>
      </w:pPr>
      <w:r>
        <w:rPr>
          <w:rFonts w:hint="eastAsia" w:ascii="宋体" w:hAnsi="宋体" w:eastAsia="宋体" w:cs="宋体"/>
          <w:color w:val="FF000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6AB19FEF">
      <w:pPr>
        <w:ind w:firstLine="470" w:firstLineChars="196"/>
        <w:rPr>
          <w:rFonts w:ascii="宋体" w:hAnsi="宋体" w:eastAsia="宋体" w:cs="宋体"/>
          <w:color w:val="FF0000"/>
          <w:szCs w:val="21"/>
        </w:rPr>
      </w:pPr>
      <w:r>
        <w:rPr>
          <w:rFonts w:hint="eastAsia" w:ascii="宋体" w:hAnsi="宋体" w:eastAsia="宋体" w:cs="宋体"/>
          <w:color w:val="FF0000"/>
          <w:szCs w:val="21"/>
        </w:rPr>
        <w:t>投标人对本条第一款情形提出质疑的，采购人或者采购代理机构可以组织原评审委员会进行重新评审，重新评审改变评审结果的，应当书面报告本级财政部门。</w:t>
      </w:r>
    </w:p>
    <w:p w14:paraId="45D9BEB5">
      <w:pPr>
        <w:ind w:firstLine="472" w:firstLineChars="196"/>
        <w:rPr>
          <w:rFonts w:ascii="宋体" w:hAnsi="宋体" w:eastAsia="宋体"/>
          <w:b/>
          <w:bCs/>
          <w:color w:val="FF0000"/>
          <w:szCs w:val="21"/>
        </w:rPr>
      </w:pPr>
      <w:r>
        <w:rPr>
          <w:rFonts w:hint="eastAsia" w:ascii="宋体" w:hAnsi="宋体" w:eastAsia="宋体"/>
          <w:b/>
          <w:bCs/>
          <w:color w:val="FF0000"/>
          <w:szCs w:val="21"/>
        </w:rPr>
        <w:t xml:space="preserve"> 37.4重新组建评审委员会的情形</w:t>
      </w:r>
    </w:p>
    <w:p w14:paraId="3A92E1F9">
      <w:pPr>
        <w:ind w:firstLine="470" w:firstLineChars="196"/>
        <w:rPr>
          <w:rFonts w:ascii="宋体" w:hAnsi="宋体" w:eastAsia="宋体" w:cs="宋体"/>
          <w:color w:val="FF0000"/>
          <w:szCs w:val="21"/>
        </w:rPr>
      </w:pPr>
      <w:r>
        <w:rPr>
          <w:rFonts w:hint="eastAsia" w:ascii="宋体" w:hAnsi="宋体" w:eastAsia="宋体" w:cs="宋体"/>
          <w:color w:val="FF0000"/>
          <w:szCs w:val="21"/>
        </w:rPr>
        <w:t>评审委员会或者其成员存在下列情形导致评审结果无效的，重新组建评审委员会进行评标，并书面报告本级财政部门：</w:t>
      </w:r>
    </w:p>
    <w:p w14:paraId="05A31660">
      <w:pPr>
        <w:ind w:firstLine="470" w:firstLineChars="196"/>
        <w:rPr>
          <w:rFonts w:ascii="宋体" w:hAnsi="宋体" w:eastAsia="宋体" w:cs="宋体"/>
          <w:color w:val="FF0000"/>
          <w:szCs w:val="21"/>
        </w:rPr>
      </w:pPr>
      <w:r>
        <w:rPr>
          <w:rFonts w:hint="eastAsia" w:ascii="宋体" w:hAnsi="宋体" w:eastAsia="宋体" w:cs="宋体"/>
          <w:color w:val="FF0000"/>
          <w:szCs w:val="21"/>
        </w:rPr>
        <w:t>37.4.1评审委员会组成不符合《政府采购货物和服务招标投标管理办法》规定的；</w:t>
      </w:r>
    </w:p>
    <w:p w14:paraId="397CCDB6">
      <w:pPr>
        <w:ind w:firstLine="470" w:firstLineChars="196"/>
        <w:rPr>
          <w:rFonts w:ascii="宋体" w:hAnsi="宋体" w:eastAsia="宋体" w:cs="宋体"/>
          <w:color w:val="FF0000"/>
          <w:szCs w:val="21"/>
        </w:rPr>
      </w:pPr>
      <w:r>
        <w:rPr>
          <w:rFonts w:hint="eastAsia" w:ascii="宋体" w:hAnsi="宋体" w:eastAsia="宋体" w:cs="宋体"/>
          <w:color w:val="FF0000"/>
          <w:szCs w:val="21"/>
        </w:rPr>
        <w:t>37.4.2有《政府采购货物和服务招标投标管理办法》第六十二条第一至五项情形的；</w:t>
      </w:r>
    </w:p>
    <w:p w14:paraId="15839D35">
      <w:pPr>
        <w:ind w:firstLine="470" w:firstLineChars="196"/>
        <w:rPr>
          <w:rFonts w:ascii="宋体" w:hAnsi="宋体" w:eastAsia="宋体" w:cs="宋体"/>
          <w:color w:val="FF0000"/>
          <w:szCs w:val="21"/>
        </w:rPr>
      </w:pPr>
      <w:r>
        <w:rPr>
          <w:rFonts w:hint="eastAsia" w:ascii="宋体" w:hAnsi="宋体" w:eastAsia="宋体" w:cs="宋体"/>
          <w:color w:val="FF0000"/>
          <w:szCs w:val="21"/>
        </w:rPr>
        <w:t>37.4.3评审委员会及其成员独立评标受到非法干预的；</w:t>
      </w:r>
    </w:p>
    <w:p w14:paraId="21638987">
      <w:pPr>
        <w:ind w:firstLine="470" w:firstLineChars="196"/>
        <w:rPr>
          <w:rFonts w:ascii="宋体" w:hAnsi="宋体" w:eastAsia="宋体" w:cs="宋体"/>
          <w:color w:val="FF0000"/>
          <w:szCs w:val="21"/>
        </w:rPr>
      </w:pPr>
      <w:r>
        <w:rPr>
          <w:rFonts w:hint="eastAsia" w:ascii="宋体" w:hAnsi="宋体" w:eastAsia="宋体" w:cs="宋体"/>
          <w:color w:val="FF0000"/>
          <w:szCs w:val="21"/>
        </w:rPr>
        <w:t>37.4.4有政府采购法实施条例第七十五条规定的违法行为的。</w:t>
      </w:r>
    </w:p>
    <w:p w14:paraId="1F1E6454">
      <w:pPr>
        <w:ind w:firstLine="470" w:firstLineChars="196"/>
        <w:rPr>
          <w:rFonts w:ascii="宋体" w:hAnsi="宋体" w:eastAsia="宋体" w:cs="宋体"/>
          <w:szCs w:val="21"/>
        </w:rPr>
      </w:pPr>
      <w:r>
        <w:rPr>
          <w:rFonts w:hint="eastAsia" w:ascii="宋体" w:hAnsi="宋体" w:eastAsia="宋体" w:cs="宋体"/>
          <w:color w:val="FF0000"/>
          <w:szCs w:val="21"/>
        </w:rPr>
        <w:t>有违法违规行为的原评审委员会成员不得参加重新组建的评审委员会。</w:t>
      </w:r>
    </w:p>
    <w:p w14:paraId="7716520C">
      <w:pPr>
        <w:keepNext/>
        <w:keepLines/>
        <w:numPr>
          <w:ilvl w:val="0"/>
          <w:numId w:val="12"/>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定标及公示</w:t>
      </w:r>
    </w:p>
    <w:p w14:paraId="1931A878">
      <w:pPr>
        <w:rPr>
          <w:rFonts w:ascii="宋体" w:hAnsi="宋体" w:eastAsia="宋体"/>
          <w:szCs w:val="21"/>
        </w:rPr>
      </w:pPr>
      <w:r>
        <w:rPr>
          <w:rFonts w:hint="eastAsia" w:ascii="黑体" w:hAnsi="宋体" w:eastAsia="黑体"/>
        </w:rPr>
        <w:t>38．</w:t>
      </w:r>
      <w:bookmarkStart w:id="53" w:name="_Hlk73782795"/>
      <w:r>
        <w:rPr>
          <w:rFonts w:hint="eastAsia" w:ascii="黑体" w:hAnsi="宋体" w:eastAsia="黑体"/>
        </w:rPr>
        <w:t>中标候选人的确定原则及标准</w:t>
      </w:r>
    </w:p>
    <w:p w14:paraId="304125FB">
      <w:pPr>
        <w:ind w:firstLine="470" w:firstLineChars="196"/>
        <w:rPr>
          <w:rFonts w:ascii="宋体" w:hAnsi="宋体" w:eastAsia="宋体"/>
          <w:szCs w:val="21"/>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1.1评审委员会依据本项目招标文件所约定的评审方法进行评审和比较，向</w:t>
      </w:r>
      <w:r>
        <w:rPr>
          <w:rFonts w:hint="eastAsia" w:ascii="宋体" w:hAnsi="宋体" w:eastAsia="宋体"/>
          <w:szCs w:val="21"/>
          <w:lang w:eastAsia="zh-CN"/>
        </w:rPr>
        <w:t>采购人</w:t>
      </w:r>
      <w:r>
        <w:rPr>
          <w:rFonts w:hint="eastAsia" w:ascii="宋体" w:hAnsi="宋体" w:eastAsia="宋体"/>
          <w:szCs w:val="21"/>
        </w:rPr>
        <w:t>提交书面评审报告，并根据评审方法比较评价结果从优到劣进行排序，确定候选中标供应商。</w:t>
      </w:r>
    </w:p>
    <w:p w14:paraId="34C12C5F">
      <w:pPr>
        <w:ind w:firstLine="470" w:firstLineChars="196"/>
        <w:rPr>
          <w:rFonts w:ascii="ˎ̥" w:hAnsi="ˎ̥" w:eastAsia="宋体"/>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1.2</w:t>
      </w:r>
      <w:r>
        <w:rPr>
          <w:rFonts w:ascii="ˎ̥" w:hAnsi="ˎ̥" w:eastAsia="宋体"/>
        </w:rPr>
        <w:t>采用最低价法的，评</w:t>
      </w:r>
      <w:r>
        <w:rPr>
          <w:rFonts w:hint="eastAsia" w:ascii="ˎ̥" w:hAnsi="ˎ̥" w:eastAsia="宋体"/>
        </w:rPr>
        <w:t>审</w:t>
      </w:r>
      <w:r>
        <w:rPr>
          <w:rFonts w:ascii="ˎ̥" w:hAnsi="ˎ̥" w:eastAsia="宋体"/>
        </w:rPr>
        <w:t>结果按投标报价由低到高顺序排列。投标报价相同的并列。投标文件满足招标文件全部实质性要求且投标报价最低的</w:t>
      </w:r>
      <w:r>
        <w:rPr>
          <w:rFonts w:hint="eastAsia" w:ascii="ˎ̥" w:hAnsi="ˎ̥" w:eastAsia="宋体"/>
        </w:rPr>
        <w:t>投标人为</w:t>
      </w:r>
      <w:bookmarkStart w:id="54" w:name="_Hlk73821177"/>
      <w:r>
        <w:rPr>
          <w:rFonts w:hint="eastAsia" w:ascii="ˎ̥" w:hAnsi="ˎ̥" w:eastAsia="宋体"/>
        </w:rPr>
        <w:t>中标供应商</w:t>
      </w:r>
      <w:r>
        <w:rPr>
          <w:rFonts w:ascii="ˎ̥" w:hAnsi="ˎ̥" w:eastAsia="宋体"/>
        </w:rPr>
        <w:t>（</w:t>
      </w:r>
      <w:r>
        <w:rPr>
          <w:rFonts w:hint="eastAsia" w:ascii="ˎ̥" w:hAnsi="ˎ̥" w:eastAsia="宋体"/>
        </w:rPr>
        <w:t>排名</w:t>
      </w:r>
      <w:r>
        <w:rPr>
          <w:rFonts w:ascii="ˎ̥" w:hAnsi="ˎ̥" w:eastAsia="宋体"/>
        </w:rPr>
        <w:t>第二</w:t>
      </w:r>
      <w:r>
        <w:rPr>
          <w:rFonts w:hint="eastAsia" w:ascii="ˎ̥" w:hAnsi="ˎ̥" w:eastAsia="宋体"/>
        </w:rPr>
        <w:t>的投标人为第一替补中标候选人、排名</w:t>
      </w:r>
      <w:r>
        <w:rPr>
          <w:rFonts w:ascii="ˎ̥" w:hAnsi="ˎ̥" w:eastAsia="宋体"/>
        </w:rPr>
        <w:t>第</w:t>
      </w:r>
      <w:r>
        <w:rPr>
          <w:rFonts w:hint="eastAsia" w:ascii="ˎ̥" w:hAnsi="ˎ̥" w:eastAsia="宋体"/>
        </w:rPr>
        <w:t>三的投标人为第二替补中标候选人</w:t>
      </w:r>
      <w:bookmarkEnd w:id="54"/>
      <w:r>
        <w:rPr>
          <w:rFonts w:ascii="ˎ̥" w:hAnsi="ˎ̥" w:eastAsia="宋体"/>
        </w:rPr>
        <w:t>）。</w:t>
      </w:r>
    </w:p>
    <w:p w14:paraId="52722C36">
      <w:pPr>
        <w:ind w:firstLine="470" w:firstLineChars="196"/>
        <w:rPr>
          <w:rFonts w:ascii="ˎ̥" w:hAnsi="ˎ̥" w:eastAsia="宋体"/>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1.3</w:t>
      </w:r>
      <w:r>
        <w:rPr>
          <w:rFonts w:ascii="宋体" w:hAnsi="宋体" w:eastAsia="宋体"/>
          <w:szCs w:val="21"/>
        </w:rPr>
        <w:t>采</w:t>
      </w:r>
      <w:r>
        <w:rPr>
          <w:rFonts w:ascii="ˎ̥" w:hAnsi="ˎ̥" w:eastAsia="宋体"/>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eastAsia="宋体"/>
        </w:rPr>
        <w:t>为中标供应商</w:t>
      </w:r>
      <w:r>
        <w:rPr>
          <w:rFonts w:ascii="ˎ̥" w:hAnsi="ˎ̥" w:eastAsia="宋体"/>
        </w:rPr>
        <w:t>（</w:t>
      </w:r>
      <w:r>
        <w:rPr>
          <w:rFonts w:hint="eastAsia" w:ascii="ˎ̥" w:hAnsi="ˎ̥" w:eastAsia="宋体"/>
        </w:rPr>
        <w:t>排名</w:t>
      </w:r>
      <w:r>
        <w:rPr>
          <w:rFonts w:ascii="ˎ̥" w:hAnsi="ˎ̥" w:eastAsia="宋体"/>
        </w:rPr>
        <w:t>第二</w:t>
      </w:r>
      <w:r>
        <w:rPr>
          <w:rFonts w:hint="eastAsia" w:ascii="ˎ̥" w:hAnsi="ˎ̥" w:eastAsia="宋体"/>
        </w:rPr>
        <w:t>的投标人为第一替补中标候选人、排名</w:t>
      </w:r>
      <w:r>
        <w:rPr>
          <w:rFonts w:ascii="ˎ̥" w:hAnsi="ˎ̥" w:eastAsia="宋体"/>
        </w:rPr>
        <w:t>第</w:t>
      </w:r>
      <w:r>
        <w:rPr>
          <w:rFonts w:hint="eastAsia" w:ascii="ˎ̥" w:hAnsi="ˎ̥" w:eastAsia="宋体"/>
        </w:rPr>
        <w:t>三的投标人为第二替补中标候选人</w:t>
      </w:r>
      <w:r>
        <w:rPr>
          <w:rFonts w:ascii="ˎ̥" w:hAnsi="ˎ̥" w:eastAsia="宋体"/>
        </w:rPr>
        <w:t>）。</w:t>
      </w:r>
      <w:r>
        <w:rPr>
          <w:rFonts w:hint="eastAsia" w:ascii="ˎ̥" w:hAnsi="ˎ̥" w:eastAsia="宋体"/>
        </w:rPr>
        <w:t>出现</w:t>
      </w:r>
      <w:r>
        <w:rPr>
          <w:rFonts w:ascii="ˎ̥" w:hAnsi="ˎ̥" w:eastAsia="宋体"/>
        </w:rPr>
        <w:t>得分且投标报价相同的并列</w:t>
      </w:r>
      <w:r>
        <w:rPr>
          <w:rFonts w:hint="eastAsia" w:ascii="ˎ̥" w:hAnsi="ˎ̥" w:eastAsia="宋体"/>
        </w:rPr>
        <w:t>情况时，采取随机抽取的方式确定，具体操作办法及流程由评审委员会确定。</w:t>
      </w:r>
    </w:p>
    <w:bookmarkEnd w:id="53"/>
    <w:p w14:paraId="0C92D083">
      <w:pPr>
        <w:rPr>
          <w:rFonts w:ascii="黑体" w:hAnsi="宋体" w:eastAsia="黑体"/>
        </w:rPr>
      </w:pPr>
      <w:r>
        <w:rPr>
          <w:rFonts w:hint="eastAsia" w:ascii="黑体" w:hAnsi="宋体" w:eastAsia="黑体"/>
        </w:rPr>
        <w:t>39．编写评审报告</w:t>
      </w:r>
    </w:p>
    <w:p w14:paraId="45FCD86A">
      <w:pPr>
        <w:ind w:firstLine="470" w:firstLineChars="196"/>
        <w:rPr>
          <w:rFonts w:ascii="宋体" w:hAnsi="宋体" w:eastAsia="宋体"/>
          <w:szCs w:val="21"/>
        </w:rPr>
      </w:pPr>
      <w:r>
        <w:rPr>
          <w:rFonts w:hint="eastAsia" w:ascii="宋体" w:hAnsi="宋体" w:eastAsia="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5F4C25C0">
      <w:pPr>
        <w:rPr>
          <w:rFonts w:ascii="黑体" w:hAnsi="宋体" w:eastAsia="黑体"/>
        </w:rPr>
      </w:pPr>
      <w:r>
        <w:rPr>
          <w:rFonts w:hint="eastAsia" w:ascii="黑体" w:hAnsi="宋体" w:eastAsia="黑体"/>
        </w:rPr>
        <w:t>40．中标公告</w:t>
      </w:r>
    </w:p>
    <w:p w14:paraId="4C2381AF">
      <w:pPr>
        <w:ind w:firstLine="470" w:firstLineChars="196"/>
        <w:rPr>
          <w:rFonts w:ascii="宋体" w:hAnsi="宋体" w:eastAsia="宋体"/>
          <w:szCs w:val="21"/>
        </w:rPr>
      </w:pPr>
      <w:r>
        <w:rPr>
          <w:rFonts w:hint="eastAsia" w:ascii="宋体" w:hAnsi="宋体" w:eastAsia="宋体"/>
          <w:szCs w:val="21"/>
        </w:rPr>
        <w:t>40.1</w:t>
      </w:r>
      <w:bookmarkStart w:id="55" w:name="_Hlk72438709"/>
      <w:r>
        <w:rPr>
          <w:rFonts w:hint="eastAsia" w:ascii="宋体" w:hAnsi="宋体" w:eastAsia="宋体"/>
          <w:szCs w:val="21"/>
        </w:rPr>
        <w:t>为体现“公开、公平、公正”的原则，评审结束后经采购人确认（确定）评审结果，</w:t>
      </w:r>
      <w:r>
        <w:rPr>
          <w:rFonts w:hint="eastAsia" w:ascii="宋体" w:hAnsi="宋体" w:eastAsia="宋体"/>
          <w:szCs w:val="21"/>
          <w:lang w:eastAsia="zh-CN"/>
        </w:rPr>
        <w:t>采购人或</w:t>
      </w:r>
      <w:r>
        <w:rPr>
          <w:rFonts w:hint="eastAsia" w:ascii="宋体" w:hAnsi="宋体" w:eastAsia="宋体"/>
          <w:szCs w:val="21"/>
        </w:rPr>
        <w:t>政府集中采购机构将在</w:t>
      </w:r>
      <w:r>
        <w:rPr>
          <w:rFonts w:hint="eastAsia" w:ascii="宋体" w:hAnsi="宋体" w:eastAsia="宋体"/>
          <w:szCs w:val="21"/>
          <w:lang w:eastAsia="zh-CN"/>
        </w:rPr>
        <w:t>新疆政府采购网</w:t>
      </w:r>
      <w:r>
        <w:rPr>
          <w:rFonts w:hint="eastAsia" w:ascii="宋体" w:hAnsi="宋体" w:eastAsia="宋体"/>
          <w:szCs w:val="21"/>
        </w:rPr>
        <w:t>网站上发布中标结果公告。</w:t>
      </w:r>
      <w:bookmarkEnd w:id="55"/>
      <w:bookmarkStart w:id="56" w:name="_Hlk72438751"/>
      <w:r>
        <w:rPr>
          <w:rFonts w:hint="eastAsia" w:ascii="宋体" w:hAnsi="宋体" w:eastAsia="宋体"/>
          <w:szCs w:val="21"/>
        </w:rPr>
        <w:t>供应商如对评审结果有异议，</w:t>
      </w:r>
      <w:r>
        <w:rPr>
          <w:rFonts w:ascii="宋体" w:hAnsi="宋体" w:eastAsia="宋体"/>
          <w:szCs w:val="21"/>
        </w:rPr>
        <w:t>可在发布公示日期起</w:t>
      </w:r>
      <w:r>
        <w:rPr>
          <w:rFonts w:hint="eastAsia" w:ascii="宋体" w:hAnsi="宋体" w:eastAsia="宋体"/>
          <w:szCs w:val="21"/>
        </w:rPr>
        <w:t>七</w:t>
      </w:r>
      <w:r>
        <w:rPr>
          <w:rFonts w:ascii="宋体" w:hAnsi="宋体" w:eastAsia="宋体"/>
          <w:szCs w:val="21"/>
        </w:rPr>
        <w:t>个工作日内向</w:t>
      </w:r>
      <w:r>
        <w:rPr>
          <w:rFonts w:hint="eastAsia" w:ascii="宋体" w:hAnsi="宋体" w:eastAsia="宋体"/>
          <w:szCs w:val="21"/>
          <w:lang w:eastAsia="zh-CN"/>
        </w:rPr>
        <w:t>采购人</w:t>
      </w:r>
      <w:r>
        <w:rPr>
          <w:rFonts w:ascii="宋体" w:hAnsi="宋体" w:eastAsia="宋体"/>
          <w:szCs w:val="21"/>
        </w:rPr>
        <w:t>提出。</w:t>
      </w:r>
      <w:r>
        <w:rPr>
          <w:rFonts w:hint="eastAsia" w:ascii="宋体" w:hAnsi="宋体" w:eastAsia="宋体"/>
          <w:szCs w:val="21"/>
        </w:rPr>
        <w:t>若在公示期内未提出质疑，则视为认同该评审结果。</w:t>
      </w:r>
      <w:bookmarkEnd w:id="56"/>
    </w:p>
    <w:p w14:paraId="563D5BDB">
      <w:pPr>
        <w:ind w:firstLine="470" w:firstLineChars="196"/>
        <w:rPr>
          <w:rFonts w:ascii="宋体" w:hAnsi="宋体" w:eastAsia="宋体"/>
          <w:szCs w:val="21"/>
        </w:rPr>
      </w:pPr>
      <w:r>
        <w:rPr>
          <w:rFonts w:hint="eastAsia" w:ascii="宋体" w:hAnsi="宋体" w:eastAsia="宋体"/>
          <w:szCs w:val="21"/>
        </w:rPr>
        <w:t>40.2质疑、投诉供应商应保证质疑、投诉内容的真实性和可靠性，并承担相应的法律责任。</w:t>
      </w:r>
    </w:p>
    <w:p w14:paraId="73CB54EF">
      <w:pPr>
        <w:rPr>
          <w:rFonts w:ascii="黑体" w:hAnsi="宋体" w:eastAsia="黑体"/>
        </w:rPr>
      </w:pPr>
      <w:r>
        <w:rPr>
          <w:rFonts w:hint="eastAsia" w:ascii="黑体" w:hAnsi="宋体" w:eastAsia="黑体"/>
        </w:rPr>
        <w:t>41．中标通知书</w:t>
      </w:r>
    </w:p>
    <w:p w14:paraId="68723FD5">
      <w:pPr>
        <w:ind w:firstLine="470" w:firstLineChars="196"/>
        <w:rPr>
          <w:rFonts w:hint="eastAsia" w:ascii="宋体" w:hAnsi="宋体" w:eastAsia="宋体"/>
          <w:szCs w:val="21"/>
        </w:rPr>
      </w:pPr>
      <w:r>
        <w:rPr>
          <w:rFonts w:hint="eastAsia" w:ascii="宋体" w:hAnsi="宋体" w:eastAsia="宋体"/>
          <w:szCs w:val="21"/>
        </w:rPr>
        <w:t>41</w:t>
      </w:r>
      <w:r>
        <w:rPr>
          <w:rFonts w:ascii="宋体" w:hAnsi="宋体" w:eastAsia="宋体"/>
          <w:szCs w:val="21"/>
        </w:rPr>
        <w:t>.</w:t>
      </w:r>
      <w:r>
        <w:rPr>
          <w:rFonts w:hint="eastAsia" w:ascii="宋体" w:hAnsi="宋体" w:eastAsia="宋体"/>
          <w:szCs w:val="21"/>
        </w:rPr>
        <w:t>1在投标有效期内，中标人确定后，采购人或者政府集中采购机构发布中标公告，同时以书面形式向中标人发出中标通知书。</w:t>
      </w:r>
    </w:p>
    <w:p w14:paraId="7A3C04B1">
      <w:pPr>
        <w:ind w:firstLine="470" w:firstLineChars="196"/>
        <w:rPr>
          <w:rFonts w:ascii="宋体" w:hAnsi="宋体" w:eastAsia="宋体"/>
          <w:szCs w:val="21"/>
        </w:rPr>
      </w:pPr>
      <w:r>
        <w:rPr>
          <w:rFonts w:hint="eastAsia" w:ascii="宋体" w:hAnsi="宋体" w:eastAsia="宋体"/>
          <w:szCs w:val="21"/>
        </w:rPr>
        <w:t>采用综合评分法评审的，还将告知未中标人本人的评审得分和排序。</w:t>
      </w:r>
    </w:p>
    <w:p w14:paraId="171215B8">
      <w:pPr>
        <w:ind w:firstLine="470" w:firstLineChars="196"/>
        <w:rPr>
          <w:rFonts w:ascii="宋体" w:hAnsi="宋体" w:eastAsia="宋体"/>
          <w:szCs w:val="21"/>
        </w:rPr>
      </w:pPr>
      <w:r>
        <w:rPr>
          <w:rFonts w:hint="eastAsia" w:ascii="宋体" w:hAnsi="宋体" w:eastAsia="宋体"/>
          <w:szCs w:val="21"/>
        </w:rPr>
        <w:t>41</w:t>
      </w:r>
      <w:r>
        <w:rPr>
          <w:rFonts w:ascii="宋体" w:hAnsi="宋体" w:eastAsia="宋体"/>
          <w:szCs w:val="21"/>
        </w:rPr>
        <w:t>.2</w:t>
      </w:r>
      <w:r>
        <w:rPr>
          <w:rFonts w:hint="eastAsia" w:ascii="宋体" w:hAnsi="宋体" w:eastAsia="宋体"/>
          <w:szCs w:val="21"/>
        </w:rPr>
        <w:t>中标通知书是合同的重要组成部分。</w:t>
      </w:r>
    </w:p>
    <w:p w14:paraId="54410313">
      <w:pPr>
        <w:ind w:firstLine="470" w:firstLineChars="196"/>
        <w:rPr>
          <w:rFonts w:ascii="宋体" w:hAnsi="宋体" w:eastAsia="宋体"/>
          <w:szCs w:val="21"/>
        </w:rPr>
      </w:pPr>
      <w:bookmarkStart w:id="57" w:name="_Hlk71407340"/>
      <w:r>
        <w:rPr>
          <w:rFonts w:hint="eastAsia" w:ascii="宋体" w:hAnsi="宋体" w:eastAsia="宋体"/>
          <w:szCs w:val="21"/>
        </w:rPr>
        <w:t>41.3因质疑投诉或其它原因导致项目结果变更或采购终止的，</w:t>
      </w:r>
      <w:r>
        <w:rPr>
          <w:rFonts w:hint="eastAsia" w:ascii="宋体" w:hAnsi="宋体" w:eastAsia="宋体"/>
          <w:szCs w:val="21"/>
          <w:lang w:eastAsia="zh-CN"/>
        </w:rPr>
        <w:t>采购人或</w:t>
      </w:r>
      <w:r>
        <w:rPr>
          <w:rFonts w:hint="eastAsia" w:ascii="宋体" w:hAnsi="宋体" w:eastAsia="宋体"/>
          <w:szCs w:val="21"/>
        </w:rPr>
        <w:t>政府集中采购机构有权吊销中标通知书。</w:t>
      </w:r>
      <w:bookmarkEnd w:id="57"/>
    </w:p>
    <w:p w14:paraId="6D4CD2A5">
      <w:pPr>
        <w:keepNext/>
        <w:keepLines/>
        <w:numPr>
          <w:ilvl w:val="0"/>
          <w:numId w:val="12"/>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公开招标失败的后续处理</w:t>
      </w:r>
    </w:p>
    <w:p w14:paraId="08A9FE06">
      <w:pPr>
        <w:rPr>
          <w:rFonts w:ascii="黑体" w:hAnsi="宋体" w:eastAsia="黑体"/>
        </w:rPr>
      </w:pPr>
      <w:r>
        <w:rPr>
          <w:rFonts w:hint="eastAsia" w:ascii="黑体" w:hAnsi="宋体" w:eastAsia="黑体"/>
        </w:rPr>
        <w:t>42．公开招标失败的处理</w:t>
      </w:r>
    </w:p>
    <w:p w14:paraId="3A6137F4">
      <w:pPr>
        <w:ind w:firstLine="470" w:firstLineChars="196"/>
        <w:rPr>
          <w:rFonts w:ascii="宋体" w:hAnsi="宋体" w:eastAsia="宋体"/>
        </w:rPr>
      </w:pPr>
      <w:r>
        <w:rPr>
          <w:rFonts w:hint="eastAsia" w:ascii="宋体" w:hAnsi="宋体" w:eastAsia="宋体"/>
          <w:szCs w:val="21"/>
        </w:rPr>
        <w:t>42.1本项目公开招标过程中若由于投标截止后</w:t>
      </w:r>
      <w:r>
        <w:rPr>
          <w:rFonts w:hint="eastAsia" w:ascii="宋体" w:hAnsi="宋体" w:eastAsia="宋体"/>
        </w:rPr>
        <w:t>实际递交</w:t>
      </w:r>
      <w:r>
        <w:rPr>
          <w:rFonts w:ascii="宋体" w:hAnsi="宋体" w:eastAsia="宋体"/>
        </w:rPr>
        <w:t>投标</w:t>
      </w:r>
      <w:r>
        <w:rPr>
          <w:rFonts w:hint="eastAsia" w:ascii="宋体" w:hAnsi="宋体" w:eastAsia="宋体"/>
        </w:rPr>
        <w:t>文件的供应商数量不足、经</w:t>
      </w:r>
      <w:r>
        <w:rPr>
          <w:rFonts w:hint="eastAsia" w:ascii="宋体" w:hAnsi="宋体" w:eastAsia="宋体"/>
          <w:szCs w:val="21"/>
        </w:rPr>
        <w:t>评审委员会</w:t>
      </w:r>
      <w:r>
        <w:rPr>
          <w:rFonts w:hint="eastAsia" w:ascii="宋体" w:hAnsi="宋体" w:eastAsia="宋体"/>
        </w:rPr>
        <w:t>评审对招标文件作实质响应的供应商不足等原因造成公开招标失败，可由</w:t>
      </w:r>
      <w:r>
        <w:rPr>
          <w:rFonts w:hint="eastAsia" w:ascii="宋体" w:hAnsi="宋体" w:eastAsia="宋体"/>
          <w:lang w:eastAsia="zh-CN"/>
        </w:rPr>
        <w:t>采购人或</w:t>
      </w:r>
      <w:r>
        <w:rPr>
          <w:rFonts w:hint="eastAsia" w:ascii="宋体" w:hAnsi="宋体" w:eastAsia="宋体" w:cs="宋体"/>
        </w:rPr>
        <w:t>政府集中采购机构</w:t>
      </w:r>
      <w:r>
        <w:rPr>
          <w:rFonts w:hint="eastAsia" w:ascii="宋体" w:hAnsi="宋体" w:eastAsia="宋体"/>
        </w:rPr>
        <w:t>重新组织采购。</w:t>
      </w:r>
    </w:p>
    <w:p w14:paraId="1EB9D973">
      <w:pPr>
        <w:ind w:firstLine="470" w:firstLineChars="196"/>
        <w:rPr>
          <w:rFonts w:ascii="宋体" w:hAnsi="宋体" w:eastAsia="宋体"/>
          <w:szCs w:val="21"/>
        </w:rPr>
      </w:pPr>
      <w:r>
        <w:rPr>
          <w:rFonts w:hint="eastAsia" w:ascii="宋体" w:hAnsi="宋体" w:eastAsia="宋体"/>
          <w:szCs w:val="21"/>
        </w:rPr>
        <w:t>42.2对公开招标失败的项目，评审委员会在出具该项目招标失败结论的同时，可以提出重新采购组织形式的建议，以及进一步完善招标文件的资格、技术、商务要求的修改建议。</w:t>
      </w:r>
    </w:p>
    <w:p w14:paraId="0E9FECCB">
      <w:pPr>
        <w:ind w:firstLine="470" w:firstLineChars="196"/>
        <w:rPr>
          <w:rFonts w:ascii="宋体" w:hAnsi="宋体" w:eastAsia="宋体"/>
          <w:szCs w:val="21"/>
        </w:rPr>
      </w:pPr>
      <w:r>
        <w:rPr>
          <w:rFonts w:hint="eastAsia" w:ascii="宋体" w:hAnsi="宋体" w:eastAsia="宋体"/>
          <w:szCs w:val="21"/>
        </w:rPr>
        <w:t>42.3重新组织采购有以下两种组织形式：</w:t>
      </w:r>
    </w:p>
    <w:p w14:paraId="1A84BFA4">
      <w:pPr>
        <w:ind w:firstLine="470" w:firstLineChars="196"/>
        <w:rPr>
          <w:rFonts w:ascii="宋体" w:hAnsi="宋体" w:eastAsia="宋体"/>
        </w:rPr>
      </w:pPr>
      <w:r>
        <w:rPr>
          <w:rFonts w:hint="eastAsia" w:ascii="宋体" w:hAnsi="宋体" w:eastAsia="宋体"/>
        </w:rPr>
        <w:t>（1）由</w:t>
      </w:r>
      <w:r>
        <w:rPr>
          <w:rFonts w:hint="eastAsia" w:ascii="宋体" w:hAnsi="宋体" w:eastAsia="宋体"/>
          <w:lang w:eastAsia="zh-CN"/>
        </w:rPr>
        <w:t>采购人或</w:t>
      </w:r>
      <w:r>
        <w:rPr>
          <w:rFonts w:hint="eastAsia" w:ascii="宋体" w:hAnsi="宋体" w:eastAsia="宋体"/>
        </w:rPr>
        <w:t>政府集中采购机构重新组织公开招标；</w:t>
      </w:r>
    </w:p>
    <w:p w14:paraId="27C25A9C">
      <w:pPr>
        <w:ind w:firstLine="470" w:firstLineChars="196"/>
        <w:rPr>
          <w:rFonts w:ascii="宋体" w:hAnsi="宋体" w:eastAsia="宋体"/>
        </w:rPr>
      </w:pPr>
      <w:r>
        <w:rPr>
          <w:rFonts w:hint="eastAsia" w:ascii="宋体" w:hAnsi="宋体" w:eastAsia="宋体"/>
        </w:rPr>
        <w:t>（2）根据实际情况需要向同级财政部门提出非公开招标方式申请，经同级财政部门批准，公开招标失败采购项目可转为竞争性谈判或单一来源谈判方式采购。</w:t>
      </w:r>
    </w:p>
    <w:p w14:paraId="2EC8DD00">
      <w:pPr>
        <w:ind w:firstLine="470" w:firstLineChars="196"/>
        <w:rPr>
          <w:rFonts w:ascii="宋体" w:hAnsi="宋体" w:eastAsia="宋体"/>
        </w:rPr>
      </w:pPr>
      <w:r>
        <w:rPr>
          <w:rFonts w:hint="eastAsia" w:ascii="宋体" w:hAnsi="宋体" w:eastAsia="宋体"/>
        </w:rPr>
        <w:t>42.4公开招标失败的采购项目重新组织公开招标，由</w:t>
      </w:r>
      <w:r>
        <w:rPr>
          <w:rFonts w:hint="eastAsia" w:ascii="宋体" w:hAnsi="宋体" w:eastAsia="宋体"/>
          <w:lang w:eastAsia="zh-CN"/>
        </w:rPr>
        <w:t>采购人或</w:t>
      </w:r>
      <w:r>
        <w:rPr>
          <w:rFonts w:hint="eastAsia" w:ascii="宋体" w:hAnsi="宋体" w:eastAsia="宋体"/>
        </w:rPr>
        <w:t>政府集中采购机构重新按公开招标流程组织采购活动。</w:t>
      </w:r>
    </w:p>
    <w:p w14:paraId="439326C5">
      <w:pPr>
        <w:rPr>
          <w:rFonts w:ascii="宋体" w:hAnsi="宋体" w:eastAsia="宋体"/>
        </w:rPr>
      </w:pPr>
      <w:r>
        <w:rPr>
          <w:rFonts w:hint="eastAsia" w:ascii="宋体" w:hAnsi="宋体" w:eastAsia="宋体"/>
        </w:rPr>
        <w:t>42.5公开招标失败的采购项目经同级财政部门批准转为竞争性谈判或单一来源谈判方式采购的，按规定要求组织政府采购工作。</w:t>
      </w:r>
    </w:p>
    <w:p w14:paraId="42A3AE3D">
      <w:pPr>
        <w:keepNext/>
        <w:keepLines/>
        <w:numPr>
          <w:ilvl w:val="0"/>
          <w:numId w:val="12"/>
        </w:numPr>
        <w:adjustRightInd w:val="0"/>
        <w:spacing w:before="120" w:beforeLines="50" w:after="120" w:afterLines="50"/>
        <w:ind w:left="562" w:hanging="562"/>
        <w:jc w:val="center"/>
        <w:textAlignment w:val="baseline"/>
        <w:outlineLvl w:val="1"/>
        <w:rPr>
          <w:rFonts w:ascii="Cambria" w:hAnsi="Cambria" w:eastAsia="宋体"/>
          <w:b/>
          <w:bCs/>
          <w:sz w:val="28"/>
          <w:szCs w:val="28"/>
        </w:rPr>
      </w:pPr>
      <w:bookmarkStart w:id="58" w:name="_Hlk72439043"/>
      <w:r>
        <w:rPr>
          <w:rFonts w:hint="eastAsia" w:ascii="Cambria" w:hAnsi="Cambria" w:eastAsia="宋体"/>
          <w:b/>
          <w:bCs/>
          <w:sz w:val="28"/>
          <w:szCs w:val="28"/>
        </w:rPr>
        <w:t>合同的授予与备案</w:t>
      </w:r>
      <w:bookmarkEnd w:id="58"/>
    </w:p>
    <w:p w14:paraId="3F1B2DE2">
      <w:pPr>
        <w:rPr>
          <w:rFonts w:ascii="黑体" w:hAnsi="宋体" w:eastAsia="黑体"/>
        </w:rPr>
      </w:pPr>
      <w:bookmarkStart w:id="59" w:name="_Toc73517679"/>
      <w:bookmarkStart w:id="60" w:name="_Toc73521674"/>
      <w:bookmarkStart w:id="61" w:name="_Toc73521586"/>
      <w:bookmarkStart w:id="62" w:name="_Toc73518157"/>
      <w:bookmarkStart w:id="63" w:name="_Toc100052408"/>
      <w:bookmarkStart w:id="64" w:name="_Hlk72439088"/>
      <w:r>
        <w:rPr>
          <w:rFonts w:hint="eastAsia" w:ascii="黑体" w:hAnsi="宋体" w:eastAsia="黑体"/>
        </w:rPr>
        <w:t>43．合同授予标准</w:t>
      </w:r>
      <w:bookmarkEnd w:id="59"/>
      <w:bookmarkEnd w:id="60"/>
      <w:bookmarkEnd w:id="61"/>
      <w:bookmarkEnd w:id="62"/>
      <w:bookmarkEnd w:id="63"/>
    </w:p>
    <w:p w14:paraId="5F62A843">
      <w:pPr>
        <w:ind w:firstLine="470" w:firstLineChars="196"/>
        <w:rPr>
          <w:rFonts w:ascii="宋体" w:hAnsi="宋体" w:eastAsia="宋体"/>
          <w:szCs w:val="21"/>
        </w:rPr>
      </w:pPr>
      <w:r>
        <w:rPr>
          <w:rFonts w:hint="eastAsia" w:ascii="宋体" w:hAnsi="宋体" w:eastAsia="宋体"/>
          <w:szCs w:val="21"/>
        </w:rPr>
        <w:t>本项目的合同将授予经本招标文件规定评审确定的中标供应商。</w:t>
      </w:r>
    </w:p>
    <w:p w14:paraId="57553F6F">
      <w:pPr>
        <w:rPr>
          <w:rFonts w:ascii="黑体" w:hAnsi="宋体" w:eastAsia="黑体"/>
        </w:rPr>
      </w:pPr>
      <w:bookmarkStart w:id="65" w:name="_Toc73521587"/>
      <w:bookmarkStart w:id="66" w:name="_Toc73521675"/>
      <w:bookmarkStart w:id="67" w:name="_Toc73517680"/>
      <w:bookmarkStart w:id="68" w:name="_Toc100052409"/>
      <w:bookmarkStart w:id="69" w:name="_Toc73518158"/>
      <w:r>
        <w:rPr>
          <w:rFonts w:hint="eastAsia" w:ascii="黑体" w:hAnsi="宋体" w:eastAsia="黑体"/>
        </w:rPr>
        <w:t>44．</w:t>
      </w:r>
      <w:bookmarkEnd w:id="65"/>
      <w:bookmarkEnd w:id="66"/>
      <w:bookmarkEnd w:id="67"/>
      <w:bookmarkEnd w:id="68"/>
      <w:bookmarkEnd w:id="69"/>
      <w:r>
        <w:rPr>
          <w:rFonts w:hint="eastAsia" w:ascii="黑体" w:hAnsi="宋体" w:eastAsia="黑体"/>
        </w:rPr>
        <w:t>接受和拒绝任何或所有投标的权力</w:t>
      </w:r>
    </w:p>
    <w:p w14:paraId="4D58AC85">
      <w:pPr>
        <w:ind w:firstLine="470" w:firstLineChars="196"/>
        <w:rPr>
          <w:rFonts w:ascii="宋体" w:hAnsi="宋体" w:eastAsia="宋体"/>
          <w:szCs w:val="21"/>
        </w:rPr>
      </w:pPr>
      <w:r>
        <w:rPr>
          <w:rFonts w:hint="eastAsia" w:ascii="宋体" w:hAnsi="宋体" w:eastAsia="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3D5A8627">
      <w:pPr>
        <w:rPr>
          <w:rFonts w:ascii="黑体" w:hAnsi="宋体" w:eastAsia="黑体"/>
        </w:rPr>
      </w:pPr>
      <w:bookmarkStart w:id="70" w:name="_Toc100052410"/>
      <w:bookmarkStart w:id="71" w:name="_Toc73521677"/>
      <w:bookmarkStart w:id="72" w:name="_Toc73518160"/>
      <w:bookmarkStart w:id="73" w:name="_Toc73521589"/>
      <w:bookmarkStart w:id="74" w:name="_Toc73517682"/>
      <w:r>
        <w:rPr>
          <w:rFonts w:hint="eastAsia" w:ascii="黑体" w:hAnsi="宋体" w:eastAsia="黑体"/>
        </w:rPr>
        <w:t>45．合同的签订</w:t>
      </w:r>
      <w:bookmarkEnd w:id="70"/>
      <w:bookmarkEnd w:id="71"/>
      <w:bookmarkEnd w:id="72"/>
      <w:bookmarkEnd w:id="73"/>
      <w:bookmarkEnd w:id="74"/>
    </w:p>
    <w:p w14:paraId="26328E4A">
      <w:pPr>
        <w:ind w:firstLine="470" w:firstLineChars="196"/>
        <w:rPr>
          <w:rFonts w:ascii="宋体" w:hAnsi="宋体" w:eastAsia="宋体"/>
          <w:szCs w:val="21"/>
        </w:rPr>
      </w:pPr>
      <w:r>
        <w:rPr>
          <w:rFonts w:hint="eastAsia" w:ascii="宋体" w:hAnsi="宋体" w:eastAsia="宋体"/>
          <w:szCs w:val="21"/>
        </w:rPr>
        <w:t>45.1中标人将于中标通知书发出之日起十个工作日内，按照采购文件（招标文件和投标文件等）内容与采购人签订政府采购合同；合同的实质性内容应当符合招标文件的规定；</w:t>
      </w:r>
    </w:p>
    <w:p w14:paraId="5FD56150">
      <w:pPr>
        <w:ind w:firstLine="470" w:firstLineChars="196"/>
        <w:rPr>
          <w:rFonts w:ascii="宋体" w:hAnsi="宋体" w:eastAsia="宋体"/>
          <w:szCs w:val="21"/>
        </w:rPr>
      </w:pPr>
      <w:r>
        <w:rPr>
          <w:rFonts w:hint="eastAsia" w:ascii="宋体" w:hAnsi="宋体" w:eastAsia="宋体"/>
          <w:szCs w:val="21"/>
        </w:rPr>
        <w:t>45.2中标人如不按本通用条款第45</w:t>
      </w:r>
      <w:r>
        <w:rPr>
          <w:rFonts w:ascii="宋体" w:hAnsi="宋体" w:eastAsia="宋体"/>
          <w:szCs w:val="21"/>
        </w:rPr>
        <w:t>.1</w:t>
      </w:r>
      <w:r>
        <w:rPr>
          <w:rFonts w:hint="eastAsia" w:ascii="宋体" w:hAnsi="宋体" w:eastAsia="宋体"/>
          <w:szCs w:val="21"/>
        </w:rPr>
        <w:t>款的规定与采购人签订合同，</w:t>
      </w:r>
      <w:r>
        <w:rPr>
          <w:rFonts w:ascii="宋体" w:hAnsi="宋体" w:eastAsia="宋体" w:cs="宋体"/>
          <w:szCs w:val="21"/>
        </w:rPr>
        <w:t>情节严重的，由</w:t>
      </w:r>
      <w:r>
        <w:rPr>
          <w:rFonts w:hint="eastAsia" w:ascii="宋体" w:hAnsi="宋体" w:eastAsia="宋体" w:cs="宋体"/>
          <w:szCs w:val="21"/>
        </w:rPr>
        <w:t>同级财政</w:t>
      </w:r>
      <w:r>
        <w:rPr>
          <w:rFonts w:ascii="宋体" w:hAnsi="宋体" w:eastAsia="宋体" w:cs="宋体"/>
          <w:szCs w:val="21"/>
        </w:rPr>
        <w:t>部门记入供应商诚信档案，予以通报</w:t>
      </w:r>
      <w:r>
        <w:rPr>
          <w:rFonts w:hint="eastAsia" w:ascii="宋体" w:hAnsi="宋体" w:eastAsia="宋体"/>
          <w:szCs w:val="21"/>
        </w:rPr>
        <w:t>；</w:t>
      </w:r>
    </w:p>
    <w:p w14:paraId="11F825A5">
      <w:pPr>
        <w:ind w:firstLine="470" w:firstLineChars="196"/>
        <w:rPr>
          <w:rFonts w:ascii="宋体" w:hAnsi="宋体" w:eastAsia="宋体"/>
          <w:szCs w:val="21"/>
        </w:rPr>
      </w:pPr>
      <w:r>
        <w:rPr>
          <w:rFonts w:hint="eastAsia" w:ascii="宋体" w:hAnsi="宋体" w:eastAsia="宋体"/>
          <w:szCs w:val="21"/>
        </w:rPr>
        <w:t>45.3中标人应当按照合同约定履行义务，完成中标项目，不得将中标项目转让（转包）给他人。</w:t>
      </w:r>
    </w:p>
    <w:p w14:paraId="79E17C26">
      <w:pPr>
        <w:rPr>
          <w:rFonts w:ascii="黑体" w:hAnsi="宋体" w:eastAsia="黑体"/>
        </w:rPr>
      </w:pPr>
      <w:bookmarkStart w:id="75" w:name="_Toc100052411"/>
      <w:bookmarkStart w:id="76" w:name="_Toc73521590"/>
      <w:bookmarkStart w:id="77" w:name="_Toc73521678"/>
      <w:bookmarkStart w:id="78" w:name="_Toc73517683"/>
      <w:bookmarkStart w:id="79" w:name="_Toc73518161"/>
      <w:r>
        <w:rPr>
          <w:rFonts w:hint="eastAsia" w:ascii="黑体" w:hAnsi="宋体" w:eastAsia="黑体"/>
        </w:rPr>
        <w:t>46．履约担保</w:t>
      </w:r>
      <w:bookmarkEnd w:id="75"/>
      <w:bookmarkEnd w:id="76"/>
      <w:bookmarkEnd w:id="77"/>
      <w:bookmarkEnd w:id="78"/>
      <w:bookmarkEnd w:id="79"/>
    </w:p>
    <w:p w14:paraId="01481B65">
      <w:pPr>
        <w:ind w:firstLine="470" w:firstLineChars="196"/>
        <w:rPr>
          <w:rFonts w:ascii="宋体" w:hAnsi="宋体" w:eastAsia="宋体"/>
          <w:szCs w:val="21"/>
        </w:rPr>
      </w:pPr>
      <w:r>
        <w:rPr>
          <w:rFonts w:hint="eastAsia" w:ascii="宋体" w:hAnsi="宋体" w:eastAsia="宋体"/>
          <w:szCs w:val="21"/>
        </w:rPr>
        <w:t>46.1在签订项目合同的同时，中标人应按“对通用条款的补充内容”中规定的金额向采购人提交履约担保；</w:t>
      </w:r>
    </w:p>
    <w:p w14:paraId="1AC420E1">
      <w:pPr>
        <w:ind w:firstLine="470" w:firstLineChars="196"/>
        <w:rPr>
          <w:rFonts w:ascii="宋体" w:hAnsi="宋体" w:eastAsia="宋体"/>
          <w:szCs w:val="21"/>
        </w:rPr>
      </w:pPr>
      <w:r>
        <w:rPr>
          <w:rFonts w:hint="eastAsia" w:ascii="宋体" w:hAnsi="宋体" w:eastAsia="宋体"/>
          <w:szCs w:val="21"/>
        </w:rPr>
        <w:t>46.2，允许供应商自主选择以支票、汇票、本票、保函等非现金方式提交履约担保；</w:t>
      </w:r>
      <w:r>
        <w:rPr>
          <w:rFonts w:eastAsia="宋体"/>
        </w:rPr>
        <w:t>中标</w:t>
      </w:r>
      <w:r>
        <w:rPr>
          <w:rFonts w:hint="eastAsia" w:eastAsia="宋体"/>
        </w:rPr>
        <w:t>人</w:t>
      </w:r>
      <w:r>
        <w:rPr>
          <w:rFonts w:eastAsia="宋体"/>
        </w:rPr>
        <w:t>提交履约</w:t>
      </w:r>
      <w:r>
        <w:rPr>
          <w:rFonts w:hint="eastAsia" w:eastAsia="宋体"/>
        </w:rPr>
        <w:t>担保不是</w:t>
      </w:r>
      <w:r>
        <w:rPr>
          <w:rFonts w:eastAsia="宋体"/>
        </w:rPr>
        <w:t>合同签订的</w:t>
      </w:r>
      <w:r>
        <w:rPr>
          <w:rFonts w:hint="eastAsia" w:eastAsia="宋体"/>
        </w:rPr>
        <w:t>前提</w:t>
      </w:r>
      <w:r>
        <w:rPr>
          <w:rFonts w:eastAsia="宋体"/>
        </w:rPr>
        <w:t>条件，不要求中标</w:t>
      </w:r>
      <w:r>
        <w:rPr>
          <w:rFonts w:hint="eastAsia" w:eastAsia="宋体"/>
        </w:rPr>
        <w:t>人</w:t>
      </w:r>
      <w:r>
        <w:rPr>
          <w:rFonts w:eastAsia="宋体"/>
        </w:rPr>
        <w:t>提供除法律、法规明确规定外的其他担保</w:t>
      </w:r>
      <w:r>
        <w:rPr>
          <w:rFonts w:hint="eastAsia" w:eastAsia="宋体"/>
        </w:rPr>
        <w:t>。</w:t>
      </w:r>
    </w:p>
    <w:p w14:paraId="68CD25F7">
      <w:pPr>
        <w:rPr>
          <w:rFonts w:ascii="黑体" w:hAnsi="宋体" w:eastAsia="黑体"/>
        </w:rPr>
      </w:pPr>
      <w:r>
        <w:rPr>
          <w:rFonts w:hint="eastAsia" w:ascii="黑体" w:hAnsi="宋体" w:eastAsia="黑体"/>
        </w:rPr>
        <w:t>47. 合同备案</w:t>
      </w:r>
    </w:p>
    <w:p w14:paraId="2A838D7F">
      <w:pPr>
        <w:ind w:firstLine="470" w:firstLineChars="196"/>
        <w:rPr>
          <w:rFonts w:ascii="宋体" w:hAnsi="宋体" w:eastAsia="宋体"/>
          <w:szCs w:val="21"/>
        </w:rPr>
      </w:pPr>
      <w:r>
        <w:rPr>
          <w:rFonts w:hint="eastAsia" w:ascii="宋体" w:hAnsi="宋体" w:eastAsia="宋体"/>
          <w:szCs w:val="21"/>
        </w:rPr>
        <w:t>采购人与中标人应于合同签订之日起十日内，由采购人或委托中标人将采购合同副本</w:t>
      </w:r>
      <w:r>
        <w:rPr>
          <w:rFonts w:hint="eastAsia" w:ascii="宋体" w:hAnsi="宋体" w:eastAsia="宋体"/>
          <w:szCs w:val="21"/>
          <w:lang w:eastAsia="zh-CN"/>
        </w:rPr>
        <w:t>于政府采购云平台</w:t>
      </w:r>
      <w:r>
        <w:rPr>
          <w:rFonts w:hint="eastAsia" w:ascii="宋体" w:hAnsi="宋体" w:eastAsia="宋体"/>
          <w:szCs w:val="21"/>
        </w:rPr>
        <w:t>实施备案。</w:t>
      </w:r>
    </w:p>
    <w:p w14:paraId="13AAD5E1">
      <w:pPr>
        <w:rPr>
          <w:rFonts w:ascii="黑体" w:hAnsi="宋体" w:eastAsia="黑体"/>
        </w:rPr>
      </w:pPr>
      <w:r>
        <w:rPr>
          <w:rFonts w:hint="eastAsia" w:ascii="黑体" w:hAnsi="宋体" w:eastAsia="黑体"/>
        </w:rPr>
        <w:t>48. 合同变更</w:t>
      </w:r>
    </w:p>
    <w:p w14:paraId="5E9A4301">
      <w:pPr>
        <w:ind w:firstLine="470" w:firstLineChars="196"/>
        <w:rPr>
          <w:rFonts w:ascii="宋体" w:hAnsi="宋体" w:eastAsia="宋体"/>
          <w:szCs w:val="21"/>
        </w:rPr>
      </w:pPr>
      <w:r>
        <w:rPr>
          <w:rFonts w:hint="eastAsia" w:ascii="宋体" w:hAnsi="宋体" w:eastAsia="宋体"/>
          <w:szCs w:val="21"/>
        </w:rPr>
        <w:t>合同变更事宜按</w:t>
      </w:r>
      <w:r>
        <w:rPr>
          <w:rFonts w:hint="eastAsia" w:ascii="宋体" w:hAnsi="宋体" w:eastAsia="宋体"/>
          <w:szCs w:val="21"/>
          <w:lang w:eastAsia="zh-CN"/>
        </w:rPr>
        <w:t>法律法规</w:t>
      </w:r>
      <w:r>
        <w:rPr>
          <w:rFonts w:hint="eastAsia" w:ascii="宋体" w:hAnsi="宋体" w:eastAsia="宋体"/>
          <w:szCs w:val="21"/>
        </w:rPr>
        <w:t>相关规定执行。</w:t>
      </w:r>
    </w:p>
    <w:p w14:paraId="513FA794">
      <w:pPr>
        <w:rPr>
          <w:rFonts w:ascii="黑体" w:hAnsi="宋体" w:eastAsia="黑体"/>
        </w:rPr>
      </w:pPr>
      <w:r>
        <w:rPr>
          <w:rFonts w:hint="eastAsia" w:ascii="黑体" w:hAnsi="宋体" w:eastAsia="黑体"/>
        </w:rPr>
        <w:t>49. 项目验收</w:t>
      </w:r>
    </w:p>
    <w:p w14:paraId="08A68289">
      <w:pPr>
        <w:ind w:right="176" w:firstLine="420"/>
        <w:rPr>
          <w:rFonts w:ascii="宋体" w:hAnsi="宋体" w:eastAsia="宋体"/>
        </w:rPr>
      </w:pPr>
      <w:r>
        <w:rPr>
          <w:rFonts w:hint="eastAsia" w:ascii="宋体" w:hAnsi="宋体" w:eastAsia="宋体"/>
        </w:rPr>
        <w:t>49.1采购人应当按照招标文件和合同规定的标准和方法，及时组织验收。</w:t>
      </w:r>
    </w:p>
    <w:p w14:paraId="144A8850">
      <w:pPr>
        <w:rPr>
          <w:rFonts w:ascii="黑体" w:hAnsi="宋体" w:eastAsia="黑体"/>
        </w:rPr>
      </w:pPr>
      <w:r>
        <w:rPr>
          <w:rFonts w:hint="eastAsia" w:ascii="黑体" w:hAnsi="宋体" w:eastAsia="黑体"/>
        </w:rPr>
        <w:t>50. 宣传</w:t>
      </w:r>
    </w:p>
    <w:p w14:paraId="30B68B52">
      <w:pPr>
        <w:ind w:left="240" w:leftChars="100" w:firstLine="470" w:firstLineChars="196"/>
        <w:rPr>
          <w:rFonts w:ascii="宋体" w:hAnsi="宋体" w:eastAsia="宋体"/>
        </w:rPr>
      </w:pPr>
      <w:r>
        <w:rPr>
          <w:rFonts w:hint="eastAsia" w:ascii="宋体" w:hAnsi="宋体" w:eastAsia="宋体"/>
        </w:rPr>
        <w:t>凡与政府采购活动有关的宣传或广告，若当中提及政府采购，</w:t>
      </w:r>
      <w:r>
        <w:rPr>
          <w:rFonts w:ascii="宋体" w:hAnsi="宋体" w:eastAsia="宋体"/>
        </w:rPr>
        <w:t>必须事先将具体对外宣传方案报</w:t>
      </w:r>
      <w:r>
        <w:rPr>
          <w:rFonts w:hint="eastAsia" w:ascii="宋体" w:hAnsi="宋体" w:eastAsia="宋体"/>
        </w:rPr>
        <w:t>同级财政部门</w:t>
      </w:r>
      <w:r>
        <w:rPr>
          <w:rFonts w:ascii="宋体" w:hAnsi="宋体" w:eastAsia="宋体"/>
        </w:rPr>
        <w:t>和</w:t>
      </w:r>
      <w:r>
        <w:rPr>
          <w:rFonts w:hint="eastAsia" w:ascii="宋体" w:hAnsi="宋体" w:eastAsia="宋体"/>
        </w:rPr>
        <w:t>政府集中采购机构</w:t>
      </w:r>
      <w:r>
        <w:rPr>
          <w:rFonts w:ascii="宋体" w:hAnsi="宋体" w:eastAsia="宋体"/>
        </w:rPr>
        <w:t>，并征得其同意。对外市场宣传包括但不限于以下形式：</w:t>
      </w:r>
    </w:p>
    <w:p w14:paraId="0CB1A5F5">
      <w:pPr>
        <w:ind w:left="240" w:leftChars="100" w:firstLine="470" w:firstLineChars="196"/>
        <w:rPr>
          <w:rFonts w:ascii="宋体" w:hAnsi="宋体" w:eastAsia="宋体"/>
        </w:rPr>
      </w:pPr>
      <w:r>
        <w:rPr>
          <w:rFonts w:ascii="宋体" w:hAnsi="宋体" w:eastAsia="宋体"/>
        </w:rPr>
        <w:t>a.名片、宣传册、广告标语等；</w:t>
      </w:r>
    </w:p>
    <w:p w14:paraId="3D44E31E">
      <w:pPr>
        <w:ind w:left="240" w:leftChars="100" w:firstLine="470" w:firstLineChars="196"/>
        <w:rPr>
          <w:rFonts w:ascii="宋体" w:hAnsi="宋体" w:eastAsia="宋体"/>
        </w:rPr>
      </w:pPr>
      <w:r>
        <w:rPr>
          <w:rFonts w:ascii="宋体" w:hAnsi="宋体" w:eastAsia="宋体"/>
        </w:rPr>
        <w:t>b.案例介绍、推广等；</w:t>
      </w:r>
    </w:p>
    <w:p w14:paraId="504E2D35">
      <w:pPr>
        <w:ind w:left="240" w:leftChars="100" w:firstLine="470" w:firstLineChars="196"/>
        <w:rPr>
          <w:rFonts w:ascii="宋体" w:hAnsi="宋体" w:eastAsia="宋体"/>
        </w:rPr>
      </w:pPr>
      <w:r>
        <w:rPr>
          <w:rFonts w:hint="eastAsia" w:ascii="宋体" w:hAnsi="宋体" w:eastAsia="宋体"/>
        </w:rPr>
        <w:t>c.工作</w:t>
      </w:r>
      <w:r>
        <w:rPr>
          <w:rFonts w:ascii="宋体" w:hAnsi="宋体" w:eastAsia="宋体"/>
        </w:rPr>
        <w:t>人员向其他消费群体宣传。</w:t>
      </w:r>
    </w:p>
    <w:bookmarkEnd w:id="64"/>
    <w:p w14:paraId="0C9551E9">
      <w:pPr>
        <w:keepNext/>
        <w:keepLines/>
        <w:numPr>
          <w:ilvl w:val="0"/>
          <w:numId w:val="12"/>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质疑处理</w:t>
      </w:r>
    </w:p>
    <w:p w14:paraId="115D7421">
      <w:pPr>
        <w:rPr>
          <w:rFonts w:ascii="黑体" w:hAnsi="宋体" w:eastAsia="黑体"/>
        </w:rPr>
      </w:pPr>
      <w:bookmarkStart w:id="80" w:name="_Hlk72439706"/>
      <w:r>
        <w:rPr>
          <w:rFonts w:hint="eastAsia" w:ascii="黑体" w:hAnsi="宋体" w:eastAsia="黑体"/>
          <w:lang w:eastAsia="zh-CN"/>
        </w:rPr>
        <w:t>51.</w:t>
      </w:r>
      <w:r>
        <w:rPr>
          <w:rFonts w:hint="eastAsia" w:ascii="黑体" w:hAnsi="宋体" w:eastAsia="黑体"/>
        </w:rPr>
        <w:t>质疑提出与答复</w:t>
      </w:r>
    </w:p>
    <w:p w14:paraId="0A92C54C">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1提出质疑</w:t>
      </w:r>
    </w:p>
    <w:p w14:paraId="6BCD3856">
      <w:pPr>
        <w:rPr>
          <w:rFonts w:ascii="宋体" w:hAnsi="宋体" w:eastAsia="宋体"/>
          <w:szCs w:val="21"/>
        </w:rPr>
      </w:pPr>
      <w:r>
        <w:rPr>
          <w:rFonts w:hint="eastAsia" w:ascii="宋体" w:hAnsi="宋体" w:eastAsia="宋体"/>
          <w:szCs w:val="21"/>
        </w:rPr>
        <w:t xml:space="preserve">    参与政府采购活动的供应商认为自己的权益在采购活动中受到损害的，应当自知道或者应当知道其权益受到损害之日起七个工作日内向采购人以书面形式提出质疑。</w:t>
      </w:r>
    </w:p>
    <w:p w14:paraId="01A7DFD5">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2</w:t>
      </w:r>
      <w:r>
        <w:rPr>
          <w:rFonts w:ascii="宋体" w:hAnsi="宋体" w:eastAsia="宋体"/>
          <w:szCs w:val="21"/>
        </w:rPr>
        <w:t>法律依据</w:t>
      </w:r>
    </w:p>
    <w:p w14:paraId="5ACCFA11">
      <w:pPr>
        <w:rPr>
          <w:rFonts w:ascii="宋体" w:hAnsi="宋体" w:eastAsia="宋体"/>
          <w:szCs w:val="21"/>
        </w:rPr>
      </w:pPr>
      <w:r>
        <w:rPr>
          <w:rFonts w:hint="eastAsia" w:ascii="宋体" w:hAnsi="宋体" w:eastAsia="宋体"/>
          <w:szCs w:val="21"/>
        </w:rPr>
        <w:t xml:space="preserve">    《中华人民共和国政府采购法》、《中华人民共和国政府采购法实施条例》、《政府采购质疑和投诉办法》（财政部令第94号）和其他有关法律法规规定。</w:t>
      </w:r>
    </w:p>
    <w:p w14:paraId="4F035131">
      <w:pPr>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3质疑条件</w:t>
      </w:r>
    </w:p>
    <w:p w14:paraId="286DE5D6">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3.1提出质疑的供应商应当是参与所质疑项目采购活动的供应商；</w:t>
      </w:r>
      <w:bookmarkStart w:id="81" w:name="_Hlk75374941"/>
      <w:r>
        <w:rPr>
          <w:rFonts w:hint="eastAsia" w:ascii="宋体" w:hAnsi="宋体" w:eastAsia="宋体"/>
          <w:szCs w:val="21"/>
        </w:rPr>
        <w:t>以联合体形式参与的，质疑应当由组成联合体的所有成员共同提出</w:t>
      </w:r>
      <w:bookmarkEnd w:id="81"/>
      <w:r>
        <w:rPr>
          <w:rFonts w:hint="eastAsia" w:ascii="宋体" w:hAnsi="宋体" w:eastAsia="宋体"/>
          <w:szCs w:val="21"/>
        </w:rPr>
        <w:t>；</w:t>
      </w:r>
    </w:p>
    <w:p w14:paraId="77520751">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3B6A99AF">
      <w:pPr>
        <w:ind w:firstLine="42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3.3应提交书面质疑函，质疑函应当包括以下内容：</w:t>
      </w:r>
    </w:p>
    <w:p w14:paraId="103E3D86">
      <w:pPr>
        <w:ind w:firstLine="420"/>
        <w:rPr>
          <w:rFonts w:ascii="宋体" w:hAnsi="宋体" w:eastAsia="宋体"/>
          <w:szCs w:val="21"/>
        </w:rPr>
      </w:pPr>
      <w:r>
        <w:rPr>
          <w:rFonts w:hint="eastAsia" w:ascii="宋体" w:hAnsi="宋体" w:eastAsia="宋体"/>
          <w:szCs w:val="21"/>
        </w:rPr>
        <w:t>（1）供应商的名称（或者姓名）、地址、邮编、邮箱、联系人及联系电话；</w:t>
      </w:r>
    </w:p>
    <w:p w14:paraId="50C8B937">
      <w:pPr>
        <w:ind w:firstLine="480" w:firstLineChars="200"/>
        <w:rPr>
          <w:rFonts w:ascii="宋体" w:hAnsi="宋体" w:eastAsia="宋体"/>
          <w:szCs w:val="21"/>
        </w:rPr>
      </w:pPr>
      <w:r>
        <w:rPr>
          <w:rFonts w:hint="eastAsia" w:ascii="宋体" w:hAnsi="宋体" w:eastAsia="宋体"/>
          <w:szCs w:val="21"/>
        </w:rPr>
        <w:t>（2）质疑项目的名称、编号；</w:t>
      </w:r>
    </w:p>
    <w:p w14:paraId="70148B84">
      <w:pPr>
        <w:ind w:firstLine="480" w:firstLineChars="200"/>
        <w:rPr>
          <w:rFonts w:ascii="宋体" w:hAnsi="宋体" w:eastAsia="宋体"/>
          <w:szCs w:val="21"/>
        </w:rPr>
      </w:pPr>
      <w:r>
        <w:rPr>
          <w:rFonts w:hint="eastAsia" w:ascii="宋体" w:hAnsi="宋体" w:eastAsia="宋体"/>
          <w:szCs w:val="21"/>
        </w:rPr>
        <w:t>（3）具体、明确的质疑对象、质疑事项和质疑请求；</w:t>
      </w:r>
    </w:p>
    <w:p w14:paraId="6C57285A">
      <w:pPr>
        <w:ind w:firstLine="480" w:firstLineChars="200"/>
        <w:rPr>
          <w:rFonts w:ascii="宋体" w:hAnsi="宋体" w:eastAsia="宋体"/>
          <w:szCs w:val="21"/>
        </w:rPr>
      </w:pPr>
      <w:r>
        <w:rPr>
          <w:rFonts w:hint="eastAsia" w:ascii="宋体" w:hAnsi="宋体" w:eastAsia="宋体"/>
          <w:szCs w:val="21"/>
        </w:rPr>
        <w:t>（4）因质疑事项而受损害的权益；</w:t>
      </w:r>
    </w:p>
    <w:p w14:paraId="2DFEBAD9">
      <w:pPr>
        <w:ind w:firstLine="480" w:firstLineChars="200"/>
        <w:rPr>
          <w:rFonts w:ascii="宋体" w:hAnsi="宋体" w:eastAsia="宋体"/>
          <w:szCs w:val="21"/>
        </w:rPr>
      </w:pPr>
      <w:r>
        <w:rPr>
          <w:rFonts w:hint="eastAsia" w:ascii="宋体" w:hAnsi="宋体" w:eastAsia="宋体"/>
          <w:szCs w:val="21"/>
        </w:rPr>
        <w:t>（5）事实依据；</w:t>
      </w:r>
    </w:p>
    <w:p w14:paraId="27919776">
      <w:pPr>
        <w:ind w:firstLine="480" w:firstLineChars="200"/>
        <w:rPr>
          <w:rFonts w:ascii="宋体" w:hAnsi="宋体" w:eastAsia="宋体"/>
          <w:szCs w:val="21"/>
        </w:rPr>
      </w:pPr>
      <w:r>
        <w:rPr>
          <w:rFonts w:hint="eastAsia" w:ascii="宋体" w:hAnsi="宋体" w:eastAsia="宋体"/>
          <w:szCs w:val="21"/>
        </w:rPr>
        <w:t>（6）必要的法律依据；</w:t>
      </w:r>
    </w:p>
    <w:p w14:paraId="5FA4E50F">
      <w:pPr>
        <w:ind w:firstLine="480" w:firstLineChars="200"/>
        <w:rPr>
          <w:rFonts w:ascii="宋体" w:hAnsi="宋体" w:eastAsia="宋体"/>
          <w:szCs w:val="21"/>
        </w:rPr>
      </w:pPr>
      <w:r>
        <w:rPr>
          <w:rFonts w:hint="eastAsia" w:ascii="宋体" w:hAnsi="宋体" w:eastAsia="宋体"/>
          <w:szCs w:val="21"/>
        </w:rPr>
        <w:t>（7）提出质疑的日期。</w:t>
      </w:r>
    </w:p>
    <w:p w14:paraId="34C8EB94">
      <w:pPr>
        <w:ind w:firstLine="480" w:firstLineChars="200"/>
        <w:rPr>
          <w:rFonts w:ascii="宋体" w:hAnsi="宋体" w:eastAsia="宋体"/>
          <w:szCs w:val="21"/>
        </w:rPr>
      </w:pPr>
      <w:r>
        <w:rPr>
          <w:rFonts w:hint="eastAsia" w:ascii="宋体" w:hAnsi="宋体" w:eastAsia="宋体"/>
          <w:szCs w:val="21"/>
        </w:rPr>
        <w:t>供应商为自然人的，应当由本人签字；供应商为法人或者其他组织的，应当由法定代表人（负责人），或者其授权代理人签字或者盖章，并加盖公章。</w:t>
      </w:r>
    </w:p>
    <w:p w14:paraId="0CBB4A43">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4提交</w:t>
      </w:r>
      <w:r>
        <w:rPr>
          <w:rFonts w:ascii="宋体" w:hAnsi="宋体" w:eastAsia="宋体"/>
          <w:szCs w:val="21"/>
        </w:rPr>
        <w:t>材料</w:t>
      </w:r>
    </w:p>
    <w:p w14:paraId="5783AA46">
      <w:pPr>
        <w:ind w:firstLine="480" w:firstLineChars="200"/>
        <w:rPr>
          <w:rFonts w:ascii="宋体" w:hAnsi="宋体" w:eastAsia="宋体"/>
          <w:szCs w:val="21"/>
        </w:rPr>
      </w:pPr>
      <w:r>
        <w:rPr>
          <w:rFonts w:hint="eastAsia" w:ascii="宋体" w:hAnsi="宋体" w:eastAsia="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3D61E7DD">
      <w:pPr>
        <w:ind w:firstLine="480" w:firstLineChars="200"/>
        <w:rPr>
          <w:rFonts w:ascii="宋体" w:hAnsi="宋体" w:eastAsia="宋体"/>
          <w:szCs w:val="21"/>
        </w:rPr>
      </w:pPr>
      <w:r>
        <w:rPr>
          <w:rFonts w:hint="eastAsia" w:ascii="宋体" w:hAnsi="宋体" w:eastAsia="宋体"/>
          <w:szCs w:val="21"/>
        </w:rPr>
        <w:t>供应商可以委托代理人进行质疑。</w:t>
      </w:r>
      <w:r>
        <w:rPr>
          <w:rFonts w:ascii="宋体" w:hAnsi="宋体" w:eastAsia="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69E41001">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5收文地点受理路径</w:t>
      </w:r>
    </w:p>
    <w:p w14:paraId="6A5BB207">
      <w:pPr>
        <w:ind w:firstLine="482" w:firstLineChars="200"/>
        <w:rPr>
          <w:rFonts w:hint="eastAsia" w:ascii="宋体" w:hAnsi="宋体" w:eastAsia="宋体"/>
          <w:b/>
          <w:bCs/>
          <w:szCs w:val="21"/>
          <w:lang w:eastAsia="zh-CN"/>
        </w:rPr>
      </w:pPr>
      <w:r>
        <w:rPr>
          <w:rFonts w:hint="eastAsia" w:ascii="宋体" w:hAnsi="宋体" w:eastAsia="宋体"/>
          <w:b/>
          <w:bCs/>
          <w:szCs w:val="21"/>
          <w:lang w:eastAsia="zh-CN"/>
        </w:rPr>
        <w:t>详见采购文件</w:t>
      </w:r>
    </w:p>
    <w:p w14:paraId="1D92A7E8">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6收文办理</w:t>
      </w:r>
      <w:r>
        <w:rPr>
          <w:rFonts w:ascii="宋体" w:hAnsi="宋体" w:eastAsia="宋体"/>
          <w:szCs w:val="21"/>
        </w:rPr>
        <w:t>程序</w:t>
      </w:r>
    </w:p>
    <w:p w14:paraId="7F1A7950">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6.1供应商提交的质疑符合受理条件的，</w:t>
      </w:r>
      <w:r>
        <w:rPr>
          <w:rFonts w:hint="eastAsia" w:ascii="宋体" w:hAnsi="宋体" w:eastAsia="宋体"/>
          <w:szCs w:val="21"/>
          <w:lang w:eastAsia="zh-CN"/>
        </w:rPr>
        <w:t>采购人</w:t>
      </w:r>
      <w:r>
        <w:rPr>
          <w:rFonts w:hint="eastAsia" w:ascii="宋体" w:hAnsi="宋体" w:eastAsia="宋体"/>
          <w:szCs w:val="21"/>
        </w:rPr>
        <w:t>自收到质疑材料之日起即为受理，应当向供应商出具质疑函收文回执并可以要求其递交质疑的法定代表人（负责人）或者授权代理人签署质疑文书送达地址确认书。</w:t>
      </w:r>
    </w:p>
    <w:p w14:paraId="4723AC2B">
      <w:pPr>
        <w:ind w:firstLine="480" w:firstLineChars="200"/>
        <w:rPr>
          <w:rFonts w:ascii="仿宋" w:hAnsi="仿宋" w:eastAsia="仿宋"/>
          <w:sz w:val="28"/>
          <w:szCs w:val="28"/>
        </w:rPr>
      </w:pPr>
      <w:r>
        <w:rPr>
          <w:rFonts w:hint="eastAsia" w:ascii="宋体" w:hAnsi="宋体" w:eastAsia="宋体"/>
          <w:szCs w:val="21"/>
          <w:lang w:eastAsia="zh-CN"/>
        </w:rPr>
        <w:t>51.</w:t>
      </w:r>
      <w:r>
        <w:rPr>
          <w:rFonts w:hint="eastAsia" w:ascii="宋体" w:hAnsi="宋体" w:eastAsia="宋体"/>
          <w:szCs w:val="21"/>
        </w:rPr>
        <w:t>6.2供应商提交的质疑材料不符合质疑条件的，视情况处理：</w:t>
      </w:r>
    </w:p>
    <w:p w14:paraId="27F4A5B9">
      <w:pPr>
        <w:ind w:firstLine="480" w:firstLineChars="200"/>
        <w:rPr>
          <w:rFonts w:ascii="宋体" w:hAnsi="宋体" w:eastAsia="宋体"/>
          <w:szCs w:val="21"/>
        </w:rPr>
      </w:pPr>
      <w:r>
        <w:rPr>
          <w:rFonts w:hint="eastAsia" w:ascii="宋体" w:hAnsi="宋体" w:eastAsia="宋体"/>
          <w:szCs w:val="21"/>
        </w:rPr>
        <w:t>供应商提交的质疑材料不全或者未按要求签字或者盖章的，</w:t>
      </w:r>
      <w:r>
        <w:rPr>
          <w:rFonts w:hint="eastAsia" w:ascii="宋体" w:hAnsi="宋体" w:eastAsia="宋体"/>
          <w:szCs w:val="21"/>
          <w:lang w:eastAsia="zh-CN"/>
        </w:rPr>
        <w:t>采购人</w:t>
      </w:r>
      <w:r>
        <w:rPr>
          <w:rFonts w:hint="eastAsia" w:ascii="宋体" w:hAnsi="宋体" w:eastAsia="宋体"/>
          <w:szCs w:val="21"/>
        </w:rPr>
        <w:t>应当一次性告知供应商需补正的内容和补正期限。</w:t>
      </w:r>
    </w:p>
    <w:p w14:paraId="22EC4AB5">
      <w:pPr>
        <w:ind w:firstLine="480" w:firstLineChars="200"/>
        <w:rPr>
          <w:rFonts w:ascii="宋体" w:hAnsi="宋体" w:eastAsia="宋体"/>
          <w:szCs w:val="21"/>
        </w:rPr>
      </w:pPr>
      <w:r>
        <w:rPr>
          <w:rFonts w:hint="eastAsia" w:ascii="宋体" w:hAnsi="宋体" w:eastAsia="宋体"/>
          <w:szCs w:val="21"/>
        </w:rPr>
        <w:t>供应商提交的质疑存在下列情形之一的，不予受理：</w:t>
      </w:r>
    </w:p>
    <w:p w14:paraId="492BCC61">
      <w:pPr>
        <w:ind w:firstLine="480" w:firstLineChars="200"/>
        <w:rPr>
          <w:rFonts w:ascii="宋体" w:hAnsi="宋体" w:eastAsia="宋体"/>
          <w:szCs w:val="21"/>
        </w:rPr>
      </w:pPr>
      <w:r>
        <w:rPr>
          <w:rFonts w:hint="eastAsia" w:ascii="宋体" w:hAnsi="宋体" w:eastAsia="宋体"/>
          <w:szCs w:val="21"/>
        </w:rPr>
        <w:t>（1）质疑主体不满足要求的；</w:t>
      </w:r>
    </w:p>
    <w:p w14:paraId="4EB66CB8">
      <w:pPr>
        <w:ind w:firstLine="480" w:firstLineChars="200"/>
        <w:rPr>
          <w:rFonts w:ascii="宋体" w:hAnsi="宋体" w:eastAsia="宋体"/>
          <w:szCs w:val="21"/>
        </w:rPr>
      </w:pPr>
      <w:r>
        <w:rPr>
          <w:rFonts w:hint="eastAsia" w:ascii="宋体" w:hAnsi="宋体" w:eastAsia="宋体"/>
          <w:szCs w:val="21"/>
        </w:rPr>
        <w:t>（2）供应商自身权益未受到损害的；</w:t>
      </w:r>
    </w:p>
    <w:p w14:paraId="49772C27">
      <w:pPr>
        <w:ind w:firstLine="480" w:firstLineChars="200"/>
        <w:rPr>
          <w:rFonts w:ascii="宋体" w:hAnsi="宋体" w:eastAsia="宋体"/>
          <w:szCs w:val="21"/>
        </w:rPr>
      </w:pPr>
      <w:r>
        <w:rPr>
          <w:rFonts w:hint="eastAsia" w:ascii="宋体" w:hAnsi="宋体" w:eastAsia="宋体"/>
          <w:szCs w:val="21"/>
        </w:rPr>
        <w:t>（3）供应商未在法定质疑期限内提出质疑的；</w:t>
      </w:r>
    </w:p>
    <w:p w14:paraId="4C3116FF">
      <w:pPr>
        <w:ind w:firstLine="480" w:firstLineChars="200"/>
        <w:rPr>
          <w:rFonts w:ascii="宋体" w:hAnsi="宋体" w:eastAsia="宋体"/>
          <w:szCs w:val="21"/>
        </w:rPr>
      </w:pPr>
      <w:r>
        <w:rPr>
          <w:rFonts w:hint="eastAsia" w:ascii="宋体" w:hAnsi="宋体" w:eastAsia="宋体"/>
          <w:szCs w:val="21"/>
        </w:rPr>
        <w:t>（4）质疑材料不全或者未按要求签字或者盖章的情况下，要求补正后，逾期未补正或者补正后仍不符合规定的；</w:t>
      </w:r>
    </w:p>
    <w:p w14:paraId="51CA2A01">
      <w:pPr>
        <w:ind w:firstLine="480" w:firstLineChars="200"/>
        <w:rPr>
          <w:rFonts w:ascii="宋体" w:hAnsi="宋体" w:eastAsia="宋体"/>
          <w:szCs w:val="21"/>
        </w:rPr>
      </w:pPr>
      <w:r>
        <w:rPr>
          <w:rFonts w:hint="eastAsia" w:ascii="宋体" w:hAnsi="宋体" w:eastAsia="宋体"/>
          <w:szCs w:val="21"/>
        </w:rPr>
        <w:t>（5）其他不符合受理条件情形的。</w:t>
      </w:r>
    </w:p>
    <w:p w14:paraId="03BB4F5D">
      <w:pPr>
        <w:ind w:firstLine="480" w:firstLineChars="200"/>
        <w:rPr>
          <w:rFonts w:ascii="宋体" w:hAnsi="宋体" w:eastAsia="宋体"/>
          <w:szCs w:val="21"/>
        </w:rPr>
      </w:pPr>
      <w:r>
        <w:rPr>
          <w:rFonts w:hint="eastAsia" w:ascii="宋体" w:hAnsi="宋体" w:eastAsia="宋体"/>
          <w:szCs w:val="21"/>
        </w:rPr>
        <w:t>质疑事项不予受理的，</w:t>
      </w:r>
      <w:r>
        <w:rPr>
          <w:rFonts w:hint="eastAsia" w:ascii="宋体" w:hAnsi="宋体" w:eastAsia="宋体"/>
          <w:szCs w:val="21"/>
          <w:lang w:eastAsia="zh-CN"/>
        </w:rPr>
        <w:t>采购人</w:t>
      </w:r>
      <w:r>
        <w:rPr>
          <w:rFonts w:hint="eastAsia" w:ascii="宋体" w:hAnsi="宋体" w:eastAsia="宋体"/>
          <w:szCs w:val="21"/>
        </w:rPr>
        <w:t>应当向供应商出具不符合质疑条件告知书。</w:t>
      </w:r>
    </w:p>
    <w:p w14:paraId="6D1F883D">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7质疑答复时限</w:t>
      </w:r>
    </w:p>
    <w:p w14:paraId="51401DC6">
      <w:pPr>
        <w:rPr>
          <w:rFonts w:ascii="宋体" w:hAnsi="宋体" w:eastAsia="宋体"/>
          <w:szCs w:val="21"/>
        </w:rPr>
      </w:pPr>
      <w:r>
        <w:rPr>
          <w:rFonts w:hint="eastAsia" w:ascii="宋体" w:hAnsi="宋体" w:eastAsia="宋体"/>
          <w:szCs w:val="21"/>
        </w:rPr>
        <w:t xml:space="preserve">    自收文之日起七个工作日内。</w:t>
      </w:r>
    </w:p>
    <w:p w14:paraId="2F047244">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8投诉</w:t>
      </w:r>
    </w:p>
    <w:p w14:paraId="62383138">
      <w:pPr>
        <w:rPr>
          <w:rFonts w:ascii="宋体" w:hAnsi="宋体" w:eastAsia="宋体"/>
          <w:szCs w:val="21"/>
        </w:rPr>
      </w:pPr>
      <w:r>
        <w:rPr>
          <w:rFonts w:hint="eastAsia" w:ascii="宋体" w:hAnsi="宋体" w:eastAsia="宋体"/>
          <w:szCs w:val="21"/>
        </w:rPr>
        <w:t xml:space="preserve">    对质疑答复不满意或者未在规定时间内答复的，提出质疑的供应商可以在答复期满后15个工作日内向同级财政部门投诉。</w:t>
      </w:r>
    </w:p>
    <w:p w14:paraId="471070AF">
      <w:pPr>
        <w:rPr>
          <w:rFonts w:ascii="黑体" w:hAnsi="宋体" w:eastAsia="黑体"/>
        </w:rPr>
      </w:pPr>
      <w:r>
        <w:rPr>
          <w:rFonts w:hint="eastAsia" w:ascii="黑体" w:hAnsi="宋体" w:eastAsia="黑体"/>
        </w:rPr>
        <w:t>53. 质疑后续处理</w:t>
      </w:r>
    </w:p>
    <w:p w14:paraId="461361D5">
      <w:pPr>
        <w:rPr>
          <w:rFonts w:ascii="宋体" w:hAnsi="宋体" w:eastAsia="宋体"/>
          <w:szCs w:val="21"/>
        </w:rPr>
      </w:pPr>
      <w:r>
        <w:rPr>
          <w:rFonts w:hint="eastAsia" w:ascii="宋体" w:hAnsi="宋体" w:eastAsia="宋体"/>
          <w:szCs w:val="21"/>
        </w:rPr>
        <w:t xml:space="preserve">    53.1供应商质疑不成立，或者成立但未对中标、成交结果构成影响的，继续开展采购活动。</w:t>
      </w:r>
    </w:p>
    <w:p w14:paraId="0CA1FF62">
      <w:pPr>
        <w:rPr>
          <w:rFonts w:ascii="宋体" w:hAnsi="宋体" w:eastAsia="宋体"/>
          <w:szCs w:val="21"/>
        </w:rPr>
      </w:pPr>
      <w:r>
        <w:rPr>
          <w:rFonts w:hint="eastAsia" w:ascii="宋体" w:hAnsi="宋体" w:eastAsia="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4AE4703D">
      <w:pPr>
        <w:jc w:val="center"/>
        <w:rPr>
          <w:rFonts w:eastAsia="宋体"/>
        </w:rPr>
      </w:pPr>
      <w:r>
        <w:rPr>
          <w:rFonts w:eastAsia="宋体"/>
        </w:rPr>
        <w:t>---- END ----</w:t>
      </w:r>
      <w:bookmarkEnd w:id="80"/>
    </w:p>
    <w:p w14:paraId="439F1701">
      <w:pPr>
        <w:rPr>
          <w:rFonts w:ascii="宋体" w:hAnsi="宋体" w:eastAsia="黑体"/>
          <w:b/>
          <w:bCs/>
          <w:color w:val="0000FF"/>
          <w:kern w:val="44"/>
          <w:sz w:val="36"/>
          <w:szCs w:val="44"/>
        </w:rPr>
      </w:pPr>
    </w:p>
    <w:p w14:paraId="2A6A5C95"/>
    <w:p w14:paraId="516DF497"/>
    <w:sectPr>
      <w:headerReference r:id="rId10" w:type="default"/>
      <w:footerReference r:id="rId11" w:type="default"/>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MS UI Gothic">
    <w:panose1 w:val="020B0600070205080204"/>
    <w:charset w:val="80"/>
    <w:family w:val="swiss"/>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A00002EF" w:usb1="4000004B" w:usb2="00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142DC">
    <w:pPr>
      <w:spacing w:line="184" w:lineRule="auto"/>
      <w:ind w:left="432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4EC2E0">
                          <w:pPr>
                            <w:pStyle w:val="11"/>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54EC2E0">
                    <w:pPr>
                      <w:pStyle w:val="11"/>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3EA96">
    <w:pPr>
      <w:spacing w:line="184" w:lineRule="auto"/>
      <w:ind w:left="432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AEE015">
                          <w:pPr>
                            <w:pStyle w:val="11"/>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AAEE015">
                    <w:pPr>
                      <w:pStyle w:val="11"/>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1422B">
    <w:pPr>
      <w:pStyle w:val="8"/>
      <w:kinsoku w:val="0"/>
      <w:overflowPunct w:val="0"/>
      <w:spacing w:beforeLines="0" w:afterLines="0" w:line="14" w:lineRule="auto"/>
      <w:ind w:left="0"/>
      <w:rPr>
        <w:rFonts w:hint="eastAsia"/>
        <w:sz w:val="20"/>
        <w:szCs w:val="24"/>
      </w:rPr>
    </w:pPr>
    <w:r>
      <w:rPr>
        <w:rFonts w:hint="default"/>
        <w:sz w:val="24"/>
        <w:szCs w:val="24"/>
      </w:rPr>
      <mc:AlternateContent>
        <mc:Choice Requires="wps">
          <w:drawing>
            <wp:anchor distT="0" distB="0" distL="114300" distR="114300" simplePos="0" relativeHeight="251661312" behindDoc="1" locked="0" layoutInCell="1" allowOverlap="1">
              <wp:simplePos x="0" y="0"/>
              <wp:positionH relativeFrom="page">
                <wp:posOffset>3567430</wp:posOffset>
              </wp:positionH>
              <wp:positionV relativeFrom="page">
                <wp:posOffset>10108565</wp:posOffset>
              </wp:positionV>
              <wp:extent cx="426720" cy="1397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426720" cy="139700"/>
                      </a:xfrm>
                      <a:prstGeom prst="rect">
                        <a:avLst/>
                      </a:prstGeom>
                      <a:noFill/>
                      <a:ln>
                        <a:noFill/>
                      </a:ln>
                    </wps:spPr>
                    <wps:txbx>
                      <w:txbxContent>
                        <w:p w14:paraId="611E4A43">
                          <w:pPr>
                            <w:pStyle w:val="8"/>
                            <w:kinsoku w:val="0"/>
                            <w:overflowPunct w:val="0"/>
                            <w:spacing w:beforeLines="0" w:afterLines="0" w:line="204" w:lineRule="exact"/>
                            <w:ind w:left="20"/>
                            <w:rPr>
                              <w:rFonts w:hint="default" w:ascii="Times New Roman" w:hAnsi="Times New Roman" w:eastAsia="Times New Roman"/>
                              <w:sz w:val="18"/>
                              <w:szCs w:val="24"/>
                            </w:rPr>
                          </w:pPr>
                          <w:r>
                            <w:rPr>
                              <w:rFonts w:hint="default" w:ascii="Times New Roman" w:hAnsi="Times New Roman" w:eastAsia="Times New Roman"/>
                              <w:sz w:val="18"/>
                              <w:szCs w:val="24"/>
                            </w:rPr>
                            <w:t>—</w:t>
                          </w:r>
                          <w:r>
                            <w:rPr>
                              <w:rFonts w:hint="default" w:ascii="Times New Roman" w:hAnsi="Times New Roman" w:eastAsia="Times New Roman"/>
                              <w:sz w:val="18"/>
                              <w:szCs w:val="24"/>
                            </w:rPr>
                            <w:fldChar w:fldCharType="begin"/>
                          </w:r>
                          <w:r>
                            <w:rPr>
                              <w:rFonts w:hint="default" w:ascii="Times New Roman" w:hAnsi="Times New Roman" w:eastAsia="Times New Roman"/>
                              <w:sz w:val="18"/>
                              <w:szCs w:val="24"/>
                            </w:rPr>
                            <w:instrText xml:space="preserve"> PAGE </w:instrText>
                          </w:r>
                          <w:r>
                            <w:rPr>
                              <w:rFonts w:hint="default" w:ascii="Times New Roman" w:hAnsi="Times New Roman" w:eastAsia="Times New Roman"/>
                              <w:sz w:val="18"/>
                              <w:szCs w:val="24"/>
                            </w:rPr>
                            <w:fldChar w:fldCharType="separate"/>
                          </w:r>
                          <w:r>
                            <w:rPr>
                              <w:rFonts w:hint="default" w:ascii="Times New Roman" w:hAnsi="Times New Roman" w:eastAsia="Times New Roman"/>
                              <w:sz w:val="18"/>
                              <w:szCs w:val="24"/>
                            </w:rPr>
                            <w:fldChar w:fldCharType="end"/>
                          </w:r>
                          <w:r>
                            <w:rPr>
                              <w:rFonts w:hint="default" w:ascii="Times New Roman" w:hAnsi="Times New Roman" w:eastAsia="Times New Roman"/>
                              <w:sz w:val="18"/>
                              <w:szCs w:val="24"/>
                            </w:rPr>
                            <w:t>—</w:t>
                          </w:r>
                        </w:p>
                      </w:txbxContent>
                    </wps:txbx>
                    <wps:bodyPr lIns="0" tIns="0" rIns="0" bIns="0" upright="1"/>
                  </wps:wsp>
                </a:graphicData>
              </a:graphic>
            </wp:anchor>
          </w:drawing>
        </mc:Choice>
        <mc:Fallback>
          <w:pict>
            <v:shape id="_x0000_s1026" o:spid="_x0000_s1026" o:spt="202" type="#_x0000_t202" style="position:absolute;left:0pt;margin-left:280.9pt;margin-top:795.95pt;height:11pt;width:33.6pt;mso-position-horizontal-relative:page;mso-position-vertical-relative:page;z-index:-251655168;mso-width-relative:page;mso-height-relative:page;" filled="f" stroked="f" coordsize="21600,21600" o:gfxdata="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kom8/aAAAADQEAAA8AAAAAAAAAAQAgAAAAIgAAAGRycy9kb3ducmV2LnhtbFBL&#10;AQIUABQAAAAIAIdO4kDftOFEuwEAAHEDAAAOAAAAAAAAAAEAIAAAACkBAABkcnMvZTJvRG9jLnht&#10;bFBLBQYAAAAABgAGAFkBAABWBQAAAAA=&#10;">
              <v:fill on="f" focussize="0,0"/>
              <v:stroke on="f"/>
              <v:imagedata o:title=""/>
              <o:lock v:ext="edit" aspectratio="f"/>
              <v:textbox inset="0mm,0mm,0mm,0mm">
                <w:txbxContent>
                  <w:p w14:paraId="611E4A43">
                    <w:pPr>
                      <w:pStyle w:val="8"/>
                      <w:kinsoku w:val="0"/>
                      <w:overflowPunct w:val="0"/>
                      <w:spacing w:beforeLines="0" w:afterLines="0" w:line="204" w:lineRule="exact"/>
                      <w:ind w:left="20"/>
                      <w:rPr>
                        <w:rFonts w:hint="default" w:ascii="Times New Roman" w:hAnsi="Times New Roman" w:eastAsia="Times New Roman"/>
                        <w:sz w:val="18"/>
                        <w:szCs w:val="24"/>
                      </w:rPr>
                    </w:pPr>
                    <w:r>
                      <w:rPr>
                        <w:rFonts w:hint="default" w:ascii="Times New Roman" w:hAnsi="Times New Roman" w:eastAsia="Times New Roman"/>
                        <w:sz w:val="18"/>
                        <w:szCs w:val="24"/>
                      </w:rPr>
                      <w:t>—</w:t>
                    </w:r>
                    <w:r>
                      <w:rPr>
                        <w:rFonts w:hint="default" w:ascii="Times New Roman" w:hAnsi="Times New Roman" w:eastAsia="Times New Roman"/>
                        <w:sz w:val="18"/>
                        <w:szCs w:val="24"/>
                      </w:rPr>
                      <w:fldChar w:fldCharType="begin"/>
                    </w:r>
                    <w:r>
                      <w:rPr>
                        <w:rFonts w:hint="default" w:ascii="Times New Roman" w:hAnsi="Times New Roman" w:eastAsia="Times New Roman"/>
                        <w:sz w:val="18"/>
                        <w:szCs w:val="24"/>
                      </w:rPr>
                      <w:instrText xml:space="preserve"> PAGE </w:instrText>
                    </w:r>
                    <w:r>
                      <w:rPr>
                        <w:rFonts w:hint="default" w:ascii="Times New Roman" w:hAnsi="Times New Roman" w:eastAsia="Times New Roman"/>
                        <w:sz w:val="18"/>
                        <w:szCs w:val="24"/>
                      </w:rPr>
                      <w:fldChar w:fldCharType="separate"/>
                    </w:r>
                    <w:r>
                      <w:rPr>
                        <w:rFonts w:hint="default" w:ascii="Times New Roman" w:hAnsi="Times New Roman" w:eastAsia="Times New Roman"/>
                        <w:sz w:val="18"/>
                        <w:szCs w:val="24"/>
                      </w:rPr>
                      <w:fldChar w:fldCharType="end"/>
                    </w:r>
                    <w:r>
                      <w:rPr>
                        <w:rFonts w:hint="default" w:ascii="Times New Roman" w:hAnsi="Times New Roman" w:eastAsia="Times New Roman"/>
                        <w:sz w:val="18"/>
                        <w:szCs w:val="24"/>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31CAB">
    <w:pPr>
      <w:pStyle w:val="11"/>
      <w:ind w:right="360" w:firstLine="360"/>
      <w:jc w:val="right"/>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9836B6">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669836B6">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9E92D">
    <w:pPr>
      <w:pStyle w:val="11"/>
      <w:rPr>
        <w:rStyle w:val="2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0D82BA">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14:paraId="570D82BA">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14:paraId="4E24207D">
    <w:pPr>
      <w:pStyle w:val="11"/>
      <w:ind w:right="360"/>
      <w:jc w:val="right"/>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FF7A1">
    <w:pPr>
      <w:pStyle w:val="8"/>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FF0221">
                          <w:pPr>
                            <w:pStyle w:val="1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6DFF0221">
                    <w:pPr>
                      <w:pStyle w:val="11"/>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96EED">
    <w:pPr>
      <w:pStyle w:val="11"/>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066EDB">
                          <w:pPr>
                            <w:pStyle w:val="11"/>
                            <w:rPr>
                              <w:rStyle w:val="22"/>
                            </w:rPr>
                          </w:pPr>
                          <w:r>
                            <w:fldChar w:fldCharType="begin"/>
                          </w:r>
                          <w:r>
                            <w:rPr>
                              <w:rStyle w:val="22"/>
                            </w:rPr>
                            <w:instrText xml:space="preserve">PAGE  </w:instrText>
                          </w:r>
                          <w:r>
                            <w:fldChar w:fldCharType="separate"/>
                          </w:r>
                          <w:r>
                            <w:rPr>
                              <w:rStyle w:val="22"/>
                            </w:rPr>
                            <w:t>49</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2Exc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B2ExcoBAACcAwAADgAAAAAAAAABACAAAAAeAQAAZHJzL2Uyb0Rv&#10;Yy54bWxQSwUGAAAAAAYABgBZAQAAWgUAAAAA&#10;">
              <v:fill on="f" focussize="0,0"/>
              <v:stroke on="f"/>
              <v:imagedata o:title=""/>
              <o:lock v:ext="edit" aspectratio="f"/>
              <v:textbox inset="0mm,0mm,0mm,0mm" style="mso-fit-shape-to-text:t;">
                <w:txbxContent>
                  <w:p w14:paraId="0A066EDB">
                    <w:pPr>
                      <w:pStyle w:val="11"/>
                      <w:rPr>
                        <w:rStyle w:val="22"/>
                      </w:rPr>
                    </w:pPr>
                    <w:r>
                      <w:fldChar w:fldCharType="begin"/>
                    </w:r>
                    <w:r>
                      <w:rPr>
                        <w:rStyle w:val="22"/>
                      </w:rPr>
                      <w:instrText xml:space="preserve">PAGE  </w:instrText>
                    </w:r>
                    <w:r>
                      <w:fldChar w:fldCharType="separate"/>
                    </w:r>
                    <w:r>
                      <w:rPr>
                        <w:rStyle w:val="22"/>
                      </w:rP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30A07">
    <w:pPr>
      <w:pStyle w:val="8"/>
      <w:kinsoku w:val="0"/>
      <w:overflowPunct w:val="0"/>
      <w:spacing w:beforeLines="0" w:afterLines="0" w:line="14" w:lineRule="auto"/>
      <w:ind w:left="0"/>
      <w:rPr>
        <w:rFonts w:hint="eastAsia"/>
        <w:sz w:val="20"/>
        <w:szCs w:val="24"/>
      </w:rPr>
    </w:pPr>
    <w:r>
      <w:rPr>
        <w:rFonts w:hint="default"/>
        <w:sz w:val="24"/>
        <w:szCs w:val="24"/>
      </w:rPr>
      <mc:AlternateContent>
        <mc:Choice Requires="wps">
          <w:drawing>
            <wp:anchor distT="0" distB="0" distL="114300" distR="114300" simplePos="0" relativeHeight="251659264" behindDoc="1" locked="0" layoutInCell="1" allowOverlap="1">
              <wp:simplePos x="0" y="0"/>
              <wp:positionH relativeFrom="page">
                <wp:posOffset>1143000</wp:posOffset>
              </wp:positionH>
              <wp:positionV relativeFrom="page">
                <wp:posOffset>622300</wp:posOffset>
              </wp:positionV>
              <wp:extent cx="5274310" cy="12700"/>
              <wp:effectExtent l="0" t="0" r="0" b="0"/>
              <wp:wrapNone/>
              <wp:docPr id="6" name="任意多边形 6"/>
              <wp:cNvGraphicFramePr/>
              <a:graphic xmlns:a="http://schemas.openxmlformats.org/drawingml/2006/main">
                <a:graphicData uri="http://schemas.microsoft.com/office/word/2010/wordprocessingShape">
                  <wps:wsp>
                    <wps:cNvSpPr/>
                    <wps:spPr>
                      <a:xfrm>
                        <a:off x="0" y="0"/>
                        <a:ext cx="5274310" cy="12700"/>
                      </a:xfrm>
                      <a:custGeom>
                        <a:avLst/>
                        <a:gdLst/>
                        <a:ahLst/>
                        <a:cxnLst/>
                        <a:pathLst>
                          <a:path w="8306" h="20">
                            <a:moveTo>
                              <a:pt x="0" y="0"/>
                            </a:moveTo>
                            <a:lnTo>
                              <a:pt x="8306" y="0"/>
                            </a:lnTo>
                          </a:path>
                        </a:pathLst>
                      </a:custGeom>
                      <a:noFill/>
                      <a:ln w="10414"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90pt;margin-top:49pt;height:1pt;width:415.3pt;mso-position-horizontal-relative:page;mso-position-vertical-relative:page;z-index:-251657216;mso-width-relative:page;mso-height-relative:page;" filled="f" stroked="t" coordsize="8306,20" o:gfxdata="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vvPBd1wAAAAsBAAAPAAAAAAAAAAEAIAAAACIAAABkcnMvZG93bnJldi54&#10;bWxQSwECFAAUAAAACACHTuJAFqnuJDQCAACOBAAADgAAAAAAAAABACAAAAAmAQAAZHJzL2Uyb0Rv&#10;Yy54bWxQSwUGAAAAAAYABgBZAQAAzAUAAAAA&#10;" path="m0,0l8306,0e">
              <v:fill on="f" focussize="0,0"/>
              <v:stroke weight="0.82pt" color="#000000" joinstyle="round"/>
              <v:imagedata o:title=""/>
              <o:lock v:ext="edit" aspectratio="f"/>
            </v:shape>
          </w:pict>
        </mc:Fallback>
      </mc:AlternateContent>
    </w:r>
    <w:r>
      <w:rPr>
        <w:rFonts w:hint="default"/>
        <w:sz w:val="24"/>
        <w:szCs w:val="24"/>
      </w:rPr>
      <mc:AlternateContent>
        <mc:Choice Requires="wps">
          <w:drawing>
            <wp:anchor distT="0" distB="0" distL="114300" distR="114300" simplePos="0" relativeHeight="251660288" behindDoc="1" locked="0" layoutInCell="1" allowOverlap="1">
              <wp:simplePos x="0" y="0"/>
              <wp:positionH relativeFrom="page">
                <wp:posOffset>1130300</wp:posOffset>
              </wp:positionH>
              <wp:positionV relativeFrom="page">
                <wp:posOffset>461010</wp:posOffset>
              </wp:positionV>
              <wp:extent cx="1054100" cy="1397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054100" cy="139700"/>
                      </a:xfrm>
                      <a:prstGeom prst="rect">
                        <a:avLst/>
                      </a:prstGeom>
                      <a:noFill/>
                      <a:ln>
                        <a:noFill/>
                      </a:ln>
                    </wps:spPr>
                    <wps:txbx>
                      <w:txbxContent>
                        <w:p w14:paraId="70904864">
                          <w:pPr>
                            <w:pStyle w:val="8"/>
                            <w:kinsoku w:val="0"/>
                            <w:overflowPunct w:val="0"/>
                            <w:spacing w:beforeLines="0" w:afterLines="0" w:line="200" w:lineRule="exact"/>
                            <w:ind w:left="20"/>
                            <w:rPr>
                              <w:rFonts w:hint="eastAsia"/>
                              <w:sz w:val="18"/>
                              <w:szCs w:val="24"/>
                              <w:lang w:val="en-US" w:eastAsia="zh-CN"/>
                            </w:rPr>
                          </w:pPr>
                          <w:r>
                            <w:rPr>
                              <w:rFonts w:hint="eastAsia"/>
                              <w:sz w:val="18"/>
                              <w:szCs w:val="24"/>
                            </w:rPr>
                            <w:t>喀什市</w:t>
                          </w:r>
                          <w:r>
                            <w:rPr>
                              <w:rFonts w:hint="eastAsia"/>
                              <w:sz w:val="18"/>
                              <w:szCs w:val="24"/>
                              <w:lang w:val="en-US" w:eastAsia="zh-CN"/>
                            </w:rPr>
                            <w:t>科学技术局</w:t>
                          </w:r>
                        </w:p>
                      </w:txbxContent>
                    </wps:txbx>
                    <wps:bodyPr lIns="0" tIns="0" rIns="0" bIns="0" upright="1"/>
                  </wps:wsp>
                </a:graphicData>
              </a:graphic>
            </wp:anchor>
          </w:drawing>
        </mc:Choice>
        <mc:Fallback>
          <w:pict>
            <v:shape id="_x0000_s1026" o:spid="_x0000_s1026" o:spt="202" type="#_x0000_t202" style="position:absolute;left:0pt;margin-left:89pt;margin-top:36.3pt;height:11pt;width:83pt;mso-position-horizontal-relative:page;mso-position-vertical-relative:page;z-index:-251656192;mso-width-relative:page;mso-height-relative:page;" filled="f" stroked="f" coordsize="21600,21600" o:gfxdata="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9Pt+NgAAAAJAQAADwAAAAAAAAABACAAAAAiAAAAZHJzL2Rvd25yZXYueG1sUEsBAhQA&#10;FAAAAAgAh07iQPSgn+u5AQAAcgMAAA4AAAAAAAAAAQAgAAAAJwEAAGRycy9lMm9Eb2MueG1sUEsF&#10;BgAAAAAGAAYAWQEAAFIFAAAAAA==&#10;">
              <v:fill on="f" focussize="0,0"/>
              <v:stroke on="f"/>
              <v:imagedata o:title=""/>
              <o:lock v:ext="edit" aspectratio="f"/>
              <v:textbox inset="0mm,0mm,0mm,0mm">
                <w:txbxContent>
                  <w:p w14:paraId="70904864">
                    <w:pPr>
                      <w:pStyle w:val="8"/>
                      <w:kinsoku w:val="0"/>
                      <w:overflowPunct w:val="0"/>
                      <w:spacing w:beforeLines="0" w:afterLines="0" w:line="200" w:lineRule="exact"/>
                      <w:ind w:left="20"/>
                      <w:rPr>
                        <w:rFonts w:hint="eastAsia"/>
                        <w:sz w:val="18"/>
                        <w:szCs w:val="24"/>
                        <w:lang w:val="en-US" w:eastAsia="zh-CN"/>
                      </w:rPr>
                    </w:pPr>
                    <w:r>
                      <w:rPr>
                        <w:rFonts w:hint="eastAsia"/>
                        <w:sz w:val="18"/>
                        <w:szCs w:val="24"/>
                      </w:rPr>
                      <w:t>喀什市</w:t>
                    </w:r>
                    <w:r>
                      <w:rPr>
                        <w:rFonts w:hint="eastAsia"/>
                        <w:sz w:val="18"/>
                        <w:szCs w:val="24"/>
                        <w:lang w:val="en-US" w:eastAsia="zh-CN"/>
                      </w:rPr>
                      <w:t>科学技术局</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36A89">
    <w:pPr>
      <w:pStyle w:val="12"/>
      <w:jc w:val="both"/>
      <w:rPr>
        <w:rFonts w:hint="eastAsia"/>
      </w:rPr>
    </w:pPr>
    <w:r>
      <w:rPr>
        <w:rFonts w:hint="eastAsia"/>
        <w:lang w:eastAsia="zh-CN"/>
      </w:rPr>
      <w:t>喀什市招投标中心</w:t>
    </w:r>
    <w:r>
      <w:rPr>
        <w:rFonts w:hint="eastAsia"/>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C2CDA"/>
    <w:multiLevelType w:val="singleLevel"/>
    <w:tmpl w:val="897C2CDA"/>
    <w:lvl w:ilvl="0" w:tentative="0">
      <w:start w:val="1"/>
      <w:numFmt w:val="decimal"/>
      <w:lvlText w:val="%1."/>
      <w:lvlJc w:val="left"/>
      <w:pPr>
        <w:tabs>
          <w:tab w:val="left" w:pos="312"/>
        </w:tabs>
      </w:pPr>
    </w:lvl>
  </w:abstractNum>
  <w:abstractNum w:abstractNumId="1">
    <w:nsid w:val="B6A1A4BE"/>
    <w:multiLevelType w:val="singleLevel"/>
    <w:tmpl w:val="B6A1A4BE"/>
    <w:lvl w:ilvl="0" w:tentative="0">
      <w:start w:val="2"/>
      <w:numFmt w:val="decimal"/>
      <w:suff w:val="nothing"/>
      <w:lvlText w:val="%1、"/>
      <w:lvlJc w:val="left"/>
    </w:lvl>
  </w:abstractNum>
  <w:abstractNum w:abstractNumId="2">
    <w:nsid w:val="D4E84D68"/>
    <w:multiLevelType w:val="singleLevel"/>
    <w:tmpl w:val="D4E84D68"/>
    <w:lvl w:ilvl="0" w:tentative="0">
      <w:start w:val="4"/>
      <w:numFmt w:val="chineseCounting"/>
      <w:suff w:val="nothing"/>
      <w:lvlText w:val="%1、"/>
      <w:lvlJc w:val="left"/>
      <w:rPr>
        <w:rFonts w:hint="eastAsia"/>
      </w:rPr>
    </w:lvl>
  </w:abstractNum>
  <w:abstractNum w:abstractNumId="3">
    <w:nsid w:val="00000002"/>
    <w:multiLevelType w:val="multilevel"/>
    <w:tmpl w:val="00000002"/>
    <w:lvl w:ilvl="0" w:tentative="0">
      <w:start w:val="1"/>
      <w:numFmt w:val="decimal"/>
      <w:lvlText w:val="%1)"/>
      <w:lvlJc w:val="left"/>
      <w:pPr>
        <w:tabs>
          <w:tab w:val="left" w:pos="1470"/>
        </w:tabs>
        <w:ind w:left="1470" w:hanging="420"/>
      </w:pPr>
      <w:rPr>
        <w:rFonts w:hint="eastAsia" w:ascii="宋体" w:hAnsi="宋体" w:eastAsia="宋体"/>
        <w:sz w:val="28"/>
        <w:szCs w:val="28"/>
      </w:rPr>
    </w:lvl>
    <w:lvl w:ilvl="1" w:tentative="0">
      <w:start w:val="4"/>
      <w:numFmt w:val="japaneseCounting"/>
      <w:lvlText w:val="%2、"/>
      <w:lvlJc w:val="left"/>
      <w:pPr>
        <w:tabs>
          <w:tab w:val="left" w:pos="1140"/>
        </w:tabs>
        <w:ind w:left="1140" w:hanging="720"/>
      </w:pPr>
      <w:rPr>
        <w:rFonts w:hint="default"/>
      </w:rPr>
    </w:lvl>
    <w:lvl w:ilvl="2" w:tentative="0">
      <w:start w:val="1"/>
      <w:numFmt w:val="decimal"/>
      <w:lvlText w:val="%3、"/>
      <w:lvlJc w:val="left"/>
      <w:pPr>
        <w:tabs>
          <w:tab w:val="left" w:pos="360"/>
        </w:tabs>
        <w:ind w:left="360" w:hanging="360"/>
      </w:pPr>
      <w:rPr>
        <w:rFonts w:hint="default"/>
      </w:rPr>
    </w:lvl>
    <w:lvl w:ilvl="3" w:tentative="0">
      <w:start w:val="6"/>
      <w:numFmt w:val="japaneseCounting"/>
      <w:lvlText w:val="第%4章"/>
      <w:lvlJc w:val="left"/>
      <w:pPr>
        <w:tabs>
          <w:tab w:val="left" w:pos="2400"/>
        </w:tabs>
        <w:ind w:left="2400" w:hanging="11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4"/>
    <w:multiLevelType w:val="multilevel"/>
    <w:tmpl w:val="00000004"/>
    <w:lvl w:ilvl="0" w:tentative="0">
      <w:start w:val="1"/>
      <w:numFmt w:val="decimal"/>
      <w:lvlText w:val="%1."/>
      <w:lvlJc w:val="left"/>
      <w:pPr>
        <w:tabs>
          <w:tab w:val="left" w:pos="885"/>
        </w:tabs>
        <w:ind w:left="241" w:firstLine="284"/>
      </w:pPr>
      <w:rPr>
        <w:rFonts w:hint="default" w:ascii="Arial" w:hAnsi="Arial" w:eastAsia="宋体"/>
        <w:b w:val="0"/>
        <w:i w:val="0"/>
        <w:sz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00000005"/>
    <w:multiLevelType w:val="multilevel"/>
    <w:tmpl w:val="0000000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6"/>
    <w:multiLevelType w:val="multilevel"/>
    <w:tmpl w:val="000000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7"/>
    <w:multiLevelType w:val="multilevel"/>
    <w:tmpl w:val="00000007"/>
    <w:lvl w:ilvl="0" w:tentative="0">
      <w:start w:val="1"/>
      <w:numFmt w:val="japaneseCounting"/>
      <w:lvlText w:val="第%1条"/>
      <w:lvlJc w:val="left"/>
      <w:pPr>
        <w:ind w:left="975" w:hanging="9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8"/>
    <w:multiLevelType w:val="multilevel"/>
    <w:tmpl w:val="00000008"/>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4E409BB"/>
    <w:multiLevelType w:val="multilevel"/>
    <w:tmpl w:val="24E409BB"/>
    <w:lvl w:ilvl="0" w:tentative="0">
      <w:start w:val="1"/>
      <w:numFmt w:val="decimal"/>
      <w:pStyle w:val="27"/>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1">
    <w:nsid w:val="48B65363"/>
    <w:multiLevelType w:val="singleLevel"/>
    <w:tmpl w:val="48B65363"/>
    <w:lvl w:ilvl="0" w:tentative="0">
      <w:start w:val="4"/>
      <w:numFmt w:val="chineseCounting"/>
      <w:suff w:val="nothing"/>
      <w:lvlText w:val="%1、"/>
      <w:lvlJc w:val="left"/>
      <w:rPr>
        <w:rFonts w:hint="eastAsia"/>
      </w:rPr>
    </w:lvl>
  </w:abstractNum>
  <w:num w:numId="1">
    <w:abstractNumId w:val="9"/>
  </w:num>
  <w:num w:numId="2">
    <w:abstractNumId w:val="10"/>
  </w:num>
  <w:num w:numId="3">
    <w:abstractNumId w:val="11"/>
  </w:num>
  <w:num w:numId="4">
    <w:abstractNumId w:val="2"/>
  </w:num>
  <w:num w:numId="5">
    <w:abstractNumId w:val="0"/>
  </w:num>
  <w:num w:numId="6">
    <w:abstractNumId w:val="3"/>
  </w:num>
  <w:num w:numId="7">
    <w:abstractNumId w:val="1"/>
  </w:num>
  <w:num w:numId="8">
    <w:abstractNumId w:val="4"/>
  </w:num>
  <w:num w:numId="9">
    <w:abstractNumId w:val="5"/>
  </w:num>
  <w:num w:numId="10">
    <w:abstractNumId w:val="6"/>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ZDJkMTcwMGI3ODk5Y2RkZTJmNjEzOTc4ZDYzNmQifQ=="/>
  </w:docVars>
  <w:rsids>
    <w:rsidRoot w:val="00000000"/>
    <w:rsid w:val="002A37D5"/>
    <w:rsid w:val="00F62D6F"/>
    <w:rsid w:val="011E43F5"/>
    <w:rsid w:val="01484FF7"/>
    <w:rsid w:val="015B3E68"/>
    <w:rsid w:val="01636246"/>
    <w:rsid w:val="01A9528D"/>
    <w:rsid w:val="026673CA"/>
    <w:rsid w:val="02FD6481"/>
    <w:rsid w:val="030750A8"/>
    <w:rsid w:val="032A2EC2"/>
    <w:rsid w:val="038251E4"/>
    <w:rsid w:val="053B5831"/>
    <w:rsid w:val="05C32CC9"/>
    <w:rsid w:val="066F61BA"/>
    <w:rsid w:val="06CC603E"/>
    <w:rsid w:val="06F81270"/>
    <w:rsid w:val="07061165"/>
    <w:rsid w:val="0771024E"/>
    <w:rsid w:val="07CE6076"/>
    <w:rsid w:val="07E22A0A"/>
    <w:rsid w:val="080C42F3"/>
    <w:rsid w:val="08272839"/>
    <w:rsid w:val="0889017A"/>
    <w:rsid w:val="0A084FFE"/>
    <w:rsid w:val="0A21662D"/>
    <w:rsid w:val="0A8E5849"/>
    <w:rsid w:val="0AB42B4F"/>
    <w:rsid w:val="0B137E4E"/>
    <w:rsid w:val="0CE95576"/>
    <w:rsid w:val="0D250F7C"/>
    <w:rsid w:val="0D3A744A"/>
    <w:rsid w:val="0DF57054"/>
    <w:rsid w:val="0E8F21C7"/>
    <w:rsid w:val="0F255064"/>
    <w:rsid w:val="0F4136F3"/>
    <w:rsid w:val="0FA006E6"/>
    <w:rsid w:val="1046648D"/>
    <w:rsid w:val="105F0547"/>
    <w:rsid w:val="10D4674E"/>
    <w:rsid w:val="117710BB"/>
    <w:rsid w:val="1192589F"/>
    <w:rsid w:val="12105A8A"/>
    <w:rsid w:val="14024B6B"/>
    <w:rsid w:val="14640782"/>
    <w:rsid w:val="15017917"/>
    <w:rsid w:val="157403EC"/>
    <w:rsid w:val="16C056AB"/>
    <w:rsid w:val="170A68AE"/>
    <w:rsid w:val="17697E5B"/>
    <w:rsid w:val="17DB2032"/>
    <w:rsid w:val="17F13B56"/>
    <w:rsid w:val="18861828"/>
    <w:rsid w:val="18E06A04"/>
    <w:rsid w:val="19371A3D"/>
    <w:rsid w:val="19A71F3F"/>
    <w:rsid w:val="1AFA1BD0"/>
    <w:rsid w:val="1AFA79D1"/>
    <w:rsid w:val="1C023E5B"/>
    <w:rsid w:val="1DA048C4"/>
    <w:rsid w:val="1DB752F0"/>
    <w:rsid w:val="1DCF493A"/>
    <w:rsid w:val="1E0E5ED3"/>
    <w:rsid w:val="1ED5358C"/>
    <w:rsid w:val="1F1E6BE2"/>
    <w:rsid w:val="20224466"/>
    <w:rsid w:val="20596F74"/>
    <w:rsid w:val="210821C0"/>
    <w:rsid w:val="21C4062D"/>
    <w:rsid w:val="23B95828"/>
    <w:rsid w:val="245A1CC8"/>
    <w:rsid w:val="24EC66D5"/>
    <w:rsid w:val="250410F2"/>
    <w:rsid w:val="25352899"/>
    <w:rsid w:val="25533E58"/>
    <w:rsid w:val="25683EBE"/>
    <w:rsid w:val="267A507C"/>
    <w:rsid w:val="2685203A"/>
    <w:rsid w:val="27174F13"/>
    <w:rsid w:val="2729727B"/>
    <w:rsid w:val="280A4341"/>
    <w:rsid w:val="28F25980"/>
    <w:rsid w:val="296C066D"/>
    <w:rsid w:val="2A172631"/>
    <w:rsid w:val="2A1755A3"/>
    <w:rsid w:val="2A2348E7"/>
    <w:rsid w:val="2B675A24"/>
    <w:rsid w:val="2B9B1FED"/>
    <w:rsid w:val="2BF11827"/>
    <w:rsid w:val="2C366F69"/>
    <w:rsid w:val="2CC86F92"/>
    <w:rsid w:val="2D4775CA"/>
    <w:rsid w:val="2D847558"/>
    <w:rsid w:val="2D9774DB"/>
    <w:rsid w:val="2DBA62E0"/>
    <w:rsid w:val="2EFA653D"/>
    <w:rsid w:val="302A6951"/>
    <w:rsid w:val="30A64860"/>
    <w:rsid w:val="310F0A0C"/>
    <w:rsid w:val="311A02B3"/>
    <w:rsid w:val="3137687A"/>
    <w:rsid w:val="3172765E"/>
    <w:rsid w:val="32265D43"/>
    <w:rsid w:val="323C629C"/>
    <w:rsid w:val="325E7BE3"/>
    <w:rsid w:val="326771FA"/>
    <w:rsid w:val="328D2734"/>
    <w:rsid w:val="33543124"/>
    <w:rsid w:val="337C7542"/>
    <w:rsid w:val="34724A5F"/>
    <w:rsid w:val="34F46B06"/>
    <w:rsid w:val="35503953"/>
    <w:rsid w:val="357F5535"/>
    <w:rsid w:val="35B13E90"/>
    <w:rsid w:val="371A0840"/>
    <w:rsid w:val="3768578B"/>
    <w:rsid w:val="37B26096"/>
    <w:rsid w:val="37E76296"/>
    <w:rsid w:val="38F06EDE"/>
    <w:rsid w:val="39B76241"/>
    <w:rsid w:val="3A964C7D"/>
    <w:rsid w:val="3AC63F52"/>
    <w:rsid w:val="3B01630F"/>
    <w:rsid w:val="3B376CE3"/>
    <w:rsid w:val="3BE531C1"/>
    <w:rsid w:val="3C795F8F"/>
    <w:rsid w:val="3CB971DE"/>
    <w:rsid w:val="3D007123"/>
    <w:rsid w:val="3D012277"/>
    <w:rsid w:val="3D224849"/>
    <w:rsid w:val="3D484A54"/>
    <w:rsid w:val="3D551BD0"/>
    <w:rsid w:val="3D815B64"/>
    <w:rsid w:val="3D863DAC"/>
    <w:rsid w:val="3D876C9A"/>
    <w:rsid w:val="3DA059A7"/>
    <w:rsid w:val="3E52449D"/>
    <w:rsid w:val="3E6A66F5"/>
    <w:rsid w:val="3E9A489A"/>
    <w:rsid w:val="3EDA4ED4"/>
    <w:rsid w:val="3F332A95"/>
    <w:rsid w:val="3F4B59E3"/>
    <w:rsid w:val="40B51C9C"/>
    <w:rsid w:val="411F5C43"/>
    <w:rsid w:val="420434D8"/>
    <w:rsid w:val="429750D7"/>
    <w:rsid w:val="4422077D"/>
    <w:rsid w:val="443020B6"/>
    <w:rsid w:val="45024BF8"/>
    <w:rsid w:val="45031FE9"/>
    <w:rsid w:val="45CF4ABE"/>
    <w:rsid w:val="46713973"/>
    <w:rsid w:val="48362CD1"/>
    <w:rsid w:val="48AA43D6"/>
    <w:rsid w:val="495A0CAC"/>
    <w:rsid w:val="4A29520E"/>
    <w:rsid w:val="4A4F7527"/>
    <w:rsid w:val="4BB415B9"/>
    <w:rsid w:val="4CBD0D73"/>
    <w:rsid w:val="4D2C2FDF"/>
    <w:rsid w:val="4DB90697"/>
    <w:rsid w:val="4E601A65"/>
    <w:rsid w:val="4FB6617E"/>
    <w:rsid w:val="50093AE6"/>
    <w:rsid w:val="50DF60FE"/>
    <w:rsid w:val="51300F5F"/>
    <w:rsid w:val="51570C73"/>
    <w:rsid w:val="51680854"/>
    <w:rsid w:val="519D55A1"/>
    <w:rsid w:val="51B44C64"/>
    <w:rsid w:val="51CB414D"/>
    <w:rsid w:val="5201085F"/>
    <w:rsid w:val="524E5317"/>
    <w:rsid w:val="52713992"/>
    <w:rsid w:val="52C56F9D"/>
    <w:rsid w:val="53096FE2"/>
    <w:rsid w:val="537F112E"/>
    <w:rsid w:val="539F4CF8"/>
    <w:rsid w:val="53F83FD3"/>
    <w:rsid w:val="540C5D72"/>
    <w:rsid w:val="54113878"/>
    <w:rsid w:val="544E43C9"/>
    <w:rsid w:val="55F228CA"/>
    <w:rsid w:val="562B2188"/>
    <w:rsid w:val="564B1B2B"/>
    <w:rsid w:val="56606BE9"/>
    <w:rsid w:val="5662250A"/>
    <w:rsid w:val="574D2CF7"/>
    <w:rsid w:val="579730CB"/>
    <w:rsid w:val="58155A5A"/>
    <w:rsid w:val="587A0EC6"/>
    <w:rsid w:val="58E32B84"/>
    <w:rsid w:val="58F807C1"/>
    <w:rsid w:val="59446045"/>
    <w:rsid w:val="59A57D21"/>
    <w:rsid w:val="59C305B8"/>
    <w:rsid w:val="59D2767F"/>
    <w:rsid w:val="5B7F3791"/>
    <w:rsid w:val="5C211245"/>
    <w:rsid w:val="5C6B0AC6"/>
    <w:rsid w:val="5CBF7454"/>
    <w:rsid w:val="5DDD3FF0"/>
    <w:rsid w:val="5E7229A3"/>
    <w:rsid w:val="5EFB6DD6"/>
    <w:rsid w:val="5EFF39EF"/>
    <w:rsid w:val="5F4C346E"/>
    <w:rsid w:val="5F6C3D73"/>
    <w:rsid w:val="5FB20F0C"/>
    <w:rsid w:val="5FBA7124"/>
    <w:rsid w:val="600B4982"/>
    <w:rsid w:val="60173081"/>
    <w:rsid w:val="603D2933"/>
    <w:rsid w:val="604E7BD7"/>
    <w:rsid w:val="620E3E31"/>
    <w:rsid w:val="62A03220"/>
    <w:rsid w:val="63B96AC2"/>
    <w:rsid w:val="63D84EDF"/>
    <w:rsid w:val="640D462B"/>
    <w:rsid w:val="64281C7B"/>
    <w:rsid w:val="643D1580"/>
    <w:rsid w:val="643E619F"/>
    <w:rsid w:val="643E7E0D"/>
    <w:rsid w:val="653C01C1"/>
    <w:rsid w:val="6594282D"/>
    <w:rsid w:val="66590A9D"/>
    <w:rsid w:val="66AA497C"/>
    <w:rsid w:val="67140294"/>
    <w:rsid w:val="67283F04"/>
    <w:rsid w:val="67352DB6"/>
    <w:rsid w:val="673F14F0"/>
    <w:rsid w:val="67CB1507"/>
    <w:rsid w:val="68653FE4"/>
    <w:rsid w:val="68A76B92"/>
    <w:rsid w:val="68CF0BBE"/>
    <w:rsid w:val="69A725C4"/>
    <w:rsid w:val="6A2B4273"/>
    <w:rsid w:val="6B1729F4"/>
    <w:rsid w:val="6BA4026E"/>
    <w:rsid w:val="6BF502A5"/>
    <w:rsid w:val="6C09485A"/>
    <w:rsid w:val="6C5B5032"/>
    <w:rsid w:val="6CA60D1F"/>
    <w:rsid w:val="6CB95133"/>
    <w:rsid w:val="6D4E436F"/>
    <w:rsid w:val="6D6B00A7"/>
    <w:rsid w:val="6DBE11A5"/>
    <w:rsid w:val="6E8673DC"/>
    <w:rsid w:val="6EC13073"/>
    <w:rsid w:val="6ED332D0"/>
    <w:rsid w:val="6F421E56"/>
    <w:rsid w:val="6F450465"/>
    <w:rsid w:val="6FD25210"/>
    <w:rsid w:val="708B1138"/>
    <w:rsid w:val="70E91006"/>
    <w:rsid w:val="711F649C"/>
    <w:rsid w:val="723C49A9"/>
    <w:rsid w:val="72476B05"/>
    <w:rsid w:val="72B62B48"/>
    <w:rsid w:val="73BF6E3A"/>
    <w:rsid w:val="73C9540C"/>
    <w:rsid w:val="73D95081"/>
    <w:rsid w:val="741221C2"/>
    <w:rsid w:val="74233A04"/>
    <w:rsid w:val="744E3935"/>
    <w:rsid w:val="74AC7D08"/>
    <w:rsid w:val="74B45AB7"/>
    <w:rsid w:val="752776A3"/>
    <w:rsid w:val="762C4BB0"/>
    <w:rsid w:val="76B33626"/>
    <w:rsid w:val="77135EB6"/>
    <w:rsid w:val="77150BA4"/>
    <w:rsid w:val="772E2ADF"/>
    <w:rsid w:val="773F0852"/>
    <w:rsid w:val="779C18C8"/>
    <w:rsid w:val="7838644F"/>
    <w:rsid w:val="78CF6693"/>
    <w:rsid w:val="79273811"/>
    <w:rsid w:val="79955522"/>
    <w:rsid w:val="7A407E45"/>
    <w:rsid w:val="7AFE6E3A"/>
    <w:rsid w:val="7BAF7AFB"/>
    <w:rsid w:val="7C570EF7"/>
    <w:rsid w:val="7C852370"/>
    <w:rsid w:val="7CED4825"/>
    <w:rsid w:val="7D2700CC"/>
    <w:rsid w:val="7DF260AC"/>
    <w:rsid w:val="7F0659BA"/>
    <w:rsid w:val="7F2716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rPr>
  </w:style>
  <w:style w:type="paragraph" w:styleId="2">
    <w:name w:val="heading 1"/>
    <w:basedOn w:val="1"/>
    <w:link w:val="28"/>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link w:val="29"/>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30"/>
    <w:autoRedefine/>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31"/>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1"/>
    <w:autoRedefine/>
    <w:qFormat/>
    <w:uiPriority w:val="0"/>
    <w:pPr>
      <w:autoSpaceDE w:val="0"/>
      <w:autoSpaceDN w:val="0"/>
      <w:adjustRightInd w:val="0"/>
      <w:ind w:firstLine="420"/>
      <w:jc w:val="left"/>
    </w:pPr>
    <w:rPr>
      <w:rFonts w:ascii="宋体"/>
      <w:kern w:val="0"/>
      <w:sz w:val="24"/>
      <w:szCs w:val="20"/>
    </w:rPr>
  </w:style>
  <w:style w:type="paragraph" w:styleId="7">
    <w:name w:val="annotation text"/>
    <w:basedOn w:val="1"/>
    <w:autoRedefine/>
    <w:qFormat/>
    <w:uiPriority w:val="0"/>
    <w:pPr>
      <w:jc w:val="left"/>
    </w:pPr>
  </w:style>
  <w:style w:type="paragraph" w:styleId="8">
    <w:name w:val="Body Text"/>
    <w:basedOn w:val="1"/>
    <w:qFormat/>
    <w:uiPriority w:val="0"/>
    <w:pPr>
      <w:tabs>
        <w:tab w:val="left" w:pos="567"/>
      </w:tabs>
      <w:spacing w:before="120" w:line="22" w:lineRule="atLeast"/>
    </w:pPr>
    <w:rPr>
      <w:rFonts w:ascii="宋体" w:hAnsi="宋体"/>
      <w:sz w:val="24"/>
    </w:rPr>
  </w:style>
  <w:style w:type="paragraph" w:styleId="9">
    <w:name w:val="Body Text Indent"/>
    <w:basedOn w:val="1"/>
    <w:next w:val="6"/>
    <w:autoRedefine/>
    <w:qFormat/>
    <w:uiPriority w:val="0"/>
    <w:pPr>
      <w:spacing w:after="120"/>
      <w:ind w:left="420" w:leftChars="200"/>
    </w:pPr>
  </w:style>
  <w:style w:type="paragraph" w:styleId="10">
    <w:name w:val="Plain Text"/>
    <w:basedOn w:val="1"/>
    <w:autoRedefine/>
    <w:qFormat/>
    <w:uiPriority w:val="0"/>
    <w:rPr>
      <w:rFonts w:ascii="宋体" w:hAnsi="Courier New"/>
      <w:szCs w:val="20"/>
    </w:rPr>
  </w:style>
  <w:style w:type="paragraph" w:styleId="11">
    <w:name w:val="footer"/>
    <w:basedOn w:val="1"/>
    <w:autoRedefine/>
    <w:qFormat/>
    <w:uiPriority w:val="99"/>
    <w:pPr>
      <w:tabs>
        <w:tab w:val="center" w:pos="4153"/>
        <w:tab w:val="right" w:pos="8306"/>
      </w:tabs>
      <w:snapToGrid w:val="0"/>
      <w:jc w:val="left"/>
    </w:pPr>
    <w:rPr>
      <w:sz w:val="18"/>
      <w:szCs w:val="18"/>
    </w:rPr>
  </w:style>
  <w:style w:type="paragraph" w:styleId="12">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3">
    <w:name w:val="List"/>
    <w:basedOn w:val="1"/>
    <w:qFormat/>
    <w:uiPriority w:val="0"/>
    <w:pPr>
      <w:keepNext w:val="0"/>
      <w:keepLines w:val="0"/>
      <w:widowControl w:val="0"/>
      <w:suppressLineNumbers w:val="0"/>
      <w:spacing w:before="0" w:beforeAutospacing="0" w:after="0" w:afterAutospacing="0"/>
      <w:ind w:left="200" w:right="0" w:hanging="200" w:hangingChars="200"/>
      <w:contextualSpacing/>
      <w:jc w:val="both"/>
    </w:pPr>
    <w:rPr>
      <w:rFonts w:hint="default" w:ascii="Calibri" w:hAnsi="Calibri" w:eastAsia="宋体" w:cs="Times New Roman"/>
      <w:kern w:val="2"/>
      <w:sz w:val="21"/>
      <w:szCs w:val="24"/>
      <w:lang w:val="en-US" w:eastAsia="zh-CN" w:bidi="ar"/>
    </w:rPr>
  </w:style>
  <w:style w:type="paragraph" w:styleId="14">
    <w:name w:val="footnote text"/>
    <w:basedOn w:val="1"/>
    <w:autoRedefine/>
    <w:qFormat/>
    <w:uiPriority w:val="99"/>
    <w:pPr>
      <w:snapToGrid w:val="0"/>
      <w:jc w:val="left"/>
    </w:pPr>
    <w:rPr>
      <w:sz w:val="18"/>
    </w:rPr>
  </w:style>
  <w:style w:type="paragraph" w:styleId="15">
    <w:name w:val="Body Text 2"/>
    <w:basedOn w:val="1"/>
    <w:autoRedefine/>
    <w:qFormat/>
    <w:uiPriority w:val="0"/>
    <w:pPr>
      <w:spacing w:after="120" w:line="480" w:lineRule="auto"/>
    </w:pPr>
    <w:rPr>
      <w:rFonts w:ascii="Arial" w:hAnsi="Arial"/>
      <w:sz w:val="24"/>
    </w:rPr>
  </w:style>
  <w:style w:type="paragraph" w:styleId="16">
    <w:name w:val="Normal (Web)"/>
    <w:basedOn w:val="1"/>
    <w:next w:val="12"/>
    <w:autoRedefine/>
    <w:qFormat/>
    <w:uiPriority w:val="99"/>
    <w:pPr>
      <w:widowControl/>
      <w:spacing w:before="100" w:beforeAutospacing="1" w:afterAutospacing="1"/>
      <w:jc w:val="left"/>
    </w:pPr>
    <w:rPr>
      <w:rFonts w:ascii="宋体" w:hAnsi="宋体"/>
      <w:sz w:val="24"/>
      <w:szCs w:val="24"/>
    </w:rPr>
  </w:style>
  <w:style w:type="paragraph" w:styleId="17">
    <w:name w:val="Body Text First Indent"/>
    <w:basedOn w:val="8"/>
    <w:next w:val="1"/>
    <w:autoRedefine/>
    <w:qFormat/>
    <w:uiPriority w:val="0"/>
    <w:pPr>
      <w:spacing w:after="120" w:line="240" w:lineRule="auto"/>
      <w:ind w:firstLine="420" w:firstLineChars="100"/>
      <w:jc w:val="both"/>
    </w:pPr>
    <w:rPr>
      <w:rFonts w:ascii="Arial" w:hAnsi="Arial"/>
      <w:sz w:val="21"/>
      <w:szCs w:val="24"/>
    </w:rPr>
  </w:style>
  <w:style w:type="paragraph" w:styleId="18">
    <w:name w:val="Body Text First Indent 2"/>
    <w:basedOn w:val="9"/>
    <w:next w:val="6"/>
    <w:autoRedefine/>
    <w:qFormat/>
    <w:uiPriority w:val="0"/>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autoRedefine/>
    <w:qFormat/>
    <w:uiPriority w:val="0"/>
    <w:rPr>
      <w:rFonts w:eastAsia="宋体"/>
      <w:sz w:val="24"/>
      <w:szCs w:val="24"/>
      <w:lang w:val="en-US" w:eastAsia="zh-CN" w:bidi="ar-SA"/>
    </w:rPr>
  </w:style>
  <w:style w:type="character" w:styleId="23">
    <w:name w:val="Hyperlink"/>
    <w:autoRedefine/>
    <w:qFormat/>
    <w:uiPriority w:val="0"/>
    <w:rPr>
      <w:rFonts w:eastAsia="宋体"/>
      <w:color w:val="0000FF"/>
      <w:sz w:val="24"/>
      <w:szCs w:val="24"/>
      <w:u w:val="single"/>
      <w:lang w:val="en-US" w:eastAsia="zh-CN" w:bidi="ar-SA"/>
    </w:rPr>
  </w:style>
  <w:style w:type="paragraph" w:customStyle="1" w:styleId="24">
    <w:name w:val="表格文字"/>
    <w:basedOn w:val="1"/>
    <w:autoRedefine/>
    <w:qFormat/>
    <w:uiPriority w:val="0"/>
    <w:pPr>
      <w:spacing w:before="25" w:after="25"/>
      <w:jc w:val="left"/>
    </w:pPr>
    <w:rPr>
      <w:bCs/>
      <w:spacing w:val="10"/>
      <w:kern w:val="0"/>
      <w:sz w:val="24"/>
      <w:szCs w:val="20"/>
    </w:rPr>
  </w:style>
  <w:style w:type="paragraph" w:customStyle="1" w:styleId="25">
    <w:name w:val="Heading 1"/>
    <w:basedOn w:val="1"/>
    <w:next w:val="1"/>
    <w:link w:val="26"/>
    <w:autoRedefine/>
    <w:qFormat/>
    <w:uiPriority w:val="0"/>
    <w:pPr>
      <w:keepNext/>
      <w:keepLines/>
      <w:spacing w:before="340" w:afterLines="25" w:line="578" w:lineRule="auto"/>
      <w:outlineLvl w:val="0"/>
    </w:pPr>
    <w:rPr>
      <w:rFonts w:ascii="Arial" w:hAnsi="Arial" w:eastAsia="宋体" w:cs="Times New Roman"/>
      <w:b/>
      <w:bCs/>
      <w:kern w:val="44"/>
      <w:sz w:val="44"/>
      <w:szCs w:val="44"/>
    </w:rPr>
  </w:style>
  <w:style w:type="character" w:customStyle="1" w:styleId="26">
    <w:name w:val="标题 1 Char"/>
    <w:basedOn w:val="21"/>
    <w:link w:val="25"/>
    <w:autoRedefine/>
    <w:qFormat/>
    <w:uiPriority w:val="0"/>
    <w:rPr>
      <w:rFonts w:ascii="Arial" w:hAnsi="Arial" w:eastAsia="宋体" w:cs="Times New Roman"/>
      <w:b/>
      <w:bCs/>
      <w:kern w:val="44"/>
      <w:sz w:val="44"/>
      <w:szCs w:val="44"/>
    </w:rPr>
  </w:style>
  <w:style w:type="paragraph" w:customStyle="1" w:styleId="27">
    <w:name w:val="表名称"/>
    <w:basedOn w:val="6"/>
    <w:autoRedefine/>
    <w:qFormat/>
    <w:uiPriority w:val="0"/>
    <w:pPr>
      <w:numPr>
        <w:ilvl w:val="0"/>
        <w:numId w:val="1"/>
      </w:numPr>
      <w:ind w:firstLine="0" w:firstLineChars="0"/>
      <w:jc w:val="center"/>
    </w:pPr>
  </w:style>
  <w:style w:type="character" w:customStyle="1" w:styleId="28">
    <w:name w:val="标题 1 Char1"/>
    <w:link w:val="2"/>
    <w:autoRedefine/>
    <w:qFormat/>
    <w:uiPriority w:val="0"/>
    <w:rPr>
      <w:b/>
      <w:kern w:val="44"/>
      <w:sz w:val="44"/>
    </w:rPr>
  </w:style>
  <w:style w:type="character" w:customStyle="1" w:styleId="29">
    <w:name w:val="标题 2 Char"/>
    <w:link w:val="3"/>
    <w:autoRedefine/>
    <w:qFormat/>
    <w:uiPriority w:val="0"/>
    <w:rPr>
      <w:rFonts w:ascii="Arial" w:hAnsi="Arial" w:eastAsia="黑体"/>
      <w:b/>
      <w:kern w:val="0"/>
      <w:sz w:val="30"/>
      <w:szCs w:val="20"/>
    </w:rPr>
  </w:style>
  <w:style w:type="character" w:customStyle="1" w:styleId="30">
    <w:name w:val="标题 3 Char"/>
    <w:link w:val="4"/>
    <w:autoRedefine/>
    <w:qFormat/>
    <w:uiPriority w:val="0"/>
    <w:rPr>
      <w:b/>
      <w:sz w:val="32"/>
    </w:rPr>
  </w:style>
  <w:style w:type="character" w:customStyle="1" w:styleId="31">
    <w:name w:val="标题 4 Char"/>
    <w:link w:val="5"/>
    <w:autoRedefine/>
    <w:qFormat/>
    <w:uiPriority w:val="0"/>
    <w:rPr>
      <w:rFonts w:ascii="Arial" w:hAnsi="Arial" w:eastAsia="黑体"/>
      <w:b/>
      <w:sz w:val="28"/>
    </w:rPr>
  </w:style>
  <w:style w:type="paragraph" w:customStyle="1" w:styleId="32">
    <w:name w:val="标书正文"/>
    <w:basedOn w:val="1"/>
    <w:qFormat/>
    <w:uiPriority w:val="0"/>
    <w:pPr>
      <w:spacing w:line="560" w:lineRule="exact"/>
      <w:ind w:firstLine="723" w:firstLineChars="200"/>
      <w:jc w:val="center"/>
    </w:pPr>
    <w:rPr>
      <w:rFonts w:ascii="仿宋_GB2312" w:eastAsia="仿宋_GB2312"/>
      <w:b/>
      <w:sz w:val="36"/>
    </w:rPr>
  </w:style>
  <w:style w:type="character" w:customStyle="1" w:styleId="33">
    <w:name w:val="font41"/>
    <w:basedOn w:val="21"/>
    <w:qFormat/>
    <w:uiPriority w:val="0"/>
    <w:rPr>
      <w:rFonts w:ascii="新宋体" w:hAnsi="新宋体" w:eastAsia="新宋体" w:cs="新宋体"/>
      <w:color w:val="000000"/>
      <w:sz w:val="20"/>
      <w:szCs w:val="20"/>
      <w:u w:val="none"/>
    </w:rPr>
  </w:style>
  <w:style w:type="paragraph" w:customStyle="1" w:styleId="34">
    <w:name w:val="标题 5（有编号）（绿盟科技）"/>
    <w:basedOn w:val="1"/>
    <w:next w:val="35"/>
    <w:autoRedefine/>
    <w:qFormat/>
    <w:uiPriority w:val="0"/>
    <w:pPr>
      <w:keepNext/>
      <w:keepLines/>
      <w:numPr>
        <w:ilvl w:val="4"/>
        <w:numId w:val="2"/>
      </w:numPr>
      <w:spacing w:before="280" w:after="156" w:line="377" w:lineRule="auto"/>
      <w:outlineLvl w:val="4"/>
    </w:pPr>
    <w:rPr>
      <w:rFonts w:ascii="Arial" w:hAnsi="Arial" w:eastAsia="黑体"/>
      <w:b/>
      <w:sz w:val="24"/>
      <w:szCs w:val="28"/>
    </w:rPr>
  </w:style>
  <w:style w:type="paragraph" w:customStyle="1" w:styleId="35">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36">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37">
    <w:name w:val="Table Text"/>
    <w:basedOn w:val="1"/>
    <w:autoRedefine/>
    <w:semiHidden/>
    <w:qFormat/>
    <w:uiPriority w:val="0"/>
    <w:rPr>
      <w:rFonts w:ascii="宋体" w:hAnsi="宋体" w:eastAsia="宋体" w:cs="宋体"/>
      <w:sz w:val="19"/>
      <w:szCs w:val="19"/>
      <w:lang w:val="en-US" w:eastAsia="en-US" w:bidi="ar-SA"/>
    </w:rPr>
  </w:style>
  <w:style w:type="table" w:customStyle="1" w:styleId="38">
    <w:name w:val="Table Normal"/>
    <w:autoRedefine/>
    <w:unhideWhenUsed/>
    <w:qFormat/>
    <w:uiPriority w:val="0"/>
    <w:tblPr>
      <w:tblCellMar>
        <w:top w:w="0" w:type="dxa"/>
        <w:left w:w="0" w:type="dxa"/>
        <w:bottom w:w="0" w:type="dxa"/>
        <w:right w:w="0" w:type="dxa"/>
      </w:tblCellMar>
    </w:tblPr>
  </w:style>
  <w:style w:type="paragraph" w:customStyle="1" w:styleId="39">
    <w:name w:val="Default"/>
    <w:qFormat/>
    <w:uiPriority w:val="0"/>
    <w:pPr>
      <w:widowControl w:val="0"/>
      <w:autoSpaceDE w:val="0"/>
      <w:autoSpaceDN w:val="0"/>
    </w:pPr>
    <w:rPr>
      <w:rFonts w:ascii="宋体" w:hAnsi="Calibri" w:eastAsia="宋体" w:cs="宋体"/>
      <w:color w:val="000000"/>
      <w:sz w:val="24"/>
      <w:szCs w:val="24"/>
      <w:lang w:val="en-US" w:eastAsia="zh-CN" w:bidi="ar-SA"/>
    </w:rPr>
  </w:style>
  <w:style w:type="character" w:customStyle="1" w:styleId="40">
    <w:name w:val="font11"/>
    <w:basedOn w:val="21"/>
    <w:qFormat/>
    <w:uiPriority w:val="99"/>
    <w:rPr>
      <w:rFonts w:ascii="Arial" w:hAnsi="Arial" w:cs="Arial"/>
      <w:color w:val="000000"/>
      <w:sz w:val="24"/>
      <w:szCs w:val="24"/>
      <w:u w:val="single"/>
    </w:rPr>
  </w:style>
  <w:style w:type="character" w:customStyle="1" w:styleId="41">
    <w:name w:val="font21"/>
    <w:basedOn w:val="21"/>
    <w:qFormat/>
    <w:uiPriority w:val="0"/>
    <w:rPr>
      <w:rFonts w:hint="default" w:ascii="Calibri" w:hAnsi="Calibri" w:cs="Calibri"/>
      <w:color w:val="000000"/>
      <w:sz w:val="24"/>
      <w:szCs w:val="24"/>
      <w:u w:val="single"/>
    </w:rPr>
  </w:style>
  <w:style w:type="paragraph" w:customStyle="1" w:styleId="42">
    <w:name w:val="Table Paragraph"/>
    <w:basedOn w:val="1"/>
    <w:unhideWhenUsed/>
    <w:qFormat/>
    <w:uiPriority w:val="1"/>
    <w:pPr>
      <w:spacing w:beforeLines="0" w:afterLines="0"/>
    </w:pPr>
    <w:rPr>
      <w:rFonts w:hint="default"/>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76</Pages>
  <Words>5622</Words>
  <Characters>6056</Characters>
  <Lines>1</Lines>
  <Paragraphs>1</Paragraphs>
  <TotalTime>18</TotalTime>
  <ScaleCrop>false</ScaleCrop>
  <LinksUpToDate>false</LinksUpToDate>
  <CharactersWithSpaces>6165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2022-04-06T06:00:00Z</dcterms:created>
  <dc:creator>Administrator.USER-20190423TQ</dc:creator>
  <cp:lastModifiedBy>WPS_1750420902</cp:lastModifiedBy>
  <cp:lastPrinted>2022-07-28T10:27:00Z</cp:lastPrinted>
  <dcterms:modified xsi:type="dcterms:W3CDTF">2025-07-04T10:17:26Z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DBEDCC753F114F8FA7C72418D8D6BC5C_13</vt:lpwstr>
  </property>
  <property fmtid="{D5CDD505-2E9C-101B-9397-08002B2CF9AE}" pid="4" name="KSOTemplateDocerSaveRecord">
    <vt:lpwstr>eyJoZGlkIjoiYWQzZDJkMTcwMGI3ODk5Y2RkZTJmNjEzOTc4ZDYzNmQiLCJ1c2VySWQiOiIxNzEyMTM0Njk0In0=</vt:lpwstr>
  </property>
</Properties>
</file>