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KSS(GK)2025-024</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2025年喀什市教学发展中心智慧教室与精品课微格教室建设项目</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7"/>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6DA4EF64">
      <w:pPr>
        <w:rPr>
          <w:rFonts w:hint="eastAsia"/>
        </w:rPr>
      </w:pPr>
    </w:p>
    <w:p w14:paraId="65DEDE2F">
      <w:pPr>
        <w:rPr>
          <w:rFonts w:hint="eastAsia"/>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36"/>
        <w:gridCol w:w="6975"/>
        <w:gridCol w:w="457"/>
      </w:tblGrid>
      <w:tr w14:paraId="0BD0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8" w:type="pct"/>
            <w:noWrap w:val="0"/>
            <w:vAlign w:val="center"/>
          </w:tcPr>
          <w:p w14:paraId="1F85F950">
            <w:pPr>
              <w:spacing w:line="24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92" w:type="pct"/>
            <w:noWrap w:val="0"/>
            <w:vAlign w:val="center"/>
          </w:tcPr>
          <w:p w14:paraId="6A6C80FA">
            <w:pPr>
              <w:spacing w:line="240" w:lineRule="auto"/>
              <w:jc w:val="center"/>
              <w:rPr>
                <w:rFonts w:hint="eastAsia" w:ascii="宋体" w:hAnsi="宋体" w:cs="宋体"/>
                <w:b/>
                <w:sz w:val="24"/>
                <w:highlight w:val="none"/>
              </w:rPr>
            </w:pPr>
            <w:r>
              <w:rPr>
                <w:rFonts w:hint="eastAsia" w:ascii="宋体" w:hAnsi="宋体" w:cs="宋体"/>
                <w:b/>
                <w:sz w:val="24"/>
                <w:highlight w:val="none"/>
              </w:rPr>
              <w:t>评分因素</w:t>
            </w:r>
          </w:p>
        </w:tc>
        <w:tc>
          <w:tcPr>
            <w:tcW w:w="4162" w:type="pct"/>
            <w:noWrap w:val="0"/>
            <w:vAlign w:val="center"/>
          </w:tcPr>
          <w:p w14:paraId="7AC38DD0">
            <w:pPr>
              <w:spacing w:line="240" w:lineRule="auto"/>
              <w:jc w:val="center"/>
              <w:rPr>
                <w:rFonts w:hint="eastAsia" w:ascii="宋体" w:hAnsi="宋体" w:cs="宋体"/>
                <w:b/>
                <w:sz w:val="24"/>
                <w:highlight w:val="none"/>
              </w:rPr>
            </w:pPr>
            <w:r>
              <w:rPr>
                <w:rFonts w:hint="eastAsia" w:ascii="宋体" w:hAnsi="宋体" w:cs="宋体"/>
                <w:b/>
                <w:sz w:val="24"/>
                <w:highlight w:val="none"/>
              </w:rPr>
              <w:t>评审标准</w:t>
            </w:r>
          </w:p>
        </w:tc>
        <w:tc>
          <w:tcPr>
            <w:tcW w:w="296" w:type="pct"/>
            <w:noWrap w:val="0"/>
            <w:vAlign w:val="center"/>
          </w:tcPr>
          <w:p w14:paraId="545F6459">
            <w:pPr>
              <w:spacing w:line="240" w:lineRule="auto"/>
              <w:jc w:val="center"/>
              <w:rPr>
                <w:rFonts w:hint="eastAsia" w:ascii="宋体" w:hAnsi="宋体" w:cs="宋体"/>
                <w:b/>
                <w:sz w:val="24"/>
                <w:highlight w:val="none"/>
              </w:rPr>
            </w:pPr>
            <w:r>
              <w:rPr>
                <w:rFonts w:hint="eastAsia" w:ascii="宋体" w:hAnsi="宋体" w:cs="宋体"/>
                <w:b/>
                <w:sz w:val="24"/>
                <w:highlight w:val="none"/>
              </w:rPr>
              <w:t>分值</w:t>
            </w:r>
          </w:p>
        </w:tc>
      </w:tr>
      <w:tr w14:paraId="3866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3" w:type="pct"/>
            <w:gridSpan w:val="3"/>
            <w:noWrap w:val="0"/>
            <w:vAlign w:val="center"/>
          </w:tcPr>
          <w:p w14:paraId="12286296">
            <w:pPr>
              <w:pStyle w:val="19"/>
              <w:spacing w:line="240" w:lineRule="auto"/>
              <w:ind w:firstLine="0" w:firstLineChars="0"/>
              <w:jc w:val="center"/>
              <w:rPr>
                <w:rFonts w:hint="eastAsia" w:cs="宋体"/>
                <w:szCs w:val="24"/>
                <w:highlight w:val="none"/>
              </w:rPr>
            </w:pPr>
            <w:r>
              <w:rPr>
                <w:rFonts w:hint="eastAsia" w:cs="宋体"/>
                <w:b/>
                <w:bCs/>
                <w:szCs w:val="24"/>
                <w:highlight w:val="none"/>
              </w:rPr>
              <w:t>经济部分（30%）</w:t>
            </w:r>
          </w:p>
        </w:tc>
        <w:tc>
          <w:tcPr>
            <w:tcW w:w="296" w:type="pct"/>
            <w:noWrap w:val="0"/>
            <w:vAlign w:val="center"/>
          </w:tcPr>
          <w:p w14:paraId="65444BD2">
            <w:pPr>
              <w:pStyle w:val="19"/>
              <w:spacing w:line="240" w:lineRule="auto"/>
              <w:ind w:firstLine="480"/>
              <w:rPr>
                <w:rFonts w:hint="eastAsia" w:cs="宋体"/>
                <w:szCs w:val="24"/>
                <w:highlight w:val="none"/>
              </w:rPr>
            </w:pPr>
          </w:p>
        </w:tc>
      </w:tr>
      <w:tr w14:paraId="1983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noWrap w:val="0"/>
            <w:vAlign w:val="center"/>
          </w:tcPr>
          <w:p w14:paraId="02BF0B5A">
            <w:pP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1</w:t>
            </w:r>
          </w:p>
        </w:tc>
        <w:tc>
          <w:tcPr>
            <w:tcW w:w="292" w:type="pct"/>
            <w:noWrap w:val="0"/>
            <w:vAlign w:val="center"/>
          </w:tcPr>
          <w:p w14:paraId="7C7BE317">
            <w:pPr>
              <w:spacing w:line="240" w:lineRule="auto"/>
              <w:jc w:val="center"/>
              <w:rPr>
                <w:rFonts w:hint="eastAsia" w:ascii="宋体" w:hAnsi="宋体" w:cs="宋体"/>
                <w:bCs/>
                <w:sz w:val="21"/>
                <w:szCs w:val="21"/>
                <w:highlight w:val="none"/>
              </w:rPr>
            </w:pPr>
            <w:r>
              <w:rPr>
                <w:rFonts w:hint="eastAsia" w:ascii="宋体" w:hAnsi="宋体" w:cs="宋体"/>
                <w:bCs/>
                <w:sz w:val="21"/>
                <w:szCs w:val="21"/>
                <w:highlight w:val="none"/>
              </w:rPr>
              <w:t>价格</w:t>
            </w:r>
          </w:p>
          <w:p w14:paraId="6EB0B093">
            <w:pPr>
              <w:spacing w:line="240" w:lineRule="auto"/>
              <w:jc w:val="center"/>
              <w:rPr>
                <w:rFonts w:hint="eastAsia" w:ascii="宋体" w:hAnsi="宋体" w:cs="宋体"/>
                <w:bCs/>
                <w:sz w:val="21"/>
                <w:szCs w:val="21"/>
                <w:highlight w:val="none"/>
              </w:rPr>
            </w:pPr>
            <w:r>
              <w:rPr>
                <w:rFonts w:hint="eastAsia" w:ascii="宋体" w:hAnsi="宋体" w:cs="宋体"/>
                <w:sz w:val="21"/>
                <w:szCs w:val="21"/>
                <w:highlight w:val="none"/>
              </w:rPr>
              <w:t>（30分）</w:t>
            </w:r>
          </w:p>
        </w:tc>
        <w:tc>
          <w:tcPr>
            <w:tcW w:w="4162" w:type="pct"/>
            <w:noWrap w:val="0"/>
            <w:vAlign w:val="center"/>
          </w:tcPr>
          <w:p w14:paraId="455A25EB">
            <w:pPr>
              <w:spacing w:line="240" w:lineRule="auto"/>
              <w:jc w:val="left"/>
              <w:rPr>
                <w:rFonts w:hint="eastAsia" w:ascii="宋体" w:hAnsi="宋体" w:cs="宋体"/>
                <w:sz w:val="21"/>
                <w:szCs w:val="21"/>
                <w:highlight w:val="none"/>
              </w:rPr>
            </w:pPr>
            <w:r>
              <w:rPr>
                <w:rFonts w:hint="eastAsia" w:ascii="宋体" w:hAnsi="宋体" w:cs="宋体"/>
                <w:sz w:val="21"/>
                <w:szCs w:val="21"/>
                <w:highlight w:val="none"/>
              </w:rPr>
              <w:t>综合评分法中的价格分统一采用低价优先法计算，即满足招标文件要求且投标价格最低的投标报价为评标基准价，其价格分为满分30分；</w:t>
            </w:r>
          </w:p>
          <w:p w14:paraId="1192DC0A">
            <w:pPr>
              <w:spacing w:line="240" w:lineRule="auto"/>
              <w:jc w:val="left"/>
              <w:rPr>
                <w:rFonts w:hint="eastAsia" w:ascii="宋体" w:hAnsi="宋体" w:cs="宋体"/>
                <w:sz w:val="21"/>
                <w:szCs w:val="21"/>
                <w:highlight w:val="none"/>
              </w:rPr>
            </w:pPr>
            <w:r>
              <w:rPr>
                <w:rFonts w:hint="eastAsia" w:ascii="宋体" w:hAnsi="宋体" w:cs="宋体"/>
                <w:sz w:val="21"/>
                <w:szCs w:val="21"/>
                <w:highlight w:val="none"/>
              </w:rPr>
              <w:t>适用价格扣除方法政府采购项目价格及得分计算方法：</w:t>
            </w:r>
          </w:p>
          <w:p w14:paraId="47CB8B16">
            <w:pPr>
              <w:spacing w:line="240" w:lineRule="auto"/>
              <w:jc w:val="left"/>
              <w:rPr>
                <w:rFonts w:hint="eastAsia" w:ascii="宋体" w:hAnsi="宋体" w:cs="宋体"/>
                <w:bCs/>
                <w:sz w:val="21"/>
                <w:szCs w:val="21"/>
                <w:highlight w:val="none"/>
              </w:rPr>
            </w:pPr>
            <w:r>
              <w:rPr>
                <w:rFonts w:hint="eastAsia" w:ascii="宋体" w:hAnsi="宋体" w:cs="宋体"/>
                <w:sz w:val="21"/>
                <w:szCs w:val="21"/>
                <w:highlight w:val="none"/>
              </w:rPr>
              <w:t>1.投标报价得分=（评标基准价/评标价格）×价格权值×100</w:t>
            </w:r>
          </w:p>
        </w:tc>
        <w:tc>
          <w:tcPr>
            <w:tcW w:w="296" w:type="pct"/>
            <w:noWrap w:val="0"/>
            <w:vAlign w:val="center"/>
          </w:tcPr>
          <w:p w14:paraId="1CD3C1FD">
            <w:pPr>
              <w:spacing w:line="240" w:lineRule="auto"/>
              <w:jc w:val="center"/>
              <w:rPr>
                <w:rFonts w:ascii="宋体" w:hAnsi="宋体" w:cs="宋体"/>
                <w:bCs/>
                <w:sz w:val="21"/>
                <w:szCs w:val="21"/>
                <w:highlight w:val="none"/>
              </w:rPr>
            </w:pPr>
            <w:r>
              <w:rPr>
                <w:rFonts w:hint="eastAsia" w:ascii="宋体" w:hAnsi="宋体" w:cs="宋体"/>
                <w:bCs/>
                <w:sz w:val="21"/>
                <w:szCs w:val="21"/>
                <w:highlight w:val="none"/>
              </w:rPr>
              <w:t>30</w:t>
            </w:r>
          </w:p>
        </w:tc>
      </w:tr>
    </w:tbl>
    <w:p w14:paraId="559968C7">
      <w:pPr>
        <w:spacing w:line="360" w:lineRule="auto"/>
        <w:jc w:val="center"/>
        <w:rPr>
          <w:rFonts w:hint="eastAsia" w:ascii="宋体" w:hAnsi="宋体"/>
          <w:b/>
          <w:spacing w:val="-2"/>
          <w:sz w:val="24"/>
          <w:highlight w:val="none"/>
        </w:rPr>
      </w:pPr>
      <w:r>
        <w:rPr>
          <w:rFonts w:hint="eastAsia" w:ascii="宋体" w:hAnsi="宋体"/>
          <w:b/>
          <w:spacing w:val="-2"/>
          <w:sz w:val="30"/>
          <w:szCs w:val="30"/>
          <w:highlight w:val="none"/>
        </w:rPr>
        <w:t>商务技术部分</w:t>
      </w:r>
      <w:r>
        <w:rPr>
          <w:rFonts w:hint="eastAsia" w:ascii="宋体" w:hAnsi="宋体"/>
          <w:b/>
          <w:spacing w:val="-2"/>
          <w:sz w:val="24"/>
          <w:highlight w:val="none"/>
        </w:rPr>
        <w:t>（占总分值的70%）</w:t>
      </w:r>
    </w:p>
    <w:tbl>
      <w:tblPr>
        <w:tblStyle w:val="20"/>
        <w:tblW w:w="10142" w:type="dxa"/>
        <w:jc w:val="center"/>
        <w:tblLayout w:type="fixed"/>
        <w:tblCellMar>
          <w:top w:w="0" w:type="dxa"/>
          <w:left w:w="108" w:type="dxa"/>
          <w:bottom w:w="0" w:type="dxa"/>
          <w:right w:w="108" w:type="dxa"/>
        </w:tblCellMar>
      </w:tblPr>
      <w:tblGrid>
        <w:gridCol w:w="567"/>
        <w:gridCol w:w="507"/>
        <w:gridCol w:w="1052"/>
        <w:gridCol w:w="7423"/>
        <w:gridCol w:w="593"/>
      </w:tblGrid>
      <w:tr w14:paraId="2569E28C">
        <w:tblPrEx>
          <w:tblCellMar>
            <w:top w:w="0" w:type="dxa"/>
            <w:left w:w="108" w:type="dxa"/>
            <w:bottom w:w="0" w:type="dxa"/>
            <w:right w:w="108" w:type="dxa"/>
          </w:tblCellMar>
        </w:tblPrEx>
        <w:trPr>
          <w:trHeight w:val="90" w:hRule="atLeast"/>
          <w:jc w:val="center"/>
        </w:trPr>
        <w:tc>
          <w:tcPr>
            <w:tcW w:w="567" w:type="dxa"/>
            <w:tcBorders>
              <w:top w:val="single" w:color="000000" w:sz="4" w:space="0"/>
              <w:left w:val="single" w:color="000000" w:sz="4" w:space="0"/>
              <w:bottom w:val="single" w:color="000000" w:sz="4" w:space="0"/>
              <w:right w:val="nil"/>
            </w:tcBorders>
            <w:noWrap w:val="0"/>
            <w:vAlign w:val="center"/>
          </w:tcPr>
          <w:p w14:paraId="7BFAAE7A">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评审项</w:t>
            </w:r>
          </w:p>
        </w:tc>
        <w:tc>
          <w:tcPr>
            <w:tcW w:w="507" w:type="dxa"/>
            <w:tcBorders>
              <w:top w:val="single" w:color="auto" w:sz="4" w:space="0"/>
              <w:left w:val="single" w:color="auto" w:sz="4" w:space="0"/>
              <w:bottom w:val="single" w:color="auto" w:sz="4" w:space="0"/>
              <w:right w:val="single" w:color="auto" w:sz="4" w:space="0"/>
            </w:tcBorders>
            <w:noWrap w:val="0"/>
            <w:vAlign w:val="center"/>
          </w:tcPr>
          <w:p w14:paraId="73C4A26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8475" w:type="dxa"/>
            <w:gridSpan w:val="2"/>
            <w:tcBorders>
              <w:top w:val="single" w:color="auto" w:sz="4" w:space="0"/>
              <w:left w:val="nil"/>
              <w:bottom w:val="single" w:color="auto" w:sz="4" w:space="0"/>
              <w:right w:val="single" w:color="auto" w:sz="4" w:space="0"/>
            </w:tcBorders>
            <w:noWrap w:val="0"/>
            <w:vAlign w:val="center"/>
          </w:tcPr>
          <w:p w14:paraId="433D748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w:t>
            </w:r>
          </w:p>
        </w:tc>
        <w:tc>
          <w:tcPr>
            <w:tcW w:w="593" w:type="dxa"/>
            <w:tcBorders>
              <w:top w:val="single" w:color="auto" w:sz="4" w:space="0"/>
              <w:left w:val="nil"/>
              <w:bottom w:val="single" w:color="auto" w:sz="4" w:space="0"/>
              <w:right w:val="single" w:color="auto" w:sz="4" w:space="0"/>
            </w:tcBorders>
            <w:noWrap/>
            <w:vAlign w:val="center"/>
          </w:tcPr>
          <w:p w14:paraId="6C612AEA">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14:paraId="1FDA167B">
        <w:tblPrEx>
          <w:tblCellMar>
            <w:top w:w="0" w:type="dxa"/>
            <w:left w:w="108" w:type="dxa"/>
            <w:bottom w:w="0" w:type="dxa"/>
            <w:right w:w="108" w:type="dxa"/>
          </w:tblCellMar>
        </w:tblPrEx>
        <w:trPr>
          <w:trHeight w:val="1857"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14:paraId="04C2E9E9">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技术评审</w:t>
            </w:r>
          </w:p>
        </w:tc>
        <w:tc>
          <w:tcPr>
            <w:tcW w:w="507" w:type="dxa"/>
            <w:vMerge w:val="restart"/>
            <w:tcBorders>
              <w:top w:val="nil"/>
              <w:left w:val="single" w:color="auto" w:sz="4" w:space="0"/>
              <w:bottom w:val="single" w:color="auto" w:sz="4" w:space="0"/>
              <w:right w:val="single" w:color="auto" w:sz="4" w:space="0"/>
            </w:tcBorders>
            <w:noWrap w:val="0"/>
            <w:vAlign w:val="center"/>
          </w:tcPr>
          <w:p w14:paraId="76834E3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分</w:t>
            </w:r>
          </w:p>
        </w:tc>
        <w:tc>
          <w:tcPr>
            <w:tcW w:w="1052" w:type="dxa"/>
            <w:tcBorders>
              <w:top w:val="single" w:color="auto" w:sz="4" w:space="0"/>
              <w:left w:val="nil"/>
              <w:bottom w:val="single" w:color="auto" w:sz="4" w:space="0"/>
              <w:right w:val="single" w:color="auto" w:sz="4" w:space="0"/>
            </w:tcBorders>
            <w:noWrap w:val="0"/>
            <w:vAlign w:val="center"/>
          </w:tcPr>
          <w:p w14:paraId="613D2EE8">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技术参数响应及质量保证</w:t>
            </w:r>
          </w:p>
          <w:p w14:paraId="39931C31">
            <w:pPr>
              <w:keepNext w:val="0"/>
              <w:keepLines w:val="0"/>
              <w:pageBreakBefore w:val="0"/>
              <w:widowControl/>
              <w:kinsoku/>
              <w:wordWrap/>
              <w:overflowPunct/>
              <w:topLinePunct w:val="0"/>
              <w:bidi w:val="0"/>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lang w:val="en-US" w:eastAsia="zh-CN"/>
              </w:rPr>
              <w:t>分）</w:t>
            </w:r>
          </w:p>
        </w:tc>
        <w:tc>
          <w:tcPr>
            <w:tcW w:w="7423" w:type="dxa"/>
            <w:tcBorders>
              <w:top w:val="single" w:color="auto" w:sz="4" w:space="0"/>
              <w:left w:val="nil"/>
              <w:bottom w:val="single" w:color="auto" w:sz="4" w:space="0"/>
              <w:right w:val="single" w:color="auto" w:sz="4" w:space="0"/>
            </w:tcBorders>
            <w:noWrap w:val="0"/>
            <w:vAlign w:val="center"/>
          </w:tcPr>
          <w:p w14:paraId="55783CDC">
            <w:pPr>
              <w:keepNext w:val="0"/>
              <w:keepLines w:val="0"/>
              <w:pageBreakBefore w:val="0"/>
              <w:widowControl/>
              <w:kinsoku/>
              <w:wordWrap/>
              <w:overflowPunct/>
              <w:topLinePunct w:val="0"/>
              <w:bidi w:val="0"/>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根据招标文件技术参数要求对照投标人投标文件提供的响应内容进行评审，完全满足招标文件</w:t>
            </w:r>
            <w:r>
              <w:rPr>
                <w:rFonts w:hint="eastAsia" w:ascii="宋体" w:hAnsi="宋体" w:cs="宋体"/>
                <w:color w:val="auto"/>
                <w:kern w:val="0"/>
                <w:sz w:val="21"/>
                <w:szCs w:val="21"/>
                <w:highlight w:val="none"/>
                <w:lang w:val="en-US" w:eastAsia="zh-CN"/>
              </w:rPr>
              <w:t>技术要求</w:t>
            </w:r>
            <w:r>
              <w:rPr>
                <w:rFonts w:hint="eastAsia" w:ascii="宋体" w:hAnsi="宋体" w:eastAsia="宋体" w:cs="宋体"/>
                <w:color w:val="auto"/>
                <w:kern w:val="0"/>
                <w:sz w:val="21"/>
                <w:szCs w:val="21"/>
                <w:highlight w:val="none"/>
                <w:lang w:val="en-US" w:eastAsia="zh-CN"/>
              </w:rPr>
              <w:t>的得</w:t>
            </w:r>
            <w:r>
              <w:rPr>
                <w:rFonts w:hint="eastAsia" w:ascii="宋体" w:hAnsi="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lang w:val="en-US" w:eastAsia="zh-CN"/>
              </w:rPr>
              <w:t>分，非</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项每有—项不满足或负偏离的扣1分,</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项</w:t>
            </w:r>
            <w:r>
              <w:rPr>
                <w:rFonts w:hint="eastAsia" w:ascii="宋体" w:hAnsi="宋体" w:cs="宋体"/>
                <w:color w:val="auto"/>
                <w:kern w:val="0"/>
                <w:sz w:val="21"/>
                <w:szCs w:val="21"/>
                <w:highlight w:val="none"/>
                <w:lang w:val="en-US" w:eastAsia="zh-CN"/>
              </w:rPr>
              <w:t>为核心参数要求，</w:t>
            </w:r>
            <w:r>
              <w:rPr>
                <w:rFonts w:hint="eastAsia" w:ascii="宋体" w:hAnsi="宋体" w:eastAsia="宋体" w:cs="宋体"/>
                <w:color w:val="auto"/>
                <w:kern w:val="0"/>
                <w:sz w:val="21"/>
                <w:szCs w:val="21"/>
                <w:highlight w:val="none"/>
                <w:lang w:val="en-US" w:eastAsia="zh-CN"/>
              </w:rPr>
              <w:t>每有—项不满足或负偏离的扣</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分,扣完为止。（</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项参数需</w:t>
            </w:r>
            <w:r>
              <w:rPr>
                <w:rFonts w:hint="eastAsia" w:ascii="宋体" w:hAnsi="宋体" w:cs="宋体"/>
                <w:color w:val="auto"/>
                <w:kern w:val="0"/>
                <w:sz w:val="21"/>
                <w:szCs w:val="21"/>
                <w:highlight w:val="none"/>
                <w:lang w:val="en-US" w:eastAsia="zh-CN"/>
              </w:rPr>
              <w:t>提供国家认可检测机构出具的</w:t>
            </w:r>
            <w:r>
              <w:rPr>
                <w:rFonts w:hint="eastAsia" w:ascii="宋体" w:hAnsi="宋体" w:eastAsia="宋体" w:cs="宋体"/>
                <w:color w:val="auto"/>
                <w:kern w:val="0"/>
                <w:sz w:val="21"/>
                <w:szCs w:val="21"/>
                <w:highlight w:val="none"/>
                <w:lang w:val="en-US" w:eastAsia="zh-CN"/>
              </w:rPr>
              <w:t>检测报告</w:t>
            </w:r>
            <w:r>
              <w:rPr>
                <w:rFonts w:hint="eastAsia" w:ascii="宋体" w:hAnsi="宋体" w:cs="宋体"/>
                <w:color w:val="auto"/>
                <w:kern w:val="0"/>
                <w:sz w:val="21"/>
                <w:szCs w:val="21"/>
                <w:highlight w:val="none"/>
                <w:lang w:val="en-US" w:eastAsia="zh-CN"/>
              </w:rPr>
              <w:t>和参数要求的证明文件，</w:t>
            </w:r>
            <w:r>
              <w:rPr>
                <w:rFonts w:hint="eastAsia" w:ascii="宋体" w:hAnsi="宋体" w:eastAsia="宋体" w:cs="宋体"/>
                <w:color w:val="auto"/>
                <w:kern w:val="0"/>
                <w:sz w:val="21"/>
                <w:szCs w:val="21"/>
                <w:highlight w:val="none"/>
                <w:lang w:val="en-US" w:eastAsia="zh-CN"/>
              </w:rPr>
              <w:t>不提供或证明内容不符合参数</w:t>
            </w:r>
            <w:r>
              <w:rPr>
                <w:rFonts w:hint="eastAsia" w:ascii="宋体" w:hAnsi="宋体" w:cs="宋体"/>
                <w:color w:val="auto"/>
                <w:kern w:val="0"/>
                <w:sz w:val="21"/>
                <w:szCs w:val="21"/>
                <w:highlight w:val="none"/>
                <w:lang w:val="en-US" w:eastAsia="zh-CN"/>
              </w:rPr>
              <w:t>要求视为此条参数不满足）</w:t>
            </w:r>
          </w:p>
        </w:tc>
        <w:tc>
          <w:tcPr>
            <w:tcW w:w="593" w:type="dxa"/>
            <w:tcBorders>
              <w:top w:val="nil"/>
              <w:left w:val="nil"/>
              <w:bottom w:val="single" w:color="auto" w:sz="4" w:space="0"/>
              <w:right w:val="single" w:color="auto" w:sz="4" w:space="0"/>
            </w:tcBorders>
            <w:noWrap/>
            <w:vAlign w:val="center"/>
          </w:tcPr>
          <w:p w14:paraId="4EF82AA6">
            <w:pPr>
              <w:keepNext w:val="0"/>
              <w:keepLines w:val="0"/>
              <w:pageBreakBefore w:val="0"/>
              <w:widowControl/>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35</w:t>
            </w:r>
          </w:p>
        </w:tc>
      </w:tr>
      <w:tr w14:paraId="5961E4F9">
        <w:tblPrEx>
          <w:tblCellMar>
            <w:top w:w="0" w:type="dxa"/>
            <w:left w:w="108" w:type="dxa"/>
            <w:bottom w:w="0" w:type="dxa"/>
            <w:right w:w="108" w:type="dxa"/>
          </w:tblCellMar>
        </w:tblPrEx>
        <w:trPr>
          <w:trHeight w:val="992"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2953C1A3">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p>
        </w:tc>
        <w:tc>
          <w:tcPr>
            <w:tcW w:w="507" w:type="dxa"/>
            <w:vMerge w:val="continue"/>
            <w:tcBorders>
              <w:top w:val="nil"/>
              <w:left w:val="single" w:color="auto" w:sz="4" w:space="0"/>
              <w:bottom w:val="single" w:color="auto" w:sz="4" w:space="0"/>
              <w:right w:val="single" w:color="auto" w:sz="4" w:space="0"/>
            </w:tcBorders>
            <w:noWrap w:val="0"/>
            <w:vAlign w:val="center"/>
          </w:tcPr>
          <w:p w14:paraId="1933805E">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p>
        </w:tc>
        <w:tc>
          <w:tcPr>
            <w:tcW w:w="1052" w:type="dxa"/>
            <w:tcBorders>
              <w:top w:val="nil"/>
              <w:left w:val="single" w:color="auto" w:sz="4" w:space="0"/>
              <w:bottom w:val="single" w:color="auto" w:sz="4" w:space="0"/>
              <w:right w:val="single" w:color="auto" w:sz="4" w:space="0"/>
            </w:tcBorders>
            <w:noWrap w:val="0"/>
            <w:vAlign w:val="center"/>
          </w:tcPr>
          <w:p w14:paraId="29DF7FBB">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产品优越性</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7423" w:type="dxa"/>
            <w:tcBorders>
              <w:top w:val="single" w:color="auto" w:sz="4" w:space="0"/>
              <w:left w:val="nil"/>
              <w:bottom w:val="single" w:color="auto" w:sz="4" w:space="0"/>
              <w:right w:val="single" w:color="auto" w:sz="4" w:space="0"/>
            </w:tcBorders>
            <w:noWrap w:val="0"/>
            <w:vAlign w:val="center"/>
          </w:tcPr>
          <w:p w14:paraId="159D543C">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1.提供所投</w:t>
            </w:r>
            <w:r>
              <w:rPr>
                <w:rFonts w:hint="eastAsia" w:ascii="宋体" w:hAnsi="宋体" w:cs="宋体"/>
                <w:kern w:val="2"/>
                <w:sz w:val="21"/>
                <w:szCs w:val="21"/>
                <w:lang w:val="en-US" w:eastAsia="zh-CN" w:bidi="ar-SA"/>
              </w:rPr>
              <w:t>智慧黑板产品具备</w:t>
            </w:r>
            <w:r>
              <w:rPr>
                <w:rFonts w:hint="eastAsia" w:ascii="宋体" w:hAnsi="宋体" w:eastAsia="宋体" w:cs="宋体"/>
                <w:kern w:val="2"/>
                <w:sz w:val="21"/>
                <w:szCs w:val="21"/>
                <w:lang w:val="en-US" w:eastAsia="zh-CN" w:bidi="ar-SA"/>
              </w:rPr>
              <w:t>正版培训教材（电子版或者纸质版）。正版培训教材为国家正式注册登记的出版社发行的正版图书。（提供图书著作权、出版编目(CIP)数据、出版单位名称、扉页复印件）；提供证明</w:t>
            </w:r>
            <w:r>
              <w:rPr>
                <w:rFonts w:hint="eastAsia" w:ascii="宋体" w:hAnsi="宋体" w:cs="宋体"/>
                <w:kern w:val="2"/>
                <w:sz w:val="21"/>
                <w:szCs w:val="21"/>
                <w:lang w:val="en-US" w:eastAsia="zh-CN" w:bidi="ar-SA"/>
              </w:rPr>
              <w:t>文件，3</w:t>
            </w:r>
            <w:r>
              <w:rPr>
                <w:rFonts w:hint="eastAsia" w:ascii="宋体" w:hAnsi="宋体" w:eastAsia="宋体" w:cs="宋体"/>
                <w:kern w:val="2"/>
                <w:sz w:val="21"/>
                <w:szCs w:val="21"/>
                <w:lang w:val="en-US" w:eastAsia="zh-CN" w:bidi="ar-SA"/>
              </w:rPr>
              <w:t>分，不提供不得分。</w:t>
            </w:r>
          </w:p>
          <w:p w14:paraId="326EDFED">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.提供所投</w:t>
            </w:r>
            <w:r>
              <w:rPr>
                <w:rFonts w:hint="eastAsia" w:ascii="宋体" w:hAnsi="宋体" w:cs="宋体"/>
                <w:kern w:val="2"/>
                <w:sz w:val="21"/>
                <w:szCs w:val="21"/>
                <w:lang w:val="en-US" w:eastAsia="zh-CN" w:bidi="ar-SA"/>
              </w:rPr>
              <w:t>智慧黑板产品</w:t>
            </w:r>
            <w:r>
              <w:rPr>
                <w:rFonts w:hint="eastAsia" w:ascii="宋体" w:hAnsi="宋体" w:eastAsia="宋体" w:cs="宋体"/>
                <w:kern w:val="2"/>
                <w:sz w:val="21"/>
                <w:szCs w:val="21"/>
                <w:lang w:val="en-US" w:eastAsia="zh-CN" w:bidi="ar-SA"/>
              </w:rPr>
              <w:t>提供教师公开课展示平台，支持开放多人联动教研系统、学员听评热力图等技术，分析点评教师设备使用情况（提供软件截图</w:t>
            </w:r>
            <w:r>
              <w:rPr>
                <w:rFonts w:hint="eastAsia" w:ascii="宋体" w:hAnsi="宋体" w:cs="宋体"/>
                <w:kern w:val="2"/>
                <w:sz w:val="21"/>
                <w:szCs w:val="21"/>
                <w:lang w:val="en-US" w:eastAsia="zh-CN" w:bidi="ar-SA"/>
              </w:rPr>
              <w:t>并加盖研发单位公章</w:t>
            </w:r>
            <w:r>
              <w:rPr>
                <w:rFonts w:hint="eastAsia" w:ascii="宋体" w:hAnsi="宋体" w:eastAsia="宋体" w:cs="宋体"/>
                <w:kern w:val="2"/>
                <w:sz w:val="21"/>
                <w:szCs w:val="21"/>
                <w:lang w:val="en-US" w:eastAsia="zh-CN" w:bidi="ar-SA"/>
              </w:rPr>
              <w:t>）；提供得</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分，不提供不得分。</w:t>
            </w:r>
          </w:p>
          <w:p w14:paraId="69B48456">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.提供所投</w:t>
            </w:r>
            <w:r>
              <w:rPr>
                <w:rFonts w:hint="eastAsia" w:ascii="宋体" w:hAnsi="宋体" w:cs="宋体"/>
                <w:kern w:val="2"/>
                <w:sz w:val="21"/>
                <w:szCs w:val="21"/>
                <w:lang w:val="en-US" w:eastAsia="zh-CN" w:bidi="ar-SA"/>
              </w:rPr>
              <w:t>智慧黑板产品培训平台，</w:t>
            </w:r>
            <w:r>
              <w:rPr>
                <w:rFonts w:hint="eastAsia" w:ascii="宋体" w:hAnsi="宋体" w:eastAsia="宋体" w:cs="宋体"/>
                <w:kern w:val="2"/>
                <w:sz w:val="21"/>
                <w:szCs w:val="21"/>
                <w:lang w:val="en-US" w:eastAsia="zh-CN" w:bidi="ar-SA"/>
              </w:rPr>
              <w:t>可接入国家级公共服务体系平台，并通过该平台枢纽环境进行体系内的资源服务及应用推广。（提供证明文件）</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分，不提供不得分。</w:t>
            </w:r>
          </w:p>
          <w:p w14:paraId="40F8EEC2">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default"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智慧黑板产品</w:t>
            </w:r>
            <w:r>
              <w:rPr>
                <w:rFonts w:hint="default" w:ascii="宋体" w:hAnsi="宋体" w:eastAsia="宋体" w:cs="宋体"/>
                <w:kern w:val="2"/>
                <w:sz w:val="21"/>
                <w:szCs w:val="21"/>
                <w:lang w:val="en-US" w:eastAsia="zh-CN" w:bidi="ar-SA"/>
              </w:rPr>
              <w:t>有完善的数据统计及调研分析电子化系统资源，系统支持查看区域内各层级教师培训情况，可视化呈现发展趋势、横向对比信息，具备报表生成与分享能力，满足电脑端与移动端同时使用；提升教师发展成长曲线及项目成果数据分析能力（提供</w:t>
            </w:r>
            <w:r>
              <w:rPr>
                <w:rFonts w:hint="eastAsia" w:ascii="宋体" w:hAnsi="宋体" w:cs="宋体"/>
                <w:kern w:val="2"/>
                <w:sz w:val="21"/>
                <w:szCs w:val="21"/>
                <w:lang w:val="en-US" w:eastAsia="zh-CN" w:bidi="ar-SA"/>
              </w:rPr>
              <w:t>第三方</w:t>
            </w:r>
            <w:r>
              <w:rPr>
                <w:rFonts w:hint="default" w:ascii="宋体" w:hAnsi="宋体" w:eastAsia="宋体" w:cs="宋体"/>
                <w:kern w:val="2"/>
                <w:sz w:val="21"/>
                <w:szCs w:val="21"/>
                <w:lang w:val="en-US" w:eastAsia="zh-CN" w:bidi="ar-SA"/>
              </w:rPr>
              <w:t>机构检测报告和软件著作权）</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分，不提供不得分。</w:t>
            </w:r>
          </w:p>
          <w:p w14:paraId="4F1B88CC">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5.智慧黑板产品</w:t>
            </w:r>
            <w:r>
              <w:rPr>
                <w:rFonts w:hint="default" w:ascii="宋体" w:hAnsi="宋体" w:eastAsia="宋体" w:cs="宋体"/>
                <w:kern w:val="2"/>
                <w:sz w:val="21"/>
                <w:szCs w:val="21"/>
                <w:lang w:val="en-US" w:eastAsia="zh-CN" w:bidi="ar-SA"/>
              </w:rPr>
              <w:t>具备丰富的产品培训活动执行相关资源，包括但不限于线下面对面培训，可借助网络平台做到未到场或教师复学培训全覆盖。学习形式可分单元、分模块在计划内自由学习。支持音视频、图文学习、在线考核、教学反思、每日打卡、作业智能审核、证书自动发放等功能（提供</w:t>
            </w:r>
            <w:r>
              <w:rPr>
                <w:rFonts w:hint="eastAsia" w:ascii="宋体" w:hAnsi="宋体" w:cs="宋体"/>
                <w:kern w:val="2"/>
                <w:sz w:val="21"/>
                <w:szCs w:val="21"/>
                <w:lang w:val="en-US" w:eastAsia="zh-CN" w:bidi="ar-SA"/>
              </w:rPr>
              <w:t>第三方</w:t>
            </w:r>
            <w:r>
              <w:rPr>
                <w:rFonts w:hint="default" w:ascii="宋体" w:hAnsi="宋体" w:eastAsia="宋体" w:cs="宋体"/>
                <w:kern w:val="2"/>
                <w:sz w:val="21"/>
                <w:szCs w:val="21"/>
                <w:lang w:val="en-US" w:eastAsia="zh-CN" w:bidi="ar-SA"/>
              </w:rPr>
              <w:t>机构检测报告和软件著作权）</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分，不提供不得分。</w:t>
            </w:r>
          </w:p>
          <w:p w14:paraId="397C0816">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网络安全管理系统需支持与同厂商的防火墙进行安全联动，管理员可以在防火墙管理界面下发快速查杀任务，并查看任务状态、结果并进行处置，支持在管理平台查询和统计联动信息。（需提供产品截图证明）提供得</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分，未提供不得分</w:t>
            </w:r>
            <w:r>
              <w:rPr>
                <w:rFonts w:hint="eastAsia" w:ascii="宋体" w:hAnsi="宋体" w:cs="宋体"/>
                <w:kern w:val="2"/>
                <w:sz w:val="21"/>
                <w:szCs w:val="21"/>
                <w:lang w:val="en-US" w:eastAsia="zh-CN" w:bidi="ar-SA"/>
              </w:rPr>
              <w:t>。</w:t>
            </w:r>
          </w:p>
        </w:tc>
        <w:tc>
          <w:tcPr>
            <w:tcW w:w="593" w:type="dxa"/>
            <w:tcBorders>
              <w:top w:val="nil"/>
              <w:left w:val="nil"/>
              <w:bottom w:val="single" w:color="auto" w:sz="4" w:space="0"/>
              <w:right w:val="single" w:color="auto" w:sz="4" w:space="0"/>
            </w:tcBorders>
            <w:noWrap/>
            <w:vAlign w:val="center"/>
          </w:tcPr>
          <w:p w14:paraId="76027120">
            <w:pPr>
              <w:keepNext w:val="0"/>
              <w:keepLines w:val="0"/>
              <w:pageBreakBefore w:val="0"/>
              <w:widowControl/>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r>
      <w:tr w14:paraId="232F604C">
        <w:tblPrEx>
          <w:tblCellMar>
            <w:top w:w="0" w:type="dxa"/>
            <w:left w:w="108" w:type="dxa"/>
            <w:bottom w:w="0" w:type="dxa"/>
            <w:right w:w="108" w:type="dxa"/>
          </w:tblCellMar>
        </w:tblPrEx>
        <w:trPr>
          <w:trHeight w:val="689" w:hRule="atLeast"/>
          <w:jc w:val="center"/>
        </w:trPr>
        <w:tc>
          <w:tcPr>
            <w:tcW w:w="567" w:type="dxa"/>
            <w:vMerge w:val="restart"/>
            <w:tcBorders>
              <w:top w:val="nil"/>
              <w:left w:val="single" w:color="auto" w:sz="4" w:space="0"/>
              <w:right w:val="single" w:color="auto" w:sz="4" w:space="0"/>
            </w:tcBorders>
            <w:noWrap w:val="0"/>
            <w:vAlign w:val="center"/>
          </w:tcPr>
          <w:p w14:paraId="2FCDD7E5">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商务评审</w:t>
            </w:r>
          </w:p>
        </w:tc>
        <w:tc>
          <w:tcPr>
            <w:tcW w:w="507" w:type="dxa"/>
            <w:vMerge w:val="restart"/>
            <w:tcBorders>
              <w:top w:val="nil"/>
              <w:left w:val="single" w:color="auto" w:sz="4" w:space="0"/>
              <w:right w:val="single" w:color="auto" w:sz="4" w:space="0"/>
            </w:tcBorders>
            <w:noWrap w:val="0"/>
            <w:vAlign w:val="center"/>
          </w:tcPr>
          <w:p w14:paraId="13436666">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1052" w:type="dxa"/>
            <w:tcBorders>
              <w:top w:val="single" w:color="auto" w:sz="4" w:space="0"/>
              <w:left w:val="nil"/>
              <w:bottom w:val="single" w:color="auto" w:sz="4" w:space="0"/>
              <w:right w:val="single" w:color="auto" w:sz="4" w:space="0"/>
            </w:tcBorders>
            <w:noWrap/>
            <w:vAlign w:val="center"/>
          </w:tcPr>
          <w:p w14:paraId="09AAF9B7">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实施方案</w:t>
            </w:r>
          </w:p>
        </w:tc>
        <w:tc>
          <w:tcPr>
            <w:tcW w:w="7423" w:type="dxa"/>
            <w:tcBorders>
              <w:top w:val="single" w:color="auto" w:sz="4" w:space="0"/>
              <w:left w:val="single" w:color="auto" w:sz="4" w:space="0"/>
              <w:bottom w:val="single" w:color="auto" w:sz="4" w:space="0"/>
              <w:right w:val="single" w:color="auto" w:sz="4" w:space="0"/>
            </w:tcBorders>
            <w:noWrap/>
            <w:vAlign w:val="center"/>
          </w:tcPr>
          <w:p w14:paraId="7B35789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实施方案内容包含但不限于：①项目整体实施计划；②供货组织方案；③产品安装和调试的主要技术保证措施；④质量保证措施；⑤项目整体测试及验收方案；⑥应急预案（基本符合采购产品的应急处理措施、产品质量问题应急预案、遇突发事件应急预案）等。以上6项内容无缺陷、科学合理、规范性和可操作性高、逻辑清晰、细致全面，能满足项目实际需求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分，每缺失一项内容扣</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分，每项内容中存在缺陷（缺陷是指内容阐述不清晰，存在偏差或不符合项目需求或过于简略）的扣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分，扣完为止。未提供方案不得分。</w:t>
            </w:r>
          </w:p>
        </w:tc>
        <w:tc>
          <w:tcPr>
            <w:tcW w:w="593" w:type="dxa"/>
            <w:tcBorders>
              <w:top w:val="nil"/>
              <w:left w:val="nil"/>
              <w:bottom w:val="single" w:color="auto" w:sz="4" w:space="0"/>
              <w:right w:val="single" w:color="auto" w:sz="4" w:space="0"/>
            </w:tcBorders>
            <w:noWrap/>
            <w:vAlign w:val="center"/>
          </w:tcPr>
          <w:p w14:paraId="770E4095">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14:paraId="69E5E76B">
        <w:tblPrEx>
          <w:tblCellMar>
            <w:top w:w="0" w:type="dxa"/>
            <w:left w:w="108" w:type="dxa"/>
            <w:bottom w:w="0" w:type="dxa"/>
            <w:right w:w="108" w:type="dxa"/>
          </w:tblCellMar>
        </w:tblPrEx>
        <w:trPr>
          <w:trHeight w:val="870" w:hRule="atLeast"/>
          <w:jc w:val="center"/>
        </w:trPr>
        <w:tc>
          <w:tcPr>
            <w:tcW w:w="567" w:type="dxa"/>
            <w:vMerge w:val="continue"/>
            <w:tcBorders>
              <w:left w:val="single" w:color="auto" w:sz="4" w:space="0"/>
              <w:right w:val="single" w:color="auto" w:sz="4" w:space="0"/>
            </w:tcBorders>
            <w:noWrap w:val="0"/>
            <w:vAlign w:val="center"/>
          </w:tcPr>
          <w:p w14:paraId="0C60D0B5">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07" w:type="dxa"/>
            <w:vMerge w:val="continue"/>
            <w:tcBorders>
              <w:left w:val="single" w:color="auto" w:sz="4" w:space="0"/>
              <w:right w:val="single" w:color="auto" w:sz="4" w:space="0"/>
            </w:tcBorders>
            <w:noWrap w:val="0"/>
            <w:vAlign w:val="center"/>
          </w:tcPr>
          <w:p w14:paraId="49981183">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1052" w:type="dxa"/>
            <w:tcBorders>
              <w:top w:val="single" w:color="auto" w:sz="4" w:space="0"/>
              <w:left w:val="nil"/>
              <w:bottom w:val="single" w:color="auto" w:sz="4" w:space="0"/>
              <w:right w:val="single" w:color="auto" w:sz="4" w:space="0"/>
            </w:tcBorders>
            <w:noWrap w:val="0"/>
            <w:vAlign w:val="center"/>
          </w:tcPr>
          <w:p w14:paraId="57454F3C">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8589775">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1、售后服务方案包含①售后服务措施（售后服务措施有符合项目的售后回访计划）②售后服务体系（售后服务体系有健全的售后管控制度、完善的退换货流程）③售后响应时间。</w:t>
            </w:r>
          </w:p>
          <w:p w14:paraId="0E737BA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方案与上述描述完整，响应及时，维护维修速度快，可实施性高，有优质的售后服务措施，免费维修与更换有缺陷的设备或部件及相关人员达到指定位置的响应速度小于48小时，维护人员和机构健全得5分； 方案与上述描述较为完整，响应较及时，维护维修速度较快，可实施性较高，免费维修与更换有缺陷的设备或部件及相关人员达到指定位置的响应速度大于48小时小于72小时，维护人员和机构健全得3分； 方案与上述描述完整度缺失，响应速度大于72小时，维护人员和机构健健全，可实施性不符合常理，得1分；方案完整度较差，响应速度大于72小时，维护人员和机构不健全，以及未提供任何方案，不得分。分值共5分</w:t>
            </w:r>
          </w:p>
        </w:tc>
        <w:tc>
          <w:tcPr>
            <w:tcW w:w="593" w:type="dxa"/>
            <w:tcBorders>
              <w:top w:val="nil"/>
              <w:left w:val="nil"/>
              <w:bottom w:val="single" w:color="auto" w:sz="4" w:space="0"/>
              <w:right w:val="single" w:color="auto" w:sz="4" w:space="0"/>
            </w:tcBorders>
            <w:noWrap w:val="0"/>
            <w:vAlign w:val="center"/>
          </w:tcPr>
          <w:p w14:paraId="290B9094">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3A4ACF4D">
        <w:tblPrEx>
          <w:tblCellMar>
            <w:top w:w="0" w:type="dxa"/>
            <w:left w:w="108" w:type="dxa"/>
            <w:bottom w:w="0" w:type="dxa"/>
            <w:right w:w="108" w:type="dxa"/>
          </w:tblCellMar>
        </w:tblPrEx>
        <w:trPr>
          <w:trHeight w:val="1272" w:hRule="atLeast"/>
          <w:jc w:val="center"/>
        </w:trPr>
        <w:tc>
          <w:tcPr>
            <w:tcW w:w="567" w:type="dxa"/>
            <w:vMerge w:val="continue"/>
            <w:tcBorders>
              <w:left w:val="single" w:color="auto" w:sz="4" w:space="0"/>
              <w:right w:val="single" w:color="auto" w:sz="4" w:space="0"/>
            </w:tcBorders>
            <w:noWrap w:val="0"/>
            <w:vAlign w:val="center"/>
          </w:tcPr>
          <w:p w14:paraId="665A307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507" w:type="dxa"/>
            <w:vMerge w:val="continue"/>
            <w:tcBorders>
              <w:left w:val="single" w:color="auto" w:sz="4" w:space="0"/>
              <w:right w:val="single" w:color="auto" w:sz="4" w:space="0"/>
            </w:tcBorders>
            <w:noWrap w:val="0"/>
            <w:vAlign w:val="center"/>
          </w:tcPr>
          <w:p w14:paraId="2B489315">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0CA672A">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产品质量承诺</w:t>
            </w:r>
          </w:p>
        </w:tc>
        <w:tc>
          <w:tcPr>
            <w:tcW w:w="7423" w:type="dxa"/>
            <w:tcBorders>
              <w:top w:val="single" w:color="auto" w:sz="4" w:space="0"/>
              <w:left w:val="single" w:color="auto" w:sz="4" w:space="0"/>
              <w:bottom w:val="single" w:color="auto" w:sz="4" w:space="0"/>
              <w:right w:val="single" w:color="auto" w:sz="4" w:space="0"/>
            </w:tcBorders>
            <w:noWrap w:val="0"/>
            <w:vAlign w:val="center"/>
          </w:tcPr>
          <w:p w14:paraId="738C1889">
            <w:pPr>
              <w:keepNext w:val="0"/>
              <w:keepLines w:val="0"/>
              <w:pageBreakBefore w:val="0"/>
              <w:widowControl/>
              <w:kinsoku/>
              <w:wordWrap/>
              <w:overflowPunct/>
              <w:topLinePunct w:val="0"/>
              <w:bidi w:val="0"/>
              <w:snapToGrid/>
              <w:spacing w:line="24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1、提供投标人的交付和售后服务能力的承诺函： ①能够提供所投产品3年整机质保，3年免费上门服务得1分；②供应商在第①条基础上，每多提供一年质保服务的，加1分，最多得3分</w:t>
            </w:r>
            <w:r>
              <w:rPr>
                <w:rFonts w:hint="eastAsia" w:ascii="宋体" w:hAnsi="宋体" w:eastAsia="宋体" w:cs="宋体"/>
                <w:color w:val="auto"/>
                <w:kern w:val="0"/>
                <w:sz w:val="21"/>
                <w:szCs w:val="21"/>
                <w:highlight w:val="none"/>
                <w:lang w:val="en-US" w:eastAsia="zh-CN"/>
              </w:rPr>
              <w:t>。</w:t>
            </w:r>
          </w:p>
          <w:p w14:paraId="7B22F704">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投标人提供合法性货物来源及承诺，承诺中保证所使用的所有产品及其相关软件设施，需保证其正品性、合法性，不涉及任何产权著作协议等法律纠纷，若出现软硬件产品产权侵权纠纷问题，由投标人承担所有相关事务责任及费用。产品针对招标参数无任何不响应情况，接受针对招标要求参数的逐项演示交付，如无法满足，一切责任由中标方承担。承诺完整、内容条款清晰。加盖投标单位公章</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分，不提供及不完整、条例颠倒、存在不响应情形不得分。</w:t>
            </w:r>
          </w:p>
        </w:tc>
        <w:tc>
          <w:tcPr>
            <w:tcW w:w="593" w:type="dxa"/>
            <w:tcBorders>
              <w:top w:val="single" w:color="auto" w:sz="4" w:space="0"/>
              <w:left w:val="single" w:color="auto" w:sz="4" w:space="0"/>
              <w:bottom w:val="single" w:color="auto" w:sz="4" w:space="0"/>
              <w:right w:val="single" w:color="auto" w:sz="4" w:space="0"/>
            </w:tcBorders>
            <w:noWrap w:val="0"/>
            <w:vAlign w:val="center"/>
          </w:tcPr>
          <w:p w14:paraId="664D53A6">
            <w:pPr>
              <w:keepNext w:val="0"/>
              <w:keepLines w:val="0"/>
              <w:pageBreakBefore w:val="0"/>
              <w:widowControl/>
              <w:kinsoku/>
              <w:wordWrap/>
              <w:overflowPunct/>
              <w:topLinePunct w:val="0"/>
              <w:bidi w:val="0"/>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bl>
    <w:p w14:paraId="105D5EEA"/>
    <w:p w14:paraId="4563D18C"/>
    <w:p w14:paraId="29092EBF">
      <w:pPr>
        <w:rPr>
          <w:rFonts w:hint="eastAsia"/>
          <w:sz w:val="18"/>
          <w:szCs w:val="18"/>
          <w:lang w:val="en-US" w:eastAsia="zh-CN"/>
        </w:rPr>
      </w:pPr>
    </w:p>
    <w:p w14:paraId="6571E259">
      <w:pPr>
        <w:rPr>
          <w:rFonts w:hint="eastAsia"/>
          <w:sz w:val="18"/>
          <w:szCs w:val="18"/>
          <w:lang w:val="en-US" w:eastAsia="zh-CN"/>
        </w:rPr>
      </w:pPr>
      <w:r>
        <w:rPr>
          <w:rFonts w:hint="eastAsia"/>
          <w:sz w:val="18"/>
          <w:szCs w:val="18"/>
          <w:lang w:val="en-US" w:eastAsia="zh-CN"/>
        </w:rPr>
        <w:t>备注：</w:t>
      </w:r>
    </w:p>
    <w:p w14:paraId="52372E0B">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20006348">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036E41E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7EA1E12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KSS(GK)2025-024</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2025年喀什市教学发展中心智慧教室与精品课微格教室建设项目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1057510.00元（壹佰零伍万柒仟伍佰壹拾元整）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2025年7月7日至2025年8月5日11:00:00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2025年8月5日11:00:00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王紫嫣</w:t>
      </w:r>
      <w:r>
        <w:rPr>
          <w:rFonts w:hint="eastAsia" w:ascii="仿宋" w:hAnsi="仿宋" w:eastAsia="仿宋"/>
          <w:color w:val="000000"/>
          <w:sz w:val="28"/>
          <w:szCs w:val="28"/>
        </w:rPr>
        <w:t>，</w:t>
      </w:r>
      <w:r>
        <w:rPr>
          <w:rFonts w:hint="eastAsia" w:ascii="仿宋" w:hAnsi="仿宋" w:eastAsia="仿宋"/>
          <w:color w:val="000000"/>
          <w:sz w:val="28"/>
          <w:szCs w:val="28"/>
          <w:lang w:eastAsia="zh-CN"/>
        </w:rPr>
        <w:t>18799899035</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王紫嫣</w:t>
      </w:r>
      <w:r>
        <w:rPr>
          <w:rFonts w:hint="eastAsia" w:ascii="仿宋" w:hAnsi="仿宋" w:eastAsia="仿宋"/>
          <w:color w:val="000000"/>
          <w:sz w:val="28"/>
          <w:szCs w:val="28"/>
        </w:rPr>
        <w:t>：</w:t>
      </w:r>
      <w:r>
        <w:rPr>
          <w:rFonts w:hint="eastAsia" w:ascii="仿宋" w:hAnsi="仿宋" w:eastAsia="仿宋"/>
          <w:color w:val="000000"/>
          <w:sz w:val="28"/>
          <w:szCs w:val="28"/>
          <w:lang w:eastAsia="zh-CN"/>
        </w:rPr>
        <w:t>18799899035</w:t>
      </w:r>
      <w:r>
        <w:rPr>
          <w:rFonts w:hint="eastAsia" w:ascii="仿宋" w:hAnsi="仿宋" w:eastAsia="仿宋"/>
          <w:color w:val="000000"/>
          <w:sz w:val="28"/>
          <w:szCs w:val="28"/>
        </w:rPr>
        <w:t>　</w:t>
      </w:r>
    </w:p>
    <w:p w14:paraId="644815A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7632E15">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，质疑咨询电话：</w:t>
      </w:r>
      <w:r>
        <w:rPr>
          <w:rFonts w:hint="eastAsia" w:ascii="宋体" w:hAnsi="宋体" w:eastAsia="宋体"/>
          <w:b/>
          <w:bCs/>
          <w:szCs w:val="21"/>
          <w:lang w:eastAsia="zh-CN"/>
        </w:rPr>
        <w:t>王紫嫣</w:t>
      </w:r>
      <w:r>
        <w:rPr>
          <w:rFonts w:hint="eastAsia" w:ascii="宋体" w:hAnsi="宋体" w:eastAsia="宋体"/>
          <w:b/>
          <w:bCs/>
          <w:szCs w:val="21"/>
        </w:rPr>
        <w:t>，</w:t>
      </w:r>
      <w:r>
        <w:rPr>
          <w:rFonts w:hint="eastAsia" w:ascii="宋体" w:hAnsi="宋体" w:eastAsia="宋体"/>
          <w:b/>
          <w:bCs/>
          <w:szCs w:val="21"/>
          <w:lang w:eastAsia="zh-CN"/>
        </w:rPr>
        <w:t>18799899035</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1FDF6C93">
      <w:pPr>
        <w:pStyle w:val="16"/>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21547"/>
      <w:bookmarkStart w:id="4" w:name="_Toc60560625"/>
      <w:bookmarkStart w:id="5" w:name="_Toc101074876"/>
      <w:bookmarkStart w:id="6" w:name="_Toc73517639"/>
      <w:bookmarkStart w:id="7" w:name="_Toc60631620"/>
      <w:bookmarkStart w:id="8" w:name="_Toc7351811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KSS(GK)2025-024</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2025年喀什市教学发展中心智慧教室与精品课微格教室建设项目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1057510.00元（壹佰零伍万柒仟伍佰壹拾元整）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1057510.00元（壹佰零伍万柒仟伍佰壹拾元整）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677A3A23">
      <w:pPr>
        <w:pStyle w:val="27"/>
        <w:rPr>
          <w:rFonts w:hint="eastAsia" w:ascii="Arial" w:hAnsi="Arial" w:eastAsia="宋体"/>
          <w:b/>
          <w:sz w:val="32"/>
          <w:szCs w:val="32"/>
        </w:rPr>
      </w:pPr>
    </w:p>
    <w:p w14:paraId="56DCFDF4">
      <w:pPr>
        <w:pStyle w:val="27"/>
        <w:rPr>
          <w:rFonts w:hint="eastAsia" w:ascii="Arial" w:hAnsi="Arial" w:eastAsia="宋体"/>
          <w:b/>
          <w:sz w:val="32"/>
          <w:szCs w:val="32"/>
        </w:rPr>
      </w:pPr>
    </w:p>
    <w:p w14:paraId="1D8EE9A0">
      <w:pPr>
        <w:pStyle w:val="27"/>
        <w:rPr>
          <w:rFonts w:hint="eastAsia" w:ascii="Arial" w:hAnsi="Arial" w:eastAsia="宋体"/>
          <w:b/>
          <w:sz w:val="32"/>
          <w:szCs w:val="32"/>
        </w:rPr>
      </w:pPr>
    </w:p>
    <w:p w14:paraId="7E995F4A">
      <w:pPr>
        <w:pStyle w:val="27"/>
        <w:rPr>
          <w:rFonts w:hint="eastAsia" w:ascii="Arial" w:hAnsi="Arial" w:eastAsia="宋体"/>
          <w:b/>
          <w:sz w:val="32"/>
          <w:szCs w:val="32"/>
        </w:rPr>
      </w:pPr>
    </w:p>
    <w:p w14:paraId="1934AA84">
      <w:pPr>
        <w:pStyle w:val="27"/>
        <w:rPr>
          <w:rFonts w:hint="eastAsia" w:ascii="Arial" w:hAnsi="Arial" w:eastAsia="宋体"/>
          <w:b/>
          <w:sz w:val="32"/>
          <w:szCs w:val="32"/>
        </w:rPr>
      </w:pPr>
    </w:p>
    <w:p w14:paraId="63797835">
      <w:pPr>
        <w:pStyle w:val="27"/>
        <w:rPr>
          <w:rFonts w:hint="eastAsia" w:ascii="Arial" w:hAnsi="Arial" w:eastAsia="宋体"/>
          <w:b/>
          <w:sz w:val="32"/>
          <w:szCs w:val="32"/>
        </w:rPr>
      </w:pPr>
    </w:p>
    <w:p w14:paraId="2A614C8D">
      <w:pPr>
        <w:pStyle w:val="27"/>
        <w:rPr>
          <w:rFonts w:hint="eastAsia" w:ascii="Arial" w:hAnsi="Arial" w:eastAsia="宋体"/>
          <w:b/>
          <w:sz w:val="32"/>
          <w:szCs w:val="32"/>
        </w:rPr>
      </w:pPr>
    </w:p>
    <w:p w14:paraId="6128C48D">
      <w:pPr>
        <w:pStyle w:val="27"/>
        <w:rPr>
          <w:rFonts w:hint="eastAsia" w:ascii="Arial" w:hAnsi="Arial" w:eastAsia="宋体"/>
          <w:b/>
          <w:sz w:val="32"/>
          <w:szCs w:val="32"/>
        </w:rPr>
      </w:pPr>
    </w:p>
    <w:p w14:paraId="7BAC567C">
      <w:pPr>
        <w:pStyle w:val="27"/>
        <w:rPr>
          <w:rFonts w:hint="eastAsia" w:ascii="Arial" w:hAnsi="Arial" w:eastAsia="宋体"/>
          <w:b/>
          <w:sz w:val="32"/>
          <w:szCs w:val="32"/>
        </w:rPr>
      </w:pPr>
    </w:p>
    <w:p w14:paraId="15176E35">
      <w:pPr>
        <w:pStyle w:val="27"/>
        <w:rPr>
          <w:rFonts w:hint="eastAsia" w:ascii="Arial" w:hAnsi="Arial" w:eastAsia="宋体"/>
          <w:b/>
          <w:sz w:val="32"/>
          <w:szCs w:val="32"/>
        </w:rPr>
      </w:pPr>
    </w:p>
    <w:p w14:paraId="58FD3DBC">
      <w:pPr>
        <w:pStyle w:val="27"/>
        <w:rPr>
          <w:rFonts w:hint="eastAsia" w:ascii="Arial" w:hAnsi="Arial" w:eastAsia="宋体"/>
          <w:b/>
          <w:sz w:val="32"/>
          <w:szCs w:val="32"/>
        </w:rPr>
      </w:pPr>
    </w:p>
    <w:p w14:paraId="31AB5D38">
      <w:pPr>
        <w:pStyle w:val="27"/>
        <w:rPr>
          <w:rFonts w:hint="eastAsia" w:ascii="Arial" w:hAnsi="Arial" w:eastAsia="宋体"/>
          <w:b/>
          <w:sz w:val="32"/>
          <w:szCs w:val="32"/>
        </w:rPr>
      </w:pP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本项目核心产品为：4k高清互动录播主机</w:t>
      </w:r>
    </w:p>
    <w:p w14:paraId="6B35B4BE">
      <w:pPr>
        <w:rPr>
          <w:rFonts w:hint="eastAsia" w:eastAsia="宋体"/>
          <w:b/>
          <w:bCs/>
          <w:sz w:val="40"/>
          <w:szCs w:val="40"/>
          <w:lang w:eastAsia="zh-CN"/>
        </w:rPr>
      </w:pPr>
      <w:r>
        <w:rPr>
          <w:rFonts w:hint="eastAsia" w:eastAsia="宋体"/>
          <w:b/>
          <w:bCs/>
          <w:sz w:val="40"/>
          <w:szCs w:val="40"/>
          <w:lang w:eastAsia="zh-CN"/>
        </w:rPr>
        <w:t>货物需求明细：</w:t>
      </w:r>
    </w:p>
    <w:p w14:paraId="53650E51">
      <w:pPr>
        <w:rPr>
          <w:rFonts w:hint="eastAsia" w:eastAsia="宋体"/>
          <w:b/>
          <w:bCs/>
          <w:sz w:val="40"/>
          <w:szCs w:val="40"/>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tbl>
      <w:tblPr>
        <w:tblStyle w:val="20"/>
        <w:tblW w:w="12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2880"/>
        <w:gridCol w:w="6465"/>
        <w:gridCol w:w="1295"/>
        <w:gridCol w:w="1094"/>
      </w:tblGrid>
      <w:tr w14:paraId="4CAB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2827" w:type="dxa"/>
            <w:gridSpan w:val="5"/>
            <w:tcBorders>
              <w:top w:val="nil"/>
              <w:left w:val="nil"/>
              <w:bottom w:val="nil"/>
              <w:right w:val="nil"/>
            </w:tcBorders>
            <w:shd w:val="clear" w:color="auto" w:fill="auto"/>
            <w:noWrap/>
            <w:vAlign w:val="center"/>
          </w:tcPr>
          <w:p w14:paraId="69A42AC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精品课微格教室</w:t>
            </w:r>
          </w:p>
        </w:tc>
      </w:tr>
      <w:tr w14:paraId="400D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D96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E28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30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8E4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F2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14:paraId="0285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8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B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教学触控一体机</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B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一、整机要求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1.整机采用一体设计，外部无任何可见内部功能模块连接线。边角采用弧形设计，表面无尖锐边缘或凸起。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2.整机屏幕采用86英寸超高清LED液晶显示屏，显示比例16:9，分辨率3840×2160。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3.嵌入式系统版本不低于Android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4.采用红外触控技术，支持双系统中进行40点或以上触控。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5.整机内置2.2声道扬声器，额定总功率不小于60W。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12.整机支持蓝牙Bluetooth 5.4标准；Wi-Fi制式支持IEEE 802.11 a/b/g/n/ac/ax；支持版本Wi-Fi6。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13.整机上边框内置非独立摄像头，采用一体化集成设计，可拍摄≥1300万像素数的照片，可拍摄输出4K分辨率的视频。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14.整机内置非独立的高清摄像头，可用于远程巡课；支持人脸识别、清点人数、随机抽人；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二、ops模块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1.处理器：大于4核心8线程、主频2.0GHz处理器及以上。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2.内存：8G DDR4及以上配置 。</w:t>
            </w:r>
            <w:bookmarkStart w:id="68" w:name="_GoBack"/>
            <w:bookmarkEnd w:id="68"/>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 SSD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4.具有独立非外扩展的电脑USB接口：≥3路USB。≥1 路 HDMI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5.为保证设备使用稳定性及兼容性，要求班班通与OPS模块必须为同一品牌。</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7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3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536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8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抠像录播主机</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2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1.为保证系统整体编解码性能及使用稳定性，要求主机≥3颗ARM架构处理器，主控采用8核处理架构，2颗4核处理器；Linux系统，存储容量不小于1TB。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2.▲主机采用高度集成化设计，能够独立完成视频采集、音频采集、音频编码、视频编码、音频处理、视频处理表、直播、录制、互动、专业导播、远程运维参数设置功能。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3.▲内置蓝牙无线物联模块，主机无需线缆就可以实现对同品牌音箱的音量控制，可实现同品牌讲台实现对主机开关机控制。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4.支持标准USB音视频信号输出，通过主机TypeC接口可以实现图像和声音同步输出，最大支持4K图像输出，兼容主流视频会议软件。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5.▲内置音频接收模块，可完成无线音频采集，支持同时≥2个无线麦克风接入，且同时支持≥2种对频模式。麦克风链接成功后，主机上可查看连接成功图标及声音采集状态。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6.▲支持断电扩声，在主机完全断电的情况下，仍可实现输入音频扩声。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7.支持≥2个HDMI高清采集接口，≥1路HDMI输入通道具备音频同步采集能力，支持≥4路高清视频输出，且输出最大分辨率均可达到4K，需具备≥3路HDMI信号输出和≥1路UVC视频输出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8.支持≥2个线路信号立体声输入，≥2个输出。支持≥1个阵列麦克风输入。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9.支持≥4个USB类型接口，其中USB-A接口≥3个，Type-C接口≥1个。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10.支持≥1路自定义机位绑定设置，可将HDMI in绑定至任意景位。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11.支持≥32 路 1080p@30fps 编/解码。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12.支持网络监测功能，无需安装第三方软件，在触控屏幕上显示教室网络状态，包括：服务联通性、网络稳定性、上下行速度、网络追踪性、网卡信息。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13.支持通过 IOT 物联平台实现主机的远程升级，可查看不同版本的占比，可按照行政区域进行分区升级。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 OTA 远程在线升级，升级过程支持版本号校验，支持在线下载升级包自动完成升级。</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1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1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C4C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3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E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主机导播系统</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B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导入不少于3种格式的片头片尾素材；支持单个视频文件≥200MB，单个图片文件≥20MB，可保存≥8个素材；支持设定片头片尾保持时间，保持时间在1s~5s之间可选，片头片尾素材可直接在主机一体化屏幕上进行删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4.▲支持多种格式的字幕，数量≥200个字符；支持调节文字大小及透明度；支持≥5种文字颜色设置；支持滚动字幕。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设定图片台标，支持jpeg、png两种格式，支持≥20MB台标文件，台标大小比例可通过主机一体化屏幕实现设置，台标位置可以通过主机一体化屏幕设定在PGM任意位置，支持快速台标位置设定功能，支持4个快速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6.支持通过主机一体化屏幕实现云台摄像机控制，可任意转动云台方向，实现步进控制、连续控制。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7.支持通过主机一体化屏幕实现预置位设置与调用，预置位≥8个。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8.支持通过主机一体化屏幕的虚拟摇杆拖动幅度实现云台的变速控制；支持≥3种云台转动灵敏度设置。</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2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1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BAA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B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主机视频处理系统</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▲支持合成4K的PGM画面，包含导播画面、教师全景画面、教师特写画面、学生全景画面、学生特写画面。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支持多种类型视频信号接入，支持标准网络视频信号接入、高速数字信号接入。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支持通过rtsp协议接入第三方摄像机视频流。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支持不少于3种编码复杂度，支持Baseline Profile、Main profile、High profile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支持不少于两种码率控制方式，支持CBR（Constant Bit Rate）、VBR（Variable Bit Rate）。</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2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9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E34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8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2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抠像系统</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E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支持任选两路通道作为前景和背景，实现对前景画面的实时抠像并叠加到背景画面，叠加后的画面通过合成通道输出并可实时预览。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支持≥2种抠像背景颜色，可自由切换。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支持通过嵌入式录播主机实现独立抠像，通过主机自带屏幕调节抠像参数。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支持通过嵌入式录播主机自带屏幕或翻页笔切换人像显示或隐藏。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支持通过嵌入式录播主机自带屏幕调整切换效果，可选淡入淡出和无特效。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支持通过嵌入式录播主机自带屏幕调节抠像强度。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支持通过嵌入式录播主机自带屏幕控制抠像边缘羽化功能，使抠像边缘平滑、无毛刺。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支持设置抠像预置位，开启抠像功能时自动调用。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支持通过嵌入式录播主机的HDMI、UVC输出抠像后的合成画面，可以将抠像处理后的画面实时推流直播。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支持抠像拍摄和实景拍摄同步进行，并可实时进行虚拟场景画面和实景拍摄画面的切换录制。</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A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5C0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0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1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抠像机械云台摄像机</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3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1.传感器尺寸：≥CMOS 1/1.8英寸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2.▲传感器有效像素≥800万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3.▲支持不少于40倍变焦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4.扫描方式：逐行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5.支持畸变矫正功能，畸变＜1.5%，校正后可实现视觉无畸变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6.最低照度： 0.5Lux @ (F1.8, AGC ON)</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8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4F7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1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E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C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要求软件需采用B/S架构，支持通用浏览器直接访问进行管理。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支持≥4种编码等级，包含baseline、mainprofile、highprofile、svc-t。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支持AAC、G711A两种音频编码格式。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支持TCP/IP, HTTP, RTSP, RTMP, Onvif, DHCP, 组播等网络协议。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支持设置摄像机分辨率、帧率、码率。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支持设置摄像机亮度、饱和度、对比度、锐度、色度、快门速度。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要求软件具备智能识别摄像机的定位，并调用摄像机选用对应的跟踪逻辑，如教师跟踪、学生跟踪等；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支持GB28181协议，可使用GB28181协议推流。。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5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357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4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全向麦克风</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3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麦克风采用≥4核的国产音频芯片，内置Ai降噪处理器。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麦克风频率响应范围不低于50Hz~16KHz。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麦克风拾音半径≥8m。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麦克风信噪比≥68dB。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麦克风声压级≥130dBSPL，10%THD@1 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麦克风无需额外适配器供电，能够通过网线实现麦克风供电、音频信号传输、参数调整。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麦克风具备≥1个状态指示灯，可显示麦克风工作状态。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麦克风采用标准1/4吋螺口，适配各种类型标准吊杆。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麦克风支持≥2个数字音频接口，每个接口都具备输入接口和输出接口能力，支持盲插。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麦克风支持≥1个Type-C接口。</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6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5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ADD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9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top"/>
          </w:tcPr>
          <w:p w14:paraId="04286BA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top"/>
          </w:tcPr>
          <w:p w14:paraId="20FA8D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麦克风支持≥1个3.5mm音频接口，可输入头戴麦音频信号，输出幅值≥2V（RMS）。整机3.5mm音频接口≥2个。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麦克风整机≥1个USB Type-C接口。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麦克风支持≥1个Pogo pin接口，支持通过Pogo pin接口进行充电。整机Pogo pin接口≥2个。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▲麦克风支持≥1个三合一按键，可控制麦克风的开关机、静音和配对。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麦克风支持≥2个音量控制按钮，可通过音量“+”“—”按钮控制麦克风输出音量。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麦克风单体重量≤30g。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麦克风标配充电仓，方便快速充电及收纳。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麦克风充电仓支持电量指示，通过灯珠亮灭数量充电仓剩余电量及充电状态。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麦克风支持≥4种佩戴方式。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麦克风领夹角度支持自由调节，调节角度≥±90°，以适配不同的使用者衣物；调节至0°位置时会有“卡扣感”,方便回归标准位置。</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92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D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691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D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回监电视</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C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1.屏幕物理尺寸≥55吋。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4.要求在互动状态下，可查看远端教室画面</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6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A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013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3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0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LED柔光灯</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1、采用高显色指数LED作为发光原件，能够满足专业摄像要求；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2、灯体采用铝合金结构，各零部件要求模具化制作，具有高可靠性、高精度、造型美观、坚固耐用的特点；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3、色温：5600K；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4、额定功率：120W；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5、控制信号：DMX512信号；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6、调光精度：10K级；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7、调光范围：0%-100%；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8、灯珠：高亮高显</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CED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1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E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LED柔光灯遥控器</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1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16路独立推杆、单控、集控、数码显示屏显示、灯光场景编辑、储存、可根据新闻口播、访谈等节目编辑、储存、调用场景、便捷方便。</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3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8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C91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1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7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翻页笔</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1.接收器USB+Type-c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2.接收范围30-40米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3.充电线长度187mm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4.兼容系统、软件、格式： Windows/ Mac Os/安卓 word/excel/ppt/浏览器。</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8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D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B7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5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提词器</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C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提词器屏幕亮度≥250cd/m²，分辨率1920*1080。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提词器具备≥1个hdmi接口，≥1个vga接口。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提词器屏幕菜单支持≥8种语言。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提词器分光镜透光率≥97%，反射率≥20%。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支持滚动速度任意调整；字号、字体任意设置，字色、背景色任意搭配等功能。软件控制方式多样化，键盘、鼠标、遥控器、脚踏板、遥控手柄均可。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提词器整体结构为CNC数控加工成型，强度高，坚固结实。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摄像机承托架结构为铝材数控一次挤出成型，固定支架可前后滑动，能与各种摄像机和三脚架固定使用,拆装简便。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遮光罩为一次模压成型EV材质。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提词器配备加厚承重型三脚架。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依托加强型万向脚轮，移动平滑。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内置微型内置企业级微型主机，采用企业级高效内嵌微型主机，采用ATX系列主板，Intel专业CPU，4GB内存，128GB高速msata企业版硬盘。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支持≥4个usb接口，支持从U盘导入演讲文档，并支持鼠标键盘控制。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内置无线遥控器，可控制文稿的暂停与播放，控制播放速度。</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6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A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C6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1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2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电压：100-220V  功率200W 显指≥95 色温5600k 流明9500Lm 调光5-100%   旋钮调节/2.4G遥控调节 尺寸20*12*25（cm）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9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5B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7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资源管理平台</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C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可实现专递课堂、名校网络课堂、直播活动、用户管理等功能。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角色自定义：支持管理员根据不同教师的工作需求创建角色，自定义该角色的名称和可使用的功能权限；并可查看各角色的人数，方便管理。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可以根据教师个人学习需求对全校的视频课程进行筛选、点播观看、在线学习。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视频管理：录播主机录制的视频自动上传至平台，支持本校教师或管理员对视频进行名称编辑、学科学段编辑、下载、删除、发布课程等操作。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上传附件：平台支持支持用户在发布课程时上传相关资料；课程发布后，观众观看课程时下载相关资料，进行深入学习。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课程发布：课程发布时，可选择对应的学段、学科、发布模块、示范课分类等，方便用户按不同维度查找课程。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课程审核：支持学校管理员对本校教师申请发布的课程进行审核，监控公开课程资源的质量。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课程评论：支持用户对已发布视频进行视频打点并插入课堂评价，所评论内容可以关联视频对应时间点，便于回看时快速定位跳转，支持管理员对可选择性删除评论内容，管控评论秩序。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公网直播：学校管理员可设置录播设备的直播模式为公网直播，自由发起公网直播活动，方便举办公开课、校园培训等活动。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直播活动：支持用户创建直播，提前设置预约直播信息，并获取直播地址及二维码海报，方便提前发布直播信息。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创建直播时支持添加直播助教；助教进入工作台可进行直播间秩序维护，具体功能包括：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①．支持对观众聊天互动的发言记录进行单个/批量删除，保障教师间互动交流的友好秩序；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②．支持对观众进行单个/批量的禁言，禁言后观众将不能在直播互动中发表言论，避免不法人员在公众场合捣乱。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12)直播分享：用户可一键生成链接并进行分享，其他用户通过打开链接的方式，可登录观看直播视频。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禁言要求：直播开始前和直播过程中，支持用户修改观众聊天互动的权限；可设置为观众禁言，仅允许管理员进行发言，把控直播活动的纪律。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签到设置：支持在直播活动开始前，设置签到规则；可选择观众首次进入直播进行签到，或直播开始后15分钟开始签到，适应不同的直播场景。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直播数据：直播开始后，支持查看直播的人气峰值、观看人次、累计点赞、观众发言次数、签到人数等数据，随时掌握直播情况。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管理直播回放：教师可选择直播中各时段生成的回放视频，删除不必要的回放片段，或选择发布至专递示范课/名校网络课堂/名师示范课，方便其他师生观看。</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C8C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nil"/>
            </w:tcBorders>
            <w:shd w:val="clear" w:color="auto" w:fill="auto"/>
            <w:noWrap/>
            <w:vAlign w:val="center"/>
          </w:tcPr>
          <w:p w14:paraId="37063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768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1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安装辅材及装修部署</w:t>
            </w:r>
          </w:p>
        </w:tc>
        <w:tc>
          <w:tcPr>
            <w:tcW w:w="7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A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国标具体可根据教室现场环境设计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（1）色调：观摩室导播电脑桌椅、墙面、地面、窗帘等着色配合协调，整体颜色效果应适合录像，可提供不同色板供选择。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（2）吊顶、采用矿棉吸音板（表面涂层为：乙烯基乳胶漆，达到降噪；隔音；防火；防潮；反光）吊顶；包含轻钢龙骨、辅料及人工。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（3）墙壁工程：教室四周墙壁使用阻燃聚酯纤维吸音板，踢脚线及装饰腰线使用不锈钢板材，腰线以下采用木质吸音板或阻燃聚酯纤维吸音板装饰，内置木板加吸音棉，但要与上墙颜色搭配协调。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（5）讲台，讲桌处理：要加讲台，用砖砌，铺设静音地胶以减少老师走动时的杂音，边角采用不锈钢板材包边。讲桌要求选用带实物展台的侧板。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（6）窗帘：加装双层中空窗，窗帘采用厚实窗帘，具有吸音和有效隔绝自然光的作用，色调与墙体协调。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（7）灯光：LED灯，铝合金边框。讲台要增加面光灯采用嵌入H管补光灯。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（8）面积及布局：录播教室面积约80~100平方米左右，应有良好的隔音效果。除防盗门外加装软包隔音门。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（9）校园网网络接口：录播教室教学区、控制室（区）均须具有网络接口并连接校园网。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强电改造：强电采用2.5津成线缆，讲台区每盘灯单组控制，学生区，单组控制。弱电采用5类及以上网线。开关面板、插座的合理部位。采用录播设备、照明、空调独立供电，设备良好接地。电源控制设备安装在主控室内。服务器和交换机电源要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（11）布线要求：安装配电空开配电箱，每路单独控制，强弱电穿线管分离，排列整齐。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（12）教室及控制室要求预留空调插座及墙面开孔，并安装应急灯。装修要符合相关标准和规定。</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3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r>
    </w:tbl>
    <w:p w14:paraId="468799FA">
      <w:pPr>
        <w:rPr>
          <w:rFonts w:hint="eastAsia" w:eastAsia="宋体"/>
          <w:b/>
          <w:bCs/>
          <w:sz w:val="40"/>
          <w:szCs w:val="40"/>
          <w:lang w:eastAsia="zh-CN"/>
        </w:rPr>
        <w:sectPr>
          <w:pgSz w:w="16838" w:h="11906" w:orient="landscape"/>
          <w:pgMar w:top="1797" w:right="1440" w:bottom="1797" w:left="1440" w:header="851" w:footer="992" w:gutter="0"/>
          <w:pgNumType w:fmt="decimal" w:start="1"/>
          <w:cols w:space="720" w:num="1"/>
          <w:titlePg/>
          <w:docGrid w:type="linesAndChars" w:linePitch="312" w:charSpace="0"/>
        </w:sectPr>
      </w:pPr>
    </w:p>
    <w:p w14:paraId="2231EE28">
      <w:pPr>
        <w:rPr>
          <w:rFonts w:hint="eastAsia" w:eastAsia="宋体"/>
          <w:b/>
          <w:bCs/>
          <w:sz w:val="40"/>
          <w:szCs w:val="40"/>
          <w:lang w:eastAsia="zh-CN"/>
        </w:rPr>
      </w:pPr>
    </w:p>
    <w:p w14:paraId="01B11BEC">
      <w:pPr>
        <w:rPr>
          <w:rFonts w:hint="default" w:eastAsia="宋体"/>
          <w:color w:val="FF0000"/>
          <w:lang w:val="en-US" w:eastAsia="zh-CN"/>
        </w:rPr>
      </w:pPr>
    </w:p>
    <w:p w14:paraId="104D1CAC">
      <w:pPr>
        <w:pStyle w:val="25"/>
        <w:rPr>
          <w:rFonts w:hint="default"/>
          <w:lang w:val="en-US" w:eastAsia="zh-CN"/>
        </w:rPr>
        <w:sectPr>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40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0"/>
        <w:tabs>
          <w:tab w:val="left" w:pos="5580"/>
        </w:tabs>
        <w:spacing w:line="240" w:lineRule="atLeast"/>
        <w:rPr>
          <w:rFonts w:hint="eastAsia" w:ascii="仿宋_GB2312" w:hAnsi="宋体" w:eastAsia="仿宋_GB2312"/>
          <w:b/>
          <w:bCs w:val="0"/>
          <w:sz w:val="36"/>
          <w:szCs w:val="36"/>
          <w:lang w:eastAsia="zh-CN"/>
        </w:rPr>
      </w:pPr>
    </w:p>
    <w:p w14:paraId="37316201">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5"/>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6"/>
        <w:rPr>
          <w:rFonts w:hint="eastAsia" w:ascii="仿宋" w:hAnsi="仿宋" w:eastAsia="仿宋"/>
          <w:sz w:val="28"/>
          <w:szCs w:val="28"/>
        </w:rPr>
      </w:pPr>
    </w:p>
    <w:p w14:paraId="5BFBA7C0">
      <w:pPr>
        <w:pStyle w:val="16"/>
        <w:rPr>
          <w:rFonts w:hint="eastAsia" w:ascii="仿宋" w:hAnsi="仿宋" w:eastAsia="仿宋"/>
          <w:sz w:val="28"/>
          <w:szCs w:val="28"/>
        </w:rPr>
      </w:pPr>
    </w:p>
    <w:p w14:paraId="147FF568">
      <w:pPr>
        <w:pStyle w:val="16"/>
        <w:rPr>
          <w:rFonts w:hint="eastAsia" w:ascii="仿宋" w:hAnsi="仿宋" w:eastAsia="仿宋"/>
          <w:sz w:val="28"/>
          <w:szCs w:val="28"/>
        </w:rPr>
      </w:pPr>
    </w:p>
    <w:p w14:paraId="7868C84B">
      <w:pPr>
        <w:pStyle w:val="16"/>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18"/>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18"/>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18"/>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18"/>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18"/>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18"/>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18"/>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18"/>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18"/>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18"/>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18"/>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18"/>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18"/>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18"/>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18"/>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18"/>
        <w:ind w:left="0" w:leftChars="0" w:firstLine="0" w:firstLineChars="0"/>
        <w:rPr>
          <w:rFonts w:hint="default" w:eastAsia="宋体"/>
          <w:lang w:val="en-US" w:eastAsia="zh-CN"/>
        </w:rPr>
      </w:pPr>
    </w:p>
    <w:p w14:paraId="35F784CF"/>
    <w:p w14:paraId="0AAD9B51">
      <w:pPr>
        <w:pStyle w:val="18"/>
      </w:pPr>
    </w:p>
    <w:p w14:paraId="354815C4"/>
    <w:p w14:paraId="77155B85">
      <w:pPr>
        <w:pStyle w:val="18"/>
      </w:pPr>
    </w:p>
    <w:p w14:paraId="4EC901E9"/>
    <w:p w14:paraId="57D29355">
      <w:pPr>
        <w:pStyle w:val="18"/>
      </w:pPr>
    </w:p>
    <w:p w14:paraId="08D5314F"/>
    <w:p w14:paraId="19A0A26F">
      <w:pPr>
        <w:pStyle w:val="18"/>
      </w:pPr>
    </w:p>
    <w:p w14:paraId="63D2B89B"/>
    <w:p w14:paraId="5F808404">
      <w:pPr>
        <w:pStyle w:val="18"/>
      </w:pPr>
    </w:p>
    <w:p w14:paraId="3857CCDA"/>
    <w:p w14:paraId="37477291">
      <w:pPr>
        <w:pStyle w:val="18"/>
      </w:pPr>
    </w:p>
    <w:p w14:paraId="3856A6F6"/>
    <w:p w14:paraId="57FE70DC">
      <w:pPr>
        <w:pStyle w:val="18"/>
      </w:pPr>
    </w:p>
    <w:p w14:paraId="2DFD3204"/>
    <w:p w14:paraId="2F9F4DF9">
      <w:pPr>
        <w:pStyle w:val="18"/>
      </w:pPr>
    </w:p>
    <w:p w14:paraId="5DA7F2E2"/>
    <w:p w14:paraId="3E60B458">
      <w:pPr>
        <w:pStyle w:val="18"/>
      </w:pPr>
    </w:p>
    <w:p w14:paraId="7F6C199C"/>
    <w:p w14:paraId="3A6B9FFB">
      <w:pPr>
        <w:pStyle w:val="18"/>
      </w:pPr>
    </w:p>
    <w:p w14:paraId="6F602532"/>
    <w:p w14:paraId="0B140AE2">
      <w:pPr>
        <w:pStyle w:val="18"/>
        <w:ind w:left="0" w:leftChars="0" w:firstLine="0" w:firstLineChars="0"/>
      </w:pPr>
    </w:p>
    <w:p w14:paraId="4B566D5C"/>
    <w:p w14:paraId="39BC2025">
      <w:pPr>
        <w:pStyle w:val="18"/>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KSS(GK)2025-024</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2025年喀什市教学发展中心智慧教室与精品课微格教室建设项目</w:t>
      </w:r>
      <w:r>
        <w:rPr>
          <w:rFonts w:hint="eastAsia" w:ascii="Arial" w:hAnsi="Arial" w:eastAsia="宋体" w:cs="Arial"/>
        </w:rPr>
        <w:t>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18"/>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18"/>
        <w:rPr>
          <w:rFonts w:hint="eastAsia"/>
          <w:lang w:val="en-US" w:eastAsia="zh-CN"/>
        </w:rPr>
      </w:pPr>
    </w:p>
    <w:p w14:paraId="37DBA2FC">
      <w:pPr>
        <w:rPr>
          <w:rFonts w:hint="eastAsia"/>
          <w:lang w:val="en-US" w:eastAsia="zh-CN"/>
        </w:rPr>
      </w:pPr>
    </w:p>
    <w:p w14:paraId="121AE704">
      <w:pPr>
        <w:pStyle w:val="18"/>
        <w:rPr>
          <w:rFonts w:hint="eastAsia"/>
          <w:lang w:val="en-US" w:eastAsia="zh-CN"/>
        </w:rPr>
      </w:pPr>
    </w:p>
    <w:p w14:paraId="3B6C22CC">
      <w:pPr>
        <w:rPr>
          <w:rFonts w:hint="eastAsia"/>
          <w:lang w:val="en-US" w:eastAsia="zh-CN"/>
        </w:rPr>
      </w:pPr>
    </w:p>
    <w:p w14:paraId="149D1592">
      <w:pPr>
        <w:pStyle w:val="18"/>
        <w:rPr>
          <w:rFonts w:hint="eastAsia"/>
          <w:lang w:val="en-US" w:eastAsia="zh-CN"/>
        </w:rPr>
      </w:pPr>
    </w:p>
    <w:p w14:paraId="61B5BB5D">
      <w:pPr>
        <w:rPr>
          <w:rFonts w:hint="eastAsia"/>
          <w:lang w:val="en-US" w:eastAsia="zh-CN"/>
        </w:rPr>
      </w:pPr>
    </w:p>
    <w:p w14:paraId="6E405ACC">
      <w:pPr>
        <w:pStyle w:val="18"/>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18"/>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6"/>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5"/>
        <w:rPr>
          <w:rFonts w:ascii="宋体" w:hAnsi="宋体"/>
          <w:b/>
          <w:sz w:val="36"/>
          <w:szCs w:val="36"/>
        </w:rPr>
      </w:pPr>
    </w:p>
    <w:p w14:paraId="52ECD120">
      <w:pPr>
        <w:pStyle w:val="15"/>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5"/>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46AC4DB7">
      <w:pPr>
        <w:pStyle w:val="8"/>
        <w:adjustRightInd w:val="0"/>
        <w:snapToGrid w:val="0"/>
        <w:spacing w:line="480" w:lineRule="exact"/>
        <w:jc w:val="center"/>
        <w:rPr>
          <w:rFonts w:ascii="黑体" w:hAnsi="黑体" w:eastAsia="黑体" w:cs="黑体"/>
          <w:b/>
          <w:bCs/>
          <w:snapToGrid w:val="0"/>
          <w:color w:val="auto"/>
          <w:sz w:val="44"/>
          <w:szCs w:val="44"/>
        </w:rPr>
        <w:sectPr>
          <w:footerReference r:id="rId5"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5"/>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2D1B0D64">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73517673"/>
      <w:bookmarkStart w:id="34" w:name="_Toc73521669"/>
      <w:bookmarkStart w:id="35" w:name="_Toc73518151"/>
      <w:bookmarkStart w:id="36" w:name="_Toc73521581"/>
      <w:bookmarkStart w:id="37" w:name="_Toc100052400"/>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73521586"/>
      <w:bookmarkStart w:id="46" w:name="_Toc100052408"/>
      <w:bookmarkStart w:id="47" w:name="_Toc73518157"/>
      <w:bookmarkStart w:id="48" w:name="_Toc73521674"/>
      <w:bookmarkStart w:id="49" w:name="_Toc73517679"/>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73521587"/>
      <w:bookmarkStart w:id="52" w:name="_Toc100052409"/>
      <w:bookmarkStart w:id="53" w:name="_Toc73518158"/>
      <w:bookmarkStart w:id="54" w:name="_Toc73517680"/>
      <w:bookmarkStart w:id="55" w:name="_Toc73521675"/>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21677"/>
      <w:bookmarkStart w:id="57" w:name="_Toc73518160"/>
      <w:bookmarkStart w:id="58" w:name="_Toc73521589"/>
      <w:bookmarkStart w:id="59" w:name="_Toc73517682"/>
      <w:bookmarkStart w:id="60" w:name="_Toc100052410"/>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18161"/>
      <w:bookmarkStart w:id="62" w:name="_Toc73521590"/>
      <w:bookmarkStart w:id="63" w:name="_Toc73517683"/>
      <w:bookmarkStart w:id="64" w:name="_Toc73521678"/>
      <w:bookmarkStart w:id="65" w:name="_Toc100052411"/>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lang w:eastAsia="zh-CN"/>
        </w:rPr>
        <w:t>详见采购文件</w:t>
      </w:r>
      <w:r>
        <w:rPr>
          <w:rFonts w:hint="eastAsia" w:ascii="宋体" w:hAnsi="宋体" w:eastAsia="宋体"/>
          <w:b/>
          <w:bCs/>
          <w:szCs w:val="21"/>
        </w:rPr>
        <w:t>。</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5C644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F36E6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E52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2"/>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2"/>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AEC107">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995B0E"/>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545C6B"/>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C6570B"/>
    <w:rsid w:val="1C413FB1"/>
    <w:rsid w:val="1CF5533A"/>
    <w:rsid w:val="1D503C8B"/>
    <w:rsid w:val="1EA26DA7"/>
    <w:rsid w:val="1F126F1D"/>
    <w:rsid w:val="1F8D54FC"/>
    <w:rsid w:val="1FD51FFC"/>
    <w:rsid w:val="1FD7365B"/>
    <w:rsid w:val="20513484"/>
    <w:rsid w:val="20596F74"/>
    <w:rsid w:val="21C4062D"/>
    <w:rsid w:val="21E611DE"/>
    <w:rsid w:val="224220C0"/>
    <w:rsid w:val="22E605A9"/>
    <w:rsid w:val="24F700FC"/>
    <w:rsid w:val="256646C4"/>
    <w:rsid w:val="258E40CB"/>
    <w:rsid w:val="25AF0B4D"/>
    <w:rsid w:val="267A507C"/>
    <w:rsid w:val="278A541F"/>
    <w:rsid w:val="27CA1A42"/>
    <w:rsid w:val="288F1671"/>
    <w:rsid w:val="296C066D"/>
    <w:rsid w:val="2A4F66B0"/>
    <w:rsid w:val="2A5155A0"/>
    <w:rsid w:val="2A546D3D"/>
    <w:rsid w:val="2AF754D0"/>
    <w:rsid w:val="2B5429A6"/>
    <w:rsid w:val="2B5C1E1D"/>
    <w:rsid w:val="2B803D16"/>
    <w:rsid w:val="2BA0389E"/>
    <w:rsid w:val="2C366F69"/>
    <w:rsid w:val="2C816A44"/>
    <w:rsid w:val="2C843DBF"/>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631054"/>
    <w:rsid w:val="38DA1714"/>
    <w:rsid w:val="3B01799A"/>
    <w:rsid w:val="3B747AD5"/>
    <w:rsid w:val="3BE400B9"/>
    <w:rsid w:val="3C795F8F"/>
    <w:rsid w:val="3CB971DE"/>
    <w:rsid w:val="3D224849"/>
    <w:rsid w:val="3D863DAC"/>
    <w:rsid w:val="3D9E261B"/>
    <w:rsid w:val="3DCE79EC"/>
    <w:rsid w:val="3E457CCA"/>
    <w:rsid w:val="3E9A489A"/>
    <w:rsid w:val="3EF93097"/>
    <w:rsid w:val="3FBA7223"/>
    <w:rsid w:val="403C7B9C"/>
    <w:rsid w:val="40831298"/>
    <w:rsid w:val="408338CA"/>
    <w:rsid w:val="40A317DF"/>
    <w:rsid w:val="41C7263B"/>
    <w:rsid w:val="429750D7"/>
    <w:rsid w:val="42F25C9A"/>
    <w:rsid w:val="43951802"/>
    <w:rsid w:val="43FF0431"/>
    <w:rsid w:val="441F4958"/>
    <w:rsid w:val="4422077D"/>
    <w:rsid w:val="459310B3"/>
    <w:rsid w:val="48041F58"/>
    <w:rsid w:val="49A322FA"/>
    <w:rsid w:val="4A29520E"/>
    <w:rsid w:val="4A7706DB"/>
    <w:rsid w:val="4B2D0A8B"/>
    <w:rsid w:val="4B8E7058"/>
    <w:rsid w:val="4BA466FD"/>
    <w:rsid w:val="4BEC2AF5"/>
    <w:rsid w:val="4D2C2FDF"/>
    <w:rsid w:val="4D6B7D2D"/>
    <w:rsid w:val="4DF43159"/>
    <w:rsid w:val="4EB42E91"/>
    <w:rsid w:val="4ED24C7F"/>
    <w:rsid w:val="4F0E6CD6"/>
    <w:rsid w:val="4F19287C"/>
    <w:rsid w:val="4F501050"/>
    <w:rsid w:val="5043767F"/>
    <w:rsid w:val="50666AAF"/>
    <w:rsid w:val="50EB470D"/>
    <w:rsid w:val="51680854"/>
    <w:rsid w:val="51B44C64"/>
    <w:rsid w:val="51F0678B"/>
    <w:rsid w:val="52222C20"/>
    <w:rsid w:val="524A7C1A"/>
    <w:rsid w:val="526410AB"/>
    <w:rsid w:val="52EA38FE"/>
    <w:rsid w:val="5308244B"/>
    <w:rsid w:val="53367546"/>
    <w:rsid w:val="53CC3A39"/>
    <w:rsid w:val="546B5413"/>
    <w:rsid w:val="55A933BA"/>
    <w:rsid w:val="565B127B"/>
    <w:rsid w:val="56606BE9"/>
    <w:rsid w:val="56A70E94"/>
    <w:rsid w:val="56AC329E"/>
    <w:rsid w:val="56EB5A6D"/>
    <w:rsid w:val="571C485F"/>
    <w:rsid w:val="57B8283C"/>
    <w:rsid w:val="589C4418"/>
    <w:rsid w:val="599E5466"/>
    <w:rsid w:val="59C818E0"/>
    <w:rsid w:val="59D2767F"/>
    <w:rsid w:val="5B005FB6"/>
    <w:rsid w:val="5B466A7D"/>
    <w:rsid w:val="5B4E180B"/>
    <w:rsid w:val="5B533795"/>
    <w:rsid w:val="5BA1033B"/>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2003A97"/>
    <w:rsid w:val="62210B08"/>
    <w:rsid w:val="634940F0"/>
    <w:rsid w:val="63BE0BF0"/>
    <w:rsid w:val="643D1580"/>
    <w:rsid w:val="643E619F"/>
    <w:rsid w:val="64763454"/>
    <w:rsid w:val="64CD0C92"/>
    <w:rsid w:val="65173D2C"/>
    <w:rsid w:val="652B4692"/>
    <w:rsid w:val="653B3E1C"/>
    <w:rsid w:val="6594282D"/>
    <w:rsid w:val="659922CD"/>
    <w:rsid w:val="6615747B"/>
    <w:rsid w:val="66A46A20"/>
    <w:rsid w:val="66EA4DB3"/>
    <w:rsid w:val="67283F04"/>
    <w:rsid w:val="673F14F0"/>
    <w:rsid w:val="677A03A2"/>
    <w:rsid w:val="677F7E04"/>
    <w:rsid w:val="68653FE4"/>
    <w:rsid w:val="68A76B92"/>
    <w:rsid w:val="68DC1286"/>
    <w:rsid w:val="69A725C4"/>
    <w:rsid w:val="6A032432"/>
    <w:rsid w:val="6A0C7756"/>
    <w:rsid w:val="6A970DBE"/>
    <w:rsid w:val="6AA16C7F"/>
    <w:rsid w:val="6AC231BE"/>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D35B29"/>
    <w:rsid w:val="7A551BD0"/>
    <w:rsid w:val="7AC54225"/>
    <w:rsid w:val="7CBF6D37"/>
    <w:rsid w:val="7DAC456F"/>
    <w:rsid w:val="7DD131BD"/>
    <w:rsid w:val="7E24403B"/>
    <w:rsid w:val="7E511B88"/>
    <w:rsid w:val="7FFD1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next w:val="1"/>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67</Pages>
  <Words>3544</Words>
  <Characters>3651</Characters>
  <Lines>1</Lines>
  <Paragraphs>1</Paragraphs>
  <TotalTime>2</TotalTime>
  <ScaleCrop>false</ScaleCrop>
  <LinksUpToDate>false</LinksUpToDate>
  <CharactersWithSpaces>3689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2025-07-07T11:16:10Z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935660C978D94C32BF724DB1FCB36441_12</vt:lpwstr>
  </property>
  <property fmtid="{D5CDD505-2E9C-101B-9397-08002B2CF9AE}" pid="4" name="KSOTemplateDocerSaveRecord">
    <vt:lpwstr>eyJoZGlkIjoiYWQzZDJkMTcwMGI3ODk5Y2RkZTJmNjEzOTc4ZDYzNmQiLCJ1c2VySWQiOiIxNzEyMTM0Njk0In0=</vt:lpwstr>
  </property>
</Properties>
</file>