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
          <w:tab w:val="left" w:pos="5481"/>
          <w:tab w:val="left" w:pos="5859"/>
        </w:tabs>
        <w:jc w:val="center"/>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 xml:space="preserve">新疆生产建设兵团     </w:t>
      </w:r>
    </w:p>
    <w:p>
      <w:pPr>
        <w:tabs>
          <w:tab w:val="left" w:pos="1134"/>
          <w:tab w:val="left" w:pos="5481"/>
          <w:tab w:val="left" w:pos="5859"/>
        </w:tabs>
        <w:jc w:val="center"/>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政府采购</w:t>
      </w:r>
    </w:p>
    <w:p>
      <w:pPr>
        <w:tabs>
          <w:tab w:val="left" w:pos="1134"/>
          <w:tab w:val="left" w:pos="5481"/>
          <w:tab w:val="left" w:pos="5859"/>
        </w:tabs>
        <w:jc w:val="center"/>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招标文件</w:t>
      </w:r>
    </w:p>
    <w:p>
      <w:pPr>
        <w:tabs>
          <w:tab w:val="left" w:pos="1134"/>
          <w:tab w:val="left" w:pos="5481"/>
          <w:tab w:val="left" w:pos="5859"/>
        </w:tabs>
        <w:jc w:val="center"/>
        <w:rPr>
          <w:rFonts w:hint="eastAsia" w:ascii="仿宋" w:hAnsi="仿宋" w:eastAsia="仿宋" w:cs="仿宋"/>
          <w:b/>
          <w:color w:val="auto"/>
          <w:sz w:val="36"/>
          <w:szCs w:val="36"/>
          <w:highlight w:val="none"/>
        </w:rPr>
      </w:pPr>
    </w:p>
    <w:p>
      <w:pPr>
        <w:tabs>
          <w:tab w:val="left" w:pos="1134"/>
          <w:tab w:val="left" w:pos="5160"/>
        </w:tabs>
        <w:jc w:val="center"/>
        <w:rPr>
          <w:rFonts w:hint="eastAsia" w:ascii="仿宋" w:hAnsi="仿宋" w:eastAsia="仿宋" w:cs="仿宋"/>
          <w:b/>
          <w:color w:val="auto"/>
          <w:sz w:val="72"/>
          <w:szCs w:val="72"/>
          <w:highlight w:val="none"/>
        </w:rPr>
      </w:pPr>
    </w:p>
    <w:p>
      <w:pPr>
        <w:tabs>
          <w:tab w:val="left" w:pos="1134"/>
          <w:tab w:val="left" w:pos="5160"/>
        </w:tabs>
        <w:jc w:val="center"/>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w:t>
      </w:r>
      <w:r>
        <w:rPr>
          <w:rFonts w:hint="eastAsia" w:ascii="仿宋" w:hAnsi="仿宋" w:eastAsia="仿宋" w:cs="仿宋"/>
          <w:b/>
          <w:color w:val="auto"/>
          <w:sz w:val="72"/>
          <w:szCs w:val="72"/>
          <w:highlight w:val="none"/>
          <w:lang w:val="en-US" w:eastAsia="zh-CN"/>
        </w:rPr>
        <w:t>货物</w:t>
      </w:r>
      <w:r>
        <w:rPr>
          <w:rFonts w:hint="eastAsia" w:ascii="仿宋" w:hAnsi="仿宋" w:eastAsia="仿宋" w:cs="仿宋"/>
          <w:b/>
          <w:color w:val="auto"/>
          <w:sz w:val="72"/>
          <w:szCs w:val="72"/>
          <w:highlight w:val="none"/>
        </w:rPr>
        <w:t>类）</w:t>
      </w:r>
    </w:p>
    <w:p>
      <w:pPr>
        <w:tabs>
          <w:tab w:val="left" w:pos="1134"/>
          <w:tab w:val="left" w:pos="5481"/>
          <w:tab w:val="left" w:pos="5859"/>
        </w:tabs>
        <w:jc w:val="center"/>
        <w:rPr>
          <w:rFonts w:hint="eastAsia" w:ascii="仿宋" w:hAnsi="仿宋" w:eastAsia="仿宋" w:cs="仿宋"/>
          <w:b/>
          <w:color w:val="auto"/>
          <w:sz w:val="32"/>
          <w:highlight w:val="none"/>
        </w:rPr>
      </w:pPr>
    </w:p>
    <w:p>
      <w:pPr>
        <w:tabs>
          <w:tab w:val="left" w:pos="1134"/>
          <w:tab w:val="left" w:pos="5481"/>
          <w:tab w:val="left" w:pos="5859"/>
        </w:tabs>
        <w:jc w:val="center"/>
        <w:rPr>
          <w:rFonts w:hint="eastAsia" w:ascii="仿宋" w:hAnsi="仿宋" w:eastAsia="仿宋" w:cs="仿宋"/>
          <w:b/>
          <w:color w:val="auto"/>
          <w:sz w:val="32"/>
          <w:highlight w:val="none"/>
        </w:rPr>
      </w:pPr>
    </w:p>
    <w:p>
      <w:pPr>
        <w:pStyle w:val="7"/>
        <w:spacing w:line="240" w:lineRule="auto"/>
        <w:ind w:left="0" w:leftChars="0" w:firstLine="0" w:firstLineChars="0"/>
        <w:rPr>
          <w:rFonts w:hint="eastAsia" w:ascii="仿宋" w:hAnsi="仿宋" w:eastAsia="仿宋" w:cs="仿宋"/>
          <w:b/>
          <w:color w:val="auto"/>
          <w:sz w:val="32"/>
          <w:highlight w:val="none"/>
        </w:rPr>
      </w:pPr>
    </w:p>
    <w:p>
      <w:pPr>
        <w:pStyle w:val="7"/>
        <w:spacing w:line="240" w:lineRule="auto"/>
        <w:ind w:left="0" w:leftChars="0" w:firstLine="0" w:firstLineChars="0"/>
        <w:rPr>
          <w:rFonts w:hint="eastAsia" w:ascii="仿宋" w:hAnsi="仿宋" w:eastAsia="仿宋" w:cs="仿宋"/>
          <w:b/>
          <w:color w:val="auto"/>
          <w:sz w:val="32"/>
          <w:highlight w:val="none"/>
        </w:rPr>
      </w:pPr>
    </w:p>
    <w:p>
      <w:pPr>
        <w:pStyle w:val="7"/>
        <w:spacing w:line="240" w:lineRule="auto"/>
        <w:ind w:left="0" w:leftChars="0" w:firstLine="904" w:firstLineChars="300"/>
        <w:jc w:val="both"/>
        <w:rPr>
          <w:rFonts w:hint="eastAsia" w:ascii="仿宋" w:hAnsi="仿宋" w:eastAsia="仿宋" w:cs="仿宋"/>
          <w:b/>
          <w:color w:val="auto"/>
          <w:sz w:val="30"/>
          <w:szCs w:val="30"/>
          <w:highlight w:val="none"/>
        </w:rPr>
      </w:pPr>
    </w:p>
    <w:p>
      <w:pPr>
        <w:pStyle w:val="7"/>
        <w:spacing w:line="240" w:lineRule="auto"/>
        <w:ind w:left="0" w:leftChars="0" w:firstLine="904" w:firstLineChars="300"/>
        <w:jc w:val="center"/>
        <w:rPr>
          <w:rFonts w:hint="eastAsia" w:ascii="仿宋" w:hAnsi="仿宋" w:eastAsia="仿宋" w:cs="仿宋"/>
          <w:b/>
          <w:color w:val="auto"/>
          <w:sz w:val="30"/>
          <w:szCs w:val="30"/>
          <w:highlight w:val="none"/>
          <w:lang w:val="en-US" w:eastAsia="zh-CN"/>
        </w:rPr>
      </w:pPr>
      <w:r>
        <w:rPr>
          <w:rFonts w:hint="eastAsia" w:ascii="仿宋" w:hAnsi="仿宋" w:eastAsia="仿宋" w:cs="仿宋"/>
          <w:b/>
          <w:color w:val="auto"/>
          <w:sz w:val="30"/>
          <w:szCs w:val="30"/>
          <w:highlight w:val="none"/>
        </w:rPr>
        <w:t>项目名称：</w:t>
      </w:r>
      <w:r>
        <w:rPr>
          <w:rFonts w:hint="eastAsia" w:ascii="仿宋" w:hAnsi="仿宋" w:eastAsia="仿宋" w:cs="仿宋"/>
          <w:b/>
          <w:color w:val="auto"/>
          <w:sz w:val="30"/>
          <w:szCs w:val="30"/>
          <w:highlight w:val="none"/>
          <w:lang w:eastAsia="zh-CN"/>
        </w:rPr>
        <w:t>第三师总医院（一期）医疗设施设备购置项目（第二包）（标项</w:t>
      </w:r>
      <w:r>
        <w:rPr>
          <w:rFonts w:hint="eastAsia" w:ascii="仿宋" w:hAnsi="仿宋" w:eastAsia="仿宋" w:cs="仿宋"/>
          <w:b/>
          <w:color w:val="auto"/>
          <w:sz w:val="30"/>
          <w:szCs w:val="30"/>
          <w:highlight w:val="none"/>
          <w:lang w:val="en-US" w:eastAsia="zh-CN"/>
        </w:rPr>
        <w:t>3</w:t>
      </w:r>
      <w:r>
        <w:rPr>
          <w:rFonts w:hint="eastAsia" w:ascii="仿宋" w:hAnsi="仿宋" w:eastAsia="仿宋" w:cs="仿宋"/>
          <w:b/>
          <w:color w:val="auto"/>
          <w:sz w:val="30"/>
          <w:szCs w:val="30"/>
          <w:highlight w:val="none"/>
          <w:lang w:eastAsia="zh-CN"/>
        </w:rPr>
        <w:t>）</w:t>
      </w:r>
    </w:p>
    <w:p>
      <w:pPr>
        <w:pStyle w:val="7"/>
        <w:spacing w:line="240" w:lineRule="auto"/>
        <w:ind w:left="0" w:leftChars="0" w:firstLine="904" w:firstLineChars="300"/>
        <w:jc w:val="both"/>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项目</w:t>
      </w:r>
      <w:r>
        <w:rPr>
          <w:rFonts w:hint="eastAsia" w:ascii="仿宋" w:hAnsi="仿宋" w:eastAsia="仿宋" w:cs="仿宋"/>
          <w:b/>
          <w:color w:val="auto"/>
          <w:sz w:val="30"/>
          <w:szCs w:val="30"/>
          <w:highlight w:val="none"/>
        </w:rPr>
        <w:t>编号：</w:t>
      </w:r>
      <w:r>
        <w:rPr>
          <w:rFonts w:hint="eastAsia" w:ascii="仿宋" w:hAnsi="仿宋" w:eastAsia="仿宋" w:cs="仿宋"/>
          <w:b/>
          <w:color w:val="auto"/>
          <w:sz w:val="30"/>
          <w:szCs w:val="30"/>
          <w:highlight w:val="none"/>
          <w:lang w:val="en-US" w:eastAsia="zh-CN"/>
        </w:rPr>
        <w:t>B3S[2022]1093号</w:t>
      </w:r>
    </w:p>
    <w:p>
      <w:pPr>
        <w:pStyle w:val="7"/>
        <w:spacing w:line="240" w:lineRule="auto"/>
        <w:ind w:left="0" w:leftChars="0" w:firstLine="904" w:firstLineChars="300"/>
        <w:jc w:val="both"/>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采购代理机构：</w:t>
      </w:r>
      <w:bookmarkStart w:id="0" w:name="EBcb0878e322384cd0a66fff8323730c6e"/>
      <w:r>
        <w:rPr>
          <w:rFonts w:hint="eastAsia" w:ascii="仿宋" w:hAnsi="仿宋" w:eastAsia="仿宋" w:cs="仿宋"/>
          <w:b/>
          <w:color w:val="auto"/>
          <w:sz w:val="30"/>
          <w:szCs w:val="30"/>
          <w:highlight w:val="none"/>
        </w:rPr>
        <w:t>新疆锦辰工程项目管理有限公司</w:t>
      </w:r>
      <w:bookmarkEnd w:id="0"/>
    </w:p>
    <w:p>
      <w:pPr>
        <w:pStyle w:val="7"/>
        <w:spacing w:line="240" w:lineRule="auto"/>
        <w:ind w:left="0" w:leftChars="0" w:firstLine="904" w:firstLineChars="300"/>
        <w:jc w:val="both"/>
        <w:rPr>
          <w:rFonts w:hint="default" w:ascii="仿宋" w:hAnsi="仿宋" w:eastAsia="仿宋" w:cs="仿宋"/>
          <w:b/>
          <w:color w:val="auto"/>
          <w:sz w:val="30"/>
          <w:szCs w:val="30"/>
          <w:highlight w:val="none"/>
          <w:lang w:val="en-US" w:eastAsia="zh-CN"/>
        </w:rPr>
      </w:pPr>
      <w:r>
        <w:rPr>
          <w:rFonts w:hint="eastAsia" w:ascii="仿宋" w:hAnsi="仿宋" w:eastAsia="仿宋" w:cs="仿宋"/>
          <w:b/>
          <w:color w:val="auto"/>
          <w:sz w:val="30"/>
          <w:szCs w:val="30"/>
          <w:highlight w:val="none"/>
        </w:rPr>
        <w:t>日期：</w:t>
      </w:r>
      <w:bookmarkStart w:id="1" w:name="EBf5b10e9eaaa44041a117d717902a64e6"/>
      <w:bookmarkEnd w:id="1"/>
      <w:r>
        <w:rPr>
          <w:rFonts w:hint="eastAsia" w:ascii="仿宋" w:hAnsi="仿宋" w:eastAsia="仿宋" w:cs="仿宋"/>
          <w:b/>
          <w:color w:val="auto"/>
          <w:sz w:val="30"/>
          <w:szCs w:val="30"/>
          <w:highlight w:val="none"/>
        </w:rPr>
        <w:t>202</w:t>
      </w:r>
      <w:r>
        <w:rPr>
          <w:rFonts w:hint="eastAsia" w:ascii="仿宋" w:hAnsi="仿宋" w:eastAsia="仿宋" w:cs="仿宋"/>
          <w:b/>
          <w:color w:val="auto"/>
          <w:sz w:val="30"/>
          <w:szCs w:val="30"/>
          <w:highlight w:val="none"/>
          <w:lang w:val="en-US" w:eastAsia="zh-CN"/>
        </w:rPr>
        <w:t>2</w:t>
      </w:r>
      <w:r>
        <w:rPr>
          <w:rFonts w:hint="eastAsia" w:ascii="仿宋" w:hAnsi="仿宋" w:eastAsia="仿宋" w:cs="仿宋"/>
          <w:b/>
          <w:color w:val="auto"/>
          <w:sz w:val="30"/>
          <w:szCs w:val="30"/>
          <w:highlight w:val="none"/>
        </w:rPr>
        <w:t>年</w:t>
      </w:r>
      <w:r>
        <w:rPr>
          <w:rFonts w:hint="eastAsia" w:ascii="仿宋" w:hAnsi="仿宋" w:eastAsia="仿宋" w:cs="仿宋"/>
          <w:b/>
          <w:color w:val="auto"/>
          <w:sz w:val="30"/>
          <w:szCs w:val="30"/>
          <w:highlight w:val="none"/>
          <w:lang w:val="en-US" w:eastAsia="zh-CN"/>
        </w:rPr>
        <w:t>12</w:t>
      </w:r>
      <w:r>
        <w:rPr>
          <w:rFonts w:hint="eastAsia" w:ascii="仿宋" w:hAnsi="仿宋" w:eastAsia="仿宋" w:cs="仿宋"/>
          <w:b/>
          <w:color w:val="auto"/>
          <w:sz w:val="30"/>
          <w:szCs w:val="30"/>
          <w:highlight w:val="none"/>
        </w:rPr>
        <w:t>月</w:t>
      </w:r>
      <w:r>
        <w:rPr>
          <w:rFonts w:hint="eastAsia" w:ascii="仿宋" w:hAnsi="仿宋" w:eastAsia="仿宋" w:cs="仿宋"/>
          <w:b/>
          <w:color w:val="auto"/>
          <w:sz w:val="30"/>
          <w:szCs w:val="30"/>
          <w:highlight w:val="none"/>
          <w:lang w:val="en-US" w:eastAsia="zh-CN"/>
        </w:rPr>
        <w:t>2日</w:t>
      </w: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sectPr>
          <w:footerReference r:id="rId5" w:type="first"/>
          <w:footerReference r:id="rId4" w:type="default"/>
          <w:headerReference r:id="rId3" w:type="even"/>
          <w:pgSz w:w="11906" w:h="16838"/>
          <w:pgMar w:top="1440" w:right="1797" w:bottom="1440" w:left="1797" w:header="851" w:footer="992" w:gutter="0"/>
          <w:pgBorders>
            <w:top w:val="none" w:sz="0" w:space="0"/>
            <w:left w:val="none" w:sz="0" w:space="0"/>
            <w:bottom w:val="none" w:sz="0" w:space="0"/>
            <w:right w:val="none" w:sz="0" w:space="0"/>
          </w:pgBorders>
          <w:pgNumType w:fmt="decimal" w:start="0"/>
          <w:cols w:space="720" w:num="1"/>
          <w:docGrid w:type="lines" w:linePitch="312" w:charSpace="0"/>
        </w:sectPr>
      </w:pPr>
    </w:p>
    <w:p>
      <w:pPr>
        <w:spacing w:line="360" w:lineRule="auto"/>
        <w:jc w:val="center"/>
        <w:rPr>
          <w:rFonts w:hint="eastAsia" w:ascii="仿宋" w:hAnsi="仿宋" w:eastAsia="仿宋" w:cs="仿宋"/>
          <w:b/>
          <w:color w:val="auto"/>
          <w:sz w:val="28"/>
          <w:highlight w:val="none"/>
        </w:rPr>
      </w:pPr>
      <w:r>
        <w:rPr>
          <w:rFonts w:hint="eastAsia" w:ascii="仿宋" w:hAnsi="仿宋" w:eastAsia="仿宋" w:cs="仿宋"/>
          <w:b/>
          <w:color w:val="auto"/>
          <w:sz w:val="28"/>
          <w:highlight w:val="none"/>
        </w:rPr>
        <w:t xml:space="preserve">目 </w:t>
      </w:r>
      <w:r>
        <w:rPr>
          <w:rFonts w:hint="eastAsia" w:ascii="仿宋" w:hAnsi="仿宋" w:eastAsia="仿宋" w:cs="仿宋"/>
          <w:b/>
          <w:color w:val="auto"/>
          <w:sz w:val="28"/>
          <w:highlight w:val="none"/>
          <w:lang w:val="en-US" w:eastAsia="zh-CN"/>
        </w:rPr>
        <w:t xml:space="preserve">    </w:t>
      </w:r>
      <w:r>
        <w:rPr>
          <w:rFonts w:hint="eastAsia" w:ascii="仿宋" w:hAnsi="仿宋" w:eastAsia="仿宋" w:cs="仿宋"/>
          <w:b/>
          <w:color w:val="auto"/>
          <w:sz w:val="28"/>
          <w:highlight w:val="none"/>
        </w:rPr>
        <w:t>录</w:t>
      </w:r>
    </w:p>
    <w:p>
      <w:pPr>
        <w:pStyle w:val="13"/>
        <w:tabs>
          <w:tab w:val="right" w:leader="dot" w:pos="8312"/>
        </w:tabs>
        <w:spacing w:line="480" w:lineRule="auto"/>
        <w:rPr>
          <w:b/>
          <w:bCs/>
          <w:sz w:val="22"/>
          <w:szCs w:val="24"/>
        </w:rPr>
      </w:pPr>
      <w:r>
        <w:rPr>
          <w:rFonts w:hint="eastAsia" w:ascii="黑体" w:hAnsi="黑体" w:eastAsia="黑体" w:cs="黑体"/>
          <w:b/>
          <w:bCs/>
          <w:color w:val="auto"/>
          <w:sz w:val="28"/>
          <w:szCs w:val="28"/>
          <w:highlight w:val="none"/>
        </w:rPr>
        <w:fldChar w:fldCharType="begin"/>
      </w:r>
      <w:r>
        <w:rPr>
          <w:rFonts w:hint="eastAsia" w:ascii="黑体" w:hAnsi="黑体" w:eastAsia="黑体" w:cs="黑体"/>
          <w:b/>
          <w:bCs/>
          <w:color w:val="auto"/>
          <w:sz w:val="28"/>
          <w:szCs w:val="28"/>
          <w:highlight w:val="none"/>
        </w:rPr>
        <w:instrText xml:space="preserve"> TOC \o "1-3" \h \z \u </w:instrText>
      </w:r>
      <w:r>
        <w:rPr>
          <w:rFonts w:hint="eastAsia" w:ascii="黑体" w:hAnsi="黑体" w:eastAsia="黑体" w:cs="黑体"/>
          <w:b/>
          <w:bCs/>
          <w:color w:val="auto"/>
          <w:sz w:val="28"/>
          <w:szCs w:val="28"/>
          <w:highlight w:val="none"/>
        </w:rPr>
        <w:fldChar w:fldCharType="separate"/>
      </w:r>
      <w:r>
        <w:rPr>
          <w:rFonts w:hint="eastAsia" w:ascii="黑体" w:hAnsi="黑体" w:eastAsia="黑体" w:cs="黑体"/>
          <w:b/>
          <w:bCs/>
          <w:color w:val="auto"/>
          <w:sz w:val="22"/>
          <w:szCs w:val="28"/>
          <w:highlight w:val="none"/>
        </w:rPr>
        <w:fldChar w:fldCharType="begin"/>
      </w:r>
      <w:r>
        <w:rPr>
          <w:rFonts w:hint="eastAsia" w:ascii="黑体" w:hAnsi="黑体" w:eastAsia="黑体" w:cs="黑体"/>
          <w:b/>
          <w:bCs/>
          <w:sz w:val="22"/>
          <w:szCs w:val="28"/>
          <w:highlight w:val="none"/>
        </w:rPr>
        <w:instrText xml:space="preserve"> HYPERLINK \l _Toc16138 </w:instrText>
      </w:r>
      <w:r>
        <w:rPr>
          <w:rFonts w:hint="eastAsia" w:ascii="黑体" w:hAnsi="黑体" w:eastAsia="黑体" w:cs="黑体"/>
          <w:b/>
          <w:bCs/>
          <w:sz w:val="22"/>
          <w:szCs w:val="28"/>
          <w:highlight w:val="none"/>
        </w:rPr>
        <w:fldChar w:fldCharType="separate"/>
      </w:r>
      <w:r>
        <w:rPr>
          <w:rFonts w:hint="eastAsia" w:ascii="仿宋" w:hAnsi="仿宋" w:eastAsia="仿宋" w:cs="仿宋"/>
          <w:b/>
          <w:bCs/>
          <w:sz w:val="22"/>
          <w:szCs w:val="24"/>
          <w:highlight w:val="none"/>
        </w:rPr>
        <w:t>第一部分   招标公告</w:t>
      </w:r>
      <w:r>
        <w:rPr>
          <w:b/>
          <w:bCs/>
          <w:sz w:val="22"/>
          <w:szCs w:val="24"/>
        </w:rPr>
        <w:tab/>
      </w:r>
      <w:r>
        <w:rPr>
          <w:b/>
          <w:bCs/>
          <w:sz w:val="22"/>
          <w:szCs w:val="24"/>
        </w:rPr>
        <w:fldChar w:fldCharType="begin"/>
      </w:r>
      <w:r>
        <w:rPr>
          <w:b/>
          <w:bCs/>
          <w:sz w:val="22"/>
          <w:szCs w:val="24"/>
        </w:rPr>
        <w:instrText xml:space="preserve"> PAGEREF _Toc16138 \h </w:instrText>
      </w:r>
      <w:r>
        <w:rPr>
          <w:b/>
          <w:bCs/>
          <w:sz w:val="22"/>
          <w:szCs w:val="24"/>
        </w:rPr>
        <w:fldChar w:fldCharType="separate"/>
      </w:r>
      <w:r>
        <w:rPr>
          <w:b/>
          <w:bCs/>
          <w:sz w:val="22"/>
          <w:szCs w:val="24"/>
        </w:rPr>
        <w:t>2</w:t>
      </w:r>
      <w:r>
        <w:rPr>
          <w:b/>
          <w:bCs/>
          <w:sz w:val="22"/>
          <w:szCs w:val="24"/>
        </w:rPr>
        <w:fldChar w:fldCharType="end"/>
      </w:r>
      <w:r>
        <w:rPr>
          <w:rFonts w:hint="eastAsia" w:ascii="黑体" w:hAnsi="黑体" w:eastAsia="黑体" w:cs="黑体"/>
          <w:b/>
          <w:bCs/>
          <w:color w:val="auto"/>
          <w:sz w:val="22"/>
          <w:szCs w:val="28"/>
          <w:highlight w:val="none"/>
        </w:rPr>
        <w:fldChar w:fldCharType="end"/>
      </w:r>
    </w:p>
    <w:p>
      <w:pPr>
        <w:pStyle w:val="13"/>
        <w:tabs>
          <w:tab w:val="right" w:leader="dot" w:pos="8312"/>
        </w:tabs>
        <w:spacing w:line="480" w:lineRule="auto"/>
        <w:rPr>
          <w:b/>
          <w:bCs/>
          <w:sz w:val="22"/>
          <w:szCs w:val="24"/>
        </w:rPr>
      </w:pPr>
      <w:r>
        <w:rPr>
          <w:rFonts w:hint="eastAsia" w:ascii="黑体" w:hAnsi="黑体" w:eastAsia="黑体" w:cs="黑体"/>
          <w:b/>
          <w:bCs/>
          <w:color w:val="auto"/>
          <w:sz w:val="22"/>
          <w:szCs w:val="28"/>
          <w:highlight w:val="none"/>
        </w:rPr>
        <w:fldChar w:fldCharType="begin"/>
      </w:r>
      <w:r>
        <w:rPr>
          <w:rFonts w:hint="eastAsia" w:ascii="黑体" w:hAnsi="黑体" w:eastAsia="黑体" w:cs="黑体"/>
          <w:b/>
          <w:bCs/>
          <w:sz w:val="22"/>
          <w:szCs w:val="28"/>
          <w:highlight w:val="none"/>
        </w:rPr>
        <w:instrText xml:space="preserve"> HYPERLINK \l _Toc26592 </w:instrText>
      </w:r>
      <w:r>
        <w:rPr>
          <w:rFonts w:hint="eastAsia" w:ascii="黑体" w:hAnsi="黑体" w:eastAsia="黑体" w:cs="黑体"/>
          <w:b/>
          <w:bCs/>
          <w:sz w:val="22"/>
          <w:szCs w:val="28"/>
          <w:highlight w:val="none"/>
        </w:rPr>
        <w:fldChar w:fldCharType="separate"/>
      </w:r>
      <w:r>
        <w:rPr>
          <w:rFonts w:hint="eastAsia" w:ascii="仿宋" w:hAnsi="仿宋" w:eastAsia="仿宋" w:cs="仿宋"/>
          <w:b/>
          <w:bCs/>
          <w:sz w:val="22"/>
          <w:szCs w:val="24"/>
          <w:highlight w:val="none"/>
          <w:lang w:val="en-US" w:eastAsia="zh-CN"/>
        </w:rPr>
        <w:t xml:space="preserve">第二部分 </w:t>
      </w:r>
      <w:r>
        <w:rPr>
          <w:rFonts w:hint="eastAsia" w:ascii="仿宋" w:hAnsi="仿宋" w:eastAsia="仿宋" w:cs="仿宋"/>
          <w:b/>
          <w:bCs/>
          <w:sz w:val="22"/>
          <w:szCs w:val="24"/>
          <w:highlight w:val="none"/>
        </w:rPr>
        <w:t>投标人须知</w:t>
      </w:r>
      <w:r>
        <w:rPr>
          <w:b/>
          <w:bCs/>
          <w:sz w:val="22"/>
          <w:szCs w:val="24"/>
        </w:rPr>
        <w:tab/>
      </w:r>
      <w:r>
        <w:rPr>
          <w:b/>
          <w:bCs/>
          <w:sz w:val="22"/>
          <w:szCs w:val="24"/>
        </w:rPr>
        <w:fldChar w:fldCharType="begin"/>
      </w:r>
      <w:r>
        <w:rPr>
          <w:b/>
          <w:bCs/>
          <w:sz w:val="22"/>
          <w:szCs w:val="24"/>
        </w:rPr>
        <w:instrText xml:space="preserve"> PAGEREF _Toc26592 \h </w:instrText>
      </w:r>
      <w:r>
        <w:rPr>
          <w:b/>
          <w:bCs/>
          <w:sz w:val="22"/>
          <w:szCs w:val="24"/>
        </w:rPr>
        <w:fldChar w:fldCharType="separate"/>
      </w:r>
      <w:r>
        <w:rPr>
          <w:b/>
          <w:bCs/>
          <w:sz w:val="22"/>
          <w:szCs w:val="24"/>
        </w:rPr>
        <w:t>5</w:t>
      </w:r>
      <w:r>
        <w:rPr>
          <w:b/>
          <w:bCs/>
          <w:sz w:val="22"/>
          <w:szCs w:val="24"/>
        </w:rPr>
        <w:fldChar w:fldCharType="end"/>
      </w:r>
      <w:r>
        <w:rPr>
          <w:rFonts w:hint="eastAsia" w:ascii="黑体" w:hAnsi="黑体" w:eastAsia="黑体" w:cs="黑体"/>
          <w:b/>
          <w:bCs/>
          <w:color w:val="auto"/>
          <w:sz w:val="22"/>
          <w:szCs w:val="28"/>
          <w:highlight w:val="none"/>
        </w:rPr>
        <w:fldChar w:fldCharType="end"/>
      </w:r>
    </w:p>
    <w:p>
      <w:pPr>
        <w:pStyle w:val="13"/>
        <w:tabs>
          <w:tab w:val="right" w:leader="dot" w:pos="8312"/>
        </w:tabs>
        <w:spacing w:line="480" w:lineRule="auto"/>
        <w:rPr>
          <w:rFonts w:hint="eastAsia" w:eastAsia="黑体"/>
          <w:b/>
          <w:bCs/>
          <w:sz w:val="22"/>
          <w:szCs w:val="24"/>
          <w:lang w:val="en-US" w:eastAsia="zh-CN"/>
        </w:rPr>
      </w:pPr>
      <w:r>
        <w:rPr>
          <w:rFonts w:hint="eastAsia" w:ascii="黑体" w:hAnsi="黑体" w:eastAsia="黑体" w:cs="黑体"/>
          <w:b/>
          <w:bCs/>
          <w:color w:val="auto"/>
          <w:sz w:val="22"/>
          <w:szCs w:val="28"/>
          <w:highlight w:val="none"/>
        </w:rPr>
        <w:fldChar w:fldCharType="begin"/>
      </w:r>
      <w:r>
        <w:rPr>
          <w:rFonts w:hint="eastAsia" w:ascii="黑体" w:hAnsi="黑体" w:eastAsia="黑体" w:cs="黑体"/>
          <w:b/>
          <w:bCs/>
          <w:sz w:val="22"/>
          <w:szCs w:val="28"/>
          <w:highlight w:val="none"/>
        </w:rPr>
        <w:instrText xml:space="preserve"> HYPERLINK \l _Toc22662 </w:instrText>
      </w:r>
      <w:r>
        <w:rPr>
          <w:rFonts w:hint="eastAsia" w:ascii="黑体" w:hAnsi="黑体" w:eastAsia="黑体" w:cs="黑体"/>
          <w:b/>
          <w:bCs/>
          <w:sz w:val="22"/>
          <w:szCs w:val="28"/>
          <w:highlight w:val="none"/>
        </w:rPr>
        <w:fldChar w:fldCharType="separate"/>
      </w:r>
      <w:r>
        <w:rPr>
          <w:rFonts w:hint="eastAsia" w:ascii="仿宋" w:hAnsi="仿宋" w:eastAsia="仿宋" w:cs="仿宋"/>
          <w:b/>
          <w:bCs/>
          <w:sz w:val="22"/>
          <w:szCs w:val="24"/>
        </w:rPr>
        <w:t xml:space="preserve">第三部分 </w:t>
      </w:r>
      <w:r>
        <w:rPr>
          <w:rFonts w:hint="eastAsia" w:ascii="仿宋" w:hAnsi="仿宋" w:eastAsia="仿宋" w:cs="仿宋"/>
          <w:b/>
          <w:bCs/>
          <w:sz w:val="22"/>
          <w:szCs w:val="24"/>
          <w:highlight w:val="none"/>
        </w:rPr>
        <w:t>采购需求</w:t>
      </w:r>
      <w:r>
        <w:rPr>
          <w:b/>
          <w:bCs/>
          <w:sz w:val="22"/>
          <w:szCs w:val="24"/>
        </w:rPr>
        <w:tab/>
      </w:r>
      <w:r>
        <w:rPr>
          <w:rFonts w:hint="eastAsia"/>
          <w:b/>
          <w:bCs/>
          <w:sz w:val="22"/>
          <w:szCs w:val="24"/>
          <w:lang w:val="en-US" w:eastAsia="zh-CN"/>
        </w:rPr>
        <w:t>3</w:t>
      </w:r>
      <w:r>
        <w:rPr>
          <w:rFonts w:hint="eastAsia" w:ascii="黑体" w:hAnsi="黑体" w:eastAsia="黑体" w:cs="黑体"/>
          <w:b/>
          <w:bCs/>
          <w:color w:val="auto"/>
          <w:sz w:val="22"/>
          <w:szCs w:val="28"/>
          <w:highlight w:val="none"/>
        </w:rPr>
        <w:fldChar w:fldCharType="end"/>
      </w:r>
      <w:r>
        <w:rPr>
          <w:rFonts w:hint="eastAsia" w:ascii="黑体" w:hAnsi="黑体" w:eastAsia="黑体" w:cs="黑体"/>
          <w:b/>
          <w:bCs/>
          <w:color w:val="auto"/>
          <w:sz w:val="22"/>
          <w:szCs w:val="28"/>
          <w:highlight w:val="none"/>
          <w:lang w:val="en-US" w:eastAsia="zh-CN"/>
        </w:rPr>
        <w:t>8</w:t>
      </w:r>
    </w:p>
    <w:p>
      <w:pPr>
        <w:pStyle w:val="13"/>
        <w:tabs>
          <w:tab w:val="right" w:leader="dot" w:pos="8312"/>
        </w:tabs>
        <w:spacing w:line="480" w:lineRule="auto"/>
        <w:rPr>
          <w:b/>
          <w:bCs/>
          <w:sz w:val="22"/>
          <w:szCs w:val="24"/>
        </w:rPr>
      </w:pPr>
      <w:r>
        <w:rPr>
          <w:rFonts w:hint="eastAsia" w:ascii="黑体" w:hAnsi="黑体" w:eastAsia="黑体" w:cs="黑体"/>
          <w:b/>
          <w:bCs/>
          <w:color w:val="auto"/>
          <w:sz w:val="22"/>
          <w:szCs w:val="28"/>
          <w:highlight w:val="none"/>
        </w:rPr>
        <w:fldChar w:fldCharType="begin"/>
      </w:r>
      <w:r>
        <w:rPr>
          <w:rFonts w:hint="eastAsia" w:ascii="黑体" w:hAnsi="黑体" w:eastAsia="黑体" w:cs="黑体"/>
          <w:b/>
          <w:bCs/>
          <w:sz w:val="22"/>
          <w:szCs w:val="28"/>
          <w:highlight w:val="none"/>
        </w:rPr>
        <w:instrText xml:space="preserve"> HYPERLINK \l _Toc24762 </w:instrText>
      </w:r>
      <w:r>
        <w:rPr>
          <w:rFonts w:hint="eastAsia" w:ascii="黑体" w:hAnsi="黑体" w:eastAsia="黑体" w:cs="黑体"/>
          <w:b/>
          <w:bCs/>
          <w:sz w:val="22"/>
          <w:szCs w:val="28"/>
          <w:highlight w:val="none"/>
        </w:rPr>
        <w:fldChar w:fldCharType="separate"/>
      </w:r>
      <w:r>
        <w:rPr>
          <w:rFonts w:hint="eastAsia" w:ascii="仿宋" w:hAnsi="仿宋" w:eastAsia="仿宋" w:cs="仿宋"/>
          <w:b/>
          <w:bCs/>
          <w:sz w:val="22"/>
          <w:szCs w:val="24"/>
          <w:highlight w:val="none"/>
        </w:rPr>
        <w:t>第四部分   评审方法（综合评分法）</w:t>
      </w:r>
      <w:r>
        <w:rPr>
          <w:b/>
          <w:bCs/>
          <w:sz w:val="22"/>
          <w:szCs w:val="24"/>
        </w:rPr>
        <w:tab/>
      </w:r>
      <w:r>
        <w:rPr>
          <w:b/>
          <w:bCs/>
          <w:sz w:val="22"/>
          <w:szCs w:val="24"/>
        </w:rPr>
        <w:fldChar w:fldCharType="begin"/>
      </w:r>
      <w:r>
        <w:rPr>
          <w:b/>
          <w:bCs/>
          <w:sz w:val="22"/>
          <w:szCs w:val="24"/>
        </w:rPr>
        <w:instrText xml:space="preserve"> PAGEREF _Toc24762 \h </w:instrText>
      </w:r>
      <w:r>
        <w:rPr>
          <w:b/>
          <w:bCs/>
          <w:sz w:val="22"/>
          <w:szCs w:val="24"/>
        </w:rPr>
        <w:fldChar w:fldCharType="separate"/>
      </w:r>
      <w:r>
        <w:rPr>
          <w:b/>
          <w:bCs/>
          <w:sz w:val="22"/>
          <w:szCs w:val="24"/>
        </w:rPr>
        <w:t>57</w:t>
      </w:r>
      <w:r>
        <w:rPr>
          <w:b/>
          <w:bCs/>
          <w:sz w:val="22"/>
          <w:szCs w:val="24"/>
        </w:rPr>
        <w:fldChar w:fldCharType="end"/>
      </w:r>
      <w:r>
        <w:rPr>
          <w:rFonts w:hint="eastAsia" w:ascii="黑体" w:hAnsi="黑体" w:eastAsia="黑体" w:cs="黑体"/>
          <w:b/>
          <w:bCs/>
          <w:color w:val="auto"/>
          <w:sz w:val="22"/>
          <w:szCs w:val="28"/>
          <w:highlight w:val="none"/>
        </w:rPr>
        <w:fldChar w:fldCharType="end"/>
      </w:r>
    </w:p>
    <w:p>
      <w:pPr>
        <w:pStyle w:val="13"/>
        <w:tabs>
          <w:tab w:val="right" w:leader="dot" w:pos="8312"/>
        </w:tabs>
        <w:spacing w:line="480" w:lineRule="auto"/>
        <w:rPr>
          <w:b/>
          <w:bCs/>
          <w:sz w:val="22"/>
          <w:szCs w:val="24"/>
        </w:rPr>
      </w:pPr>
      <w:r>
        <w:rPr>
          <w:rFonts w:hint="eastAsia" w:ascii="黑体" w:hAnsi="黑体" w:eastAsia="黑体" w:cs="黑体"/>
          <w:b/>
          <w:bCs/>
          <w:color w:val="auto"/>
          <w:sz w:val="22"/>
          <w:szCs w:val="28"/>
          <w:highlight w:val="none"/>
        </w:rPr>
        <w:fldChar w:fldCharType="begin"/>
      </w:r>
      <w:r>
        <w:rPr>
          <w:rFonts w:hint="eastAsia" w:ascii="黑体" w:hAnsi="黑体" w:eastAsia="黑体" w:cs="黑体"/>
          <w:b/>
          <w:bCs/>
          <w:sz w:val="22"/>
          <w:szCs w:val="28"/>
          <w:highlight w:val="none"/>
        </w:rPr>
        <w:instrText xml:space="preserve"> HYPERLINK \l _Toc30820 </w:instrText>
      </w:r>
      <w:r>
        <w:rPr>
          <w:rFonts w:hint="eastAsia" w:ascii="黑体" w:hAnsi="黑体" w:eastAsia="黑体" w:cs="黑体"/>
          <w:b/>
          <w:bCs/>
          <w:sz w:val="22"/>
          <w:szCs w:val="28"/>
          <w:highlight w:val="none"/>
        </w:rPr>
        <w:fldChar w:fldCharType="separate"/>
      </w:r>
      <w:r>
        <w:rPr>
          <w:rFonts w:hint="eastAsia" w:ascii="仿宋" w:hAnsi="仿宋" w:eastAsia="仿宋" w:cs="仿宋"/>
          <w:b/>
          <w:bCs/>
          <w:sz w:val="22"/>
          <w:szCs w:val="24"/>
          <w:highlight w:val="none"/>
        </w:rPr>
        <w:t>第五部分</w:t>
      </w:r>
      <w:r>
        <w:rPr>
          <w:rFonts w:hint="eastAsia" w:ascii="仿宋" w:hAnsi="仿宋" w:eastAsia="仿宋" w:cs="仿宋"/>
          <w:b/>
          <w:bCs/>
          <w:sz w:val="22"/>
          <w:szCs w:val="24"/>
          <w:highlight w:val="none"/>
          <w:lang w:val="en-US" w:eastAsia="zh-CN"/>
        </w:rPr>
        <w:t xml:space="preserve">   </w:t>
      </w:r>
      <w:r>
        <w:rPr>
          <w:rFonts w:hint="eastAsia" w:ascii="仿宋" w:hAnsi="仿宋" w:eastAsia="仿宋" w:cs="仿宋"/>
          <w:b/>
          <w:bCs/>
          <w:sz w:val="22"/>
          <w:szCs w:val="24"/>
          <w:highlight w:val="none"/>
        </w:rPr>
        <w:t>政府采购合同</w:t>
      </w:r>
      <w:r>
        <w:rPr>
          <w:b/>
          <w:bCs/>
          <w:sz w:val="22"/>
          <w:szCs w:val="24"/>
        </w:rPr>
        <w:tab/>
      </w:r>
      <w:r>
        <w:rPr>
          <w:b/>
          <w:bCs/>
          <w:sz w:val="22"/>
          <w:szCs w:val="24"/>
        </w:rPr>
        <w:fldChar w:fldCharType="begin"/>
      </w:r>
      <w:r>
        <w:rPr>
          <w:b/>
          <w:bCs/>
          <w:sz w:val="22"/>
          <w:szCs w:val="24"/>
        </w:rPr>
        <w:instrText xml:space="preserve"> PAGEREF _Toc30820 \h </w:instrText>
      </w:r>
      <w:r>
        <w:rPr>
          <w:b/>
          <w:bCs/>
          <w:sz w:val="22"/>
          <w:szCs w:val="24"/>
        </w:rPr>
        <w:fldChar w:fldCharType="separate"/>
      </w:r>
      <w:r>
        <w:rPr>
          <w:b/>
          <w:bCs/>
          <w:sz w:val="22"/>
          <w:szCs w:val="24"/>
        </w:rPr>
        <w:t>63</w:t>
      </w:r>
      <w:r>
        <w:rPr>
          <w:b/>
          <w:bCs/>
          <w:sz w:val="22"/>
          <w:szCs w:val="24"/>
        </w:rPr>
        <w:fldChar w:fldCharType="end"/>
      </w:r>
      <w:r>
        <w:rPr>
          <w:rFonts w:hint="eastAsia" w:ascii="黑体" w:hAnsi="黑体" w:eastAsia="黑体" w:cs="黑体"/>
          <w:b/>
          <w:bCs/>
          <w:color w:val="auto"/>
          <w:sz w:val="22"/>
          <w:szCs w:val="28"/>
          <w:highlight w:val="none"/>
        </w:rPr>
        <w:fldChar w:fldCharType="end"/>
      </w:r>
    </w:p>
    <w:p>
      <w:pPr>
        <w:pStyle w:val="13"/>
        <w:tabs>
          <w:tab w:val="right" w:leader="dot" w:pos="8312"/>
        </w:tabs>
        <w:spacing w:line="480" w:lineRule="auto"/>
        <w:rPr>
          <w:b/>
          <w:bCs/>
          <w:sz w:val="22"/>
          <w:szCs w:val="24"/>
        </w:rPr>
      </w:pPr>
      <w:r>
        <w:rPr>
          <w:rFonts w:hint="eastAsia" w:ascii="黑体" w:hAnsi="黑体" w:eastAsia="黑体" w:cs="黑体"/>
          <w:b/>
          <w:bCs/>
          <w:color w:val="auto"/>
          <w:sz w:val="22"/>
          <w:szCs w:val="28"/>
          <w:highlight w:val="none"/>
        </w:rPr>
        <w:fldChar w:fldCharType="begin"/>
      </w:r>
      <w:r>
        <w:rPr>
          <w:rFonts w:hint="eastAsia" w:ascii="黑体" w:hAnsi="黑体" w:eastAsia="黑体" w:cs="黑体"/>
          <w:b/>
          <w:bCs/>
          <w:sz w:val="22"/>
          <w:szCs w:val="28"/>
          <w:highlight w:val="none"/>
        </w:rPr>
        <w:instrText xml:space="preserve"> HYPERLINK \l _Toc2727 </w:instrText>
      </w:r>
      <w:r>
        <w:rPr>
          <w:rFonts w:hint="eastAsia" w:ascii="黑体" w:hAnsi="黑体" w:eastAsia="黑体" w:cs="黑体"/>
          <w:b/>
          <w:bCs/>
          <w:sz w:val="22"/>
          <w:szCs w:val="28"/>
          <w:highlight w:val="none"/>
        </w:rPr>
        <w:fldChar w:fldCharType="separate"/>
      </w:r>
      <w:r>
        <w:rPr>
          <w:rFonts w:hint="eastAsia" w:ascii="仿宋" w:hAnsi="仿宋" w:eastAsia="仿宋" w:cs="仿宋"/>
          <w:b/>
          <w:bCs/>
          <w:sz w:val="22"/>
          <w:szCs w:val="24"/>
          <w:highlight w:val="none"/>
        </w:rPr>
        <w:t xml:space="preserve">第六部分   </w:t>
      </w:r>
      <w:r>
        <w:rPr>
          <w:rFonts w:hint="eastAsia" w:ascii="仿宋" w:hAnsi="仿宋" w:eastAsia="仿宋" w:cs="仿宋"/>
          <w:b/>
          <w:bCs/>
          <w:sz w:val="22"/>
          <w:szCs w:val="24"/>
          <w:highlight w:val="none"/>
          <w:lang w:val="en-US" w:eastAsia="zh-CN"/>
        </w:rPr>
        <w:t>投标</w:t>
      </w:r>
      <w:r>
        <w:rPr>
          <w:rFonts w:hint="eastAsia" w:ascii="仿宋" w:hAnsi="仿宋" w:eastAsia="仿宋" w:cs="仿宋"/>
          <w:b/>
          <w:bCs/>
          <w:sz w:val="22"/>
          <w:szCs w:val="24"/>
          <w:highlight w:val="none"/>
        </w:rPr>
        <w:t>文件格式</w:t>
      </w:r>
      <w:r>
        <w:rPr>
          <w:b/>
          <w:bCs/>
          <w:sz w:val="22"/>
          <w:szCs w:val="24"/>
        </w:rPr>
        <w:tab/>
      </w:r>
      <w:r>
        <w:rPr>
          <w:b/>
          <w:bCs/>
          <w:sz w:val="22"/>
          <w:szCs w:val="24"/>
        </w:rPr>
        <w:fldChar w:fldCharType="begin"/>
      </w:r>
      <w:r>
        <w:rPr>
          <w:b/>
          <w:bCs/>
          <w:sz w:val="22"/>
          <w:szCs w:val="24"/>
        </w:rPr>
        <w:instrText xml:space="preserve"> PAGEREF _Toc2727 \h </w:instrText>
      </w:r>
      <w:r>
        <w:rPr>
          <w:b/>
          <w:bCs/>
          <w:sz w:val="22"/>
          <w:szCs w:val="24"/>
        </w:rPr>
        <w:fldChar w:fldCharType="separate"/>
      </w:r>
      <w:r>
        <w:rPr>
          <w:b/>
          <w:bCs/>
          <w:sz w:val="22"/>
          <w:szCs w:val="24"/>
        </w:rPr>
        <w:t>76</w:t>
      </w:r>
      <w:r>
        <w:rPr>
          <w:b/>
          <w:bCs/>
          <w:sz w:val="22"/>
          <w:szCs w:val="24"/>
        </w:rPr>
        <w:fldChar w:fldCharType="end"/>
      </w:r>
      <w:r>
        <w:rPr>
          <w:rFonts w:hint="eastAsia" w:ascii="黑体" w:hAnsi="黑体" w:eastAsia="黑体" w:cs="黑体"/>
          <w:b/>
          <w:bCs/>
          <w:color w:val="auto"/>
          <w:sz w:val="22"/>
          <w:szCs w:val="28"/>
          <w:highlight w:val="none"/>
        </w:rPr>
        <w:fldChar w:fldCharType="end"/>
      </w:r>
    </w:p>
    <w:p>
      <w:pPr>
        <w:pStyle w:val="13"/>
        <w:tabs>
          <w:tab w:val="right" w:leader="dot" w:pos="8312"/>
        </w:tabs>
        <w:spacing w:line="480" w:lineRule="auto"/>
        <w:rPr>
          <w:rFonts w:hint="eastAsia" w:ascii="仿宋" w:hAnsi="仿宋" w:eastAsia="仿宋" w:cs="仿宋"/>
          <w:color w:val="auto"/>
          <w:highlight w:val="none"/>
        </w:rPr>
        <w:sectPr>
          <w:footerReference r:id="rId6" w:type="default"/>
          <w:pgSz w:w="11906" w:h="16838"/>
          <w:pgMar w:top="1440" w:right="1797" w:bottom="1440" w:left="1797"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黑体" w:hAnsi="黑体" w:eastAsia="黑体" w:cs="黑体"/>
          <w:b/>
          <w:bCs/>
          <w:color w:val="auto"/>
          <w:sz w:val="22"/>
          <w:szCs w:val="28"/>
          <w:highlight w:val="none"/>
        </w:rPr>
        <w:fldChar w:fldCharType="end"/>
      </w:r>
    </w:p>
    <w:p>
      <w:pPr>
        <w:pStyle w:val="7"/>
        <w:tabs>
          <w:tab w:val="left" w:pos="0"/>
        </w:tabs>
        <w:spacing w:line="240" w:lineRule="auto"/>
        <w:ind w:left="0" w:leftChars="0" w:firstLine="0" w:firstLineChars="0"/>
        <w:jc w:val="center"/>
        <w:outlineLvl w:val="0"/>
        <w:rPr>
          <w:rFonts w:hint="eastAsia" w:ascii="仿宋" w:hAnsi="仿宋" w:eastAsia="仿宋" w:cs="仿宋"/>
          <w:b/>
          <w:color w:val="auto"/>
          <w:sz w:val="36"/>
          <w:highlight w:val="none"/>
        </w:rPr>
      </w:pPr>
      <w:bookmarkStart w:id="2" w:name="_Toc21323"/>
      <w:bookmarkStart w:id="3" w:name="_Toc16138"/>
      <w:r>
        <w:rPr>
          <w:rFonts w:hint="eastAsia" w:ascii="仿宋" w:hAnsi="仿宋" w:eastAsia="仿宋" w:cs="仿宋"/>
          <w:b/>
          <w:color w:val="auto"/>
          <w:sz w:val="36"/>
          <w:highlight w:val="none"/>
        </w:rPr>
        <w:t>第一部分   招标公告</w:t>
      </w:r>
      <w:bookmarkEnd w:id="2"/>
      <w:bookmarkEnd w:id="3"/>
    </w:p>
    <w:tbl>
      <w:tblPr>
        <w:tblStyle w:val="20"/>
        <w:tblW w:w="8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trPr>
        <w:tc>
          <w:tcPr>
            <w:tcW w:w="8840" w:type="dxa"/>
            <w:noWrap w:val="0"/>
            <w:vAlign w:val="top"/>
          </w:tcPr>
          <w:p>
            <w:pPr>
              <w:pStyle w:val="16"/>
              <w:keepNext w:val="0"/>
              <w:keepLines w:val="0"/>
              <w:widowControl/>
              <w:suppressLineNumbers w:val="0"/>
              <w:spacing w:before="75" w:beforeAutospacing="0" w:after="75" w:afterAutospacing="0"/>
              <w:ind w:right="0"/>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sz w:val="24"/>
                <w:szCs w:val="24"/>
                <w:highlight w:val="none"/>
              </w:rPr>
              <w:t>项目概况</w:t>
            </w:r>
          </w:p>
          <w:p>
            <w:pPr>
              <w:pStyle w:val="7"/>
              <w:spacing w:line="360" w:lineRule="auto"/>
              <w:ind w:left="0" w:leftChars="0" w:firstLine="480" w:firstLineChars="200"/>
              <w:jc w:val="both"/>
              <w:rPr>
                <w:rFonts w:hint="eastAsia" w:ascii="仿宋" w:hAnsi="仿宋" w:eastAsia="仿宋" w:cs="仿宋"/>
                <w:i w:val="0"/>
                <w:iCs w:val="0"/>
                <w:caps w:val="0"/>
                <w:color w:val="auto"/>
                <w:spacing w:val="0"/>
                <w:sz w:val="24"/>
                <w:szCs w:val="24"/>
                <w:highlight w:val="none"/>
                <w:vertAlign w:val="baseline"/>
              </w:rPr>
            </w:pPr>
            <w:r>
              <w:rPr>
                <w:rFonts w:hint="eastAsia" w:ascii="仿宋" w:hAnsi="仿宋" w:eastAsia="仿宋" w:cs="仿宋"/>
                <w:i w:val="0"/>
                <w:iCs w:val="0"/>
                <w:caps w:val="0"/>
                <w:color w:val="auto"/>
                <w:spacing w:val="0"/>
                <w:sz w:val="24"/>
                <w:szCs w:val="24"/>
                <w:highlight w:val="none"/>
                <w:lang w:val="en-US" w:eastAsia="zh-CN"/>
              </w:rPr>
              <w:t>第三师总医院（一期）医疗设施设备购置项目（第二包）（标项3）</w:t>
            </w:r>
            <w:r>
              <w:rPr>
                <w:rFonts w:hint="eastAsia" w:ascii="仿宋" w:hAnsi="仿宋" w:eastAsia="仿宋" w:cs="仿宋"/>
                <w:i w:val="0"/>
                <w:iCs w:val="0"/>
                <w:caps w:val="0"/>
                <w:color w:val="auto"/>
                <w:spacing w:val="0"/>
                <w:sz w:val="24"/>
                <w:szCs w:val="24"/>
                <w:highlight w:val="none"/>
              </w:rPr>
              <w:t>的潜在</w:t>
            </w:r>
            <w:r>
              <w:rPr>
                <w:rFonts w:hint="eastAsia" w:ascii="仿宋" w:hAnsi="仿宋" w:eastAsia="仿宋" w:cs="仿宋"/>
                <w:i w:val="0"/>
                <w:iCs w:val="0"/>
                <w:caps w:val="0"/>
                <w:color w:val="auto"/>
                <w:spacing w:val="0"/>
                <w:sz w:val="24"/>
                <w:szCs w:val="24"/>
                <w:highlight w:val="none"/>
                <w:lang w:eastAsia="zh-CN"/>
              </w:rPr>
              <w:t>投标人</w:t>
            </w:r>
            <w:r>
              <w:rPr>
                <w:rFonts w:hint="eastAsia" w:ascii="仿宋" w:hAnsi="仿宋" w:eastAsia="仿宋" w:cs="仿宋"/>
                <w:i w:val="0"/>
                <w:iCs w:val="0"/>
                <w:caps w:val="0"/>
                <w:color w:val="auto"/>
                <w:spacing w:val="0"/>
                <w:sz w:val="24"/>
                <w:szCs w:val="24"/>
                <w:highlight w:val="none"/>
              </w:rPr>
              <w:t>登陆政采云平台http://www.zcygov.cn/在线申请获取</w:t>
            </w:r>
            <w:r>
              <w:rPr>
                <w:rFonts w:hint="eastAsia" w:ascii="仿宋" w:hAnsi="仿宋" w:eastAsia="仿宋" w:cs="仿宋"/>
                <w:i w:val="0"/>
                <w:iCs w:val="0"/>
                <w:caps w:val="0"/>
                <w:color w:val="auto"/>
                <w:spacing w:val="0"/>
                <w:sz w:val="24"/>
                <w:szCs w:val="24"/>
                <w:highlight w:val="none"/>
                <w:lang w:eastAsia="zh-CN"/>
              </w:rPr>
              <w:t>招标文件</w:t>
            </w:r>
            <w:r>
              <w:rPr>
                <w:rFonts w:hint="eastAsia" w:ascii="仿宋" w:hAnsi="仿宋" w:eastAsia="仿宋" w:cs="仿宋"/>
                <w:i w:val="0"/>
                <w:iCs w:val="0"/>
                <w:caps w:val="0"/>
                <w:color w:val="auto"/>
                <w:spacing w:val="0"/>
                <w:sz w:val="24"/>
                <w:szCs w:val="24"/>
                <w:highlight w:val="none"/>
              </w:rPr>
              <w:t>，并于2022年</w:t>
            </w:r>
            <w:r>
              <w:rPr>
                <w:rFonts w:hint="eastAsia" w:ascii="仿宋" w:hAnsi="仿宋" w:eastAsia="仿宋" w:cs="仿宋"/>
                <w:i w:val="0"/>
                <w:iCs w:val="0"/>
                <w:caps w:val="0"/>
                <w:color w:val="auto"/>
                <w:spacing w:val="0"/>
                <w:sz w:val="24"/>
                <w:szCs w:val="24"/>
                <w:highlight w:val="none"/>
                <w:lang w:val="en-US" w:eastAsia="zh-CN"/>
              </w:rPr>
              <w:t>12月24日</w:t>
            </w:r>
            <w:r>
              <w:rPr>
                <w:rFonts w:hint="eastAsia" w:ascii="仿宋" w:hAnsi="仿宋" w:eastAsia="仿宋" w:cs="仿宋"/>
                <w:i w:val="0"/>
                <w:iCs w:val="0"/>
                <w:caps w:val="0"/>
                <w:color w:val="auto"/>
                <w:spacing w:val="0"/>
                <w:sz w:val="24"/>
                <w:szCs w:val="24"/>
                <w:highlight w:val="none"/>
              </w:rPr>
              <w:t>11:00（北京时间）前</w:t>
            </w:r>
            <w:r>
              <w:rPr>
                <w:rFonts w:hint="eastAsia" w:ascii="仿宋" w:hAnsi="仿宋" w:eastAsia="仿宋" w:cs="仿宋"/>
                <w:i w:val="0"/>
                <w:iCs w:val="0"/>
                <w:caps w:val="0"/>
                <w:color w:val="auto"/>
                <w:spacing w:val="0"/>
                <w:sz w:val="24"/>
                <w:szCs w:val="24"/>
                <w:highlight w:val="none"/>
                <w:lang w:val="en-US" w:eastAsia="zh-CN"/>
              </w:rPr>
              <w:t>递</w:t>
            </w:r>
            <w:r>
              <w:rPr>
                <w:rFonts w:hint="eastAsia" w:ascii="仿宋" w:hAnsi="仿宋" w:eastAsia="仿宋" w:cs="仿宋"/>
                <w:i w:val="0"/>
                <w:iCs w:val="0"/>
                <w:caps w:val="0"/>
                <w:color w:val="auto"/>
                <w:spacing w:val="0"/>
                <w:sz w:val="24"/>
                <w:szCs w:val="24"/>
                <w:highlight w:val="none"/>
              </w:rPr>
              <w:t>交</w:t>
            </w:r>
            <w:r>
              <w:rPr>
                <w:rFonts w:hint="eastAsia" w:ascii="仿宋" w:hAnsi="仿宋" w:eastAsia="仿宋" w:cs="仿宋"/>
                <w:i w:val="0"/>
                <w:iCs w:val="0"/>
                <w:caps w:val="0"/>
                <w:color w:val="auto"/>
                <w:spacing w:val="0"/>
                <w:sz w:val="24"/>
                <w:szCs w:val="24"/>
                <w:highlight w:val="none"/>
                <w:lang w:val="en-US" w:eastAsia="zh-CN"/>
              </w:rPr>
              <w:t>投标</w:t>
            </w:r>
            <w:r>
              <w:rPr>
                <w:rFonts w:hint="eastAsia" w:ascii="仿宋" w:hAnsi="仿宋" w:eastAsia="仿宋" w:cs="仿宋"/>
                <w:i w:val="0"/>
                <w:iCs w:val="0"/>
                <w:caps w:val="0"/>
                <w:color w:val="auto"/>
                <w:spacing w:val="0"/>
                <w:sz w:val="24"/>
                <w:szCs w:val="24"/>
                <w:highlight w:val="none"/>
              </w:rPr>
              <w:t>文件。   </w:t>
            </w:r>
          </w:p>
        </w:tc>
      </w:tr>
    </w:tbl>
    <w:p>
      <w:pPr>
        <w:pStyle w:val="16"/>
        <w:keepNext w:val="0"/>
        <w:keepLines w:val="0"/>
        <w:widowControl/>
        <w:suppressLineNumbers w:val="0"/>
        <w:spacing w:before="75" w:beforeAutospacing="0" w:after="75" w:afterAutospacing="0"/>
        <w:ind w:left="0" w:right="0"/>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     </w:t>
      </w:r>
    </w:p>
    <w:p>
      <w:pPr>
        <w:pStyle w:val="16"/>
        <w:keepNext w:val="0"/>
        <w:keepLines w:val="0"/>
        <w:widowControl/>
        <w:numPr>
          <w:ilvl w:val="0"/>
          <w:numId w:val="3"/>
        </w:numPr>
        <w:suppressLineNumbers w:val="0"/>
        <w:spacing w:before="255" w:beforeAutospacing="0" w:after="255" w:afterAutospacing="0" w:line="450" w:lineRule="atLeast"/>
        <w:ind w:left="0" w:right="0" w:firstLine="0"/>
        <w:jc w:val="both"/>
        <w:rPr>
          <w:rStyle w:val="22"/>
          <w:rFonts w:hint="eastAsia" w:ascii="仿宋" w:hAnsi="仿宋" w:eastAsia="仿宋" w:cs="仿宋"/>
          <w:i w:val="0"/>
          <w:iCs w:val="0"/>
          <w:caps w:val="0"/>
          <w:color w:val="auto"/>
          <w:spacing w:val="0"/>
          <w:sz w:val="24"/>
          <w:szCs w:val="24"/>
          <w:highlight w:val="none"/>
        </w:rPr>
      </w:pPr>
      <w:r>
        <w:rPr>
          <w:rStyle w:val="22"/>
          <w:rFonts w:hint="eastAsia" w:ascii="仿宋" w:hAnsi="仿宋" w:eastAsia="仿宋" w:cs="仿宋"/>
          <w:i w:val="0"/>
          <w:iCs w:val="0"/>
          <w:caps w:val="0"/>
          <w:color w:val="auto"/>
          <w:spacing w:val="0"/>
          <w:sz w:val="24"/>
          <w:szCs w:val="24"/>
          <w:highlight w:val="none"/>
        </w:rPr>
        <w:t>项目基本情况</w:t>
      </w:r>
    </w:p>
    <w:p>
      <w:pPr>
        <w:pStyle w:val="16"/>
        <w:keepNext w:val="0"/>
        <w:keepLines w:val="0"/>
        <w:widowControl/>
        <w:suppressLineNumbers w:val="0"/>
        <w:spacing w:before="75" w:beforeAutospacing="0" w:after="75" w:afterAutospacing="0" w:line="300" w:lineRule="atLeast"/>
        <w:ind w:left="0" w:right="0" w:firstLine="240" w:firstLineChars="1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项目编号：B3S[2022]1093号</w:t>
      </w:r>
    </w:p>
    <w:p>
      <w:pPr>
        <w:pStyle w:val="16"/>
        <w:keepNext w:val="0"/>
        <w:keepLines w:val="0"/>
        <w:widowControl/>
        <w:suppressLineNumbers w:val="0"/>
        <w:spacing w:before="75" w:beforeAutospacing="0" w:after="75" w:afterAutospacing="0" w:line="300" w:lineRule="atLeast"/>
        <w:ind w:left="239" w:leftChars="114" w:right="0" w:firstLine="0" w:firstLineChars="0"/>
        <w:jc w:val="left"/>
        <w:rPr>
          <w:rFonts w:hint="default" w:ascii="宋体" w:hAnsi="宋体" w:eastAsia="宋体" w:cs="宋体"/>
          <w:color w:val="auto"/>
          <w:sz w:val="24"/>
          <w:szCs w:val="24"/>
          <w:highlight w:val="none"/>
          <w:u w:val="none"/>
          <w:lang w:val="en-US" w:eastAsia="zh-CN"/>
        </w:rPr>
      </w:pPr>
      <w:r>
        <w:rPr>
          <w:rFonts w:hint="eastAsia" w:ascii="仿宋" w:hAnsi="仿宋" w:eastAsia="仿宋" w:cs="仿宋"/>
          <w:color w:val="auto"/>
          <w:sz w:val="24"/>
          <w:szCs w:val="24"/>
          <w:highlight w:val="none"/>
          <w:lang w:val="en-US" w:eastAsia="zh-CN"/>
        </w:rPr>
        <w:t>项目名称：第三师总医院（一期）医疗设施设备购置项目（第二包）（标项3）预算金额（元）：7715000.00</w:t>
      </w:r>
    </w:p>
    <w:p>
      <w:pPr>
        <w:pStyle w:val="16"/>
        <w:keepNext w:val="0"/>
        <w:keepLines w:val="0"/>
        <w:widowControl/>
        <w:suppressLineNumbers w:val="0"/>
        <w:spacing w:before="75" w:beforeAutospacing="0" w:after="75" w:afterAutospacing="0" w:line="300" w:lineRule="atLeast"/>
        <w:ind w:left="0" w:right="0" w:firstLine="240" w:firstLineChars="1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最高限价（元）：</w:t>
      </w:r>
      <w:r>
        <w:rPr>
          <w:rFonts w:hint="eastAsia" w:ascii="仿宋" w:hAnsi="仿宋" w:eastAsia="仿宋" w:cs="仿宋"/>
          <w:color w:val="auto"/>
          <w:sz w:val="24"/>
          <w:szCs w:val="24"/>
          <w:highlight w:val="none"/>
          <w:lang w:val="en-US" w:eastAsia="zh-CN"/>
        </w:rPr>
        <w:t>7715000.00</w:t>
      </w:r>
    </w:p>
    <w:p>
      <w:pPr>
        <w:pStyle w:val="16"/>
        <w:keepNext w:val="0"/>
        <w:keepLines w:val="0"/>
        <w:widowControl/>
        <w:suppressLineNumbers w:val="0"/>
        <w:spacing w:before="75" w:beforeAutospacing="0" w:after="75" w:afterAutospacing="0" w:line="300" w:lineRule="atLeast"/>
        <w:ind w:left="0" w:right="0" w:firstLine="240" w:firstLineChars="100"/>
        <w:jc w:val="left"/>
        <w:rPr>
          <w:rFonts w:hint="default" w:ascii="仿宋" w:hAnsi="仿宋" w:eastAsia="仿宋" w:cs="仿宋"/>
          <w:color w:val="auto"/>
          <w:sz w:val="24"/>
          <w:szCs w:val="24"/>
          <w:highlight w:val="none"/>
          <w:lang w:val="en-US"/>
        </w:rPr>
      </w:pPr>
      <w:r>
        <w:rPr>
          <w:rFonts w:hint="eastAsia" w:ascii="仿宋" w:hAnsi="仿宋" w:eastAsia="仿宋" w:cs="仿宋"/>
          <w:i w:val="0"/>
          <w:iCs w:val="0"/>
          <w:caps w:val="0"/>
          <w:color w:val="auto"/>
          <w:spacing w:val="0"/>
          <w:sz w:val="24"/>
          <w:szCs w:val="24"/>
          <w:highlight w:val="none"/>
        </w:rPr>
        <w:t>采购需求：</w:t>
      </w:r>
      <w:r>
        <w:rPr>
          <w:rFonts w:hint="eastAsia" w:ascii="仿宋" w:hAnsi="仿宋" w:eastAsia="仿宋" w:cs="仿宋"/>
          <w:color w:val="auto"/>
          <w:sz w:val="24"/>
          <w:szCs w:val="24"/>
          <w:highlight w:val="none"/>
          <w:lang w:val="en-US" w:eastAsia="zh-CN"/>
        </w:rPr>
        <w:t>第三师总医院（一期）医疗设施设备购置项目（第二包）（标项3），</w:t>
      </w:r>
      <w:r>
        <w:rPr>
          <w:rFonts w:hint="eastAsia" w:ascii="仿宋" w:hAnsi="仿宋" w:eastAsia="仿宋" w:cs="仿宋"/>
          <w:i w:val="0"/>
          <w:iCs w:val="0"/>
          <w:caps w:val="0"/>
          <w:color w:val="auto"/>
          <w:spacing w:val="0"/>
          <w:sz w:val="24"/>
          <w:szCs w:val="24"/>
          <w:highlight w:val="none"/>
          <w:lang w:val="en-US" w:eastAsia="zh-CN"/>
        </w:rPr>
        <w:t>具体</w:t>
      </w:r>
      <w:r>
        <w:rPr>
          <w:rFonts w:hint="eastAsia" w:ascii="仿宋" w:hAnsi="仿宋" w:eastAsia="仿宋" w:cs="仿宋"/>
          <w:i w:val="0"/>
          <w:iCs w:val="0"/>
          <w:caps w:val="0"/>
          <w:color w:val="auto"/>
          <w:spacing w:val="0"/>
          <w:sz w:val="24"/>
          <w:szCs w:val="24"/>
          <w:highlight w:val="none"/>
          <w:lang w:eastAsia="zh-CN"/>
        </w:rPr>
        <w:t>详见招标文件第三部分“采购需求”。</w:t>
      </w:r>
    </w:p>
    <w:p>
      <w:pPr>
        <w:pStyle w:val="16"/>
        <w:keepNext w:val="0"/>
        <w:keepLines w:val="0"/>
        <w:widowControl/>
        <w:suppressLineNumbers w:val="0"/>
        <w:spacing w:before="75" w:beforeAutospacing="0" w:after="75" w:afterAutospacing="0" w:line="300" w:lineRule="atLeast"/>
        <w:ind w:left="480" w:right="0" w:hanging="480" w:hangingChars="200"/>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aps w:val="0"/>
          <w:color w:val="auto"/>
          <w:spacing w:val="0"/>
          <w:kern w:val="0"/>
          <w:sz w:val="24"/>
          <w:szCs w:val="24"/>
          <w:highlight w:val="none"/>
          <w:lang w:val="en-US" w:eastAsia="zh-CN" w:bidi="ar"/>
        </w:rPr>
        <w:t>   </w:t>
      </w:r>
      <w:r>
        <w:rPr>
          <w:rFonts w:hint="eastAsia" w:ascii="仿宋" w:hAnsi="仿宋" w:eastAsia="仿宋" w:cs="仿宋"/>
          <w:i w:val="0"/>
          <w:iCs w:val="0"/>
          <w:caps w:val="0"/>
          <w:color w:val="auto"/>
          <w:spacing w:val="0"/>
          <w:sz w:val="24"/>
          <w:szCs w:val="24"/>
          <w:highlight w:val="none"/>
        </w:rPr>
        <w:t>合同履</w:t>
      </w:r>
      <w:r>
        <w:rPr>
          <w:rFonts w:hint="eastAsia" w:ascii="仿宋" w:hAnsi="仿宋" w:eastAsia="仿宋" w:cs="仿宋"/>
          <w:i w:val="0"/>
          <w:iCs w:val="0"/>
          <w:caps w:val="0"/>
          <w:color w:val="auto"/>
          <w:spacing w:val="0"/>
          <w:sz w:val="24"/>
          <w:szCs w:val="24"/>
          <w:highlight w:val="none"/>
          <w:lang w:val="en-US" w:eastAsia="zh-CN"/>
        </w:rPr>
        <w:t>行</w:t>
      </w:r>
      <w:r>
        <w:rPr>
          <w:rFonts w:hint="eastAsia" w:ascii="仿宋" w:hAnsi="仿宋" w:eastAsia="仿宋" w:cs="仿宋"/>
          <w:i w:val="0"/>
          <w:iCs w:val="0"/>
          <w:caps w:val="0"/>
          <w:color w:val="auto"/>
          <w:spacing w:val="0"/>
          <w:sz w:val="24"/>
          <w:szCs w:val="24"/>
          <w:highlight w:val="none"/>
        </w:rPr>
        <w:t>期限：</w:t>
      </w:r>
      <w:r>
        <w:rPr>
          <w:rFonts w:hint="eastAsia" w:ascii="仿宋" w:hAnsi="仿宋" w:eastAsia="仿宋" w:cs="仿宋"/>
          <w:color w:val="auto"/>
          <w:sz w:val="24"/>
          <w:szCs w:val="24"/>
          <w:highlight w:val="none"/>
          <w:lang w:val="en-US" w:eastAsia="zh-CN"/>
        </w:rPr>
        <w:t>自合同签订之日起30日内完成安装验收调试。</w:t>
      </w:r>
    </w:p>
    <w:p>
      <w:pPr>
        <w:pStyle w:val="16"/>
        <w:keepNext w:val="0"/>
        <w:keepLines w:val="0"/>
        <w:widowControl/>
        <w:suppressLineNumbers w:val="0"/>
        <w:spacing w:before="75" w:beforeAutospacing="0" w:after="75" w:afterAutospacing="0" w:line="300" w:lineRule="atLeast"/>
        <w:ind w:right="0" w:firstLine="240" w:firstLineChars="100"/>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本项目</w:t>
      </w:r>
      <w:r>
        <w:rPr>
          <w:rFonts w:hint="eastAsia" w:ascii="仿宋" w:hAnsi="仿宋" w:eastAsia="仿宋" w:cs="仿宋"/>
          <w:i w:val="0"/>
          <w:iCs w:val="0"/>
          <w:caps w:val="0"/>
          <w:color w:val="auto"/>
          <w:spacing w:val="0"/>
          <w:sz w:val="24"/>
          <w:szCs w:val="24"/>
          <w:highlight w:val="none"/>
          <w:lang w:val="en-US" w:eastAsia="zh-CN"/>
        </w:rPr>
        <w:t>是否</w:t>
      </w:r>
      <w:r>
        <w:rPr>
          <w:rFonts w:hint="eastAsia" w:ascii="仿宋" w:hAnsi="仿宋" w:eastAsia="仿宋" w:cs="仿宋"/>
          <w:i w:val="0"/>
          <w:iCs w:val="0"/>
          <w:caps w:val="0"/>
          <w:color w:val="auto"/>
          <w:spacing w:val="0"/>
          <w:sz w:val="24"/>
          <w:szCs w:val="24"/>
          <w:highlight w:val="none"/>
        </w:rPr>
        <w:t>接受联合体投标</w:t>
      </w:r>
      <w:r>
        <w:rPr>
          <w:rFonts w:hint="eastAsia" w:ascii="仿宋" w:hAnsi="仿宋" w:eastAsia="仿宋" w:cs="仿宋"/>
          <w:i w:val="0"/>
          <w:iCs w:val="0"/>
          <w:caps w:val="0"/>
          <w:color w:val="auto"/>
          <w:spacing w:val="0"/>
          <w:sz w:val="24"/>
          <w:szCs w:val="24"/>
          <w:highlight w:val="none"/>
          <w:lang w:eastAsia="zh-CN"/>
        </w:rPr>
        <w:t>：</w:t>
      </w:r>
      <w:r>
        <w:rPr>
          <w:rFonts w:hint="eastAsia" w:ascii="仿宋" w:hAnsi="仿宋" w:eastAsia="仿宋" w:cs="仿宋"/>
          <w:i w:val="0"/>
          <w:iCs w:val="0"/>
          <w:caps w:val="0"/>
          <w:color w:val="auto"/>
          <w:spacing w:val="0"/>
          <w:sz w:val="24"/>
          <w:szCs w:val="24"/>
          <w:highlight w:val="none"/>
          <w:lang w:val="en-US" w:eastAsia="zh-CN"/>
        </w:rPr>
        <w:t>否。</w:t>
      </w:r>
    </w:p>
    <w:p>
      <w:pPr>
        <w:pStyle w:val="16"/>
        <w:keepNext w:val="0"/>
        <w:keepLines w:val="0"/>
        <w:widowControl/>
        <w:suppressLineNumbers w:val="0"/>
        <w:spacing w:before="255" w:beforeAutospacing="0" w:after="255" w:afterAutospacing="0" w:line="450" w:lineRule="atLeast"/>
        <w:ind w:left="0" w:right="0" w:firstLine="0"/>
        <w:jc w:val="both"/>
        <w:rPr>
          <w:rFonts w:hint="eastAsia" w:ascii="仿宋" w:hAnsi="仿宋" w:eastAsia="仿宋" w:cs="仿宋"/>
          <w:i w:val="0"/>
          <w:iCs w:val="0"/>
          <w:caps w:val="0"/>
          <w:color w:val="auto"/>
          <w:spacing w:val="0"/>
          <w:sz w:val="24"/>
          <w:szCs w:val="24"/>
          <w:highlight w:val="none"/>
        </w:rPr>
      </w:pPr>
      <w:r>
        <w:rPr>
          <w:rStyle w:val="22"/>
          <w:rFonts w:hint="eastAsia" w:ascii="仿宋" w:hAnsi="仿宋" w:eastAsia="仿宋" w:cs="仿宋"/>
          <w:i w:val="0"/>
          <w:iCs w:val="0"/>
          <w:caps w:val="0"/>
          <w:color w:val="auto"/>
          <w:spacing w:val="0"/>
          <w:sz w:val="24"/>
          <w:szCs w:val="24"/>
          <w:highlight w:val="none"/>
        </w:rPr>
        <w:t>二、申请人的资格要求：</w:t>
      </w:r>
    </w:p>
    <w:p>
      <w:pPr>
        <w:pStyle w:val="23"/>
        <w:snapToGrid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1.满足</w:t>
      </w:r>
      <w:r>
        <w:rPr>
          <w:rFonts w:hint="eastAsia" w:ascii="仿宋" w:hAnsi="仿宋" w:eastAsia="仿宋" w:cs="仿宋"/>
          <w:color w:val="auto"/>
          <w:sz w:val="24"/>
          <w:highlight w:val="none"/>
        </w:rPr>
        <w:t>《政府采购法》第二十二条规定</w:t>
      </w:r>
      <w:r>
        <w:rPr>
          <w:rFonts w:hint="eastAsia" w:ascii="仿宋" w:hAnsi="仿宋" w:eastAsia="仿宋" w:cs="仿宋"/>
          <w:color w:val="auto"/>
          <w:sz w:val="24"/>
          <w:highlight w:val="none"/>
          <w:lang w:eastAsia="zh-CN"/>
        </w:rPr>
        <w:t>：</w:t>
      </w:r>
    </w:p>
    <w:p>
      <w:pPr>
        <w:pStyle w:val="26"/>
        <w:widowControl/>
        <w:spacing w:line="288"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人法人营业执照（副本）或事业单位法人证书（副本）或个体工商户营业执照或有效的自然人身份证明、组织机构代码证扫描件（投标人按“三证合一”登记制度办理营业执照的,组织机构代码证和税务登记证（副本）以投标人所提供的营业执照（副本）扫描件为准；</w:t>
      </w:r>
    </w:p>
    <w:p>
      <w:pPr>
        <w:pStyle w:val="94"/>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outlineLvl w:val="9"/>
        <w:rPr>
          <w:rFonts w:hint="default"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投标人法定代表人身份证明或法定代表人授权代表委托书。</w:t>
      </w:r>
      <w:bookmarkStart w:id="4" w:name="_Toc13091"/>
      <w:bookmarkStart w:id="5" w:name="_Toc27686"/>
      <w:bookmarkStart w:id="6" w:name="_Toc25509"/>
      <w:bookmarkStart w:id="7" w:name="_Toc9637"/>
      <w:bookmarkStart w:id="8" w:name="_Toc81083658"/>
      <w:r>
        <w:rPr>
          <w:rFonts w:hint="eastAsia" w:ascii="仿宋" w:hAnsi="仿宋" w:eastAsia="仿宋" w:cs="仿宋"/>
          <w:b w:val="0"/>
          <w:color w:val="auto"/>
          <w:kern w:val="2"/>
          <w:sz w:val="24"/>
          <w:szCs w:val="24"/>
          <w:highlight w:val="none"/>
          <w:lang w:val="en-US" w:eastAsia="zh-CN" w:bidi="ar-SA"/>
        </w:rPr>
        <w:t>（</w:t>
      </w:r>
      <w:r>
        <w:rPr>
          <w:rFonts w:hint="default" w:ascii="仿宋" w:hAnsi="仿宋" w:eastAsia="仿宋" w:cs="仿宋"/>
          <w:b w:val="0"/>
          <w:color w:val="auto"/>
          <w:kern w:val="2"/>
          <w:sz w:val="24"/>
          <w:szCs w:val="24"/>
          <w:highlight w:val="none"/>
          <w:lang w:val="en-US" w:eastAsia="zh-CN" w:bidi="ar-SA"/>
        </w:rPr>
        <w:t>注：</w:t>
      </w:r>
      <w:r>
        <w:rPr>
          <w:rFonts w:hint="eastAsia" w:ascii="仿宋" w:hAnsi="仿宋" w:eastAsia="仿宋" w:cs="仿宋"/>
          <w:b w:val="0"/>
          <w:color w:val="auto"/>
          <w:kern w:val="2"/>
          <w:sz w:val="24"/>
          <w:szCs w:val="24"/>
          <w:highlight w:val="none"/>
          <w:lang w:val="en-US" w:eastAsia="zh-CN" w:bidi="ar-SA"/>
        </w:rPr>
        <w:t>如</w:t>
      </w:r>
      <w:r>
        <w:rPr>
          <w:rFonts w:hint="default" w:ascii="仿宋" w:hAnsi="仿宋" w:eastAsia="仿宋" w:cs="仿宋"/>
          <w:b w:val="0"/>
          <w:color w:val="auto"/>
          <w:kern w:val="2"/>
          <w:sz w:val="24"/>
          <w:szCs w:val="24"/>
          <w:highlight w:val="none"/>
          <w:lang w:val="en-US" w:eastAsia="zh-CN" w:bidi="ar-SA"/>
        </w:rPr>
        <w:t>法定代表人</w:t>
      </w:r>
      <w:r>
        <w:rPr>
          <w:rFonts w:hint="eastAsia" w:ascii="仿宋" w:hAnsi="仿宋" w:eastAsia="仿宋" w:cs="仿宋"/>
          <w:b w:val="0"/>
          <w:color w:val="auto"/>
          <w:kern w:val="2"/>
          <w:sz w:val="24"/>
          <w:szCs w:val="24"/>
          <w:highlight w:val="none"/>
          <w:lang w:val="en-US" w:eastAsia="zh-CN" w:bidi="ar-SA"/>
        </w:rPr>
        <w:t>出席</w:t>
      </w:r>
      <w:r>
        <w:rPr>
          <w:rFonts w:hint="default" w:ascii="仿宋" w:hAnsi="仿宋" w:eastAsia="仿宋" w:cs="仿宋"/>
          <w:b w:val="0"/>
          <w:color w:val="auto"/>
          <w:kern w:val="2"/>
          <w:sz w:val="24"/>
          <w:szCs w:val="24"/>
          <w:highlight w:val="none"/>
          <w:lang w:val="en-US" w:eastAsia="zh-CN" w:bidi="ar-SA"/>
        </w:rPr>
        <w:t>开标会时，需提供法定代表人身份证明文件。</w:t>
      </w:r>
      <w:r>
        <w:rPr>
          <w:rFonts w:hint="eastAsia" w:ascii="仿宋" w:hAnsi="仿宋" w:eastAsia="仿宋" w:cs="仿宋"/>
          <w:b w:val="0"/>
          <w:color w:val="auto"/>
          <w:kern w:val="2"/>
          <w:sz w:val="24"/>
          <w:szCs w:val="24"/>
          <w:highlight w:val="none"/>
          <w:lang w:val="en-US" w:eastAsia="zh-CN" w:bidi="ar-SA"/>
        </w:rPr>
        <w:t>如</w:t>
      </w:r>
      <w:r>
        <w:rPr>
          <w:rFonts w:hint="default" w:ascii="仿宋" w:hAnsi="仿宋" w:eastAsia="仿宋" w:cs="仿宋"/>
          <w:b w:val="0"/>
          <w:color w:val="auto"/>
          <w:kern w:val="2"/>
          <w:sz w:val="24"/>
          <w:szCs w:val="24"/>
          <w:highlight w:val="none"/>
          <w:lang w:val="en-US" w:eastAsia="zh-CN" w:bidi="ar-SA"/>
        </w:rPr>
        <w:t>委托代理人</w:t>
      </w:r>
      <w:r>
        <w:rPr>
          <w:rFonts w:hint="eastAsia" w:ascii="仿宋" w:hAnsi="仿宋" w:eastAsia="仿宋" w:cs="仿宋"/>
          <w:b w:val="0"/>
          <w:color w:val="auto"/>
          <w:kern w:val="2"/>
          <w:sz w:val="24"/>
          <w:szCs w:val="24"/>
          <w:highlight w:val="none"/>
          <w:lang w:val="en-US" w:eastAsia="zh-CN" w:bidi="ar-SA"/>
        </w:rPr>
        <w:t>出席</w:t>
      </w:r>
      <w:r>
        <w:rPr>
          <w:rFonts w:hint="default" w:ascii="仿宋" w:hAnsi="仿宋" w:eastAsia="仿宋" w:cs="仿宋"/>
          <w:b w:val="0"/>
          <w:color w:val="auto"/>
          <w:kern w:val="2"/>
          <w:sz w:val="24"/>
          <w:szCs w:val="24"/>
          <w:highlight w:val="none"/>
          <w:lang w:val="en-US" w:eastAsia="zh-CN" w:bidi="ar-SA"/>
        </w:rPr>
        <w:t>开标会时需同时提供法定代表人资格证明文件和法定代表人授权委托书。</w:t>
      </w:r>
      <w:bookmarkEnd w:id="4"/>
      <w:bookmarkEnd w:id="5"/>
      <w:bookmarkEnd w:id="6"/>
      <w:bookmarkEnd w:id="7"/>
      <w:bookmarkEnd w:id="8"/>
      <w:r>
        <w:rPr>
          <w:rFonts w:hint="eastAsia" w:ascii="仿宋" w:hAnsi="仿宋" w:eastAsia="仿宋" w:cs="仿宋"/>
          <w:b w:val="0"/>
          <w:color w:val="auto"/>
          <w:kern w:val="2"/>
          <w:sz w:val="24"/>
          <w:szCs w:val="24"/>
          <w:highlight w:val="none"/>
          <w:lang w:val="en-US" w:eastAsia="zh-CN" w:bidi="ar-SA"/>
        </w:rPr>
        <w:t>）</w:t>
      </w:r>
    </w:p>
    <w:p>
      <w:pPr>
        <w:pStyle w:val="26"/>
        <w:widowControl/>
        <w:spacing w:line="288"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具有良好的商业信誉和健全的财务会计制度，投标人须提供经第三方审计的2021年度财务审计报告，如投标人无法提供经第三方审计的财务会计报告，则需提供投标人基本账户银行出具的资信证明（递交投标文件截止时间前六个月内任意一个月）的扫描件，银行出具的存款证明不能作为银行资信证明。</w:t>
      </w:r>
    </w:p>
    <w:p>
      <w:pPr>
        <w:pStyle w:val="26"/>
        <w:widowControl/>
        <w:spacing w:line="288"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具有履行合同所必需的设备和专业技术能力，投标人须提供相关资料或书面声明（格式可自拟）。</w:t>
      </w:r>
    </w:p>
    <w:p>
      <w:pPr>
        <w:pStyle w:val="26"/>
        <w:widowControl/>
        <w:spacing w:line="288"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4）有依法缴纳税收和社会保障资金的良好记录</w:t>
      </w:r>
    </w:p>
    <w:p>
      <w:pPr>
        <w:pStyle w:val="26"/>
        <w:widowControl/>
        <w:spacing w:line="288"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提供（递交投标文件截止时间前）近 6 个月内的缴纳税收的凭据证明材料扫描件以及缴纳社会保险的凭据证明材料扫描件；</w:t>
      </w:r>
    </w:p>
    <w:p>
      <w:pPr>
        <w:pStyle w:val="26"/>
        <w:widowControl/>
        <w:spacing w:line="288"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如依法免税或依法不需要缴纳社会保障资金的，应提供的相应文件证明其依法免税或依法不需要缴纳社会保障资金。</w:t>
      </w:r>
    </w:p>
    <w:p>
      <w:pPr>
        <w:pStyle w:val="26"/>
        <w:widowControl/>
        <w:spacing w:line="288"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参加政府采购活动前三年内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在经营活动中没有重大违法记录</w:t>
      </w:r>
    </w:p>
    <w:p>
      <w:pPr>
        <w:pStyle w:val="26"/>
        <w:widowControl/>
        <w:spacing w:line="288"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投标人参加政府采购活动前3年内在经营活动中没有重大违法记录的书面声明（</w:t>
      </w:r>
      <w:r>
        <w:rPr>
          <w:rFonts w:hint="eastAsia" w:ascii="仿宋" w:hAnsi="仿宋" w:eastAsia="仿宋" w:cs="仿宋"/>
          <w:color w:val="auto"/>
          <w:sz w:val="24"/>
          <w:szCs w:val="24"/>
          <w:highlight w:val="none"/>
          <w:lang w:eastAsia="zh-CN"/>
        </w:rPr>
        <w:t>格式可自拟</w:t>
      </w:r>
      <w:r>
        <w:rPr>
          <w:rFonts w:hint="eastAsia" w:ascii="仿宋" w:hAnsi="仿宋" w:eastAsia="仿宋" w:cs="仿宋"/>
          <w:color w:val="auto"/>
          <w:sz w:val="24"/>
          <w:szCs w:val="24"/>
          <w:highlight w:val="none"/>
        </w:rPr>
        <w:t>）；</w:t>
      </w:r>
    </w:p>
    <w:p>
      <w:pPr>
        <w:pStyle w:val="26"/>
        <w:widowControl/>
        <w:spacing w:line="288"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投标人必须为前三年内（</w:t>
      </w:r>
      <w:r>
        <w:rPr>
          <w:rFonts w:hint="eastAsia" w:ascii="仿宋" w:hAnsi="仿宋" w:eastAsia="仿宋" w:cs="仿宋"/>
          <w:color w:val="auto"/>
          <w:sz w:val="24"/>
          <w:szCs w:val="24"/>
          <w:highlight w:val="none"/>
          <w:lang w:eastAsia="zh-CN"/>
        </w:rPr>
        <w:t>2019年1月1日</w:t>
      </w:r>
      <w:r>
        <w:rPr>
          <w:rFonts w:hint="eastAsia" w:ascii="仿宋" w:hAnsi="仿宋" w:eastAsia="仿宋" w:cs="仿宋"/>
          <w:color w:val="auto"/>
          <w:sz w:val="24"/>
          <w:szCs w:val="24"/>
          <w:highlight w:val="none"/>
        </w:rPr>
        <w:t>至投标截止时间未被列入“信用中国”网站（www.creditchina.gov.cn）、中国政府采购网（www.ccgp.gov.cn）信用记录失信被执行人、税收违法黑名单、政府采购严重违法失信行为记录名单的；（</w:t>
      </w:r>
      <w:r>
        <w:rPr>
          <w:rFonts w:hint="eastAsia" w:ascii="仿宋" w:hAnsi="仿宋" w:eastAsia="仿宋" w:cs="仿宋"/>
          <w:color w:val="auto"/>
          <w:sz w:val="24"/>
          <w:szCs w:val="24"/>
          <w:highlight w:val="none"/>
          <w:lang w:eastAsia="zh-CN"/>
        </w:rPr>
        <w:t>查询的结果以采购人或采购代理机构</w:t>
      </w:r>
      <w:r>
        <w:rPr>
          <w:rFonts w:hint="eastAsia" w:ascii="仿宋" w:hAnsi="仿宋" w:eastAsia="仿宋" w:cs="仿宋"/>
          <w:color w:val="auto"/>
          <w:sz w:val="24"/>
          <w:szCs w:val="24"/>
          <w:highlight w:val="none"/>
        </w:rPr>
        <w:t xml:space="preserve">开标当日查询记录为准）。  </w:t>
      </w:r>
    </w:p>
    <w:p>
      <w:pPr>
        <w:pStyle w:val="26"/>
        <w:widowControl/>
        <w:spacing w:line="288" w:lineRule="auto"/>
        <w:ind w:firstLine="480" w:firstLineChars="200"/>
        <w:jc w:val="left"/>
        <w:rPr>
          <w:rFonts w:hint="eastAsia" w:ascii="仿宋" w:hAnsi="仿宋" w:eastAsia="仿宋" w:cs="仿宋"/>
          <w:b/>
          <w:bCs/>
          <w:color w:val="auto"/>
          <w:sz w:val="24"/>
          <w:szCs w:val="24"/>
          <w:highlight w:val="yellow"/>
          <w:lang w:val="en-US" w:eastAsia="zh-CN"/>
        </w:rPr>
      </w:pPr>
      <w:r>
        <w:rPr>
          <w:rFonts w:hint="eastAsia" w:ascii="仿宋" w:hAnsi="仿宋" w:eastAsia="仿宋" w:cs="仿宋"/>
          <w:color w:val="auto"/>
          <w:sz w:val="24"/>
          <w:szCs w:val="24"/>
          <w:highlight w:val="none"/>
          <w:lang w:val="en-US" w:eastAsia="zh-CN"/>
        </w:rPr>
        <w:t>2.落实政府采购政策需满足的资格要求：</w:t>
      </w:r>
      <w:r>
        <w:rPr>
          <w:rFonts w:hint="eastAsia" w:ascii="仿宋" w:hAnsi="仿宋" w:eastAsia="仿宋" w:cs="仿宋"/>
          <w:b/>
          <w:bCs/>
          <w:color w:val="auto"/>
          <w:sz w:val="24"/>
          <w:szCs w:val="24"/>
          <w:highlight w:val="none"/>
          <w:lang w:val="en-US" w:eastAsia="zh-CN"/>
        </w:rPr>
        <w:t>无（本项目为非专门面向中小企业采购的项目）。</w:t>
      </w:r>
    </w:p>
    <w:p>
      <w:pPr>
        <w:pStyle w:val="26"/>
        <w:widowControl/>
        <w:spacing w:line="288"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3.本项目的特定资格要求：投标人应符合《医疗器械经营监督管理办法》、《医疗器械生产监督管理办法》的规定：</w:t>
      </w:r>
    </w:p>
    <w:p>
      <w:pPr>
        <w:pStyle w:val="26"/>
        <w:widowControl/>
        <w:spacing w:line="288"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（1）投标人为所投产品制造商的，投标产品属于一类医疗器械的须提供《第一类医疗器械生产备案凭证》，所投产品属于二类、三类医疗器械须提供《医疗器械生产许可证》；</w:t>
      </w:r>
    </w:p>
    <w:p>
      <w:pPr>
        <w:pStyle w:val="26"/>
        <w:widowControl/>
        <w:spacing w:line="288"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投标人为所投产品的经销商或代理商且所投产品属于二类医疗器械须提供《医疗器械经营许可证》及《第二类医疗器械经营备案凭证》，所投产品属于三类医疗器械须提供《医疗器械经营许可证》及《医疗器械注册证》，同时还须提供所投产品制造商的《医疗器械生产许可证》。</w:t>
      </w:r>
    </w:p>
    <w:p>
      <w:pPr>
        <w:pStyle w:val="26"/>
        <w:widowControl/>
        <w:spacing w:line="288" w:lineRule="auto"/>
        <w:ind w:firstLine="480" w:firstLineChars="2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以上所有证件必须在有效期内，否则资格性审查不通过。</w:t>
      </w:r>
    </w:p>
    <w:p>
      <w:pPr>
        <w:pStyle w:val="16"/>
        <w:keepNext w:val="0"/>
        <w:keepLines w:val="0"/>
        <w:widowControl/>
        <w:suppressLineNumbers w:val="0"/>
        <w:spacing w:before="75" w:beforeAutospacing="0" w:after="75" w:afterAutospacing="0" w:line="300" w:lineRule="atLeast"/>
        <w:ind w:left="0" w:right="0"/>
        <w:jc w:val="left"/>
        <w:rPr>
          <w:rFonts w:hint="eastAsia" w:ascii="仿宋" w:hAnsi="仿宋" w:eastAsia="仿宋" w:cs="仿宋"/>
          <w:i w:val="0"/>
          <w:iCs w:val="0"/>
          <w:caps w:val="0"/>
          <w:color w:val="auto"/>
          <w:spacing w:val="0"/>
          <w:sz w:val="24"/>
          <w:szCs w:val="24"/>
          <w:highlight w:val="none"/>
        </w:rPr>
      </w:pPr>
      <w:r>
        <w:rPr>
          <w:rStyle w:val="22"/>
          <w:rFonts w:hint="eastAsia" w:ascii="仿宋" w:hAnsi="仿宋" w:eastAsia="仿宋" w:cs="仿宋"/>
          <w:i w:val="0"/>
          <w:iCs w:val="0"/>
          <w:caps w:val="0"/>
          <w:color w:val="auto"/>
          <w:spacing w:val="0"/>
          <w:sz w:val="24"/>
          <w:szCs w:val="24"/>
          <w:highlight w:val="none"/>
        </w:rPr>
        <w:t>三、获取</w:t>
      </w:r>
      <w:r>
        <w:rPr>
          <w:rStyle w:val="22"/>
          <w:rFonts w:hint="eastAsia" w:ascii="仿宋" w:hAnsi="仿宋" w:eastAsia="仿宋" w:cs="仿宋"/>
          <w:i w:val="0"/>
          <w:iCs w:val="0"/>
          <w:caps w:val="0"/>
          <w:color w:val="auto"/>
          <w:spacing w:val="0"/>
          <w:sz w:val="24"/>
          <w:szCs w:val="24"/>
          <w:highlight w:val="none"/>
          <w:lang w:val="en-US" w:eastAsia="zh-CN"/>
        </w:rPr>
        <w:t>招标</w:t>
      </w:r>
      <w:r>
        <w:rPr>
          <w:rStyle w:val="22"/>
          <w:rFonts w:hint="eastAsia" w:ascii="仿宋" w:hAnsi="仿宋" w:eastAsia="仿宋" w:cs="仿宋"/>
          <w:i w:val="0"/>
          <w:iCs w:val="0"/>
          <w:caps w:val="0"/>
          <w:color w:val="auto"/>
          <w:spacing w:val="0"/>
          <w:sz w:val="24"/>
          <w:szCs w:val="24"/>
          <w:highlight w:val="none"/>
        </w:rPr>
        <w:t>文件</w:t>
      </w:r>
    </w:p>
    <w:p>
      <w:pPr>
        <w:pStyle w:val="16"/>
        <w:keepNext w:val="0"/>
        <w:keepLines w:val="0"/>
        <w:widowControl/>
        <w:suppressLineNumbers w:val="0"/>
        <w:spacing w:before="75" w:beforeAutospacing="0" w:after="75" w:afterAutospacing="0" w:line="300" w:lineRule="atLeast"/>
        <w:ind w:left="0" w:right="0"/>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    </w:t>
      </w:r>
      <w:r>
        <w:rPr>
          <w:rFonts w:hint="eastAsia" w:ascii="仿宋" w:hAnsi="仿宋" w:eastAsia="仿宋" w:cs="仿宋"/>
          <w:i w:val="0"/>
          <w:iCs w:val="0"/>
          <w:caps w:val="0"/>
          <w:color w:val="auto"/>
          <w:spacing w:val="0"/>
          <w:sz w:val="24"/>
          <w:szCs w:val="24"/>
          <w:highlight w:val="none"/>
          <w:u w:val="none"/>
        </w:rPr>
        <w:t>时间：2022年</w:t>
      </w:r>
      <w:r>
        <w:rPr>
          <w:rFonts w:hint="eastAsia" w:ascii="仿宋" w:hAnsi="仿宋" w:eastAsia="仿宋" w:cs="仿宋"/>
          <w:i w:val="0"/>
          <w:iCs w:val="0"/>
          <w:caps w:val="0"/>
          <w:color w:val="auto"/>
          <w:spacing w:val="0"/>
          <w:sz w:val="24"/>
          <w:szCs w:val="24"/>
          <w:highlight w:val="none"/>
          <w:u w:val="none"/>
          <w:lang w:val="en-US" w:eastAsia="zh-CN"/>
        </w:rPr>
        <w:t>12</w:t>
      </w:r>
      <w:r>
        <w:rPr>
          <w:rFonts w:hint="eastAsia" w:ascii="仿宋" w:hAnsi="仿宋" w:eastAsia="仿宋" w:cs="仿宋"/>
          <w:i w:val="0"/>
          <w:iCs w:val="0"/>
          <w:caps w:val="0"/>
          <w:color w:val="auto"/>
          <w:spacing w:val="0"/>
          <w:sz w:val="24"/>
          <w:szCs w:val="24"/>
          <w:highlight w:val="none"/>
          <w:u w:val="none"/>
        </w:rPr>
        <w:t>月</w:t>
      </w:r>
      <w:r>
        <w:rPr>
          <w:rFonts w:hint="eastAsia" w:ascii="仿宋" w:hAnsi="仿宋" w:eastAsia="仿宋" w:cs="仿宋"/>
          <w:i w:val="0"/>
          <w:iCs w:val="0"/>
          <w:caps w:val="0"/>
          <w:color w:val="auto"/>
          <w:spacing w:val="0"/>
          <w:sz w:val="24"/>
          <w:szCs w:val="24"/>
          <w:highlight w:val="none"/>
          <w:u w:val="none"/>
          <w:lang w:val="en-US" w:eastAsia="zh-CN"/>
        </w:rPr>
        <w:t>4</w:t>
      </w:r>
      <w:r>
        <w:rPr>
          <w:rFonts w:hint="eastAsia" w:ascii="仿宋" w:hAnsi="仿宋" w:eastAsia="仿宋" w:cs="仿宋"/>
          <w:i w:val="0"/>
          <w:iCs w:val="0"/>
          <w:caps w:val="0"/>
          <w:color w:val="auto"/>
          <w:spacing w:val="0"/>
          <w:sz w:val="24"/>
          <w:szCs w:val="24"/>
          <w:highlight w:val="none"/>
          <w:u w:val="none"/>
        </w:rPr>
        <w:t>日至2022年</w:t>
      </w:r>
      <w:r>
        <w:rPr>
          <w:rFonts w:hint="eastAsia" w:ascii="仿宋" w:hAnsi="仿宋" w:eastAsia="仿宋" w:cs="仿宋"/>
          <w:i w:val="0"/>
          <w:iCs w:val="0"/>
          <w:caps w:val="0"/>
          <w:color w:val="auto"/>
          <w:spacing w:val="0"/>
          <w:sz w:val="24"/>
          <w:szCs w:val="24"/>
          <w:highlight w:val="none"/>
          <w:u w:val="none"/>
          <w:lang w:val="en-US" w:eastAsia="zh-CN"/>
        </w:rPr>
        <w:t>12</w:t>
      </w:r>
      <w:r>
        <w:rPr>
          <w:rFonts w:hint="eastAsia" w:ascii="仿宋" w:hAnsi="仿宋" w:eastAsia="仿宋" w:cs="仿宋"/>
          <w:i w:val="0"/>
          <w:iCs w:val="0"/>
          <w:caps w:val="0"/>
          <w:color w:val="auto"/>
          <w:spacing w:val="0"/>
          <w:sz w:val="24"/>
          <w:szCs w:val="24"/>
          <w:highlight w:val="none"/>
          <w:u w:val="none"/>
        </w:rPr>
        <w:t>月</w:t>
      </w:r>
      <w:r>
        <w:rPr>
          <w:rFonts w:hint="eastAsia" w:ascii="仿宋" w:hAnsi="仿宋" w:eastAsia="仿宋" w:cs="仿宋"/>
          <w:i w:val="0"/>
          <w:iCs w:val="0"/>
          <w:caps w:val="0"/>
          <w:color w:val="auto"/>
          <w:spacing w:val="0"/>
          <w:sz w:val="24"/>
          <w:szCs w:val="24"/>
          <w:highlight w:val="none"/>
          <w:u w:val="none"/>
          <w:lang w:val="en-US" w:eastAsia="zh-CN"/>
        </w:rPr>
        <w:t>10</w:t>
      </w:r>
      <w:r>
        <w:rPr>
          <w:rFonts w:hint="eastAsia" w:ascii="仿宋" w:hAnsi="仿宋" w:eastAsia="仿宋" w:cs="仿宋"/>
          <w:i w:val="0"/>
          <w:iCs w:val="0"/>
          <w:caps w:val="0"/>
          <w:color w:val="auto"/>
          <w:spacing w:val="0"/>
          <w:sz w:val="24"/>
          <w:szCs w:val="24"/>
          <w:highlight w:val="none"/>
          <w:u w:val="none"/>
        </w:rPr>
        <w:t>日，每天上午00:00至12:00，下午12:00至00:00（北京时间，法定节假日除</w:t>
      </w:r>
      <w:r>
        <w:rPr>
          <w:rFonts w:hint="eastAsia" w:ascii="仿宋" w:hAnsi="仿宋" w:eastAsia="仿宋" w:cs="仿宋"/>
          <w:i w:val="0"/>
          <w:iCs w:val="0"/>
          <w:caps w:val="0"/>
          <w:color w:val="auto"/>
          <w:spacing w:val="0"/>
          <w:sz w:val="24"/>
          <w:szCs w:val="24"/>
          <w:highlight w:val="none"/>
          <w:u w:val="none"/>
          <w:lang w:val="en-US" w:eastAsia="zh-CN"/>
        </w:rPr>
        <w:t>外）</w:t>
      </w:r>
    </w:p>
    <w:p>
      <w:pPr>
        <w:pStyle w:val="16"/>
        <w:keepNext w:val="0"/>
        <w:keepLines w:val="0"/>
        <w:widowControl/>
        <w:suppressLineNumbers w:val="0"/>
        <w:spacing w:before="75" w:beforeAutospacing="0" w:after="75" w:afterAutospacing="0" w:line="300" w:lineRule="atLeast"/>
        <w:ind w:left="0" w:right="0"/>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    地点：登陆政采云平台http://www.zcygov.cn/在线申请获取  </w:t>
      </w:r>
    </w:p>
    <w:p>
      <w:pPr>
        <w:pStyle w:val="16"/>
        <w:keepNext w:val="0"/>
        <w:keepLines w:val="0"/>
        <w:widowControl/>
        <w:suppressLineNumbers w:val="0"/>
        <w:spacing w:before="75" w:beforeAutospacing="0" w:after="75" w:afterAutospacing="0" w:line="300" w:lineRule="atLeast"/>
        <w:ind w:left="0" w:right="0" w:firstLine="373"/>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方式：</w:t>
      </w:r>
      <w:r>
        <w:rPr>
          <w:rFonts w:hint="eastAsia" w:ascii="仿宋" w:hAnsi="仿宋" w:eastAsia="仿宋" w:cs="仿宋"/>
          <w:i w:val="0"/>
          <w:iCs w:val="0"/>
          <w:caps w:val="0"/>
          <w:color w:val="auto"/>
          <w:spacing w:val="0"/>
          <w:sz w:val="24"/>
          <w:szCs w:val="24"/>
          <w:highlight w:val="none"/>
          <w:lang w:eastAsia="zh-CN"/>
        </w:rPr>
        <w:t>投标人</w:t>
      </w:r>
      <w:r>
        <w:rPr>
          <w:rFonts w:hint="eastAsia" w:ascii="仿宋" w:hAnsi="仿宋" w:eastAsia="仿宋" w:cs="仿宋"/>
          <w:i w:val="0"/>
          <w:iCs w:val="0"/>
          <w:caps w:val="0"/>
          <w:color w:val="auto"/>
          <w:spacing w:val="0"/>
          <w:sz w:val="24"/>
          <w:szCs w:val="24"/>
          <w:highlight w:val="none"/>
        </w:rPr>
        <w:t>登录政采云平台https://www.zcygov.cn/在线申请获取</w:t>
      </w:r>
      <w:r>
        <w:rPr>
          <w:rFonts w:hint="eastAsia" w:ascii="仿宋" w:hAnsi="仿宋" w:eastAsia="仿宋" w:cs="仿宋"/>
          <w:i w:val="0"/>
          <w:iCs w:val="0"/>
          <w:caps w:val="0"/>
          <w:color w:val="auto"/>
          <w:spacing w:val="0"/>
          <w:sz w:val="24"/>
          <w:szCs w:val="24"/>
          <w:highlight w:val="none"/>
          <w:lang w:eastAsia="zh-CN"/>
        </w:rPr>
        <w:t>招标文件</w:t>
      </w:r>
      <w:r>
        <w:rPr>
          <w:rFonts w:hint="eastAsia" w:ascii="仿宋" w:hAnsi="仿宋" w:eastAsia="仿宋" w:cs="仿宋"/>
          <w:i w:val="0"/>
          <w:iCs w:val="0"/>
          <w:caps w:val="0"/>
          <w:color w:val="auto"/>
          <w:spacing w:val="0"/>
          <w:sz w:val="24"/>
          <w:szCs w:val="24"/>
          <w:highlight w:val="none"/>
        </w:rPr>
        <w:t>（进入“项目采购”应用，在获取</w:t>
      </w:r>
      <w:r>
        <w:rPr>
          <w:rFonts w:hint="eastAsia" w:ascii="仿宋" w:hAnsi="仿宋" w:eastAsia="仿宋" w:cs="仿宋"/>
          <w:i w:val="0"/>
          <w:iCs w:val="0"/>
          <w:caps w:val="0"/>
          <w:color w:val="auto"/>
          <w:spacing w:val="0"/>
          <w:sz w:val="24"/>
          <w:szCs w:val="24"/>
          <w:highlight w:val="none"/>
          <w:lang w:eastAsia="zh-CN"/>
        </w:rPr>
        <w:t>招标文件</w:t>
      </w:r>
      <w:r>
        <w:rPr>
          <w:rFonts w:hint="eastAsia" w:ascii="仿宋" w:hAnsi="仿宋" w:eastAsia="仿宋" w:cs="仿宋"/>
          <w:i w:val="0"/>
          <w:iCs w:val="0"/>
          <w:caps w:val="0"/>
          <w:color w:val="auto"/>
          <w:spacing w:val="0"/>
          <w:sz w:val="24"/>
          <w:szCs w:val="24"/>
          <w:highlight w:val="none"/>
        </w:rPr>
        <w:t>菜单中选择项目，申请获取</w:t>
      </w:r>
      <w:r>
        <w:rPr>
          <w:rFonts w:hint="eastAsia" w:ascii="仿宋" w:hAnsi="仿宋" w:eastAsia="仿宋" w:cs="仿宋"/>
          <w:i w:val="0"/>
          <w:iCs w:val="0"/>
          <w:caps w:val="0"/>
          <w:color w:val="auto"/>
          <w:spacing w:val="0"/>
          <w:sz w:val="24"/>
          <w:szCs w:val="24"/>
          <w:highlight w:val="none"/>
          <w:lang w:eastAsia="zh-CN"/>
        </w:rPr>
        <w:t>招标文件</w:t>
      </w:r>
      <w:r>
        <w:rPr>
          <w:rFonts w:hint="eastAsia" w:ascii="仿宋" w:hAnsi="仿宋" w:eastAsia="仿宋" w:cs="仿宋"/>
          <w:i w:val="0"/>
          <w:iCs w:val="0"/>
          <w:caps w:val="0"/>
          <w:color w:val="auto"/>
          <w:spacing w:val="0"/>
          <w:sz w:val="24"/>
          <w:szCs w:val="24"/>
          <w:highlight w:val="none"/>
        </w:rPr>
        <w:t>） </w:t>
      </w:r>
    </w:p>
    <w:p>
      <w:pPr>
        <w:pStyle w:val="16"/>
        <w:keepNext w:val="0"/>
        <w:keepLines w:val="0"/>
        <w:widowControl/>
        <w:suppressLineNumbers w:val="0"/>
        <w:spacing w:before="75" w:beforeAutospacing="0" w:after="75" w:afterAutospacing="0" w:line="300" w:lineRule="atLeast"/>
        <w:ind w:left="0" w:right="0" w:firstLine="373"/>
        <w:rPr>
          <w:rFonts w:hint="default"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eastAsia="zh-CN"/>
        </w:rPr>
        <w:t>售价：</w:t>
      </w:r>
      <w:r>
        <w:rPr>
          <w:rFonts w:hint="eastAsia" w:ascii="仿宋" w:hAnsi="仿宋" w:eastAsia="仿宋" w:cs="仿宋"/>
          <w:i w:val="0"/>
          <w:iCs w:val="0"/>
          <w:caps w:val="0"/>
          <w:color w:val="auto"/>
          <w:spacing w:val="0"/>
          <w:sz w:val="24"/>
          <w:szCs w:val="24"/>
          <w:highlight w:val="none"/>
          <w:lang w:val="en-US" w:eastAsia="zh-CN"/>
        </w:rPr>
        <w:t>0元</w:t>
      </w:r>
    </w:p>
    <w:p>
      <w:pPr>
        <w:pStyle w:val="16"/>
        <w:keepNext w:val="0"/>
        <w:keepLines w:val="0"/>
        <w:widowControl/>
        <w:numPr>
          <w:ilvl w:val="0"/>
          <w:numId w:val="4"/>
        </w:numPr>
        <w:suppressLineNumbers w:val="0"/>
        <w:spacing w:before="75" w:beforeAutospacing="0" w:after="75" w:afterAutospacing="0" w:line="300" w:lineRule="atLeast"/>
        <w:ind w:left="0" w:right="0"/>
        <w:rPr>
          <w:rStyle w:val="22"/>
          <w:rFonts w:hint="eastAsia" w:ascii="仿宋" w:hAnsi="仿宋" w:eastAsia="仿宋" w:cs="仿宋"/>
          <w:i w:val="0"/>
          <w:iCs w:val="0"/>
          <w:caps w:val="0"/>
          <w:color w:val="auto"/>
          <w:spacing w:val="0"/>
          <w:sz w:val="24"/>
          <w:szCs w:val="24"/>
          <w:highlight w:val="none"/>
        </w:rPr>
      </w:pPr>
      <w:r>
        <w:rPr>
          <w:rStyle w:val="22"/>
          <w:rFonts w:hint="eastAsia" w:ascii="仿宋" w:hAnsi="仿宋" w:eastAsia="仿宋" w:cs="仿宋"/>
          <w:i w:val="0"/>
          <w:iCs w:val="0"/>
          <w:caps w:val="0"/>
          <w:color w:val="auto"/>
          <w:spacing w:val="0"/>
          <w:sz w:val="24"/>
          <w:szCs w:val="24"/>
          <w:highlight w:val="none"/>
        </w:rPr>
        <w:t>提交投标文件截止时间、开标时间和地点</w:t>
      </w:r>
    </w:p>
    <w:p>
      <w:pPr>
        <w:pStyle w:val="16"/>
        <w:keepNext w:val="0"/>
        <w:keepLines w:val="0"/>
        <w:widowControl/>
        <w:numPr>
          <w:ilvl w:val="0"/>
          <w:numId w:val="0"/>
        </w:numPr>
        <w:suppressLineNumbers w:val="0"/>
        <w:spacing w:before="75" w:beforeAutospacing="0" w:after="75" w:afterAutospacing="0" w:line="300" w:lineRule="atLeast"/>
        <w:ind w:right="0" w:rightChars="0" w:firstLine="373"/>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lang w:eastAsia="zh-CN"/>
        </w:rPr>
        <w:t>2022年12月24日 11:00</w:t>
      </w:r>
      <w:r>
        <w:rPr>
          <w:rFonts w:hint="eastAsia" w:ascii="仿宋" w:hAnsi="仿宋" w:eastAsia="仿宋" w:cs="仿宋"/>
          <w:i w:val="0"/>
          <w:iCs w:val="0"/>
          <w:caps w:val="0"/>
          <w:color w:val="auto"/>
          <w:spacing w:val="0"/>
          <w:sz w:val="24"/>
          <w:szCs w:val="24"/>
          <w:highlight w:val="none"/>
        </w:rPr>
        <w:t>（北京时间）</w:t>
      </w:r>
    </w:p>
    <w:p>
      <w:pPr>
        <w:pStyle w:val="16"/>
        <w:keepNext w:val="0"/>
        <w:keepLines w:val="0"/>
        <w:widowControl/>
        <w:numPr>
          <w:ilvl w:val="0"/>
          <w:numId w:val="0"/>
        </w:numPr>
        <w:suppressLineNumbers w:val="0"/>
        <w:spacing w:before="75" w:beforeAutospacing="0" w:after="75" w:afterAutospacing="0" w:line="300" w:lineRule="atLeast"/>
        <w:ind w:right="0" w:rightChars="0" w:firstLine="373"/>
        <w:rPr>
          <w:rFonts w:hint="eastAsia" w:ascii="仿宋" w:hAnsi="仿宋" w:eastAsia="仿宋" w:cs="仿宋"/>
          <w:i w:val="0"/>
          <w:iCs w:val="0"/>
          <w:caps w:val="0"/>
          <w:color w:val="auto"/>
          <w:spacing w:val="0"/>
          <w:kern w:val="0"/>
          <w:sz w:val="24"/>
          <w:szCs w:val="24"/>
          <w:highlight w:val="none"/>
          <w:lang w:val="en-US" w:eastAsia="zh-CN" w:bidi="ar"/>
        </w:rPr>
      </w:pPr>
      <w:r>
        <w:rPr>
          <w:rFonts w:hint="eastAsia" w:ascii="仿宋" w:hAnsi="仿宋" w:eastAsia="仿宋" w:cs="仿宋"/>
          <w:i w:val="0"/>
          <w:iCs w:val="0"/>
          <w:caps w:val="0"/>
          <w:color w:val="auto"/>
          <w:spacing w:val="0"/>
          <w:sz w:val="24"/>
          <w:szCs w:val="24"/>
          <w:highlight w:val="none"/>
        </w:rPr>
        <w:t>地点：</w:t>
      </w:r>
      <w:r>
        <w:rPr>
          <w:rFonts w:hint="eastAsia" w:ascii="仿宋" w:hAnsi="仿宋" w:eastAsia="仿宋" w:cs="仿宋"/>
          <w:i w:val="0"/>
          <w:iCs w:val="0"/>
          <w:caps w:val="0"/>
          <w:color w:val="auto"/>
          <w:spacing w:val="0"/>
          <w:kern w:val="0"/>
          <w:sz w:val="24"/>
          <w:szCs w:val="24"/>
          <w:highlight w:val="none"/>
          <w:lang w:val="en-US" w:eastAsia="zh-CN" w:bidi="ar"/>
        </w:rPr>
        <w:t>政府采购云平台https://www.zcygov.cn/网上开标</w:t>
      </w:r>
    </w:p>
    <w:p>
      <w:pPr>
        <w:pStyle w:val="16"/>
        <w:keepNext w:val="0"/>
        <w:keepLines w:val="0"/>
        <w:widowControl/>
        <w:suppressLineNumbers w:val="0"/>
        <w:spacing w:before="255" w:beforeAutospacing="0" w:after="255" w:afterAutospacing="0" w:line="450" w:lineRule="atLeast"/>
        <w:ind w:left="0" w:right="0" w:firstLine="0"/>
        <w:jc w:val="both"/>
        <w:rPr>
          <w:rFonts w:hint="eastAsia" w:ascii="仿宋" w:hAnsi="仿宋" w:eastAsia="仿宋" w:cs="仿宋"/>
          <w:i w:val="0"/>
          <w:iCs w:val="0"/>
          <w:caps w:val="0"/>
          <w:color w:val="auto"/>
          <w:spacing w:val="0"/>
          <w:sz w:val="24"/>
          <w:szCs w:val="24"/>
          <w:highlight w:val="none"/>
        </w:rPr>
      </w:pPr>
      <w:r>
        <w:rPr>
          <w:rStyle w:val="22"/>
          <w:rFonts w:hint="eastAsia" w:ascii="仿宋" w:hAnsi="仿宋" w:eastAsia="仿宋" w:cs="仿宋"/>
          <w:i w:val="0"/>
          <w:iCs w:val="0"/>
          <w:caps w:val="0"/>
          <w:color w:val="auto"/>
          <w:spacing w:val="0"/>
          <w:sz w:val="24"/>
          <w:szCs w:val="24"/>
          <w:highlight w:val="none"/>
          <w:lang w:eastAsia="zh-CN"/>
        </w:rPr>
        <w:t>五</w:t>
      </w:r>
      <w:r>
        <w:rPr>
          <w:rStyle w:val="22"/>
          <w:rFonts w:hint="eastAsia" w:ascii="仿宋" w:hAnsi="仿宋" w:eastAsia="仿宋" w:cs="仿宋"/>
          <w:i w:val="0"/>
          <w:iCs w:val="0"/>
          <w:caps w:val="0"/>
          <w:color w:val="auto"/>
          <w:spacing w:val="0"/>
          <w:sz w:val="24"/>
          <w:szCs w:val="24"/>
          <w:highlight w:val="none"/>
        </w:rPr>
        <w:t>、公告期限</w:t>
      </w:r>
    </w:p>
    <w:p>
      <w:pPr>
        <w:pStyle w:val="16"/>
        <w:keepNext w:val="0"/>
        <w:keepLines w:val="0"/>
        <w:widowControl/>
        <w:suppressLineNumbers w:val="0"/>
        <w:spacing w:before="75" w:beforeAutospacing="0" w:after="75" w:afterAutospacing="0"/>
        <w:ind w:left="0" w:right="0" w:firstLine="0"/>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    自本公告发布之日起5个工作日。</w:t>
      </w:r>
    </w:p>
    <w:p>
      <w:pPr>
        <w:pStyle w:val="16"/>
        <w:keepNext w:val="0"/>
        <w:keepLines w:val="0"/>
        <w:widowControl/>
        <w:suppressLineNumbers w:val="0"/>
        <w:spacing w:before="255" w:beforeAutospacing="0" w:after="255" w:afterAutospacing="0" w:line="450" w:lineRule="atLeast"/>
        <w:ind w:left="0" w:right="0" w:firstLine="0"/>
        <w:jc w:val="both"/>
        <w:rPr>
          <w:rFonts w:hint="eastAsia" w:ascii="仿宋" w:hAnsi="仿宋" w:eastAsia="仿宋" w:cs="仿宋"/>
          <w:i w:val="0"/>
          <w:iCs w:val="0"/>
          <w:caps w:val="0"/>
          <w:color w:val="auto"/>
          <w:spacing w:val="0"/>
          <w:sz w:val="24"/>
          <w:szCs w:val="24"/>
          <w:highlight w:val="none"/>
        </w:rPr>
      </w:pPr>
      <w:r>
        <w:rPr>
          <w:rStyle w:val="22"/>
          <w:rFonts w:hint="eastAsia" w:ascii="仿宋" w:hAnsi="仿宋" w:eastAsia="仿宋" w:cs="仿宋"/>
          <w:i w:val="0"/>
          <w:iCs w:val="0"/>
          <w:caps w:val="0"/>
          <w:color w:val="auto"/>
          <w:spacing w:val="0"/>
          <w:sz w:val="24"/>
          <w:szCs w:val="24"/>
          <w:highlight w:val="none"/>
          <w:lang w:eastAsia="zh-CN"/>
        </w:rPr>
        <w:t>六</w:t>
      </w:r>
      <w:r>
        <w:rPr>
          <w:rStyle w:val="22"/>
          <w:rFonts w:hint="eastAsia" w:ascii="仿宋" w:hAnsi="仿宋" w:eastAsia="仿宋" w:cs="仿宋"/>
          <w:i w:val="0"/>
          <w:iCs w:val="0"/>
          <w:caps w:val="0"/>
          <w:color w:val="auto"/>
          <w:spacing w:val="0"/>
          <w:sz w:val="24"/>
          <w:szCs w:val="24"/>
          <w:highlight w:val="none"/>
        </w:rPr>
        <w:t>、其他补充事宜</w:t>
      </w:r>
      <w:r>
        <w:rPr>
          <w:rFonts w:hint="eastAsia" w:ascii="仿宋" w:hAnsi="仿宋" w:eastAsia="仿宋" w:cs="仿宋"/>
          <w:i w:val="0"/>
          <w:iCs w:val="0"/>
          <w:caps w:val="0"/>
          <w:color w:val="auto"/>
          <w:spacing w:val="0"/>
          <w:sz w:val="24"/>
          <w:szCs w:val="24"/>
          <w:highlight w:val="none"/>
        </w:rPr>
        <w:t> </w:t>
      </w:r>
    </w:p>
    <w:p>
      <w:pPr>
        <w:pStyle w:val="16"/>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1</w:t>
      </w:r>
      <w:r>
        <w:rPr>
          <w:rFonts w:hint="eastAsia" w:ascii="仿宋" w:hAnsi="仿宋" w:eastAsia="仿宋" w:cs="仿宋"/>
          <w:i w:val="0"/>
          <w:iCs w:val="0"/>
          <w:caps w:val="0"/>
          <w:color w:val="auto"/>
          <w:spacing w:val="0"/>
          <w:sz w:val="24"/>
          <w:szCs w:val="24"/>
          <w:highlight w:val="none"/>
          <w:lang w:eastAsia="zh-CN"/>
        </w:rPr>
        <w:t>.</w:t>
      </w:r>
      <w:r>
        <w:rPr>
          <w:rFonts w:hint="eastAsia" w:ascii="仿宋" w:hAnsi="仿宋" w:eastAsia="仿宋" w:cs="仿宋"/>
          <w:i w:val="0"/>
          <w:iCs w:val="0"/>
          <w:caps w:val="0"/>
          <w:color w:val="auto"/>
          <w:spacing w:val="0"/>
          <w:sz w:val="24"/>
          <w:szCs w:val="24"/>
          <w:highlight w:val="none"/>
        </w:rPr>
        <w:t>本项目实行网上投标，采用电子投标文件；</w:t>
      </w:r>
    </w:p>
    <w:p>
      <w:pPr>
        <w:pStyle w:val="16"/>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2</w:t>
      </w:r>
      <w:r>
        <w:rPr>
          <w:rFonts w:hint="eastAsia" w:ascii="仿宋" w:hAnsi="仿宋" w:eastAsia="仿宋" w:cs="仿宋"/>
          <w:i w:val="0"/>
          <w:iCs w:val="0"/>
          <w:caps w:val="0"/>
          <w:color w:val="auto"/>
          <w:spacing w:val="0"/>
          <w:sz w:val="24"/>
          <w:szCs w:val="24"/>
          <w:highlight w:val="none"/>
          <w:lang w:eastAsia="zh-CN"/>
        </w:rPr>
        <w:t>.</w:t>
      </w:r>
      <w:r>
        <w:rPr>
          <w:rFonts w:hint="eastAsia" w:ascii="仿宋" w:hAnsi="仿宋" w:eastAsia="仿宋" w:cs="仿宋"/>
          <w:i w:val="0"/>
          <w:iCs w:val="0"/>
          <w:caps w:val="0"/>
          <w:color w:val="auto"/>
          <w:spacing w:val="0"/>
          <w:sz w:val="24"/>
          <w:szCs w:val="24"/>
          <w:highlight w:val="none"/>
        </w:rPr>
        <w:t>各</w:t>
      </w:r>
      <w:r>
        <w:rPr>
          <w:rFonts w:hint="eastAsia" w:ascii="仿宋" w:hAnsi="仿宋" w:eastAsia="仿宋" w:cs="仿宋"/>
          <w:i w:val="0"/>
          <w:iCs w:val="0"/>
          <w:caps w:val="0"/>
          <w:color w:val="auto"/>
          <w:spacing w:val="0"/>
          <w:sz w:val="24"/>
          <w:szCs w:val="24"/>
          <w:highlight w:val="none"/>
          <w:lang w:eastAsia="zh-CN"/>
        </w:rPr>
        <w:t>投标人</w:t>
      </w:r>
      <w:r>
        <w:rPr>
          <w:rFonts w:hint="eastAsia" w:ascii="仿宋" w:hAnsi="仿宋" w:eastAsia="仿宋" w:cs="仿宋"/>
          <w:i w:val="0"/>
          <w:iCs w:val="0"/>
          <w:caps w:val="0"/>
          <w:color w:val="auto"/>
          <w:spacing w:val="0"/>
          <w:sz w:val="24"/>
          <w:szCs w:val="24"/>
          <w:highlight w:val="none"/>
        </w:rPr>
        <w:t>应在开标前应确保成为政采云平台</w:t>
      </w:r>
      <w:r>
        <w:rPr>
          <w:rFonts w:hint="eastAsia" w:ascii="仿宋" w:hAnsi="仿宋" w:eastAsia="仿宋" w:cs="仿宋"/>
          <w:i w:val="0"/>
          <w:iCs w:val="0"/>
          <w:caps w:val="0"/>
          <w:color w:val="auto"/>
          <w:spacing w:val="0"/>
          <w:sz w:val="24"/>
          <w:szCs w:val="24"/>
          <w:highlight w:val="none"/>
          <w:lang w:eastAsia="zh-CN"/>
        </w:rPr>
        <w:t>投标人</w:t>
      </w:r>
      <w:r>
        <w:rPr>
          <w:rFonts w:hint="eastAsia" w:ascii="仿宋" w:hAnsi="仿宋" w:eastAsia="仿宋" w:cs="仿宋"/>
          <w:i w:val="0"/>
          <w:iCs w:val="0"/>
          <w:caps w:val="0"/>
          <w:color w:val="auto"/>
          <w:spacing w:val="0"/>
          <w:sz w:val="24"/>
          <w:szCs w:val="24"/>
          <w:highlight w:val="none"/>
        </w:rPr>
        <w:t>，并完成CA数字证书（符合国密标准）申领。因未注册入库、未办理CA数字证书等原因造成无法投标或投标失败等后果由</w:t>
      </w:r>
      <w:r>
        <w:rPr>
          <w:rFonts w:hint="eastAsia" w:ascii="仿宋" w:hAnsi="仿宋" w:eastAsia="仿宋" w:cs="仿宋"/>
          <w:i w:val="0"/>
          <w:iCs w:val="0"/>
          <w:caps w:val="0"/>
          <w:color w:val="auto"/>
          <w:spacing w:val="0"/>
          <w:sz w:val="24"/>
          <w:szCs w:val="24"/>
          <w:highlight w:val="none"/>
          <w:lang w:eastAsia="zh-CN"/>
        </w:rPr>
        <w:t>投标人</w:t>
      </w:r>
      <w:r>
        <w:rPr>
          <w:rFonts w:hint="eastAsia" w:ascii="仿宋" w:hAnsi="仿宋" w:eastAsia="仿宋" w:cs="仿宋"/>
          <w:i w:val="0"/>
          <w:iCs w:val="0"/>
          <w:caps w:val="0"/>
          <w:color w:val="auto"/>
          <w:spacing w:val="0"/>
          <w:sz w:val="24"/>
          <w:szCs w:val="24"/>
          <w:highlight w:val="none"/>
        </w:rPr>
        <w:t>自行承担。有意向参与兵团区域电子开评标的</w:t>
      </w:r>
      <w:r>
        <w:rPr>
          <w:rFonts w:hint="eastAsia" w:ascii="仿宋" w:hAnsi="仿宋" w:eastAsia="仿宋" w:cs="仿宋"/>
          <w:i w:val="0"/>
          <w:iCs w:val="0"/>
          <w:caps w:val="0"/>
          <w:color w:val="auto"/>
          <w:spacing w:val="0"/>
          <w:sz w:val="24"/>
          <w:szCs w:val="24"/>
          <w:highlight w:val="none"/>
          <w:lang w:eastAsia="zh-CN"/>
        </w:rPr>
        <w:t>投标人</w:t>
      </w:r>
      <w:r>
        <w:rPr>
          <w:rFonts w:hint="eastAsia" w:ascii="仿宋" w:hAnsi="仿宋" w:eastAsia="仿宋" w:cs="仿宋"/>
          <w:i w:val="0"/>
          <w:iCs w:val="0"/>
          <w:caps w:val="0"/>
          <w:color w:val="auto"/>
          <w:spacing w:val="0"/>
          <w:sz w:val="24"/>
          <w:szCs w:val="24"/>
          <w:highlight w:val="none"/>
        </w:rPr>
        <w:t>，可访问新疆数字证书认证中心官方网站（https://www.xjca.com.cn/）或下载“新疆政务通”APP自行进行申领。如需咨询，请联系新疆CA服务热线0991-2819290；</w:t>
      </w:r>
    </w:p>
    <w:p>
      <w:pPr>
        <w:pStyle w:val="16"/>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3</w:t>
      </w:r>
      <w:r>
        <w:rPr>
          <w:rFonts w:hint="eastAsia" w:ascii="仿宋" w:hAnsi="仿宋" w:eastAsia="仿宋" w:cs="仿宋"/>
          <w:i w:val="0"/>
          <w:iCs w:val="0"/>
          <w:caps w:val="0"/>
          <w:color w:val="auto"/>
          <w:spacing w:val="0"/>
          <w:sz w:val="24"/>
          <w:szCs w:val="24"/>
          <w:highlight w:val="none"/>
          <w:lang w:eastAsia="zh-CN"/>
        </w:rPr>
        <w:t>.投标人</w:t>
      </w:r>
      <w:r>
        <w:rPr>
          <w:rFonts w:hint="eastAsia" w:ascii="仿宋" w:hAnsi="仿宋" w:eastAsia="仿宋" w:cs="仿宋"/>
          <w:i w:val="0"/>
          <w:iCs w:val="0"/>
          <w:caps w:val="0"/>
          <w:color w:val="auto"/>
          <w:spacing w:val="0"/>
          <w:sz w:val="24"/>
          <w:szCs w:val="24"/>
          <w:highlight w:val="none"/>
        </w:rPr>
        <w:t>将政采云电子交易客户端下载、安装完成后，可通过账号密码或CA登录客户端进行投标文件的制作。在使用政采云投标客户端时，建议使用WIN7（64位）及以上操作系统。客户端请至兵团政府采购网（http://ccgp-bingtuan.gov.cn/）下载专区查看，如有问题可拨打政采云客户服务热线400-881-7190进行咨询。如因</w:t>
      </w:r>
      <w:r>
        <w:rPr>
          <w:rFonts w:hint="eastAsia" w:ascii="仿宋" w:hAnsi="仿宋" w:eastAsia="仿宋" w:cs="仿宋"/>
          <w:i w:val="0"/>
          <w:iCs w:val="0"/>
          <w:caps w:val="0"/>
          <w:color w:val="auto"/>
          <w:spacing w:val="0"/>
          <w:sz w:val="24"/>
          <w:szCs w:val="24"/>
          <w:highlight w:val="none"/>
          <w:lang w:eastAsia="zh-CN"/>
        </w:rPr>
        <w:t>投标人</w:t>
      </w:r>
      <w:r>
        <w:rPr>
          <w:rFonts w:hint="eastAsia" w:ascii="仿宋" w:hAnsi="仿宋" w:eastAsia="仿宋" w:cs="仿宋"/>
          <w:i w:val="0"/>
          <w:iCs w:val="0"/>
          <w:caps w:val="0"/>
          <w:color w:val="auto"/>
          <w:spacing w:val="0"/>
          <w:sz w:val="24"/>
          <w:szCs w:val="24"/>
          <w:highlight w:val="none"/>
        </w:rPr>
        <w:t>自身原因导致在规定时间内无法正常解密的（如：浏览器故障、未安装相关驱动、网络故障、加密CA与解密CA不一致等），采购中心/代理机构不予异常处理，视为</w:t>
      </w:r>
      <w:r>
        <w:rPr>
          <w:rFonts w:hint="eastAsia" w:ascii="仿宋" w:hAnsi="仿宋" w:eastAsia="仿宋" w:cs="仿宋"/>
          <w:i w:val="0"/>
          <w:iCs w:val="0"/>
          <w:caps w:val="0"/>
          <w:color w:val="auto"/>
          <w:spacing w:val="0"/>
          <w:sz w:val="24"/>
          <w:szCs w:val="24"/>
          <w:highlight w:val="none"/>
          <w:lang w:eastAsia="zh-CN"/>
        </w:rPr>
        <w:t>投标人</w:t>
      </w:r>
      <w:r>
        <w:rPr>
          <w:rFonts w:hint="eastAsia" w:ascii="仿宋" w:hAnsi="仿宋" w:eastAsia="仿宋" w:cs="仿宋"/>
          <w:i w:val="0"/>
          <w:iCs w:val="0"/>
          <w:caps w:val="0"/>
          <w:color w:val="auto"/>
          <w:spacing w:val="0"/>
          <w:sz w:val="24"/>
          <w:szCs w:val="24"/>
          <w:highlight w:val="none"/>
        </w:rPr>
        <w:t>自动弃标。</w:t>
      </w:r>
    </w:p>
    <w:p>
      <w:pPr>
        <w:pStyle w:val="16"/>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4.本次招标需要落实的政府采购政策：</w:t>
      </w:r>
    </w:p>
    <w:p>
      <w:pPr>
        <w:pStyle w:val="16"/>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（1）财政部、工业和信息化部文件关于印发《政府采购促进中小企业发展管理办法》（财库[2020]46号文）；</w:t>
      </w:r>
    </w:p>
    <w:p>
      <w:pPr>
        <w:pStyle w:val="16"/>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（2）财政部、司法部《关于政府采购支持监狱企业发展有关问题的通知》（财库〔2014〕68 号）；</w:t>
      </w:r>
    </w:p>
    <w:p>
      <w:pPr>
        <w:pStyle w:val="16"/>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3）财政部、民政部、中国残疾人联合会文件《关于促进残疾人就业政府采购政策的通知》（财库[2017]141号）；监狱企业、残疾人福利性单位视同小型、微型企业,享受小型、微型企业评审中价格扣除的政府采购政策。</w:t>
      </w:r>
    </w:p>
    <w:p>
      <w:pPr>
        <w:pStyle w:val="16"/>
        <w:keepNext w:val="0"/>
        <w:keepLines w:val="0"/>
        <w:widowControl/>
        <w:suppressLineNumbers w:val="0"/>
        <w:spacing w:before="75" w:beforeAutospacing="0" w:after="75" w:afterAutospacing="0" w:line="240" w:lineRule="auto"/>
        <w:ind w:left="0" w:right="0" w:firstLine="420"/>
        <w:rPr>
          <w:rFonts w:hint="default"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（4）财政</w:t>
      </w:r>
      <w:r>
        <w:rPr>
          <w:rFonts w:hint="eastAsia" w:ascii="仿宋" w:hAnsi="仿宋" w:eastAsia="仿宋" w:cs="仿宋"/>
          <w:i w:val="0"/>
          <w:iCs w:val="0"/>
          <w:caps w:val="0"/>
          <w:color w:val="auto"/>
          <w:spacing w:val="0"/>
          <w:kern w:val="2"/>
          <w:sz w:val="24"/>
          <w:szCs w:val="24"/>
          <w:highlight w:val="none"/>
          <w:lang w:val="en-US" w:eastAsia="zh-CN" w:bidi="ar-SA"/>
        </w:rPr>
        <w:t>部、生态环境部、国家邮政局</w:t>
      </w:r>
      <w:r>
        <w:rPr>
          <w:rFonts w:hint="eastAsia" w:ascii="仿宋" w:hAnsi="仿宋" w:eastAsia="仿宋" w:cs="仿宋"/>
          <w:kern w:val="2"/>
          <w:sz w:val="24"/>
          <w:szCs w:val="24"/>
          <w:highlight w:val="none"/>
          <w:lang w:val="en-US" w:eastAsia="zh-CN" w:bidi="ar-SA"/>
        </w:rPr>
        <w:t>《商品包装政府采购需求标准（试行）》、《快递包装政府采购需求标准（试行）》（财办库〔2020〕123号文）。</w:t>
      </w:r>
    </w:p>
    <w:p>
      <w:pPr>
        <w:pStyle w:val="16"/>
        <w:keepNext w:val="0"/>
        <w:keepLines w:val="0"/>
        <w:widowControl/>
        <w:suppressLineNumbers w:val="0"/>
        <w:spacing w:before="255" w:beforeAutospacing="0" w:after="255" w:afterAutospacing="0" w:line="240" w:lineRule="auto"/>
        <w:ind w:left="0" w:right="0" w:firstLine="0"/>
        <w:jc w:val="both"/>
        <w:rPr>
          <w:rStyle w:val="22"/>
          <w:rFonts w:hint="eastAsia" w:ascii="仿宋" w:hAnsi="仿宋" w:eastAsia="仿宋" w:cs="仿宋"/>
          <w:i w:val="0"/>
          <w:iCs w:val="0"/>
          <w:caps w:val="0"/>
          <w:color w:val="auto"/>
          <w:spacing w:val="0"/>
          <w:sz w:val="24"/>
          <w:szCs w:val="24"/>
          <w:highlight w:val="none"/>
        </w:rPr>
      </w:pPr>
      <w:r>
        <w:rPr>
          <w:rStyle w:val="22"/>
          <w:rFonts w:hint="eastAsia" w:ascii="仿宋" w:hAnsi="仿宋" w:eastAsia="仿宋" w:cs="仿宋"/>
          <w:i w:val="0"/>
          <w:iCs w:val="0"/>
          <w:caps w:val="0"/>
          <w:color w:val="auto"/>
          <w:spacing w:val="0"/>
          <w:sz w:val="24"/>
          <w:szCs w:val="24"/>
          <w:highlight w:val="none"/>
          <w:lang w:eastAsia="zh-CN"/>
        </w:rPr>
        <w:t>七</w:t>
      </w:r>
      <w:r>
        <w:rPr>
          <w:rStyle w:val="22"/>
          <w:rFonts w:hint="eastAsia" w:ascii="仿宋" w:hAnsi="仿宋" w:eastAsia="仿宋" w:cs="仿宋"/>
          <w:i w:val="0"/>
          <w:iCs w:val="0"/>
          <w:caps w:val="0"/>
          <w:color w:val="auto"/>
          <w:spacing w:val="0"/>
          <w:sz w:val="24"/>
          <w:szCs w:val="24"/>
          <w:highlight w:val="none"/>
        </w:rPr>
        <w:t>、对本次招标提出询问，请按以下方式联系</w:t>
      </w:r>
    </w:p>
    <w:p>
      <w:pPr>
        <w:pStyle w:val="16"/>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1.采购人信息</w:t>
      </w:r>
    </w:p>
    <w:p>
      <w:pPr>
        <w:pStyle w:val="16"/>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 xml:space="preserve">名称：新疆生产建设兵团第三师总医院 </w:t>
      </w:r>
    </w:p>
    <w:p>
      <w:pPr>
        <w:pStyle w:val="16"/>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地址：新疆图木舒克市前海东街13号</w:t>
      </w:r>
    </w:p>
    <w:p>
      <w:pPr>
        <w:pStyle w:val="16"/>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联系方式：张焱、0998-6309371</w:t>
      </w:r>
    </w:p>
    <w:p>
      <w:pPr>
        <w:pStyle w:val="16"/>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2.采购代理机构信息</w:t>
      </w:r>
    </w:p>
    <w:p>
      <w:pPr>
        <w:pStyle w:val="16"/>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名称：新疆锦辰工程项目管理有限公司</w:t>
      </w:r>
    </w:p>
    <w:p>
      <w:pPr>
        <w:pStyle w:val="16"/>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地址：新疆图木舒克市前海东街17号翠景园小区3号楼2层2－2</w:t>
      </w:r>
    </w:p>
    <w:p>
      <w:pPr>
        <w:pStyle w:val="16"/>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联系方式：廖俊、安晓杰 15770111022、157</w:t>
      </w:r>
      <w:bookmarkStart w:id="9" w:name="_Toc28359098"/>
      <w:bookmarkStart w:id="10" w:name="_Toc28359021"/>
      <w:bookmarkStart w:id="11" w:name="_Toc35393808"/>
      <w:bookmarkStart w:id="12" w:name="_Toc35393639"/>
      <w:r>
        <w:rPr>
          <w:rFonts w:hint="eastAsia" w:ascii="仿宋" w:hAnsi="仿宋" w:eastAsia="仿宋" w:cs="仿宋"/>
          <w:i w:val="0"/>
          <w:iCs w:val="0"/>
          <w:caps w:val="0"/>
          <w:color w:val="auto"/>
          <w:spacing w:val="0"/>
          <w:sz w:val="24"/>
          <w:szCs w:val="24"/>
          <w:highlight w:val="none"/>
          <w:lang w:val="en-US" w:eastAsia="zh-CN"/>
        </w:rPr>
        <w:t>39965524</w:t>
      </w:r>
    </w:p>
    <w:p>
      <w:pPr>
        <w:pStyle w:val="16"/>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3.项目联系方式</w:t>
      </w:r>
      <w:bookmarkEnd w:id="9"/>
      <w:bookmarkEnd w:id="10"/>
      <w:bookmarkEnd w:id="11"/>
      <w:bookmarkEnd w:id="12"/>
    </w:p>
    <w:p>
      <w:pPr>
        <w:pStyle w:val="16"/>
        <w:keepNext w:val="0"/>
        <w:keepLines w:val="0"/>
        <w:widowControl/>
        <w:suppressLineNumbers w:val="0"/>
        <w:spacing w:before="75" w:beforeAutospacing="0" w:after="75" w:afterAutospacing="0" w:line="315" w:lineRule="atLeast"/>
        <w:ind w:left="0" w:right="0" w:firstLine="420"/>
        <w:rPr>
          <w:rFonts w:hint="default"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项目联系人：廖俊</w:t>
      </w:r>
    </w:p>
    <w:p>
      <w:pPr>
        <w:pStyle w:val="16"/>
        <w:keepNext w:val="0"/>
        <w:keepLines w:val="0"/>
        <w:widowControl/>
        <w:suppressLineNumbers w:val="0"/>
        <w:spacing w:before="75" w:beforeAutospacing="0" w:after="75" w:afterAutospacing="0" w:line="315" w:lineRule="atLeast"/>
        <w:ind w:left="0" w:right="0" w:firstLine="420"/>
        <w:rPr>
          <w:rFonts w:hint="default"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电  话：15770111022</w:t>
      </w:r>
    </w:p>
    <w:p>
      <w:pPr>
        <w:pStyle w:val="7"/>
        <w:numPr>
          <w:ilvl w:val="0"/>
          <w:numId w:val="0"/>
        </w:numPr>
        <w:tabs>
          <w:tab w:val="left" w:pos="0"/>
        </w:tabs>
        <w:spacing w:line="240" w:lineRule="auto"/>
        <w:jc w:val="center"/>
        <w:outlineLvl w:val="0"/>
        <w:rPr>
          <w:rFonts w:hint="eastAsia" w:ascii="仿宋" w:hAnsi="仿宋" w:eastAsia="仿宋" w:cs="仿宋"/>
          <w:b/>
          <w:color w:val="auto"/>
          <w:sz w:val="36"/>
          <w:highlight w:val="none"/>
        </w:rPr>
      </w:pPr>
      <w:bookmarkStart w:id="13" w:name="_Toc26592"/>
      <w:r>
        <w:rPr>
          <w:rFonts w:hint="eastAsia" w:ascii="仿宋" w:hAnsi="仿宋" w:eastAsia="仿宋" w:cs="仿宋"/>
          <w:b/>
          <w:color w:val="auto"/>
          <w:sz w:val="36"/>
          <w:highlight w:val="none"/>
          <w:lang w:val="en-US" w:eastAsia="zh-CN"/>
        </w:rPr>
        <w:t xml:space="preserve">第二部分 </w:t>
      </w:r>
      <w:r>
        <w:rPr>
          <w:rFonts w:hint="eastAsia" w:ascii="仿宋" w:hAnsi="仿宋" w:eastAsia="仿宋" w:cs="仿宋"/>
          <w:b/>
          <w:color w:val="auto"/>
          <w:sz w:val="36"/>
          <w:highlight w:val="none"/>
        </w:rPr>
        <w:t>投标人须知</w:t>
      </w:r>
      <w:bookmarkEnd w:id="13"/>
    </w:p>
    <w:p>
      <w:pPr>
        <w:pStyle w:val="41"/>
        <w:widowControl/>
        <w:spacing w:line="312" w:lineRule="auto"/>
        <w:jc w:val="left"/>
        <w:outlineLvl w:val="9"/>
        <w:rPr>
          <w:rFonts w:hint="eastAsia" w:ascii="仿宋" w:hAnsi="仿宋" w:eastAsia="仿宋" w:cs="仿宋"/>
          <w:b/>
          <w:color w:val="auto"/>
          <w:kern w:val="0"/>
          <w:sz w:val="24"/>
          <w:szCs w:val="24"/>
          <w:highlight w:val="none"/>
          <w:lang w:bidi="ar"/>
        </w:rPr>
      </w:pPr>
      <w:bookmarkStart w:id="14" w:name="_Hlk40023338"/>
      <w:bookmarkStart w:id="15" w:name="_Hlk40113437"/>
      <w:r>
        <w:rPr>
          <w:rFonts w:hint="eastAsia" w:ascii="仿宋" w:hAnsi="仿宋" w:eastAsia="仿宋" w:cs="仿宋"/>
          <w:b/>
          <w:color w:val="auto"/>
          <w:kern w:val="0"/>
          <w:sz w:val="24"/>
          <w:szCs w:val="24"/>
          <w:highlight w:val="none"/>
          <w:lang w:bidi="ar"/>
        </w:rPr>
        <w:t>注意：</w:t>
      </w:r>
      <w:bookmarkEnd w:id="14"/>
    </w:p>
    <w:p>
      <w:pPr>
        <w:pStyle w:val="41"/>
        <w:widowControl/>
        <w:spacing w:line="312" w:lineRule="auto"/>
        <w:jc w:val="left"/>
        <w:outlineLvl w:val="9"/>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1、本项目实行网上投标，采用电子投标文件；</w:t>
      </w:r>
    </w:p>
    <w:p>
      <w:pPr>
        <w:pStyle w:val="41"/>
        <w:widowControl/>
        <w:spacing w:line="312" w:lineRule="auto"/>
        <w:jc w:val="left"/>
        <w:outlineLvl w:val="9"/>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2、各投标人应在开标前应确保成为新疆生产建设兵团政府采购网正式注册入库投标人，并完成CA数字证书（符合国密标准）申领。因未注册入库、未办理CA数字证书等原因造成无法投标或投标失败等后果由投标人自行承担。有意向参与兵团区域电子开评标的投标人，可访问新疆数字证书认证中心官方网站（https://www.xjca.com.cn/）或下载“新疆政务通”APP自行进行申领。如需咨询，请联系新疆CA服务热线0991-2819290；</w:t>
      </w:r>
    </w:p>
    <w:p>
      <w:pPr>
        <w:pStyle w:val="41"/>
        <w:widowControl/>
        <w:spacing w:line="312" w:lineRule="auto"/>
        <w:jc w:val="left"/>
        <w:outlineLvl w:val="9"/>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3、投标人将政采云电子交易客户端下载、安装完成后，可通过账号密码或CA登录客户端进行投标文件的制作。在使用政采云投标客户端时，建议使用WIN7及以上操作系统。客户端请至兵团政府采购网（http://ccgp-bingtuan.gov.cn/）下载专区查看，如有问题可拨打政采云客户服务热线400-881-7190进行咨询。系统操作问题请咨询技术支持电话0991-2899144，CA办理问题请咨询新疆CA服务电话0991-2819290，或加QQ号800175577。如因投标人自身原因导致在规定时间内无法正常解密的（如：浏览器故障、未安装相关驱动、网络故障、加密CA与解密CA不一致等），采购中心/代理机构不予异常处理，视为投标人自动弃标。</w:t>
      </w:r>
    </w:p>
    <w:p>
      <w:pPr>
        <w:pStyle w:val="41"/>
        <w:widowControl/>
        <w:spacing w:line="312" w:lineRule="auto"/>
        <w:jc w:val="left"/>
        <w:outlineLvl w:val="9"/>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val="en-US" w:eastAsia="zh-CN" w:bidi="ar"/>
        </w:rPr>
        <w:t>4</w:t>
      </w:r>
      <w:r>
        <w:rPr>
          <w:rFonts w:hint="eastAsia" w:ascii="仿宋" w:hAnsi="仿宋" w:eastAsia="仿宋" w:cs="仿宋"/>
          <w:color w:val="auto"/>
          <w:kern w:val="0"/>
          <w:sz w:val="24"/>
          <w:szCs w:val="24"/>
          <w:highlight w:val="none"/>
          <w:lang w:bidi="ar"/>
        </w:rPr>
        <w:t xml:space="preserve">、投标人操作指南详见兵团政府采购网（ccgp-bingtuan.gov.cn）—办事指南—操作指南。 </w:t>
      </w:r>
    </w:p>
    <w:p>
      <w:pPr>
        <w:pStyle w:val="7"/>
        <w:numPr>
          <w:ilvl w:val="0"/>
          <w:numId w:val="0"/>
        </w:numPr>
        <w:tabs>
          <w:tab w:val="left" w:pos="0"/>
        </w:tabs>
        <w:spacing w:line="240" w:lineRule="auto"/>
        <w:ind w:leftChars="0"/>
        <w:jc w:val="left"/>
        <w:outlineLvl w:val="9"/>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5</w:t>
      </w:r>
      <w:r>
        <w:rPr>
          <w:rFonts w:hint="eastAsia" w:ascii="仿宋" w:hAnsi="仿宋" w:eastAsia="仿宋" w:cs="仿宋"/>
          <w:color w:val="auto"/>
          <w:kern w:val="0"/>
          <w:sz w:val="24"/>
          <w:szCs w:val="24"/>
          <w:highlight w:val="none"/>
          <w:lang w:bidi="ar"/>
        </w:rPr>
        <w:t>、关于政采云平台投标人相关培训指导请加钉钉群35948845。</w:t>
      </w:r>
      <w:bookmarkEnd w:id="15"/>
      <w:r>
        <w:rPr>
          <w:rFonts w:hint="eastAsia" w:ascii="仿宋" w:hAnsi="仿宋" w:eastAsia="仿宋" w:cs="仿宋"/>
          <w:b/>
          <w:bCs/>
          <w:color w:val="auto"/>
          <w:sz w:val="28"/>
          <w:szCs w:val="28"/>
          <w:highlight w:val="none"/>
        </w:rPr>
        <w:br w:type="page"/>
      </w:r>
      <w:bookmarkStart w:id="16" w:name="EB4a528d207f8648b79fa72ae1a59328aa"/>
    </w:p>
    <w:p>
      <w:pPr>
        <w:pStyle w:val="23"/>
        <w:snapToGrid w:val="0"/>
        <w:spacing w:line="360" w:lineRule="auto"/>
        <w:jc w:val="center"/>
        <w:rPr>
          <w:rFonts w:hint="eastAsia" w:ascii="仿宋" w:hAnsi="仿宋" w:eastAsia="仿宋" w:cs="仿宋"/>
          <w:b/>
          <w:color w:val="auto"/>
          <w:szCs w:val="28"/>
          <w:highlight w:val="none"/>
        </w:rPr>
      </w:pPr>
      <w:bookmarkStart w:id="17" w:name="_Toc256000002"/>
      <w:r>
        <w:rPr>
          <w:rFonts w:hint="eastAsia" w:ascii="仿宋" w:hAnsi="仿宋" w:eastAsia="仿宋" w:cs="仿宋"/>
          <w:b/>
          <w:color w:val="auto"/>
          <w:szCs w:val="28"/>
          <w:highlight w:val="none"/>
        </w:rPr>
        <w:t>投标人须知前附表</w:t>
      </w:r>
      <w:bookmarkEnd w:id="17"/>
    </w:p>
    <w:tbl>
      <w:tblPr>
        <w:tblStyle w:val="19"/>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183"/>
        <w:gridCol w:w="6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序号</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内容</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3"/>
              <w:adjustRightInd w:val="0"/>
              <w:spacing w:line="360" w:lineRule="auto"/>
              <w:jc w:val="center"/>
              <w:outlineLvl w:val="3"/>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3"/>
              <w:adjustRightInd w:val="0"/>
              <w:spacing w:line="360" w:lineRule="auto"/>
              <w:jc w:val="center"/>
              <w:outlineLvl w:val="3"/>
              <w:rPr>
                <w:rFonts w:hint="default" w:ascii="仿宋" w:hAnsi="仿宋" w:eastAsia="仿宋" w:cs="仿宋"/>
                <w:b/>
                <w:color w:val="auto"/>
                <w:kern w:val="0"/>
                <w:sz w:val="24"/>
                <w:szCs w:val="24"/>
                <w:highlight w:val="yellow"/>
                <w:lang w:val="en-US" w:eastAsia="zh-CN"/>
              </w:rPr>
            </w:pPr>
            <w:r>
              <w:rPr>
                <w:rFonts w:hint="eastAsia" w:ascii="仿宋" w:hAnsi="仿宋" w:eastAsia="仿宋" w:cs="仿宋"/>
                <w:b/>
                <w:color w:val="auto"/>
                <w:kern w:val="0"/>
                <w:sz w:val="24"/>
                <w:szCs w:val="24"/>
                <w:highlight w:val="none"/>
                <w:lang w:val="en-US" w:eastAsia="zh-CN"/>
              </w:rPr>
              <w:t>项目编号</w:t>
            </w:r>
          </w:p>
          <w:p>
            <w:pPr>
              <w:pStyle w:val="23"/>
              <w:adjustRightInd w:val="0"/>
              <w:spacing w:line="360" w:lineRule="auto"/>
              <w:jc w:val="center"/>
              <w:outlineLvl w:val="3"/>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项目名称</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kern w:val="2"/>
                <w:sz w:val="24"/>
                <w:szCs w:val="24"/>
                <w:highlight w:val="none"/>
                <w:lang w:val="en-US" w:eastAsia="zh-CN" w:bidi="ug-CN"/>
              </w:rPr>
              <w:t>B3S[2022]1093号、第三师总医院（一期）医疗设施设备购置项目（第二包）（标项3）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2</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3"/>
              <w:adjustRightInd w:val="0"/>
              <w:spacing w:line="360" w:lineRule="auto"/>
              <w:jc w:val="center"/>
              <w:outlineLvl w:val="3"/>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采购人</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42"/>
              <w:spacing w:line="360" w:lineRule="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名    称：</w:t>
            </w:r>
            <w:r>
              <w:rPr>
                <w:rFonts w:hint="eastAsia" w:ascii="仿宋" w:hAnsi="仿宋" w:eastAsia="仿宋" w:cs="仿宋"/>
                <w:i w:val="0"/>
                <w:iCs w:val="0"/>
                <w:caps w:val="0"/>
                <w:color w:val="000000"/>
                <w:spacing w:val="0"/>
                <w:sz w:val="24"/>
                <w:szCs w:val="24"/>
                <w:highlight w:val="none"/>
                <w:lang w:val="en-US" w:eastAsia="zh-CN"/>
              </w:rPr>
              <w:t>新疆生产建设兵团第三师总医院</w:t>
            </w:r>
          </w:p>
          <w:p>
            <w:pPr>
              <w:pStyle w:val="42"/>
              <w:spacing w:line="360" w:lineRule="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地    址：第三师图木舒克市</w:t>
            </w:r>
          </w:p>
          <w:p>
            <w:pPr>
              <w:pStyle w:val="40"/>
              <w:spacing w:line="360" w:lineRule="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联 系 人：</w:t>
            </w:r>
            <w:r>
              <w:rPr>
                <w:rFonts w:hint="eastAsia" w:ascii="仿宋" w:hAnsi="仿宋" w:eastAsia="仿宋" w:cs="仿宋"/>
                <w:color w:val="auto"/>
                <w:sz w:val="24"/>
                <w:szCs w:val="24"/>
                <w:highlight w:val="none"/>
                <w:lang w:val="en-US" w:eastAsia="zh-CN"/>
              </w:rPr>
              <w:t>张焱</w:t>
            </w:r>
          </w:p>
          <w:p>
            <w:pPr>
              <w:pStyle w:val="4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2"/>
                <w:sz w:val="24"/>
                <w:szCs w:val="24"/>
                <w:highlight w:val="none"/>
                <w:lang w:val="en-US" w:eastAsia="zh-CN"/>
              </w:rPr>
              <w:t xml:space="preserve">电话： </w:t>
            </w:r>
            <w:r>
              <w:rPr>
                <w:rFonts w:hint="eastAsia" w:ascii="仿宋" w:hAnsi="仿宋" w:eastAsia="仿宋" w:cs="仿宋"/>
                <w:i w:val="0"/>
                <w:iCs w:val="0"/>
                <w:caps w:val="0"/>
                <w:color w:val="000000"/>
                <w:spacing w:val="0"/>
                <w:sz w:val="24"/>
                <w:szCs w:val="24"/>
                <w:highlight w:val="none"/>
                <w:lang w:val="en-US" w:eastAsia="zh-CN"/>
              </w:rPr>
              <w:t>0998-6309371</w:t>
            </w:r>
            <w:r>
              <w:rPr>
                <w:rFonts w:hint="eastAsia" w:ascii="仿宋" w:hAnsi="仿宋" w:eastAsia="仿宋" w:cs="仿宋"/>
                <w:color w:val="auto"/>
                <w:kern w:val="0"/>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3</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采购代理机构</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42"/>
              <w:spacing w:line="360" w:lineRule="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2"/>
                <w:sz w:val="24"/>
                <w:szCs w:val="24"/>
                <w:highlight w:val="none"/>
                <w:lang w:val="en-US" w:eastAsia="zh-CN"/>
              </w:rPr>
              <w:t xml:space="preserve"> 新疆锦辰工程项目管理有限公司</w:t>
            </w:r>
          </w:p>
          <w:p>
            <w:pPr>
              <w:pStyle w:val="42"/>
              <w:spacing w:line="360" w:lineRule="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地    址: 新疆图木舒克市前海东街17号翠景园小区3号楼2层2－2</w:t>
            </w:r>
          </w:p>
          <w:p>
            <w:pPr>
              <w:pStyle w:val="42"/>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rPr>
              <w:t>联 系人: 廖俊、</w:t>
            </w:r>
            <w:r>
              <w:rPr>
                <w:rFonts w:hint="eastAsia" w:ascii="仿宋" w:hAnsi="仿宋" w:eastAsia="仿宋" w:cs="仿宋"/>
                <w:color w:val="auto"/>
                <w:sz w:val="24"/>
                <w:szCs w:val="24"/>
                <w:highlight w:val="none"/>
                <w:lang w:val="en-US" w:eastAsia="zh-CN"/>
              </w:rPr>
              <w:t>安晓杰</w:t>
            </w:r>
          </w:p>
          <w:p>
            <w:pPr>
              <w:pStyle w:val="42"/>
              <w:spacing w:line="360" w:lineRule="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联系电话: 15770111022、</w:t>
            </w:r>
            <w:r>
              <w:rPr>
                <w:rFonts w:hint="eastAsia" w:ascii="仿宋" w:hAnsi="仿宋" w:eastAsia="仿宋" w:cs="仿宋"/>
                <w:color w:val="auto"/>
                <w:sz w:val="24"/>
                <w:szCs w:val="24"/>
                <w:highlight w:val="none"/>
                <w:lang w:val="en-US" w:eastAsia="zh-CN"/>
              </w:rPr>
              <w:t>15739965524</w:t>
            </w:r>
          </w:p>
          <w:p>
            <w:pPr>
              <w:pStyle w:val="24"/>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rPr>
              <w:t>电子邮件:429377948@qq.com</w:t>
            </w:r>
            <w:r>
              <w:rPr>
                <w:rFonts w:hint="eastAsia" w:ascii="仿宋" w:hAnsi="仿宋" w:eastAsia="仿宋" w:cs="仿宋"/>
                <w:color w:val="auto"/>
                <w:kern w:val="0"/>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5"/>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4</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5"/>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bCs/>
                <w:color w:val="auto"/>
                <w:kern w:val="0"/>
                <w:sz w:val="24"/>
                <w:szCs w:val="24"/>
                <w:highlight w:val="none"/>
                <w:lang w:eastAsia="zh-CN"/>
              </w:rPr>
              <w:t>监管部门</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5"/>
              <w:widowControl/>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lang w:eastAsia="zh-CN"/>
              </w:rPr>
              <w:t>新疆生产建设兵团第三师图木舒克市</w:t>
            </w:r>
            <w:r>
              <w:rPr>
                <w:rFonts w:hint="eastAsia" w:ascii="仿宋" w:hAnsi="仿宋" w:eastAsia="仿宋" w:cs="仿宋"/>
                <w:color w:val="auto"/>
                <w:sz w:val="24"/>
                <w:szCs w:val="24"/>
                <w:highlight w:val="none"/>
              </w:rPr>
              <w:t xml:space="preserve">财政局 </w:t>
            </w:r>
          </w:p>
          <w:p>
            <w:pPr>
              <w:pStyle w:val="25"/>
              <w:widowControl/>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lang w:eastAsia="zh-CN"/>
              </w:rPr>
              <w:t>新疆生产建设兵团第三师图木舒克市</w:t>
            </w:r>
            <w:r>
              <w:rPr>
                <w:rFonts w:hint="eastAsia" w:ascii="仿宋" w:hAnsi="仿宋" w:eastAsia="仿宋" w:cs="仿宋"/>
                <w:color w:val="auto"/>
                <w:sz w:val="24"/>
                <w:szCs w:val="24"/>
                <w:highlight w:val="none"/>
              </w:rPr>
              <w:t xml:space="preserve"> </w:t>
            </w:r>
          </w:p>
          <w:p>
            <w:pPr>
              <w:pStyle w:val="25"/>
              <w:widowControl/>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联系人：唐玲 </w:t>
            </w:r>
          </w:p>
          <w:p>
            <w:pPr>
              <w:pStyle w:val="25"/>
              <w:widowControl/>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联系电话：0998-5701168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5</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信息公告媒体平台</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3"/>
              <w:widowControl/>
              <w:spacing w:line="36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新疆生产建设兵团政府采购网（</w:t>
            </w:r>
            <w:r>
              <w:rPr>
                <w:rFonts w:hint="eastAsia" w:ascii="仿宋" w:hAnsi="仿宋" w:eastAsia="仿宋" w:cs="仿宋"/>
                <w:i w:val="0"/>
                <w:iCs w:val="0"/>
                <w:caps w:val="0"/>
                <w:color w:val="auto"/>
                <w:spacing w:val="0"/>
                <w:sz w:val="24"/>
                <w:szCs w:val="24"/>
                <w:highlight w:val="none"/>
              </w:rPr>
              <w:t>http://www.zcygov.cn/</w:t>
            </w:r>
            <w:r>
              <w:rPr>
                <w:rFonts w:hint="eastAsia" w:ascii="仿宋" w:hAnsi="仿宋" w:eastAsia="仿宋" w:cs="仿宋"/>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jc w:val="center"/>
              <w:rPr>
                <w:rFonts w:hint="eastAsia"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6</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采购内容</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3"/>
              <w:widowControl/>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详见招标文件第三部分采购需求；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jc w:val="center"/>
              <w:rPr>
                <w:rFonts w:hint="eastAsia" w:ascii="仿宋" w:hAnsi="仿宋" w:eastAsia="仿宋" w:cs="仿宋"/>
                <w:b/>
                <w:color w:val="auto"/>
                <w:kern w:val="0"/>
                <w:sz w:val="24"/>
                <w:szCs w:val="24"/>
                <w:highlight w:val="none"/>
                <w:lang w:eastAsia="zh-CN"/>
              </w:rPr>
            </w:pPr>
            <w:r>
              <w:rPr>
                <w:rFonts w:hint="eastAsia" w:ascii="仿宋" w:hAnsi="仿宋" w:eastAsia="仿宋" w:cs="仿宋"/>
                <w:b/>
                <w:color w:val="auto"/>
                <w:kern w:val="0"/>
                <w:sz w:val="24"/>
                <w:szCs w:val="24"/>
                <w:highlight w:val="none"/>
                <w:lang w:val="en-US" w:eastAsia="zh-CN"/>
              </w:rPr>
              <w:t>7</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投标人资格要求</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34"/>
              <w:autoSpaceDE w:val="0"/>
              <w:autoSpaceDN w:val="0"/>
              <w:spacing w:line="360" w:lineRule="exact"/>
              <w:rPr>
                <w:rFonts w:hint="eastAsia" w:ascii="仿宋" w:hAnsi="仿宋" w:eastAsia="仿宋" w:cs="仿宋"/>
                <w:color w:val="auto"/>
                <w:sz w:val="24"/>
                <w:szCs w:val="24"/>
                <w:highlight w:val="none"/>
              </w:rPr>
            </w:pPr>
            <w:bookmarkStart w:id="18" w:name="EBd77b448698ab48f2a21fe1279362a7db"/>
            <w:bookmarkEnd w:id="18"/>
            <w:r>
              <w:rPr>
                <w:rFonts w:hint="eastAsia" w:ascii="仿宋" w:hAnsi="仿宋" w:eastAsia="仿宋" w:cs="仿宋"/>
                <w:color w:val="auto"/>
                <w:sz w:val="24"/>
                <w:szCs w:val="24"/>
                <w:highlight w:val="none"/>
                <w:lang w:val="zh-CN"/>
              </w:rPr>
              <w:t>1.投标人资格要求：</w:t>
            </w:r>
          </w:p>
          <w:p>
            <w:pPr>
              <w:pStyle w:val="23"/>
              <w:snapToGrid w:val="0"/>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满足</w:t>
            </w:r>
            <w:r>
              <w:rPr>
                <w:rFonts w:hint="eastAsia" w:ascii="仿宋" w:hAnsi="仿宋" w:eastAsia="仿宋" w:cs="仿宋"/>
                <w:color w:val="auto"/>
                <w:sz w:val="24"/>
                <w:szCs w:val="24"/>
                <w:highlight w:val="none"/>
              </w:rPr>
              <w:t>《政府采购法》第二十二条规定</w:t>
            </w:r>
            <w:r>
              <w:rPr>
                <w:rFonts w:hint="eastAsia" w:ascii="仿宋" w:hAnsi="仿宋" w:eastAsia="仿宋" w:cs="仿宋"/>
                <w:color w:val="auto"/>
                <w:sz w:val="24"/>
                <w:szCs w:val="24"/>
                <w:highlight w:val="none"/>
                <w:lang w:eastAsia="zh-CN"/>
              </w:rPr>
              <w:t>。</w:t>
            </w:r>
          </w:p>
          <w:p>
            <w:pPr>
              <w:pStyle w:val="23"/>
              <w:snapToGrid w:val="0"/>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参加政府采购活动应当具备下列条件</w:t>
            </w:r>
            <w:r>
              <w:rPr>
                <w:rFonts w:hint="eastAsia" w:ascii="仿宋" w:hAnsi="仿宋" w:eastAsia="仿宋" w:cs="仿宋"/>
                <w:color w:val="auto"/>
                <w:sz w:val="24"/>
                <w:szCs w:val="24"/>
                <w:highlight w:val="none"/>
                <w:lang w:eastAsia="zh-CN"/>
              </w:rPr>
              <w:t>:</w:t>
            </w:r>
          </w:p>
          <w:p>
            <w:pPr>
              <w:pStyle w:val="23"/>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）具有独立承担民事责任的能力；</w:t>
            </w:r>
          </w:p>
          <w:p>
            <w:pPr>
              <w:pStyle w:val="23"/>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）具有良好的商业信誉和健全的财务会计制度；</w:t>
            </w:r>
          </w:p>
          <w:p>
            <w:pPr>
              <w:pStyle w:val="23"/>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）具有履行合同所必需的设备和专业技术能力；</w:t>
            </w:r>
          </w:p>
          <w:p>
            <w:pPr>
              <w:pStyle w:val="23"/>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）有依法缴纳税收和社会保障资金的良好记录；</w:t>
            </w:r>
          </w:p>
          <w:p>
            <w:pPr>
              <w:pStyle w:val="23"/>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）参加政府采购活动前三年内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在经营活动中没有重大违法记录；</w:t>
            </w:r>
          </w:p>
          <w:p>
            <w:pPr>
              <w:pStyle w:val="23"/>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）法律、行政法规规定的其他条件。</w:t>
            </w:r>
          </w:p>
          <w:p>
            <w:pPr>
              <w:pStyle w:val="16"/>
              <w:keepNext w:val="0"/>
              <w:keepLines w:val="0"/>
              <w:widowControl/>
              <w:suppressLineNumbers w:val="0"/>
              <w:spacing w:before="75" w:beforeAutospacing="0" w:after="75" w:afterAutospacing="0" w:line="300" w:lineRule="atLeast"/>
              <w:ind w:right="0"/>
              <w:jc w:val="left"/>
              <w:rPr>
                <w:rFonts w:hint="eastAsia" w:ascii="仿宋" w:hAnsi="仿宋" w:eastAsia="仿宋" w:cs="仿宋"/>
                <w:b/>
                <w:bCs/>
                <w:sz w:val="24"/>
                <w:szCs w:val="24"/>
                <w:highlight w:val="yellow"/>
                <w:lang w:val="en-US" w:eastAsia="zh-CN"/>
              </w:rPr>
            </w:pPr>
            <w:r>
              <w:rPr>
                <w:rFonts w:hint="eastAsia" w:ascii="仿宋" w:hAnsi="仿宋" w:eastAsia="仿宋" w:cs="仿宋"/>
                <w:b/>
                <w:bCs/>
                <w:color w:val="auto"/>
                <w:sz w:val="24"/>
                <w:szCs w:val="24"/>
                <w:highlight w:val="none"/>
                <w:lang w:val="en-US" w:eastAsia="zh-CN"/>
              </w:rPr>
              <w:t>3.落实政府采购政策需满足的资格要求：</w:t>
            </w:r>
            <w:r>
              <w:rPr>
                <w:rFonts w:hint="eastAsia" w:ascii="仿宋" w:hAnsi="仿宋" w:eastAsia="仿宋" w:cs="仿宋"/>
                <w:b/>
                <w:bCs/>
                <w:sz w:val="24"/>
                <w:szCs w:val="24"/>
                <w:highlight w:val="none"/>
                <w:lang w:val="en-US" w:eastAsia="zh-CN"/>
              </w:rPr>
              <w:t>无（本项目为非专门面向中小企业采购的项目）。</w:t>
            </w:r>
          </w:p>
          <w:p>
            <w:pPr>
              <w:pStyle w:val="26"/>
              <w:widowControl/>
              <w:spacing w:line="288" w:lineRule="auto"/>
              <w:jc w:val="left"/>
              <w:rPr>
                <w:rFonts w:hint="eastAsia" w:ascii="仿宋" w:hAnsi="仿宋" w:eastAsia="仿宋" w:cs="仿宋"/>
                <w:b w:val="0"/>
                <w:bCs w:val="0"/>
                <w:i w:val="0"/>
                <w:iCs w:val="0"/>
                <w:color w:val="auto"/>
                <w:sz w:val="24"/>
                <w:szCs w:val="24"/>
                <w:highlight w:val="none"/>
                <w:lang w:val="en-US" w:eastAsia="zh-CN"/>
              </w:rPr>
            </w:pPr>
            <w:r>
              <w:rPr>
                <w:rFonts w:hint="eastAsia" w:ascii="仿宋" w:hAnsi="仿宋" w:eastAsia="仿宋" w:cs="仿宋"/>
                <w:b w:val="0"/>
                <w:bCs w:val="0"/>
                <w:i w:val="0"/>
                <w:iCs w:val="0"/>
                <w:color w:val="auto"/>
                <w:sz w:val="24"/>
                <w:szCs w:val="24"/>
                <w:highlight w:val="none"/>
                <w:lang w:val="en-US" w:eastAsia="zh-CN"/>
              </w:rPr>
              <w:t>4.本项目的特定资格要求：投标人应符合《医疗器械经营监督管理办法》、《医疗器械生产监督管理办法》的规定：</w:t>
            </w:r>
          </w:p>
          <w:p>
            <w:pPr>
              <w:pStyle w:val="26"/>
              <w:widowControl/>
              <w:spacing w:line="288" w:lineRule="auto"/>
              <w:jc w:val="left"/>
              <w:rPr>
                <w:rFonts w:hint="eastAsia" w:ascii="仿宋" w:hAnsi="仿宋" w:eastAsia="仿宋" w:cs="仿宋"/>
                <w:b w:val="0"/>
                <w:bCs w:val="0"/>
                <w:i w:val="0"/>
                <w:iCs w:val="0"/>
                <w:color w:val="auto"/>
                <w:sz w:val="24"/>
                <w:szCs w:val="24"/>
                <w:highlight w:val="none"/>
                <w:lang w:val="en-US" w:eastAsia="zh-CN"/>
              </w:rPr>
            </w:pPr>
            <w:r>
              <w:rPr>
                <w:rFonts w:hint="eastAsia" w:ascii="仿宋" w:hAnsi="仿宋" w:eastAsia="仿宋" w:cs="仿宋"/>
                <w:b w:val="0"/>
                <w:bCs w:val="0"/>
                <w:i w:val="0"/>
                <w:iCs w:val="0"/>
                <w:color w:val="auto"/>
                <w:sz w:val="24"/>
                <w:szCs w:val="24"/>
                <w:highlight w:val="none"/>
                <w:lang w:val="en-US" w:eastAsia="zh-CN"/>
              </w:rPr>
              <w:t>（1）投标人为所投产品制造商的，投标产品属于一类医疗器械的须提供《第一类医疗器械生产备案凭证》，所投产品属于二类、三类医疗器械须提供《医疗器械生产许可证》；</w:t>
            </w:r>
          </w:p>
          <w:p>
            <w:pPr>
              <w:pStyle w:val="26"/>
              <w:widowControl/>
              <w:spacing w:line="288" w:lineRule="auto"/>
              <w:jc w:val="left"/>
              <w:rPr>
                <w:rFonts w:hint="eastAsia" w:ascii="仿宋" w:hAnsi="仿宋" w:eastAsia="仿宋" w:cs="仿宋"/>
                <w:b w:val="0"/>
                <w:bCs w:val="0"/>
                <w:i w:val="0"/>
                <w:iCs w:val="0"/>
                <w:color w:val="auto"/>
                <w:sz w:val="24"/>
                <w:szCs w:val="24"/>
                <w:highlight w:val="none"/>
                <w:lang w:val="en-US" w:eastAsia="zh-CN"/>
              </w:rPr>
            </w:pPr>
            <w:r>
              <w:rPr>
                <w:rFonts w:hint="eastAsia" w:ascii="仿宋" w:hAnsi="仿宋" w:eastAsia="仿宋" w:cs="仿宋"/>
                <w:b w:val="0"/>
                <w:bCs w:val="0"/>
                <w:i w:val="0"/>
                <w:iCs w:val="0"/>
                <w:color w:val="auto"/>
                <w:sz w:val="24"/>
                <w:szCs w:val="24"/>
                <w:highlight w:val="none"/>
                <w:lang w:val="en-US" w:eastAsia="zh-CN"/>
              </w:rPr>
              <w:t>（2）投标人为所投产品的经销商或代理商且所投产品属于二类医疗器械须提供《医疗器械经营许可证》及《第二类医疗器械经营备案凭证》，所投产品属于三类医疗器械须提供《医疗器械经营许可证》及《医疗器械注册证》，同时还须提供所投产品制造商的《医疗器械生产许可证》。</w:t>
            </w:r>
          </w:p>
          <w:p>
            <w:pPr>
              <w:pStyle w:val="26"/>
              <w:widowControl/>
              <w:spacing w:line="288" w:lineRule="auto"/>
              <w:ind w:firstLine="480" w:firstLineChars="2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以上所有证件必须在有效期内，否则资格性审查不通过。</w:t>
            </w:r>
          </w:p>
          <w:p>
            <w:pPr>
              <w:pStyle w:val="34"/>
              <w:widowControl/>
              <w:spacing w:line="360" w:lineRule="exact"/>
              <w:jc w:val="left"/>
              <w:rPr>
                <w:rFonts w:hint="eastAsia"/>
                <w:color w:val="auto"/>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其他</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法定代表人或者负责人为同一人或者存在控股、管理关系的两个以上投标人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不得参加同一项目的投标；除单一来源采购项目外</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为采购项目提供整体设计、规范编制或者项目管理、监理、检测等服务的投标人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jc w:val="center"/>
              <w:rPr>
                <w:rFonts w:hint="eastAsia" w:ascii="仿宋" w:hAnsi="仿宋" w:eastAsia="仿宋" w:cs="仿宋"/>
                <w:b/>
                <w:color w:val="auto"/>
                <w:kern w:val="0"/>
                <w:sz w:val="24"/>
                <w:szCs w:val="24"/>
                <w:highlight w:val="none"/>
                <w:lang w:eastAsia="zh-CN"/>
              </w:rPr>
            </w:pPr>
            <w:r>
              <w:rPr>
                <w:rFonts w:hint="eastAsia" w:ascii="仿宋" w:hAnsi="仿宋" w:eastAsia="仿宋" w:cs="仿宋"/>
                <w:b/>
                <w:color w:val="auto"/>
                <w:kern w:val="0"/>
                <w:sz w:val="24"/>
                <w:szCs w:val="24"/>
                <w:highlight w:val="none"/>
                <w:lang w:val="en-US" w:eastAsia="zh-CN"/>
              </w:rPr>
              <w:t>8</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是否允许联合体投标</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rPr>
                <w:rFonts w:hint="eastAsia" w:ascii="仿宋" w:hAnsi="仿宋" w:eastAsia="仿宋" w:cs="仿宋"/>
                <w:color w:val="auto"/>
                <w:kern w:val="0"/>
                <w:sz w:val="24"/>
                <w:szCs w:val="24"/>
                <w:highlight w:val="none"/>
              </w:rPr>
            </w:pPr>
            <w:bookmarkStart w:id="19" w:name="EB0f86f5f9a6b44b37825cf035703cfc15"/>
            <w:bookmarkEnd w:id="19"/>
            <w:r>
              <w:rPr>
                <w:rFonts w:hint="eastAsia" w:ascii="仿宋" w:hAnsi="仿宋" w:eastAsia="仿宋" w:cs="仿宋"/>
                <w:color w:val="auto"/>
                <w:kern w:val="0"/>
                <w:sz w:val="24"/>
                <w:szCs w:val="24"/>
                <w:highlight w:val="none"/>
              </w:rPr>
              <w:t>☑否。</w:t>
            </w:r>
          </w:p>
          <w:p>
            <w:pPr>
              <w:pStyle w:val="23"/>
              <w:autoSpaceDE w:val="0"/>
              <w:autoSpaceDN w:val="0"/>
              <w:adjustRightIn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jc w:val="center"/>
              <w:rPr>
                <w:rFonts w:hint="eastAsia" w:ascii="仿宋" w:hAnsi="仿宋" w:eastAsia="仿宋" w:cs="仿宋"/>
                <w:b/>
                <w:color w:val="auto"/>
                <w:kern w:val="0"/>
                <w:sz w:val="24"/>
                <w:szCs w:val="24"/>
                <w:highlight w:val="none"/>
                <w:lang w:eastAsia="zh-CN"/>
              </w:rPr>
            </w:pPr>
            <w:r>
              <w:rPr>
                <w:rFonts w:hint="eastAsia" w:ascii="仿宋" w:hAnsi="仿宋" w:eastAsia="仿宋" w:cs="仿宋"/>
                <w:b/>
                <w:color w:val="auto"/>
                <w:kern w:val="0"/>
                <w:sz w:val="24"/>
                <w:szCs w:val="24"/>
                <w:highlight w:val="none"/>
                <w:lang w:val="en-US" w:eastAsia="zh-CN"/>
              </w:rPr>
              <w:t>9</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是否允许投标人将项目非主体、非关键性工作交由他人完成</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rPr>
                <w:rFonts w:hint="eastAsia" w:ascii="仿宋" w:hAnsi="仿宋" w:eastAsia="仿宋" w:cs="仿宋"/>
                <w:color w:val="auto"/>
                <w:kern w:val="0"/>
                <w:sz w:val="24"/>
                <w:szCs w:val="24"/>
                <w:highlight w:val="none"/>
              </w:rPr>
            </w:pPr>
            <w:bookmarkStart w:id="20" w:name="EB46de3bf2b5e44d249096c9a68bd8cf71"/>
            <w:bookmarkEnd w:id="20"/>
            <w:r>
              <w:rPr>
                <w:rFonts w:hint="eastAsia" w:ascii="仿宋" w:hAnsi="仿宋" w:eastAsia="仿宋" w:cs="仿宋"/>
                <w:color w:val="auto"/>
                <w:kern w:val="0"/>
                <w:sz w:val="24"/>
                <w:szCs w:val="24"/>
                <w:highlight w:val="none"/>
              </w:rPr>
              <w:t>☑ 否。</w:t>
            </w:r>
          </w:p>
          <w:p>
            <w:pPr>
              <w:pStyle w:val="23"/>
              <w:spacing w:line="360" w:lineRule="auto"/>
              <w:rPr>
                <w:rFonts w:hint="eastAsia" w:ascii="仿宋" w:hAnsi="仿宋" w:eastAsia="仿宋" w:cs="仿宋"/>
                <w:color w:val="auto"/>
                <w:kern w:val="0"/>
                <w:sz w:val="24"/>
                <w:szCs w:val="24"/>
                <w:highlight w:val="none"/>
              </w:rPr>
            </w:pPr>
            <w:bookmarkStart w:id="21" w:name="EB65a901bb2d1e4b94a96b402959e5078f"/>
            <w:bookmarkEnd w:id="21"/>
            <w:r>
              <w:rPr>
                <w:rFonts w:hint="eastAsia" w:ascii="仿宋" w:hAnsi="仿宋" w:eastAsia="仿宋" w:cs="仿宋"/>
                <w:color w:val="auto"/>
                <w:kern w:val="0"/>
                <w:sz w:val="24"/>
                <w:szCs w:val="24"/>
                <w:highlight w:val="none"/>
              </w:rPr>
              <w:t>☐是。中标人按照合同约定或者经采购人同意，可以将项目非主体、非关键性工作分包交由他人完成。此时，接受分包的人应当具备相应的资格条件，并不得再次分包。</w:t>
            </w:r>
          </w:p>
          <w:p>
            <w:pPr>
              <w:pStyle w:val="23"/>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分包内容要求：</w:t>
            </w:r>
            <w:bookmarkStart w:id="22" w:name="EBa69c75a77835476bbdcb8c909a4a812c"/>
            <w:bookmarkEnd w:id="22"/>
            <w:r>
              <w:rPr>
                <w:rFonts w:hint="eastAsia" w:ascii="仿宋" w:hAnsi="仿宋" w:eastAsia="仿宋" w:cs="仿宋"/>
                <w:color w:val="auto"/>
                <w:kern w:val="0"/>
                <w:sz w:val="24"/>
                <w:szCs w:val="24"/>
                <w:highlight w:val="none"/>
                <w:u w:val="single"/>
              </w:rPr>
              <w:t xml:space="preserve">      /           </w:t>
            </w:r>
          </w:p>
          <w:p>
            <w:pPr>
              <w:pStyle w:val="23"/>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分包金额要求：</w:t>
            </w:r>
            <w:bookmarkStart w:id="23" w:name="EBd3f56592b2054e50ad44ad4ca7d3f5c2"/>
            <w:bookmarkEnd w:id="23"/>
            <w:r>
              <w:rPr>
                <w:rFonts w:hint="eastAsia" w:ascii="仿宋" w:hAnsi="仿宋" w:eastAsia="仿宋" w:cs="仿宋"/>
                <w:color w:val="auto"/>
                <w:kern w:val="0"/>
                <w:sz w:val="24"/>
                <w:szCs w:val="24"/>
                <w:highlight w:val="none"/>
                <w:u w:val="single"/>
              </w:rPr>
              <w:t xml:space="preserve">      /           </w:t>
            </w:r>
          </w:p>
          <w:p>
            <w:pPr>
              <w:pStyle w:val="23"/>
              <w:autoSpaceDE w:val="0"/>
              <w:autoSpaceDN w:val="0"/>
              <w:adjustRightInd w:val="0"/>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kern w:val="0"/>
                <w:sz w:val="24"/>
                <w:szCs w:val="24"/>
                <w:highlight w:val="none"/>
              </w:rPr>
              <w:t>接受分包的第三人资质要求：</w:t>
            </w:r>
          </w:p>
          <w:p>
            <w:pPr>
              <w:pStyle w:val="23"/>
              <w:autoSpaceDE w:val="0"/>
              <w:autoSpaceDN w:val="0"/>
              <w:adjustRightInd w:val="0"/>
              <w:spacing w:line="360" w:lineRule="auto"/>
              <w:rPr>
                <w:rFonts w:hint="eastAsia" w:ascii="仿宋" w:hAnsi="仿宋" w:eastAsia="仿宋" w:cs="仿宋"/>
                <w:color w:val="auto"/>
                <w:kern w:val="0"/>
                <w:sz w:val="24"/>
                <w:szCs w:val="24"/>
                <w:highlight w:val="none"/>
              </w:rPr>
            </w:pPr>
            <w:bookmarkStart w:id="24" w:name="EB5f6d947066154c69b5501788367db129"/>
            <w:bookmarkEnd w:id="24"/>
            <w:r>
              <w:rPr>
                <w:rFonts w:hint="eastAsia" w:ascii="仿宋" w:hAnsi="仿宋" w:eastAsia="仿宋" w:cs="仿宋"/>
                <w:color w:val="auto"/>
                <w:kern w:val="0"/>
                <w:sz w:val="24"/>
                <w:szCs w:val="24"/>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10</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踏勘现场</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rPr>
                <w:rFonts w:hint="eastAsia" w:ascii="仿宋" w:hAnsi="仿宋" w:eastAsia="仿宋" w:cs="仿宋"/>
                <w:color w:val="auto"/>
                <w:kern w:val="0"/>
                <w:sz w:val="24"/>
                <w:szCs w:val="24"/>
                <w:highlight w:val="none"/>
              </w:rPr>
            </w:pPr>
            <w:bookmarkStart w:id="25" w:name="EB3654e13cae20475eac84fa83364d7833"/>
            <w:bookmarkEnd w:id="25"/>
            <w:r>
              <w:rPr>
                <w:rFonts w:hint="eastAsia" w:ascii="仿宋" w:hAnsi="仿宋" w:eastAsia="仿宋" w:cs="仿宋"/>
                <w:color w:val="auto"/>
                <w:kern w:val="0"/>
                <w:sz w:val="24"/>
                <w:szCs w:val="24"/>
                <w:highlight w:val="none"/>
                <w:lang w:val="en-US" w:eastAsia="zh-CN" w:bidi="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11</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jc w:val="center"/>
              <w:rPr>
                <w:rFonts w:hint="eastAsia" w:ascii="仿宋" w:hAnsi="仿宋" w:eastAsia="仿宋" w:cs="仿宋"/>
                <w:b/>
                <w:color w:val="auto"/>
                <w:sz w:val="24"/>
                <w:szCs w:val="24"/>
                <w:highlight w:val="yellow"/>
              </w:rPr>
            </w:pPr>
            <w:r>
              <w:rPr>
                <w:rFonts w:hint="eastAsia" w:ascii="仿宋" w:hAnsi="仿宋" w:eastAsia="仿宋" w:cs="仿宋"/>
                <w:b/>
                <w:color w:val="auto"/>
                <w:sz w:val="24"/>
                <w:szCs w:val="24"/>
                <w:highlight w:val="none"/>
              </w:rPr>
              <w:t>答疑接受时间</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5"/>
              <w:spacing w:line="360" w:lineRule="auto"/>
              <w:rPr>
                <w:rFonts w:hint="eastAsia" w:ascii="仿宋" w:hAnsi="仿宋" w:eastAsia="仿宋" w:cs="仿宋"/>
                <w:b w:val="0"/>
                <w:bCs w:val="0"/>
                <w:kern w:val="0"/>
                <w:sz w:val="24"/>
                <w:szCs w:val="24"/>
                <w:highlight w:val="none"/>
                <w:u w:val="none"/>
                <w:lang w:val="en-US" w:eastAsia="zh-CN"/>
              </w:rPr>
            </w:pPr>
            <w:bookmarkStart w:id="26" w:name="EB17a0b1178f4e475ebd3db773a983cd6b"/>
            <w:bookmarkEnd w:id="26"/>
            <w:r>
              <w:rPr>
                <w:rFonts w:hint="eastAsia" w:ascii="仿宋" w:hAnsi="仿宋" w:eastAsia="仿宋" w:cs="仿宋"/>
                <w:b w:val="0"/>
                <w:bCs w:val="0"/>
                <w:kern w:val="0"/>
                <w:sz w:val="24"/>
                <w:szCs w:val="24"/>
                <w:highlight w:val="none"/>
                <w:u w:val="none"/>
                <w:lang w:val="en-US" w:eastAsia="zh-CN"/>
              </w:rPr>
              <w:t>1.投标人认为招标文件、招标过程、中标或者成交结果使自己的权益受到损害的，可以在知道或者应知其权益受到损害之日起7个工作日内，以书面形式向采购人、采购代理机构提出质疑。</w:t>
            </w:r>
          </w:p>
          <w:p>
            <w:pPr>
              <w:pStyle w:val="25"/>
              <w:spacing w:line="360" w:lineRule="auto"/>
              <w:rPr>
                <w:rFonts w:hint="eastAsia" w:ascii="仿宋" w:hAnsi="仿宋" w:eastAsia="仿宋" w:cs="仿宋"/>
                <w:b w:val="0"/>
                <w:bCs w:val="0"/>
                <w:kern w:val="0"/>
                <w:sz w:val="24"/>
                <w:szCs w:val="24"/>
                <w:highlight w:val="none"/>
                <w:u w:val="none"/>
                <w:lang w:val="en-US" w:eastAsia="zh-CN"/>
              </w:rPr>
            </w:pPr>
            <w:r>
              <w:rPr>
                <w:rFonts w:hint="eastAsia" w:ascii="仿宋" w:hAnsi="仿宋" w:eastAsia="仿宋" w:cs="仿宋"/>
                <w:b w:val="0"/>
                <w:bCs w:val="0"/>
                <w:kern w:val="0"/>
                <w:sz w:val="24"/>
                <w:szCs w:val="24"/>
                <w:highlight w:val="none"/>
                <w:u w:val="none"/>
                <w:lang w:val="en-US" w:eastAsia="zh-CN"/>
              </w:rPr>
              <w:t>2.投标人在法定质疑期内必须一次性提出针对同一招标程序环节的质疑。</w:t>
            </w:r>
          </w:p>
          <w:p>
            <w:pPr>
              <w:pStyle w:val="25"/>
              <w:spacing w:line="360" w:lineRule="auto"/>
              <w:rPr>
                <w:rFonts w:hint="eastAsia" w:ascii="仿宋" w:hAnsi="仿宋" w:eastAsia="仿宋" w:cs="仿宋"/>
                <w:b w:val="0"/>
                <w:bCs w:val="0"/>
                <w:kern w:val="0"/>
                <w:sz w:val="24"/>
                <w:szCs w:val="24"/>
                <w:highlight w:val="none"/>
                <w:u w:val="none"/>
                <w:lang w:val="en-US" w:eastAsia="zh-CN"/>
              </w:rPr>
            </w:pPr>
            <w:r>
              <w:rPr>
                <w:rFonts w:hint="eastAsia" w:ascii="仿宋" w:hAnsi="仿宋" w:eastAsia="仿宋" w:cs="仿宋"/>
                <w:b w:val="0"/>
                <w:bCs w:val="0"/>
                <w:kern w:val="0"/>
                <w:sz w:val="24"/>
                <w:szCs w:val="24"/>
                <w:highlight w:val="none"/>
                <w:u w:val="none"/>
                <w:lang w:val="en-US" w:eastAsia="zh-CN"/>
              </w:rPr>
              <w:t xml:space="preserve">3.质疑投标人应按照财政部制定的《政府采购质疑函范本》格式 10（可从财政部官方网站下载）和《政府采购质疑和投诉办法》（财政部令第94号）的要求，在法定质疑期内以书面形式提出质疑。 </w:t>
            </w:r>
          </w:p>
          <w:p>
            <w:pPr>
              <w:pStyle w:val="25"/>
              <w:spacing w:line="360" w:lineRule="auto"/>
              <w:rPr>
                <w:rFonts w:hint="eastAsia" w:ascii="仿宋" w:hAnsi="仿宋" w:eastAsia="仿宋" w:cs="仿宋"/>
                <w:b w:val="0"/>
                <w:bCs w:val="0"/>
                <w:kern w:val="0"/>
                <w:sz w:val="24"/>
                <w:szCs w:val="24"/>
                <w:highlight w:val="none"/>
                <w:u w:val="none"/>
                <w:lang w:val="en-US" w:eastAsia="zh-CN"/>
              </w:rPr>
            </w:pPr>
            <w:r>
              <w:rPr>
                <w:rFonts w:hint="eastAsia" w:ascii="仿宋" w:hAnsi="仿宋" w:eastAsia="仿宋" w:cs="仿宋"/>
                <w:b w:val="0"/>
                <w:bCs w:val="0"/>
                <w:kern w:val="0"/>
                <w:sz w:val="24"/>
                <w:szCs w:val="24"/>
                <w:highlight w:val="none"/>
                <w:u w:val="none"/>
                <w:lang w:val="en-US" w:eastAsia="zh-CN"/>
              </w:rPr>
              <w:t xml:space="preserve">4.超出法定质疑期、重复或分次提出的、内容或形式不符合《政府采购质疑和投诉办法》规定的质疑将被拒绝。 </w:t>
            </w:r>
          </w:p>
          <w:p>
            <w:pPr>
              <w:pStyle w:val="25"/>
              <w:spacing w:line="360" w:lineRule="auto"/>
              <w:rPr>
                <w:rFonts w:hint="eastAsia" w:ascii="仿宋" w:hAnsi="仿宋" w:eastAsia="仿宋" w:cs="仿宋"/>
                <w:b w:val="0"/>
                <w:bCs w:val="0"/>
                <w:kern w:val="0"/>
                <w:sz w:val="24"/>
                <w:szCs w:val="24"/>
                <w:highlight w:val="none"/>
                <w:u w:val="none"/>
                <w:lang w:val="en-US" w:eastAsia="zh-CN"/>
              </w:rPr>
            </w:pPr>
            <w:r>
              <w:rPr>
                <w:rFonts w:hint="eastAsia" w:ascii="仿宋" w:hAnsi="仿宋" w:eastAsia="仿宋" w:cs="仿宋"/>
                <w:b w:val="0"/>
                <w:bCs w:val="0"/>
                <w:kern w:val="0"/>
                <w:sz w:val="24"/>
                <w:szCs w:val="24"/>
                <w:highlight w:val="none"/>
                <w:u w:val="none"/>
                <w:lang w:val="en-US" w:eastAsia="zh-CN"/>
              </w:rPr>
              <w:t>5.依据：《中华人民共和国政府采购法》第五十二条、《中华人民共和国政府采购法实施条例》第五十三条规定的投标人应知其权益受到损害之日，是指：(1)对可以质疑的招标文件提出质疑的，为收到招标文件之日或者招标文件公告期限届满之日；(2)对招标过程提出质疑的，为各招标程序环节结束之日；(3)对中标或者成交结果提出质疑的，为中标或者成交结果公告期限届满之日。</w:t>
            </w:r>
          </w:p>
          <w:p>
            <w:pPr>
              <w:pStyle w:val="25"/>
              <w:spacing w:line="360" w:lineRule="auto"/>
              <w:rPr>
                <w:rFonts w:hint="eastAsia" w:ascii="仿宋" w:hAnsi="仿宋" w:eastAsia="仿宋" w:cs="仿宋"/>
                <w:b w:val="0"/>
                <w:bCs w:val="0"/>
                <w:kern w:val="0"/>
                <w:sz w:val="24"/>
                <w:szCs w:val="24"/>
                <w:highlight w:val="none"/>
                <w:u w:val="none"/>
                <w:lang w:val="en-US" w:eastAsia="zh-CN"/>
              </w:rPr>
            </w:pPr>
            <w:r>
              <w:rPr>
                <w:rFonts w:hint="eastAsia" w:ascii="仿宋" w:hAnsi="仿宋" w:eastAsia="仿宋" w:cs="仿宋"/>
                <w:b w:val="0"/>
                <w:bCs w:val="0"/>
                <w:kern w:val="0"/>
                <w:sz w:val="24"/>
                <w:szCs w:val="24"/>
                <w:highlight w:val="none"/>
                <w:u w:val="none"/>
                <w:lang w:val="en-US" w:eastAsia="zh-CN"/>
              </w:rPr>
              <w:t>6.澄清、修改文件发出后（若有）,投标人必须使用最新的澄清文件制作电子投标文件。</w:t>
            </w:r>
          </w:p>
          <w:p>
            <w:pPr>
              <w:pStyle w:val="25"/>
              <w:spacing w:line="360" w:lineRule="auto"/>
              <w:rPr>
                <w:rFonts w:hint="eastAsia" w:ascii="仿宋" w:hAnsi="仿宋" w:eastAsia="仿宋" w:cs="仿宋"/>
                <w:b w:val="0"/>
                <w:bCs w:val="0"/>
                <w:kern w:val="0"/>
                <w:sz w:val="24"/>
                <w:szCs w:val="24"/>
                <w:highlight w:val="none"/>
                <w:u w:val="none"/>
                <w:lang w:val="en-US" w:eastAsia="zh-CN"/>
              </w:rPr>
            </w:pPr>
            <w:r>
              <w:rPr>
                <w:rFonts w:hint="eastAsia" w:ascii="仿宋" w:hAnsi="仿宋" w:eastAsia="仿宋" w:cs="仿宋"/>
                <w:b w:val="0"/>
                <w:bCs w:val="0"/>
                <w:kern w:val="0"/>
                <w:sz w:val="24"/>
                <w:szCs w:val="24"/>
                <w:highlight w:val="none"/>
                <w:u w:val="none"/>
                <w:lang w:val="en-US" w:eastAsia="zh-CN"/>
              </w:rPr>
              <w:t>7.采购代理机构质疑函接收部门、联系电话：</w:t>
            </w:r>
          </w:p>
          <w:p>
            <w:pPr>
              <w:pStyle w:val="25"/>
              <w:spacing w:line="360" w:lineRule="auto"/>
              <w:rPr>
                <w:rFonts w:hint="eastAsia" w:ascii="仿宋" w:hAnsi="仿宋" w:eastAsia="仿宋" w:cs="仿宋"/>
                <w:b w:val="0"/>
                <w:bCs w:val="0"/>
                <w:kern w:val="0"/>
                <w:sz w:val="24"/>
                <w:szCs w:val="24"/>
                <w:highlight w:val="none"/>
                <w:u w:val="none"/>
                <w:lang w:val="en-US" w:eastAsia="zh-CN"/>
              </w:rPr>
            </w:pPr>
            <w:r>
              <w:rPr>
                <w:rFonts w:hint="eastAsia" w:ascii="仿宋" w:hAnsi="仿宋" w:eastAsia="仿宋" w:cs="仿宋"/>
                <w:b w:val="0"/>
                <w:bCs w:val="0"/>
                <w:kern w:val="0"/>
                <w:sz w:val="24"/>
                <w:szCs w:val="24"/>
                <w:highlight w:val="none"/>
                <w:u w:val="none"/>
                <w:lang w:val="en-US" w:eastAsia="zh-CN"/>
              </w:rPr>
              <w:t>接收部门：新疆锦辰工程项目管理有限公司</w:t>
            </w:r>
          </w:p>
          <w:p>
            <w:pPr>
              <w:pStyle w:val="25"/>
              <w:spacing w:line="360" w:lineRule="auto"/>
              <w:rPr>
                <w:rFonts w:hint="eastAsia" w:ascii="仿宋" w:hAnsi="仿宋" w:eastAsia="仿宋" w:cs="仿宋"/>
                <w:b w:val="0"/>
                <w:bCs w:val="0"/>
                <w:kern w:val="0"/>
                <w:sz w:val="24"/>
                <w:szCs w:val="24"/>
                <w:highlight w:val="none"/>
                <w:u w:val="none"/>
                <w:lang w:val="en-US" w:eastAsia="zh-CN"/>
              </w:rPr>
            </w:pPr>
            <w:r>
              <w:rPr>
                <w:rFonts w:hint="eastAsia" w:ascii="仿宋" w:hAnsi="仿宋" w:eastAsia="仿宋" w:cs="仿宋"/>
                <w:b w:val="0"/>
                <w:bCs w:val="0"/>
                <w:kern w:val="0"/>
                <w:sz w:val="24"/>
                <w:szCs w:val="24"/>
                <w:highlight w:val="none"/>
                <w:u w:val="none"/>
                <w:lang w:val="en-US" w:eastAsia="zh-CN"/>
              </w:rPr>
              <w:t>联系人：贾智俊</w:t>
            </w:r>
          </w:p>
          <w:p>
            <w:pPr>
              <w:pStyle w:val="25"/>
              <w:spacing w:line="360" w:lineRule="auto"/>
              <w:rPr>
                <w:rFonts w:hint="eastAsia" w:ascii="仿宋" w:hAnsi="仿宋" w:eastAsia="仿宋" w:cs="仿宋"/>
                <w:b w:val="0"/>
                <w:bCs w:val="0"/>
                <w:kern w:val="0"/>
                <w:sz w:val="24"/>
                <w:szCs w:val="24"/>
                <w:highlight w:val="none"/>
                <w:u w:val="none"/>
                <w:lang w:val="en-US" w:eastAsia="zh-CN"/>
              </w:rPr>
            </w:pPr>
            <w:r>
              <w:rPr>
                <w:rFonts w:hint="eastAsia" w:ascii="仿宋" w:hAnsi="仿宋" w:eastAsia="仿宋" w:cs="仿宋"/>
                <w:b w:val="0"/>
                <w:bCs w:val="0"/>
                <w:kern w:val="0"/>
                <w:sz w:val="24"/>
                <w:szCs w:val="24"/>
                <w:highlight w:val="none"/>
                <w:u w:val="none"/>
                <w:lang w:val="en-US" w:eastAsia="zh-CN"/>
              </w:rPr>
              <w:t>联系电话：13319859131</w:t>
            </w:r>
          </w:p>
          <w:p>
            <w:pPr>
              <w:pStyle w:val="23"/>
              <w:spacing w:line="360" w:lineRule="auto"/>
              <w:rPr>
                <w:rFonts w:hint="eastAsia" w:ascii="仿宋" w:hAnsi="仿宋" w:eastAsia="仿宋" w:cs="仿宋"/>
                <w:color w:val="auto"/>
                <w:kern w:val="0"/>
                <w:sz w:val="24"/>
                <w:szCs w:val="24"/>
                <w:highlight w:val="yellow"/>
                <w:lang w:val="en-US" w:eastAsia="zh-CN" w:bidi="zh-CN"/>
              </w:rPr>
            </w:pPr>
            <w:r>
              <w:rPr>
                <w:rFonts w:hint="eastAsia" w:ascii="仿宋" w:hAnsi="仿宋" w:eastAsia="仿宋" w:cs="仿宋"/>
                <w:b w:val="0"/>
                <w:bCs w:val="0"/>
                <w:kern w:val="0"/>
                <w:sz w:val="24"/>
                <w:szCs w:val="24"/>
                <w:highlight w:val="none"/>
                <w:u w:val="none"/>
                <w:lang w:val="en-US" w:eastAsia="zh-CN"/>
              </w:rPr>
              <w:t>地址：新疆图木舒克市前海东街17号翠景园小区3号楼2层2－2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12</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投标有效期</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val="zh-CN"/>
              </w:rPr>
              <w:t>自投标截止之日起</w:t>
            </w:r>
            <w:bookmarkStart w:id="27" w:name="EB8c89669a7b2d4e7d97b13873e077b2f7"/>
            <w:bookmarkEnd w:id="27"/>
            <w:r>
              <w:rPr>
                <w:rFonts w:hint="eastAsia" w:ascii="仿宋" w:hAnsi="仿宋" w:eastAsia="仿宋" w:cs="仿宋"/>
                <w:color w:val="auto"/>
                <w:kern w:val="0"/>
                <w:sz w:val="24"/>
                <w:szCs w:val="24"/>
                <w:highlight w:val="none"/>
                <w:u w:val="single"/>
                <w:lang w:val="en-US" w:eastAsia="zh-CN"/>
              </w:rPr>
              <w:t>9</w:t>
            </w:r>
            <w:r>
              <w:rPr>
                <w:rFonts w:hint="eastAsia" w:ascii="仿宋" w:hAnsi="仿宋" w:eastAsia="仿宋" w:cs="仿宋"/>
                <w:color w:val="auto"/>
                <w:kern w:val="0"/>
                <w:sz w:val="24"/>
                <w:szCs w:val="24"/>
                <w:highlight w:val="none"/>
                <w:u w:val="single"/>
              </w:rPr>
              <w:t xml:space="preserve">0 </w:t>
            </w:r>
            <w:r>
              <w:rPr>
                <w:rFonts w:hint="eastAsia" w:ascii="仿宋" w:hAnsi="仿宋" w:eastAsia="仿宋" w:cs="仿宋"/>
                <w:color w:val="auto"/>
                <w:sz w:val="24"/>
                <w:szCs w:val="24"/>
                <w:highlight w:val="none"/>
                <w:lang w:val="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13</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投标截止时间（开标时间）</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截止时间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none"/>
                <w:lang w:eastAsia="zh-CN"/>
              </w:rPr>
              <w:t>2022年12月24日11:00</w:t>
            </w:r>
            <w:r>
              <w:rPr>
                <w:rFonts w:hint="eastAsia" w:ascii="仿宋" w:hAnsi="仿宋" w:eastAsia="仿宋" w:cs="仿宋"/>
                <w:color w:val="auto"/>
                <w:sz w:val="24"/>
                <w:szCs w:val="24"/>
                <w:highlight w:val="none"/>
              </w:rPr>
              <w:t>（北京时间）</w:t>
            </w:r>
          </w:p>
          <w:p>
            <w:pPr>
              <w:pStyle w:val="23"/>
              <w:spacing w:line="360" w:lineRule="auto"/>
              <w:rPr>
                <w:rFonts w:hint="eastAsia" w:ascii="仿宋" w:hAnsi="仿宋" w:eastAsia="仿宋" w:cs="仿宋"/>
                <w:color w:val="0000FF"/>
                <w:sz w:val="24"/>
                <w:szCs w:val="24"/>
                <w:highlight w:val="none"/>
              </w:rPr>
            </w:pP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文件递</w:t>
            </w:r>
            <w:r>
              <w:rPr>
                <w:rFonts w:hint="eastAsia" w:ascii="仿宋" w:hAnsi="仿宋" w:eastAsia="仿宋" w:cs="仿宋"/>
                <w:color w:val="auto"/>
                <w:sz w:val="24"/>
                <w:szCs w:val="24"/>
                <w:highlight w:val="none"/>
                <w:lang w:val="en-US" w:eastAsia="zh-CN"/>
              </w:rPr>
              <w:t>交</w:t>
            </w:r>
            <w:r>
              <w:rPr>
                <w:rFonts w:hint="eastAsia" w:ascii="仿宋" w:hAnsi="仿宋" w:eastAsia="仿宋" w:cs="仿宋"/>
                <w:color w:val="auto"/>
                <w:sz w:val="24"/>
                <w:szCs w:val="24"/>
                <w:highlight w:val="none"/>
              </w:rPr>
              <w:t>电子</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解密时长</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30分钟。请投标单位在开标截止时间至少半小时前提前登录不见面开标大厅确保电脑、网络、浏览器正常，若发生因</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自身网络、设备的问题造成的</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无法解密等情况，</w:t>
            </w:r>
            <w:r>
              <w:rPr>
                <w:rFonts w:hint="eastAsia" w:ascii="仿宋" w:hAnsi="仿宋" w:eastAsia="仿宋" w:cs="仿宋"/>
                <w:color w:val="auto"/>
                <w:sz w:val="24"/>
                <w:szCs w:val="24"/>
                <w:highlight w:val="none"/>
                <w:lang w:eastAsia="zh-CN"/>
              </w:rPr>
              <w:t>导致投标被拒的情况</w:t>
            </w:r>
            <w:r>
              <w:rPr>
                <w:rFonts w:hint="eastAsia" w:ascii="仿宋" w:hAnsi="仿宋" w:eastAsia="仿宋" w:cs="仿宋"/>
                <w:color w:val="auto"/>
                <w:sz w:val="24"/>
                <w:szCs w:val="24"/>
                <w:highlight w:val="none"/>
              </w:rPr>
              <w:t>由投标单位自行承担。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14</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开标地点</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ind w:leftChars="-1" w:hanging="2" w:hangingChars="1"/>
              <w:rPr>
                <w:rFonts w:hint="eastAsia" w:ascii="仿宋" w:hAnsi="仿宋" w:eastAsia="仿宋" w:cs="仿宋"/>
                <w:color w:val="0000FF"/>
                <w:sz w:val="24"/>
                <w:szCs w:val="24"/>
                <w:highlight w:val="none"/>
              </w:rPr>
            </w:pPr>
            <w:r>
              <w:rPr>
                <w:rFonts w:hint="eastAsia" w:ascii="仿宋" w:hAnsi="仿宋" w:eastAsia="仿宋" w:cs="仿宋"/>
                <w:color w:val="auto"/>
                <w:kern w:val="2"/>
                <w:sz w:val="24"/>
                <w:szCs w:val="24"/>
                <w:highlight w:val="none"/>
                <w:lang w:val="en-US" w:eastAsia="zh-CN" w:bidi="ar-SA"/>
              </w:rPr>
              <w:t>兵团政采云平台电子交易平台开标大厅（兵团政采云平台https://www.zcygov.cn/）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15</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bidi="ug-CN"/>
              </w:rPr>
              <w:t xml:space="preserve">投标文件份数 </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exact"/>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加密版电子文件在“政采云”平台上传； </w:t>
            </w:r>
          </w:p>
          <w:p>
            <w:pPr>
              <w:keepNext w:val="0"/>
              <w:keepLines w:val="0"/>
              <w:widowControl/>
              <w:suppressLineNumbers w:val="0"/>
              <w:spacing w:line="360" w:lineRule="exact"/>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1.中标单位须提供胶装成册的纸质版投标文件（签字盖章） 3份 （一正二副）、电子文件（U盘储存1份、光碟3份）交至代理机构处。</w:t>
            </w:r>
          </w:p>
          <w:p>
            <w:pPr>
              <w:keepNext w:val="0"/>
              <w:keepLines w:val="0"/>
              <w:widowControl/>
              <w:suppressLineNumbers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2.非中标单位提供胶装成册的纸质版（签字盖章）的投标文件正本1份。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16</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评标委员会的组成</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5"/>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评标委员会构成：</w:t>
            </w:r>
            <w:r>
              <w:rPr>
                <w:rFonts w:hint="eastAsia" w:ascii="仿宋" w:hAnsi="仿宋" w:eastAsia="仿宋" w:cs="仿宋"/>
                <w:color w:val="auto"/>
                <w:kern w:val="0"/>
                <w:sz w:val="24"/>
                <w:szCs w:val="24"/>
                <w:highlight w:val="none"/>
                <w:u w:val="single"/>
                <w:lang w:val="en-US" w:eastAsia="zh-CN"/>
              </w:rPr>
              <w:t>7</w:t>
            </w:r>
            <w:r>
              <w:rPr>
                <w:rFonts w:hint="eastAsia" w:ascii="仿宋" w:hAnsi="仿宋" w:eastAsia="仿宋" w:cs="仿宋"/>
                <w:color w:val="auto"/>
                <w:sz w:val="24"/>
                <w:szCs w:val="24"/>
                <w:highlight w:val="none"/>
              </w:rPr>
              <w:t>人，其中</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代表</w:t>
            </w:r>
            <w:r>
              <w:rPr>
                <w:rFonts w:hint="eastAsia" w:ascii="仿宋" w:hAnsi="仿宋" w:eastAsia="仿宋" w:cs="仿宋"/>
                <w:color w:val="auto"/>
                <w:sz w:val="24"/>
                <w:szCs w:val="24"/>
                <w:highlight w:val="none"/>
                <w:u w:val="single"/>
                <w:lang w:val="en-US" w:eastAsia="zh-CN"/>
              </w:rPr>
              <w:t>2</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 xml:space="preserve">和专家评委 </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rPr>
              <w:t>人。</w:t>
            </w:r>
          </w:p>
          <w:p>
            <w:pPr>
              <w:pStyle w:val="23"/>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sz w:val="24"/>
                <w:szCs w:val="24"/>
                <w:highlight w:val="none"/>
              </w:rPr>
              <w:t>评委确定方式：</w:t>
            </w:r>
            <w:r>
              <w:rPr>
                <w:rFonts w:hint="eastAsia" w:ascii="仿宋" w:hAnsi="仿宋" w:eastAsia="仿宋" w:cs="仿宋"/>
                <w:color w:val="auto"/>
                <w:kern w:val="0"/>
                <w:sz w:val="24"/>
                <w:szCs w:val="24"/>
                <w:highlight w:val="none"/>
                <w:u w:val="single"/>
              </w:rPr>
              <w:t xml:space="preserve"> 政采云平台专家库中系统自行抽取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restart"/>
            <w:tcBorders>
              <w:top w:val="single" w:color="auto" w:sz="4" w:space="0"/>
              <w:left w:val="single" w:color="auto" w:sz="4" w:space="0"/>
              <w:right w:val="single" w:color="auto" w:sz="4" w:space="0"/>
            </w:tcBorders>
            <w:noWrap w:val="0"/>
            <w:vAlign w:val="center"/>
          </w:tcPr>
          <w:p>
            <w:pPr>
              <w:pStyle w:val="23"/>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17</w:t>
            </w:r>
          </w:p>
        </w:tc>
        <w:tc>
          <w:tcPr>
            <w:tcW w:w="1183" w:type="dxa"/>
            <w:vMerge w:val="restart"/>
            <w:tcBorders>
              <w:top w:val="single" w:color="auto" w:sz="4" w:space="0"/>
              <w:left w:val="single" w:color="auto" w:sz="4" w:space="0"/>
              <w:right w:val="single" w:color="auto" w:sz="4" w:space="0"/>
            </w:tcBorders>
            <w:noWrap w:val="0"/>
            <w:vAlign w:val="center"/>
          </w:tcPr>
          <w:p>
            <w:pPr>
              <w:pStyle w:val="23"/>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投标保证金</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5"/>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缴纳方式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以支票、汇票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本票或者金融机构、担保机构出具的保函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电汇、网银转账等非现金形式提交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vMerge w:val="continue"/>
            <w:tcBorders>
              <w:left w:val="single" w:color="auto" w:sz="4" w:space="0"/>
              <w:right w:val="single" w:color="auto" w:sz="4" w:space="0"/>
            </w:tcBorders>
            <w:noWrap w:val="0"/>
            <w:vAlign w:val="center"/>
          </w:tcPr>
          <w:p>
            <w:pPr>
              <w:pStyle w:val="23"/>
              <w:spacing w:line="360" w:lineRule="auto"/>
              <w:jc w:val="center"/>
              <w:rPr>
                <w:rFonts w:hint="eastAsia" w:ascii="仿宋" w:hAnsi="仿宋" w:eastAsia="仿宋" w:cs="仿宋"/>
                <w:b/>
                <w:color w:val="auto"/>
                <w:kern w:val="0"/>
                <w:sz w:val="24"/>
                <w:szCs w:val="24"/>
                <w:highlight w:val="none"/>
              </w:rPr>
            </w:pPr>
          </w:p>
        </w:tc>
        <w:tc>
          <w:tcPr>
            <w:tcW w:w="1183" w:type="dxa"/>
            <w:vMerge w:val="continue"/>
            <w:tcBorders>
              <w:left w:val="single" w:color="auto" w:sz="4" w:space="0"/>
              <w:right w:val="single" w:color="auto" w:sz="4" w:space="0"/>
            </w:tcBorders>
            <w:noWrap w:val="0"/>
            <w:vAlign w:val="center"/>
          </w:tcPr>
          <w:p>
            <w:pPr>
              <w:pStyle w:val="23"/>
              <w:spacing w:line="360" w:lineRule="auto"/>
              <w:jc w:val="center"/>
              <w:rPr>
                <w:rFonts w:hint="eastAsia" w:ascii="仿宋" w:hAnsi="仿宋" w:eastAsia="仿宋" w:cs="仿宋"/>
                <w:b/>
                <w:color w:val="auto"/>
                <w:kern w:val="0"/>
                <w:sz w:val="24"/>
                <w:szCs w:val="24"/>
                <w:highlight w:val="none"/>
              </w:rPr>
            </w:pP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5"/>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kern w:val="0"/>
                <w:sz w:val="24"/>
                <w:szCs w:val="24"/>
                <w:highlight w:val="none"/>
              </w:rPr>
              <w:t>金额（小写）</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u w:val="single"/>
                <w:lang w:val="en-US" w:eastAsia="zh-CN"/>
              </w:rPr>
              <w:t>140000.00</w:t>
            </w:r>
            <w:r>
              <w:rPr>
                <w:rFonts w:hint="eastAsia" w:ascii="仿宋" w:hAnsi="仿宋" w:eastAsia="仿宋" w:cs="仿宋"/>
                <w:color w:val="auto"/>
                <w:sz w:val="24"/>
                <w:szCs w:val="24"/>
                <w:highlight w:val="none"/>
                <w:u w:val="single"/>
              </w:rPr>
              <w:t>元</w:t>
            </w:r>
          </w:p>
          <w:p>
            <w:pPr>
              <w:pStyle w:val="25"/>
              <w:spacing w:line="360" w:lineRule="auto"/>
              <w:jc w:val="left"/>
              <w:rPr>
                <w:rFonts w:hint="default"/>
                <w:color w:val="auto"/>
                <w:highlight w:val="none"/>
                <w:lang w:val="en-US" w:eastAsia="zh-CN"/>
              </w:rPr>
            </w:pPr>
            <w:r>
              <w:rPr>
                <w:rFonts w:hint="eastAsia" w:ascii="仿宋" w:hAnsi="仿宋" w:eastAsia="仿宋" w:cs="仿宋"/>
                <w:color w:val="auto"/>
                <w:kern w:val="0"/>
                <w:sz w:val="24"/>
                <w:szCs w:val="24"/>
                <w:highlight w:val="none"/>
              </w:rPr>
              <w:t>金额（大写）</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u w:val="single"/>
                <w:lang w:eastAsia="zh-CN"/>
              </w:rPr>
              <w:t>壹拾肆万元整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continue"/>
            <w:tcBorders>
              <w:left w:val="single" w:color="auto" w:sz="4" w:space="0"/>
              <w:right w:val="single" w:color="auto" w:sz="4" w:space="0"/>
            </w:tcBorders>
            <w:noWrap w:val="0"/>
            <w:vAlign w:val="center"/>
          </w:tcPr>
          <w:p>
            <w:pPr>
              <w:pStyle w:val="23"/>
              <w:spacing w:line="360" w:lineRule="auto"/>
              <w:jc w:val="center"/>
              <w:rPr>
                <w:rFonts w:hint="eastAsia" w:ascii="仿宋" w:hAnsi="仿宋" w:eastAsia="仿宋" w:cs="仿宋"/>
                <w:b/>
                <w:color w:val="auto"/>
                <w:kern w:val="0"/>
                <w:sz w:val="24"/>
                <w:szCs w:val="24"/>
                <w:highlight w:val="none"/>
              </w:rPr>
            </w:pPr>
          </w:p>
        </w:tc>
        <w:tc>
          <w:tcPr>
            <w:tcW w:w="1183" w:type="dxa"/>
            <w:vMerge w:val="continue"/>
            <w:tcBorders>
              <w:left w:val="single" w:color="auto" w:sz="4" w:space="0"/>
              <w:right w:val="single" w:color="auto" w:sz="4" w:space="0"/>
            </w:tcBorders>
            <w:noWrap w:val="0"/>
            <w:vAlign w:val="center"/>
          </w:tcPr>
          <w:p>
            <w:pPr>
              <w:pStyle w:val="23"/>
              <w:spacing w:line="360" w:lineRule="auto"/>
              <w:jc w:val="center"/>
              <w:rPr>
                <w:rFonts w:hint="eastAsia" w:ascii="仿宋" w:hAnsi="仿宋" w:eastAsia="仿宋" w:cs="仿宋"/>
                <w:b/>
                <w:color w:val="auto"/>
                <w:kern w:val="0"/>
                <w:sz w:val="24"/>
                <w:szCs w:val="24"/>
                <w:highlight w:val="none"/>
              </w:rPr>
            </w:pP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34"/>
              <w:widowControl/>
              <w:autoSpaceDE w:val="0"/>
              <w:autoSpaceDN w:val="0"/>
              <w:spacing w:line="360" w:lineRule="auto"/>
              <w:rPr>
                <w:rFonts w:hint="eastAsia" w:ascii="仿宋" w:hAnsi="仿宋" w:eastAsia="仿宋" w:cs="仿宋"/>
                <w:color w:val="auto"/>
                <w:kern w:val="0"/>
                <w:sz w:val="24"/>
                <w:szCs w:val="24"/>
                <w:highlight w:val="none"/>
                <w:lang w:val="en-US" w:eastAsia="zh-CN" w:bidi="ug-CN"/>
              </w:rPr>
            </w:pPr>
            <w:r>
              <w:rPr>
                <w:rFonts w:hint="eastAsia" w:ascii="仿宋" w:hAnsi="仿宋" w:eastAsia="仿宋" w:cs="仿宋"/>
                <w:color w:val="auto"/>
                <w:kern w:val="0"/>
                <w:sz w:val="24"/>
                <w:szCs w:val="24"/>
                <w:highlight w:val="none"/>
                <w:lang w:val="en-US" w:eastAsia="zh-CN" w:bidi="ug-CN"/>
              </w:rPr>
              <w:t>采购人指定的开户银行及账号如下：</w:t>
            </w:r>
          </w:p>
          <w:p>
            <w:pPr>
              <w:pStyle w:val="34"/>
              <w:widowControl/>
              <w:autoSpaceDE w:val="0"/>
              <w:autoSpaceDN w:val="0"/>
              <w:spacing w:line="360" w:lineRule="auto"/>
              <w:rPr>
                <w:rFonts w:hint="eastAsia" w:ascii="仿宋" w:hAnsi="仿宋" w:eastAsia="仿宋" w:cs="仿宋"/>
                <w:color w:val="auto"/>
                <w:kern w:val="0"/>
                <w:sz w:val="24"/>
                <w:szCs w:val="24"/>
                <w:highlight w:val="none"/>
                <w:lang w:val="en-US" w:eastAsia="zh-CN" w:bidi="ug-CN"/>
              </w:rPr>
            </w:pPr>
            <w:r>
              <w:rPr>
                <w:rFonts w:hint="eastAsia" w:ascii="仿宋" w:hAnsi="仿宋" w:eastAsia="仿宋" w:cs="仿宋"/>
                <w:color w:val="auto"/>
                <w:kern w:val="0"/>
                <w:sz w:val="24"/>
                <w:szCs w:val="24"/>
                <w:highlight w:val="none"/>
                <w:lang w:val="en-US" w:eastAsia="zh-CN" w:bidi="ug-CN"/>
              </w:rPr>
              <w:t>开户名称:新疆锦辰工程项目管理有限公司</w:t>
            </w:r>
          </w:p>
          <w:p>
            <w:pPr>
              <w:pStyle w:val="34"/>
              <w:widowControl/>
              <w:autoSpaceDE w:val="0"/>
              <w:autoSpaceDN w:val="0"/>
              <w:spacing w:line="360" w:lineRule="auto"/>
              <w:rPr>
                <w:rFonts w:hint="eastAsia" w:ascii="仿宋" w:hAnsi="仿宋" w:eastAsia="仿宋" w:cs="仿宋"/>
                <w:color w:val="auto"/>
                <w:kern w:val="0"/>
                <w:sz w:val="24"/>
                <w:szCs w:val="24"/>
                <w:highlight w:val="none"/>
                <w:lang w:val="en-US" w:eastAsia="zh-CN" w:bidi="ug-CN"/>
              </w:rPr>
            </w:pPr>
            <w:r>
              <w:rPr>
                <w:rFonts w:hint="eastAsia" w:ascii="仿宋" w:hAnsi="仿宋" w:eastAsia="仿宋" w:cs="仿宋"/>
                <w:color w:val="auto"/>
                <w:kern w:val="0"/>
                <w:sz w:val="24"/>
                <w:szCs w:val="24"/>
                <w:highlight w:val="none"/>
                <w:lang w:val="en-US" w:eastAsia="zh-CN" w:bidi="ug-CN"/>
              </w:rPr>
              <w:t>银行名称:中国银行股份有限公司喀什市解放南路支行</w:t>
            </w:r>
          </w:p>
          <w:p>
            <w:pPr>
              <w:pStyle w:val="34"/>
              <w:widowControl/>
              <w:autoSpaceDE w:val="0"/>
              <w:autoSpaceDN w:val="0"/>
              <w:spacing w:line="360" w:lineRule="auto"/>
              <w:rPr>
                <w:rFonts w:hint="eastAsia" w:ascii="仿宋" w:hAnsi="仿宋" w:eastAsia="仿宋" w:cs="仿宋"/>
                <w:color w:val="auto"/>
                <w:kern w:val="0"/>
                <w:sz w:val="24"/>
                <w:szCs w:val="24"/>
                <w:highlight w:val="none"/>
                <w:lang w:val="en-US" w:eastAsia="zh-CN" w:bidi="ug-CN"/>
              </w:rPr>
            </w:pPr>
            <w:r>
              <w:rPr>
                <w:rFonts w:hint="eastAsia" w:ascii="仿宋" w:hAnsi="仿宋" w:eastAsia="仿宋" w:cs="仿宋"/>
                <w:color w:val="auto"/>
                <w:kern w:val="0"/>
                <w:sz w:val="24"/>
                <w:szCs w:val="24"/>
                <w:highlight w:val="none"/>
                <w:lang w:val="en-US" w:eastAsia="zh-CN" w:bidi="ug-CN"/>
              </w:rPr>
              <w:t>行    号:104894001046</w:t>
            </w:r>
          </w:p>
          <w:p>
            <w:pPr>
              <w:pStyle w:val="34"/>
              <w:widowControl/>
              <w:autoSpaceDE w:val="0"/>
              <w:autoSpaceDN w:val="0"/>
              <w:spacing w:line="360" w:lineRule="auto"/>
              <w:rPr>
                <w:rFonts w:hint="eastAsia" w:ascii="仿宋" w:hAnsi="仿宋" w:eastAsia="仿宋" w:cs="仿宋"/>
                <w:color w:val="auto"/>
                <w:kern w:val="0"/>
                <w:sz w:val="24"/>
                <w:szCs w:val="24"/>
                <w:highlight w:val="none"/>
                <w:lang w:val="en-US" w:eastAsia="zh-CN" w:bidi="ug-CN"/>
              </w:rPr>
            </w:pPr>
            <w:r>
              <w:rPr>
                <w:rFonts w:hint="eastAsia" w:ascii="仿宋" w:hAnsi="仿宋" w:eastAsia="仿宋" w:cs="仿宋"/>
                <w:color w:val="auto"/>
                <w:kern w:val="0"/>
                <w:sz w:val="24"/>
                <w:szCs w:val="24"/>
                <w:highlight w:val="none"/>
                <w:lang w:val="en-US" w:eastAsia="zh-CN" w:bidi="ug-CN"/>
              </w:rPr>
              <w:t>开户银行地址:中国银行股份有限公司喀什市解放南路支行</w:t>
            </w:r>
          </w:p>
          <w:p>
            <w:pPr>
              <w:pStyle w:val="34"/>
              <w:widowControl/>
              <w:autoSpaceDE w:val="0"/>
              <w:autoSpaceDN w:val="0"/>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ug-CN"/>
              </w:rPr>
              <w:t>银行账号:107081419960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continue"/>
            <w:tcBorders>
              <w:left w:val="single" w:color="auto" w:sz="4" w:space="0"/>
              <w:right w:val="single" w:color="auto" w:sz="4" w:space="0"/>
            </w:tcBorders>
            <w:noWrap w:val="0"/>
            <w:vAlign w:val="center"/>
          </w:tcPr>
          <w:p>
            <w:pPr>
              <w:pStyle w:val="23"/>
              <w:spacing w:line="360" w:lineRule="auto"/>
              <w:rPr>
                <w:rFonts w:hint="eastAsia" w:ascii="仿宋" w:hAnsi="仿宋" w:eastAsia="仿宋" w:cs="仿宋"/>
                <w:b/>
                <w:color w:val="auto"/>
                <w:kern w:val="0"/>
                <w:sz w:val="24"/>
                <w:szCs w:val="24"/>
                <w:highlight w:val="none"/>
              </w:rPr>
            </w:pPr>
          </w:p>
        </w:tc>
        <w:tc>
          <w:tcPr>
            <w:tcW w:w="1183" w:type="dxa"/>
            <w:vMerge w:val="continue"/>
            <w:tcBorders>
              <w:left w:val="single" w:color="auto" w:sz="4" w:space="0"/>
              <w:right w:val="single" w:color="auto" w:sz="4" w:space="0"/>
            </w:tcBorders>
            <w:noWrap w:val="0"/>
            <w:vAlign w:val="center"/>
          </w:tcPr>
          <w:p>
            <w:pPr>
              <w:pStyle w:val="23"/>
              <w:spacing w:line="360" w:lineRule="auto"/>
              <w:rPr>
                <w:rFonts w:hint="eastAsia" w:ascii="仿宋" w:hAnsi="仿宋" w:eastAsia="仿宋" w:cs="仿宋"/>
                <w:b/>
                <w:color w:val="auto"/>
                <w:kern w:val="0"/>
                <w:sz w:val="24"/>
                <w:szCs w:val="24"/>
                <w:highlight w:val="none"/>
              </w:rPr>
            </w:pP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45"/>
              <w:spacing w:line="362" w:lineRule="auto"/>
              <w:ind w:right="76"/>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投标人</w:t>
            </w:r>
            <w:r>
              <w:rPr>
                <w:rFonts w:hint="eastAsia" w:ascii="仿宋" w:hAnsi="仿宋" w:eastAsia="仿宋" w:cs="仿宋"/>
                <w:b w:val="0"/>
                <w:bCs w:val="0"/>
                <w:color w:val="auto"/>
                <w:sz w:val="24"/>
                <w:szCs w:val="24"/>
                <w:highlight w:val="none"/>
              </w:rPr>
              <w:t>以支票、汇票、本票或者金融机构、担保机构出具的保函</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电汇、网银转账等非现金形式提交</w:t>
            </w:r>
            <w:r>
              <w:rPr>
                <w:rFonts w:hint="eastAsia" w:ascii="仿宋" w:hAnsi="仿宋" w:eastAsia="仿宋" w:cs="仿宋"/>
                <w:b w:val="0"/>
                <w:bCs w:val="0"/>
                <w:color w:val="auto"/>
                <w:kern w:val="0"/>
                <w:sz w:val="24"/>
                <w:szCs w:val="24"/>
                <w:highlight w:val="none"/>
                <w:lang w:val="en-US" w:eastAsia="zh-CN"/>
              </w:rPr>
              <w:t>投标</w:t>
            </w:r>
            <w:r>
              <w:rPr>
                <w:rFonts w:hint="eastAsia" w:ascii="仿宋" w:hAnsi="仿宋" w:eastAsia="仿宋" w:cs="仿宋"/>
                <w:b w:val="0"/>
                <w:bCs w:val="0"/>
                <w:color w:val="auto"/>
                <w:kern w:val="0"/>
                <w:sz w:val="24"/>
                <w:szCs w:val="24"/>
                <w:highlight w:val="none"/>
              </w:rPr>
              <w:t>保证金</w:t>
            </w:r>
            <w:r>
              <w:rPr>
                <w:rFonts w:hint="eastAsia" w:ascii="仿宋" w:hAnsi="仿宋" w:eastAsia="仿宋" w:cs="仿宋"/>
                <w:b w:val="0"/>
                <w:bCs w:val="0"/>
                <w:color w:val="auto"/>
                <w:kern w:val="0"/>
                <w:sz w:val="24"/>
                <w:szCs w:val="24"/>
                <w:highlight w:val="none"/>
                <w:lang w:val="en-US" w:eastAsia="zh-CN"/>
              </w:rPr>
              <w:t>的注意事项如下：</w:t>
            </w:r>
          </w:p>
          <w:p>
            <w:pPr>
              <w:pStyle w:val="45"/>
              <w:spacing w:line="362" w:lineRule="auto"/>
              <w:ind w:right="76"/>
              <w:jc w:val="left"/>
              <w:rPr>
                <w:rFonts w:hint="eastAsia" w:ascii="仿宋" w:hAnsi="仿宋" w:eastAsia="仿宋" w:cs="仿宋"/>
                <w:b/>
                <w:bCs/>
                <w:color w:val="auto"/>
                <w:kern w:val="0"/>
                <w:sz w:val="24"/>
                <w:szCs w:val="24"/>
                <w:highlight w:val="none"/>
                <w:u w:val="single"/>
              </w:rPr>
            </w:pPr>
            <w:r>
              <w:rPr>
                <w:rFonts w:hint="eastAsia" w:ascii="仿宋" w:hAnsi="仿宋" w:eastAsia="仿宋" w:cs="仿宋"/>
                <w:color w:val="auto"/>
                <w:kern w:val="0"/>
                <w:sz w:val="24"/>
                <w:szCs w:val="24"/>
                <w:highlight w:val="none"/>
                <w:lang w:val="en-US" w:eastAsia="zh-CN"/>
              </w:rPr>
              <w:t>（1）投标保证金单位名称必须与投标人登记的单位名称一致,不得以分公司、办事处或其他机构名义交纳,否则其投标将被拒绝。</w:t>
            </w:r>
          </w:p>
          <w:p>
            <w:pPr>
              <w:pStyle w:val="45"/>
              <w:spacing w:line="362" w:lineRule="auto"/>
              <w:ind w:left="112" w:right="76"/>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投标人须在投标截止时间前由投标单位账户一次性汇入招标文件指定帐号（以新疆锦辰工程项目管理有限公司保证金账户到账时间为准）,投标人须自行评估因异地、跨行、公休日等因素造成的投标保证金到账延迟风险,并承担相应责任。</w:t>
            </w:r>
          </w:p>
          <w:p>
            <w:pPr>
              <w:pStyle w:val="45"/>
              <w:spacing w:line="362" w:lineRule="auto"/>
              <w:ind w:right="76"/>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b/>
                <w:bCs/>
                <w:color w:val="auto"/>
                <w:kern w:val="0"/>
                <w:sz w:val="24"/>
                <w:szCs w:val="24"/>
                <w:highlight w:val="none"/>
                <w:lang w:val="en-US" w:eastAsia="zh-CN"/>
              </w:rPr>
              <w:t>投标人请自行查询是否到账,投标人以网银转账、电汇汇款方式缴纳投标</w:t>
            </w:r>
            <w:r>
              <w:rPr>
                <w:rFonts w:hint="eastAsia" w:ascii="仿宋" w:hAnsi="仿宋" w:eastAsia="仿宋" w:cs="仿宋"/>
                <w:b/>
                <w:bCs/>
                <w:color w:val="auto"/>
                <w:kern w:val="0"/>
                <w:sz w:val="24"/>
                <w:szCs w:val="24"/>
                <w:highlight w:val="none"/>
              </w:rPr>
              <w:t>保证金</w:t>
            </w:r>
            <w:r>
              <w:rPr>
                <w:rFonts w:hint="eastAsia" w:ascii="仿宋" w:hAnsi="仿宋" w:eastAsia="仿宋" w:cs="仿宋"/>
                <w:b/>
                <w:bCs/>
                <w:color w:val="auto"/>
                <w:kern w:val="0"/>
                <w:sz w:val="24"/>
                <w:szCs w:val="24"/>
                <w:highlight w:val="none"/>
                <w:lang w:val="en-US" w:eastAsia="zh-CN"/>
              </w:rPr>
              <w:t>的须从</w:t>
            </w:r>
            <w:r>
              <w:rPr>
                <w:rFonts w:hint="eastAsia" w:ascii="仿宋" w:hAnsi="仿宋" w:eastAsia="仿宋" w:cs="仿宋"/>
                <w:b/>
                <w:bCs/>
                <w:color w:val="auto"/>
                <w:sz w:val="24"/>
                <w:szCs w:val="24"/>
                <w:highlight w:val="none"/>
                <w:lang w:val="en-US" w:eastAsia="zh-CN"/>
              </w:rPr>
              <w:t>投标人基本账户转出</w:t>
            </w:r>
            <w:r>
              <w:rPr>
                <w:rFonts w:hint="eastAsia" w:ascii="仿宋" w:hAnsi="仿宋" w:eastAsia="仿宋" w:cs="仿宋"/>
                <w:b/>
                <w:bCs/>
                <w:color w:val="auto"/>
                <w:kern w:val="0"/>
                <w:sz w:val="24"/>
                <w:szCs w:val="24"/>
                <w:highlight w:val="none"/>
                <w:lang w:val="en-US" w:eastAsia="zh-CN"/>
              </w:rPr>
              <w:t>,请备注项目名称或项目编号并提供银行汇款凭证及</w:t>
            </w:r>
            <w:r>
              <w:rPr>
                <w:rFonts w:hint="eastAsia" w:ascii="仿宋" w:hAnsi="仿宋" w:eastAsia="仿宋" w:cs="仿宋"/>
                <w:b/>
                <w:bCs/>
                <w:color w:val="auto"/>
                <w:sz w:val="24"/>
                <w:szCs w:val="24"/>
                <w:highlight w:val="none"/>
                <w:lang w:val="en-US" w:eastAsia="zh-CN"/>
              </w:rPr>
              <w:t>投标人基本账户开户许可证或基本存款账户信息</w:t>
            </w:r>
            <w:r>
              <w:rPr>
                <w:rFonts w:hint="eastAsia" w:ascii="仿宋" w:hAnsi="仿宋" w:eastAsia="仿宋" w:cs="仿宋"/>
                <w:b/>
                <w:bCs/>
                <w:color w:val="auto"/>
                <w:kern w:val="0"/>
                <w:sz w:val="24"/>
                <w:szCs w:val="24"/>
                <w:highlight w:val="none"/>
                <w:lang w:val="en-US" w:eastAsia="zh-CN"/>
              </w:rPr>
              <w:t>。</w:t>
            </w:r>
          </w:p>
          <w:p>
            <w:pPr>
              <w:pStyle w:val="45"/>
              <w:spacing w:line="362" w:lineRule="auto"/>
              <w:ind w:left="112" w:right="76"/>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b/>
                <w:bCs/>
                <w:color w:val="auto"/>
                <w:kern w:val="0"/>
                <w:sz w:val="24"/>
                <w:szCs w:val="24"/>
                <w:highlight w:val="none"/>
                <w:lang w:val="en-US" w:eastAsia="zh-CN"/>
              </w:rPr>
              <w:t>采用银行保函缴纳的，应出具保函的银行级别（应为国有商业银行或股份制商业银行的支行及其以上的银行）及保函的有效期。</w:t>
            </w:r>
            <w:r>
              <w:rPr>
                <w:rFonts w:hint="eastAsia" w:ascii="仿宋" w:hAnsi="仿宋" w:eastAsia="仿宋" w:cs="仿宋"/>
                <w:color w:val="auto"/>
                <w:kern w:val="0"/>
                <w:sz w:val="24"/>
                <w:szCs w:val="24"/>
                <w:highlight w:val="none"/>
                <w:lang w:val="en-US" w:eastAsia="zh-CN"/>
              </w:rPr>
              <w:t xml:space="preserve"> </w:t>
            </w:r>
          </w:p>
          <w:p>
            <w:pPr>
              <w:pStyle w:val="45"/>
              <w:spacing w:line="362" w:lineRule="auto"/>
              <w:ind w:left="112" w:right="76"/>
              <w:jc w:val="left"/>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（5）投</w:t>
            </w:r>
            <w:r>
              <w:rPr>
                <w:rFonts w:hint="eastAsia" w:ascii="仿宋" w:hAnsi="仿宋" w:eastAsia="仿宋" w:cs="仿宋"/>
                <w:b/>
                <w:bCs/>
                <w:kern w:val="0"/>
                <w:sz w:val="24"/>
                <w:szCs w:val="24"/>
                <w:highlight w:val="none"/>
                <w:lang w:val="en-US" w:eastAsia="zh-CN"/>
              </w:rPr>
              <w:t>标保证金缴纳截止时间同开标时间一致。</w:t>
            </w:r>
          </w:p>
          <w:p>
            <w:pPr>
              <w:pStyle w:val="34"/>
              <w:widowControl/>
              <w:autoSpaceDE w:val="0"/>
              <w:autoSpaceDN w:val="0"/>
              <w:spacing w:line="360" w:lineRule="auto"/>
              <w:rPr>
                <w:rFonts w:hint="eastAsia" w:ascii="仿宋" w:hAnsi="仿宋" w:eastAsia="仿宋" w:cs="仿宋"/>
                <w:b/>
                <w:bCs/>
                <w:color w:val="auto"/>
                <w:kern w:val="0"/>
                <w:sz w:val="24"/>
                <w:szCs w:val="24"/>
                <w:highlight w:val="none"/>
                <w:u w:val="single"/>
                <w:lang w:val="en-US" w:eastAsia="zh-CN"/>
              </w:rPr>
            </w:pPr>
            <w:r>
              <w:rPr>
                <w:rFonts w:hint="eastAsia" w:ascii="仿宋" w:hAnsi="仿宋" w:eastAsia="仿宋" w:cs="仿宋"/>
                <w:b/>
                <w:bCs/>
                <w:color w:val="auto"/>
                <w:kern w:val="0"/>
                <w:sz w:val="24"/>
                <w:szCs w:val="24"/>
                <w:highlight w:val="none"/>
                <w:u w:val="single"/>
                <w:lang w:eastAsia="zh-CN"/>
              </w:rPr>
              <w:t>★</w:t>
            </w:r>
            <w:r>
              <w:rPr>
                <w:rFonts w:hint="eastAsia" w:ascii="仿宋" w:hAnsi="仿宋" w:eastAsia="仿宋" w:cs="仿宋"/>
                <w:b/>
                <w:bCs/>
                <w:color w:val="auto"/>
                <w:kern w:val="0"/>
                <w:sz w:val="24"/>
                <w:szCs w:val="24"/>
                <w:highlight w:val="none"/>
                <w:u w:val="single"/>
              </w:rPr>
              <w:t>注:投标人未按照招标文件上述要求提交</w:t>
            </w:r>
            <w:r>
              <w:rPr>
                <w:rFonts w:hint="eastAsia" w:ascii="仿宋" w:hAnsi="仿宋" w:eastAsia="仿宋" w:cs="仿宋"/>
                <w:b/>
                <w:bCs/>
                <w:color w:val="auto"/>
                <w:kern w:val="0"/>
                <w:sz w:val="24"/>
                <w:szCs w:val="24"/>
                <w:highlight w:val="none"/>
                <w:u w:val="single"/>
                <w:lang w:val="en-US" w:eastAsia="zh-CN"/>
              </w:rPr>
              <w:t>投标</w:t>
            </w:r>
            <w:r>
              <w:rPr>
                <w:rFonts w:hint="eastAsia" w:ascii="仿宋" w:hAnsi="仿宋" w:eastAsia="仿宋" w:cs="仿宋"/>
                <w:b/>
                <w:bCs/>
                <w:color w:val="auto"/>
                <w:kern w:val="0"/>
                <w:sz w:val="24"/>
                <w:szCs w:val="24"/>
                <w:highlight w:val="none"/>
                <w:u w:val="single"/>
              </w:rPr>
              <w:t>保证金的,投标</w:t>
            </w:r>
            <w:r>
              <w:rPr>
                <w:rFonts w:hint="eastAsia" w:ascii="仿宋" w:hAnsi="仿宋" w:eastAsia="仿宋" w:cs="仿宋"/>
                <w:b/>
                <w:bCs/>
                <w:color w:val="auto"/>
                <w:kern w:val="0"/>
                <w:sz w:val="24"/>
                <w:szCs w:val="24"/>
                <w:highlight w:val="none"/>
                <w:u w:val="single"/>
                <w:lang w:val="en-US" w:eastAsia="zh-CN"/>
              </w:rPr>
              <w:t>将被否决。</w:t>
            </w:r>
          </w:p>
          <w:p>
            <w:pPr>
              <w:pStyle w:val="34"/>
              <w:widowControl/>
              <w:autoSpaceDE w:val="0"/>
              <w:autoSpaceDN w:val="0"/>
              <w:spacing w:line="360" w:lineRule="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如采用电子保函方式缴纳可按照兵团政府采购网—政策法规模块[关于开展政府采购电子保函业务的通知关于开展政府采购电子保函业务的通知 (ccgp-bingtuan.gov.cn)]方式执行。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850" w:type="dxa"/>
            <w:tcBorders>
              <w:left w:val="single" w:color="auto" w:sz="4" w:space="0"/>
              <w:right w:val="single" w:color="auto" w:sz="4" w:space="0"/>
            </w:tcBorders>
            <w:noWrap w:val="0"/>
            <w:vAlign w:val="center"/>
          </w:tcPr>
          <w:p>
            <w:pPr>
              <w:pStyle w:val="23"/>
              <w:spacing w:line="360" w:lineRule="auto"/>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18</w:t>
            </w:r>
          </w:p>
        </w:tc>
        <w:tc>
          <w:tcPr>
            <w:tcW w:w="1183" w:type="dxa"/>
            <w:tcBorders>
              <w:left w:val="single" w:color="auto" w:sz="4" w:space="0"/>
              <w:right w:val="single" w:color="auto" w:sz="4" w:space="0"/>
            </w:tcBorders>
            <w:noWrap w:val="0"/>
            <w:vAlign w:val="center"/>
          </w:tcPr>
          <w:p>
            <w:pPr>
              <w:pStyle w:val="26"/>
              <w:widowControl/>
              <w:jc w:val="both"/>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rPr>
              <w:t>保证金的退还</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45"/>
              <w:numPr>
                <w:ilvl w:val="0"/>
                <w:numId w:val="5"/>
              </w:numPr>
              <w:spacing w:line="364" w:lineRule="auto"/>
              <w:ind w:right="76" w:right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未中标单位在中标（成交）通知书发出后5个工作日内退还；</w:t>
            </w:r>
          </w:p>
          <w:p>
            <w:pPr>
              <w:pStyle w:val="45"/>
              <w:numPr>
                <w:ilvl w:val="0"/>
                <w:numId w:val="5"/>
              </w:numPr>
              <w:spacing w:line="364" w:lineRule="auto"/>
              <w:ind w:right="76" w:right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中标单位在采购合同签订后5个工作日内退还；</w:t>
            </w:r>
          </w:p>
          <w:p>
            <w:pPr>
              <w:pStyle w:val="45"/>
              <w:numPr>
                <w:ilvl w:val="0"/>
                <w:numId w:val="5"/>
              </w:numPr>
              <w:spacing w:line="364" w:lineRule="auto"/>
              <w:ind w:right="76" w:rightChars="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为保证各方的权益不受损害，投标单位在退还投标保证金时须填写退还投标保证金申请函，格式详见投标文件第六部分“投标文件格式”。</w:t>
            </w:r>
          </w:p>
          <w:p>
            <w:pPr>
              <w:pStyle w:val="45"/>
              <w:numPr>
                <w:ilvl w:val="0"/>
                <w:numId w:val="0"/>
              </w:numPr>
              <w:spacing w:line="364" w:lineRule="auto"/>
              <w:ind w:right="76" w:rightChars="0"/>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如</w:t>
            </w:r>
            <w:r>
              <w:rPr>
                <w:rFonts w:hint="eastAsia" w:ascii="仿宋" w:hAnsi="仿宋" w:eastAsia="仿宋" w:cs="仿宋"/>
                <w:b/>
                <w:bCs/>
                <w:color w:val="auto"/>
                <w:sz w:val="24"/>
                <w:szCs w:val="24"/>
              </w:rPr>
              <w:t>有下列情形之一的，</w:t>
            </w:r>
            <w:r>
              <w:rPr>
                <w:rFonts w:hint="eastAsia" w:ascii="仿宋" w:hAnsi="仿宋" w:eastAsia="仿宋" w:cs="仿宋"/>
                <w:b/>
                <w:bCs/>
                <w:color w:val="auto"/>
                <w:sz w:val="24"/>
                <w:szCs w:val="24"/>
                <w:lang w:eastAsia="zh-CN"/>
              </w:rPr>
              <w:t>投标</w:t>
            </w:r>
            <w:r>
              <w:rPr>
                <w:rFonts w:hint="eastAsia" w:ascii="仿宋" w:hAnsi="仿宋" w:eastAsia="仿宋" w:cs="仿宋"/>
                <w:b/>
                <w:bCs/>
                <w:color w:val="auto"/>
                <w:sz w:val="24"/>
                <w:szCs w:val="24"/>
              </w:rPr>
              <w:t>保证金不予退还：</w:t>
            </w:r>
          </w:p>
          <w:p>
            <w:pPr>
              <w:pStyle w:val="45"/>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①</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在提交</w:t>
            </w:r>
            <w:r>
              <w:rPr>
                <w:rFonts w:hint="eastAsia" w:ascii="仿宋" w:hAnsi="仿宋" w:eastAsia="仿宋" w:cs="仿宋"/>
                <w:color w:val="auto"/>
                <w:sz w:val="24"/>
                <w:szCs w:val="24"/>
                <w:lang w:eastAsia="zh-CN"/>
              </w:rPr>
              <w:t>投标文件</w:t>
            </w:r>
            <w:r>
              <w:rPr>
                <w:rFonts w:hint="eastAsia" w:ascii="仿宋" w:hAnsi="仿宋" w:eastAsia="仿宋" w:cs="仿宋"/>
                <w:color w:val="auto"/>
                <w:sz w:val="24"/>
                <w:szCs w:val="24"/>
              </w:rPr>
              <w:t>截止时间后撤回</w:t>
            </w:r>
            <w:r>
              <w:rPr>
                <w:rFonts w:hint="eastAsia" w:ascii="仿宋" w:hAnsi="仿宋" w:eastAsia="仿宋" w:cs="仿宋"/>
                <w:color w:val="auto"/>
                <w:sz w:val="24"/>
                <w:szCs w:val="24"/>
                <w:lang w:eastAsia="zh-CN"/>
              </w:rPr>
              <w:t>投标文件</w:t>
            </w:r>
            <w:r>
              <w:rPr>
                <w:rFonts w:hint="eastAsia" w:ascii="仿宋" w:hAnsi="仿宋" w:eastAsia="仿宋" w:cs="仿宋"/>
                <w:color w:val="auto"/>
                <w:sz w:val="24"/>
                <w:szCs w:val="24"/>
              </w:rPr>
              <w:t>的；</w:t>
            </w:r>
          </w:p>
          <w:p>
            <w:pPr>
              <w:pStyle w:val="45"/>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②</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在</w:t>
            </w:r>
            <w:r>
              <w:rPr>
                <w:rFonts w:hint="eastAsia" w:ascii="仿宋" w:hAnsi="仿宋" w:eastAsia="仿宋" w:cs="仿宋"/>
                <w:color w:val="auto"/>
                <w:sz w:val="24"/>
                <w:szCs w:val="24"/>
                <w:lang w:eastAsia="zh-CN"/>
              </w:rPr>
              <w:t>投标文件</w:t>
            </w:r>
            <w:r>
              <w:rPr>
                <w:rFonts w:hint="eastAsia" w:ascii="仿宋" w:hAnsi="仿宋" w:eastAsia="仿宋" w:cs="仿宋"/>
                <w:color w:val="auto"/>
                <w:sz w:val="24"/>
                <w:szCs w:val="24"/>
              </w:rPr>
              <w:t>中提供虚假材料的；</w:t>
            </w:r>
          </w:p>
          <w:p>
            <w:pPr>
              <w:pStyle w:val="45"/>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③除因不可抗力或</w:t>
            </w:r>
            <w:r>
              <w:rPr>
                <w:rFonts w:hint="eastAsia" w:ascii="仿宋" w:hAnsi="仿宋" w:eastAsia="仿宋" w:cs="仿宋"/>
                <w:color w:val="auto"/>
                <w:sz w:val="24"/>
                <w:szCs w:val="24"/>
                <w:lang w:eastAsia="zh-CN"/>
              </w:rPr>
              <w:t>招标文件</w:t>
            </w:r>
            <w:r>
              <w:rPr>
                <w:rFonts w:hint="eastAsia" w:ascii="仿宋" w:hAnsi="仿宋" w:eastAsia="仿宋" w:cs="仿宋"/>
                <w:color w:val="auto"/>
                <w:sz w:val="24"/>
                <w:szCs w:val="24"/>
              </w:rPr>
              <w:t>认可的情形以外，成交</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不与采购人签订合同的；</w:t>
            </w:r>
          </w:p>
          <w:p>
            <w:pPr>
              <w:pStyle w:val="45"/>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④投标人</w:t>
            </w:r>
            <w:r>
              <w:rPr>
                <w:rFonts w:hint="eastAsia" w:ascii="仿宋" w:hAnsi="仿宋" w:eastAsia="仿宋" w:cs="仿宋"/>
                <w:color w:val="auto"/>
                <w:sz w:val="24"/>
                <w:szCs w:val="24"/>
              </w:rPr>
              <w:t>与采购人、其他</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或者采购代理机构恶意串通的；</w:t>
            </w:r>
          </w:p>
          <w:p>
            <w:pPr>
              <w:pStyle w:val="45"/>
              <w:spacing w:line="360" w:lineRule="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rPr>
              <w:t>⑤</w:t>
            </w:r>
            <w:r>
              <w:rPr>
                <w:rFonts w:hint="eastAsia" w:ascii="仿宋" w:hAnsi="仿宋" w:eastAsia="仿宋" w:cs="仿宋"/>
                <w:color w:val="auto"/>
                <w:sz w:val="24"/>
                <w:szCs w:val="24"/>
                <w:lang w:eastAsia="zh-CN"/>
              </w:rPr>
              <w:t>招标文件</w:t>
            </w:r>
            <w:r>
              <w:rPr>
                <w:rFonts w:hint="eastAsia" w:ascii="仿宋" w:hAnsi="仿宋" w:eastAsia="仿宋" w:cs="仿宋"/>
                <w:color w:val="auto"/>
                <w:sz w:val="24"/>
                <w:szCs w:val="24"/>
              </w:rPr>
              <w:t>规定的其他情形</w:t>
            </w:r>
            <w:r>
              <w:rPr>
                <w:rFonts w:hint="eastAsia" w:ascii="仿宋" w:hAnsi="仿宋" w:eastAsia="仿宋" w:cs="仿宋"/>
                <w:color w:val="auto"/>
                <w:sz w:val="24"/>
                <w:szCs w:val="24"/>
                <w:lang w:eastAsia="zh-CN"/>
              </w:rPr>
              <w:t>。</w:t>
            </w:r>
            <w:r>
              <w:rPr>
                <w:rFonts w:hint="eastAsia" w:ascii="仿宋" w:hAnsi="仿宋" w:eastAsia="仿宋" w:cs="仿宋"/>
                <w:kern w:val="0"/>
                <w:sz w:val="24"/>
                <w:szCs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0" w:type="dxa"/>
            <w:tcBorders>
              <w:left w:val="single" w:color="auto" w:sz="4" w:space="0"/>
              <w:right w:val="single" w:color="auto" w:sz="4" w:space="0"/>
            </w:tcBorders>
            <w:noWrap w:val="0"/>
            <w:vAlign w:val="center"/>
          </w:tcPr>
          <w:p>
            <w:pPr>
              <w:pStyle w:val="23"/>
              <w:spacing w:line="360" w:lineRule="auto"/>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19</w:t>
            </w:r>
          </w:p>
        </w:tc>
        <w:tc>
          <w:tcPr>
            <w:tcW w:w="1183" w:type="dxa"/>
            <w:tcBorders>
              <w:left w:val="single" w:color="auto" w:sz="4" w:space="0"/>
              <w:right w:val="single" w:color="auto" w:sz="4" w:space="0"/>
            </w:tcBorders>
            <w:noWrap w:val="0"/>
            <w:vAlign w:val="center"/>
          </w:tcPr>
          <w:p>
            <w:pPr>
              <w:pStyle w:val="23"/>
              <w:spacing w:line="360" w:lineRule="auto"/>
              <w:rPr>
                <w:rFonts w:hint="eastAsia" w:ascii="仿宋" w:hAnsi="仿宋" w:eastAsia="仿宋" w:cs="仿宋"/>
                <w:b/>
                <w:color w:val="auto"/>
                <w:kern w:val="0"/>
                <w:sz w:val="24"/>
                <w:szCs w:val="24"/>
                <w:highlight w:val="none"/>
              </w:rPr>
            </w:pPr>
            <w:r>
              <w:rPr>
                <w:rFonts w:hint="eastAsia" w:ascii="仿宋" w:hAnsi="仿宋" w:eastAsia="仿宋" w:cs="仿宋"/>
                <w:b/>
                <w:bCs/>
                <w:color w:val="auto"/>
                <w:sz w:val="24"/>
                <w:szCs w:val="24"/>
                <w:highlight w:val="none"/>
              </w:rPr>
              <w:t>采购项目需要落实的政府采购政策</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46"/>
              <w:wordWrap w:val="0"/>
              <w:spacing w:line="400" w:lineRule="exac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根据关于印发《政府采购促进中小企业发展管理办法》的通知（财库[2020]46号）、关于进一步加大政府采购支持中小企业力度的通知（财库〔2022〕19号）及关于印发《中小企业划型标准规定》的通知（工信部联企业[2011]300号）规定，（监狱企业、残疾人福利性质单位视同为小微企业）；</w:t>
            </w:r>
          </w:p>
          <w:p>
            <w:pPr>
              <w:pStyle w:val="24"/>
              <w:spacing w:line="360" w:lineRule="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（2）落实政府采购政策需满足的资格要求：</w:t>
            </w:r>
            <w:r>
              <w:rPr>
                <w:rFonts w:hint="eastAsia" w:ascii="仿宋" w:hAnsi="仿宋" w:eastAsia="仿宋" w:cs="仿宋"/>
                <w:b/>
                <w:bCs/>
                <w:color w:val="auto"/>
                <w:sz w:val="24"/>
                <w:szCs w:val="24"/>
                <w:highlight w:val="none"/>
                <w:u w:val="single"/>
                <w:lang w:val="en-US" w:eastAsia="zh-CN"/>
              </w:rPr>
              <w:t>无</w:t>
            </w:r>
            <w:r>
              <w:rPr>
                <w:rFonts w:hint="eastAsia" w:ascii="仿宋" w:hAnsi="仿宋" w:eastAsia="仿宋" w:cs="仿宋"/>
                <w:b/>
                <w:bCs/>
                <w:color w:val="auto"/>
                <w:sz w:val="24"/>
                <w:szCs w:val="24"/>
                <w:highlight w:val="none"/>
                <w:lang w:val="en-US" w:eastAsia="zh-CN"/>
              </w:rPr>
              <w:t>（本项目为非专门面向中小企业采购的项目）；</w:t>
            </w:r>
          </w:p>
          <w:p>
            <w:pPr>
              <w:pStyle w:val="24"/>
              <w:spacing w:line="360" w:lineRule="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w:t>
            </w:r>
            <w:r>
              <w:rPr>
                <w:rFonts w:hint="eastAsia" w:ascii="仿宋" w:hAnsi="仿宋" w:eastAsia="仿宋" w:cs="仿宋"/>
                <w:kern w:val="0"/>
                <w:sz w:val="24"/>
                <w:szCs w:val="24"/>
                <w:highlight w:val="none"/>
                <w:lang w:val="en-US" w:eastAsia="zh-CN"/>
              </w:rPr>
              <w:t>本次采购小型和微型企业的价格扣除幅度：</w:t>
            </w:r>
            <w:r>
              <w:rPr>
                <w:rFonts w:hint="eastAsia" w:ascii="仿宋" w:hAnsi="仿宋" w:eastAsia="仿宋" w:cs="仿宋"/>
                <w:b/>
                <w:bCs/>
                <w:kern w:val="0"/>
                <w:sz w:val="24"/>
                <w:szCs w:val="24"/>
                <w:highlight w:val="none"/>
                <w:lang w:val="en-US" w:eastAsia="zh-CN"/>
              </w:rPr>
              <w:t>给予</w:t>
            </w:r>
            <w:r>
              <w:rPr>
                <w:rFonts w:hint="eastAsia" w:ascii="仿宋" w:hAnsi="仿宋" w:eastAsia="仿宋" w:cs="仿宋"/>
                <w:b/>
                <w:bCs/>
                <w:color w:val="auto"/>
                <w:kern w:val="0"/>
                <w:sz w:val="24"/>
                <w:szCs w:val="24"/>
                <w:highlight w:val="none"/>
                <w:lang w:val="en-US" w:eastAsia="zh-CN"/>
              </w:rPr>
              <w:t>15%价格评审优惠</w:t>
            </w:r>
            <w:r>
              <w:rPr>
                <w:rFonts w:hint="eastAsia" w:ascii="仿宋" w:hAnsi="仿宋" w:eastAsia="仿宋" w:cs="仿宋"/>
                <w:b/>
                <w:bCs/>
                <w:kern w:val="0"/>
                <w:sz w:val="24"/>
                <w:szCs w:val="24"/>
                <w:highlight w:val="none"/>
                <w:lang w:val="en-US" w:eastAsia="zh-CN"/>
              </w:rPr>
              <w:t>扣除。说明：在本采购项目中，货物由中小企业制造，即货物由中小企业生产且使用该中小企业商号或者注册商标。投标人提供的货物既有中小企业制造货物，也有大型企业制造货物的，不享受本办法规定的中小企业扶持政策。</w:t>
            </w:r>
            <w:r>
              <w:rPr>
                <w:rFonts w:hint="eastAsia" w:ascii="仿宋" w:hAnsi="仿宋" w:eastAsia="仿宋" w:cs="仿宋"/>
                <w:kern w:val="0"/>
                <w:sz w:val="24"/>
                <w:szCs w:val="24"/>
                <w:highlight w:val="none"/>
                <w:lang w:val="en-US" w:eastAsia="zh-CN"/>
              </w:rPr>
              <w:t>投标人应出具招标文件中要求的《中小企业声明函》,否则评审时不予认可。</w:t>
            </w:r>
          </w:p>
          <w:p>
            <w:pPr>
              <w:pStyle w:val="79"/>
              <w:numPr>
                <w:ilvl w:val="0"/>
                <w:numId w:val="0"/>
              </w:numPr>
              <w:rPr>
                <w:rFonts w:hint="eastAsia" w:ascii="仿宋" w:hAnsi="仿宋" w:eastAsia="仿宋" w:cs="仿宋"/>
                <w:b/>
                <w:bCs/>
                <w:color w:val="auto"/>
                <w:kern w:val="0"/>
                <w:sz w:val="24"/>
                <w:szCs w:val="24"/>
                <w:highlight w:val="none"/>
                <w:u w:val="single"/>
                <w:lang w:val="en-US" w:eastAsia="zh-CN" w:bidi="ar-SA"/>
              </w:rPr>
            </w:pPr>
            <w:r>
              <w:rPr>
                <w:rFonts w:hint="eastAsia" w:ascii="仿宋" w:hAnsi="仿宋" w:eastAsia="仿宋" w:cs="仿宋"/>
                <w:color w:val="auto"/>
                <w:kern w:val="0"/>
                <w:sz w:val="24"/>
                <w:szCs w:val="24"/>
                <w:highlight w:val="none"/>
                <w:lang w:val="en-US" w:eastAsia="zh-CN" w:bidi="ar-SA"/>
              </w:rPr>
              <w:t>（4）本次采购标的所属行业为：</w:t>
            </w:r>
            <w:r>
              <w:rPr>
                <w:rFonts w:hint="default" w:ascii="仿宋" w:hAnsi="仿宋" w:eastAsia="仿宋" w:cs="仿宋"/>
                <w:b/>
                <w:bCs/>
                <w:kern w:val="0"/>
                <w:sz w:val="24"/>
                <w:szCs w:val="24"/>
                <w:highlight w:val="none"/>
                <w:u w:val="single"/>
                <w:lang w:val="en-US" w:eastAsia="zh-CN" w:bidi="ar-SA"/>
              </w:rPr>
              <w:t>工业</w:t>
            </w:r>
            <w:r>
              <w:rPr>
                <w:rFonts w:hint="default" w:ascii="仿宋" w:hAnsi="仿宋" w:eastAsia="仿宋" w:cs="仿宋"/>
                <w:b/>
                <w:bCs/>
                <w:kern w:val="0"/>
                <w:sz w:val="24"/>
                <w:szCs w:val="24"/>
                <w:highlight w:val="none"/>
                <w:lang w:val="en-US" w:eastAsia="zh-CN" w:bidi="ar-SA"/>
              </w:rPr>
              <w:t>【专</w:t>
            </w:r>
            <w:r>
              <w:rPr>
                <w:rFonts w:hint="eastAsia" w:ascii="仿宋" w:hAnsi="仿宋" w:eastAsia="仿宋" w:cs="仿宋"/>
                <w:b/>
                <w:bCs/>
                <w:kern w:val="0"/>
                <w:sz w:val="24"/>
                <w:szCs w:val="24"/>
                <w:highlight w:val="none"/>
                <w:lang w:val="en-US" w:eastAsia="zh-CN" w:bidi="ar-SA"/>
              </w:rPr>
              <w:t>用</w:t>
            </w:r>
            <w:r>
              <w:rPr>
                <w:rFonts w:hint="default" w:ascii="仿宋" w:hAnsi="仿宋" w:eastAsia="仿宋" w:cs="仿宋"/>
                <w:b/>
                <w:bCs/>
                <w:kern w:val="0"/>
                <w:sz w:val="24"/>
                <w:szCs w:val="24"/>
                <w:highlight w:val="none"/>
                <w:lang w:val="en-US" w:eastAsia="zh-CN" w:bidi="ar-SA"/>
              </w:rPr>
              <w:t>设备制造业-医疗仪器设备及器械制造】</w:t>
            </w:r>
          </w:p>
          <w:p>
            <w:pPr>
              <w:pStyle w:val="41"/>
              <w:wordWrap w:val="0"/>
              <w:topLinePunct/>
              <w:adjustRightInd w:val="0"/>
              <w:snapToGrid w:val="0"/>
              <w:spacing w:line="400" w:lineRule="exac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说明：投标人应当对《中小企业声明函》、监狱企业证明文件、《残疾人福利性单位声明函》的真实性负责，上述材料与事实不符的，依照《政府采购法》第七十七条第一款的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23"/>
              <w:snapToGrid w:val="0"/>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（5）根据《政府采购促进中小企业发展管理办法》第十三条 采购人、采购代理机构应当随中标、成交结果公开中标、成交投标人的《中小企业声明函》。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850" w:type="dxa"/>
            <w:tcBorders>
              <w:left w:val="single" w:color="auto" w:sz="4" w:space="0"/>
              <w:right w:val="single" w:color="auto" w:sz="4" w:space="0"/>
            </w:tcBorders>
            <w:noWrap w:val="0"/>
            <w:vAlign w:val="center"/>
          </w:tcPr>
          <w:p>
            <w:pPr>
              <w:pStyle w:val="23"/>
              <w:spacing w:line="360" w:lineRule="auto"/>
              <w:jc w:val="center"/>
              <w:rPr>
                <w:rFonts w:hint="default"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20</w:t>
            </w:r>
          </w:p>
        </w:tc>
        <w:tc>
          <w:tcPr>
            <w:tcW w:w="1183" w:type="dxa"/>
            <w:tcBorders>
              <w:left w:val="single" w:color="auto" w:sz="4" w:space="0"/>
              <w:right w:val="single" w:color="auto" w:sz="4" w:space="0"/>
            </w:tcBorders>
            <w:noWrap w:val="0"/>
            <w:vAlign w:val="center"/>
          </w:tcPr>
          <w:p>
            <w:pPr>
              <w:keepNext w:val="0"/>
              <w:keepLines w:val="0"/>
              <w:widowControl/>
              <w:suppressLineNumbers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bidi="ar-SA"/>
              </w:rPr>
              <w:t xml:space="preserve">节能、环保要求 </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suppressLineNumbers w:val="0"/>
              <w:spacing w:before="75" w:beforeAutospacing="0" w:after="75" w:afterAutospacing="0" w:line="360" w:lineRule="auto"/>
              <w:ind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对满足《商品包装政府采购需求标准（试行）》、《快递包装政府采购需求标准（试行）》（财办库〔2020〕123号文）商品包装、快递包装的要求的产品，给予优先采购，具体办法详见本文件“第四部分-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21</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评审方法</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资格后审         ☐资格预审</w:t>
            </w:r>
          </w:p>
          <w:p>
            <w:pPr>
              <w:pStyle w:val="24"/>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综合评分法       ☐最低评标价法</w:t>
            </w:r>
          </w:p>
          <w:p>
            <w:pPr>
              <w:pStyle w:val="23"/>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综合评分法是指在最大限度地满足招标文件实质性要求前提下，按照招标文件中规定的评分细则评审后，以评标最终最高得分的投标人作为中标人的评标方法。每一投标人的最终得分为所有评委评分的算术平均值</w:t>
            </w:r>
            <w:r>
              <w:rPr>
                <w:rFonts w:hint="eastAsia" w:ascii="仿宋" w:hAnsi="仿宋" w:eastAsia="仿宋" w:cs="仿宋"/>
                <w:b/>
                <w:color w:val="auto"/>
                <w:kern w:val="0"/>
                <w:sz w:val="24"/>
                <w:szCs w:val="24"/>
                <w:highlight w:val="none"/>
              </w:rPr>
              <w:t>。</w:t>
            </w:r>
            <w:r>
              <w:rPr>
                <w:rFonts w:hint="eastAsia" w:ascii="仿宋" w:hAnsi="仿宋" w:eastAsia="仿宋" w:cs="仿宋"/>
                <w:color w:val="auto"/>
                <w:kern w:val="0"/>
                <w:sz w:val="24"/>
                <w:szCs w:val="24"/>
                <w:highlight w:val="none"/>
              </w:rPr>
              <w:t>得分相同的</w:t>
            </w:r>
            <w:r>
              <w:rPr>
                <w:rFonts w:hint="eastAsia" w:ascii="仿宋" w:hAnsi="仿宋" w:eastAsia="仿宋" w:cs="仿宋"/>
                <w:b w:val="0"/>
                <w:bCs w:val="0"/>
                <w:color w:val="auto"/>
                <w:kern w:val="0"/>
                <w:sz w:val="24"/>
                <w:szCs w:val="24"/>
                <w:highlight w:val="none"/>
              </w:rPr>
              <w:t>，报价较低的</w:t>
            </w:r>
            <w:r>
              <w:rPr>
                <w:rFonts w:hint="eastAsia" w:ascii="仿宋" w:hAnsi="仿宋" w:eastAsia="仿宋" w:cs="仿宋"/>
                <w:color w:val="auto"/>
                <w:kern w:val="0"/>
                <w:sz w:val="24"/>
                <w:szCs w:val="24"/>
                <w:highlight w:val="none"/>
              </w:rPr>
              <w:t>一方为中标人。得分且投标报价相同的，技术指标较优的一方为中标人。</w:t>
            </w:r>
          </w:p>
          <w:p>
            <w:pPr>
              <w:pStyle w:val="23"/>
              <w:spacing w:line="360" w:lineRule="auto"/>
              <w:ind w:firstLine="480" w:firstLineChars="200"/>
              <w:rPr>
                <w:rFonts w:hint="eastAsia" w:ascii="仿宋" w:hAnsi="仿宋" w:eastAsia="仿宋" w:cs="仿宋"/>
                <w:sz w:val="24"/>
                <w:szCs w:val="22"/>
                <w:highlight w:val="none"/>
              </w:rPr>
            </w:pPr>
            <w:r>
              <w:rPr>
                <w:rFonts w:hint="eastAsia" w:ascii="仿宋" w:hAnsi="仿宋" w:eastAsia="仿宋" w:cs="仿宋"/>
                <w:sz w:val="24"/>
                <w:szCs w:val="22"/>
                <w:highlight w:val="none"/>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w:t>
            </w:r>
            <w:r>
              <w:rPr>
                <w:rFonts w:hint="eastAsia" w:ascii="仿宋" w:hAnsi="仿宋" w:eastAsia="仿宋" w:cs="仿宋"/>
                <w:b w:val="0"/>
                <w:bCs w:val="0"/>
                <w:sz w:val="24"/>
                <w:szCs w:val="22"/>
                <w:highlight w:val="none"/>
              </w:rPr>
              <w:t>件规定的方式</w:t>
            </w:r>
            <w:r>
              <w:rPr>
                <w:rFonts w:hint="eastAsia" w:ascii="仿宋" w:hAnsi="仿宋" w:eastAsia="仿宋" w:cs="仿宋"/>
                <w:sz w:val="24"/>
                <w:szCs w:val="22"/>
                <w:highlight w:val="none"/>
              </w:rPr>
              <w:t>确定一个投标人获得中标人推荐资格，招标文件未规定的采取随机抽取方式确定，其他同品牌投标人不作为中标候选人。</w:t>
            </w:r>
          </w:p>
          <w:p>
            <w:pPr>
              <w:pStyle w:val="23"/>
              <w:spacing w:line="360" w:lineRule="auto"/>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sz w:val="24"/>
                <w:szCs w:val="22"/>
                <w:highlight w:val="none"/>
              </w:rPr>
              <w:t>非单一产品采购项目，采购人应当根据采购项目技术构成、产品价格比重等合理确定核心产品，并在</w:t>
            </w:r>
            <w:r>
              <w:rPr>
                <w:rFonts w:hint="eastAsia" w:ascii="仿宋" w:hAnsi="仿宋" w:eastAsia="仿宋" w:cs="仿宋"/>
                <w:sz w:val="24"/>
                <w:szCs w:val="22"/>
                <w:highlight w:val="none"/>
                <w:lang w:eastAsia="zh-CN"/>
              </w:rPr>
              <w:t>招标文件</w:t>
            </w:r>
            <w:r>
              <w:rPr>
                <w:rFonts w:hint="eastAsia" w:ascii="仿宋" w:hAnsi="仿宋" w:eastAsia="仿宋" w:cs="仿宋"/>
                <w:sz w:val="24"/>
                <w:szCs w:val="22"/>
                <w:highlight w:val="none"/>
              </w:rPr>
              <w:t>中载明。多家投标人提供的核心产品</w:t>
            </w:r>
            <w:r>
              <w:rPr>
                <w:rFonts w:hint="eastAsia" w:ascii="仿宋" w:hAnsi="仿宋" w:eastAsia="仿宋" w:cs="仿宋"/>
                <w:sz w:val="24"/>
                <w:szCs w:val="22"/>
                <w:highlight w:val="none"/>
                <w:lang w:eastAsia="zh-CN"/>
              </w:rPr>
              <w:t>品牌型号</w:t>
            </w:r>
            <w:r>
              <w:rPr>
                <w:rFonts w:hint="eastAsia" w:ascii="仿宋" w:hAnsi="仿宋" w:eastAsia="仿宋" w:cs="仿宋"/>
                <w:sz w:val="24"/>
                <w:szCs w:val="22"/>
                <w:highlight w:val="none"/>
              </w:rPr>
              <w:t>相同的，按前款规定处理。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22</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bidi="ar-SA"/>
              </w:rPr>
              <w:t>核心产品</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suppressLineNumbers w:val="0"/>
              <w:spacing w:before="75" w:beforeAutospacing="0" w:after="75" w:afterAutospacing="0" w:line="360" w:lineRule="auto"/>
              <w:ind w:right="0" w:rightChars="0"/>
              <w:rPr>
                <w:rFonts w:hint="eastAsia" w:ascii="仿宋" w:hAnsi="仿宋" w:eastAsia="仿宋" w:cs="仿宋"/>
                <w:sz w:val="24"/>
                <w:szCs w:val="22"/>
                <w:highlight w:val="none"/>
              </w:rPr>
            </w:pPr>
            <w:r>
              <w:rPr>
                <w:rFonts w:hint="eastAsia" w:ascii="仿宋" w:hAnsi="仿宋" w:eastAsia="仿宋" w:cs="仿宋"/>
                <w:sz w:val="24"/>
                <w:szCs w:val="22"/>
                <w:highlight w:val="none"/>
              </w:rPr>
              <w:t>心脏射频消融仪+电生理心脏三维标测系统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50" w:type="dxa"/>
            <w:vMerge w:val="restart"/>
            <w:tcBorders>
              <w:top w:val="single" w:color="auto" w:sz="4" w:space="0"/>
              <w:left w:val="single" w:color="auto" w:sz="4" w:space="0"/>
              <w:right w:val="single" w:color="auto" w:sz="4" w:space="0"/>
            </w:tcBorders>
            <w:noWrap w:val="0"/>
            <w:vAlign w:val="center"/>
          </w:tcPr>
          <w:p>
            <w:pPr>
              <w:pStyle w:val="23"/>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23</w:t>
            </w:r>
          </w:p>
        </w:tc>
        <w:tc>
          <w:tcPr>
            <w:tcW w:w="1183" w:type="dxa"/>
            <w:vMerge w:val="restart"/>
            <w:tcBorders>
              <w:top w:val="single" w:color="auto" w:sz="4" w:space="0"/>
              <w:left w:val="single" w:color="auto" w:sz="4" w:space="0"/>
              <w:right w:val="single" w:color="auto" w:sz="4" w:space="0"/>
            </w:tcBorders>
            <w:noWrap w:val="0"/>
            <w:vAlign w:val="center"/>
          </w:tcPr>
          <w:p>
            <w:pPr>
              <w:pStyle w:val="23"/>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履约保证金</w:t>
            </w:r>
          </w:p>
        </w:tc>
        <w:tc>
          <w:tcPr>
            <w:tcW w:w="6826" w:type="dxa"/>
            <w:tcBorders>
              <w:top w:val="single" w:color="auto" w:sz="4" w:space="0"/>
              <w:left w:val="single" w:color="auto" w:sz="4" w:space="0"/>
              <w:bottom w:val="single" w:color="auto" w:sz="4" w:space="0"/>
              <w:right w:val="single" w:color="auto" w:sz="4" w:space="0"/>
            </w:tcBorders>
            <w:noWrap w:val="0"/>
            <w:vAlign w:val="top"/>
          </w:tcPr>
          <w:p>
            <w:pPr>
              <w:pStyle w:val="45"/>
              <w:spacing w:line="360" w:lineRule="auto"/>
              <w:rPr>
                <w:rFonts w:hint="eastAsia" w:ascii="仿宋" w:hAnsi="仿宋" w:eastAsia="仿宋" w:cs="仿宋"/>
                <w:color w:val="auto"/>
                <w:kern w:val="0"/>
                <w:sz w:val="24"/>
                <w:szCs w:val="24"/>
                <w:highlight w:val="none"/>
                <w:lang w:eastAsia="zh-CN"/>
              </w:rPr>
            </w:pPr>
            <w:bookmarkStart w:id="28" w:name="EB6b9b19d6907e432b9afa43d195c134f7"/>
            <w:bookmarkEnd w:id="28"/>
            <w:r>
              <w:rPr>
                <w:rFonts w:hint="eastAsia" w:ascii="仿宋" w:hAnsi="仿宋" w:eastAsia="仿宋" w:cs="仿宋"/>
                <w:color w:val="auto"/>
                <w:sz w:val="24"/>
                <w:szCs w:val="24"/>
                <w:highlight w:val="none"/>
              </w:rPr>
              <w:t>缴纳方式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以支票、汇票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本票或者金融机构、担保机构出具的保函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电汇、网银转账等非现金形式提交</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vMerge w:val="continue"/>
            <w:tcBorders>
              <w:left w:val="single" w:color="auto" w:sz="4" w:space="0"/>
              <w:right w:val="single" w:color="auto" w:sz="4" w:space="0"/>
            </w:tcBorders>
            <w:noWrap w:val="0"/>
            <w:vAlign w:val="center"/>
          </w:tcPr>
          <w:p>
            <w:pPr>
              <w:pStyle w:val="23"/>
              <w:spacing w:line="360" w:lineRule="auto"/>
              <w:jc w:val="center"/>
              <w:rPr>
                <w:rFonts w:hint="eastAsia" w:ascii="仿宋" w:hAnsi="仿宋" w:eastAsia="仿宋" w:cs="仿宋"/>
                <w:b/>
                <w:color w:val="auto"/>
                <w:kern w:val="0"/>
                <w:sz w:val="24"/>
                <w:szCs w:val="24"/>
                <w:highlight w:val="none"/>
                <w:lang w:val="en-US" w:eastAsia="zh-CN"/>
              </w:rPr>
            </w:pPr>
          </w:p>
        </w:tc>
        <w:tc>
          <w:tcPr>
            <w:tcW w:w="1183" w:type="dxa"/>
            <w:vMerge w:val="continue"/>
            <w:tcBorders>
              <w:left w:val="single" w:color="auto" w:sz="4" w:space="0"/>
              <w:right w:val="single" w:color="auto" w:sz="4" w:space="0"/>
            </w:tcBorders>
            <w:noWrap w:val="0"/>
            <w:vAlign w:val="center"/>
          </w:tcPr>
          <w:p>
            <w:pPr>
              <w:pStyle w:val="23"/>
              <w:spacing w:line="360" w:lineRule="auto"/>
              <w:jc w:val="center"/>
              <w:rPr>
                <w:rFonts w:hint="eastAsia" w:ascii="仿宋" w:hAnsi="仿宋" w:eastAsia="仿宋" w:cs="仿宋"/>
                <w:b/>
                <w:color w:val="auto"/>
                <w:kern w:val="0"/>
                <w:sz w:val="24"/>
                <w:szCs w:val="24"/>
                <w:highlight w:val="none"/>
              </w:rPr>
            </w:pPr>
          </w:p>
        </w:tc>
        <w:tc>
          <w:tcPr>
            <w:tcW w:w="6826" w:type="dxa"/>
            <w:tcBorders>
              <w:top w:val="single" w:color="auto" w:sz="4" w:space="0"/>
              <w:left w:val="single" w:color="auto" w:sz="4" w:space="0"/>
              <w:bottom w:val="single" w:color="auto" w:sz="4" w:space="0"/>
              <w:right w:val="single" w:color="auto" w:sz="4" w:space="0"/>
            </w:tcBorders>
            <w:noWrap w:val="0"/>
            <w:vAlign w:val="top"/>
          </w:tcPr>
          <w:p>
            <w:pPr>
              <w:pStyle w:val="45"/>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交纳时</w:t>
            </w:r>
            <w:r>
              <w:rPr>
                <w:rFonts w:hint="eastAsia" w:ascii="仿宋" w:hAnsi="仿宋" w:eastAsia="仿宋" w:cs="仿宋"/>
                <w:color w:val="auto"/>
                <w:sz w:val="24"/>
                <w:szCs w:val="24"/>
                <w:highlight w:val="none"/>
                <w:lang w:val="en-US" w:eastAsia="zh-CN"/>
              </w:rPr>
              <w:t>间：中标人收到中标成交通知书后（签订合同前）向采购人缴纳。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0" w:type="dxa"/>
            <w:vMerge w:val="continue"/>
            <w:tcBorders>
              <w:left w:val="single" w:color="auto" w:sz="4" w:space="0"/>
              <w:bottom w:val="single" w:color="auto" w:sz="4" w:space="0"/>
              <w:right w:val="single" w:color="auto" w:sz="4" w:space="0"/>
            </w:tcBorders>
            <w:noWrap w:val="0"/>
            <w:vAlign w:val="center"/>
          </w:tcPr>
          <w:p>
            <w:pPr>
              <w:pStyle w:val="23"/>
              <w:spacing w:line="360" w:lineRule="auto"/>
              <w:jc w:val="center"/>
              <w:rPr>
                <w:rFonts w:hint="eastAsia" w:ascii="仿宋" w:hAnsi="仿宋" w:eastAsia="仿宋" w:cs="仿宋"/>
                <w:b/>
                <w:color w:val="auto"/>
                <w:kern w:val="0"/>
                <w:sz w:val="24"/>
                <w:szCs w:val="24"/>
                <w:highlight w:val="none"/>
                <w:lang w:val="en-US" w:eastAsia="zh-CN"/>
              </w:rPr>
            </w:pPr>
          </w:p>
        </w:tc>
        <w:tc>
          <w:tcPr>
            <w:tcW w:w="1183" w:type="dxa"/>
            <w:vMerge w:val="continue"/>
            <w:tcBorders>
              <w:left w:val="single" w:color="auto" w:sz="4" w:space="0"/>
              <w:bottom w:val="single" w:color="auto" w:sz="4" w:space="0"/>
              <w:right w:val="single" w:color="auto" w:sz="4" w:space="0"/>
            </w:tcBorders>
            <w:noWrap w:val="0"/>
            <w:vAlign w:val="center"/>
          </w:tcPr>
          <w:p>
            <w:pPr>
              <w:pStyle w:val="23"/>
              <w:spacing w:line="360" w:lineRule="auto"/>
              <w:jc w:val="center"/>
              <w:rPr>
                <w:rFonts w:hint="eastAsia" w:ascii="仿宋" w:hAnsi="仿宋" w:eastAsia="仿宋" w:cs="仿宋"/>
                <w:b/>
                <w:color w:val="auto"/>
                <w:kern w:val="0"/>
                <w:sz w:val="24"/>
                <w:szCs w:val="24"/>
                <w:highlight w:val="none"/>
              </w:rPr>
            </w:pPr>
          </w:p>
        </w:tc>
        <w:tc>
          <w:tcPr>
            <w:tcW w:w="6826" w:type="dxa"/>
            <w:tcBorders>
              <w:top w:val="single" w:color="auto" w:sz="4" w:space="0"/>
              <w:left w:val="single" w:color="auto" w:sz="4" w:space="0"/>
              <w:bottom w:val="single" w:color="auto" w:sz="4" w:space="0"/>
              <w:right w:val="single" w:color="auto" w:sz="4" w:space="0"/>
            </w:tcBorders>
            <w:noWrap w:val="0"/>
            <w:vAlign w:val="top"/>
          </w:tcPr>
          <w:p>
            <w:pPr>
              <w:pStyle w:val="45"/>
              <w:spacing w:line="360" w:lineRule="auto"/>
              <w:rPr>
                <w:rFonts w:hint="default"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en-US" w:eastAsia="zh-CN"/>
              </w:rPr>
              <w:t>交纳金额：</w:t>
            </w:r>
            <w:r>
              <w:rPr>
                <w:rFonts w:hint="eastAsia" w:ascii="仿宋" w:hAnsi="仿宋" w:eastAsia="仿宋" w:cs="仿宋"/>
                <w:color w:val="auto"/>
                <w:sz w:val="24"/>
                <w:szCs w:val="24"/>
                <w:highlight w:val="none"/>
                <w:u w:val="single"/>
                <w:lang w:val="en-US" w:eastAsia="zh-CN"/>
              </w:rPr>
              <w:t xml:space="preserve">中标金额的5% </w:t>
            </w:r>
          </w:p>
          <w:p>
            <w:pPr>
              <w:pStyle w:val="25"/>
              <w:spacing w:line="360" w:lineRule="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收款单位：</w:t>
            </w:r>
            <w:r>
              <w:rPr>
                <w:rFonts w:hint="eastAsia" w:ascii="仿宋" w:hAnsi="仿宋" w:eastAsia="仿宋" w:cs="仿宋"/>
                <w:color w:val="auto"/>
                <w:sz w:val="24"/>
                <w:szCs w:val="24"/>
                <w:highlight w:val="none"/>
                <w:u w:val="single"/>
                <w:lang w:val="en-US" w:eastAsia="zh-CN" w:bidi="ar-SA"/>
              </w:rPr>
              <w:t>签订合同前采购人提供</w:t>
            </w:r>
          </w:p>
          <w:p>
            <w:pPr>
              <w:pStyle w:val="47"/>
              <w:spacing w:before="0" w:beforeAutospacing="0" w:after="0"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开户银行：</w:t>
            </w:r>
            <w:r>
              <w:rPr>
                <w:rFonts w:hint="eastAsia" w:ascii="仿宋" w:hAnsi="仿宋" w:eastAsia="仿宋" w:cs="仿宋"/>
                <w:color w:val="auto"/>
                <w:sz w:val="24"/>
                <w:szCs w:val="24"/>
                <w:highlight w:val="none"/>
                <w:u w:val="single"/>
                <w:lang w:val="en-US" w:eastAsia="zh-CN"/>
              </w:rPr>
              <w:t>签订合同前采购人提供</w:t>
            </w:r>
          </w:p>
          <w:p>
            <w:pPr>
              <w:pStyle w:val="45"/>
              <w:spacing w:line="360" w:lineRule="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en-US" w:eastAsia="zh-CN"/>
              </w:rPr>
              <w:t>银行账号：</w:t>
            </w:r>
            <w:r>
              <w:rPr>
                <w:rFonts w:hint="eastAsia" w:ascii="仿宋" w:hAnsi="仿宋" w:eastAsia="仿宋" w:cs="仿宋"/>
                <w:color w:val="auto"/>
                <w:sz w:val="24"/>
                <w:szCs w:val="24"/>
                <w:highlight w:val="none"/>
                <w:u w:val="single"/>
                <w:lang w:val="en-US" w:eastAsia="zh-CN"/>
              </w:rPr>
              <w:t>签订合同前采购人提供</w:t>
            </w:r>
          </w:p>
          <w:p>
            <w:pPr>
              <w:pStyle w:val="45"/>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项目完成验收合格后退还。</w:t>
            </w:r>
          </w:p>
          <w:p>
            <w:pPr>
              <w:pStyle w:val="45"/>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注：如采用电子保函方式缴纳可按照兵团政府采购网—政策法规模块[关于开展政府采购电子保函业务的通知关于开展政府采购电子保函业务的通知 (ccgp-bingtuan.gov.cn)]方式执行。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24</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代理服务费</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rPr>
                <w:rFonts w:hint="eastAsia" w:ascii="仿宋" w:hAnsi="仿宋" w:eastAsia="仿宋" w:cs="仿宋"/>
                <w:color w:val="auto"/>
                <w:kern w:val="0"/>
                <w:sz w:val="24"/>
                <w:szCs w:val="24"/>
                <w:highlight w:val="none"/>
                <w:lang w:val="zh-CN" w:eastAsia="zh-CN" w:bidi="zh-CN"/>
              </w:rPr>
            </w:pPr>
            <w:bookmarkStart w:id="29" w:name="EB2e2814636ed449638e31aec0b86a9c79"/>
            <w:bookmarkEnd w:id="29"/>
            <w:r>
              <w:rPr>
                <w:rFonts w:hint="eastAsia" w:ascii="仿宋" w:hAnsi="仿宋" w:eastAsia="仿宋" w:cs="仿宋"/>
                <w:color w:val="auto"/>
                <w:kern w:val="0"/>
                <w:sz w:val="24"/>
                <w:szCs w:val="24"/>
                <w:highlight w:val="none"/>
                <w:lang w:val="zh-CN" w:eastAsia="zh-CN" w:bidi="zh-CN"/>
              </w:rPr>
              <w:t>是否由中标投标人缴纳</w:t>
            </w:r>
            <w:r>
              <w:rPr>
                <w:rFonts w:hint="eastAsia" w:ascii="仿宋" w:hAnsi="仿宋" w:eastAsia="仿宋" w:cs="仿宋"/>
                <w:color w:val="auto"/>
                <w:kern w:val="0"/>
                <w:sz w:val="24"/>
                <w:szCs w:val="24"/>
                <w:highlight w:val="none"/>
                <w:lang w:val="en-US" w:eastAsia="zh-CN" w:bidi="zh-CN"/>
              </w:rPr>
              <w:t>采购</w:t>
            </w:r>
            <w:r>
              <w:rPr>
                <w:rFonts w:hint="eastAsia" w:ascii="仿宋" w:hAnsi="仿宋" w:eastAsia="仿宋" w:cs="仿宋"/>
                <w:color w:val="auto"/>
                <w:kern w:val="0"/>
                <w:sz w:val="24"/>
                <w:szCs w:val="24"/>
                <w:highlight w:val="none"/>
                <w:lang w:val="zh-CN" w:eastAsia="zh-CN" w:bidi="zh-CN"/>
              </w:rPr>
              <w:t>代理费:</w:t>
            </w:r>
            <w:r>
              <w:rPr>
                <w:rFonts w:hint="eastAsia" w:ascii="仿宋" w:hAnsi="仿宋" w:eastAsia="仿宋" w:cs="仿宋"/>
                <w:color w:val="auto"/>
                <w:kern w:val="0"/>
                <w:sz w:val="24"/>
                <w:szCs w:val="24"/>
                <w:highlight w:val="none"/>
                <w:u w:val="single"/>
                <w:lang w:val="zh-CN" w:eastAsia="zh-CN" w:bidi="zh-CN"/>
              </w:rPr>
              <w:t xml:space="preserve">  是  </w:t>
            </w:r>
            <w:r>
              <w:rPr>
                <w:rFonts w:hint="eastAsia" w:ascii="仿宋" w:hAnsi="仿宋" w:eastAsia="仿宋" w:cs="仿宋"/>
                <w:color w:val="auto"/>
                <w:kern w:val="0"/>
                <w:sz w:val="24"/>
                <w:szCs w:val="24"/>
                <w:highlight w:val="none"/>
                <w:lang w:val="zh-CN" w:eastAsia="zh-CN" w:bidi="zh-CN"/>
              </w:rPr>
              <w:t>（是、否）</w:t>
            </w:r>
          </w:p>
          <w:p>
            <w:pPr>
              <w:pStyle w:val="45"/>
              <w:spacing w:line="367"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交纳时间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中标单位在领取中标通知书</w:t>
            </w:r>
            <w:r>
              <w:rPr>
                <w:rFonts w:hint="eastAsia" w:ascii="仿宋" w:hAnsi="仿宋" w:eastAsia="仿宋" w:cs="仿宋"/>
                <w:color w:val="auto"/>
                <w:sz w:val="24"/>
                <w:szCs w:val="24"/>
                <w:highlight w:val="none"/>
                <w:lang w:val="en-US" w:eastAsia="zh-CN"/>
              </w:rPr>
              <w:t>前</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向</w:t>
            </w:r>
            <w:r>
              <w:rPr>
                <w:rFonts w:hint="eastAsia" w:ascii="仿宋" w:hAnsi="仿宋" w:eastAsia="仿宋" w:cs="仿宋"/>
                <w:color w:val="auto"/>
                <w:sz w:val="24"/>
                <w:szCs w:val="24"/>
                <w:highlight w:val="none"/>
                <w:lang w:eastAsia="zh-CN"/>
              </w:rPr>
              <w:t>采购代理</w:t>
            </w:r>
            <w:r>
              <w:rPr>
                <w:rFonts w:hint="eastAsia" w:ascii="仿宋" w:hAnsi="仿宋" w:eastAsia="仿宋" w:cs="仿宋"/>
                <w:color w:val="auto"/>
                <w:sz w:val="24"/>
                <w:szCs w:val="24"/>
                <w:highlight w:val="none"/>
              </w:rPr>
              <w:t>机构一次性缴纳</w:t>
            </w:r>
            <w:r>
              <w:rPr>
                <w:rFonts w:hint="eastAsia" w:ascii="仿宋" w:hAnsi="仿宋" w:eastAsia="仿宋" w:cs="仿宋"/>
                <w:color w:val="auto"/>
                <w:sz w:val="24"/>
                <w:szCs w:val="24"/>
                <w:highlight w:val="none"/>
                <w:lang w:eastAsia="zh-CN"/>
              </w:rPr>
              <w:t>采购代理</w:t>
            </w:r>
            <w:r>
              <w:rPr>
                <w:rFonts w:hint="eastAsia" w:ascii="仿宋" w:hAnsi="仿宋" w:eastAsia="仿宋" w:cs="仿宋"/>
                <w:color w:val="auto"/>
                <w:sz w:val="24"/>
                <w:szCs w:val="24"/>
                <w:highlight w:val="none"/>
              </w:rPr>
              <w:t>服务费</w:t>
            </w:r>
            <w:r>
              <w:rPr>
                <w:rFonts w:hint="eastAsia" w:ascii="仿宋" w:hAnsi="仿宋" w:eastAsia="仿宋" w:cs="仿宋"/>
                <w:color w:val="auto"/>
                <w:sz w:val="24"/>
                <w:szCs w:val="24"/>
                <w:highlight w:val="none"/>
                <w:lang w:eastAsia="zh-CN"/>
              </w:rPr>
              <w:t>,采购代理</w:t>
            </w:r>
            <w:r>
              <w:rPr>
                <w:rFonts w:hint="eastAsia" w:ascii="仿宋" w:hAnsi="仿宋" w:eastAsia="仿宋" w:cs="仿宋"/>
                <w:color w:val="auto"/>
                <w:sz w:val="24"/>
                <w:szCs w:val="24"/>
                <w:highlight w:val="none"/>
              </w:rPr>
              <w:t>服务费计费基价按照项目</w:t>
            </w:r>
            <w:r>
              <w:rPr>
                <w:rFonts w:hint="eastAsia" w:ascii="仿宋" w:hAnsi="仿宋" w:eastAsia="仿宋" w:cs="仿宋"/>
                <w:b/>
                <w:bCs/>
                <w:color w:val="auto"/>
                <w:sz w:val="24"/>
                <w:szCs w:val="24"/>
                <w:highlight w:val="none"/>
              </w:rPr>
              <w:t>中标金额</w:t>
            </w:r>
            <w:r>
              <w:rPr>
                <w:rFonts w:hint="eastAsia" w:ascii="仿宋" w:hAnsi="仿宋" w:eastAsia="仿宋" w:cs="仿宋"/>
                <w:color w:val="auto"/>
                <w:sz w:val="24"/>
                <w:szCs w:val="24"/>
                <w:highlight w:val="none"/>
              </w:rPr>
              <w:t>为准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由中标单位支付。</w:t>
            </w:r>
          </w:p>
          <w:p>
            <w:pPr>
              <w:pStyle w:val="45"/>
              <w:spacing w:line="364"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本项目</w:t>
            </w:r>
            <w:r>
              <w:rPr>
                <w:rFonts w:hint="eastAsia" w:ascii="仿宋" w:hAnsi="仿宋" w:eastAsia="仿宋" w:cs="仿宋"/>
                <w:color w:val="auto"/>
                <w:sz w:val="24"/>
                <w:szCs w:val="24"/>
                <w:highlight w:val="none"/>
                <w:lang w:eastAsia="zh-CN"/>
              </w:rPr>
              <w:t>采购代理</w:t>
            </w:r>
            <w:r>
              <w:rPr>
                <w:rFonts w:hint="eastAsia" w:ascii="仿宋" w:hAnsi="仿宋" w:eastAsia="仿宋" w:cs="仿宋"/>
                <w:color w:val="auto"/>
                <w:sz w:val="24"/>
                <w:szCs w:val="24"/>
                <w:highlight w:val="none"/>
              </w:rPr>
              <w:t>服务收费标准</w:t>
            </w:r>
            <w:r>
              <w:rPr>
                <w:rFonts w:hint="eastAsia" w:ascii="仿宋" w:hAnsi="仿宋" w:eastAsia="仿宋" w:cs="仿宋"/>
                <w:color w:val="auto"/>
                <w:sz w:val="24"/>
                <w:szCs w:val="24"/>
                <w:highlight w:val="none"/>
                <w:lang w:eastAsia="zh-CN"/>
              </w:rPr>
              <w:t>:执行《政府采购代理机构管理暂行办法》财库</w:t>
            </w:r>
            <w:r>
              <w:rPr>
                <w:rFonts w:hint="eastAsia" w:ascii="方正小标宋简体" w:hAnsi="方正小标宋简体" w:eastAsia="方正小标宋简体" w:cs="方正小标宋简体"/>
                <w:color w:val="auto"/>
                <w:sz w:val="24"/>
                <w:szCs w:val="24"/>
                <w:highlight w:val="none"/>
                <w:lang w:val="en-US" w:eastAsia="zh-CN"/>
              </w:rPr>
              <w:t>〔</w:t>
            </w:r>
            <w:r>
              <w:rPr>
                <w:rFonts w:hint="eastAsia" w:ascii="仿宋" w:hAnsi="仿宋" w:eastAsia="仿宋" w:cs="仿宋"/>
                <w:color w:val="auto"/>
                <w:sz w:val="24"/>
                <w:szCs w:val="24"/>
                <w:highlight w:val="none"/>
                <w:lang w:eastAsia="zh-CN"/>
              </w:rPr>
              <w:t>2018</w:t>
            </w:r>
            <w:r>
              <w:rPr>
                <w:rFonts w:hint="eastAsia" w:ascii="方正小标宋简体" w:hAnsi="方正小标宋简体" w:eastAsia="方正小标宋简体" w:cs="方正小标宋简体"/>
                <w:color w:val="auto"/>
                <w:sz w:val="24"/>
                <w:szCs w:val="24"/>
                <w:highlight w:val="none"/>
                <w:lang w:val="en-US" w:eastAsia="zh-CN"/>
              </w:rPr>
              <w:t>〕</w:t>
            </w:r>
            <w:r>
              <w:rPr>
                <w:rFonts w:hint="eastAsia" w:ascii="仿宋" w:hAnsi="仿宋" w:eastAsia="仿宋" w:cs="仿宋"/>
                <w:color w:val="auto"/>
                <w:sz w:val="24"/>
                <w:szCs w:val="24"/>
                <w:highlight w:val="none"/>
                <w:lang w:eastAsia="zh-CN"/>
              </w:rPr>
              <w:t>2号文件。</w:t>
            </w:r>
          </w:p>
          <w:p>
            <w:pPr>
              <w:pStyle w:val="45"/>
              <w:spacing w:line="364"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交纳金额:按照中标金额的1.5%收取。</w:t>
            </w:r>
          </w:p>
          <w:p>
            <w:pPr>
              <w:pStyle w:val="34"/>
              <w:widowControl/>
              <w:autoSpaceDE w:val="0"/>
              <w:autoSpaceDN w:val="0"/>
              <w:spacing w:line="36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收款单位</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2"/>
                <w:sz w:val="24"/>
                <w:szCs w:val="24"/>
                <w:highlight w:val="none"/>
                <w:lang w:val="en-US" w:eastAsia="zh-CN" w:bidi="ar-SA"/>
              </w:rPr>
              <w:t>新疆锦辰工程项目管理有限公司</w:t>
            </w:r>
          </w:p>
          <w:p>
            <w:pPr>
              <w:pStyle w:val="25"/>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银行账号:107081419960</w:t>
            </w:r>
          </w:p>
          <w:p>
            <w:pPr>
              <w:pStyle w:val="25"/>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开户银行:中国银行股份有限公司喀什市解放南路支行</w:t>
            </w:r>
          </w:p>
          <w:p>
            <w:pPr>
              <w:pStyle w:val="23"/>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2"/>
                <w:sz w:val="24"/>
                <w:szCs w:val="24"/>
                <w:highlight w:val="none"/>
                <w:lang w:val="en-US" w:eastAsia="zh-CN" w:bidi="ar-SA"/>
              </w:rPr>
              <w:t>行号:104894001046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25</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场地服务费</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不缴纳</w:t>
            </w:r>
          </w:p>
          <w:p>
            <w:pPr>
              <w:pStyle w:val="23"/>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 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26</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争议的解决</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rPr>
                <w:rFonts w:hint="eastAsia" w:ascii="仿宋" w:hAnsi="仿宋" w:eastAsia="仿宋" w:cs="仿宋"/>
                <w:color w:val="auto"/>
                <w:sz w:val="24"/>
                <w:szCs w:val="24"/>
                <w:highlight w:val="none"/>
              </w:rPr>
            </w:pPr>
            <w:bookmarkStart w:id="30" w:name="EBab54cac318db41e28e6dac8386188fc3"/>
            <w:bookmarkEnd w:id="30"/>
            <w:r>
              <w:rPr>
                <w:rFonts w:hint="eastAsia" w:ascii="仿宋" w:hAnsi="仿宋" w:eastAsia="仿宋" w:cs="仿宋"/>
                <w:color w:val="auto"/>
                <w:sz w:val="24"/>
                <w:szCs w:val="24"/>
                <w:highlight w:val="none"/>
              </w:rPr>
              <w:t>如发生争议由双方协商解决，协商不成向</w:t>
            </w:r>
            <w:r>
              <w:rPr>
                <w:rFonts w:hint="eastAsia" w:ascii="仿宋" w:hAnsi="仿宋" w:eastAsia="仿宋" w:cs="仿宋"/>
                <w:color w:val="auto"/>
                <w:sz w:val="24"/>
                <w:szCs w:val="24"/>
                <w:highlight w:val="none"/>
                <w:lang w:val="en-US" w:eastAsia="zh-CN"/>
              </w:rPr>
              <w:t>项目所在地</w:t>
            </w:r>
            <w:r>
              <w:rPr>
                <w:rFonts w:hint="eastAsia" w:ascii="仿宋" w:hAnsi="仿宋" w:eastAsia="仿宋" w:cs="仿宋"/>
                <w:color w:val="auto"/>
                <w:sz w:val="24"/>
                <w:szCs w:val="24"/>
                <w:highlight w:val="none"/>
              </w:rPr>
              <w:t>人民法院提请诉讼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27</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5"/>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bCs/>
                <w:sz w:val="24"/>
                <w:szCs w:val="24"/>
                <w:highlight w:val="none"/>
              </w:rPr>
              <w:t>是否允许投报进口产品</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5"/>
              <w:autoSpaceDE w:val="0"/>
              <w:autoSpaceDN w:val="0"/>
              <w:adjustRightInd w:val="0"/>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□是。</w:t>
            </w:r>
          </w:p>
          <w:p>
            <w:pPr>
              <w:pStyle w:val="25"/>
              <w:autoSpaceDE w:val="0"/>
              <w:autoSpaceDN w:val="0"/>
              <w:adjustRightInd w:val="0"/>
              <w:spacing w:line="360" w:lineRule="auto"/>
              <w:rPr>
                <w:rFonts w:hint="eastAsia" w:ascii="仿宋" w:hAnsi="仿宋" w:eastAsia="仿宋" w:cs="仿宋"/>
                <w:color w:val="auto"/>
                <w:sz w:val="24"/>
                <w:szCs w:val="24"/>
                <w:highlight w:val="none"/>
              </w:rPr>
            </w:pPr>
            <w:r>
              <w:rPr>
                <w:rFonts w:hint="eastAsia" w:ascii="仿宋" w:hAnsi="仿宋" w:eastAsia="仿宋" w:cs="仿宋"/>
                <w:kern w:val="0"/>
                <w:sz w:val="24"/>
                <w:szCs w:val="24"/>
                <w:highlight w:val="none"/>
              </w:rPr>
              <w:fldChar w:fldCharType="begin"/>
            </w:r>
            <w:r>
              <w:rPr>
                <w:rFonts w:hint="eastAsia" w:ascii="仿宋" w:hAnsi="仿宋" w:eastAsia="仿宋" w:cs="仿宋"/>
                <w:kern w:val="0"/>
                <w:sz w:val="24"/>
                <w:szCs w:val="24"/>
                <w:highlight w:val="none"/>
              </w:rPr>
              <w:instrText xml:space="preserve"> eq \o\ac(</w:instrText>
            </w:r>
            <w:r>
              <w:rPr>
                <w:rFonts w:hint="eastAsia" w:ascii="仿宋" w:hAnsi="仿宋" w:eastAsia="仿宋" w:cs="仿宋"/>
                <w:kern w:val="0"/>
                <w:position w:val="-4"/>
                <w:sz w:val="36"/>
                <w:szCs w:val="24"/>
                <w:highlight w:val="none"/>
              </w:rPr>
              <w:instrText xml:space="preserve">□</w:instrText>
            </w:r>
            <w:r>
              <w:rPr>
                <w:rFonts w:hint="eastAsia" w:ascii="仿宋" w:hAnsi="仿宋" w:eastAsia="仿宋" w:cs="仿宋"/>
                <w:kern w:val="0"/>
                <w:sz w:val="24"/>
                <w:szCs w:val="24"/>
                <w:highlight w:val="none"/>
              </w:rPr>
              <w:instrText xml:space="preserve">,√)</w:instrText>
            </w:r>
            <w:r>
              <w:rPr>
                <w:rFonts w:hint="eastAsia" w:ascii="仿宋" w:hAnsi="仿宋" w:eastAsia="仿宋" w:cs="仿宋"/>
                <w:kern w:val="0"/>
                <w:sz w:val="24"/>
                <w:szCs w:val="24"/>
                <w:highlight w:val="none"/>
              </w:rPr>
              <w:fldChar w:fldCharType="end"/>
            </w:r>
            <w:r>
              <w:rPr>
                <w:rFonts w:hint="eastAsia" w:ascii="仿宋" w:hAnsi="仿宋" w:eastAsia="仿宋" w:cs="仿宋"/>
                <w:kern w:val="0"/>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28</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现场陈述</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rPr>
                <w:rFonts w:hint="eastAsia" w:ascii="仿宋" w:hAnsi="仿宋" w:eastAsia="仿宋" w:cs="仿宋"/>
                <w:color w:val="auto"/>
                <w:sz w:val="24"/>
                <w:szCs w:val="24"/>
                <w:highlight w:val="none"/>
              </w:rPr>
            </w:pPr>
            <w:bookmarkStart w:id="31" w:name="EB7dfe3b1190d64d418e01d0e21f4920d5"/>
            <w:bookmarkEnd w:id="31"/>
            <w:r>
              <w:rPr>
                <w:rFonts w:hint="eastAsia" w:ascii="仿宋" w:hAnsi="仿宋" w:eastAsia="仿宋" w:cs="仿宋"/>
                <w:color w:val="auto"/>
                <w:sz w:val="24"/>
                <w:szCs w:val="24"/>
                <w:highlight w:val="none"/>
              </w:rPr>
              <w:t>☑ 不需要</w:t>
            </w:r>
          </w:p>
          <w:p>
            <w:pPr>
              <w:pStyle w:val="23"/>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需要,陈述要求如下</w:t>
            </w:r>
            <w:r>
              <w:rPr>
                <w:rFonts w:hint="eastAsia" w:ascii="仿宋" w:hAnsi="仿宋" w:eastAsia="仿宋" w:cs="仿宋"/>
                <w:color w:val="auto"/>
                <w:sz w:val="24"/>
                <w:szCs w:val="24"/>
                <w:highlight w:val="none"/>
                <w:lang w:eastAsia="zh-CN"/>
              </w:rPr>
              <w:t>:</w:t>
            </w:r>
          </w:p>
          <w:p>
            <w:pPr>
              <w:pStyle w:val="23"/>
              <w:autoSpaceDE w:val="0"/>
              <w:autoSpaceDN w:val="0"/>
              <w:adjustRightInd w:val="0"/>
              <w:spacing w:line="360" w:lineRule="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rPr>
              <w:t>1、陈述内容:</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none"/>
                <w:lang w:val="en-US" w:eastAsia="zh-CN"/>
              </w:rPr>
              <w:t xml:space="preserve">。    </w:t>
            </w:r>
            <w:r>
              <w:rPr>
                <w:rFonts w:hint="eastAsia" w:ascii="仿宋" w:hAnsi="仿宋" w:eastAsia="仿宋" w:cs="仿宋"/>
                <w:color w:val="auto"/>
                <w:sz w:val="24"/>
                <w:szCs w:val="24"/>
                <w:highlight w:val="none"/>
                <w:lang w:val="zh-CN"/>
              </w:rPr>
              <w:t>2、陈述人员:</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none"/>
                <w:lang w:eastAsia="zh-CN"/>
              </w:rPr>
              <w:t>。</w:t>
            </w:r>
          </w:p>
          <w:p>
            <w:pPr>
              <w:pStyle w:val="23"/>
              <w:autoSpaceDE w:val="0"/>
              <w:autoSpaceDN w:val="0"/>
              <w:adjustRightInd w:val="0"/>
              <w:spacing w:line="360" w:lineRule="auto"/>
              <w:rPr>
                <w:rFonts w:hint="eastAsia" w:ascii="仿宋" w:hAnsi="仿宋" w:eastAsia="仿宋" w:cs="仿宋"/>
                <w:color w:val="auto"/>
                <w:sz w:val="24"/>
                <w:szCs w:val="24"/>
                <w:highlight w:val="none"/>
                <w:u w:val="none"/>
                <w:lang w:val="zh-CN" w:eastAsia="zh-CN"/>
              </w:rPr>
            </w:pPr>
            <w:r>
              <w:rPr>
                <w:rFonts w:hint="eastAsia" w:ascii="仿宋" w:hAnsi="仿宋" w:eastAsia="仿宋" w:cs="仿宋"/>
                <w:color w:val="auto"/>
                <w:sz w:val="24"/>
                <w:szCs w:val="24"/>
                <w:highlight w:val="none"/>
                <w:lang w:val="zh-CN"/>
              </w:rPr>
              <w:t>3、陈述时限:</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sz w:val="24"/>
                <w:szCs w:val="24"/>
                <w:highlight w:val="none"/>
                <w:lang w:val="zh-CN"/>
              </w:rPr>
              <w:t>分钟。4、陈述形式:</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none"/>
                <w:lang w:eastAsia="zh-CN"/>
              </w:rPr>
              <w:t>。</w:t>
            </w:r>
          </w:p>
          <w:p>
            <w:pPr>
              <w:pStyle w:val="23"/>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5、其他:(1)依照签到顺序依次进行；(2)投标人可放弃陈述,但需要签字确认。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29</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3"/>
              <w:autoSpaceDE w:val="0"/>
              <w:autoSpaceDN w:val="0"/>
              <w:adjustRightInd w:val="0"/>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项目预算</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3"/>
              <w:autoSpaceDE w:val="0"/>
              <w:autoSpaceDN w:val="0"/>
              <w:adjustRightInd w:val="0"/>
              <w:spacing w:line="360" w:lineRule="auto"/>
              <w:rPr>
                <w:rFonts w:hint="eastAsia" w:ascii="仿宋" w:hAnsi="仿宋" w:eastAsia="仿宋" w:cs="仿宋"/>
                <w:color w:val="auto"/>
                <w:sz w:val="24"/>
                <w:szCs w:val="24"/>
                <w:highlight w:val="none"/>
                <w:lang w:val="zh-CN" w:eastAsia="zh-CN"/>
              </w:rPr>
            </w:pPr>
            <w:bookmarkStart w:id="32" w:name="EB99761000dd4b46ac86a3f3daaf46418a"/>
            <w:bookmarkEnd w:id="32"/>
            <w:r>
              <w:rPr>
                <w:rFonts w:hint="eastAsia" w:ascii="仿宋" w:hAnsi="仿宋" w:eastAsia="仿宋" w:cs="仿宋"/>
                <w:color w:val="auto"/>
                <w:sz w:val="24"/>
                <w:szCs w:val="24"/>
                <w:highlight w:val="none"/>
                <w:lang w:val="zh-CN" w:eastAsia="zh-CN"/>
              </w:rPr>
              <w:t>本项目</w:t>
            </w:r>
            <w:r>
              <w:rPr>
                <w:rFonts w:hint="eastAsia" w:ascii="仿宋" w:hAnsi="仿宋" w:eastAsia="仿宋" w:cs="仿宋"/>
                <w:color w:val="auto"/>
                <w:sz w:val="24"/>
                <w:szCs w:val="24"/>
                <w:highlight w:val="none"/>
                <w:lang w:val="en-US" w:eastAsia="zh-CN"/>
              </w:rPr>
              <w:t>预算金额为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7715000.00</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大写</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柒佰柒拾壹万伍仟元整；</w:t>
            </w:r>
            <w:r>
              <w:rPr>
                <w:rFonts w:hint="eastAsia" w:ascii="仿宋" w:hAnsi="仿宋" w:eastAsia="仿宋" w:cs="仿宋"/>
                <w:color w:val="auto"/>
                <w:sz w:val="24"/>
                <w:szCs w:val="24"/>
                <w:highlight w:val="none"/>
                <w:lang w:val="zh-CN" w:eastAsia="zh-CN"/>
              </w:rPr>
              <w:t>投标人投标报价超过项目预算的按无效投标处理。</w:t>
            </w:r>
          </w:p>
          <w:p>
            <w:pPr>
              <w:pStyle w:val="23"/>
              <w:autoSpaceDE w:val="0"/>
              <w:autoSpaceDN w:val="0"/>
              <w:adjustRightInd w:val="0"/>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中标人须承担所投设备安装时产生的水电改造、机房改造等所有费用（如有）。</w:t>
            </w:r>
          </w:p>
          <w:p>
            <w:pPr>
              <w:pStyle w:val="23"/>
              <w:autoSpaceDE w:val="0"/>
              <w:autoSpaceDN w:val="0"/>
              <w:adjustRightInd w:val="0"/>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2.中标人所投设备如需适配Lis、His、Pacs系统，所产生的费用由中标人承担（如有）。</w:t>
            </w:r>
          </w:p>
          <w:p>
            <w:pPr>
              <w:pStyle w:val="23"/>
              <w:autoSpaceDE w:val="0"/>
              <w:autoSpaceDN w:val="0"/>
              <w:adjustRightInd w:val="0"/>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3.中标人需提供所投设备配套的办公桌椅及电脑、打印机等。</w:t>
            </w:r>
          </w:p>
          <w:p>
            <w:pPr>
              <w:pStyle w:val="23"/>
              <w:autoSpaceDE w:val="0"/>
              <w:autoSpaceDN w:val="0"/>
              <w:adjustRightInd w:val="0"/>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4.中标人需提供所投设备的试剂和配套耗材，具体数量待设备培训时确定（如有）。</w:t>
            </w:r>
          </w:p>
          <w:p>
            <w:pPr>
              <w:pStyle w:val="23"/>
              <w:autoSpaceDE w:val="0"/>
              <w:autoSpaceDN w:val="0"/>
              <w:adjustRightInd w:val="0"/>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5.中标人需承担所投设备验收检测费用（如有）。</w:t>
            </w:r>
          </w:p>
          <w:p>
            <w:pPr>
              <w:pStyle w:val="23"/>
              <w:autoSpaceDE w:val="0"/>
              <w:autoSpaceDN w:val="0"/>
              <w:adjustRightIn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本项目投标报价应为含税全包（大包）价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包括各项配合费、服务费、</w:t>
            </w:r>
            <w:r>
              <w:rPr>
                <w:rFonts w:hint="eastAsia" w:ascii="仿宋" w:hAnsi="仿宋" w:eastAsia="仿宋" w:cs="仿宋"/>
                <w:color w:val="auto"/>
                <w:sz w:val="24"/>
                <w:szCs w:val="24"/>
                <w:highlight w:val="none"/>
                <w:lang w:val="en-US" w:eastAsia="zh-CN"/>
              </w:rPr>
              <w:t>材料费、</w:t>
            </w:r>
            <w:r>
              <w:rPr>
                <w:rFonts w:hint="eastAsia" w:ascii="仿宋" w:hAnsi="仿宋" w:eastAsia="仿宋" w:cs="仿宋"/>
                <w:color w:val="auto"/>
                <w:sz w:val="24"/>
                <w:szCs w:val="24"/>
                <w:highlight w:val="none"/>
              </w:rPr>
              <w:t>风险费、管理费、验收、保险、税费、培训、服务人员考取相关从业证书费用、背景调查、职业测评、技术服务、其他为完成本项目所必需的全部费用和按本合同相关责任和义务等须承担的全部费用、保障相关工作内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总价包干。</w:t>
            </w:r>
          </w:p>
          <w:p>
            <w:pPr>
              <w:pStyle w:val="23"/>
              <w:autoSpaceDE w:val="0"/>
              <w:autoSpaceDN w:val="0"/>
              <w:adjustRightIn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报价中应考虑</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中要求投标人承担的风险范围以及相关的费用。</w:t>
            </w:r>
          </w:p>
          <w:p>
            <w:pPr>
              <w:pStyle w:val="23"/>
              <w:autoSpaceDE w:val="0"/>
              <w:autoSpaceDN w:val="0"/>
              <w:adjustRightInd w:val="0"/>
              <w:spacing w:line="360" w:lineRule="auto"/>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本项目总价为</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文件中提出的各项支付金额的总和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包括实施、完成招标内容并修补缺陷以及履行</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中约定的风险范围内的所有责任和义务所发生的全部费用。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30</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3"/>
              <w:autoSpaceDE w:val="0"/>
              <w:autoSpaceDN w:val="0"/>
              <w:adjustRightInd w:val="0"/>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交付期限</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3"/>
              <w:autoSpaceDE w:val="0"/>
              <w:autoSpaceDN w:val="0"/>
              <w:adjustRightInd w:val="0"/>
              <w:spacing w:line="36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自合同签订之日起30日内完成安装验收调试。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31</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4"/>
              <w:autoSpaceDE w:val="0"/>
              <w:autoSpaceDN w:val="0"/>
              <w:adjustRightInd w:val="0"/>
              <w:spacing w:line="360" w:lineRule="auto"/>
              <w:jc w:val="center"/>
              <w:rPr>
                <w:rFonts w:hint="eastAsia"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质保期</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3"/>
              <w:numPr>
                <w:ilvl w:val="0"/>
                <w:numId w:val="0"/>
              </w:numPr>
              <w:autoSpaceDE w:val="0"/>
              <w:autoSpaceDN w:val="0"/>
              <w:adjustRightInd w:val="0"/>
              <w:spacing w:line="36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项目验收合格起</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年内免费</w:t>
            </w:r>
            <w:r>
              <w:rPr>
                <w:rFonts w:hint="eastAsia" w:ascii="仿宋" w:hAnsi="仿宋" w:eastAsia="仿宋" w:cs="仿宋"/>
                <w:color w:val="auto"/>
                <w:sz w:val="24"/>
                <w:szCs w:val="24"/>
                <w:highlight w:val="none"/>
                <w:lang w:val="en-US" w:eastAsia="zh-CN"/>
              </w:rPr>
              <w:t>质保，保修范围应包括提供的所有软件、硬件（含第三方设备或配件）和安装调试服务。在保修期内应提供维修和技术咨询服务，矫正和免费更换有缺陷的设备或部件、排除系统出现的故障。质量保证期内，投标人应对由于设计、工艺或材料的缺陷而发生的任何不足或故障负责，费用由投标人负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jc w:val="center"/>
              <w:rPr>
                <w:rFonts w:hint="default" w:ascii="仿宋" w:hAnsi="仿宋" w:eastAsia="仿宋" w:cs="仿宋"/>
                <w:b/>
                <w:color w:val="auto"/>
                <w:kern w:val="0"/>
                <w:sz w:val="24"/>
                <w:szCs w:val="24"/>
                <w:highlight w:val="none"/>
                <w:lang w:val="en-US" w:eastAsia="zh-CN" w:bidi="ar-SA"/>
              </w:rPr>
            </w:pPr>
            <w:r>
              <w:rPr>
                <w:rFonts w:hint="eastAsia" w:ascii="仿宋" w:hAnsi="仿宋" w:eastAsia="仿宋" w:cs="仿宋"/>
                <w:b/>
                <w:color w:val="auto"/>
                <w:kern w:val="0"/>
                <w:sz w:val="24"/>
                <w:szCs w:val="24"/>
                <w:highlight w:val="none"/>
                <w:lang w:val="en-US" w:eastAsia="zh-CN"/>
              </w:rPr>
              <w:t>32</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4"/>
              <w:autoSpaceDE w:val="0"/>
              <w:autoSpaceDN w:val="0"/>
              <w:adjustRightInd w:val="0"/>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交付地点</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40"/>
              <w:spacing w:line="360" w:lineRule="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招标人指定地点。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jc w:val="center"/>
              <w:rPr>
                <w:rFonts w:hint="default" w:ascii="仿宋" w:hAnsi="仿宋" w:eastAsia="仿宋" w:cs="仿宋"/>
                <w:b/>
                <w:color w:val="auto"/>
                <w:kern w:val="0"/>
                <w:sz w:val="24"/>
                <w:szCs w:val="24"/>
                <w:highlight w:val="none"/>
                <w:lang w:val="en-US" w:eastAsia="zh-CN" w:bidi="ar-SA"/>
              </w:rPr>
            </w:pPr>
            <w:r>
              <w:rPr>
                <w:rFonts w:hint="eastAsia" w:ascii="仿宋" w:hAnsi="仿宋" w:eastAsia="仿宋" w:cs="仿宋"/>
                <w:b/>
                <w:color w:val="auto"/>
                <w:kern w:val="0"/>
                <w:sz w:val="24"/>
                <w:szCs w:val="24"/>
                <w:highlight w:val="none"/>
                <w:lang w:val="en-US" w:eastAsia="zh-CN"/>
              </w:rPr>
              <w:t>33</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4"/>
              <w:autoSpaceDE w:val="0"/>
              <w:autoSpaceDN w:val="0"/>
              <w:adjustRightInd w:val="0"/>
              <w:spacing w:line="360" w:lineRule="auto"/>
              <w:jc w:val="center"/>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b/>
                <w:color w:val="auto"/>
                <w:kern w:val="0"/>
                <w:sz w:val="24"/>
                <w:szCs w:val="24"/>
                <w:highlight w:val="none"/>
              </w:rPr>
              <w:t>付款方式</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3"/>
              <w:autoSpaceDE w:val="0"/>
              <w:autoSpaceDN w:val="0"/>
              <w:adjustRightInd w:val="0"/>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经采购人（使用单位）验收合格后，买方凭验收合格证明及完税发票支付给卖方合同款项的100%。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jc w:val="center"/>
              <w:rPr>
                <w:rFonts w:hint="default" w:ascii="仿宋" w:hAnsi="仿宋" w:eastAsia="仿宋" w:cs="仿宋"/>
                <w:b/>
                <w:color w:val="auto"/>
                <w:kern w:val="0"/>
                <w:sz w:val="24"/>
                <w:szCs w:val="24"/>
                <w:highlight w:val="none"/>
                <w:lang w:val="en-US" w:eastAsia="zh-CN" w:bidi="ar-SA"/>
              </w:rPr>
            </w:pPr>
            <w:r>
              <w:rPr>
                <w:rFonts w:hint="eastAsia" w:ascii="仿宋" w:hAnsi="仿宋" w:eastAsia="仿宋" w:cs="仿宋"/>
                <w:b/>
                <w:color w:val="auto"/>
                <w:kern w:val="0"/>
                <w:sz w:val="24"/>
                <w:szCs w:val="24"/>
                <w:highlight w:val="none"/>
                <w:lang w:val="en-US" w:eastAsia="zh-CN"/>
              </w:rPr>
              <w:t>34</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3"/>
              <w:autoSpaceDE w:val="0"/>
              <w:autoSpaceDN w:val="0"/>
              <w:adjustRightInd w:val="0"/>
              <w:spacing w:line="360" w:lineRule="auto"/>
              <w:jc w:val="center"/>
              <w:rPr>
                <w:rFonts w:hint="eastAsia" w:ascii="仿宋" w:hAnsi="仿宋" w:eastAsia="仿宋" w:cs="仿宋"/>
                <w:b/>
                <w:color w:val="auto"/>
                <w:kern w:val="0"/>
                <w:sz w:val="24"/>
                <w:szCs w:val="24"/>
                <w:highlight w:val="none"/>
                <w:lang w:val="en-US" w:eastAsia="zh-CN"/>
              </w:rPr>
            </w:pPr>
            <w:r>
              <w:rPr>
                <w:rFonts w:hint="eastAsia" w:ascii="仿宋" w:hAnsi="仿宋" w:eastAsia="仿宋" w:cs="仿宋"/>
                <w:b/>
                <w:bCs/>
                <w:color w:val="auto"/>
                <w:kern w:val="0"/>
                <w:sz w:val="24"/>
                <w:szCs w:val="24"/>
                <w:highlight w:val="none"/>
              </w:rPr>
              <w:t>注意事项</w:t>
            </w:r>
          </w:p>
        </w:tc>
        <w:tc>
          <w:tcPr>
            <w:tcW w:w="6826" w:type="dxa"/>
            <w:tcBorders>
              <w:top w:val="single" w:color="auto" w:sz="4" w:space="0"/>
              <w:left w:val="single" w:color="auto" w:sz="4" w:space="0"/>
              <w:bottom w:val="single" w:color="auto" w:sz="4" w:space="0"/>
              <w:right w:val="single" w:color="auto" w:sz="4" w:space="0"/>
            </w:tcBorders>
            <w:noWrap w:val="0"/>
            <w:vAlign w:val="top"/>
          </w:tcPr>
          <w:p>
            <w:pPr>
              <w:pStyle w:val="25"/>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val="0"/>
              <w:autoSpaceDN w:val="0"/>
              <w:bidi w:val="0"/>
              <w:adjustRightInd w:val="0"/>
              <w:snapToGrid/>
              <w:spacing w:beforeAutospacing="0" w:afterAutospacing="0" w:line="500" w:lineRule="exact"/>
              <w:ind w:left="0" w:leftChars="0"/>
              <w:textAlignment w:val="auto"/>
              <w:rPr>
                <w:rFonts w:hint="eastAsia" w:ascii="仿宋" w:hAnsi="仿宋" w:eastAsia="仿宋" w:cs="仿宋"/>
                <w:b/>
                <w:bCs/>
                <w:color w:val="auto"/>
                <w:kern w:val="0"/>
                <w:sz w:val="24"/>
                <w:szCs w:val="24"/>
                <w:highlight w:val="none"/>
                <w:lang w:val="en-US" w:eastAsia="zh-CN" w:bidi="ug-CN"/>
              </w:rPr>
            </w:pPr>
            <w:r>
              <w:rPr>
                <w:rFonts w:hint="eastAsia" w:ascii="仿宋" w:hAnsi="仿宋" w:eastAsia="仿宋" w:cs="仿宋"/>
                <w:b/>
                <w:bCs/>
                <w:color w:val="auto"/>
                <w:kern w:val="0"/>
                <w:sz w:val="24"/>
                <w:szCs w:val="24"/>
                <w:highlight w:val="none"/>
                <w:lang w:val="en-US" w:eastAsia="zh-CN" w:bidi="ug-CN"/>
              </w:rPr>
              <w:t>注：</w:t>
            </w:r>
          </w:p>
          <w:p>
            <w:pPr>
              <w:pStyle w:val="36"/>
              <w:spacing w:line="360" w:lineRule="auto"/>
              <w:rPr>
                <w:rFonts w:hint="eastAsia" w:ascii="仿宋" w:hAnsi="仿宋" w:eastAsia="仿宋" w:cs="仿宋"/>
                <w:b/>
                <w:bCs/>
                <w:color w:val="auto"/>
                <w:kern w:val="0"/>
                <w:sz w:val="24"/>
                <w:szCs w:val="24"/>
                <w:highlight w:val="none"/>
                <w:lang w:bidi="ug-CN"/>
              </w:rPr>
            </w:pPr>
            <w:r>
              <w:rPr>
                <w:rFonts w:hint="eastAsia" w:ascii="仿宋" w:hAnsi="仿宋" w:eastAsia="仿宋" w:cs="仿宋"/>
                <w:b/>
                <w:bCs/>
                <w:color w:val="auto"/>
                <w:kern w:val="0"/>
                <w:sz w:val="24"/>
                <w:szCs w:val="24"/>
                <w:highlight w:val="none"/>
                <w:lang w:bidi="ug-CN"/>
              </w:rPr>
              <w:t>1</w:t>
            </w:r>
            <w:r>
              <w:rPr>
                <w:rFonts w:hint="eastAsia" w:ascii="仿宋" w:hAnsi="仿宋" w:eastAsia="仿宋" w:cs="仿宋"/>
                <w:b/>
                <w:bCs/>
                <w:color w:val="auto"/>
                <w:kern w:val="0"/>
                <w:sz w:val="24"/>
                <w:szCs w:val="24"/>
                <w:highlight w:val="none"/>
                <w:lang w:eastAsia="zh-CN" w:bidi="ug-CN"/>
              </w:rPr>
              <w:t>.</w:t>
            </w:r>
            <w:r>
              <w:rPr>
                <w:rFonts w:hint="eastAsia" w:ascii="仿宋" w:hAnsi="仿宋" w:eastAsia="仿宋" w:cs="仿宋"/>
                <w:b/>
                <w:bCs/>
                <w:color w:val="auto"/>
                <w:kern w:val="0"/>
                <w:sz w:val="24"/>
                <w:szCs w:val="24"/>
                <w:highlight w:val="none"/>
                <w:lang w:bidi="ug-CN"/>
              </w:rPr>
              <w:t>本项目的招标投标活动以及相关当事人须接受财政监督部门依法实施的监督。</w:t>
            </w:r>
          </w:p>
          <w:p>
            <w:pPr>
              <w:pStyle w:val="36"/>
              <w:spacing w:line="360" w:lineRule="auto"/>
              <w:rPr>
                <w:rFonts w:hint="eastAsia" w:ascii="仿宋" w:hAnsi="仿宋" w:eastAsia="仿宋" w:cs="仿宋"/>
                <w:b/>
                <w:bCs/>
                <w:color w:val="auto"/>
                <w:kern w:val="0"/>
                <w:sz w:val="24"/>
                <w:szCs w:val="24"/>
                <w:highlight w:val="none"/>
                <w:lang w:bidi="ug-CN"/>
              </w:rPr>
            </w:pPr>
            <w:r>
              <w:rPr>
                <w:rFonts w:hint="eastAsia" w:ascii="仿宋" w:hAnsi="仿宋" w:eastAsia="仿宋" w:cs="仿宋"/>
                <w:b/>
                <w:bCs/>
                <w:color w:val="auto"/>
                <w:kern w:val="0"/>
                <w:sz w:val="24"/>
                <w:szCs w:val="24"/>
                <w:highlight w:val="none"/>
                <w:lang w:bidi="ug-CN"/>
              </w:rPr>
              <w:t>2</w:t>
            </w:r>
            <w:r>
              <w:rPr>
                <w:rFonts w:hint="eastAsia" w:ascii="仿宋" w:hAnsi="仿宋" w:eastAsia="仿宋" w:cs="仿宋"/>
                <w:b/>
                <w:bCs/>
                <w:color w:val="auto"/>
                <w:kern w:val="0"/>
                <w:sz w:val="24"/>
                <w:szCs w:val="24"/>
                <w:highlight w:val="none"/>
                <w:lang w:eastAsia="zh-CN" w:bidi="ug-CN"/>
              </w:rPr>
              <w:t>.</w:t>
            </w:r>
            <w:r>
              <w:rPr>
                <w:rFonts w:hint="eastAsia" w:ascii="仿宋" w:hAnsi="仿宋" w:eastAsia="仿宋" w:cs="仿宋"/>
                <w:b/>
                <w:bCs/>
                <w:color w:val="auto"/>
                <w:kern w:val="0"/>
                <w:sz w:val="24"/>
                <w:szCs w:val="24"/>
                <w:highlight w:val="none"/>
                <w:lang w:bidi="ug-CN"/>
              </w:rPr>
              <w:t>各投标人必须针对本项目制作投标文件并报价,投标文件均必须满足</w:t>
            </w:r>
            <w:r>
              <w:rPr>
                <w:rFonts w:hint="eastAsia" w:ascii="仿宋" w:hAnsi="仿宋" w:eastAsia="仿宋" w:cs="仿宋"/>
                <w:b/>
                <w:bCs/>
                <w:color w:val="auto"/>
                <w:kern w:val="0"/>
                <w:sz w:val="24"/>
                <w:szCs w:val="24"/>
                <w:highlight w:val="none"/>
                <w:lang w:eastAsia="zh-CN" w:bidi="ug-CN"/>
              </w:rPr>
              <w:t>招标文件</w:t>
            </w:r>
            <w:r>
              <w:rPr>
                <w:rFonts w:hint="eastAsia" w:ascii="仿宋" w:hAnsi="仿宋" w:eastAsia="仿宋" w:cs="仿宋"/>
                <w:b/>
                <w:bCs/>
                <w:color w:val="auto"/>
                <w:kern w:val="0"/>
                <w:sz w:val="24"/>
                <w:szCs w:val="24"/>
                <w:highlight w:val="none"/>
                <w:lang w:bidi="ug-CN"/>
              </w:rPr>
              <w:t>份数与制作等要求,否则将导致投标被拒绝。</w:t>
            </w:r>
          </w:p>
          <w:p>
            <w:pPr>
              <w:pStyle w:val="36"/>
              <w:spacing w:line="360" w:lineRule="auto"/>
              <w:rPr>
                <w:rFonts w:hint="eastAsia" w:ascii="仿宋" w:hAnsi="仿宋" w:eastAsia="仿宋" w:cs="仿宋"/>
                <w:b/>
                <w:bCs/>
                <w:color w:val="auto"/>
                <w:kern w:val="0"/>
                <w:sz w:val="24"/>
                <w:szCs w:val="24"/>
                <w:highlight w:val="none"/>
                <w:lang w:bidi="ug-CN"/>
              </w:rPr>
            </w:pPr>
            <w:r>
              <w:rPr>
                <w:rFonts w:hint="eastAsia" w:ascii="仿宋" w:hAnsi="仿宋" w:eastAsia="仿宋" w:cs="仿宋"/>
                <w:b/>
                <w:bCs/>
                <w:color w:val="auto"/>
                <w:kern w:val="0"/>
                <w:sz w:val="24"/>
                <w:szCs w:val="24"/>
                <w:highlight w:val="none"/>
                <w:lang w:bidi="ug-CN"/>
              </w:rPr>
              <w:t>3</w:t>
            </w:r>
            <w:r>
              <w:rPr>
                <w:rFonts w:hint="eastAsia" w:ascii="仿宋" w:hAnsi="仿宋" w:eastAsia="仿宋" w:cs="仿宋"/>
                <w:b/>
                <w:bCs/>
                <w:color w:val="auto"/>
                <w:kern w:val="0"/>
                <w:sz w:val="24"/>
                <w:szCs w:val="24"/>
                <w:highlight w:val="none"/>
                <w:lang w:eastAsia="zh-CN" w:bidi="ug-CN"/>
              </w:rPr>
              <w:t>.</w:t>
            </w:r>
            <w:r>
              <w:rPr>
                <w:rFonts w:hint="eastAsia" w:ascii="仿宋" w:hAnsi="仿宋" w:eastAsia="仿宋" w:cs="仿宋"/>
                <w:b/>
                <w:bCs/>
                <w:color w:val="auto"/>
                <w:kern w:val="0"/>
                <w:sz w:val="24"/>
                <w:szCs w:val="24"/>
                <w:highlight w:val="none"/>
                <w:lang w:bidi="ug-CN"/>
              </w:rPr>
              <w:t>投标文件中有弄虚作假的内容,其投标文件作废，（如假证书、假业绩、假合同、隐瞒不良行为记录、夸大荣誉、使用非本单位在职员工的相关证件及不符合</w:t>
            </w:r>
            <w:r>
              <w:rPr>
                <w:rFonts w:hint="eastAsia" w:ascii="仿宋" w:hAnsi="仿宋" w:eastAsia="仿宋" w:cs="仿宋"/>
                <w:b/>
                <w:bCs/>
                <w:color w:val="auto"/>
                <w:kern w:val="0"/>
                <w:sz w:val="24"/>
                <w:szCs w:val="24"/>
                <w:highlight w:val="none"/>
                <w:lang w:eastAsia="zh-CN" w:bidi="ug-CN"/>
              </w:rPr>
              <w:t>招标文件</w:t>
            </w:r>
            <w:r>
              <w:rPr>
                <w:rFonts w:hint="eastAsia" w:ascii="仿宋" w:hAnsi="仿宋" w:eastAsia="仿宋" w:cs="仿宋"/>
                <w:b/>
                <w:bCs/>
                <w:color w:val="auto"/>
                <w:kern w:val="0"/>
                <w:sz w:val="24"/>
                <w:szCs w:val="24"/>
                <w:highlight w:val="none"/>
                <w:lang w:bidi="ug-CN"/>
              </w:rPr>
              <w:t>规定的条款等）；在签订合同之前,复查原件,如发现投标人的投标文件有弄虚作假内容,</w:t>
            </w:r>
            <w:r>
              <w:rPr>
                <w:rFonts w:hint="eastAsia" w:ascii="仿宋" w:hAnsi="仿宋" w:eastAsia="仿宋" w:cs="仿宋"/>
                <w:b/>
                <w:bCs/>
                <w:color w:val="auto"/>
                <w:kern w:val="0"/>
                <w:sz w:val="24"/>
                <w:szCs w:val="24"/>
                <w:highlight w:val="none"/>
                <w:lang w:eastAsia="zh-CN" w:bidi="ug-CN"/>
              </w:rPr>
              <w:t>采购人</w:t>
            </w:r>
            <w:r>
              <w:rPr>
                <w:rFonts w:hint="eastAsia" w:ascii="仿宋" w:hAnsi="仿宋" w:eastAsia="仿宋" w:cs="仿宋"/>
                <w:b/>
                <w:bCs/>
                <w:color w:val="auto"/>
                <w:kern w:val="0"/>
                <w:sz w:val="24"/>
                <w:szCs w:val="24"/>
                <w:highlight w:val="none"/>
                <w:lang w:bidi="ug-CN"/>
              </w:rPr>
              <w:t>可拒绝与其签订合同，以上情形将书面上报财政部门，按照《政府采购法》第七十七条规定“列入不良行为记录名单”处理。</w:t>
            </w:r>
          </w:p>
          <w:p>
            <w:pPr>
              <w:pStyle w:val="36"/>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本项目所述时间以政采云平台服务器时间为准。</w:t>
            </w:r>
          </w:p>
          <w:p>
            <w:pPr>
              <w:pStyle w:val="36"/>
              <w:spacing w:line="360" w:lineRule="auto"/>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lang w:eastAsia="zh-CN"/>
              </w:rPr>
              <w:t>.</w:t>
            </w:r>
            <w:r>
              <w:rPr>
                <w:rFonts w:ascii="仿宋" w:hAnsi="仿宋" w:eastAsia="仿宋" w:cs="仿宋"/>
                <w:b/>
                <w:bCs/>
                <w:color w:val="auto"/>
                <w:sz w:val="24"/>
                <w:szCs w:val="24"/>
                <w:highlight w:val="none"/>
              </w:rPr>
              <w:t>若</w:t>
            </w:r>
            <w:r>
              <w:rPr>
                <w:rFonts w:hint="eastAsia" w:ascii="仿宋" w:hAnsi="仿宋" w:eastAsia="仿宋" w:cs="仿宋"/>
                <w:b/>
                <w:bCs/>
                <w:color w:val="auto"/>
                <w:sz w:val="24"/>
                <w:szCs w:val="24"/>
                <w:highlight w:val="none"/>
                <w:lang w:eastAsia="zh-CN"/>
              </w:rPr>
              <w:t>招标文件</w:t>
            </w:r>
            <w:r>
              <w:rPr>
                <w:rFonts w:ascii="仿宋" w:hAnsi="仿宋" w:eastAsia="仿宋" w:cs="仿宋"/>
                <w:b/>
                <w:bCs/>
                <w:color w:val="auto"/>
                <w:sz w:val="24"/>
                <w:szCs w:val="24"/>
                <w:highlight w:val="none"/>
              </w:rPr>
              <w:t>其他部分描述与前附表不一致的</w:t>
            </w:r>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以前附表为准。</w:t>
            </w:r>
          </w:p>
          <w:p>
            <w:pPr>
              <w:pStyle w:val="36"/>
              <w:spacing w:line="360" w:lineRule="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未中标单位在退投标保证金</w:t>
            </w:r>
            <w:r>
              <w:rPr>
                <w:rFonts w:hint="eastAsia" w:ascii="仿宋" w:hAnsi="仿宋" w:eastAsia="仿宋" w:cs="仿宋"/>
                <w:b/>
                <w:bCs/>
                <w:color w:val="auto"/>
                <w:sz w:val="24"/>
                <w:szCs w:val="24"/>
                <w:highlight w:val="none"/>
                <w:lang w:eastAsia="zh-CN"/>
              </w:rPr>
              <w:t>前</w:t>
            </w:r>
            <w:r>
              <w:rPr>
                <w:rFonts w:hint="eastAsia" w:ascii="仿宋" w:hAnsi="仿宋" w:eastAsia="仿宋" w:cs="仿宋"/>
                <w:b/>
                <w:bCs/>
                <w:color w:val="auto"/>
                <w:sz w:val="24"/>
                <w:szCs w:val="24"/>
                <w:highlight w:val="none"/>
              </w:rPr>
              <w:t>须递交纸质投标文件</w:t>
            </w:r>
            <w:r>
              <w:rPr>
                <w:rFonts w:hint="eastAsia" w:ascii="仿宋" w:hAnsi="仿宋" w:eastAsia="仿宋" w:cs="仿宋"/>
                <w:b/>
                <w:bCs/>
                <w:color w:val="auto"/>
                <w:sz w:val="24"/>
                <w:szCs w:val="24"/>
                <w:highlight w:val="none"/>
                <w:lang w:eastAsia="zh-CN"/>
              </w:rPr>
              <w:t>一</w:t>
            </w:r>
            <w:r>
              <w:rPr>
                <w:rFonts w:hint="eastAsia" w:ascii="仿宋" w:hAnsi="仿宋" w:eastAsia="仿宋" w:cs="仿宋"/>
                <w:b/>
                <w:bCs/>
                <w:color w:val="auto"/>
                <w:sz w:val="24"/>
                <w:szCs w:val="24"/>
                <w:highlight w:val="none"/>
              </w:rPr>
              <w:t>份</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胶装及盖章</w:t>
            </w:r>
            <w:r>
              <w:rPr>
                <w:rFonts w:hint="eastAsia" w:ascii="仿宋" w:hAnsi="仿宋" w:eastAsia="仿宋" w:cs="仿宋"/>
                <w:b/>
                <w:bCs/>
                <w:color w:val="auto"/>
                <w:sz w:val="24"/>
                <w:szCs w:val="24"/>
                <w:highlight w:val="none"/>
                <w:lang w:eastAsia="zh-CN"/>
              </w:rPr>
              <w:t>）。</w:t>
            </w:r>
          </w:p>
          <w:p>
            <w:pPr>
              <w:pStyle w:val="36"/>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针对同一项目,不同投标人使用同一计算机制作并生成电子投标文件的视为文件制作机器码（mac地址）一致,不同投标人使用同一投标文件的过程稿制作并生成电子投标文件的视为文件创建标识码一致。上述两种情形,一经发现,视为投标人相互串通投标,将导致投标均被拒绝且按串通投标处理。</w:t>
            </w:r>
          </w:p>
          <w:p>
            <w:pPr>
              <w:pStyle w:val="36"/>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8.本次招标中所称“较大数额罚款”具体适用问题的意见（财库[2022]3 号 ）： 本项目初步评审中所称“重大违法记录”，是指投标人因违法经营受到刑事处罚或者责令停产停业、吊销许可证或者执照、较大数额罚款等行政处罚。所称“较大数额罚款”认定为 200 万元以上的罚款。</w:t>
            </w:r>
          </w:p>
          <w:p>
            <w:pPr>
              <w:pStyle w:val="36"/>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9.安全文明及防疫要求：严格按照国家及行业相关安全标准组织项目实施，并随时接受行业安全检查人员依法实施的监督检查，采取必要的安全防护及防疫措施。由于中标人安全及防疫措施不力造成事故的责任和因此发生的费用，全部由中标人承担。 </w:t>
            </w:r>
          </w:p>
          <w:p>
            <w:pPr>
              <w:pStyle w:val="36"/>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10.投标人负责服务项目过程中的车辆、人员的其他相关费用，包括但不限于车辆保险、人身意外保险等，均由中标人承担，采购人不在支付其他任何费用。</w:t>
            </w:r>
          </w:p>
          <w:p>
            <w:pPr>
              <w:pStyle w:val="36"/>
              <w:spacing w:line="360" w:lineRule="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11.无论何种原因，因投标人在投标文件中提供的相关资料（开标、评标相关数据和资料）模糊无法辨认的，一律视同其未提供。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033" w:type="dxa"/>
            <w:gridSpan w:val="2"/>
            <w:tcBorders>
              <w:top w:val="single" w:color="auto" w:sz="4" w:space="0"/>
              <w:left w:val="single" w:color="auto" w:sz="4" w:space="0"/>
              <w:bottom w:val="single" w:color="auto" w:sz="4" w:space="0"/>
              <w:right w:val="single" w:color="auto" w:sz="4" w:space="0"/>
            </w:tcBorders>
            <w:noWrap w:val="0"/>
            <w:vAlign w:val="center"/>
          </w:tcPr>
          <w:p>
            <w:pPr>
              <w:pStyle w:val="23"/>
              <w:widowControl/>
              <w:numPr>
                <w:ilvl w:val="0"/>
                <w:numId w:val="0"/>
              </w:numPr>
              <w:wordWrap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备注</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3"/>
              <w:widowControl/>
              <w:numPr>
                <w:ilvl w:val="0"/>
                <w:numId w:val="0"/>
              </w:numPr>
              <w:wordWrap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本项目实行网上投标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采用电子投标文件。若</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参与投标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自行承担投标一切费用。</w:t>
            </w:r>
          </w:p>
          <w:p>
            <w:pPr>
              <w:pStyle w:val="23"/>
              <w:widowControl/>
              <w:numPr>
                <w:ilvl w:val="0"/>
                <w:numId w:val="0"/>
              </w:numPr>
              <w:wordWrap w:val="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应在开标前确保成为新疆生产建设兵团政府采购网正式注册入库</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并完成CA数字证书申领。因未注册入库、未办理CA数字证书等原因造成无法投标或投标失败等后果由</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自行承担。有意向参与兵团区域电子开评标的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可访问新疆数字证书认证中心官方网站（https</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//www.xjca.com.cn/）或下载“新疆政务通app自行进行申领。如需咨询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请联系新疆CA服务热线0991-2819290</w:t>
            </w:r>
            <w:r>
              <w:rPr>
                <w:rFonts w:hint="eastAsia" w:ascii="仿宋" w:hAnsi="仿宋" w:eastAsia="仿宋" w:cs="仿宋"/>
                <w:color w:val="auto"/>
                <w:sz w:val="24"/>
                <w:szCs w:val="24"/>
                <w:highlight w:val="none"/>
                <w:lang w:eastAsia="zh-CN"/>
              </w:rPr>
              <w:t>。</w:t>
            </w:r>
          </w:p>
          <w:p>
            <w:pPr>
              <w:pStyle w:val="23"/>
              <w:widowControl/>
              <w:numPr>
                <w:ilvl w:val="0"/>
                <w:numId w:val="0"/>
              </w:numPr>
              <w:wordWrap w:val="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将政采云电子交易客户端下载、安装完成后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可通过账号密码或CA登陆客户端进行投标文件的制作。在使用政采云投标客户端时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建议使用WIN7及以上操作系统。客户端请至兵团政府采购网（https</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//ccqp-binqtuan.gov.cn/）下载专区查看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如有问题可拨打政采云客户服务热线400-881-7190进行咨询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如因</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自身原因导致在规定时间内无法正常解密的（如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浏览器故障、未安装相关驱动、网络故障、加密CA与解密CA不一致等）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视为</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自动放弃投标资格</w:t>
            </w:r>
            <w:r>
              <w:rPr>
                <w:rFonts w:hint="eastAsia" w:ascii="仿宋" w:hAnsi="仿宋" w:eastAsia="仿宋" w:cs="仿宋"/>
                <w:color w:val="auto"/>
                <w:sz w:val="24"/>
                <w:szCs w:val="24"/>
                <w:highlight w:val="none"/>
                <w:lang w:eastAsia="zh-CN"/>
              </w:rPr>
              <w:t>。</w:t>
            </w:r>
          </w:p>
        </w:tc>
      </w:tr>
    </w:tbl>
    <w:p>
      <w:pPr>
        <w:pStyle w:val="23"/>
        <w:spacing w:line="440" w:lineRule="exact"/>
        <w:rPr>
          <w:rFonts w:hint="eastAsia" w:ascii="仿宋" w:hAnsi="仿宋" w:eastAsia="仿宋" w:cs="仿宋"/>
          <w:color w:val="auto"/>
          <w:kern w:val="0"/>
          <w:sz w:val="24"/>
          <w:szCs w:val="22"/>
          <w:highlight w:val="none"/>
        </w:rPr>
      </w:pPr>
      <w:bookmarkStart w:id="33" w:name="EB36ed25c3dca7460dae7bd7f7b470ae8f"/>
      <w:r>
        <w:rPr>
          <w:rFonts w:hint="eastAsia" w:ascii="仿宋" w:hAnsi="仿宋" w:eastAsia="仿宋" w:cs="仿宋"/>
          <w:color w:val="auto"/>
          <w:kern w:val="0"/>
          <w:sz w:val="20"/>
          <w:szCs w:val="22"/>
          <w:highlight w:val="none"/>
        </w:rPr>
        <w:t xml:space="preserve"> </w:t>
      </w:r>
      <w:bookmarkEnd w:id="33"/>
    </w:p>
    <w:p>
      <w:pPr>
        <w:pStyle w:val="23"/>
        <w:jc w:val="center"/>
        <w:outlineLvl w:val="9"/>
        <w:rPr>
          <w:rFonts w:hint="eastAsia" w:ascii="仿宋" w:hAnsi="仿宋" w:eastAsia="仿宋" w:cs="仿宋"/>
          <w:b/>
          <w:color w:val="auto"/>
          <w:szCs w:val="28"/>
          <w:highlight w:val="none"/>
        </w:rPr>
      </w:pPr>
      <w:r>
        <w:rPr>
          <w:rFonts w:hint="eastAsia" w:ascii="仿宋" w:hAnsi="仿宋" w:eastAsia="仿宋" w:cs="仿宋"/>
          <w:color w:val="auto"/>
          <w:sz w:val="21"/>
          <w:szCs w:val="22"/>
          <w:highlight w:val="none"/>
        </w:rPr>
        <w:br w:type="page"/>
      </w:r>
      <w:bookmarkStart w:id="34" w:name="EB11a03e6dfb6b43ec90cf33ea8d426078"/>
      <w:r>
        <w:rPr>
          <w:rFonts w:hint="eastAsia" w:ascii="仿宋" w:hAnsi="仿宋" w:eastAsia="仿宋" w:cs="仿宋"/>
          <w:color w:val="auto"/>
          <w:sz w:val="20"/>
          <w:szCs w:val="22"/>
          <w:highlight w:val="none"/>
        </w:rPr>
        <w:t xml:space="preserve"> </w:t>
      </w:r>
      <w:bookmarkEnd w:id="34"/>
      <w:bookmarkStart w:id="35" w:name="_Toc256000003"/>
      <w:r>
        <w:rPr>
          <w:rFonts w:hint="eastAsia" w:ascii="仿宋" w:hAnsi="仿宋" w:eastAsia="仿宋" w:cs="仿宋"/>
          <w:b/>
          <w:color w:val="auto"/>
          <w:szCs w:val="28"/>
          <w:highlight w:val="none"/>
        </w:rPr>
        <w:t>投标人须知正文部分</w:t>
      </w:r>
      <w:bookmarkEnd w:id="35"/>
    </w:p>
    <w:p>
      <w:pPr>
        <w:pStyle w:val="23"/>
        <w:keepNext/>
        <w:keepLines/>
        <w:adjustRightInd w:val="0"/>
        <w:spacing w:line="360" w:lineRule="auto"/>
        <w:outlineLvl w:val="9"/>
        <w:rPr>
          <w:rFonts w:hint="eastAsia" w:ascii="仿宋" w:hAnsi="仿宋" w:eastAsia="仿宋" w:cs="仿宋"/>
          <w:b/>
          <w:bCs/>
          <w:color w:val="auto"/>
          <w:kern w:val="0"/>
          <w:sz w:val="24"/>
          <w:highlight w:val="none"/>
        </w:rPr>
      </w:pPr>
      <w:bookmarkStart w:id="36" w:name="_Toc256000004"/>
      <w:bookmarkStart w:id="37" w:name="_Toc10636"/>
      <w:r>
        <w:rPr>
          <w:rFonts w:hint="eastAsia" w:ascii="仿宋" w:hAnsi="仿宋" w:eastAsia="仿宋" w:cs="仿宋"/>
          <w:b/>
          <w:bCs/>
          <w:color w:val="auto"/>
          <w:kern w:val="0"/>
          <w:sz w:val="24"/>
          <w:highlight w:val="none"/>
        </w:rPr>
        <w:t>一、总则</w:t>
      </w:r>
      <w:bookmarkEnd w:id="36"/>
      <w:bookmarkEnd w:id="37"/>
    </w:p>
    <w:p>
      <w:pPr>
        <w:pStyle w:val="23"/>
        <w:spacing w:line="360" w:lineRule="auto"/>
        <w:outlineLvl w:val="9"/>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1.说明</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1.1 本招标文件适用于本次招标采购项目的招标投标。</w:t>
      </w:r>
    </w:p>
    <w:p>
      <w:pPr>
        <w:pStyle w:val="23"/>
        <w:spacing w:line="360" w:lineRule="auto"/>
        <w:outlineLvl w:val="9"/>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2.定义</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2.1 “采购人”名称见本招标文件第二部分“投标人须知前附表”。</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2.2 “采购代理机构”名称见本招标文件第二部分“投标人须知前附表”。</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2.3 “服务”指招标文件第三部分所述投标人应该履行的承诺和义务。</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2.4 “潜在投标人”指符合招标文件各项规定的</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2.5 “投标人”指符合招标文件规定并参加投标的</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2.6 “投标人公章”在投标文件中指与投标人标准公章一致的投标人电子签章。</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2.7 “电子投标文件”指利用政采云平台提供的“电子投标文件制作工具”编制加密和未加密的投标文件。</w:t>
      </w:r>
    </w:p>
    <w:p>
      <w:pPr>
        <w:pStyle w:val="23"/>
        <w:spacing w:line="360" w:lineRule="auto"/>
        <w:outlineLvl w:val="9"/>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3.合格投标人的条件</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3.1 具有本项目实施能力，符合、承认并承诺履行本文件各项规定的国内法人、其他组织或自然人均可参加投标。</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3.2 遵守有关的国家法律、法规和条例，具备《中华人民共和国政府采购法》和本文件中规定的条件：</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 xml:space="preserve">1)具有独立承担民事责任的能力； </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2)具有良好的商业信誉和健全的财务会计制度；</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3)具有履行合同所必需的设备和专业技术能力；</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4)具有依法缴纳税收和社会保障资金的良好记录；</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5)参加政府采购活动前三年内，在经营活动中没有重大违法记录；</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6)法律、行政法规规定的其他条件；</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7)具有本招标文件第二部分“投标人须知前附表”中规定的资格条件。</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3.3 投标人之间如果存在下列情形之一的，不得同时参加同一包（标段）或者不分包（标段）的同一项目投标：</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3.3.1 法定代表人为同一个人的两个及两个以上法人；</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3.3.2 母公司、全资子公司及其控股公司；</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3.3.3 参加投标的其他组织之间存在特殊的利害关系的；</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3.3.4 法律和行政法规规定的其他情形。</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3.4 投标人在政采云平台内针对本项目报名并下载了</w:t>
      </w:r>
      <w:r>
        <w:rPr>
          <w:rFonts w:hint="eastAsia" w:ascii="仿宋" w:hAnsi="仿宋" w:eastAsia="仿宋" w:cs="仿宋"/>
          <w:color w:val="auto"/>
          <w:kern w:val="0"/>
          <w:sz w:val="24"/>
          <w:szCs w:val="22"/>
          <w:highlight w:val="none"/>
        </w:rPr>
        <w:t>电子</w:t>
      </w:r>
      <w:r>
        <w:rPr>
          <w:rFonts w:hint="eastAsia" w:ascii="仿宋" w:hAnsi="仿宋" w:eastAsia="仿宋" w:cs="仿宋"/>
          <w:color w:val="auto"/>
          <w:kern w:val="0"/>
          <w:sz w:val="24"/>
          <w:szCs w:val="22"/>
          <w:highlight w:val="none"/>
          <w:lang w:eastAsia="zh-CN"/>
        </w:rPr>
        <w:t>招标文件</w:t>
      </w:r>
      <w:r>
        <w:rPr>
          <w:rFonts w:hint="eastAsia" w:ascii="仿宋" w:hAnsi="仿宋" w:eastAsia="仿宋" w:cs="仿宋"/>
          <w:color w:val="auto"/>
          <w:sz w:val="24"/>
          <w:szCs w:val="22"/>
          <w:highlight w:val="none"/>
        </w:rPr>
        <w:t>。</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3.5 投标人按时足额交纳投标保证金。</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3.6 本次招标是否允许由两个以上投标人组成一个联合体以一个投标人身份共同投标，按照招标文件第二部分“投标人须知前附表”中的规定。如果允许，除均应符合上述规定外，还应符合下列要求：</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联合投标体应提供“联合投标协议书”，该协议书对联合投标各方均具有法律约束力。联合投标体必须确定其中一方为投标的全权代表参加投标活动，并承担投标及履约活动中的全部责任与义务，且联合体各方无论是否实际参加、发生的情形怎样，一旦该联合体实际开始投标，联合体各方均应当就本次采购所引起或相关的任何或所有事项、义务、责任、损失等承担连带责任。申请参与本项目联合投标成员各自均应具备政府有权机构核发的有效营业执照；均应是自主经营、独立核算、处于持续正常经营状态的经济实体。</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2）联合体各方中至少应当有一方对应满足本项目规定的相应资质条件，并且联合体投标人整体应当符合本项目的资质要求，否则，其提交的联合投标将被拒绝。</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3）由不同专业的投标人组成的联合体, 首先以投标的全权代表方的应答材料作为认定资质以及商务评审的依据；涉及行业专属的资质,按照所属行业所对应的投标人的应答材料确定。</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4）联合体中标后，合同应由各成员的合法授权代表签字并加盖各成员公章，以便对联合体成员作为整体和他们各自作为独立体均具有法律约束力，但若该等签字或公章不齐全或缺乏，该联合体的牵头人的签署或类似的意思表示人具有代表该联合体的签署或意思表示的法律效力，并且据此各成员为履行合同应向采购代理机构与采购人承担连带责任。</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5）联合体或其成员不得将其在合同项下的权利或义务全部或部分转让给第三人，有关分包事项或服务委托等须事先取得采购代理机构书面同意并且须遵守相关法律、法规、本次招标的全部相关规定。</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6）联合体各方均不得同时再以自己独立的名义单独投标，也不得再同时参加其他的联合体投标。若该等情形被发现，其单独的投标和与此有关的联合体的投标均将被一并拒绝。</w:t>
      </w:r>
    </w:p>
    <w:p>
      <w:pPr>
        <w:pStyle w:val="23"/>
        <w:tabs>
          <w:tab w:val="left" w:pos="1146"/>
        </w:tabs>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3.7 投标人不得与采购人、采购代理机构等有利害关系。</w:t>
      </w:r>
    </w:p>
    <w:p>
      <w:pPr>
        <w:pStyle w:val="23"/>
        <w:spacing w:line="360" w:lineRule="auto"/>
        <w:outlineLvl w:val="9"/>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4.投标费用</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4.1 投标人应承担所有与准备和参加投标有关的费用。</w:t>
      </w:r>
    </w:p>
    <w:p>
      <w:pPr>
        <w:pStyle w:val="23"/>
        <w:spacing w:line="360" w:lineRule="auto"/>
        <w:outlineLvl w:val="9"/>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5.纪律</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5.1 投标人的投标行为应遵守中国的有关法律、法规和规章。</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5.2 投标人不得相互串通投标报价，不得妨碍其他投标人的公平竞争，不得损害采购人或其他投标人的合法权益，投标人不得以向采购人、评标委员会成员行贿或者采取其他不正当手段谋取中标。</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5.2.1 有下列情形之一的，属于投标人相互串通投标：</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5.2.1.1 投标人之间协商投标报价等投标文件的实质性内容；</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5.2.1.2 投标人之间约定中标人；</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5.2.1.3 投标人之间约定部分投标人放弃投标或者中标；</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5.2.1.4 属于同一集团、协会、商会等组织成员的投标人按照该组织要求协同投标；</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5.2.1.5 投标人之间为谋取中标或者排斥特定投标人而采取的其他联合行动。</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5.2.2 有下列情形之一的，视为投标人相互串通投标：</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5.2.2.1 不同投标人的投标文件由同一单位或者个人编制；</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5.2.2.2 不同投标人委托同一单位或者个人办理投标事宜，或制作电子投标文件的文件制作机器码（mac地址）一致，或制作电子投标文件的文件创建标识码一致；</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5.2.2.3 不同投标人的投标文件载明的项目管理成员为同一人；</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5.2.2.4 不同投标人的投标文件异常一致或者投标报价呈规律性差异；</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5.2.2.5 不同投标人的投标文件相互混装；</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5.2.2.6 不同投标人的投标保证金从同一单位或者个人的账户转出。</w:t>
      </w:r>
    </w:p>
    <w:p>
      <w:pPr>
        <w:pStyle w:val="23"/>
        <w:spacing w:line="360" w:lineRule="auto"/>
        <w:outlineLvl w:val="9"/>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6.通知</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6.1 对与本项目有关的通知，采购代理机构将通过政采云平台发布通知及/或答疑文件的形式，向潜在投标人发出。潜在投标人如未及时查看造成严重后果，采购代理机构不因此承担任何责任，有关的招标活动可以继续有效地进行。</w:t>
      </w:r>
    </w:p>
    <w:p>
      <w:pPr>
        <w:pStyle w:val="23"/>
        <w:outlineLvl w:val="9"/>
        <w:rPr>
          <w:rFonts w:hint="eastAsia" w:ascii="仿宋" w:hAnsi="仿宋" w:eastAsia="仿宋" w:cs="仿宋"/>
          <w:color w:val="auto"/>
          <w:sz w:val="21"/>
          <w:szCs w:val="22"/>
          <w:highlight w:val="none"/>
        </w:rPr>
      </w:pPr>
      <w:bookmarkStart w:id="38" w:name="EBb7ad169f5dca4521a3bb59218ea160eb"/>
      <w:r>
        <w:rPr>
          <w:rFonts w:hint="eastAsia" w:ascii="仿宋" w:hAnsi="仿宋" w:eastAsia="仿宋" w:cs="仿宋"/>
          <w:color w:val="auto"/>
          <w:sz w:val="20"/>
          <w:szCs w:val="22"/>
          <w:highlight w:val="none"/>
        </w:rPr>
        <w:t xml:space="preserve"> </w:t>
      </w:r>
      <w:bookmarkEnd w:id="38"/>
      <w:bookmarkStart w:id="39" w:name="EB5329076af7ef4078a7e06f9b6702af2d"/>
      <w:r>
        <w:rPr>
          <w:rFonts w:hint="eastAsia" w:ascii="仿宋" w:hAnsi="仿宋" w:eastAsia="仿宋" w:cs="仿宋"/>
          <w:color w:val="auto"/>
          <w:sz w:val="20"/>
          <w:szCs w:val="22"/>
          <w:highlight w:val="none"/>
        </w:rPr>
        <w:t xml:space="preserve"> </w:t>
      </w:r>
      <w:bookmarkEnd w:id="39"/>
      <w:bookmarkStart w:id="40" w:name="EBdd610f0d907f425faf59ac376a8bd170"/>
      <w:r>
        <w:rPr>
          <w:rFonts w:hint="eastAsia" w:ascii="仿宋" w:hAnsi="仿宋" w:eastAsia="仿宋" w:cs="仿宋"/>
          <w:color w:val="auto"/>
          <w:sz w:val="20"/>
          <w:szCs w:val="22"/>
          <w:highlight w:val="none"/>
        </w:rPr>
        <w:t xml:space="preserve"> </w:t>
      </w:r>
      <w:bookmarkEnd w:id="40"/>
    </w:p>
    <w:p>
      <w:pPr>
        <w:pStyle w:val="23"/>
        <w:keepNext/>
        <w:keepLines/>
        <w:adjustRightInd w:val="0"/>
        <w:spacing w:line="360" w:lineRule="auto"/>
        <w:outlineLvl w:val="9"/>
        <w:rPr>
          <w:rFonts w:hint="eastAsia" w:ascii="仿宋" w:hAnsi="仿宋" w:eastAsia="仿宋" w:cs="仿宋"/>
          <w:b/>
          <w:bCs/>
          <w:color w:val="auto"/>
          <w:kern w:val="0"/>
          <w:sz w:val="24"/>
          <w:highlight w:val="none"/>
        </w:rPr>
      </w:pPr>
      <w:bookmarkStart w:id="41" w:name="_Toc256000005"/>
      <w:bookmarkStart w:id="42" w:name="_Toc21936"/>
      <w:r>
        <w:rPr>
          <w:rFonts w:hint="eastAsia" w:ascii="仿宋" w:hAnsi="仿宋" w:eastAsia="仿宋" w:cs="仿宋"/>
          <w:b/>
          <w:bCs/>
          <w:color w:val="auto"/>
          <w:kern w:val="0"/>
          <w:sz w:val="24"/>
          <w:highlight w:val="none"/>
        </w:rPr>
        <w:t>二、招标文件</w:t>
      </w:r>
      <w:bookmarkEnd w:id="41"/>
      <w:bookmarkEnd w:id="42"/>
    </w:p>
    <w:p>
      <w:pPr>
        <w:pStyle w:val="23"/>
        <w:spacing w:line="360" w:lineRule="auto"/>
        <w:outlineLvl w:val="9"/>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7.招标文件组成</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7.1 招标文件由招标文件目录所列内容组成。</w:t>
      </w:r>
    </w:p>
    <w:p>
      <w:pPr>
        <w:pStyle w:val="23"/>
        <w:spacing w:line="360" w:lineRule="auto"/>
        <w:outlineLvl w:val="9"/>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8.踏勘现场</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8.1 本项目是否统一组织投标人踏勘现场见招标文件第二部分“投标人须知前附表”中的规定。无论是否统一组织，投标人应对供货现场和周围环境进行勘察，以获取编制投标文件所需的资料。</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8.2 踏勘现场所发生的费用由投标人自行承担。采购人向投标人提供的有关供货现场的资料和数据，是采购人现有的能使投标人利用的资料。采购人对投标人由此而做出的推论、理解和结论概不负责。投标人未到供货现场实地踏勘的，中标后签订合同时和履约过程中，不得以不完全了解现场情况为由，提出任何形式的增加合同价款或索赔的要求。</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8.3 除非有特殊要求，招标文件不单独提供供货使用地的自然环境、气候条件、公用设施等情况，投标人被视为熟悉上述与履行合同有关的一切情况。</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8.4 除采购人原因外，投标人自行负责在踏勘现场中所发生的人员伤亡和财产损失。</w:t>
      </w:r>
    </w:p>
    <w:p>
      <w:pPr>
        <w:pStyle w:val="23"/>
        <w:spacing w:line="360" w:lineRule="auto"/>
        <w:outlineLvl w:val="9"/>
        <w:rPr>
          <w:rFonts w:hint="eastAsia" w:ascii="仿宋" w:hAnsi="仿宋" w:eastAsia="仿宋" w:cs="仿宋"/>
          <w:bCs/>
          <w:color w:val="auto"/>
          <w:sz w:val="24"/>
          <w:szCs w:val="22"/>
          <w:highlight w:val="none"/>
        </w:rPr>
      </w:pPr>
      <w:r>
        <w:rPr>
          <w:rFonts w:hint="eastAsia" w:ascii="仿宋" w:hAnsi="仿宋" w:eastAsia="仿宋" w:cs="仿宋"/>
          <w:b/>
          <w:color w:val="auto"/>
          <w:sz w:val="24"/>
          <w:szCs w:val="22"/>
          <w:highlight w:val="none"/>
        </w:rPr>
        <w:t>9.知识产权</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9.1 投标人须保证，采购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如因此导致采购人损失的，投标人须承担全部赔偿责任。</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9.2 投标人如欲在项目实施过程中采用自有知识成果，须在投标文件中声明，并提供相关知识产权证明文件。使用该知识成果后，投标人须提供开发接口和开发手册等技术文档。</w:t>
      </w:r>
    </w:p>
    <w:p>
      <w:pPr>
        <w:pStyle w:val="23"/>
        <w:spacing w:line="360" w:lineRule="auto"/>
        <w:outlineLvl w:val="9"/>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10.答疑及招标文件的澄清和修改</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10.1 投标人如果对招标文件有疑问或要求进行澄清的，应按照招标文件第二部分“投标人须知前附表”</w:t>
      </w:r>
      <w:r>
        <w:rPr>
          <w:rFonts w:hint="eastAsia" w:ascii="仿宋" w:hAnsi="仿宋" w:eastAsia="仿宋" w:cs="仿宋"/>
          <w:color w:val="auto"/>
          <w:sz w:val="24"/>
          <w:szCs w:val="22"/>
          <w:highlight w:val="none"/>
          <w:lang w:val="en-US" w:eastAsia="zh-CN"/>
        </w:rPr>
        <w:t>中的</w:t>
      </w:r>
      <w:r>
        <w:rPr>
          <w:rFonts w:hint="eastAsia" w:ascii="仿宋" w:hAnsi="仿宋" w:eastAsia="仿宋" w:cs="仿宋"/>
          <w:color w:val="auto"/>
          <w:sz w:val="24"/>
          <w:szCs w:val="22"/>
          <w:highlight w:val="none"/>
        </w:rPr>
        <w:t>规定向采购代理机构提出。提出后，请投标人及时通过兵团政采云平台查看答疑文件或澄清文件。必要时，采购代理机构将组织相关专家召开答疑会，如召开，答疑会安排另行通知。</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投标人在规定的时间内未对招标文件提出疑问或要求澄清的，采购代理机构将视其为同意，对在“答疑接受时间”后就招标文件内容提出的疑问及澄清要求将不予受理。</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10.2 无论出于何种原因，采购代理机构主动或出于解答投标人疑问对已发出的招标文件进行必要澄清或修改的，应当在招标文件要求提交投标文件截止时间15日前，以当面交接、邮寄、传真或电子邮件、网站披露等其中至少一种方式，向潜在投标人发出澄清、修改的补充文件。需要为此调整投标文件提交截止时间的，应当重新确定，并就变更后的投标截止时间重新发出通知。</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特殊情况下，采购代理机构发布澄清、修改文件后，征得投标人同意，可不改变投标截止时间和开标时间。</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10.3 采购代理机构一旦对招标文件作出了澄清、修改，即刻发生效力，采购代理机构有关的补充文件，将作为招标文件的组成部分，对所有现实的或潜在的投标人均具有约束力，而无论是否已经实际收到上述文件。同时，采购代理机构和投标人的权利及义务将受到新的截止期的约束。</w:t>
      </w:r>
    </w:p>
    <w:p>
      <w:pPr>
        <w:pStyle w:val="23"/>
        <w:spacing w:line="360" w:lineRule="auto"/>
        <w:ind w:firstLine="480" w:firstLineChars="200"/>
        <w:outlineLvl w:val="9"/>
        <w:rPr>
          <w:rFonts w:hint="eastAsia" w:ascii="仿宋" w:hAnsi="仿宋" w:eastAsia="仿宋" w:cs="仿宋"/>
          <w:b/>
          <w:color w:val="auto"/>
          <w:sz w:val="24"/>
          <w:szCs w:val="22"/>
          <w:highlight w:val="none"/>
        </w:rPr>
      </w:pPr>
      <w:r>
        <w:rPr>
          <w:rFonts w:hint="eastAsia" w:ascii="仿宋" w:hAnsi="仿宋" w:eastAsia="仿宋" w:cs="仿宋"/>
          <w:color w:val="auto"/>
          <w:sz w:val="24"/>
          <w:szCs w:val="22"/>
          <w:highlight w:val="none"/>
        </w:rPr>
        <w:t>10.4 采购代理机构对招标文件作出的澄清、修改在政采云平台内进行披露，请投标人及时关注并获取相关资料。因登记有误、线路故障或其它任何意外情形，导致投标人未及时获取的，采购代理机构不因此承担任何责任，且有关的招标活动继续有效地进行。当招标文件的澄清、修改及进行其他答复等就同一内容的表述不一致时，以最后发布的内容为准。</w:t>
      </w:r>
    </w:p>
    <w:p>
      <w:pPr>
        <w:pStyle w:val="23"/>
        <w:spacing w:line="360" w:lineRule="auto"/>
        <w:ind w:firstLine="480" w:firstLineChars="200"/>
        <w:outlineLvl w:val="9"/>
        <w:rPr>
          <w:rFonts w:hint="eastAsia" w:ascii="仿宋" w:hAnsi="仿宋" w:eastAsia="仿宋" w:cs="仿宋"/>
          <w:bCs/>
          <w:color w:val="auto"/>
          <w:sz w:val="24"/>
          <w:szCs w:val="22"/>
          <w:highlight w:val="none"/>
        </w:rPr>
      </w:pPr>
      <w:r>
        <w:rPr>
          <w:rFonts w:hint="eastAsia" w:ascii="仿宋" w:hAnsi="仿宋" w:eastAsia="仿宋" w:cs="仿宋"/>
          <w:bCs/>
          <w:color w:val="auto"/>
          <w:sz w:val="24"/>
          <w:szCs w:val="22"/>
          <w:highlight w:val="none"/>
        </w:rPr>
        <w:t>上述澄清、修改在</w:t>
      </w:r>
      <w:r>
        <w:rPr>
          <w:rFonts w:hint="eastAsia" w:ascii="仿宋" w:hAnsi="仿宋" w:eastAsia="仿宋" w:cs="仿宋"/>
          <w:color w:val="auto"/>
          <w:sz w:val="24"/>
          <w:szCs w:val="22"/>
          <w:highlight w:val="none"/>
        </w:rPr>
        <w:t>政采云</w:t>
      </w:r>
      <w:r>
        <w:rPr>
          <w:rFonts w:hint="eastAsia" w:ascii="仿宋" w:hAnsi="仿宋" w:eastAsia="仿宋" w:cs="仿宋"/>
          <w:bCs/>
          <w:color w:val="auto"/>
          <w:sz w:val="24"/>
          <w:szCs w:val="22"/>
          <w:highlight w:val="none"/>
        </w:rPr>
        <w:t>平台上发布的同时，</w:t>
      </w:r>
      <w:r>
        <w:rPr>
          <w:rFonts w:hint="eastAsia" w:ascii="仿宋" w:hAnsi="仿宋" w:eastAsia="仿宋" w:cs="仿宋"/>
          <w:color w:val="auto"/>
          <w:sz w:val="24"/>
          <w:szCs w:val="22"/>
          <w:highlight w:val="none"/>
        </w:rPr>
        <w:t>政采云</w:t>
      </w:r>
      <w:r>
        <w:rPr>
          <w:rFonts w:hint="eastAsia" w:ascii="仿宋" w:hAnsi="仿宋" w:eastAsia="仿宋" w:cs="仿宋"/>
          <w:bCs/>
          <w:color w:val="auto"/>
          <w:sz w:val="24"/>
          <w:szCs w:val="22"/>
          <w:highlight w:val="none"/>
        </w:rPr>
        <w:t>平台将通过第三方短信群发方式提醒投标人进行查询。此短信仅系友情提示，并不具有任何约束性和必要性，采购代理机构不承担投标人未收到短信而引起的一切后果和法律责任。</w:t>
      </w:r>
    </w:p>
    <w:p>
      <w:pPr>
        <w:pStyle w:val="23"/>
        <w:spacing w:line="360" w:lineRule="auto"/>
        <w:ind w:firstLine="480" w:firstLineChars="200"/>
        <w:outlineLvl w:val="9"/>
        <w:rPr>
          <w:rFonts w:hint="eastAsia" w:ascii="仿宋" w:hAnsi="仿宋" w:eastAsia="仿宋" w:cs="仿宋"/>
          <w:bCs/>
          <w:color w:val="auto"/>
          <w:sz w:val="24"/>
          <w:szCs w:val="22"/>
          <w:highlight w:val="none"/>
        </w:rPr>
      </w:pPr>
      <w:r>
        <w:rPr>
          <w:rFonts w:hint="eastAsia" w:ascii="仿宋" w:hAnsi="仿宋" w:eastAsia="仿宋" w:cs="仿宋"/>
          <w:bCs/>
          <w:color w:val="auto"/>
          <w:sz w:val="24"/>
          <w:szCs w:val="22"/>
          <w:highlight w:val="none"/>
        </w:rPr>
        <w:t>10.5 澄清、修改文件发出后，投标人必须使用最新的答疑、澄清文件制作电子投标文件，否则将无法完成上传。</w:t>
      </w:r>
    </w:p>
    <w:p>
      <w:pPr>
        <w:pStyle w:val="23"/>
        <w:outlineLvl w:val="9"/>
        <w:rPr>
          <w:rFonts w:hint="eastAsia" w:ascii="仿宋" w:hAnsi="仿宋" w:eastAsia="仿宋" w:cs="仿宋"/>
          <w:color w:val="auto"/>
          <w:sz w:val="21"/>
          <w:szCs w:val="22"/>
          <w:highlight w:val="none"/>
        </w:rPr>
      </w:pPr>
      <w:bookmarkStart w:id="43" w:name="EBac939afec8874e7f8a3f1c1c91ecd53a"/>
      <w:r>
        <w:rPr>
          <w:rFonts w:hint="eastAsia" w:ascii="仿宋" w:hAnsi="仿宋" w:eastAsia="仿宋" w:cs="仿宋"/>
          <w:color w:val="auto"/>
          <w:sz w:val="20"/>
          <w:szCs w:val="22"/>
          <w:highlight w:val="none"/>
        </w:rPr>
        <w:t xml:space="preserve"> </w:t>
      </w:r>
      <w:bookmarkEnd w:id="43"/>
      <w:bookmarkStart w:id="44" w:name="EB9e0c2cece2d5471cad5c8aca4f2715bc"/>
      <w:r>
        <w:rPr>
          <w:rFonts w:hint="eastAsia" w:ascii="仿宋" w:hAnsi="仿宋" w:eastAsia="仿宋" w:cs="仿宋"/>
          <w:color w:val="auto"/>
          <w:sz w:val="20"/>
          <w:szCs w:val="22"/>
          <w:highlight w:val="none"/>
        </w:rPr>
        <w:t xml:space="preserve"> </w:t>
      </w:r>
      <w:bookmarkEnd w:id="44"/>
      <w:bookmarkStart w:id="45" w:name="EBbaf56f3c512d410ca402b14f6cef0c32"/>
      <w:r>
        <w:rPr>
          <w:rFonts w:hint="eastAsia" w:ascii="仿宋" w:hAnsi="仿宋" w:eastAsia="仿宋" w:cs="仿宋"/>
          <w:color w:val="auto"/>
          <w:sz w:val="20"/>
          <w:szCs w:val="22"/>
          <w:highlight w:val="none"/>
        </w:rPr>
        <w:t xml:space="preserve"> </w:t>
      </w:r>
      <w:bookmarkEnd w:id="45"/>
    </w:p>
    <w:p>
      <w:pPr>
        <w:pStyle w:val="23"/>
        <w:keepNext/>
        <w:keepLines/>
        <w:adjustRightInd w:val="0"/>
        <w:spacing w:line="360" w:lineRule="auto"/>
        <w:outlineLvl w:val="9"/>
        <w:rPr>
          <w:rFonts w:hint="eastAsia" w:ascii="仿宋" w:hAnsi="仿宋" w:eastAsia="仿宋" w:cs="仿宋"/>
          <w:b/>
          <w:bCs/>
          <w:color w:val="auto"/>
          <w:kern w:val="0"/>
          <w:sz w:val="24"/>
          <w:szCs w:val="32"/>
          <w:highlight w:val="none"/>
        </w:rPr>
      </w:pPr>
      <w:bookmarkStart w:id="46" w:name="_Toc256000006"/>
      <w:bookmarkStart w:id="47" w:name="_Toc19648"/>
      <w:r>
        <w:rPr>
          <w:rFonts w:hint="eastAsia" w:ascii="仿宋" w:hAnsi="仿宋" w:eastAsia="仿宋" w:cs="仿宋"/>
          <w:b/>
          <w:bCs/>
          <w:color w:val="auto"/>
          <w:kern w:val="0"/>
          <w:sz w:val="24"/>
          <w:szCs w:val="32"/>
          <w:highlight w:val="none"/>
        </w:rPr>
        <w:t>三、投标文件</w:t>
      </w:r>
      <w:bookmarkEnd w:id="46"/>
      <w:bookmarkEnd w:id="47"/>
    </w:p>
    <w:p>
      <w:pPr>
        <w:pStyle w:val="23"/>
        <w:spacing w:line="360" w:lineRule="auto"/>
        <w:outlineLvl w:val="9"/>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11.投标文件的语言及计量单位</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11.1 投标人提交的投标文件（包括技术文件和资料、图纸中的说明）以及投标人与采购代理机构就有关投标的所有来往函电均应使用中文简体字。</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11.2 原版为外文的证书类文件，以及由外国人作出的本人签名、外国公司的名称或外国印章等可以是外文，但应当提供中文翻译文件并加盖投标人公章。必要时评标委员会可以要求投标人提供附有公证书的中文翻译文件或者与原版文件签章相一致的中文翻译文件。原版为外文的证书类、证明类文件，与投标人名称或其他实际情况不符的，投标人应当提供相关证明文件。</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11.3 除非招标文件另有规定，投标文件所使用的计量单位，应使用国家法定计量单位。</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11.4 对违反上述规定情形的，评标委员会有权要求投标人限期提供相应文件或决定对其投标予以拒绝。</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11.5 电报、电话、传真形式的投标概不接受。投标人的投标文件一律不予退还。</w:t>
      </w:r>
    </w:p>
    <w:p>
      <w:pPr>
        <w:pStyle w:val="23"/>
        <w:spacing w:line="360" w:lineRule="auto"/>
        <w:outlineLvl w:val="9"/>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12.投标文件组成及编制</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12.1 投标文件分为资格审查资料、商务文件、技术文件、服务文件。</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商务文件指投标人提交的证明其有资格参加投标和中标后有能力履行合同的文件。技术和服务文件指投标人提交的能够证明其提供的货物及服务符合招标文件规定的文件。本次招标，投标人须按招标文件第二部分“投标人须知前附表”中</w:t>
      </w:r>
      <w:r>
        <w:rPr>
          <w:rFonts w:hint="eastAsia" w:ascii="仿宋" w:hAnsi="仿宋" w:eastAsia="仿宋" w:cs="仿宋"/>
          <w:color w:val="auto"/>
          <w:sz w:val="24"/>
          <w:szCs w:val="22"/>
          <w:highlight w:val="none"/>
          <w:lang w:val="en-US" w:eastAsia="zh-CN"/>
        </w:rPr>
        <w:t>的</w:t>
      </w:r>
      <w:r>
        <w:rPr>
          <w:rFonts w:hint="eastAsia" w:ascii="仿宋" w:hAnsi="仿宋" w:eastAsia="仿宋" w:cs="仿宋"/>
          <w:color w:val="auto"/>
          <w:sz w:val="24"/>
          <w:szCs w:val="22"/>
          <w:highlight w:val="none"/>
        </w:rPr>
        <w:t>规定提交资格审查资料、商务文件、技术文件和服务文件，其中加</w:t>
      </w: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rPr>
        <w:t>项目若有缺失或无效，将导致投标被拒绝且不允许在开标后补正。</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12.2 投标人递交的投标文件及相关要求按照招标文件第二部分“投标人须知前附表”中</w:t>
      </w:r>
      <w:r>
        <w:rPr>
          <w:rFonts w:hint="eastAsia" w:ascii="仿宋" w:hAnsi="仿宋" w:eastAsia="仿宋" w:cs="仿宋"/>
          <w:color w:val="auto"/>
          <w:sz w:val="24"/>
          <w:szCs w:val="22"/>
          <w:highlight w:val="none"/>
          <w:lang w:val="en-US" w:eastAsia="zh-CN"/>
        </w:rPr>
        <w:t>的</w:t>
      </w:r>
      <w:r>
        <w:rPr>
          <w:rFonts w:hint="eastAsia" w:ascii="仿宋" w:hAnsi="仿宋" w:eastAsia="仿宋" w:cs="仿宋"/>
          <w:color w:val="auto"/>
          <w:sz w:val="24"/>
          <w:szCs w:val="22"/>
          <w:highlight w:val="none"/>
        </w:rPr>
        <w:t>规定。</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12.2.1 电子投标文件的编制</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12.2.1.1 电子投标文件使用兵团政采云提供的投标文件制作工具以及招标文件要求进行制作编制。投标文件制作时，不同内容按标签提示制作导入，按照招标文件中明确的投标文件目录和格式进行编制，保证目录清晰、内容完整。</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12.2.1.2 电子投标文件须使用投标人公章的电子签章以及法定代表人的电子签章。若无电子签章，则视为无效投标。</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12.2.1.3 电子招投标文件具有法律效力，与其他形式的招投标文件在内容和格式上等同，若投标文件与招标文件要求不一致，其内容影响中标结果时，责任由投标人自行承担。投标人递交的电子投标文件因投标人自身原因而导致无法导入电子辅助评标系统，该投标文件视为无效投标文件，将导致其投标被拒绝。</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 xml:space="preserve">12.2.1.4 电子投标文件制作工具在生成加密投标文件时，同时生成非加密投标文件一份。未加密的电子投标文件由投标人使用光盘制作（投标人须保证启用光盘时能正常读取）。 </w:t>
      </w:r>
    </w:p>
    <w:p>
      <w:pPr>
        <w:pStyle w:val="23"/>
        <w:spacing w:line="360" w:lineRule="auto"/>
        <w:outlineLvl w:val="9"/>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13.投标报价</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13.1 所有投标报价均以人民币元为计算单位。只要投报了一个确定数额的总价，无论分项价格是否全部填报了相应的金额或免费字样，报价应被视为已经包含了但并不限于各项购买货物及其运送、安装、调试、验收、保险和相关服务等的费用和所需缴纳的所有价格、税、费。在其他情况下，由于分项报价填报不完整、不清楚或存在其他任何失误，所导致的任何不利后果均应当由投标人自行承担。</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13.2 投标人投报多包的，须对每包分别制作投标文件并报价</w:t>
      </w:r>
      <w:r>
        <w:rPr>
          <w:rFonts w:hint="eastAsia" w:ascii="仿宋" w:hAnsi="仿宋" w:eastAsia="仿宋" w:cs="仿宋"/>
          <w:b/>
          <w:color w:val="auto"/>
          <w:sz w:val="24"/>
          <w:szCs w:val="22"/>
          <w:highlight w:val="none"/>
        </w:rPr>
        <w:t>。</w:t>
      </w:r>
    </w:p>
    <w:p>
      <w:pPr>
        <w:pStyle w:val="23"/>
        <w:spacing w:line="360" w:lineRule="auto"/>
        <w:ind w:firstLine="480" w:firstLineChars="200"/>
        <w:outlineLvl w:val="9"/>
        <w:rPr>
          <w:rFonts w:hint="eastAsia" w:ascii="仿宋" w:hAnsi="仿宋" w:eastAsia="仿宋" w:cs="仿宋"/>
          <w:b/>
          <w:color w:val="auto"/>
          <w:sz w:val="24"/>
          <w:szCs w:val="22"/>
          <w:highlight w:val="none"/>
        </w:rPr>
      </w:pPr>
      <w:r>
        <w:rPr>
          <w:rFonts w:hint="eastAsia" w:ascii="仿宋" w:hAnsi="仿宋" w:eastAsia="仿宋" w:cs="仿宋"/>
          <w:color w:val="auto"/>
          <w:sz w:val="24"/>
          <w:szCs w:val="22"/>
          <w:highlight w:val="none"/>
        </w:rPr>
        <w:t>13.3 除非招标文件另有规定，不接受可选择或可调整的投标方案和报价，任何有选择的或可调整的投标方案和报价将被视为非响应性投标而被拒绝。</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13.4 本项目是否接受进口产品按照招标文件第二部分“投标人须知前附表中”中的规定。</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13.5 本项目是否允许投标人将项目的非主体、非关键性工作交由他人完成按照招标文件第二部分“投标人须知前附表”中的规定。如允许，投标人根据采购项目的实际情况，拟在中标后将中标项目的非主体、非关键性工作交由他人完成，须在技术文件中载明。</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13.6 投标人须严格按照报价明细表规定的内容填写货物单价以及其他事项。</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13.7 投标人对投标报价若有说明应在投标文件中显著处注明。</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除政策性文件规定以外，投标人所报价格在合同实施期间不因市场变化因素而变动。</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13.8 对于有配件、耗材、选件、备件和特殊工具的货物，还应填报投标货物配件、耗材、选件表和备件及特殊工具清单，注明品牌、型号、产地、功能、单价、批量折扣等内容，该表格格式由投标人自行设计。投标人按照上述要求分类报价，其目的是便于评标，但在任何情况下并不限制采购人以其他条款签订合同的权利。</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13.9 最低报价不能作为中标的保证。</w:t>
      </w:r>
    </w:p>
    <w:p>
      <w:pPr>
        <w:pStyle w:val="23"/>
        <w:spacing w:line="360" w:lineRule="auto"/>
        <w:outlineLvl w:val="9"/>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14.投标有效期</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14.1 本项目的投标有效期按照招标文件第二部分“投标人须知前附表中”中的规定。投标有效期自开标之日起计算，短于规定期限的投标将按无效投标处理。</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14.2 在特殊情况下，采购代理机构可与投标人协商延长投标有效期。这种要求和答复都应以书面形式进行。此时，规定的投标保证金的有效期也相应延长。投标人可以拒绝接受延期要求而不会被没收保证金。同意延长有效期的投标人除按照采购代理机构要求修改投标有效期外，不能修改投标文件的其他内容。</w:t>
      </w:r>
    </w:p>
    <w:p>
      <w:pPr>
        <w:pStyle w:val="23"/>
        <w:spacing w:line="360" w:lineRule="auto"/>
        <w:outlineLvl w:val="9"/>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15.投标内容填写说明</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15.1 投标人应详细阅读招标文件的全部内容。投标文件须对招标文件中的内容作出实质性和完整的响应，如果投标文件填报的内容不详，或没有提供招标文件中所要求的全部资料及数据，将可能导致投标被拒绝。</w:t>
      </w:r>
    </w:p>
    <w:p>
      <w:pPr>
        <w:pStyle w:val="23"/>
        <w:spacing w:line="360" w:lineRule="auto"/>
        <w:ind w:firstLine="480" w:firstLineChars="200"/>
        <w:outlineLvl w:val="9"/>
        <w:rPr>
          <w:rFonts w:hint="eastAsia" w:ascii="仿宋" w:hAnsi="仿宋" w:eastAsia="仿宋" w:cs="仿宋"/>
          <w:b/>
          <w:color w:val="auto"/>
          <w:sz w:val="24"/>
          <w:szCs w:val="22"/>
          <w:highlight w:val="none"/>
        </w:rPr>
      </w:pPr>
      <w:r>
        <w:rPr>
          <w:rFonts w:hint="eastAsia" w:ascii="仿宋" w:hAnsi="仿宋" w:eastAsia="仿宋" w:cs="仿宋"/>
          <w:color w:val="auto"/>
          <w:sz w:val="24"/>
          <w:szCs w:val="22"/>
          <w:highlight w:val="none"/>
        </w:rPr>
        <w:t>15.2 投标文件须严格按照招标文件第六部分规定的格式提交，并按规定的统一格式逐项填写，不准有空项；无相应内容可填的项，应填写“无”、“未测试”、“没有相应指标”等明确的回答文字。由于编排混乱导致投标文件被误读或查找不到，其责任由投标人承担。投标文件未按规定提交或留有空项，将被视为不完整响应的投标文件，其投标有可能被拒绝</w:t>
      </w:r>
      <w:r>
        <w:rPr>
          <w:rFonts w:hint="eastAsia" w:ascii="仿宋" w:hAnsi="仿宋" w:eastAsia="仿宋" w:cs="仿宋"/>
          <w:b/>
          <w:color w:val="auto"/>
          <w:sz w:val="24"/>
          <w:szCs w:val="22"/>
          <w:highlight w:val="none"/>
        </w:rPr>
        <w:t>。</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15.3 开标一览表为在开标仪式上唱标的内容，要求按格式统一填写，不得自行增减内容。</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15.4 投标人须注意：为合理节约政府采购评审成本，提倡诚实信用的投标行为，特别要求投标人应本着诚信精神，在本次投标文件的偏离表中，均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披露的事项，一旦在评审中被发现存在偏离或被认定为属于偏离，则评标委员会有权视具体情形评审时予以处理，乃至对该投标予以拒绝。</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15.5 投标人必须保证投标文件所提供的全部资料真实可靠，并接受采购代理机构或评标委员会对其中任何资料进一步审查的要求。</w:t>
      </w:r>
    </w:p>
    <w:p>
      <w:pPr>
        <w:pStyle w:val="23"/>
        <w:spacing w:line="360" w:lineRule="auto"/>
        <w:ind w:firstLine="480" w:firstLineChars="200"/>
        <w:outlineLvl w:val="9"/>
        <w:rPr>
          <w:rFonts w:hint="eastAsia" w:ascii="仿宋" w:hAnsi="仿宋" w:eastAsia="仿宋" w:cs="仿宋"/>
          <w:b/>
          <w:color w:val="auto"/>
          <w:sz w:val="24"/>
          <w:szCs w:val="22"/>
          <w:highlight w:val="none"/>
        </w:rPr>
      </w:pPr>
      <w:r>
        <w:rPr>
          <w:rFonts w:hint="eastAsia" w:ascii="仿宋" w:hAnsi="仿宋" w:eastAsia="仿宋" w:cs="仿宋"/>
          <w:color w:val="auto"/>
          <w:sz w:val="24"/>
          <w:szCs w:val="22"/>
          <w:highlight w:val="none"/>
        </w:rPr>
        <w:t>15.6 投标人在投标文件及相关文件的签订、履行、通知等事项的文件中的单位盖章、印章、公章等处均指与当事人全称相一致的电子签章或标准公章，不得使用其他形式（如带有“专用章”等字样的印章）。不符合本条规定的按无效投标处理。</w:t>
      </w:r>
    </w:p>
    <w:p>
      <w:pPr>
        <w:pStyle w:val="23"/>
        <w:spacing w:line="360" w:lineRule="auto"/>
        <w:ind w:firstLine="480" w:firstLineChars="200"/>
        <w:outlineLvl w:val="9"/>
        <w:rPr>
          <w:rFonts w:hint="eastAsia" w:ascii="仿宋" w:hAnsi="仿宋" w:eastAsia="仿宋" w:cs="仿宋"/>
          <w:b/>
          <w:color w:val="auto"/>
          <w:kern w:val="0"/>
          <w:sz w:val="24"/>
          <w:szCs w:val="22"/>
          <w:highlight w:val="none"/>
        </w:rPr>
      </w:pPr>
      <w:r>
        <w:rPr>
          <w:rFonts w:hint="eastAsia" w:ascii="仿宋" w:hAnsi="仿宋" w:eastAsia="仿宋" w:cs="仿宋"/>
          <w:color w:val="auto"/>
          <w:sz w:val="24"/>
          <w:szCs w:val="22"/>
          <w:highlight w:val="none"/>
        </w:rPr>
        <w:t>15.7 本项目</w:t>
      </w:r>
      <w:r>
        <w:rPr>
          <w:rFonts w:hint="eastAsia" w:ascii="仿宋" w:hAnsi="仿宋" w:eastAsia="仿宋" w:cs="仿宋"/>
          <w:color w:val="auto"/>
          <w:kern w:val="0"/>
          <w:sz w:val="24"/>
          <w:szCs w:val="22"/>
          <w:highlight w:val="none"/>
        </w:rPr>
        <w:t>技术部分是否采用“暗标”评审方式</w:t>
      </w:r>
      <w:r>
        <w:rPr>
          <w:rFonts w:hint="eastAsia" w:ascii="仿宋" w:hAnsi="仿宋" w:eastAsia="仿宋" w:cs="仿宋"/>
          <w:color w:val="auto"/>
          <w:sz w:val="24"/>
          <w:szCs w:val="22"/>
          <w:highlight w:val="none"/>
        </w:rPr>
        <w:t>按照招标文件第二部分“投标人须知前附表中”中的规定。如果采用暗标评审方式的，投标人在制作投标文件时应当以能够隐去投标人的身份为原则并需严格遵守以下各项规定：</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15.7.1 技术部分中纳入“暗标”部分的内容：样品。</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15.7.2 暗标的编制要求</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15.7.2.1 投标文件技术部分全部内容中不能出现任何本投标人的名称和其它可识别投标人身份的字符、企业徽标或符号、人员名称以及其他特殊标记等（如有此类文件应放于商务文件“用于评审的证明材料”中），否则将导致投标被拒绝。</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15.7.2.2 页面设置及字体要求：采用标准A4纸张，上下页边距为2.54cm，左右页边距为3.17cm，装订线位置为左；不得设置页码；正文使用四号宋体字，单倍行距，段前段后0行间距；标题为二号黑体字，图、表中的字体统一用宋体小四，1.5倍行距，段前段后0行间距。</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15.7.2.3 任何情况下，技术部分（“暗标”部分）中不得出现任何投标人的审阅或者批注痕迹，否则将导致投标被拒绝。</w:t>
      </w:r>
    </w:p>
    <w:p>
      <w:pPr>
        <w:pStyle w:val="23"/>
        <w:outlineLvl w:val="9"/>
        <w:rPr>
          <w:rFonts w:hint="eastAsia" w:ascii="仿宋" w:hAnsi="仿宋" w:eastAsia="仿宋" w:cs="仿宋"/>
          <w:color w:val="auto"/>
          <w:sz w:val="21"/>
          <w:szCs w:val="22"/>
          <w:highlight w:val="none"/>
        </w:rPr>
      </w:pPr>
      <w:bookmarkStart w:id="48" w:name="EB72d461685b9944a695e7c9740d61788e"/>
      <w:r>
        <w:rPr>
          <w:rFonts w:hint="eastAsia" w:ascii="仿宋" w:hAnsi="仿宋" w:eastAsia="仿宋" w:cs="仿宋"/>
          <w:color w:val="auto"/>
          <w:sz w:val="20"/>
          <w:szCs w:val="22"/>
          <w:highlight w:val="none"/>
        </w:rPr>
        <w:t xml:space="preserve"> </w:t>
      </w:r>
      <w:bookmarkEnd w:id="48"/>
      <w:bookmarkStart w:id="49" w:name="EBe595676a889240e6b9627a8204925a3e"/>
      <w:r>
        <w:rPr>
          <w:rFonts w:hint="eastAsia" w:ascii="仿宋" w:hAnsi="仿宋" w:eastAsia="仿宋" w:cs="仿宋"/>
          <w:color w:val="auto"/>
          <w:sz w:val="20"/>
          <w:szCs w:val="22"/>
          <w:highlight w:val="none"/>
        </w:rPr>
        <w:t xml:space="preserve"> </w:t>
      </w:r>
      <w:bookmarkEnd w:id="49"/>
      <w:bookmarkStart w:id="50" w:name="EB4f3eccb3b0eb41a5a5ac39abf7d322b5"/>
      <w:r>
        <w:rPr>
          <w:rFonts w:hint="eastAsia" w:ascii="仿宋" w:hAnsi="仿宋" w:eastAsia="仿宋" w:cs="仿宋"/>
          <w:color w:val="auto"/>
          <w:sz w:val="20"/>
          <w:szCs w:val="22"/>
          <w:highlight w:val="none"/>
        </w:rPr>
        <w:t xml:space="preserve"> </w:t>
      </w:r>
      <w:bookmarkEnd w:id="50"/>
    </w:p>
    <w:p>
      <w:pPr>
        <w:pStyle w:val="23"/>
        <w:keepNext/>
        <w:keepLines/>
        <w:adjustRightInd w:val="0"/>
        <w:spacing w:line="360" w:lineRule="auto"/>
        <w:outlineLvl w:val="9"/>
        <w:rPr>
          <w:rFonts w:hint="eastAsia" w:ascii="仿宋" w:hAnsi="仿宋" w:eastAsia="仿宋" w:cs="仿宋"/>
          <w:b/>
          <w:bCs/>
          <w:color w:val="auto"/>
          <w:kern w:val="0"/>
          <w:sz w:val="24"/>
          <w:szCs w:val="32"/>
          <w:highlight w:val="none"/>
        </w:rPr>
      </w:pPr>
      <w:bookmarkStart w:id="51" w:name="_Toc256000007"/>
      <w:bookmarkStart w:id="52" w:name="_Toc18510"/>
      <w:r>
        <w:rPr>
          <w:rFonts w:hint="eastAsia" w:ascii="仿宋" w:hAnsi="仿宋" w:eastAsia="仿宋" w:cs="仿宋"/>
          <w:b/>
          <w:bCs/>
          <w:color w:val="auto"/>
          <w:kern w:val="0"/>
          <w:sz w:val="24"/>
          <w:szCs w:val="32"/>
          <w:highlight w:val="none"/>
        </w:rPr>
        <w:t>四、投标保证金</w:t>
      </w:r>
      <w:bookmarkEnd w:id="51"/>
      <w:bookmarkEnd w:id="52"/>
    </w:p>
    <w:p>
      <w:pPr>
        <w:pStyle w:val="23"/>
        <w:spacing w:line="360" w:lineRule="auto"/>
        <w:outlineLvl w:val="9"/>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 xml:space="preserve">16.投标保证金 </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16.1 投标人应按照招标文件第二部分“投标人须知前附表”中的规定交纳。投标保证金须于到账截止时间前到帐，并经采购代理机构确认。</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16.2 未按要求提交投标保证金的，将被视为无效投标。</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16.3 未中标的投标人的投标保证金在中标通知书发出之日起5个工作日内退还；中标人的投标保证金将在交纳履约保证金并于合同生效后5个工作日内退还。</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16.4 投标保证金退还一律采用网上银行转帐方式退还至投标人的汇款帐户，资金原路返回。</w:t>
      </w:r>
    </w:p>
    <w:p>
      <w:pPr>
        <w:pStyle w:val="23"/>
        <w:spacing w:line="360" w:lineRule="auto"/>
        <w:ind w:firstLine="400" w:firstLineChars="200"/>
        <w:outlineLvl w:val="9"/>
        <w:rPr>
          <w:rFonts w:hint="eastAsia" w:ascii="仿宋" w:hAnsi="仿宋" w:eastAsia="仿宋" w:cs="仿宋"/>
          <w:color w:val="auto"/>
          <w:sz w:val="24"/>
          <w:szCs w:val="22"/>
          <w:highlight w:val="none"/>
        </w:rPr>
      </w:pPr>
      <w:bookmarkStart w:id="53" w:name="EBa90ba16225e5405a8b55b51f6fbf6913"/>
      <w:r>
        <w:rPr>
          <w:rFonts w:hint="eastAsia" w:ascii="仿宋" w:hAnsi="仿宋" w:eastAsia="仿宋" w:cs="仿宋"/>
          <w:color w:val="auto"/>
          <w:sz w:val="20"/>
          <w:szCs w:val="22"/>
          <w:highlight w:val="none"/>
        </w:rPr>
        <w:t xml:space="preserve"> </w:t>
      </w:r>
      <w:bookmarkEnd w:id="53"/>
      <w:r>
        <w:rPr>
          <w:rFonts w:hint="eastAsia" w:ascii="仿宋" w:hAnsi="仿宋" w:eastAsia="仿宋" w:cs="仿宋"/>
          <w:color w:val="auto"/>
          <w:sz w:val="24"/>
          <w:szCs w:val="22"/>
          <w:highlight w:val="none"/>
        </w:rPr>
        <w:t>16.5如开标时投标人对本单位投标保证金缴纳情况有疑义，投标人应在开标结束前向</w:t>
      </w:r>
      <w:r>
        <w:rPr>
          <w:rFonts w:hint="eastAsia" w:ascii="仿宋" w:hAnsi="仿宋" w:eastAsia="仿宋" w:cs="仿宋"/>
          <w:color w:val="auto"/>
          <w:sz w:val="24"/>
          <w:szCs w:val="22"/>
          <w:highlight w:val="none"/>
          <w:lang w:eastAsia="zh-CN"/>
        </w:rPr>
        <w:t>采购人</w:t>
      </w:r>
      <w:r>
        <w:rPr>
          <w:rFonts w:hint="eastAsia" w:ascii="仿宋" w:hAnsi="仿宋" w:eastAsia="仿宋" w:cs="仿宋"/>
          <w:color w:val="auto"/>
          <w:sz w:val="24"/>
          <w:szCs w:val="22"/>
          <w:highlight w:val="none"/>
        </w:rPr>
        <w:t>提交书面申请核实保证金缴纳情况。由银行或保险公司核实后出具书面材料予以答复。</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16.6开标结束后，转账、电汇、网银形式缴纳的保证金由</w:t>
      </w:r>
      <w:r>
        <w:rPr>
          <w:rFonts w:hint="eastAsia" w:ascii="仿宋" w:hAnsi="仿宋" w:eastAsia="仿宋" w:cs="仿宋"/>
          <w:color w:val="auto"/>
          <w:sz w:val="24"/>
          <w:szCs w:val="22"/>
          <w:highlight w:val="none"/>
          <w:lang w:val="en-US" w:eastAsia="zh-CN"/>
        </w:rPr>
        <w:t>采购</w:t>
      </w:r>
      <w:r>
        <w:rPr>
          <w:rFonts w:hint="eastAsia" w:ascii="仿宋" w:hAnsi="仿宋" w:eastAsia="仿宋" w:cs="仿宋"/>
          <w:color w:val="auto"/>
          <w:sz w:val="24"/>
          <w:szCs w:val="22"/>
          <w:highlight w:val="none"/>
        </w:rPr>
        <w:t>代理或</w:t>
      </w:r>
      <w:r>
        <w:rPr>
          <w:rFonts w:hint="eastAsia" w:ascii="仿宋" w:hAnsi="仿宋" w:eastAsia="仿宋" w:cs="仿宋"/>
          <w:color w:val="auto"/>
          <w:sz w:val="24"/>
          <w:szCs w:val="22"/>
          <w:highlight w:val="none"/>
          <w:lang w:eastAsia="zh-CN"/>
        </w:rPr>
        <w:t>采购人</w:t>
      </w:r>
      <w:r>
        <w:rPr>
          <w:rFonts w:hint="eastAsia" w:ascii="仿宋" w:hAnsi="仿宋" w:eastAsia="仿宋" w:cs="仿宋"/>
          <w:color w:val="auto"/>
          <w:sz w:val="24"/>
          <w:szCs w:val="22"/>
          <w:highlight w:val="none"/>
        </w:rPr>
        <w:t>统一办理中标人和未中标人的保证金退还事宜。如本项目招标中遇质疑，投诉，复议等特殊情况，保证金退还时间按相关规定执行。保函形式缴纳的投标保证金按协议执行，无需办理退款手续。</w:t>
      </w:r>
    </w:p>
    <w:p>
      <w:pPr>
        <w:pStyle w:val="23"/>
        <w:spacing w:line="360" w:lineRule="auto"/>
        <w:ind w:firstLine="480" w:firstLineChars="200"/>
        <w:outlineLvl w:val="9"/>
        <w:rPr>
          <w:rFonts w:hint="eastAsia" w:ascii="仿宋" w:hAnsi="仿宋" w:eastAsia="仿宋" w:cs="仿宋"/>
          <w:color w:val="auto"/>
          <w:sz w:val="24"/>
          <w:szCs w:val="22"/>
          <w:highlight w:val="none"/>
        </w:rPr>
      </w:pPr>
    </w:p>
    <w:p>
      <w:pPr>
        <w:pStyle w:val="23"/>
        <w:keepNext/>
        <w:keepLines/>
        <w:adjustRightInd w:val="0"/>
        <w:spacing w:line="360" w:lineRule="auto"/>
        <w:outlineLvl w:val="9"/>
        <w:rPr>
          <w:rFonts w:hint="eastAsia" w:ascii="仿宋" w:hAnsi="仿宋" w:eastAsia="仿宋" w:cs="仿宋"/>
          <w:b/>
          <w:bCs/>
          <w:color w:val="auto"/>
          <w:kern w:val="0"/>
          <w:sz w:val="24"/>
          <w:szCs w:val="32"/>
          <w:highlight w:val="none"/>
        </w:rPr>
      </w:pPr>
      <w:bookmarkStart w:id="54" w:name="_Toc256000008"/>
      <w:bookmarkStart w:id="55" w:name="_Toc31189"/>
      <w:r>
        <w:rPr>
          <w:rFonts w:hint="eastAsia" w:ascii="仿宋" w:hAnsi="仿宋" w:eastAsia="仿宋" w:cs="仿宋"/>
          <w:b/>
          <w:bCs/>
          <w:color w:val="auto"/>
          <w:kern w:val="0"/>
          <w:sz w:val="24"/>
          <w:szCs w:val="32"/>
          <w:highlight w:val="none"/>
        </w:rPr>
        <w:t>五、投标文件的递交</w:t>
      </w:r>
      <w:bookmarkEnd w:id="54"/>
      <w:bookmarkEnd w:id="55"/>
    </w:p>
    <w:p>
      <w:pPr>
        <w:pStyle w:val="23"/>
        <w:spacing w:line="360" w:lineRule="auto"/>
        <w:outlineLvl w:val="9"/>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17.投标文件的密封和标记</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17.1 投标人应通过电子投标文件制作工具严格按招标文件要求制作投标文件，在投标截止时间前完成上传经过数字证书电子签章并加密的投标文件（加密和解密须用同一把数字证书）。投标人在投标截止时间前，可以对其所递交的投标文件进行修改并重新上传，但以投标截止时间前最后一次上传的投标文件为有效投标文件。</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投标截止时间以兵团政采云平台显示的时间为准，逾期系统将自动关闭，未完成上传的投标文件视为逾期送达，将被拒绝。</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17.2 未加密的电子投标文件光盘应封装在信封中。封口处加盖投标人公章，封皮上注明项目编号、包号、项目名称、投标人名称，并注明“未加密的电子投标文件”字样。</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投标人认为有必要提交的其他资料请于投标截止时间前一并提交。</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17.3 如果投标人未按上述要求密封及加写标记，采购代理机构对投标文件的误投和提前启封概不负责。对由此造成提前开封的投标文件，采购代理机构有权予以拒绝，并退回投标人。</w:t>
      </w:r>
    </w:p>
    <w:p>
      <w:pPr>
        <w:pStyle w:val="23"/>
        <w:spacing w:line="500" w:lineRule="exact"/>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17.4是否采用不见面开标方式详见投标人须知前附表，若本项目采用不见面开标，</w:t>
      </w:r>
      <w:r>
        <w:rPr>
          <w:rFonts w:hint="eastAsia" w:ascii="仿宋" w:hAnsi="仿宋" w:eastAsia="仿宋" w:cs="仿宋"/>
          <w:color w:val="auto"/>
          <w:sz w:val="24"/>
          <w:szCs w:val="22"/>
          <w:highlight w:val="none"/>
          <w:lang w:val="en-US" w:eastAsia="zh-CN"/>
        </w:rPr>
        <w:t>开标时</w:t>
      </w:r>
      <w:r>
        <w:rPr>
          <w:rFonts w:hint="eastAsia" w:ascii="仿宋" w:hAnsi="仿宋" w:eastAsia="仿宋" w:cs="仿宋"/>
          <w:color w:val="auto"/>
          <w:sz w:val="24"/>
          <w:szCs w:val="22"/>
          <w:highlight w:val="none"/>
        </w:rPr>
        <w:t>无需提供电子投标文件U盘、纸质投标文件。</w:t>
      </w:r>
    </w:p>
    <w:p>
      <w:pPr>
        <w:pStyle w:val="23"/>
        <w:spacing w:line="360" w:lineRule="auto"/>
        <w:outlineLvl w:val="9"/>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18.投标文件的递交</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18.1 投标人应当在招标文件要求提交投标文件的截止时间前网上投标，并将未加密的电子投标文件光盘密封送达指定开标地点。</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18.2 在招标文件要求提交投标文件的截止时间之后送达的投标文件，为无效投标文件，采购代理机构将拒绝接收。</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18.3是否采用不见面开标详见投标人须知前附表，若项目采用不见面开标。只需将加密电子投标文件在投标截止时间前通过兵团政采云平台上传完成。上传时必须得到电脑“上传成功”的确认回复后方为上传成功。逾期上传的或者未上传到平台的投标文件，采购人不予受理。</w:t>
      </w:r>
    </w:p>
    <w:p>
      <w:pPr>
        <w:pStyle w:val="23"/>
        <w:spacing w:line="360" w:lineRule="auto"/>
        <w:outlineLvl w:val="9"/>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19.投标文件的修改和撤回</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19.1  投标人在递交投标文件后，可以修改或撤回其投标，但这种修改和撤回，必须在规定的投标截止时间前。在投标截止时间后，投标人不得要求修改或撤回其投标文件。</w:t>
      </w:r>
    </w:p>
    <w:p>
      <w:pPr>
        <w:pStyle w:val="23"/>
        <w:outlineLvl w:val="9"/>
        <w:rPr>
          <w:rFonts w:hint="eastAsia" w:ascii="仿宋" w:hAnsi="仿宋" w:eastAsia="仿宋" w:cs="仿宋"/>
          <w:color w:val="auto"/>
          <w:sz w:val="21"/>
          <w:szCs w:val="22"/>
          <w:highlight w:val="none"/>
        </w:rPr>
      </w:pPr>
      <w:bookmarkStart w:id="56" w:name="EBdea484bda35746a2b5fd314ad05e57a5"/>
      <w:r>
        <w:rPr>
          <w:rFonts w:hint="eastAsia" w:ascii="仿宋" w:hAnsi="仿宋" w:eastAsia="仿宋" w:cs="仿宋"/>
          <w:color w:val="auto"/>
          <w:sz w:val="20"/>
          <w:szCs w:val="22"/>
          <w:highlight w:val="none"/>
        </w:rPr>
        <w:t xml:space="preserve"> </w:t>
      </w:r>
      <w:bookmarkEnd w:id="56"/>
      <w:bookmarkStart w:id="57" w:name="EB81ee8525ba154877a375e0453dfebe72"/>
      <w:r>
        <w:rPr>
          <w:rFonts w:hint="eastAsia" w:ascii="仿宋" w:hAnsi="仿宋" w:eastAsia="仿宋" w:cs="仿宋"/>
          <w:color w:val="auto"/>
          <w:sz w:val="20"/>
          <w:szCs w:val="22"/>
          <w:highlight w:val="none"/>
        </w:rPr>
        <w:t xml:space="preserve"> </w:t>
      </w:r>
      <w:bookmarkEnd w:id="57"/>
      <w:bookmarkStart w:id="58" w:name="EB59f3b3240a8b4b64960eecad995cd524"/>
      <w:r>
        <w:rPr>
          <w:rFonts w:hint="eastAsia" w:ascii="仿宋" w:hAnsi="仿宋" w:eastAsia="仿宋" w:cs="仿宋"/>
          <w:color w:val="auto"/>
          <w:sz w:val="20"/>
          <w:szCs w:val="22"/>
          <w:highlight w:val="none"/>
        </w:rPr>
        <w:t xml:space="preserve"> </w:t>
      </w:r>
      <w:bookmarkEnd w:id="58"/>
    </w:p>
    <w:p>
      <w:pPr>
        <w:pStyle w:val="23"/>
        <w:keepNext/>
        <w:keepLines/>
        <w:adjustRightInd w:val="0"/>
        <w:spacing w:line="360" w:lineRule="auto"/>
        <w:outlineLvl w:val="9"/>
        <w:rPr>
          <w:rFonts w:hint="eastAsia" w:ascii="仿宋" w:hAnsi="仿宋" w:eastAsia="仿宋" w:cs="仿宋"/>
          <w:b/>
          <w:bCs/>
          <w:color w:val="auto"/>
          <w:kern w:val="0"/>
          <w:sz w:val="24"/>
          <w:szCs w:val="32"/>
          <w:highlight w:val="none"/>
        </w:rPr>
      </w:pPr>
      <w:bookmarkStart w:id="59" w:name="_Toc256000009"/>
      <w:bookmarkStart w:id="60" w:name="_Toc25942"/>
      <w:r>
        <w:rPr>
          <w:rFonts w:hint="eastAsia" w:ascii="仿宋" w:hAnsi="仿宋" w:eastAsia="仿宋" w:cs="仿宋"/>
          <w:b/>
          <w:bCs/>
          <w:color w:val="auto"/>
          <w:kern w:val="0"/>
          <w:sz w:val="24"/>
          <w:szCs w:val="32"/>
          <w:highlight w:val="none"/>
        </w:rPr>
        <w:t>六、开标</w:t>
      </w:r>
      <w:bookmarkEnd w:id="59"/>
      <w:bookmarkEnd w:id="60"/>
    </w:p>
    <w:p>
      <w:pPr>
        <w:pStyle w:val="23"/>
        <w:spacing w:line="360" w:lineRule="auto"/>
        <w:outlineLvl w:val="9"/>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20.开标</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A．采用见面开标方式</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20.1 采购代理机构按照招标文件规定的时间、地点主持开标。投标人法定代表人或授权代理人应携带身份证明、电子密钥（电子证书）、未加密的电子投标文件（用信封密封）及应当提交的其他资料参加开标并签到。</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20.2 开标前，采购代理机构将会同监督人员或公证人员进行验标（检查网上招标系统正常与否，检查未加密的电子投标文件，检查投标人保证金交纳情况），确认无误后开标。开标时，各投标人应对本单位的加密的电子投标文件现场解密，采购代理机构工作人员在监督人员或公证人员监督下解密所有投标文件。</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因网上招标系统故障导致所有投标人均解密失败时，投标人使用未加密的电子投标文件进行开评标。</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20.3 开标时，采购代理机构将通过网上开标系统公布投标人名称、投标价格，以及采购代理机构认为合适的其它详细内容。投标人若有报价和优惠未被唱出，应在开标时及时声明或提请注意，否则采购代理机构对此不承担任何责任。</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20.4 在评审结束前，未得到采购代理机构允许，投标人法定代表人或授权代理人不得离开开标现场。</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20.5 公证员对开标过程进行全程公证。</w:t>
      </w:r>
    </w:p>
    <w:p>
      <w:pPr>
        <w:pStyle w:val="34"/>
        <w:spacing w:line="500" w:lineRule="exact"/>
        <w:outlineLvl w:val="9"/>
        <w:rPr>
          <w:rFonts w:hint="eastAsia" w:ascii="仿宋" w:hAnsi="仿宋" w:eastAsia="仿宋" w:cs="仿宋"/>
          <w:color w:val="auto"/>
          <w:sz w:val="24"/>
          <w:highlight w:val="none"/>
        </w:rPr>
      </w:pPr>
      <w:r>
        <w:rPr>
          <w:rFonts w:hint="eastAsia" w:ascii="仿宋" w:hAnsi="仿宋" w:eastAsia="仿宋" w:cs="仿宋"/>
          <w:b/>
          <w:color w:val="auto"/>
          <w:sz w:val="24"/>
          <w:highlight w:val="none"/>
        </w:rPr>
        <w:t>B．采用不见面开标方式</w:t>
      </w:r>
      <w:r>
        <w:rPr>
          <w:rFonts w:hint="eastAsia" w:ascii="仿宋" w:hAnsi="仿宋" w:eastAsia="仿宋" w:cs="仿宋"/>
          <w:color w:val="auto"/>
          <w:sz w:val="24"/>
          <w:highlight w:val="none"/>
        </w:rPr>
        <w:t>（是否采用详见投标人须知前附表）</w:t>
      </w:r>
    </w:p>
    <w:p>
      <w:pPr>
        <w:pStyle w:val="34"/>
        <w:spacing w:line="50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在规定的投标截止时间（开标时间）和投标人须知前附表规定的地点开标。投标人的法定代表人或其委托代理人无需到达开标现场，仅需在任意地点通过兵团政采云不见面开标系统，使用CA密钥完成远程解密、提疑澄清、开标唱标、结果公布等交互环节。法定代表人或法定代表人授权委托人参与远程交互，中途不得更换，在</w:t>
      </w:r>
      <w:r>
        <w:rPr>
          <w:rFonts w:hint="eastAsia" w:ascii="仿宋" w:hAnsi="仿宋" w:eastAsia="仿宋" w:cs="仿宋"/>
          <w:color w:val="auto"/>
          <w:sz w:val="24"/>
          <w:highlight w:val="none"/>
          <w:lang w:eastAsia="zh-CN"/>
        </w:rPr>
        <w:t>无效投标</w:t>
      </w:r>
      <w:r>
        <w:rPr>
          <w:rFonts w:hint="eastAsia" w:ascii="仿宋" w:hAnsi="仿宋" w:eastAsia="仿宋" w:cs="仿宋"/>
          <w:color w:val="auto"/>
          <w:sz w:val="24"/>
          <w:highlight w:val="none"/>
        </w:rPr>
        <w:t>、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p>
    <w:p>
      <w:pPr>
        <w:pStyle w:val="23"/>
        <w:outlineLvl w:val="9"/>
        <w:rPr>
          <w:rFonts w:hint="eastAsia" w:ascii="仿宋" w:hAnsi="仿宋" w:eastAsia="仿宋" w:cs="仿宋"/>
          <w:color w:val="auto"/>
          <w:sz w:val="21"/>
          <w:szCs w:val="22"/>
          <w:highlight w:val="none"/>
        </w:rPr>
      </w:pPr>
      <w:bookmarkStart w:id="61" w:name="EB762c78e93eba4b72af2df5b3efee4779"/>
      <w:r>
        <w:rPr>
          <w:rFonts w:hint="eastAsia" w:ascii="仿宋" w:hAnsi="仿宋" w:eastAsia="仿宋" w:cs="仿宋"/>
          <w:color w:val="auto"/>
          <w:sz w:val="20"/>
          <w:szCs w:val="22"/>
          <w:highlight w:val="none"/>
        </w:rPr>
        <w:t xml:space="preserve"> </w:t>
      </w:r>
      <w:bookmarkEnd w:id="61"/>
      <w:bookmarkStart w:id="62" w:name="EBd11563aac94641bcbce64c740b54f3c6"/>
      <w:r>
        <w:rPr>
          <w:rFonts w:hint="eastAsia" w:ascii="仿宋" w:hAnsi="仿宋" w:eastAsia="仿宋" w:cs="仿宋"/>
          <w:color w:val="auto"/>
          <w:sz w:val="20"/>
          <w:szCs w:val="22"/>
          <w:highlight w:val="none"/>
        </w:rPr>
        <w:t xml:space="preserve"> </w:t>
      </w:r>
      <w:bookmarkEnd w:id="62"/>
      <w:bookmarkStart w:id="63" w:name="EBb2fe5bffca4b463885814e2aee93745c"/>
      <w:r>
        <w:rPr>
          <w:rFonts w:hint="eastAsia" w:ascii="仿宋" w:hAnsi="仿宋" w:eastAsia="仿宋" w:cs="仿宋"/>
          <w:color w:val="auto"/>
          <w:sz w:val="20"/>
          <w:szCs w:val="22"/>
          <w:highlight w:val="none"/>
        </w:rPr>
        <w:t xml:space="preserve"> </w:t>
      </w:r>
      <w:bookmarkEnd w:id="63"/>
    </w:p>
    <w:p>
      <w:pPr>
        <w:pStyle w:val="23"/>
        <w:keepNext/>
        <w:keepLines/>
        <w:adjustRightInd w:val="0"/>
        <w:spacing w:line="360" w:lineRule="auto"/>
        <w:outlineLvl w:val="9"/>
        <w:rPr>
          <w:rFonts w:hint="eastAsia" w:ascii="仿宋" w:hAnsi="仿宋" w:eastAsia="仿宋" w:cs="仿宋"/>
          <w:b/>
          <w:bCs/>
          <w:color w:val="auto"/>
          <w:kern w:val="0"/>
          <w:sz w:val="24"/>
          <w:szCs w:val="32"/>
          <w:highlight w:val="none"/>
        </w:rPr>
      </w:pPr>
      <w:bookmarkStart w:id="64" w:name="_Toc256000010"/>
      <w:bookmarkStart w:id="65" w:name="_Toc7300"/>
      <w:r>
        <w:rPr>
          <w:rFonts w:hint="eastAsia" w:ascii="仿宋" w:hAnsi="仿宋" w:eastAsia="仿宋" w:cs="仿宋"/>
          <w:b/>
          <w:bCs/>
          <w:color w:val="auto"/>
          <w:kern w:val="0"/>
          <w:sz w:val="24"/>
          <w:szCs w:val="32"/>
          <w:highlight w:val="none"/>
        </w:rPr>
        <w:t>七、评标步骤和要求</w:t>
      </w:r>
      <w:bookmarkEnd w:id="64"/>
      <w:bookmarkEnd w:id="65"/>
    </w:p>
    <w:p>
      <w:pPr>
        <w:pStyle w:val="23"/>
        <w:spacing w:line="360" w:lineRule="auto"/>
        <w:outlineLvl w:val="9"/>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21.组建评标委员会</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21.1 采购代理机构根据有关法律法规和本招标文件的规定，结合招标项目的特点组建评标委员会，对投标文件进行评估和比较。评标委员会由五人以上单数组成，其中经济、技术等方面的专家不少于三分之二。</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21.2 参与过本项目的论证专家不得作为评标专家参加评标，采购人不得以专家身份参与评标。</w:t>
      </w:r>
    </w:p>
    <w:p>
      <w:pPr>
        <w:pStyle w:val="23"/>
        <w:spacing w:line="360" w:lineRule="auto"/>
        <w:outlineLvl w:val="9"/>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22、资格审查</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22.1公开招标采购项目开标结束后，采购人或者采购代理机构应当依法对投标人的资格进行审查。合格投标人不足3家的，不得评标。</w:t>
      </w:r>
    </w:p>
    <w:p>
      <w:pPr>
        <w:pStyle w:val="23"/>
        <w:spacing w:line="360" w:lineRule="auto"/>
        <w:outlineLvl w:val="9"/>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23.初步评审</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 xml:space="preserve">23.1 评标委员会审查投标文件是否符合招标文件的基本要求：内容是否完整、资格证明文件是否合格、文件签署是否齐全、有无计算错误等。 </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23.2 评标委员会审查投标文件是否实质上响应招标文件的要求。</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1）实质上响应的投标是指与招标文件上的条款、条件和规格相符，没有重大偏离或保留，否则将视为无效投标。</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重大偏离或保留系指投标服务的服务期限等明显不能满足招标文件的要求，或者实质上与招标文件不一致，纠正这些偏离或保留将对其他实质上响应要求的投标人的竞争地位产生不公正的影响。包括但不限于：</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A、招标文件第二部分“投标人须知前附表”带“</w:t>
      </w: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rPr>
        <w:t>”号部分的证明文件不全或无效的；</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B、投标文件未按招标文件的规定签章的；</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C、未按投标文件份数要求提交投标文件的；</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D、招标文件带“</w:t>
      </w: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rPr>
        <w:t>”号部分任意一款不满足要求的；</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E、报价超过项目预算或经评标委员会认定低于成本的；</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F、投标有效期不足的；</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G、联合体投标文件未附联合体投标协议书的；</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H、不符合招标文件中有关分包规定的；</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I、有串通投标或弄虚作假或有其他违法行为的；</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J、投标人递交的电子投标文件（加密电子投标文件和未加密电子投标文件）均无法满足正常开标、评标使用功能的；</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K、投标人名称或组织结构与领取</w:t>
      </w:r>
      <w:r>
        <w:rPr>
          <w:rFonts w:hint="eastAsia" w:ascii="仿宋" w:hAnsi="仿宋" w:eastAsia="仿宋" w:cs="仿宋"/>
          <w:color w:val="auto"/>
          <w:sz w:val="24"/>
          <w:szCs w:val="22"/>
          <w:highlight w:val="none"/>
          <w:lang w:eastAsia="zh-CN"/>
        </w:rPr>
        <w:t>招标文件</w:t>
      </w:r>
      <w:r>
        <w:rPr>
          <w:rFonts w:hint="eastAsia" w:ascii="仿宋" w:hAnsi="仿宋" w:eastAsia="仿宋" w:cs="仿宋"/>
          <w:color w:val="auto"/>
          <w:sz w:val="24"/>
          <w:szCs w:val="22"/>
          <w:highlight w:val="none"/>
        </w:rPr>
        <w:t>时不一致且无有效变更证明的；</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L、不符合招标文件中规定的其他实质性要求。</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23.3 投标文件的细微偏差是指在实质上响应招标文件要求，但在个别地方存在漏项或者提供了不完整的技术信息和数据等情况，并且补正这些遗漏或者不完整，不会对其他投标人造成不公正的结果。细微偏差不影响投标文件的有效性。</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 xml:space="preserve">23.4 初步评审中，对明显的文字和计算错误按下述原则处理，若出现相互矛盾之处，应以排列在先的原则为准优先处理：        </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1）投标文件中的开标一览表与明细表内容不一致的，以开标一览表为准。</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2）如果以文字表示的数据与数字表示的有差别，以文字为准修正数字。如果大写金额和小写金额不一致的，以大写金额为准；</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3）如果单价乘以数量不等于总价，以单价为准修正总价，但单价金额小数点有明显错位的，应以总价为准，并修改单价。如果明细价格相加不等于汇总价格，以明细价格为准。</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4）调整后的数据对投标人具有约束力，投标人不同意以上修正，其投标将被拒绝。</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23.5 评标委员会对投标文件的判定，只依据投标文件内容本身，不依据其他外来证明。</w:t>
      </w:r>
    </w:p>
    <w:p>
      <w:pPr>
        <w:pStyle w:val="23"/>
        <w:spacing w:line="360" w:lineRule="auto"/>
        <w:outlineLvl w:val="9"/>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24.投标的澄清</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24.1 评标委员会有权要求投标人对投标文件中含义不明确、对同类问题表述不一致或者有明显文字和计算错误等内容作必要的澄清、说明或者补正。该要求应当采用书面形式，并由评标委员会成员签字。评标委员会不接受投标人主动提出的澄清、说明或者补正。</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24.2 投标人必须按照评标委员会通知的内容和时间做出书面答复，该答复经法定代表人或授权代理人的签字认可，将作为投标文件内容的一部分。澄清、说明或者补正不得超出投标文件的范围或者改变投标文件的实质性内容。投标人拒不按照要求对投标文件进行澄清、说明或者补正的，评标委员会可拒绝该投标。</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24.3 如评标委员会一致认为某个投标人的报价明显不合理，有降低质量、不能诚信履行的可能时，评标委员会有权决定是否通知投标人限期进行书面解释或提供相关证明材料。若已要求，而该投标人在规定期限内未做出解释、作出的解释不合理或不能提供证明材料的，经评标委员会取得一致意见后，可拒绝该投标。</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24.4 公开招标采购项目开标结束后，采购人或者采购代理机构应当依法对投标人的资格进行审查。合格投标人不足3家的，不得评标。</w:t>
      </w:r>
    </w:p>
    <w:p>
      <w:pPr>
        <w:pStyle w:val="23"/>
        <w:spacing w:line="360" w:lineRule="auto"/>
        <w:outlineLvl w:val="9"/>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25.详细评审</w:t>
      </w:r>
    </w:p>
    <w:p>
      <w:pPr>
        <w:pStyle w:val="23"/>
        <w:spacing w:line="360" w:lineRule="auto"/>
        <w:outlineLvl w:val="9"/>
        <w:rPr>
          <w:rFonts w:hint="eastAsia" w:ascii="仿宋" w:hAnsi="仿宋" w:eastAsia="仿宋" w:cs="仿宋"/>
          <w:b/>
          <w:sz w:val="24"/>
          <w:szCs w:val="22"/>
          <w:highlight w:val="yellow"/>
        </w:rPr>
      </w:pPr>
      <w:r>
        <w:rPr>
          <w:rFonts w:hint="eastAsia" w:ascii="仿宋" w:hAnsi="仿宋" w:eastAsia="仿宋" w:cs="仿宋"/>
          <w:b/>
          <w:sz w:val="24"/>
          <w:szCs w:val="22"/>
          <w:highlight w:val="yellow"/>
          <w:lang w:val="en-US" w:eastAsia="zh-CN"/>
        </w:rPr>
        <w:t>25.1</w:t>
      </w:r>
      <w:r>
        <w:rPr>
          <w:rFonts w:hint="eastAsia" w:ascii="仿宋" w:hAnsi="仿宋" w:eastAsia="仿宋" w:cs="仿宋"/>
          <w:b/>
          <w:sz w:val="24"/>
          <w:szCs w:val="22"/>
          <w:highlight w:val="yellow"/>
        </w:rPr>
        <w:t>同品牌多家投标人处理原则</w:t>
      </w:r>
    </w:p>
    <w:p>
      <w:pPr>
        <w:pStyle w:val="23"/>
        <w:spacing w:line="360" w:lineRule="auto"/>
        <w:ind w:firstLine="480" w:firstLineChars="200"/>
        <w:outlineLvl w:val="9"/>
        <w:rPr>
          <w:rFonts w:hint="eastAsia" w:ascii="仿宋" w:hAnsi="仿宋" w:eastAsia="仿宋" w:cs="仿宋"/>
          <w:sz w:val="24"/>
          <w:szCs w:val="22"/>
          <w:highlight w:val="yellow"/>
        </w:rPr>
      </w:pPr>
      <w:r>
        <w:rPr>
          <w:rFonts w:hint="eastAsia" w:ascii="仿宋" w:hAnsi="仿宋" w:eastAsia="仿宋" w:cs="仿宋"/>
          <w:sz w:val="24"/>
          <w:szCs w:val="22"/>
          <w:highlight w:val="yellow"/>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23"/>
        <w:spacing w:line="360" w:lineRule="auto"/>
        <w:ind w:firstLine="480" w:firstLineChars="200"/>
        <w:outlineLvl w:val="9"/>
        <w:rPr>
          <w:rFonts w:hint="default" w:ascii="仿宋" w:hAnsi="仿宋" w:eastAsia="仿宋" w:cs="仿宋"/>
          <w:sz w:val="24"/>
          <w:szCs w:val="22"/>
          <w:highlight w:val="yellow"/>
          <w:lang w:val="en-US" w:eastAsia="zh-CN"/>
        </w:rPr>
      </w:pPr>
      <w:r>
        <w:rPr>
          <w:rFonts w:hint="eastAsia" w:ascii="仿宋" w:hAnsi="仿宋" w:eastAsia="仿宋" w:cs="仿宋"/>
          <w:sz w:val="24"/>
          <w:szCs w:val="22"/>
          <w:highlight w:val="yellow"/>
        </w:rPr>
        <w:t>非单一产品采购项目，采购人应当根据采购项目技术构成、产品价格比重等合理确定核心产品，并在</w:t>
      </w:r>
      <w:r>
        <w:rPr>
          <w:rFonts w:hint="eastAsia" w:ascii="仿宋" w:hAnsi="仿宋" w:eastAsia="仿宋" w:cs="仿宋"/>
          <w:sz w:val="24"/>
          <w:szCs w:val="22"/>
          <w:highlight w:val="yellow"/>
          <w:lang w:eastAsia="zh-CN"/>
        </w:rPr>
        <w:t>招标文件</w:t>
      </w:r>
      <w:r>
        <w:rPr>
          <w:rFonts w:hint="eastAsia" w:ascii="仿宋" w:hAnsi="仿宋" w:eastAsia="仿宋" w:cs="仿宋"/>
          <w:sz w:val="24"/>
          <w:szCs w:val="22"/>
          <w:highlight w:val="yellow"/>
        </w:rPr>
        <w:t>中载明。多家投标人提供的核心产品</w:t>
      </w:r>
      <w:r>
        <w:rPr>
          <w:rFonts w:hint="eastAsia" w:ascii="仿宋" w:hAnsi="仿宋" w:eastAsia="仿宋" w:cs="仿宋"/>
          <w:sz w:val="24"/>
          <w:szCs w:val="22"/>
          <w:highlight w:val="yellow"/>
          <w:lang w:eastAsia="zh-CN"/>
        </w:rPr>
        <w:t>品牌型号</w:t>
      </w:r>
      <w:r>
        <w:rPr>
          <w:rFonts w:hint="eastAsia" w:ascii="仿宋" w:hAnsi="仿宋" w:eastAsia="仿宋" w:cs="仿宋"/>
          <w:sz w:val="24"/>
          <w:szCs w:val="22"/>
          <w:highlight w:val="yellow"/>
        </w:rPr>
        <w:t>相同的，按前款规定处理。</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25.</w:t>
      </w:r>
      <w:r>
        <w:rPr>
          <w:rFonts w:hint="eastAsia" w:ascii="仿宋" w:hAnsi="仿宋" w:eastAsia="仿宋" w:cs="仿宋"/>
          <w:color w:val="auto"/>
          <w:sz w:val="24"/>
          <w:szCs w:val="22"/>
          <w:highlight w:val="none"/>
          <w:lang w:val="en-US" w:eastAsia="zh-CN"/>
        </w:rPr>
        <w:t>2</w:t>
      </w:r>
      <w:r>
        <w:rPr>
          <w:rFonts w:hint="eastAsia" w:ascii="仿宋" w:hAnsi="仿宋" w:eastAsia="仿宋" w:cs="仿宋"/>
          <w:color w:val="auto"/>
          <w:sz w:val="24"/>
          <w:szCs w:val="22"/>
          <w:highlight w:val="none"/>
        </w:rPr>
        <w:t>评标委员会只对实质上响应招标文件的投标进行评价和比较；评审应严格按照招标文件第二部分“投标人须知前附表”中规定以及招标文件的要求进行。具体要求等详见招标文件第四部分“评审方法”。</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25.</w:t>
      </w:r>
      <w:r>
        <w:rPr>
          <w:rFonts w:hint="eastAsia" w:ascii="仿宋" w:hAnsi="仿宋" w:eastAsia="仿宋" w:cs="仿宋"/>
          <w:color w:val="auto"/>
          <w:sz w:val="24"/>
          <w:szCs w:val="22"/>
          <w:highlight w:val="none"/>
          <w:lang w:val="en-US" w:eastAsia="zh-CN"/>
        </w:rPr>
        <w:t>3</w:t>
      </w:r>
      <w:r>
        <w:rPr>
          <w:rFonts w:hint="eastAsia" w:ascii="仿宋" w:hAnsi="仿宋" w:eastAsia="仿宋" w:cs="仿宋"/>
          <w:color w:val="auto"/>
          <w:sz w:val="24"/>
          <w:szCs w:val="22"/>
          <w:highlight w:val="none"/>
        </w:rPr>
        <w:t xml:space="preserve"> 评标委员会依法独立评审，严格遵守评审工作纪律。对需要共同认定的事项存在争议的，按照少数服从多数的原则作出评审结论。持不同意见的评标委员会成员应当在评标报告上签署不同意见并说明理由，不签署不同意见的视为同意。</w:t>
      </w:r>
    </w:p>
    <w:p>
      <w:pPr>
        <w:pStyle w:val="23"/>
        <w:spacing w:line="360" w:lineRule="auto"/>
        <w:outlineLvl w:val="9"/>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26.确定中标人</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26.1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26.2 评标委员会根据评审结果及招标文件的规定确定中标人。</w:t>
      </w:r>
    </w:p>
    <w:p>
      <w:pPr>
        <w:pStyle w:val="23"/>
        <w:spacing w:line="360" w:lineRule="auto"/>
        <w:outlineLvl w:val="9"/>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27.评标过程要求</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27.1 开标之后，直到签订合同止，凡是属于审查、澄清、评价和比较投标的有关资料以及定标意向等，均不向投标人或者其他与评标无关的人员透露。</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27.2 在确定中标人之前，投标人试图在投标文件审查、澄清、比较和评标时对评标委员会、采购人和采购代理机构施加任何影响都可能导致其投标无效。</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27.3 电子招投标的应急措施</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27.3.1 电子开标、评标如出现下列原因，导致系统无法正常运行或无法正常评标时，应采取应急措施。</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（1）系统服务器发生故障，无法访问或无法使用系统；</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（2）系统的软件或数据库出现错误，不能进行正常操作；</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（3）系统发现有安全漏洞，有潜在的泄密危险；</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（4）病毒发作或受到外来病毒的攻击；</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（5）出现其他不可抗拒的客观原因造成开评标系统无法正常使用。</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出现上述情况时，应对未开标的暂停开标。已在系统内开标、评标的立即停止。采取应急措施时，必须对原有资料及信息作出妥善保密处理。</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27.3.2 因系统原因导致投标人均无法解密电子投标文件时，采购代理机构可在开标现场直接导入投标人在投标截止时间前递交的未加密的电子投标文件进行开标、评标。</w:t>
      </w:r>
    </w:p>
    <w:p>
      <w:pPr>
        <w:pStyle w:val="23"/>
        <w:spacing w:line="360" w:lineRule="auto"/>
        <w:outlineLvl w:val="9"/>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28.投标人瑕疵滞后发现的处理规则</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28.1 无论基于何种原因，各项本应作拒绝处理的情形即便未被及时发现而使该投标人进入初审、综合评审或其他后续程序，包括已经签订合同的情形，一旦投标人被拒绝或该投标人的此前评议结果被取消，其现有的位置将被其他投标人依序替代，相关的一切损失均由该投标人承担。</w:t>
      </w:r>
    </w:p>
    <w:p>
      <w:pPr>
        <w:pStyle w:val="23"/>
        <w:spacing w:line="360" w:lineRule="auto"/>
        <w:outlineLvl w:val="9"/>
        <w:rPr>
          <w:rFonts w:hint="eastAsia" w:ascii="仿宋" w:hAnsi="仿宋" w:eastAsia="仿宋" w:cs="仿宋"/>
          <w:b/>
          <w:color w:val="auto"/>
          <w:sz w:val="24"/>
          <w:szCs w:val="22"/>
          <w:highlight w:val="none"/>
          <w:lang w:eastAsia="zh-CN"/>
        </w:rPr>
      </w:pPr>
      <w:r>
        <w:rPr>
          <w:rFonts w:hint="eastAsia" w:ascii="仿宋" w:hAnsi="仿宋" w:eastAsia="仿宋" w:cs="仿宋"/>
          <w:b/>
          <w:color w:val="auto"/>
          <w:sz w:val="24"/>
          <w:szCs w:val="22"/>
          <w:highlight w:val="none"/>
        </w:rPr>
        <w:t>29.采购项目</w:t>
      </w:r>
      <w:r>
        <w:rPr>
          <w:rFonts w:hint="eastAsia" w:ascii="仿宋" w:hAnsi="仿宋" w:eastAsia="仿宋" w:cs="仿宋"/>
          <w:b/>
          <w:color w:val="auto"/>
          <w:sz w:val="24"/>
          <w:szCs w:val="22"/>
          <w:highlight w:val="none"/>
          <w:lang w:eastAsia="zh-CN"/>
        </w:rPr>
        <w:t>无效投标</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29.1 在评标过程中，评标委员会发现有下列情形之一的，应对采购项目予以</w:t>
      </w:r>
      <w:r>
        <w:rPr>
          <w:rFonts w:hint="eastAsia" w:ascii="仿宋" w:hAnsi="仿宋" w:eastAsia="仿宋" w:cs="仿宋"/>
          <w:color w:val="auto"/>
          <w:sz w:val="24"/>
          <w:szCs w:val="22"/>
          <w:highlight w:val="none"/>
          <w:lang w:eastAsia="zh-CN"/>
        </w:rPr>
        <w:t>无效投标</w:t>
      </w:r>
      <w:r>
        <w:rPr>
          <w:rFonts w:hint="eastAsia" w:ascii="仿宋" w:hAnsi="仿宋" w:eastAsia="仿宋" w:cs="仿宋"/>
          <w:color w:val="auto"/>
          <w:sz w:val="24"/>
          <w:szCs w:val="22"/>
          <w:highlight w:val="none"/>
        </w:rPr>
        <w:t>：</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1）符合专业条件的</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或者对招标文件作实质响应的</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数量不足，导致进入详细评审、打分阶段的</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 xml:space="preserve">不足3家的； </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2）投标人的报价均超过了采购预算；</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3）出现影响采购公正的违法、违规行为的；</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4）因重大变故，采购任务取消的。</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除前款第四项规定的情形外，项目</w:t>
      </w:r>
      <w:r>
        <w:rPr>
          <w:rFonts w:hint="eastAsia" w:ascii="仿宋" w:hAnsi="仿宋" w:eastAsia="仿宋" w:cs="仿宋"/>
          <w:color w:val="auto"/>
          <w:sz w:val="24"/>
          <w:szCs w:val="22"/>
          <w:highlight w:val="none"/>
          <w:lang w:eastAsia="zh-CN"/>
        </w:rPr>
        <w:t>无效投标</w:t>
      </w:r>
      <w:r>
        <w:rPr>
          <w:rFonts w:hint="eastAsia" w:ascii="仿宋" w:hAnsi="仿宋" w:eastAsia="仿宋" w:cs="仿宋"/>
          <w:color w:val="auto"/>
          <w:sz w:val="24"/>
          <w:szCs w:val="22"/>
          <w:highlight w:val="none"/>
        </w:rPr>
        <w:t>后，如未变更采购方式，采购代理机构将依法重新组织招标。</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29.2 有前款第一项规定的情形导致</w:t>
      </w:r>
      <w:r>
        <w:rPr>
          <w:rFonts w:hint="eastAsia" w:ascii="仿宋" w:hAnsi="仿宋" w:eastAsia="仿宋" w:cs="仿宋"/>
          <w:color w:val="auto"/>
          <w:sz w:val="24"/>
          <w:szCs w:val="22"/>
          <w:highlight w:val="none"/>
          <w:lang w:eastAsia="zh-CN"/>
        </w:rPr>
        <w:t>无效投标</w:t>
      </w:r>
      <w:r>
        <w:rPr>
          <w:rFonts w:hint="eastAsia" w:ascii="仿宋" w:hAnsi="仿宋" w:eastAsia="仿宋" w:cs="仿宋"/>
          <w:color w:val="auto"/>
          <w:sz w:val="24"/>
          <w:szCs w:val="22"/>
          <w:highlight w:val="none"/>
        </w:rPr>
        <w:t>时，</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只有2家的，可以改为竞争性谈判方式，在书面征得</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同意并报经财政部门核准后，由采购人、采购代理机构按照竞争性谈判方式的程序组织采购。</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29.2.1 转为谈判后，若</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未能在评标委员会指定时间内（原则上不超过60分钟）提交符合要求的补充资料或未作出实质性响应的，投标无效。经过审查符合谈判要求的有效</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少于两家的，作</w:t>
      </w:r>
      <w:r>
        <w:rPr>
          <w:rFonts w:hint="eastAsia" w:ascii="仿宋" w:hAnsi="仿宋" w:eastAsia="仿宋" w:cs="仿宋"/>
          <w:color w:val="auto"/>
          <w:sz w:val="24"/>
          <w:szCs w:val="22"/>
          <w:highlight w:val="none"/>
          <w:lang w:eastAsia="zh-CN"/>
        </w:rPr>
        <w:t>无效投标</w:t>
      </w:r>
      <w:r>
        <w:rPr>
          <w:rFonts w:hint="eastAsia" w:ascii="仿宋" w:hAnsi="仿宋" w:eastAsia="仿宋" w:cs="仿宋"/>
          <w:color w:val="auto"/>
          <w:sz w:val="24"/>
          <w:szCs w:val="22"/>
          <w:highlight w:val="none"/>
        </w:rPr>
        <w:t>处理。</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29.2.2 评标委员会根据</w:t>
      </w:r>
      <w:r>
        <w:rPr>
          <w:rFonts w:hint="eastAsia" w:ascii="仿宋" w:hAnsi="仿宋" w:eastAsia="仿宋" w:cs="仿宋"/>
          <w:color w:val="auto"/>
          <w:sz w:val="24"/>
          <w:szCs w:val="22"/>
          <w:highlight w:val="none"/>
          <w:lang w:eastAsia="zh-CN"/>
        </w:rPr>
        <w:t>招标文件</w:t>
      </w:r>
      <w:r>
        <w:rPr>
          <w:rFonts w:hint="eastAsia" w:ascii="仿宋" w:hAnsi="仿宋" w:eastAsia="仿宋" w:cs="仿宋"/>
          <w:color w:val="auto"/>
          <w:sz w:val="24"/>
          <w:szCs w:val="22"/>
          <w:highlight w:val="none"/>
        </w:rPr>
        <w:t>内容与实质性响应</w:t>
      </w:r>
      <w:r>
        <w:rPr>
          <w:rFonts w:hint="eastAsia" w:ascii="仿宋" w:hAnsi="仿宋" w:eastAsia="仿宋" w:cs="仿宋"/>
          <w:color w:val="auto"/>
          <w:sz w:val="24"/>
          <w:szCs w:val="22"/>
          <w:highlight w:val="none"/>
          <w:lang w:eastAsia="zh-CN"/>
        </w:rPr>
        <w:t>招标文件</w:t>
      </w:r>
      <w:r>
        <w:rPr>
          <w:rFonts w:hint="eastAsia" w:ascii="仿宋" w:hAnsi="仿宋" w:eastAsia="仿宋" w:cs="仿宋"/>
          <w:color w:val="auto"/>
          <w:sz w:val="24"/>
          <w:szCs w:val="22"/>
          <w:highlight w:val="none"/>
        </w:rPr>
        <w:t>要求的</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分别进行谈判，并给予所有参加谈判的</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平等的谈判机会。在谈判过程中，评标委员会可以根据</w:t>
      </w:r>
      <w:r>
        <w:rPr>
          <w:rFonts w:hint="eastAsia" w:ascii="仿宋" w:hAnsi="仿宋" w:eastAsia="仿宋" w:cs="仿宋"/>
          <w:color w:val="auto"/>
          <w:sz w:val="24"/>
          <w:szCs w:val="22"/>
          <w:highlight w:val="none"/>
          <w:lang w:eastAsia="zh-CN"/>
        </w:rPr>
        <w:t>招标文件</w:t>
      </w:r>
      <w:r>
        <w:rPr>
          <w:rFonts w:hint="eastAsia" w:ascii="仿宋" w:hAnsi="仿宋" w:eastAsia="仿宋" w:cs="仿宋"/>
          <w:color w:val="auto"/>
          <w:sz w:val="24"/>
          <w:szCs w:val="22"/>
          <w:highlight w:val="none"/>
        </w:rPr>
        <w:t>和谈判情况实质性变动采购需求中的技术、服务要求以及合同草案条款，但不得变动</w:t>
      </w:r>
      <w:r>
        <w:rPr>
          <w:rFonts w:hint="eastAsia" w:ascii="仿宋" w:hAnsi="仿宋" w:eastAsia="仿宋" w:cs="仿宋"/>
          <w:color w:val="auto"/>
          <w:sz w:val="24"/>
          <w:szCs w:val="22"/>
          <w:highlight w:val="none"/>
          <w:lang w:eastAsia="zh-CN"/>
        </w:rPr>
        <w:t>招标文件</w:t>
      </w:r>
      <w:r>
        <w:rPr>
          <w:rFonts w:hint="eastAsia" w:ascii="仿宋" w:hAnsi="仿宋" w:eastAsia="仿宋" w:cs="仿宋"/>
          <w:color w:val="auto"/>
          <w:sz w:val="24"/>
          <w:szCs w:val="22"/>
          <w:highlight w:val="none"/>
        </w:rPr>
        <w:t>中的其他内容。实质性变动的内容，须经采购人代表确认。对</w:t>
      </w:r>
      <w:r>
        <w:rPr>
          <w:rFonts w:hint="eastAsia" w:ascii="仿宋" w:hAnsi="仿宋" w:eastAsia="仿宋" w:cs="仿宋"/>
          <w:color w:val="auto"/>
          <w:sz w:val="24"/>
          <w:szCs w:val="22"/>
          <w:highlight w:val="none"/>
          <w:lang w:eastAsia="zh-CN"/>
        </w:rPr>
        <w:t>招标文件</w:t>
      </w:r>
      <w:r>
        <w:rPr>
          <w:rFonts w:hint="eastAsia" w:ascii="仿宋" w:hAnsi="仿宋" w:eastAsia="仿宋" w:cs="仿宋"/>
          <w:color w:val="auto"/>
          <w:sz w:val="24"/>
          <w:szCs w:val="22"/>
          <w:highlight w:val="none"/>
        </w:rPr>
        <w:t>作出的实质性变动是</w:t>
      </w:r>
      <w:r>
        <w:rPr>
          <w:rFonts w:hint="eastAsia" w:ascii="仿宋" w:hAnsi="仿宋" w:eastAsia="仿宋" w:cs="仿宋"/>
          <w:color w:val="auto"/>
          <w:sz w:val="24"/>
          <w:szCs w:val="22"/>
          <w:highlight w:val="none"/>
          <w:lang w:eastAsia="zh-CN"/>
        </w:rPr>
        <w:t>招标文件</w:t>
      </w:r>
      <w:r>
        <w:rPr>
          <w:rFonts w:hint="eastAsia" w:ascii="仿宋" w:hAnsi="仿宋" w:eastAsia="仿宋" w:cs="仿宋"/>
          <w:color w:val="auto"/>
          <w:sz w:val="24"/>
          <w:szCs w:val="22"/>
          <w:highlight w:val="none"/>
        </w:rPr>
        <w:t>的有效组成部分，评标委员会应当及时以书面形式同时通知所有参加谈判的</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应当按照</w:t>
      </w:r>
      <w:r>
        <w:rPr>
          <w:rFonts w:hint="eastAsia" w:ascii="仿宋" w:hAnsi="仿宋" w:eastAsia="仿宋" w:cs="仿宋"/>
          <w:color w:val="auto"/>
          <w:sz w:val="24"/>
          <w:szCs w:val="22"/>
          <w:highlight w:val="none"/>
          <w:lang w:eastAsia="zh-CN"/>
        </w:rPr>
        <w:t>招标文件</w:t>
      </w:r>
      <w:r>
        <w:rPr>
          <w:rFonts w:hint="eastAsia" w:ascii="仿宋" w:hAnsi="仿宋" w:eastAsia="仿宋" w:cs="仿宋"/>
          <w:color w:val="auto"/>
          <w:sz w:val="24"/>
          <w:szCs w:val="22"/>
          <w:highlight w:val="none"/>
        </w:rPr>
        <w:t>的变动情况和评标委员会的要求重新提交</w:t>
      </w:r>
      <w:r>
        <w:rPr>
          <w:rFonts w:hint="eastAsia" w:ascii="仿宋" w:hAnsi="仿宋" w:eastAsia="仿宋" w:cs="仿宋"/>
          <w:color w:val="auto"/>
          <w:sz w:val="24"/>
          <w:szCs w:val="22"/>
          <w:highlight w:val="none"/>
          <w:lang w:eastAsia="zh-CN"/>
        </w:rPr>
        <w:t>投标文件</w:t>
      </w:r>
      <w:r>
        <w:rPr>
          <w:rFonts w:hint="eastAsia" w:ascii="仿宋" w:hAnsi="仿宋" w:eastAsia="仿宋" w:cs="仿宋"/>
          <w:color w:val="auto"/>
          <w:sz w:val="24"/>
          <w:szCs w:val="22"/>
          <w:highlight w:val="none"/>
        </w:rPr>
        <w:t>，并由其法定代表人或授权代表签字或者加盖公章。</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29.2.3 投标文件的报价视为谈判时的首次报价。谈判结束后，评标委员会应当要求所有继续参加谈判的</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在规定时间内提交不超过两轮的报价。</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的各轮报价是</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报价文件的有效组成部分。除最终报价外，谈判时将公开各</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每轮报价。</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29.2.4 在谈判内容不作实质性变更及重大调整的前提下，</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次轮报价不得高于上一轮报价，否则将视为重大偏离并导致报价被拒绝。</w:t>
      </w:r>
    </w:p>
    <w:p>
      <w:pPr>
        <w:pStyle w:val="23"/>
        <w:outlineLvl w:val="9"/>
        <w:rPr>
          <w:rFonts w:hint="eastAsia" w:ascii="仿宋" w:hAnsi="仿宋" w:eastAsia="仿宋" w:cs="仿宋"/>
          <w:color w:val="auto"/>
          <w:sz w:val="21"/>
          <w:szCs w:val="22"/>
          <w:highlight w:val="none"/>
        </w:rPr>
      </w:pPr>
      <w:bookmarkStart w:id="66" w:name="EB89510c3b3a30480c8610f449b19e4e0a"/>
      <w:r>
        <w:rPr>
          <w:rFonts w:hint="eastAsia" w:ascii="仿宋" w:hAnsi="仿宋" w:eastAsia="仿宋" w:cs="仿宋"/>
          <w:color w:val="auto"/>
          <w:sz w:val="20"/>
          <w:szCs w:val="22"/>
          <w:highlight w:val="none"/>
        </w:rPr>
        <w:t xml:space="preserve"> </w:t>
      </w:r>
      <w:bookmarkEnd w:id="66"/>
      <w:bookmarkStart w:id="67" w:name="EBcfcb2aa810f9473284463cee8dd57e95"/>
      <w:r>
        <w:rPr>
          <w:rFonts w:hint="eastAsia" w:ascii="仿宋" w:hAnsi="仿宋" w:eastAsia="仿宋" w:cs="仿宋"/>
          <w:color w:val="auto"/>
          <w:sz w:val="20"/>
          <w:szCs w:val="22"/>
          <w:highlight w:val="none"/>
        </w:rPr>
        <w:t xml:space="preserve"> </w:t>
      </w:r>
      <w:bookmarkEnd w:id="67"/>
      <w:bookmarkStart w:id="68" w:name="EBaf0501d4fc0047abb4da5d9e147222a8"/>
      <w:r>
        <w:rPr>
          <w:rFonts w:hint="eastAsia" w:ascii="仿宋" w:hAnsi="仿宋" w:eastAsia="仿宋" w:cs="仿宋"/>
          <w:color w:val="auto"/>
          <w:sz w:val="20"/>
          <w:szCs w:val="22"/>
          <w:highlight w:val="none"/>
        </w:rPr>
        <w:t xml:space="preserve"> </w:t>
      </w:r>
      <w:bookmarkEnd w:id="68"/>
    </w:p>
    <w:p>
      <w:pPr>
        <w:pStyle w:val="23"/>
        <w:keepNext/>
        <w:keepLines/>
        <w:adjustRightInd w:val="0"/>
        <w:spacing w:line="360" w:lineRule="auto"/>
        <w:outlineLvl w:val="9"/>
        <w:rPr>
          <w:rFonts w:hint="eastAsia" w:ascii="仿宋" w:hAnsi="仿宋" w:eastAsia="仿宋" w:cs="仿宋"/>
          <w:b/>
          <w:bCs/>
          <w:color w:val="auto"/>
          <w:kern w:val="0"/>
          <w:sz w:val="24"/>
          <w:szCs w:val="32"/>
          <w:highlight w:val="none"/>
        </w:rPr>
      </w:pPr>
      <w:bookmarkStart w:id="69" w:name="_Toc23581"/>
      <w:bookmarkStart w:id="70" w:name="_Toc256000011"/>
      <w:r>
        <w:rPr>
          <w:rFonts w:hint="eastAsia" w:ascii="仿宋" w:hAnsi="仿宋" w:eastAsia="仿宋" w:cs="仿宋"/>
          <w:b/>
          <w:bCs/>
          <w:color w:val="auto"/>
          <w:kern w:val="0"/>
          <w:sz w:val="24"/>
          <w:szCs w:val="32"/>
          <w:highlight w:val="none"/>
        </w:rPr>
        <w:t>八、履约保证金</w:t>
      </w:r>
      <w:bookmarkEnd w:id="69"/>
      <w:bookmarkEnd w:id="70"/>
    </w:p>
    <w:p>
      <w:pPr>
        <w:pStyle w:val="23"/>
        <w:spacing w:line="360" w:lineRule="auto"/>
        <w:outlineLvl w:val="9"/>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30.履约保证金</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30.1 履约保证金按照招标文件第二部分“投标人须知前附表”中</w:t>
      </w:r>
      <w:r>
        <w:rPr>
          <w:rFonts w:hint="eastAsia" w:ascii="仿宋" w:hAnsi="仿宋" w:eastAsia="仿宋" w:cs="仿宋"/>
          <w:color w:val="auto"/>
          <w:sz w:val="24"/>
          <w:szCs w:val="22"/>
          <w:highlight w:val="none"/>
          <w:lang w:val="en-US" w:eastAsia="zh-CN"/>
        </w:rPr>
        <w:t>的</w:t>
      </w:r>
      <w:r>
        <w:rPr>
          <w:rFonts w:hint="eastAsia" w:ascii="仿宋" w:hAnsi="仿宋" w:eastAsia="仿宋" w:cs="仿宋"/>
          <w:color w:val="auto"/>
          <w:sz w:val="24"/>
          <w:szCs w:val="22"/>
          <w:highlight w:val="none"/>
        </w:rPr>
        <w:t>规定，在签订合同前交纳。</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30.2 中标人在中标公告发布后及时足额交纳履约保证金。</w:t>
      </w:r>
    </w:p>
    <w:p>
      <w:pPr>
        <w:pStyle w:val="23"/>
        <w:outlineLvl w:val="9"/>
        <w:rPr>
          <w:rFonts w:hint="eastAsia" w:ascii="仿宋" w:hAnsi="仿宋" w:eastAsia="仿宋" w:cs="仿宋"/>
          <w:color w:val="auto"/>
          <w:sz w:val="21"/>
          <w:szCs w:val="22"/>
          <w:highlight w:val="none"/>
        </w:rPr>
      </w:pPr>
      <w:bookmarkStart w:id="71" w:name="EB09ff709202054180b10e7298446abc62"/>
      <w:r>
        <w:rPr>
          <w:rFonts w:hint="eastAsia" w:ascii="仿宋" w:hAnsi="仿宋" w:eastAsia="仿宋" w:cs="仿宋"/>
          <w:color w:val="auto"/>
          <w:sz w:val="20"/>
          <w:szCs w:val="22"/>
          <w:highlight w:val="none"/>
        </w:rPr>
        <w:t xml:space="preserve"> </w:t>
      </w:r>
      <w:bookmarkEnd w:id="71"/>
      <w:bookmarkStart w:id="72" w:name="EBa2782dfe55b145cf925f57f312c27ae5"/>
      <w:r>
        <w:rPr>
          <w:rFonts w:hint="eastAsia" w:ascii="仿宋" w:hAnsi="仿宋" w:eastAsia="仿宋" w:cs="仿宋"/>
          <w:color w:val="auto"/>
          <w:sz w:val="20"/>
          <w:szCs w:val="22"/>
          <w:highlight w:val="none"/>
        </w:rPr>
        <w:t xml:space="preserve"> </w:t>
      </w:r>
      <w:bookmarkEnd w:id="72"/>
      <w:bookmarkStart w:id="73" w:name="EBbe8c5d3558184a138eebad6fbda2d8b7"/>
      <w:r>
        <w:rPr>
          <w:rFonts w:hint="eastAsia" w:ascii="仿宋" w:hAnsi="仿宋" w:eastAsia="仿宋" w:cs="仿宋"/>
          <w:color w:val="auto"/>
          <w:sz w:val="20"/>
          <w:szCs w:val="22"/>
          <w:highlight w:val="none"/>
        </w:rPr>
        <w:t xml:space="preserve"> </w:t>
      </w:r>
      <w:bookmarkEnd w:id="73"/>
    </w:p>
    <w:p>
      <w:pPr>
        <w:pStyle w:val="23"/>
        <w:keepNext/>
        <w:keepLines/>
        <w:adjustRightInd w:val="0"/>
        <w:spacing w:line="360" w:lineRule="auto"/>
        <w:outlineLvl w:val="9"/>
        <w:rPr>
          <w:rFonts w:hint="eastAsia" w:ascii="仿宋" w:hAnsi="仿宋" w:eastAsia="仿宋" w:cs="仿宋"/>
          <w:b/>
          <w:bCs/>
          <w:color w:val="auto"/>
          <w:kern w:val="0"/>
          <w:sz w:val="24"/>
          <w:szCs w:val="32"/>
          <w:highlight w:val="none"/>
        </w:rPr>
      </w:pPr>
      <w:bookmarkStart w:id="74" w:name="_Toc14168"/>
      <w:bookmarkStart w:id="75" w:name="_Toc256000012"/>
      <w:r>
        <w:rPr>
          <w:rFonts w:hint="eastAsia" w:ascii="仿宋" w:hAnsi="仿宋" w:eastAsia="仿宋" w:cs="仿宋"/>
          <w:b/>
          <w:bCs/>
          <w:color w:val="auto"/>
          <w:kern w:val="0"/>
          <w:sz w:val="24"/>
          <w:szCs w:val="32"/>
          <w:highlight w:val="none"/>
        </w:rPr>
        <w:t>九、代理服务费、公证费</w:t>
      </w:r>
      <w:bookmarkEnd w:id="74"/>
      <w:bookmarkEnd w:id="75"/>
    </w:p>
    <w:p>
      <w:pPr>
        <w:pStyle w:val="23"/>
        <w:spacing w:line="360" w:lineRule="auto"/>
        <w:outlineLvl w:val="9"/>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31.代理服务费、公证费</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31.1 代理服务费、公证费按照招标文件第二部分“投标人须知前附表”中的规定由中标人交纳，请投标人在测算投标报价时充分考虑这一因素。</w:t>
      </w:r>
    </w:p>
    <w:p>
      <w:pPr>
        <w:pStyle w:val="23"/>
        <w:outlineLvl w:val="9"/>
        <w:rPr>
          <w:rFonts w:hint="eastAsia" w:ascii="仿宋" w:hAnsi="仿宋" w:eastAsia="仿宋" w:cs="仿宋"/>
          <w:color w:val="auto"/>
          <w:sz w:val="21"/>
          <w:szCs w:val="22"/>
          <w:highlight w:val="none"/>
        </w:rPr>
      </w:pPr>
      <w:bookmarkStart w:id="76" w:name="EB3d5290ec12874590b73093f235eb4b9c"/>
      <w:r>
        <w:rPr>
          <w:rFonts w:hint="eastAsia" w:ascii="仿宋" w:hAnsi="仿宋" w:eastAsia="仿宋" w:cs="仿宋"/>
          <w:color w:val="auto"/>
          <w:sz w:val="20"/>
          <w:szCs w:val="22"/>
          <w:highlight w:val="none"/>
        </w:rPr>
        <w:t xml:space="preserve"> </w:t>
      </w:r>
      <w:bookmarkEnd w:id="76"/>
      <w:bookmarkStart w:id="77" w:name="EBa88a30bffaa84b308ae0078153f9e940"/>
      <w:r>
        <w:rPr>
          <w:rFonts w:hint="eastAsia" w:ascii="仿宋" w:hAnsi="仿宋" w:eastAsia="仿宋" w:cs="仿宋"/>
          <w:color w:val="auto"/>
          <w:sz w:val="20"/>
          <w:szCs w:val="22"/>
          <w:highlight w:val="none"/>
        </w:rPr>
        <w:t xml:space="preserve"> </w:t>
      </w:r>
      <w:bookmarkEnd w:id="77"/>
      <w:bookmarkStart w:id="78" w:name="EB8594d7a587344cd4b5015c7adff7aa6f"/>
      <w:r>
        <w:rPr>
          <w:rFonts w:hint="eastAsia" w:ascii="仿宋" w:hAnsi="仿宋" w:eastAsia="仿宋" w:cs="仿宋"/>
          <w:color w:val="auto"/>
          <w:sz w:val="20"/>
          <w:szCs w:val="22"/>
          <w:highlight w:val="none"/>
        </w:rPr>
        <w:t xml:space="preserve"> </w:t>
      </w:r>
      <w:bookmarkEnd w:id="78"/>
    </w:p>
    <w:p>
      <w:pPr>
        <w:pStyle w:val="23"/>
        <w:keepNext/>
        <w:keepLines/>
        <w:adjustRightInd w:val="0"/>
        <w:spacing w:line="360" w:lineRule="auto"/>
        <w:outlineLvl w:val="9"/>
        <w:rPr>
          <w:rFonts w:hint="eastAsia" w:ascii="仿宋" w:hAnsi="仿宋" w:eastAsia="仿宋" w:cs="仿宋"/>
          <w:b/>
          <w:bCs/>
          <w:color w:val="auto"/>
          <w:kern w:val="0"/>
          <w:sz w:val="24"/>
          <w:szCs w:val="32"/>
          <w:highlight w:val="none"/>
        </w:rPr>
      </w:pPr>
      <w:bookmarkStart w:id="79" w:name="_Toc15174"/>
      <w:bookmarkStart w:id="80" w:name="_Toc256000013"/>
      <w:r>
        <w:rPr>
          <w:rFonts w:hint="eastAsia" w:ascii="仿宋" w:hAnsi="仿宋" w:eastAsia="仿宋" w:cs="仿宋"/>
          <w:b/>
          <w:bCs/>
          <w:color w:val="auto"/>
          <w:kern w:val="0"/>
          <w:sz w:val="24"/>
          <w:szCs w:val="32"/>
          <w:highlight w:val="none"/>
        </w:rPr>
        <w:t>十、签订、审核合同</w:t>
      </w:r>
      <w:bookmarkEnd w:id="79"/>
      <w:bookmarkEnd w:id="80"/>
    </w:p>
    <w:p>
      <w:pPr>
        <w:pStyle w:val="23"/>
        <w:spacing w:line="360" w:lineRule="auto"/>
        <w:outlineLvl w:val="9"/>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32.中标通知</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32.1 中标人确定后,采购代理机构将在相关政府采购信息发布媒体上发布中标公告，并以书面形式向中标人发出中标通知书，但该中标结果的有效性不依赖于未中标的投标人是否已经收到该通知。中标人应按照上述的规定交纳履约保证金、代理服务费和公证费并经采购代理机构确认后，委派专人持介绍信或授权书和身份证件前往采购代理机构领取中标通知书。中标通知书对采购人和中标人具有同等法律效力。中标通知书发出以后，采购人改变中标结果或者中标人放弃中标，应当承担相应的法律责任。</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32.2 采购代理机构对未中标的投标人不作未中标原因的解释，但中标结果的有效性不以未中标的投标人是否收到相应的通知为前提。</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32.3 中标通知书是合同的组成部分。</w:t>
      </w:r>
    </w:p>
    <w:p>
      <w:pPr>
        <w:pStyle w:val="23"/>
        <w:spacing w:line="360" w:lineRule="auto"/>
        <w:outlineLvl w:val="9"/>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33.签订合同</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33.1 中标人须在中标通知书发出之日起30日内与采购人签订采购合同。</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33.2 中标人须按照招标文件、投标文件及评标过程中的有关澄清、说明或者补正文件的内容与采购人签订合同。中标人不得再与采购人签订背离合同实质性内容的其他协议或声明。</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33.3 采购人如需追加与合同标的相同的货物，在不改变合同其他条款的前提下，提交追加合同的申请报经同级财政部门审核，可与中标人签订补充合同，但所有补充合同的采购金额不得超过原合同金额的百分之十。</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33.4 中标人一旦中标及签订合同后，不得转包，亦不得将合同全部及任何权利、义务向第三方转让。</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33.5 中标人不履行合同的，采购人可在报经同级人民政府财政部门核准后，与排位在中标人之后的第一位中标候选</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签订合同，以此类推；或在报经同级人民政府财政部门核准后重新组织采购。</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33.6 违反32.1条、32.2条的规定，给对方造成损失的，应承担赔偿责任。</w:t>
      </w:r>
    </w:p>
    <w:p>
      <w:pPr>
        <w:pStyle w:val="23"/>
        <w:spacing w:line="360" w:lineRule="auto"/>
        <w:outlineLvl w:val="9"/>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34.审核合同</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34.1 中标人持政府采购合同于签订合同之日起3个工作日内到兵团政采云</w:t>
      </w:r>
      <w:r>
        <w:rPr>
          <w:rFonts w:hint="eastAsia" w:ascii="仿宋" w:hAnsi="仿宋" w:eastAsia="仿宋" w:cs="仿宋"/>
          <w:color w:val="auto"/>
          <w:sz w:val="24"/>
          <w:szCs w:val="22"/>
          <w:highlight w:val="none"/>
          <w:lang w:val="en-US" w:eastAsia="zh-CN"/>
        </w:rPr>
        <w:t>平台</w:t>
      </w:r>
      <w:r>
        <w:rPr>
          <w:rFonts w:hint="eastAsia" w:ascii="仿宋" w:hAnsi="仿宋" w:eastAsia="仿宋" w:cs="仿宋"/>
          <w:color w:val="auto"/>
          <w:sz w:val="24"/>
          <w:szCs w:val="22"/>
          <w:highlight w:val="none"/>
        </w:rPr>
        <w:t>进行备案留存。</w:t>
      </w:r>
    </w:p>
    <w:p>
      <w:pPr>
        <w:pStyle w:val="23"/>
        <w:outlineLvl w:val="9"/>
        <w:rPr>
          <w:rFonts w:hint="eastAsia" w:ascii="仿宋" w:hAnsi="仿宋" w:eastAsia="仿宋" w:cs="仿宋"/>
          <w:color w:val="auto"/>
          <w:sz w:val="21"/>
          <w:szCs w:val="22"/>
          <w:highlight w:val="none"/>
        </w:rPr>
      </w:pPr>
      <w:bookmarkStart w:id="81" w:name="EB65972bcfd405439a8ed92726140c4e40"/>
      <w:r>
        <w:rPr>
          <w:rFonts w:hint="eastAsia" w:ascii="仿宋" w:hAnsi="仿宋" w:eastAsia="仿宋" w:cs="仿宋"/>
          <w:color w:val="auto"/>
          <w:sz w:val="20"/>
          <w:szCs w:val="22"/>
          <w:highlight w:val="none"/>
        </w:rPr>
        <w:t xml:space="preserve"> </w:t>
      </w:r>
      <w:bookmarkEnd w:id="81"/>
      <w:bookmarkStart w:id="82" w:name="EB6c0abc09bb1f4a6bbedf613e9381b7f4"/>
      <w:r>
        <w:rPr>
          <w:rFonts w:hint="eastAsia" w:ascii="仿宋" w:hAnsi="仿宋" w:eastAsia="仿宋" w:cs="仿宋"/>
          <w:color w:val="auto"/>
          <w:sz w:val="20"/>
          <w:szCs w:val="22"/>
          <w:highlight w:val="none"/>
        </w:rPr>
        <w:t xml:space="preserve"> </w:t>
      </w:r>
      <w:bookmarkEnd w:id="82"/>
      <w:bookmarkStart w:id="83" w:name="EB26d94f6935064ca08c11486392c4dde2"/>
      <w:r>
        <w:rPr>
          <w:rFonts w:hint="eastAsia" w:ascii="仿宋" w:hAnsi="仿宋" w:eastAsia="仿宋" w:cs="仿宋"/>
          <w:color w:val="auto"/>
          <w:sz w:val="20"/>
          <w:szCs w:val="22"/>
          <w:highlight w:val="none"/>
        </w:rPr>
        <w:t xml:space="preserve"> </w:t>
      </w:r>
      <w:bookmarkEnd w:id="83"/>
    </w:p>
    <w:p>
      <w:pPr>
        <w:pStyle w:val="23"/>
        <w:keepNext/>
        <w:keepLines/>
        <w:adjustRightInd w:val="0"/>
        <w:spacing w:line="360" w:lineRule="auto"/>
        <w:outlineLvl w:val="9"/>
        <w:rPr>
          <w:rFonts w:hint="eastAsia" w:ascii="仿宋" w:hAnsi="仿宋" w:eastAsia="仿宋" w:cs="仿宋"/>
          <w:b/>
          <w:bCs/>
          <w:color w:val="auto"/>
          <w:kern w:val="0"/>
          <w:sz w:val="24"/>
          <w:szCs w:val="32"/>
          <w:highlight w:val="none"/>
        </w:rPr>
      </w:pPr>
      <w:bookmarkStart w:id="84" w:name="_Toc256000014"/>
      <w:bookmarkStart w:id="85" w:name="_Toc907"/>
      <w:r>
        <w:rPr>
          <w:rFonts w:hint="eastAsia" w:ascii="仿宋" w:hAnsi="仿宋" w:eastAsia="仿宋" w:cs="仿宋"/>
          <w:b/>
          <w:bCs/>
          <w:color w:val="auto"/>
          <w:kern w:val="0"/>
          <w:sz w:val="24"/>
          <w:szCs w:val="32"/>
          <w:highlight w:val="none"/>
        </w:rPr>
        <w:t>十一、处罚、询问和质疑</w:t>
      </w:r>
      <w:bookmarkEnd w:id="84"/>
      <w:bookmarkEnd w:id="85"/>
      <w:r>
        <w:rPr>
          <w:rFonts w:hint="eastAsia" w:ascii="仿宋" w:hAnsi="仿宋" w:eastAsia="仿宋" w:cs="仿宋"/>
          <w:b/>
          <w:bCs/>
          <w:color w:val="auto"/>
          <w:kern w:val="0"/>
          <w:sz w:val="24"/>
          <w:szCs w:val="32"/>
          <w:highlight w:val="none"/>
        </w:rPr>
        <w:t xml:space="preserve"> </w:t>
      </w:r>
    </w:p>
    <w:p>
      <w:pPr>
        <w:pStyle w:val="23"/>
        <w:spacing w:line="360" w:lineRule="auto"/>
        <w:outlineLvl w:val="9"/>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35.处罚</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35.1 发生下列情况之一，投标人的保证金不予退还；情节严重的将其列入不良记录名单。</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1）开标后在投标有效期内，投标人撤回其投标；</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2）中标后无正当理由不与采购人签订合同的；</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3）中标人与采购人订立背离合同实质性内容的其他协议；</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4）将中标项目转让给他人，或者在投标文件中未说明，且未经采购代理机构同意，将中标项目分包给他人的；</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5）存在串通投标行为的；</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6）存在弄虚作假或提供虚假材料谋取中标的；</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7）投标人其他未按招标文件规定和合同约定履行义务的行为。</w:t>
      </w:r>
    </w:p>
    <w:p>
      <w:pPr>
        <w:pStyle w:val="23"/>
        <w:spacing w:line="360" w:lineRule="auto"/>
        <w:outlineLvl w:val="9"/>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36.询问</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36.1 投标人对采购事项有疑问的，可以向采购人或采购代理机构提出询问。</w:t>
      </w:r>
    </w:p>
    <w:p>
      <w:pPr>
        <w:pStyle w:val="23"/>
        <w:spacing w:line="360" w:lineRule="auto"/>
        <w:outlineLvl w:val="9"/>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37.投标人有权就招标事宜提出质疑</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37.1 投标人认为招标文件、采购过程和中标结果使自已的权益受到损害的，可以在知道或者应知其权益受到损害之日起7个工作日内，以书面形式提出质疑。</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37.2 质疑应当按照《中华人民共和国政府采购法》、《中华人民共和国政府采购法实施条例》、《</w:t>
      </w:r>
      <w:r>
        <w:rPr>
          <w:rFonts w:hint="eastAsia" w:ascii="仿宋" w:hAnsi="仿宋" w:eastAsia="仿宋" w:cs="仿宋"/>
          <w:color w:val="auto"/>
          <w:kern w:val="0"/>
          <w:sz w:val="24"/>
          <w:highlight w:val="none"/>
        </w:rPr>
        <w:t>政府采购质疑和投诉办法</w:t>
      </w:r>
      <w:r>
        <w:rPr>
          <w:rFonts w:hint="eastAsia" w:ascii="仿宋" w:hAnsi="仿宋" w:eastAsia="仿宋" w:cs="仿宋"/>
          <w:color w:val="auto"/>
          <w:sz w:val="24"/>
          <w:szCs w:val="22"/>
          <w:highlight w:val="none"/>
        </w:rPr>
        <w:t>》等法律法规的相关规定，以书面形式向采购代理机构提出。</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37.3 质疑书应当附上相关证明材料，否则质疑将视为无有效证据支持，将被予以驳回，并不得以上述理由要求延长质疑有效期。未递交投标文件的</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，其未参加后续采购活动，不得对递交投标文件截止后的采购过程、采购结果提出质疑。</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37.4 质疑人可以采取直接送达或者邮寄方式提交质疑书。采购代理机构收到质疑书后，对质疑书进行审查，对符合质疑条件的将办理签收手续，自签收质疑书之日起即为受理。</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37.5 采购代理机构将在受理书面质疑后7个工作日内审查质疑事项，作出答复或相关处理决定，并以书面形式通知质疑人和其他相关</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，但答复的内容不涉及商业秘密。</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37.6 投标人进行虚假和恶意质疑的，采购代理机构将提请有关部门将其列入不良记录名单，在一至三年内禁止参加政府采购活动，并将处理决定在相关政府采购媒体上公布。</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37.7 质疑人对答复不满意以及采购代理机构未在规定的时间内作出答复的，可以在答复期满后15个工作日内向财政部门投拆。</w:t>
      </w:r>
    </w:p>
    <w:p>
      <w:pPr>
        <w:pStyle w:val="23"/>
        <w:outlineLvl w:val="9"/>
        <w:rPr>
          <w:rFonts w:hint="eastAsia" w:ascii="仿宋" w:hAnsi="仿宋" w:eastAsia="仿宋" w:cs="仿宋"/>
          <w:color w:val="auto"/>
          <w:sz w:val="21"/>
          <w:szCs w:val="22"/>
          <w:highlight w:val="none"/>
        </w:rPr>
      </w:pPr>
      <w:bookmarkStart w:id="86" w:name="EB39c71293e74d40469078ba26d6416c98"/>
      <w:r>
        <w:rPr>
          <w:rFonts w:hint="eastAsia" w:ascii="仿宋" w:hAnsi="仿宋" w:eastAsia="仿宋" w:cs="仿宋"/>
          <w:color w:val="auto"/>
          <w:sz w:val="20"/>
          <w:szCs w:val="22"/>
          <w:highlight w:val="none"/>
        </w:rPr>
        <w:t xml:space="preserve"> </w:t>
      </w:r>
      <w:bookmarkEnd w:id="86"/>
      <w:bookmarkStart w:id="87" w:name="EB271efed5eb2c4571a51ef86245b10499"/>
      <w:r>
        <w:rPr>
          <w:rFonts w:hint="eastAsia" w:ascii="仿宋" w:hAnsi="仿宋" w:eastAsia="仿宋" w:cs="仿宋"/>
          <w:color w:val="auto"/>
          <w:sz w:val="20"/>
          <w:szCs w:val="22"/>
          <w:highlight w:val="none"/>
        </w:rPr>
        <w:t xml:space="preserve"> </w:t>
      </w:r>
      <w:bookmarkEnd w:id="87"/>
      <w:bookmarkStart w:id="88" w:name="EB1019d0c475354d278c10922fbe210b36"/>
      <w:r>
        <w:rPr>
          <w:rFonts w:hint="eastAsia" w:ascii="仿宋" w:hAnsi="仿宋" w:eastAsia="仿宋" w:cs="仿宋"/>
          <w:color w:val="auto"/>
          <w:sz w:val="20"/>
          <w:szCs w:val="22"/>
          <w:highlight w:val="none"/>
        </w:rPr>
        <w:t xml:space="preserve"> </w:t>
      </w:r>
      <w:bookmarkEnd w:id="88"/>
    </w:p>
    <w:p>
      <w:pPr>
        <w:pStyle w:val="23"/>
        <w:keepNext/>
        <w:keepLines/>
        <w:adjustRightInd w:val="0"/>
        <w:spacing w:line="360" w:lineRule="auto"/>
        <w:outlineLvl w:val="9"/>
        <w:rPr>
          <w:rFonts w:hint="eastAsia" w:ascii="仿宋" w:hAnsi="仿宋" w:eastAsia="仿宋" w:cs="仿宋"/>
          <w:b/>
          <w:bCs/>
          <w:color w:val="auto"/>
          <w:kern w:val="0"/>
          <w:sz w:val="24"/>
          <w:szCs w:val="32"/>
          <w:highlight w:val="none"/>
        </w:rPr>
      </w:pPr>
      <w:bookmarkStart w:id="89" w:name="_Toc256000015"/>
      <w:bookmarkStart w:id="90" w:name="_Toc12223"/>
      <w:r>
        <w:rPr>
          <w:rFonts w:hint="eastAsia" w:ascii="仿宋" w:hAnsi="仿宋" w:eastAsia="仿宋" w:cs="仿宋"/>
          <w:b/>
          <w:bCs/>
          <w:color w:val="auto"/>
          <w:kern w:val="0"/>
          <w:sz w:val="24"/>
          <w:szCs w:val="32"/>
          <w:highlight w:val="none"/>
        </w:rPr>
        <w:t>十二、保密和披露</w:t>
      </w:r>
      <w:bookmarkEnd w:id="89"/>
      <w:bookmarkEnd w:id="90"/>
    </w:p>
    <w:p>
      <w:pPr>
        <w:pStyle w:val="23"/>
        <w:spacing w:line="360" w:lineRule="auto"/>
        <w:outlineLvl w:val="9"/>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38.保密和披露</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38.1 投标人自领取招标文件之日起，须承担本招标项目保密义务，不得将因本次招标获得的信息向第三人外传。由采购人向投标人提供的图纸、详细资料、样品、模型、模件和所有其它资料，被视为保密资料，仅被用于它所规定的用途。除非得到采购人的同意，不能向任何第三方透露。开标结束后，应采购人要求，投标人应归还所有从采购人处获得的保密资料。</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38.2 采购代理机构有权将投标人提供的所有资料向有关政府部门或评审标书的有关人员披露。</w:t>
      </w:r>
    </w:p>
    <w:p>
      <w:pPr>
        <w:pStyle w:val="23"/>
        <w:spacing w:line="360" w:lineRule="auto"/>
        <w:ind w:firstLine="480" w:firstLineChars="20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38.3 在采购代理机构认为适当时、国家机关调查、审查、审计时以及其他符合法律规定的情形下，采购代理机构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pPr>
        <w:pStyle w:val="23"/>
        <w:rPr>
          <w:rFonts w:hint="eastAsia" w:ascii="仿宋" w:hAnsi="仿宋" w:eastAsia="仿宋" w:cs="仿宋"/>
          <w:color w:val="auto"/>
          <w:sz w:val="21"/>
          <w:szCs w:val="22"/>
          <w:highlight w:val="none"/>
        </w:rPr>
      </w:pPr>
      <w:bookmarkStart w:id="91" w:name="EB25a5329124b74315b236b5ababbb0bae"/>
      <w:r>
        <w:rPr>
          <w:rFonts w:hint="eastAsia" w:ascii="仿宋" w:hAnsi="仿宋" w:eastAsia="仿宋" w:cs="仿宋"/>
          <w:color w:val="auto"/>
          <w:sz w:val="20"/>
          <w:szCs w:val="22"/>
          <w:highlight w:val="none"/>
        </w:rPr>
        <w:t xml:space="preserve"> </w:t>
      </w:r>
      <w:bookmarkEnd w:id="91"/>
    </w:p>
    <w:bookmarkEnd w:id="16"/>
    <w:p>
      <w:pPr>
        <w:outlineLvl w:val="9"/>
        <w:rPr>
          <w:rFonts w:hint="eastAsia" w:ascii="仿宋" w:hAnsi="仿宋" w:eastAsia="仿宋" w:cs="仿宋"/>
          <w:color w:val="auto"/>
          <w:sz w:val="20"/>
          <w:highlight w:val="none"/>
        </w:rPr>
      </w:pPr>
    </w:p>
    <w:p>
      <w:pPr>
        <w:pStyle w:val="7"/>
        <w:numPr>
          <w:ilvl w:val="0"/>
          <w:numId w:val="0"/>
        </w:numPr>
        <w:tabs>
          <w:tab w:val="left" w:pos="0"/>
        </w:tabs>
        <w:spacing w:line="240" w:lineRule="auto"/>
        <w:outlineLvl w:val="9"/>
        <w:rPr>
          <w:rFonts w:ascii="仿宋" w:hAnsi="仿宋" w:eastAsia="仿宋" w:cs="仿宋"/>
          <w:b/>
          <w:color w:val="auto"/>
          <w:sz w:val="36"/>
          <w:highlight w:val="none"/>
        </w:rPr>
      </w:pPr>
      <w:bookmarkStart w:id="92" w:name="EB24095aed30e8447c97a82272874e1305"/>
    </w:p>
    <w:p>
      <w:pPr>
        <w:pStyle w:val="8"/>
        <w:outlineLvl w:val="9"/>
        <w:rPr>
          <w:rFonts w:ascii="仿宋" w:hAnsi="仿宋" w:eastAsia="仿宋" w:cs="仿宋"/>
          <w:b/>
          <w:color w:val="auto"/>
          <w:sz w:val="36"/>
          <w:highlight w:val="none"/>
        </w:rPr>
      </w:pPr>
    </w:p>
    <w:p>
      <w:pPr>
        <w:pStyle w:val="8"/>
        <w:outlineLvl w:val="9"/>
        <w:rPr>
          <w:rFonts w:ascii="仿宋" w:hAnsi="仿宋" w:eastAsia="仿宋" w:cs="仿宋"/>
          <w:b/>
          <w:color w:val="auto"/>
          <w:sz w:val="36"/>
          <w:highlight w:val="none"/>
        </w:rPr>
      </w:pPr>
    </w:p>
    <w:p>
      <w:pPr>
        <w:pStyle w:val="8"/>
        <w:outlineLvl w:val="9"/>
        <w:rPr>
          <w:rFonts w:ascii="仿宋" w:hAnsi="仿宋" w:eastAsia="仿宋" w:cs="仿宋"/>
          <w:b/>
          <w:color w:val="auto"/>
          <w:sz w:val="36"/>
          <w:highlight w:val="none"/>
        </w:rPr>
      </w:pPr>
    </w:p>
    <w:p>
      <w:pPr>
        <w:pStyle w:val="8"/>
        <w:outlineLvl w:val="9"/>
        <w:rPr>
          <w:rFonts w:ascii="仿宋" w:hAnsi="仿宋" w:eastAsia="仿宋" w:cs="仿宋"/>
          <w:b/>
          <w:color w:val="auto"/>
          <w:sz w:val="36"/>
          <w:highlight w:val="none"/>
        </w:rPr>
      </w:pPr>
    </w:p>
    <w:p>
      <w:pPr>
        <w:pStyle w:val="8"/>
        <w:outlineLvl w:val="9"/>
        <w:rPr>
          <w:rFonts w:ascii="仿宋" w:hAnsi="仿宋" w:eastAsia="仿宋" w:cs="仿宋"/>
          <w:b/>
          <w:color w:val="auto"/>
          <w:sz w:val="36"/>
          <w:highlight w:val="none"/>
        </w:rPr>
      </w:pPr>
    </w:p>
    <w:p>
      <w:pPr>
        <w:pStyle w:val="8"/>
        <w:outlineLvl w:val="9"/>
        <w:rPr>
          <w:rFonts w:ascii="仿宋" w:hAnsi="仿宋" w:eastAsia="仿宋" w:cs="仿宋"/>
          <w:b/>
          <w:color w:val="auto"/>
          <w:sz w:val="36"/>
          <w:highlight w:val="none"/>
        </w:rPr>
      </w:pPr>
    </w:p>
    <w:p>
      <w:pPr>
        <w:pStyle w:val="8"/>
        <w:outlineLvl w:val="9"/>
        <w:rPr>
          <w:rFonts w:ascii="仿宋" w:hAnsi="仿宋" w:eastAsia="仿宋" w:cs="仿宋"/>
          <w:b/>
          <w:color w:val="auto"/>
          <w:sz w:val="36"/>
          <w:highlight w:val="none"/>
        </w:rPr>
      </w:pPr>
    </w:p>
    <w:p>
      <w:pPr>
        <w:pStyle w:val="8"/>
        <w:outlineLvl w:val="9"/>
        <w:rPr>
          <w:rFonts w:ascii="仿宋" w:hAnsi="仿宋" w:eastAsia="仿宋" w:cs="仿宋"/>
          <w:b/>
          <w:color w:val="auto"/>
          <w:sz w:val="36"/>
          <w:highlight w:val="none"/>
        </w:rPr>
      </w:pPr>
    </w:p>
    <w:p>
      <w:pPr>
        <w:pStyle w:val="8"/>
        <w:outlineLvl w:val="9"/>
        <w:rPr>
          <w:rFonts w:ascii="仿宋" w:hAnsi="仿宋" w:eastAsia="仿宋" w:cs="仿宋"/>
          <w:b/>
          <w:color w:val="auto"/>
          <w:sz w:val="36"/>
          <w:highlight w:val="none"/>
        </w:rPr>
      </w:pPr>
    </w:p>
    <w:p>
      <w:pPr>
        <w:pStyle w:val="8"/>
        <w:rPr>
          <w:rFonts w:ascii="仿宋" w:hAnsi="仿宋" w:eastAsia="仿宋" w:cs="仿宋"/>
          <w:b/>
          <w:color w:val="auto"/>
          <w:sz w:val="36"/>
          <w:highlight w:val="none"/>
        </w:rPr>
      </w:pPr>
    </w:p>
    <w:p>
      <w:pPr>
        <w:ind w:firstLine="1440" w:firstLineChars="450"/>
        <w:jc w:val="both"/>
        <w:outlineLvl w:val="0"/>
        <w:rPr>
          <w:rFonts w:eastAsia="方正小标宋_GBK" w:cs="Times New Roman"/>
          <w:sz w:val="32"/>
          <w:szCs w:val="32"/>
        </w:rPr>
      </w:pPr>
      <w:bookmarkStart w:id="93" w:name="_Toc30563"/>
      <w:r>
        <w:rPr>
          <w:rFonts w:hint="eastAsia" w:eastAsia="方正小标宋_GBK" w:cs="Times New Roman"/>
          <w:sz w:val="32"/>
          <w:szCs w:val="32"/>
        </w:rPr>
        <w:t xml:space="preserve">第三部分   </w:t>
      </w:r>
      <w:bookmarkStart w:id="94" w:name="EBe6f29cfd18e6459587ecf2aa36a0140e"/>
      <w:bookmarkStart w:id="95" w:name="_Toc5269041"/>
      <w:bookmarkStart w:id="96" w:name="_Toc13196"/>
      <w:bookmarkStart w:id="97" w:name="_Toc3542"/>
      <w:bookmarkStart w:id="98" w:name="_Toc74759564"/>
      <w:bookmarkStart w:id="99" w:name="_Toc267320049"/>
      <w:bookmarkStart w:id="100" w:name="_Toc6917845"/>
      <w:bookmarkStart w:id="101" w:name="_Toc505930499"/>
      <w:bookmarkStart w:id="102" w:name="_Toc28827"/>
      <w:bookmarkStart w:id="103" w:name="_Toc19710"/>
      <w:bookmarkStart w:id="104" w:name="_Toc7892"/>
      <w:r>
        <w:rPr>
          <w:rFonts w:eastAsia="方正小标宋_GBK" w:cs="Times New Roman"/>
          <w:sz w:val="32"/>
          <w:szCs w:val="32"/>
        </w:rPr>
        <w:t>政府采购项目采购需求</w:t>
      </w:r>
      <w:bookmarkEnd w:id="93"/>
    </w:p>
    <w:p>
      <w:pPr>
        <w:pStyle w:val="7"/>
        <w:tabs>
          <w:tab w:val="left" w:pos="0"/>
        </w:tabs>
        <w:spacing w:line="240" w:lineRule="auto"/>
        <w:ind w:left="0" w:leftChars="0" w:firstLine="0" w:firstLineChars="0"/>
        <w:jc w:val="center"/>
        <w:outlineLvl w:val="9"/>
        <w:rPr>
          <w:rFonts w:hint="eastAsia" w:ascii="仿宋" w:hAnsi="仿宋" w:eastAsia="仿宋" w:cs="仿宋"/>
          <w:sz w:val="28"/>
          <w:szCs w:val="28"/>
          <w:highlight w:val="none"/>
        </w:rPr>
      </w:pPr>
    </w:p>
    <w:bookmarkEnd w:id="94"/>
    <w:bookmarkEnd w:id="95"/>
    <w:bookmarkEnd w:id="96"/>
    <w:bookmarkEnd w:id="97"/>
    <w:bookmarkEnd w:id="98"/>
    <w:bookmarkEnd w:id="99"/>
    <w:bookmarkEnd w:id="100"/>
    <w:bookmarkEnd w:id="101"/>
    <w:bookmarkEnd w:id="102"/>
    <w:bookmarkEnd w:id="103"/>
    <w:bookmarkEnd w:id="104"/>
    <w:p>
      <w:pPr>
        <w:jc w:val="center"/>
        <w:outlineLvl w:val="9"/>
        <w:rPr>
          <w:rFonts w:eastAsia="方正小标宋简体"/>
          <w:sz w:val="44"/>
          <w:szCs w:val="44"/>
        </w:rPr>
      </w:pPr>
    </w:p>
    <w:p>
      <w:pPr>
        <w:pStyle w:val="18"/>
        <w:outlineLvl w:val="9"/>
        <w:rPr>
          <w:rFonts w:eastAsia="方正小标宋简体"/>
          <w:sz w:val="44"/>
          <w:szCs w:val="44"/>
        </w:rPr>
      </w:pPr>
    </w:p>
    <w:p>
      <w:pPr>
        <w:outlineLvl w:val="9"/>
        <w:rPr>
          <w:rFonts w:eastAsia="方正小标宋简体"/>
          <w:sz w:val="44"/>
          <w:szCs w:val="44"/>
        </w:rPr>
      </w:pPr>
    </w:p>
    <w:p>
      <w:pPr>
        <w:pStyle w:val="18"/>
        <w:rPr>
          <w:rFonts w:eastAsia="方正小标宋简体"/>
          <w:sz w:val="44"/>
          <w:szCs w:val="44"/>
        </w:rPr>
      </w:pPr>
    </w:p>
    <w:p>
      <w:pPr>
        <w:rPr>
          <w:rFonts w:eastAsia="方正小标宋简体"/>
          <w:sz w:val="44"/>
          <w:szCs w:val="44"/>
        </w:rPr>
      </w:pPr>
    </w:p>
    <w:p>
      <w:pPr>
        <w:pStyle w:val="18"/>
      </w:pPr>
    </w:p>
    <w:p>
      <w:pPr>
        <w:jc w:val="left"/>
        <w:rPr>
          <w:rFonts w:hint="eastAsia" w:ascii="仿宋" w:hAnsi="仿宋" w:eastAsia="仿宋" w:cs="仿宋"/>
          <w:kern w:val="0"/>
          <w:sz w:val="24"/>
          <w:szCs w:val="24"/>
          <w:highlight w:val="none"/>
          <w:u w:val="single"/>
          <w:shd w:val="clear" w:color="auto" w:fill="auto"/>
          <w:lang w:val="en-US" w:eastAsia="zh-CN" w:bidi="ar-SA"/>
        </w:rPr>
      </w:pPr>
      <w:r>
        <w:rPr>
          <w:rFonts w:hint="eastAsia" w:ascii="宋体" w:hAnsi="宋体" w:eastAsia="宋体" w:cs="宋体"/>
          <w:b/>
          <w:bCs/>
          <w:sz w:val="28"/>
          <w:szCs w:val="28"/>
          <w:highlight w:val="none"/>
        </w:rPr>
        <w:t>项目名称：</w:t>
      </w:r>
      <w:r>
        <w:rPr>
          <w:rFonts w:hint="eastAsia" w:ascii="仿宋" w:hAnsi="仿宋" w:eastAsia="仿宋" w:cs="仿宋"/>
          <w:kern w:val="0"/>
          <w:sz w:val="24"/>
          <w:szCs w:val="24"/>
          <w:highlight w:val="none"/>
          <w:u w:val="single"/>
          <w:shd w:val="clear" w:color="auto" w:fill="auto"/>
          <w:lang w:val="en-US" w:eastAsia="zh-CN" w:bidi="ar-SA"/>
        </w:rPr>
        <w:t>第三师总医院（一期）医疗设施设备购置项目（第二包）（标项3）</w:t>
      </w:r>
      <w:r>
        <w:rPr>
          <w:rFonts w:hint="eastAsia" w:ascii="宋体" w:hAnsi="宋体" w:eastAsia="宋体" w:cs="宋体"/>
          <w:b/>
          <w:bCs/>
          <w:sz w:val="28"/>
          <w:szCs w:val="28"/>
        </w:rPr>
        <w:t>项目分类：</w:t>
      </w:r>
      <w:r>
        <w:rPr>
          <w:rFonts w:hint="eastAsia" w:ascii="仿宋" w:hAnsi="仿宋" w:eastAsia="仿宋" w:cs="仿宋"/>
          <w:kern w:val="0"/>
          <w:sz w:val="24"/>
          <w:szCs w:val="24"/>
          <w:highlight w:val="none"/>
          <w:u w:val="single"/>
          <w:shd w:val="clear" w:color="auto" w:fill="auto"/>
          <w:lang w:val="en-US" w:eastAsia="zh-CN" w:bidi="ar-SA"/>
        </w:rPr>
        <w:t>货物类</w:t>
      </w:r>
    </w:p>
    <w:p>
      <w:pPr>
        <w:jc w:val="left"/>
        <w:rPr>
          <w:rFonts w:eastAsia="方正小标宋_GBK" w:cs="Times New Roman"/>
          <w:sz w:val="32"/>
          <w:szCs w:val="32"/>
        </w:rPr>
      </w:pPr>
      <w:r>
        <w:rPr>
          <w:rFonts w:hint="eastAsia" w:ascii="宋体" w:hAnsi="宋体" w:eastAsia="宋体" w:cs="宋体"/>
          <w:b/>
          <w:bCs/>
          <w:sz w:val="28"/>
          <w:szCs w:val="28"/>
        </w:rPr>
        <w:t>采购单位：</w:t>
      </w:r>
      <w:r>
        <w:rPr>
          <w:rFonts w:hint="eastAsia" w:ascii="仿宋" w:hAnsi="仿宋" w:eastAsia="仿宋" w:cs="仿宋"/>
          <w:kern w:val="0"/>
          <w:sz w:val="24"/>
          <w:szCs w:val="24"/>
          <w:highlight w:val="none"/>
          <w:u w:val="single"/>
          <w:shd w:val="clear" w:color="auto" w:fill="auto"/>
          <w:lang w:val="en-US" w:eastAsia="zh-CN" w:bidi="ar-SA"/>
        </w:rPr>
        <w:t>新疆生产建设兵团第三师总医院</w:t>
      </w:r>
      <w:r>
        <w:rPr>
          <w:rFonts w:eastAsia="方正小标宋_GBK" w:cs="Times New Roman"/>
          <w:sz w:val="32"/>
          <w:szCs w:val="32"/>
        </w:rPr>
        <w:t xml:space="preserve"> </w:t>
      </w:r>
    </w:p>
    <w:p>
      <w:pPr>
        <w:jc w:val="left"/>
        <w:rPr>
          <w:rFonts w:eastAsia="方正小标宋_GBK" w:cs="Times New Roman"/>
          <w:sz w:val="32"/>
          <w:szCs w:val="32"/>
        </w:rPr>
      </w:pPr>
      <w:r>
        <w:rPr>
          <w:rFonts w:hint="eastAsia" w:ascii="宋体" w:hAnsi="宋体" w:eastAsia="宋体" w:cs="宋体"/>
          <w:b/>
          <w:bCs/>
          <w:sz w:val="28"/>
          <w:szCs w:val="28"/>
        </w:rPr>
        <w:t>编制单位：</w:t>
      </w:r>
      <w:r>
        <w:rPr>
          <w:rFonts w:hint="eastAsia" w:ascii="仿宋" w:hAnsi="仿宋" w:eastAsia="仿宋" w:cs="仿宋"/>
          <w:kern w:val="0"/>
          <w:sz w:val="24"/>
          <w:szCs w:val="24"/>
          <w:highlight w:val="none"/>
          <w:u w:val="single"/>
          <w:shd w:val="clear" w:color="auto" w:fill="auto"/>
          <w:lang w:val="en-US" w:eastAsia="zh-CN" w:bidi="ar-SA"/>
        </w:rPr>
        <w:t>新疆生产建设兵团第三师总医院</w:t>
      </w:r>
      <w:r>
        <w:rPr>
          <w:rFonts w:eastAsia="方正小标宋_GBK" w:cs="Times New Roman"/>
          <w:sz w:val="32"/>
          <w:szCs w:val="32"/>
        </w:rPr>
        <w:t xml:space="preserve">           </w:t>
      </w:r>
    </w:p>
    <w:p>
      <w:pPr>
        <w:jc w:val="left"/>
        <w:rPr>
          <w:rFonts w:eastAsia="方正小标宋_GBK" w:cs="Times New Roman"/>
          <w:sz w:val="32"/>
          <w:szCs w:val="32"/>
          <w:u w:val="single"/>
        </w:rPr>
      </w:pPr>
      <w:r>
        <w:rPr>
          <w:rFonts w:hint="eastAsia" w:ascii="宋体" w:hAnsi="宋体" w:eastAsia="宋体" w:cs="宋体"/>
          <w:b/>
          <w:bCs/>
          <w:sz w:val="28"/>
          <w:szCs w:val="28"/>
        </w:rPr>
        <w:t>编制时间：</w:t>
      </w:r>
      <w:r>
        <w:rPr>
          <w:rFonts w:hint="eastAsia" w:ascii="仿宋" w:hAnsi="仿宋" w:eastAsia="仿宋" w:cs="仿宋"/>
          <w:kern w:val="0"/>
          <w:sz w:val="24"/>
          <w:szCs w:val="24"/>
          <w:highlight w:val="none"/>
          <w:u w:val="single"/>
          <w:shd w:val="clear" w:color="auto" w:fill="auto"/>
          <w:lang w:val="en-US" w:eastAsia="zh-CN" w:bidi="ar-SA"/>
        </w:rPr>
        <w:t xml:space="preserve"> 2022年11月</w:t>
      </w:r>
      <w:r>
        <w:rPr>
          <w:rFonts w:hint="eastAsia" w:ascii="仿宋" w:hAnsi="仿宋" w:eastAsia="仿宋" w:cs="仿宋"/>
          <w:kern w:val="0"/>
          <w:sz w:val="24"/>
          <w:szCs w:val="24"/>
          <w:highlight w:val="none"/>
          <w:u w:val="none"/>
          <w:shd w:val="clear" w:color="auto" w:fill="auto"/>
          <w:lang w:val="en-US" w:eastAsia="zh-CN" w:bidi="ar-SA"/>
        </w:rPr>
        <w:t xml:space="preserve">     </w:t>
      </w:r>
    </w:p>
    <w:p>
      <w:pPr>
        <w:pStyle w:val="79"/>
        <w:ind w:left="1747" w:firstLine="472"/>
        <w:rPr>
          <w:rFonts w:hint="eastAsia" w:ascii="仿宋" w:hAnsi="仿宋" w:eastAsia="仿宋" w:cs="仿宋"/>
          <w:b/>
          <w:bCs/>
          <w:highlight w:val="none"/>
        </w:rPr>
      </w:pPr>
    </w:p>
    <w:p>
      <w:pPr>
        <w:pStyle w:val="87"/>
        <w:spacing w:line="573" w:lineRule="exact"/>
        <w:rPr>
          <w:rFonts w:hint="eastAsia" w:ascii="仿宋" w:hAnsi="仿宋" w:eastAsia="仿宋" w:cs="仿宋"/>
          <w:b/>
          <w:bCs/>
          <w:kern w:val="0"/>
          <w:sz w:val="24"/>
          <w:szCs w:val="24"/>
          <w:highlight w:val="none"/>
          <w:lang w:val="en-US" w:eastAsia="zh-CN" w:bidi="ar-SA"/>
        </w:rPr>
      </w:pPr>
    </w:p>
    <w:p>
      <w:pPr>
        <w:pStyle w:val="87"/>
        <w:spacing w:line="573" w:lineRule="exact"/>
        <w:rPr>
          <w:rFonts w:hint="eastAsia" w:ascii="仿宋" w:hAnsi="仿宋" w:eastAsia="仿宋" w:cs="仿宋"/>
          <w:b/>
          <w:bCs/>
          <w:kern w:val="0"/>
          <w:sz w:val="24"/>
          <w:szCs w:val="24"/>
          <w:highlight w:val="none"/>
          <w:lang w:val="en-US" w:eastAsia="zh-CN" w:bidi="ar-SA"/>
        </w:rPr>
      </w:pPr>
    </w:p>
    <w:p>
      <w:pPr>
        <w:pStyle w:val="87"/>
        <w:spacing w:line="573" w:lineRule="exact"/>
        <w:rPr>
          <w:rFonts w:hint="eastAsia" w:ascii="仿宋" w:hAnsi="仿宋" w:eastAsia="仿宋" w:cs="仿宋"/>
          <w:b/>
          <w:bCs/>
          <w:kern w:val="0"/>
          <w:sz w:val="24"/>
          <w:szCs w:val="24"/>
          <w:highlight w:val="none"/>
          <w:lang w:val="en-US" w:eastAsia="zh-CN" w:bidi="ar-SA"/>
        </w:rPr>
      </w:pPr>
    </w:p>
    <w:p>
      <w:pPr>
        <w:pStyle w:val="87"/>
        <w:spacing w:line="573" w:lineRule="exact"/>
        <w:rPr>
          <w:rFonts w:hint="eastAsia" w:ascii="仿宋" w:hAnsi="仿宋" w:eastAsia="仿宋" w:cs="仿宋"/>
          <w:b/>
          <w:bCs/>
          <w:kern w:val="0"/>
          <w:sz w:val="24"/>
          <w:szCs w:val="24"/>
          <w:highlight w:val="none"/>
          <w:lang w:val="en-US" w:eastAsia="zh-CN" w:bidi="ar-SA"/>
        </w:rPr>
      </w:pPr>
    </w:p>
    <w:p>
      <w:pPr>
        <w:pStyle w:val="87"/>
        <w:spacing w:line="573" w:lineRule="exact"/>
        <w:rPr>
          <w:rFonts w:hint="eastAsia" w:ascii="仿宋" w:hAnsi="仿宋" w:eastAsia="仿宋" w:cs="仿宋"/>
          <w:b/>
          <w:bCs/>
          <w:kern w:val="0"/>
          <w:sz w:val="24"/>
          <w:szCs w:val="24"/>
          <w:highlight w:val="none"/>
          <w:lang w:val="en-US" w:eastAsia="zh-CN" w:bidi="ar-SA"/>
        </w:rPr>
      </w:pPr>
    </w:p>
    <w:p>
      <w:pPr>
        <w:pStyle w:val="87"/>
        <w:spacing w:line="573" w:lineRule="exact"/>
        <w:rPr>
          <w:rFonts w:hint="eastAsia" w:ascii="仿宋" w:hAnsi="仿宋" w:eastAsia="仿宋" w:cs="仿宋"/>
          <w:b/>
          <w:bCs/>
          <w:kern w:val="0"/>
          <w:sz w:val="24"/>
          <w:szCs w:val="24"/>
          <w:highlight w:val="none"/>
          <w:lang w:val="en-US" w:eastAsia="zh-CN" w:bidi="ar-SA"/>
        </w:rPr>
      </w:pPr>
    </w:p>
    <w:p>
      <w:pPr>
        <w:pStyle w:val="87"/>
        <w:spacing w:line="573" w:lineRule="exact"/>
        <w:rPr>
          <w:rFonts w:hint="eastAsia" w:ascii="仿宋" w:hAnsi="仿宋" w:eastAsia="仿宋" w:cs="仿宋"/>
          <w:b/>
          <w:bCs/>
          <w:kern w:val="0"/>
          <w:sz w:val="24"/>
          <w:szCs w:val="24"/>
          <w:highlight w:val="none"/>
          <w:lang w:val="en-US" w:eastAsia="zh-CN" w:bidi="ar-SA"/>
        </w:rPr>
      </w:pPr>
    </w:p>
    <w:p>
      <w:pPr>
        <w:pStyle w:val="87"/>
        <w:spacing w:line="573" w:lineRule="exact"/>
        <w:rPr>
          <w:rFonts w:hint="eastAsia" w:ascii="仿宋" w:hAnsi="仿宋" w:eastAsia="仿宋" w:cs="仿宋"/>
          <w:b/>
          <w:bCs/>
          <w:kern w:val="0"/>
          <w:sz w:val="24"/>
          <w:szCs w:val="24"/>
          <w:highlight w:val="none"/>
          <w:lang w:val="en-US" w:eastAsia="zh-CN" w:bidi="ar-SA"/>
        </w:rPr>
      </w:pPr>
    </w:p>
    <w:p>
      <w:pPr>
        <w:pStyle w:val="87"/>
        <w:spacing w:line="573" w:lineRule="exact"/>
        <w:rPr>
          <w:rFonts w:hint="default" w:ascii="仿宋" w:hAnsi="仿宋" w:eastAsia="仿宋" w:cs="仿宋"/>
          <w:b/>
          <w:bCs/>
          <w:kern w:val="0"/>
          <w:sz w:val="24"/>
          <w:szCs w:val="24"/>
          <w:highlight w:val="none"/>
          <w:lang w:val="en-US" w:eastAsia="zh-CN" w:bidi="ar-SA"/>
        </w:rPr>
      </w:pPr>
      <w:r>
        <w:rPr>
          <w:rFonts w:hint="eastAsia" w:ascii="仿宋" w:hAnsi="仿宋" w:eastAsia="仿宋" w:cs="仿宋"/>
          <w:b/>
          <w:bCs/>
          <w:kern w:val="0"/>
          <w:sz w:val="28"/>
          <w:szCs w:val="28"/>
          <w:highlight w:val="none"/>
          <w:lang w:val="en-US" w:eastAsia="zh-CN" w:bidi="ar-SA"/>
        </w:rPr>
        <w:t xml:space="preserve"> 需求详情</w:t>
      </w:r>
    </w:p>
    <w:p>
      <w:pPr>
        <w:pStyle w:val="87"/>
        <w:shd w:val="clear" w:color="auto" w:fill="auto"/>
        <w:spacing w:line="573" w:lineRule="exact"/>
        <w:ind w:left="0" w:leftChars="0" w:firstLine="0" w:firstLineChars="0"/>
        <w:outlineLvl w:val="0"/>
        <w:rPr>
          <w:rFonts w:hint="eastAsia" w:ascii="仿宋" w:hAnsi="仿宋" w:eastAsia="仿宋" w:cs="仿宋"/>
          <w:b/>
          <w:bCs/>
          <w:kern w:val="0"/>
          <w:sz w:val="24"/>
          <w:szCs w:val="24"/>
          <w:highlight w:val="none"/>
          <w:lang w:val="en-US" w:eastAsia="zh-CN" w:bidi="ar-SA"/>
        </w:rPr>
      </w:pPr>
      <w:r>
        <w:rPr>
          <w:rFonts w:hint="eastAsia" w:ascii="仿宋" w:hAnsi="仿宋" w:eastAsia="仿宋" w:cs="仿宋"/>
          <w:b/>
          <w:bCs/>
          <w:kern w:val="0"/>
          <w:sz w:val="24"/>
          <w:szCs w:val="24"/>
          <w:highlight w:val="none"/>
          <w:lang w:val="en-US" w:eastAsia="zh-CN" w:bidi="ar-SA"/>
        </w:rPr>
        <w:t>（一）采购项目预算金额</w:t>
      </w:r>
    </w:p>
    <w:p>
      <w:pPr>
        <w:pStyle w:val="87"/>
        <w:numPr>
          <w:ilvl w:val="0"/>
          <w:numId w:val="0"/>
        </w:numPr>
        <w:shd w:val="clear" w:color="auto" w:fill="auto"/>
        <w:spacing w:line="573" w:lineRule="exact"/>
        <w:rPr>
          <w:rFonts w:hint="default" w:ascii="仿宋" w:hAnsi="仿宋" w:eastAsia="仿宋" w:cs="仿宋"/>
          <w:kern w:val="0"/>
          <w:sz w:val="24"/>
          <w:szCs w:val="24"/>
          <w:highlight w:val="none"/>
          <w:lang w:val="en-US" w:eastAsia="zh-CN" w:bidi="ar-SA"/>
        </w:rPr>
      </w:pPr>
      <w:r>
        <w:rPr>
          <w:rFonts w:hint="default" w:ascii="仿宋" w:hAnsi="仿宋" w:eastAsia="仿宋" w:cs="仿宋"/>
          <w:kern w:val="0"/>
          <w:sz w:val="24"/>
          <w:szCs w:val="24"/>
          <w:highlight w:val="none"/>
          <w:lang w:val="en-US" w:eastAsia="zh-CN" w:bidi="ar-SA"/>
        </w:rPr>
        <w:t>预算金额：</w:t>
      </w:r>
      <w:r>
        <w:rPr>
          <w:rFonts w:hint="eastAsia" w:ascii="仿宋" w:hAnsi="仿宋" w:eastAsia="仿宋" w:cs="仿宋"/>
          <w:kern w:val="0"/>
          <w:sz w:val="24"/>
          <w:szCs w:val="24"/>
          <w:highlight w:val="none"/>
          <w:lang w:val="en-US" w:eastAsia="zh-CN" w:bidi="ar-SA"/>
        </w:rPr>
        <w:t>7715000.00元</w:t>
      </w:r>
    </w:p>
    <w:p>
      <w:pPr>
        <w:pStyle w:val="87"/>
        <w:numPr>
          <w:ilvl w:val="0"/>
          <w:numId w:val="0"/>
        </w:numPr>
        <w:shd w:val="clear" w:color="auto" w:fill="auto"/>
        <w:spacing w:line="573" w:lineRule="exact"/>
        <w:outlineLvl w:val="0"/>
        <w:rPr>
          <w:rFonts w:hint="eastAsia" w:ascii="仿宋" w:hAnsi="仿宋" w:eastAsia="仿宋" w:cs="仿宋"/>
          <w:b/>
          <w:bCs/>
          <w:kern w:val="0"/>
          <w:sz w:val="24"/>
          <w:szCs w:val="24"/>
          <w:highlight w:val="none"/>
          <w:lang w:val="en-US" w:eastAsia="zh-CN" w:bidi="ar-SA"/>
        </w:rPr>
      </w:pPr>
      <w:r>
        <w:rPr>
          <w:rFonts w:hint="eastAsia" w:ascii="仿宋" w:hAnsi="仿宋" w:eastAsia="仿宋" w:cs="仿宋"/>
          <w:b/>
          <w:bCs/>
          <w:kern w:val="0"/>
          <w:sz w:val="24"/>
          <w:szCs w:val="24"/>
          <w:highlight w:val="none"/>
          <w:lang w:val="en-US" w:eastAsia="zh-CN" w:bidi="ar-SA"/>
        </w:rPr>
        <w:t>（二）采购标的汇总表</w:t>
      </w:r>
    </w:p>
    <w:tbl>
      <w:tblPr>
        <w:tblStyle w:val="19"/>
        <w:tblW w:w="9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2296"/>
        <w:gridCol w:w="661"/>
        <w:gridCol w:w="819"/>
        <w:gridCol w:w="962"/>
        <w:gridCol w:w="1949"/>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jc w:val="center"/>
        </w:trPr>
        <w:tc>
          <w:tcPr>
            <w:tcW w:w="754" w:type="dxa"/>
            <w:noWrap w:val="0"/>
            <w:vAlign w:val="center"/>
          </w:tcPr>
          <w:p>
            <w:pPr>
              <w:spacing w:line="560" w:lineRule="exact"/>
              <w:jc w:val="center"/>
              <w:rPr>
                <w:rFonts w:eastAsia="方正仿宋_GBK"/>
                <w:b w:val="0"/>
                <w:bCs/>
                <w:sz w:val="21"/>
                <w:szCs w:val="21"/>
              </w:rPr>
            </w:pPr>
            <w:r>
              <w:rPr>
                <w:rFonts w:eastAsia="方正仿宋_GBK"/>
                <w:b w:val="0"/>
                <w:bCs/>
                <w:sz w:val="21"/>
                <w:szCs w:val="21"/>
              </w:rPr>
              <w:t>序号</w:t>
            </w:r>
          </w:p>
        </w:tc>
        <w:tc>
          <w:tcPr>
            <w:tcW w:w="2296" w:type="dxa"/>
            <w:noWrap w:val="0"/>
            <w:vAlign w:val="center"/>
          </w:tcPr>
          <w:p>
            <w:pPr>
              <w:spacing w:line="560" w:lineRule="exact"/>
              <w:jc w:val="center"/>
              <w:rPr>
                <w:rFonts w:hint="default" w:eastAsia="方正仿宋_GBK"/>
                <w:b w:val="0"/>
                <w:bCs/>
                <w:sz w:val="21"/>
                <w:szCs w:val="21"/>
                <w:lang w:val="en-US" w:eastAsia="zh-CN"/>
              </w:rPr>
            </w:pPr>
            <w:r>
              <w:rPr>
                <w:rFonts w:hint="eastAsia" w:eastAsia="方正仿宋_GBK"/>
                <w:b w:val="0"/>
                <w:bCs/>
                <w:sz w:val="21"/>
                <w:szCs w:val="21"/>
                <w:lang w:val="en-US" w:eastAsia="zh-CN"/>
              </w:rPr>
              <w:t>标的名称</w:t>
            </w:r>
          </w:p>
        </w:tc>
        <w:tc>
          <w:tcPr>
            <w:tcW w:w="661" w:type="dxa"/>
            <w:noWrap w:val="0"/>
            <w:vAlign w:val="center"/>
          </w:tcPr>
          <w:p>
            <w:pPr>
              <w:spacing w:line="560" w:lineRule="exact"/>
              <w:jc w:val="center"/>
              <w:rPr>
                <w:rFonts w:eastAsia="方正仿宋_GBK"/>
                <w:b w:val="0"/>
                <w:bCs/>
                <w:sz w:val="21"/>
                <w:szCs w:val="21"/>
              </w:rPr>
            </w:pPr>
            <w:r>
              <w:rPr>
                <w:rFonts w:eastAsia="方正仿宋_GBK"/>
                <w:b w:val="0"/>
                <w:bCs/>
                <w:sz w:val="21"/>
                <w:szCs w:val="21"/>
              </w:rPr>
              <w:t>计量</w:t>
            </w:r>
          </w:p>
          <w:p>
            <w:pPr>
              <w:spacing w:line="560" w:lineRule="exact"/>
              <w:jc w:val="center"/>
              <w:rPr>
                <w:rFonts w:eastAsia="方正仿宋_GBK"/>
                <w:b w:val="0"/>
                <w:bCs/>
                <w:sz w:val="21"/>
                <w:szCs w:val="21"/>
              </w:rPr>
            </w:pPr>
            <w:r>
              <w:rPr>
                <w:rFonts w:eastAsia="方正仿宋_GBK"/>
                <w:b w:val="0"/>
                <w:bCs/>
                <w:sz w:val="21"/>
                <w:szCs w:val="21"/>
              </w:rPr>
              <w:t>单位</w:t>
            </w:r>
          </w:p>
        </w:tc>
        <w:tc>
          <w:tcPr>
            <w:tcW w:w="819" w:type="dxa"/>
            <w:noWrap w:val="0"/>
            <w:vAlign w:val="center"/>
          </w:tcPr>
          <w:p>
            <w:pPr>
              <w:spacing w:line="560" w:lineRule="exact"/>
              <w:jc w:val="center"/>
              <w:rPr>
                <w:rFonts w:eastAsia="方正仿宋_GBK"/>
                <w:b w:val="0"/>
                <w:bCs/>
                <w:sz w:val="21"/>
                <w:szCs w:val="21"/>
              </w:rPr>
            </w:pPr>
            <w:r>
              <w:rPr>
                <w:rFonts w:eastAsia="方正仿宋_GBK"/>
                <w:b w:val="0"/>
                <w:bCs/>
                <w:sz w:val="21"/>
                <w:szCs w:val="21"/>
              </w:rPr>
              <w:t>数量</w:t>
            </w:r>
          </w:p>
        </w:tc>
        <w:tc>
          <w:tcPr>
            <w:tcW w:w="962" w:type="dxa"/>
            <w:noWrap w:val="0"/>
            <w:vAlign w:val="center"/>
          </w:tcPr>
          <w:p>
            <w:pPr>
              <w:spacing w:line="560" w:lineRule="exact"/>
              <w:jc w:val="center"/>
              <w:rPr>
                <w:rFonts w:eastAsia="方正仿宋_GBK"/>
                <w:b w:val="0"/>
                <w:bCs/>
                <w:sz w:val="21"/>
                <w:szCs w:val="21"/>
              </w:rPr>
            </w:pPr>
            <w:r>
              <w:rPr>
                <w:rFonts w:eastAsia="方正仿宋_GBK"/>
                <w:b w:val="0"/>
                <w:bCs/>
                <w:sz w:val="21"/>
                <w:szCs w:val="21"/>
              </w:rPr>
              <w:t>是否</w:t>
            </w:r>
          </w:p>
          <w:p>
            <w:pPr>
              <w:spacing w:line="560" w:lineRule="exact"/>
              <w:jc w:val="center"/>
              <w:rPr>
                <w:rFonts w:eastAsia="方正仿宋_GBK"/>
                <w:b w:val="0"/>
                <w:bCs/>
                <w:sz w:val="21"/>
                <w:szCs w:val="21"/>
              </w:rPr>
            </w:pPr>
            <w:r>
              <w:rPr>
                <w:rFonts w:eastAsia="方正仿宋_GBK"/>
                <w:b w:val="0"/>
                <w:bCs/>
                <w:sz w:val="21"/>
                <w:szCs w:val="21"/>
              </w:rPr>
              <w:t>进口</w:t>
            </w:r>
          </w:p>
        </w:tc>
        <w:tc>
          <w:tcPr>
            <w:tcW w:w="1949" w:type="dxa"/>
            <w:noWrap w:val="0"/>
            <w:vAlign w:val="center"/>
          </w:tcPr>
          <w:p>
            <w:pPr>
              <w:spacing w:line="560" w:lineRule="exact"/>
              <w:jc w:val="center"/>
              <w:rPr>
                <w:rFonts w:hint="default" w:eastAsia="方正仿宋_GBK"/>
                <w:b w:val="0"/>
                <w:bCs/>
                <w:sz w:val="21"/>
                <w:szCs w:val="21"/>
                <w:lang w:val="en-US" w:eastAsia="zh-CN"/>
              </w:rPr>
            </w:pPr>
            <w:r>
              <w:rPr>
                <w:rFonts w:hint="eastAsia" w:eastAsia="方正仿宋_GBK"/>
                <w:b w:val="0"/>
                <w:bCs/>
                <w:sz w:val="21"/>
                <w:szCs w:val="21"/>
                <w:lang w:val="en-US" w:eastAsia="zh-CN"/>
              </w:rPr>
              <w:t>政府采购品目分类</w:t>
            </w:r>
          </w:p>
        </w:tc>
        <w:tc>
          <w:tcPr>
            <w:tcW w:w="1575" w:type="dxa"/>
            <w:noWrap w:val="0"/>
            <w:vAlign w:val="center"/>
          </w:tcPr>
          <w:p>
            <w:pPr>
              <w:spacing w:line="560" w:lineRule="exact"/>
              <w:jc w:val="center"/>
              <w:rPr>
                <w:rFonts w:eastAsia="方正仿宋_GBK"/>
                <w:b w:val="0"/>
                <w:bCs/>
                <w:sz w:val="21"/>
                <w:szCs w:val="21"/>
              </w:rPr>
            </w:pPr>
            <w:r>
              <w:rPr>
                <w:rFonts w:eastAsia="方正仿宋_GBK"/>
                <w:b w:val="0"/>
                <w:bCs/>
                <w:sz w:val="21"/>
                <w:szCs w:val="21"/>
              </w:rPr>
              <w:t>品目</w:t>
            </w:r>
          </w:p>
          <w:p>
            <w:pPr>
              <w:spacing w:line="560" w:lineRule="exact"/>
              <w:jc w:val="center"/>
              <w:rPr>
                <w:rFonts w:eastAsia="方正仿宋_GBK"/>
                <w:b w:val="0"/>
                <w:bCs/>
                <w:sz w:val="21"/>
                <w:szCs w:val="21"/>
              </w:rPr>
            </w:pPr>
            <w:r>
              <w:rPr>
                <w:rFonts w:eastAsia="方正仿宋_GBK"/>
                <w:b w:val="0"/>
                <w:bCs/>
                <w:sz w:val="21"/>
                <w:szCs w:val="21"/>
              </w:rPr>
              <w:t>分类编码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9" w:hRule="atLeast"/>
          <w:jc w:val="center"/>
        </w:trPr>
        <w:tc>
          <w:tcPr>
            <w:tcW w:w="754" w:type="dxa"/>
            <w:noWrap w:val="0"/>
            <w:vAlign w:val="center"/>
          </w:tcPr>
          <w:p>
            <w:pPr>
              <w:adjustRightInd w:val="0"/>
              <w:snapToGrid w:val="0"/>
              <w:spacing w:line="560" w:lineRule="exact"/>
              <w:jc w:val="center"/>
              <w:rPr>
                <w:rFonts w:hint="eastAsia" w:ascii="仿宋" w:hAnsi="仿宋" w:eastAsia="仿宋" w:cs="仿宋"/>
                <w:kern w:val="0"/>
                <w:sz w:val="24"/>
                <w:szCs w:val="24"/>
                <w:highlight w:val="none"/>
                <w:u w:val="none"/>
                <w:shd w:val="clear" w:color="auto" w:fill="auto"/>
                <w:lang w:val="en-US" w:eastAsia="zh-CN" w:bidi="ar-SA"/>
              </w:rPr>
            </w:pPr>
            <w:r>
              <w:rPr>
                <w:rFonts w:hint="eastAsia" w:ascii="仿宋" w:hAnsi="仿宋" w:eastAsia="仿宋" w:cs="仿宋"/>
                <w:kern w:val="0"/>
                <w:sz w:val="24"/>
                <w:szCs w:val="24"/>
                <w:highlight w:val="none"/>
                <w:u w:val="none"/>
                <w:shd w:val="clear" w:color="auto" w:fill="auto"/>
                <w:lang w:val="en-US" w:eastAsia="zh-CN" w:bidi="ar-SA"/>
              </w:rPr>
              <w:t>1</w:t>
            </w:r>
          </w:p>
        </w:tc>
        <w:tc>
          <w:tcPr>
            <w:tcW w:w="2296" w:type="dxa"/>
            <w:noWrap w:val="0"/>
            <w:vAlign w:val="center"/>
          </w:tcPr>
          <w:p>
            <w:pPr>
              <w:keepNext w:val="0"/>
              <w:keepLines w:val="0"/>
              <w:widowControl/>
              <w:suppressLineNumbers w:val="0"/>
              <w:jc w:val="center"/>
              <w:textAlignment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default" w:ascii="等线" w:hAnsi="等线" w:eastAsia="等线" w:cs="等线"/>
                <w:i w:val="0"/>
                <w:iCs w:val="0"/>
                <w:color w:val="000000"/>
                <w:kern w:val="0"/>
                <w:sz w:val="22"/>
                <w:szCs w:val="22"/>
                <w:u w:val="none"/>
                <w:lang w:val="en-US" w:eastAsia="zh-CN" w:bidi="ar"/>
              </w:rPr>
              <w:t>中央心电监护系统</w:t>
            </w:r>
          </w:p>
        </w:tc>
        <w:tc>
          <w:tcPr>
            <w:tcW w:w="661" w:type="dxa"/>
            <w:noWrap w:val="0"/>
            <w:vAlign w:val="center"/>
          </w:tcPr>
          <w:p>
            <w:pPr>
              <w:adjustRightInd w:val="0"/>
              <w:snapToGrid w:val="0"/>
              <w:spacing w:line="560" w:lineRule="exact"/>
              <w:jc w:val="center"/>
              <w:rPr>
                <w:rFonts w:hint="default" w:ascii="仿宋" w:hAnsi="仿宋" w:eastAsia="仿宋" w:cs="仿宋"/>
                <w:b w:val="0"/>
                <w:bCs w:val="0"/>
                <w:kern w:val="0"/>
                <w:sz w:val="24"/>
                <w:szCs w:val="24"/>
                <w:highlight w:val="none"/>
                <w:u w:val="none"/>
                <w:shd w:val="clear" w:color="auto" w:fill="auto"/>
                <w:lang w:val="en-US" w:eastAsia="zh-CN" w:bidi="ar-SA"/>
              </w:rPr>
            </w:pPr>
            <w:r>
              <w:rPr>
                <w:rFonts w:hint="eastAsia" w:ascii="仿宋" w:hAnsi="仿宋" w:eastAsia="仿宋" w:cs="仿宋"/>
                <w:b w:val="0"/>
                <w:bCs w:val="0"/>
                <w:kern w:val="0"/>
                <w:sz w:val="24"/>
                <w:szCs w:val="24"/>
                <w:highlight w:val="none"/>
                <w:u w:val="none"/>
                <w:shd w:val="clear" w:color="auto" w:fill="auto"/>
                <w:lang w:val="en-US" w:eastAsia="zh-CN" w:bidi="ar-SA"/>
              </w:rPr>
              <w:t>套</w:t>
            </w:r>
          </w:p>
        </w:tc>
        <w:tc>
          <w:tcPr>
            <w:tcW w:w="819" w:type="dxa"/>
            <w:noWrap w:val="0"/>
            <w:vAlign w:val="center"/>
          </w:tcPr>
          <w:p>
            <w:pPr>
              <w:keepNext w:val="0"/>
              <w:keepLines w:val="0"/>
              <w:widowControl/>
              <w:suppressLineNumbers w:val="0"/>
              <w:jc w:val="center"/>
              <w:textAlignment w:val="center"/>
              <w:rPr>
                <w:rFonts w:hint="default" w:ascii="仿宋" w:hAnsi="仿宋" w:eastAsia="仿宋" w:cs="仿宋"/>
                <w:b w:val="0"/>
                <w:bCs w:val="0"/>
                <w:kern w:val="0"/>
                <w:sz w:val="24"/>
                <w:szCs w:val="24"/>
                <w:highlight w:val="none"/>
                <w:u w:val="none"/>
                <w:shd w:val="clear" w:color="auto" w:fill="auto"/>
                <w:lang w:val="en-US" w:eastAsia="zh-CN" w:bidi="ar-SA"/>
              </w:rPr>
            </w:pPr>
            <w:r>
              <w:rPr>
                <w:rFonts w:hint="default" w:ascii="等线" w:hAnsi="等线" w:eastAsia="等线" w:cs="等线"/>
                <w:i w:val="0"/>
                <w:iCs w:val="0"/>
                <w:color w:val="000000"/>
                <w:kern w:val="0"/>
                <w:sz w:val="22"/>
                <w:szCs w:val="22"/>
                <w:u w:val="none"/>
                <w:lang w:val="en-US" w:eastAsia="zh-CN" w:bidi="ar"/>
              </w:rPr>
              <w:t>1</w:t>
            </w:r>
          </w:p>
        </w:tc>
        <w:tc>
          <w:tcPr>
            <w:tcW w:w="962" w:type="dxa"/>
            <w:noWrap w:val="0"/>
            <w:vAlign w:val="center"/>
          </w:tcPr>
          <w:p>
            <w:pPr>
              <w:adjustRightInd w:val="0"/>
              <w:snapToGrid w:val="0"/>
              <w:spacing w:line="560" w:lineRule="exact"/>
              <w:jc w:val="center"/>
              <w:rPr>
                <w:rFonts w:hint="default" w:ascii="仿宋" w:hAnsi="仿宋" w:eastAsia="仿宋" w:cs="仿宋"/>
                <w:b w:val="0"/>
                <w:bCs w:val="0"/>
                <w:kern w:val="0"/>
                <w:sz w:val="24"/>
                <w:szCs w:val="24"/>
                <w:highlight w:val="none"/>
                <w:u w:val="none"/>
                <w:shd w:val="clear" w:color="auto" w:fill="auto"/>
                <w:lang w:val="en-US" w:eastAsia="zh-CN" w:bidi="ar-SA"/>
              </w:rPr>
            </w:pPr>
            <w:r>
              <w:rPr>
                <w:rFonts w:hint="eastAsia" w:ascii="仿宋" w:hAnsi="仿宋" w:eastAsia="仿宋" w:cs="仿宋"/>
                <w:b w:val="0"/>
                <w:bCs w:val="0"/>
                <w:kern w:val="0"/>
                <w:sz w:val="24"/>
                <w:szCs w:val="24"/>
                <w:highlight w:val="none"/>
                <w:u w:val="none"/>
                <w:shd w:val="clear" w:color="auto" w:fill="auto"/>
                <w:lang w:val="en-US" w:eastAsia="zh-CN" w:bidi="ar-SA"/>
              </w:rPr>
              <w:t>否</w:t>
            </w:r>
          </w:p>
        </w:tc>
        <w:tc>
          <w:tcPr>
            <w:tcW w:w="1949" w:type="dxa"/>
            <w:noWrap w:val="0"/>
            <w:vAlign w:val="center"/>
          </w:tcPr>
          <w:p>
            <w:pPr>
              <w:keepNext w:val="0"/>
              <w:keepLines w:val="0"/>
              <w:widowControl/>
              <w:suppressLineNumbers w:val="0"/>
              <w:jc w:val="center"/>
              <w:textAlignment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default" w:ascii="等线" w:hAnsi="等线" w:eastAsia="等线" w:cs="等线"/>
                <w:i w:val="0"/>
                <w:iCs w:val="0"/>
                <w:color w:val="000000"/>
                <w:kern w:val="0"/>
                <w:sz w:val="22"/>
                <w:szCs w:val="22"/>
                <w:u w:val="none"/>
                <w:lang w:val="en-US" w:eastAsia="zh-CN" w:bidi="ar"/>
              </w:rPr>
              <w:t>医用电子生理参数检测仪器设备</w:t>
            </w:r>
          </w:p>
        </w:tc>
        <w:tc>
          <w:tcPr>
            <w:tcW w:w="1575" w:type="dxa"/>
            <w:noWrap w:val="0"/>
            <w:vAlign w:val="center"/>
          </w:tcPr>
          <w:p>
            <w:pPr>
              <w:keepNext w:val="0"/>
              <w:keepLines w:val="0"/>
              <w:widowControl/>
              <w:suppressLineNumbers w:val="0"/>
              <w:jc w:val="center"/>
              <w:textAlignment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default" w:ascii="等线" w:hAnsi="等线" w:eastAsia="等线" w:cs="等线"/>
                <w:i w:val="0"/>
                <w:iCs w:val="0"/>
                <w:color w:val="000000"/>
                <w:kern w:val="0"/>
                <w:sz w:val="22"/>
                <w:szCs w:val="22"/>
                <w:u w:val="none"/>
                <w:lang w:val="en-US" w:eastAsia="zh-CN" w:bidi="ar"/>
              </w:rPr>
              <w:t>A02320300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9" w:hRule="atLeast"/>
          <w:jc w:val="center"/>
        </w:trPr>
        <w:tc>
          <w:tcPr>
            <w:tcW w:w="754" w:type="dxa"/>
            <w:noWrap w:val="0"/>
            <w:vAlign w:val="center"/>
          </w:tcPr>
          <w:p>
            <w:pPr>
              <w:adjustRightInd w:val="0"/>
              <w:snapToGrid w:val="0"/>
              <w:spacing w:line="560" w:lineRule="exact"/>
              <w:jc w:val="center"/>
              <w:rPr>
                <w:rFonts w:hint="default" w:ascii="仿宋" w:hAnsi="仿宋" w:eastAsia="仿宋" w:cs="仿宋"/>
                <w:kern w:val="0"/>
                <w:sz w:val="24"/>
                <w:szCs w:val="24"/>
                <w:highlight w:val="none"/>
                <w:u w:val="none"/>
                <w:shd w:val="clear" w:color="auto" w:fill="auto"/>
                <w:lang w:val="en-US" w:eastAsia="zh-CN" w:bidi="ar-SA"/>
              </w:rPr>
            </w:pPr>
            <w:r>
              <w:rPr>
                <w:rFonts w:hint="eastAsia" w:ascii="仿宋" w:hAnsi="仿宋" w:eastAsia="仿宋" w:cs="仿宋"/>
                <w:kern w:val="0"/>
                <w:sz w:val="24"/>
                <w:szCs w:val="24"/>
                <w:highlight w:val="none"/>
                <w:u w:val="none"/>
                <w:shd w:val="clear" w:color="auto" w:fill="auto"/>
                <w:lang w:val="en-US" w:eastAsia="zh-CN" w:bidi="ar-SA"/>
              </w:rPr>
              <w:t>2</w:t>
            </w:r>
          </w:p>
        </w:tc>
        <w:tc>
          <w:tcPr>
            <w:tcW w:w="2296" w:type="dxa"/>
            <w:noWrap w:val="0"/>
            <w:vAlign w:val="center"/>
          </w:tcPr>
          <w:p>
            <w:pPr>
              <w:keepNext w:val="0"/>
              <w:keepLines w:val="0"/>
              <w:widowControl/>
              <w:suppressLineNumbers w:val="0"/>
              <w:jc w:val="center"/>
              <w:textAlignment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default" w:ascii="等线" w:hAnsi="等线" w:eastAsia="等线" w:cs="等线"/>
                <w:i w:val="0"/>
                <w:iCs w:val="0"/>
                <w:color w:val="000000"/>
                <w:kern w:val="0"/>
                <w:sz w:val="22"/>
                <w:szCs w:val="22"/>
                <w:u w:val="none"/>
                <w:lang w:val="en-US" w:eastAsia="zh-CN" w:bidi="ar"/>
              </w:rPr>
              <w:t>手术治疗车（大号）</w:t>
            </w:r>
          </w:p>
        </w:tc>
        <w:tc>
          <w:tcPr>
            <w:tcW w:w="661" w:type="dxa"/>
            <w:noWrap w:val="0"/>
            <w:vAlign w:val="center"/>
          </w:tcPr>
          <w:p>
            <w:pPr>
              <w:adjustRightInd w:val="0"/>
              <w:snapToGrid w:val="0"/>
              <w:spacing w:line="560" w:lineRule="exact"/>
              <w:jc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eastAsia" w:ascii="仿宋" w:hAnsi="仿宋" w:eastAsia="仿宋" w:cs="仿宋"/>
                <w:b w:val="0"/>
                <w:bCs w:val="0"/>
                <w:kern w:val="0"/>
                <w:sz w:val="24"/>
                <w:szCs w:val="24"/>
                <w:highlight w:val="none"/>
                <w:u w:val="none"/>
                <w:shd w:val="clear" w:color="auto" w:fill="auto"/>
                <w:lang w:val="en-US" w:eastAsia="zh-CN" w:bidi="ar-SA"/>
              </w:rPr>
              <w:t>套</w:t>
            </w:r>
          </w:p>
        </w:tc>
        <w:tc>
          <w:tcPr>
            <w:tcW w:w="819" w:type="dxa"/>
            <w:noWrap w:val="0"/>
            <w:vAlign w:val="center"/>
          </w:tcPr>
          <w:p>
            <w:pPr>
              <w:keepNext w:val="0"/>
              <w:keepLines w:val="0"/>
              <w:widowControl/>
              <w:suppressLineNumbers w:val="0"/>
              <w:jc w:val="center"/>
              <w:textAlignment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default" w:ascii="等线" w:hAnsi="等线" w:eastAsia="等线" w:cs="等线"/>
                <w:i w:val="0"/>
                <w:iCs w:val="0"/>
                <w:color w:val="000000"/>
                <w:kern w:val="0"/>
                <w:sz w:val="22"/>
                <w:szCs w:val="22"/>
                <w:u w:val="none"/>
                <w:lang w:val="en-US" w:eastAsia="zh-CN" w:bidi="ar"/>
              </w:rPr>
              <w:t>3</w:t>
            </w:r>
          </w:p>
        </w:tc>
        <w:tc>
          <w:tcPr>
            <w:tcW w:w="962" w:type="dxa"/>
            <w:noWrap w:val="0"/>
            <w:vAlign w:val="center"/>
          </w:tcPr>
          <w:p>
            <w:pPr>
              <w:adjustRightInd w:val="0"/>
              <w:snapToGrid w:val="0"/>
              <w:spacing w:line="560" w:lineRule="exact"/>
              <w:jc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eastAsia" w:ascii="仿宋" w:hAnsi="仿宋" w:eastAsia="仿宋" w:cs="仿宋"/>
                <w:b w:val="0"/>
                <w:bCs w:val="0"/>
                <w:kern w:val="0"/>
                <w:sz w:val="24"/>
                <w:szCs w:val="24"/>
                <w:highlight w:val="none"/>
                <w:u w:val="none"/>
                <w:shd w:val="clear" w:color="auto" w:fill="auto"/>
                <w:lang w:val="en-US" w:eastAsia="zh-CN" w:bidi="ar-SA"/>
              </w:rPr>
              <w:t>否</w:t>
            </w:r>
          </w:p>
        </w:tc>
        <w:tc>
          <w:tcPr>
            <w:tcW w:w="1949" w:type="dxa"/>
            <w:noWrap w:val="0"/>
            <w:vAlign w:val="center"/>
          </w:tcPr>
          <w:p>
            <w:pPr>
              <w:keepNext w:val="0"/>
              <w:keepLines w:val="0"/>
              <w:widowControl/>
              <w:suppressLineNumbers w:val="0"/>
              <w:jc w:val="center"/>
              <w:textAlignment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default" w:ascii="等线" w:hAnsi="等线" w:eastAsia="等线" w:cs="等线"/>
                <w:i w:val="0"/>
                <w:iCs w:val="0"/>
                <w:color w:val="000000"/>
                <w:kern w:val="0"/>
                <w:sz w:val="22"/>
                <w:szCs w:val="22"/>
                <w:u w:val="none"/>
                <w:lang w:val="en-US" w:eastAsia="zh-CN" w:bidi="ar"/>
              </w:rPr>
              <w:t>手术室设备及附件</w:t>
            </w:r>
          </w:p>
        </w:tc>
        <w:tc>
          <w:tcPr>
            <w:tcW w:w="1575" w:type="dxa"/>
            <w:noWrap w:val="0"/>
            <w:vAlign w:val="center"/>
          </w:tcPr>
          <w:p>
            <w:pPr>
              <w:keepNext w:val="0"/>
              <w:keepLines w:val="0"/>
              <w:widowControl/>
              <w:suppressLineNumbers w:val="0"/>
              <w:jc w:val="center"/>
              <w:textAlignment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default" w:ascii="等线" w:hAnsi="等线" w:eastAsia="等线" w:cs="等线"/>
                <w:i w:val="0"/>
                <w:iCs w:val="0"/>
                <w:color w:val="000000"/>
                <w:kern w:val="0"/>
                <w:sz w:val="22"/>
                <w:szCs w:val="22"/>
                <w:u w:val="none"/>
                <w:lang w:val="en-US" w:eastAsia="zh-CN" w:bidi="ar"/>
              </w:rPr>
              <w:t>A02322400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9" w:hRule="atLeast"/>
          <w:jc w:val="center"/>
        </w:trPr>
        <w:tc>
          <w:tcPr>
            <w:tcW w:w="754" w:type="dxa"/>
            <w:noWrap w:val="0"/>
            <w:vAlign w:val="center"/>
          </w:tcPr>
          <w:p>
            <w:pPr>
              <w:adjustRightInd w:val="0"/>
              <w:snapToGrid w:val="0"/>
              <w:spacing w:line="560" w:lineRule="exact"/>
              <w:jc w:val="center"/>
              <w:rPr>
                <w:rFonts w:hint="default" w:ascii="仿宋" w:hAnsi="仿宋" w:eastAsia="仿宋" w:cs="仿宋"/>
                <w:kern w:val="0"/>
                <w:sz w:val="24"/>
                <w:szCs w:val="24"/>
                <w:highlight w:val="none"/>
                <w:u w:val="none"/>
                <w:shd w:val="clear" w:color="auto" w:fill="auto"/>
                <w:lang w:val="en-US" w:eastAsia="zh-CN" w:bidi="ar-SA"/>
              </w:rPr>
            </w:pPr>
            <w:r>
              <w:rPr>
                <w:rFonts w:hint="eastAsia" w:ascii="仿宋" w:hAnsi="仿宋" w:eastAsia="仿宋" w:cs="仿宋"/>
                <w:kern w:val="0"/>
                <w:sz w:val="24"/>
                <w:szCs w:val="24"/>
                <w:highlight w:val="none"/>
                <w:u w:val="none"/>
                <w:shd w:val="clear" w:color="auto" w:fill="auto"/>
                <w:lang w:val="en-US" w:eastAsia="zh-CN" w:bidi="ar-SA"/>
              </w:rPr>
              <w:t>3</w:t>
            </w:r>
          </w:p>
        </w:tc>
        <w:tc>
          <w:tcPr>
            <w:tcW w:w="2296" w:type="dxa"/>
            <w:noWrap w:val="0"/>
            <w:vAlign w:val="center"/>
          </w:tcPr>
          <w:p>
            <w:pPr>
              <w:keepNext w:val="0"/>
              <w:keepLines w:val="0"/>
              <w:widowControl/>
              <w:suppressLineNumbers w:val="0"/>
              <w:jc w:val="center"/>
              <w:textAlignment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default" w:ascii="等线" w:hAnsi="等线" w:eastAsia="等线" w:cs="等线"/>
                <w:i w:val="0"/>
                <w:iCs w:val="0"/>
                <w:color w:val="000000"/>
                <w:kern w:val="0"/>
                <w:sz w:val="22"/>
                <w:szCs w:val="22"/>
                <w:u w:val="none"/>
                <w:lang w:val="en-US" w:eastAsia="zh-CN" w:bidi="ar"/>
              </w:rPr>
              <w:t>电动床</w:t>
            </w:r>
          </w:p>
        </w:tc>
        <w:tc>
          <w:tcPr>
            <w:tcW w:w="661" w:type="dxa"/>
            <w:noWrap w:val="0"/>
            <w:vAlign w:val="center"/>
          </w:tcPr>
          <w:p>
            <w:pPr>
              <w:adjustRightInd w:val="0"/>
              <w:snapToGrid w:val="0"/>
              <w:spacing w:line="560" w:lineRule="exact"/>
              <w:jc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eastAsia" w:ascii="仿宋" w:hAnsi="仿宋" w:eastAsia="仿宋" w:cs="仿宋"/>
                <w:b w:val="0"/>
                <w:bCs w:val="0"/>
                <w:kern w:val="0"/>
                <w:sz w:val="24"/>
                <w:szCs w:val="24"/>
                <w:highlight w:val="none"/>
                <w:u w:val="none"/>
                <w:shd w:val="clear" w:color="auto" w:fill="auto"/>
                <w:lang w:val="en-US" w:eastAsia="zh-CN" w:bidi="ar-SA"/>
              </w:rPr>
              <w:t>套</w:t>
            </w:r>
          </w:p>
        </w:tc>
        <w:tc>
          <w:tcPr>
            <w:tcW w:w="819" w:type="dxa"/>
            <w:noWrap w:val="0"/>
            <w:vAlign w:val="center"/>
          </w:tcPr>
          <w:p>
            <w:pPr>
              <w:keepNext w:val="0"/>
              <w:keepLines w:val="0"/>
              <w:widowControl/>
              <w:suppressLineNumbers w:val="0"/>
              <w:jc w:val="center"/>
              <w:textAlignment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default" w:ascii="等线" w:hAnsi="等线" w:eastAsia="等线" w:cs="等线"/>
                <w:i w:val="0"/>
                <w:iCs w:val="0"/>
                <w:color w:val="000000"/>
                <w:kern w:val="0"/>
                <w:sz w:val="22"/>
                <w:szCs w:val="22"/>
                <w:u w:val="none"/>
                <w:lang w:val="en-US" w:eastAsia="zh-CN" w:bidi="ar"/>
              </w:rPr>
              <w:t>20</w:t>
            </w:r>
          </w:p>
        </w:tc>
        <w:tc>
          <w:tcPr>
            <w:tcW w:w="962" w:type="dxa"/>
            <w:noWrap w:val="0"/>
            <w:vAlign w:val="center"/>
          </w:tcPr>
          <w:p>
            <w:pPr>
              <w:adjustRightInd w:val="0"/>
              <w:snapToGrid w:val="0"/>
              <w:spacing w:line="560" w:lineRule="exact"/>
              <w:jc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eastAsia" w:ascii="仿宋" w:hAnsi="仿宋" w:eastAsia="仿宋" w:cs="仿宋"/>
                <w:b w:val="0"/>
                <w:bCs w:val="0"/>
                <w:kern w:val="0"/>
                <w:sz w:val="24"/>
                <w:szCs w:val="24"/>
                <w:highlight w:val="none"/>
                <w:u w:val="none"/>
                <w:shd w:val="clear" w:color="auto" w:fill="auto"/>
                <w:lang w:val="en-US" w:eastAsia="zh-CN" w:bidi="ar-SA"/>
              </w:rPr>
              <w:t>否</w:t>
            </w:r>
          </w:p>
        </w:tc>
        <w:tc>
          <w:tcPr>
            <w:tcW w:w="1949" w:type="dxa"/>
            <w:noWrap w:val="0"/>
            <w:vAlign w:val="center"/>
          </w:tcPr>
          <w:p>
            <w:pPr>
              <w:keepNext w:val="0"/>
              <w:keepLines w:val="0"/>
              <w:widowControl/>
              <w:suppressLineNumbers w:val="0"/>
              <w:jc w:val="center"/>
              <w:textAlignment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default" w:ascii="等线" w:hAnsi="等线" w:eastAsia="等线" w:cs="等线"/>
                <w:i w:val="0"/>
                <w:iCs w:val="0"/>
                <w:color w:val="000000"/>
                <w:kern w:val="0"/>
                <w:sz w:val="22"/>
                <w:szCs w:val="22"/>
                <w:u w:val="none"/>
                <w:lang w:val="en-US" w:eastAsia="zh-CN" w:bidi="ar"/>
              </w:rPr>
              <w:t>病房护理及医院设备</w:t>
            </w:r>
          </w:p>
        </w:tc>
        <w:tc>
          <w:tcPr>
            <w:tcW w:w="1575" w:type="dxa"/>
            <w:noWrap w:val="0"/>
            <w:vAlign w:val="center"/>
          </w:tcPr>
          <w:p>
            <w:pPr>
              <w:keepNext w:val="0"/>
              <w:keepLines w:val="0"/>
              <w:widowControl/>
              <w:suppressLineNumbers w:val="0"/>
              <w:jc w:val="center"/>
              <w:textAlignment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default" w:ascii="等线" w:hAnsi="等线" w:eastAsia="等线" w:cs="等线"/>
                <w:i w:val="0"/>
                <w:iCs w:val="0"/>
                <w:color w:val="000000"/>
                <w:kern w:val="0"/>
                <w:sz w:val="22"/>
                <w:szCs w:val="22"/>
                <w:u w:val="none"/>
                <w:lang w:val="en-US" w:eastAsia="zh-CN" w:bidi="ar"/>
              </w:rPr>
              <w:t>A02322700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9" w:hRule="atLeast"/>
          <w:jc w:val="center"/>
        </w:trPr>
        <w:tc>
          <w:tcPr>
            <w:tcW w:w="754" w:type="dxa"/>
            <w:noWrap w:val="0"/>
            <w:vAlign w:val="center"/>
          </w:tcPr>
          <w:p>
            <w:pPr>
              <w:adjustRightInd w:val="0"/>
              <w:snapToGrid w:val="0"/>
              <w:spacing w:line="560" w:lineRule="exact"/>
              <w:jc w:val="center"/>
              <w:rPr>
                <w:rFonts w:hint="default" w:ascii="仿宋" w:hAnsi="仿宋" w:eastAsia="仿宋" w:cs="仿宋"/>
                <w:kern w:val="0"/>
                <w:sz w:val="24"/>
                <w:szCs w:val="24"/>
                <w:highlight w:val="none"/>
                <w:u w:val="none"/>
                <w:shd w:val="clear" w:color="auto" w:fill="auto"/>
                <w:lang w:val="en-US" w:eastAsia="zh-CN" w:bidi="ar-SA"/>
              </w:rPr>
            </w:pPr>
            <w:r>
              <w:rPr>
                <w:rFonts w:hint="eastAsia" w:ascii="仿宋" w:hAnsi="仿宋" w:eastAsia="仿宋" w:cs="仿宋"/>
                <w:kern w:val="0"/>
                <w:sz w:val="24"/>
                <w:szCs w:val="24"/>
                <w:highlight w:val="none"/>
                <w:u w:val="none"/>
                <w:shd w:val="clear" w:color="auto" w:fill="auto"/>
                <w:lang w:val="en-US" w:eastAsia="zh-CN" w:bidi="ar-SA"/>
              </w:rPr>
              <w:t>4</w:t>
            </w:r>
          </w:p>
        </w:tc>
        <w:tc>
          <w:tcPr>
            <w:tcW w:w="2296" w:type="dxa"/>
            <w:noWrap w:val="0"/>
            <w:vAlign w:val="center"/>
          </w:tcPr>
          <w:p>
            <w:pPr>
              <w:keepNext w:val="0"/>
              <w:keepLines w:val="0"/>
              <w:widowControl/>
              <w:suppressLineNumbers w:val="0"/>
              <w:jc w:val="center"/>
              <w:textAlignment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default" w:ascii="等线" w:hAnsi="等线" w:eastAsia="等线" w:cs="等线"/>
                <w:i w:val="0"/>
                <w:iCs w:val="0"/>
                <w:color w:val="000000"/>
                <w:kern w:val="0"/>
                <w:sz w:val="22"/>
                <w:szCs w:val="22"/>
                <w:u w:val="none"/>
                <w:lang w:val="en-US" w:eastAsia="zh-CN" w:bidi="ar"/>
              </w:rPr>
              <w:t>心血管内超声检查系统(IVUS)</w:t>
            </w:r>
          </w:p>
        </w:tc>
        <w:tc>
          <w:tcPr>
            <w:tcW w:w="661" w:type="dxa"/>
            <w:noWrap w:val="0"/>
            <w:vAlign w:val="center"/>
          </w:tcPr>
          <w:p>
            <w:pPr>
              <w:adjustRightInd w:val="0"/>
              <w:snapToGrid w:val="0"/>
              <w:spacing w:line="560" w:lineRule="exact"/>
              <w:jc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eastAsia" w:ascii="仿宋" w:hAnsi="仿宋" w:eastAsia="仿宋" w:cs="仿宋"/>
                <w:b w:val="0"/>
                <w:bCs w:val="0"/>
                <w:kern w:val="0"/>
                <w:sz w:val="24"/>
                <w:szCs w:val="24"/>
                <w:highlight w:val="none"/>
                <w:u w:val="none"/>
                <w:shd w:val="clear" w:color="auto" w:fill="auto"/>
                <w:lang w:val="en-US" w:eastAsia="zh-CN" w:bidi="ar-SA"/>
              </w:rPr>
              <w:t>套</w:t>
            </w:r>
          </w:p>
        </w:tc>
        <w:tc>
          <w:tcPr>
            <w:tcW w:w="819" w:type="dxa"/>
            <w:noWrap w:val="0"/>
            <w:vAlign w:val="center"/>
          </w:tcPr>
          <w:p>
            <w:pPr>
              <w:keepNext w:val="0"/>
              <w:keepLines w:val="0"/>
              <w:widowControl/>
              <w:suppressLineNumbers w:val="0"/>
              <w:jc w:val="center"/>
              <w:textAlignment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default" w:ascii="等线" w:hAnsi="等线" w:eastAsia="等线" w:cs="等线"/>
                <w:i w:val="0"/>
                <w:iCs w:val="0"/>
                <w:color w:val="000000"/>
                <w:kern w:val="0"/>
                <w:sz w:val="22"/>
                <w:szCs w:val="22"/>
                <w:u w:val="none"/>
                <w:lang w:val="en-US" w:eastAsia="zh-CN" w:bidi="ar"/>
              </w:rPr>
              <w:t>1</w:t>
            </w:r>
          </w:p>
        </w:tc>
        <w:tc>
          <w:tcPr>
            <w:tcW w:w="962" w:type="dxa"/>
            <w:noWrap w:val="0"/>
            <w:vAlign w:val="center"/>
          </w:tcPr>
          <w:p>
            <w:pPr>
              <w:adjustRightInd w:val="0"/>
              <w:snapToGrid w:val="0"/>
              <w:spacing w:line="560" w:lineRule="exact"/>
              <w:jc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eastAsia" w:ascii="仿宋" w:hAnsi="仿宋" w:eastAsia="仿宋" w:cs="仿宋"/>
                <w:b w:val="0"/>
                <w:bCs w:val="0"/>
                <w:kern w:val="0"/>
                <w:sz w:val="24"/>
                <w:szCs w:val="24"/>
                <w:highlight w:val="none"/>
                <w:u w:val="none"/>
                <w:shd w:val="clear" w:color="auto" w:fill="auto"/>
                <w:lang w:val="en-US" w:eastAsia="zh-CN" w:bidi="ar-SA"/>
              </w:rPr>
              <w:t>否</w:t>
            </w:r>
          </w:p>
        </w:tc>
        <w:tc>
          <w:tcPr>
            <w:tcW w:w="1949" w:type="dxa"/>
            <w:noWrap w:val="0"/>
            <w:vAlign w:val="center"/>
          </w:tcPr>
          <w:p>
            <w:pPr>
              <w:keepNext w:val="0"/>
              <w:keepLines w:val="0"/>
              <w:widowControl/>
              <w:suppressLineNumbers w:val="0"/>
              <w:jc w:val="center"/>
              <w:textAlignment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default" w:ascii="等线" w:hAnsi="等线" w:eastAsia="等线" w:cs="等线"/>
                <w:i w:val="0"/>
                <w:iCs w:val="0"/>
                <w:color w:val="000000"/>
                <w:kern w:val="0"/>
                <w:sz w:val="22"/>
                <w:szCs w:val="22"/>
                <w:u w:val="none"/>
                <w:lang w:val="en-US" w:eastAsia="zh-CN" w:bidi="ar"/>
              </w:rPr>
              <w:t>医用超声波仪器及设备</w:t>
            </w:r>
          </w:p>
        </w:tc>
        <w:tc>
          <w:tcPr>
            <w:tcW w:w="1575" w:type="dxa"/>
            <w:noWrap w:val="0"/>
            <w:vAlign w:val="center"/>
          </w:tcPr>
          <w:p>
            <w:pPr>
              <w:keepNext w:val="0"/>
              <w:keepLines w:val="0"/>
              <w:widowControl/>
              <w:suppressLineNumbers w:val="0"/>
              <w:jc w:val="center"/>
              <w:textAlignment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default" w:ascii="等线" w:hAnsi="等线" w:eastAsia="等线" w:cs="等线"/>
                <w:i w:val="0"/>
                <w:iCs w:val="0"/>
                <w:color w:val="000000"/>
                <w:kern w:val="0"/>
                <w:sz w:val="22"/>
                <w:szCs w:val="22"/>
                <w:u w:val="none"/>
                <w:lang w:val="en-US" w:eastAsia="zh-CN" w:bidi="ar"/>
              </w:rPr>
              <w:t>A02320500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9" w:hRule="atLeast"/>
          <w:jc w:val="center"/>
        </w:trPr>
        <w:tc>
          <w:tcPr>
            <w:tcW w:w="754" w:type="dxa"/>
            <w:noWrap w:val="0"/>
            <w:vAlign w:val="center"/>
          </w:tcPr>
          <w:p>
            <w:pPr>
              <w:adjustRightInd w:val="0"/>
              <w:snapToGrid w:val="0"/>
              <w:spacing w:line="560" w:lineRule="exact"/>
              <w:jc w:val="center"/>
              <w:rPr>
                <w:rFonts w:hint="default" w:ascii="仿宋" w:hAnsi="仿宋" w:eastAsia="仿宋" w:cs="仿宋"/>
                <w:kern w:val="0"/>
                <w:sz w:val="24"/>
                <w:szCs w:val="24"/>
                <w:highlight w:val="none"/>
                <w:u w:val="none"/>
                <w:shd w:val="clear" w:color="auto" w:fill="auto"/>
                <w:lang w:val="en-US" w:eastAsia="zh-CN" w:bidi="ar-SA"/>
              </w:rPr>
            </w:pPr>
            <w:r>
              <w:rPr>
                <w:rFonts w:hint="eastAsia" w:ascii="仿宋" w:hAnsi="仿宋" w:eastAsia="仿宋" w:cs="仿宋"/>
                <w:kern w:val="0"/>
                <w:sz w:val="24"/>
                <w:szCs w:val="24"/>
                <w:highlight w:val="none"/>
                <w:u w:val="none"/>
                <w:shd w:val="clear" w:color="auto" w:fill="auto"/>
                <w:lang w:val="en-US" w:eastAsia="zh-CN" w:bidi="ar-SA"/>
              </w:rPr>
              <w:t>5</w:t>
            </w:r>
          </w:p>
        </w:tc>
        <w:tc>
          <w:tcPr>
            <w:tcW w:w="2296" w:type="dxa"/>
            <w:noWrap w:val="0"/>
            <w:vAlign w:val="center"/>
          </w:tcPr>
          <w:p>
            <w:pPr>
              <w:keepNext w:val="0"/>
              <w:keepLines w:val="0"/>
              <w:widowControl/>
              <w:suppressLineNumbers w:val="0"/>
              <w:jc w:val="center"/>
              <w:textAlignment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default" w:ascii="等线" w:hAnsi="等线" w:eastAsia="等线" w:cs="等线"/>
                <w:i w:val="0"/>
                <w:iCs w:val="0"/>
                <w:color w:val="000000"/>
                <w:kern w:val="0"/>
                <w:sz w:val="22"/>
                <w:szCs w:val="22"/>
                <w:u w:val="none"/>
                <w:lang w:val="en-US" w:eastAsia="zh-CN" w:bidi="ar"/>
              </w:rPr>
              <w:t>吊塔</w:t>
            </w:r>
          </w:p>
        </w:tc>
        <w:tc>
          <w:tcPr>
            <w:tcW w:w="661" w:type="dxa"/>
            <w:noWrap w:val="0"/>
            <w:vAlign w:val="center"/>
          </w:tcPr>
          <w:p>
            <w:pPr>
              <w:adjustRightInd w:val="0"/>
              <w:snapToGrid w:val="0"/>
              <w:spacing w:line="560" w:lineRule="exact"/>
              <w:jc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eastAsia" w:ascii="仿宋" w:hAnsi="仿宋" w:eastAsia="仿宋" w:cs="仿宋"/>
                <w:b w:val="0"/>
                <w:bCs w:val="0"/>
                <w:kern w:val="0"/>
                <w:sz w:val="24"/>
                <w:szCs w:val="24"/>
                <w:highlight w:val="none"/>
                <w:u w:val="none"/>
                <w:shd w:val="clear" w:color="auto" w:fill="auto"/>
                <w:lang w:val="en-US" w:eastAsia="zh-CN" w:bidi="ar-SA"/>
              </w:rPr>
              <w:t>套</w:t>
            </w:r>
          </w:p>
        </w:tc>
        <w:tc>
          <w:tcPr>
            <w:tcW w:w="819" w:type="dxa"/>
            <w:noWrap w:val="0"/>
            <w:vAlign w:val="center"/>
          </w:tcPr>
          <w:p>
            <w:pPr>
              <w:keepNext w:val="0"/>
              <w:keepLines w:val="0"/>
              <w:widowControl/>
              <w:suppressLineNumbers w:val="0"/>
              <w:jc w:val="center"/>
              <w:textAlignment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default" w:ascii="等线" w:hAnsi="等线" w:eastAsia="等线" w:cs="等线"/>
                <w:i w:val="0"/>
                <w:iCs w:val="0"/>
                <w:color w:val="000000"/>
                <w:kern w:val="0"/>
                <w:sz w:val="22"/>
                <w:szCs w:val="22"/>
                <w:u w:val="none"/>
                <w:lang w:val="en-US" w:eastAsia="zh-CN" w:bidi="ar"/>
              </w:rPr>
              <w:t>15</w:t>
            </w:r>
          </w:p>
        </w:tc>
        <w:tc>
          <w:tcPr>
            <w:tcW w:w="962" w:type="dxa"/>
            <w:noWrap w:val="0"/>
            <w:vAlign w:val="center"/>
          </w:tcPr>
          <w:p>
            <w:pPr>
              <w:adjustRightInd w:val="0"/>
              <w:snapToGrid w:val="0"/>
              <w:spacing w:line="560" w:lineRule="exact"/>
              <w:jc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eastAsia" w:ascii="仿宋" w:hAnsi="仿宋" w:eastAsia="仿宋" w:cs="仿宋"/>
                <w:b w:val="0"/>
                <w:bCs w:val="0"/>
                <w:kern w:val="0"/>
                <w:sz w:val="24"/>
                <w:szCs w:val="24"/>
                <w:highlight w:val="none"/>
                <w:u w:val="none"/>
                <w:shd w:val="clear" w:color="auto" w:fill="auto"/>
                <w:lang w:val="en-US" w:eastAsia="zh-CN" w:bidi="ar-SA"/>
              </w:rPr>
              <w:t>否</w:t>
            </w:r>
          </w:p>
        </w:tc>
        <w:tc>
          <w:tcPr>
            <w:tcW w:w="1949" w:type="dxa"/>
            <w:noWrap w:val="0"/>
            <w:vAlign w:val="center"/>
          </w:tcPr>
          <w:p>
            <w:pPr>
              <w:keepNext w:val="0"/>
              <w:keepLines w:val="0"/>
              <w:widowControl/>
              <w:suppressLineNumbers w:val="0"/>
              <w:jc w:val="center"/>
              <w:textAlignment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default" w:ascii="等线" w:hAnsi="等线" w:eastAsia="等线" w:cs="等线"/>
                <w:i w:val="0"/>
                <w:iCs w:val="0"/>
                <w:color w:val="000000"/>
                <w:kern w:val="0"/>
                <w:sz w:val="22"/>
                <w:szCs w:val="22"/>
                <w:u w:val="none"/>
                <w:lang w:val="en-US" w:eastAsia="zh-CN" w:bidi="ar"/>
              </w:rPr>
              <w:t>病房护理及医院设备</w:t>
            </w:r>
          </w:p>
        </w:tc>
        <w:tc>
          <w:tcPr>
            <w:tcW w:w="1575" w:type="dxa"/>
            <w:noWrap w:val="0"/>
            <w:vAlign w:val="center"/>
          </w:tcPr>
          <w:p>
            <w:pPr>
              <w:keepNext w:val="0"/>
              <w:keepLines w:val="0"/>
              <w:widowControl/>
              <w:suppressLineNumbers w:val="0"/>
              <w:jc w:val="center"/>
              <w:textAlignment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default" w:ascii="等线" w:hAnsi="等线" w:eastAsia="等线" w:cs="等线"/>
                <w:i w:val="0"/>
                <w:iCs w:val="0"/>
                <w:color w:val="000000"/>
                <w:kern w:val="0"/>
                <w:sz w:val="22"/>
                <w:szCs w:val="22"/>
                <w:u w:val="none"/>
                <w:lang w:val="en-US" w:eastAsia="zh-CN" w:bidi="ar"/>
              </w:rPr>
              <w:t>A02322700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9" w:hRule="atLeast"/>
          <w:jc w:val="center"/>
        </w:trPr>
        <w:tc>
          <w:tcPr>
            <w:tcW w:w="754" w:type="dxa"/>
            <w:noWrap w:val="0"/>
            <w:vAlign w:val="center"/>
          </w:tcPr>
          <w:p>
            <w:pPr>
              <w:adjustRightInd w:val="0"/>
              <w:snapToGrid w:val="0"/>
              <w:spacing w:line="560" w:lineRule="exact"/>
              <w:jc w:val="center"/>
              <w:rPr>
                <w:rFonts w:hint="default" w:ascii="仿宋" w:hAnsi="仿宋" w:eastAsia="仿宋" w:cs="仿宋"/>
                <w:kern w:val="0"/>
                <w:sz w:val="24"/>
                <w:szCs w:val="24"/>
                <w:highlight w:val="none"/>
                <w:u w:val="none"/>
                <w:shd w:val="clear" w:color="auto" w:fill="auto"/>
                <w:lang w:val="en-US" w:eastAsia="zh-CN" w:bidi="ar-SA"/>
              </w:rPr>
            </w:pPr>
            <w:r>
              <w:rPr>
                <w:rFonts w:hint="eastAsia" w:ascii="仿宋" w:hAnsi="仿宋" w:eastAsia="仿宋" w:cs="仿宋"/>
                <w:kern w:val="0"/>
                <w:sz w:val="24"/>
                <w:szCs w:val="24"/>
                <w:highlight w:val="none"/>
                <w:u w:val="none"/>
                <w:shd w:val="clear" w:color="auto" w:fill="auto"/>
                <w:lang w:val="en-US" w:eastAsia="zh-CN" w:bidi="ar-SA"/>
              </w:rPr>
              <w:t>6</w:t>
            </w:r>
          </w:p>
        </w:tc>
        <w:tc>
          <w:tcPr>
            <w:tcW w:w="2296" w:type="dxa"/>
            <w:noWrap w:val="0"/>
            <w:vAlign w:val="center"/>
          </w:tcPr>
          <w:p>
            <w:pPr>
              <w:keepNext w:val="0"/>
              <w:keepLines w:val="0"/>
              <w:widowControl/>
              <w:suppressLineNumbers w:val="0"/>
              <w:jc w:val="center"/>
              <w:textAlignment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default" w:ascii="等线" w:hAnsi="等线" w:eastAsia="等线" w:cs="等线"/>
                <w:i w:val="0"/>
                <w:iCs w:val="0"/>
                <w:color w:val="000000"/>
                <w:kern w:val="0"/>
                <w:sz w:val="22"/>
                <w:szCs w:val="22"/>
                <w:u w:val="none"/>
                <w:lang w:val="en-US" w:eastAsia="zh-CN" w:bidi="ar"/>
              </w:rPr>
              <w:t>临时起搏器</w:t>
            </w:r>
          </w:p>
        </w:tc>
        <w:tc>
          <w:tcPr>
            <w:tcW w:w="661" w:type="dxa"/>
            <w:noWrap w:val="0"/>
            <w:vAlign w:val="center"/>
          </w:tcPr>
          <w:p>
            <w:pPr>
              <w:adjustRightInd w:val="0"/>
              <w:snapToGrid w:val="0"/>
              <w:spacing w:line="560" w:lineRule="exact"/>
              <w:jc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eastAsia" w:ascii="仿宋" w:hAnsi="仿宋" w:eastAsia="仿宋" w:cs="仿宋"/>
                <w:b w:val="0"/>
                <w:bCs w:val="0"/>
                <w:kern w:val="0"/>
                <w:sz w:val="24"/>
                <w:szCs w:val="24"/>
                <w:highlight w:val="none"/>
                <w:u w:val="none"/>
                <w:shd w:val="clear" w:color="auto" w:fill="auto"/>
                <w:lang w:val="en-US" w:eastAsia="zh-CN" w:bidi="ar-SA"/>
              </w:rPr>
              <w:t>套</w:t>
            </w:r>
          </w:p>
        </w:tc>
        <w:tc>
          <w:tcPr>
            <w:tcW w:w="819" w:type="dxa"/>
            <w:noWrap w:val="0"/>
            <w:vAlign w:val="center"/>
          </w:tcPr>
          <w:p>
            <w:pPr>
              <w:keepNext w:val="0"/>
              <w:keepLines w:val="0"/>
              <w:widowControl/>
              <w:suppressLineNumbers w:val="0"/>
              <w:jc w:val="center"/>
              <w:textAlignment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default" w:ascii="等线" w:hAnsi="等线" w:eastAsia="等线" w:cs="等线"/>
                <w:i w:val="0"/>
                <w:iCs w:val="0"/>
                <w:color w:val="000000"/>
                <w:kern w:val="0"/>
                <w:sz w:val="22"/>
                <w:szCs w:val="22"/>
                <w:u w:val="none"/>
                <w:lang w:val="en-US" w:eastAsia="zh-CN" w:bidi="ar"/>
              </w:rPr>
              <w:t>1</w:t>
            </w:r>
          </w:p>
        </w:tc>
        <w:tc>
          <w:tcPr>
            <w:tcW w:w="962" w:type="dxa"/>
            <w:noWrap w:val="0"/>
            <w:vAlign w:val="center"/>
          </w:tcPr>
          <w:p>
            <w:pPr>
              <w:adjustRightInd w:val="0"/>
              <w:snapToGrid w:val="0"/>
              <w:spacing w:line="560" w:lineRule="exact"/>
              <w:jc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eastAsia" w:ascii="仿宋" w:hAnsi="仿宋" w:eastAsia="仿宋" w:cs="仿宋"/>
                <w:b w:val="0"/>
                <w:bCs w:val="0"/>
                <w:kern w:val="0"/>
                <w:sz w:val="24"/>
                <w:szCs w:val="24"/>
                <w:highlight w:val="none"/>
                <w:u w:val="none"/>
                <w:shd w:val="clear" w:color="auto" w:fill="auto"/>
                <w:lang w:val="en-US" w:eastAsia="zh-CN" w:bidi="ar-SA"/>
              </w:rPr>
              <w:t>否</w:t>
            </w:r>
          </w:p>
        </w:tc>
        <w:tc>
          <w:tcPr>
            <w:tcW w:w="1949" w:type="dxa"/>
            <w:noWrap w:val="0"/>
            <w:vAlign w:val="center"/>
          </w:tcPr>
          <w:p>
            <w:pPr>
              <w:keepNext w:val="0"/>
              <w:keepLines w:val="0"/>
              <w:widowControl/>
              <w:suppressLineNumbers w:val="0"/>
              <w:jc w:val="center"/>
              <w:textAlignment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default" w:ascii="等线" w:hAnsi="等线" w:eastAsia="等线" w:cs="等线"/>
                <w:i w:val="0"/>
                <w:iCs w:val="0"/>
                <w:color w:val="000000"/>
                <w:kern w:val="0"/>
                <w:sz w:val="22"/>
                <w:szCs w:val="22"/>
                <w:u w:val="none"/>
                <w:lang w:val="en-US" w:eastAsia="zh-CN" w:bidi="ar"/>
              </w:rPr>
              <w:t>介/植入诊断和治疗用器械</w:t>
            </w:r>
          </w:p>
        </w:tc>
        <w:tc>
          <w:tcPr>
            <w:tcW w:w="1575" w:type="dxa"/>
            <w:noWrap w:val="0"/>
            <w:vAlign w:val="center"/>
          </w:tcPr>
          <w:p>
            <w:pPr>
              <w:keepNext w:val="0"/>
              <w:keepLines w:val="0"/>
              <w:widowControl/>
              <w:suppressLineNumbers w:val="0"/>
              <w:jc w:val="center"/>
              <w:textAlignment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default" w:ascii="等线" w:hAnsi="等线" w:eastAsia="等线" w:cs="等线"/>
                <w:i w:val="0"/>
                <w:iCs w:val="0"/>
                <w:color w:val="000000"/>
                <w:kern w:val="0"/>
                <w:sz w:val="22"/>
                <w:szCs w:val="22"/>
                <w:u w:val="none"/>
                <w:lang w:val="en-US" w:eastAsia="zh-CN" w:bidi="ar"/>
              </w:rPr>
              <w:t>A02322600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2" w:hRule="atLeast"/>
          <w:jc w:val="center"/>
        </w:trPr>
        <w:tc>
          <w:tcPr>
            <w:tcW w:w="754" w:type="dxa"/>
            <w:noWrap w:val="0"/>
            <w:vAlign w:val="center"/>
          </w:tcPr>
          <w:p>
            <w:pPr>
              <w:adjustRightInd w:val="0"/>
              <w:snapToGrid w:val="0"/>
              <w:spacing w:line="560" w:lineRule="exact"/>
              <w:jc w:val="center"/>
              <w:rPr>
                <w:rFonts w:hint="default" w:ascii="仿宋" w:hAnsi="仿宋" w:eastAsia="仿宋" w:cs="仿宋"/>
                <w:kern w:val="0"/>
                <w:sz w:val="24"/>
                <w:szCs w:val="24"/>
                <w:highlight w:val="none"/>
                <w:u w:val="none"/>
                <w:shd w:val="clear" w:color="auto" w:fill="auto"/>
                <w:lang w:val="en-US" w:eastAsia="zh-CN" w:bidi="ar-SA"/>
              </w:rPr>
            </w:pPr>
            <w:r>
              <w:rPr>
                <w:rFonts w:hint="eastAsia" w:ascii="仿宋" w:hAnsi="仿宋" w:eastAsia="仿宋" w:cs="仿宋"/>
                <w:kern w:val="0"/>
                <w:sz w:val="24"/>
                <w:szCs w:val="24"/>
                <w:highlight w:val="none"/>
                <w:u w:val="none"/>
                <w:shd w:val="clear" w:color="auto" w:fill="auto"/>
                <w:lang w:val="en-US" w:eastAsia="zh-CN" w:bidi="ar-SA"/>
              </w:rPr>
              <w:t>7</w:t>
            </w:r>
          </w:p>
        </w:tc>
        <w:tc>
          <w:tcPr>
            <w:tcW w:w="2296" w:type="dxa"/>
            <w:noWrap w:val="0"/>
            <w:vAlign w:val="center"/>
          </w:tcPr>
          <w:p>
            <w:pPr>
              <w:keepNext w:val="0"/>
              <w:keepLines w:val="0"/>
              <w:widowControl/>
              <w:suppressLineNumbers w:val="0"/>
              <w:jc w:val="center"/>
              <w:textAlignment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default" w:ascii="等线" w:hAnsi="等线" w:eastAsia="等线" w:cs="等线"/>
                <w:i w:val="0"/>
                <w:iCs w:val="0"/>
                <w:color w:val="000000"/>
                <w:kern w:val="0"/>
                <w:sz w:val="22"/>
                <w:szCs w:val="22"/>
                <w:u w:val="none"/>
                <w:lang w:val="en-US" w:eastAsia="zh-CN" w:bidi="ar"/>
              </w:rPr>
              <w:t>心脏射频消融仪+电生理心脏三维标测系统</w:t>
            </w:r>
          </w:p>
        </w:tc>
        <w:tc>
          <w:tcPr>
            <w:tcW w:w="661" w:type="dxa"/>
            <w:noWrap w:val="0"/>
            <w:vAlign w:val="center"/>
          </w:tcPr>
          <w:p>
            <w:pPr>
              <w:adjustRightInd w:val="0"/>
              <w:snapToGrid w:val="0"/>
              <w:spacing w:line="560" w:lineRule="exact"/>
              <w:jc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eastAsia" w:ascii="仿宋" w:hAnsi="仿宋" w:eastAsia="仿宋" w:cs="仿宋"/>
                <w:b w:val="0"/>
                <w:bCs w:val="0"/>
                <w:kern w:val="0"/>
                <w:sz w:val="24"/>
                <w:szCs w:val="24"/>
                <w:highlight w:val="none"/>
                <w:u w:val="none"/>
                <w:shd w:val="clear" w:color="auto" w:fill="auto"/>
                <w:lang w:val="en-US" w:eastAsia="zh-CN" w:bidi="ar-SA"/>
              </w:rPr>
              <w:t>套</w:t>
            </w:r>
          </w:p>
        </w:tc>
        <w:tc>
          <w:tcPr>
            <w:tcW w:w="819" w:type="dxa"/>
            <w:noWrap w:val="0"/>
            <w:vAlign w:val="center"/>
          </w:tcPr>
          <w:p>
            <w:pPr>
              <w:keepNext w:val="0"/>
              <w:keepLines w:val="0"/>
              <w:widowControl/>
              <w:suppressLineNumbers w:val="0"/>
              <w:jc w:val="center"/>
              <w:textAlignment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default" w:ascii="等线" w:hAnsi="等线" w:eastAsia="等线" w:cs="等线"/>
                <w:i w:val="0"/>
                <w:iCs w:val="0"/>
                <w:color w:val="000000"/>
                <w:kern w:val="0"/>
                <w:sz w:val="22"/>
                <w:szCs w:val="22"/>
                <w:u w:val="none"/>
                <w:lang w:val="en-US" w:eastAsia="zh-CN" w:bidi="ar"/>
              </w:rPr>
              <w:t>1</w:t>
            </w:r>
          </w:p>
        </w:tc>
        <w:tc>
          <w:tcPr>
            <w:tcW w:w="962" w:type="dxa"/>
            <w:noWrap w:val="0"/>
            <w:vAlign w:val="center"/>
          </w:tcPr>
          <w:p>
            <w:pPr>
              <w:adjustRightInd w:val="0"/>
              <w:snapToGrid w:val="0"/>
              <w:spacing w:line="560" w:lineRule="exact"/>
              <w:jc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eastAsia" w:ascii="仿宋" w:hAnsi="仿宋" w:eastAsia="仿宋" w:cs="仿宋"/>
                <w:b w:val="0"/>
                <w:bCs w:val="0"/>
                <w:kern w:val="0"/>
                <w:sz w:val="24"/>
                <w:szCs w:val="24"/>
                <w:highlight w:val="none"/>
                <w:u w:val="none"/>
                <w:shd w:val="clear" w:color="auto" w:fill="auto"/>
                <w:lang w:val="en-US" w:eastAsia="zh-CN" w:bidi="ar-SA"/>
              </w:rPr>
              <w:t>否</w:t>
            </w:r>
          </w:p>
        </w:tc>
        <w:tc>
          <w:tcPr>
            <w:tcW w:w="1949" w:type="dxa"/>
            <w:noWrap w:val="0"/>
            <w:vAlign w:val="center"/>
          </w:tcPr>
          <w:p>
            <w:pPr>
              <w:keepNext w:val="0"/>
              <w:keepLines w:val="0"/>
              <w:widowControl/>
              <w:suppressLineNumbers w:val="0"/>
              <w:jc w:val="center"/>
              <w:textAlignment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default" w:ascii="等线" w:hAnsi="等线" w:eastAsia="等线" w:cs="等线"/>
                <w:i w:val="0"/>
                <w:iCs w:val="0"/>
                <w:color w:val="000000"/>
                <w:kern w:val="0"/>
                <w:sz w:val="22"/>
                <w:szCs w:val="22"/>
                <w:u w:val="none"/>
                <w:lang w:val="en-US" w:eastAsia="zh-CN" w:bidi="ar"/>
              </w:rPr>
              <w:t>介/植入诊断和治疗用器械</w:t>
            </w:r>
          </w:p>
        </w:tc>
        <w:tc>
          <w:tcPr>
            <w:tcW w:w="1575" w:type="dxa"/>
            <w:noWrap w:val="0"/>
            <w:vAlign w:val="center"/>
          </w:tcPr>
          <w:p>
            <w:pPr>
              <w:keepNext w:val="0"/>
              <w:keepLines w:val="0"/>
              <w:widowControl/>
              <w:suppressLineNumbers w:val="0"/>
              <w:jc w:val="center"/>
              <w:textAlignment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default" w:ascii="等线" w:hAnsi="等线" w:eastAsia="等线" w:cs="等线"/>
                <w:i w:val="0"/>
                <w:iCs w:val="0"/>
                <w:color w:val="000000"/>
                <w:kern w:val="0"/>
                <w:sz w:val="22"/>
                <w:szCs w:val="22"/>
                <w:u w:val="none"/>
                <w:lang w:val="en-US" w:eastAsia="zh-CN" w:bidi="ar"/>
              </w:rPr>
              <w:t>A02322600</w:t>
            </w:r>
          </w:p>
        </w:tc>
      </w:tr>
    </w:tbl>
    <w:p>
      <w:pPr>
        <w:pStyle w:val="87"/>
        <w:shd w:val="clear" w:color="auto" w:fill="auto"/>
        <w:spacing w:line="573" w:lineRule="exact"/>
        <w:ind w:left="0" w:leftChars="0" w:firstLine="0" w:firstLineChars="0"/>
        <w:rPr>
          <w:rFonts w:hint="eastAsia" w:ascii="仿宋" w:hAnsi="仿宋" w:eastAsia="仿宋" w:cs="仿宋"/>
          <w:b/>
          <w:bCs/>
          <w:kern w:val="0"/>
          <w:sz w:val="24"/>
          <w:szCs w:val="24"/>
          <w:highlight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87"/>
        <w:shd w:val="clear" w:color="auto" w:fill="auto"/>
        <w:spacing w:line="573" w:lineRule="exact"/>
        <w:ind w:left="0" w:leftChars="0" w:firstLine="0" w:firstLineChars="0"/>
        <w:outlineLvl w:val="0"/>
        <w:rPr>
          <w:rFonts w:hint="default" w:ascii="仿宋" w:hAnsi="仿宋" w:eastAsia="仿宋" w:cs="仿宋"/>
          <w:b/>
          <w:bCs/>
          <w:kern w:val="0"/>
          <w:sz w:val="24"/>
          <w:szCs w:val="24"/>
          <w:highlight w:val="none"/>
          <w:lang w:val="en-US" w:eastAsia="zh-CN" w:bidi="ar-SA"/>
        </w:rPr>
      </w:pPr>
      <w:r>
        <w:rPr>
          <w:rFonts w:hint="eastAsia" w:ascii="仿宋" w:hAnsi="仿宋" w:eastAsia="仿宋" w:cs="仿宋"/>
          <w:b/>
          <w:bCs/>
          <w:kern w:val="0"/>
          <w:sz w:val="24"/>
          <w:szCs w:val="24"/>
          <w:highlight w:val="none"/>
          <w:lang w:val="en-US" w:eastAsia="zh-CN" w:bidi="ar-SA"/>
        </w:rPr>
        <w:t>(三）需落实的政府采购政策功能</w:t>
      </w:r>
    </w:p>
    <w:p>
      <w:pPr>
        <w:pStyle w:val="79"/>
        <w:numPr>
          <w:ilvl w:val="0"/>
          <w:numId w:val="0"/>
        </w:numPr>
        <w:rPr>
          <w:rFonts w:hint="default" w:ascii="仿宋" w:hAnsi="仿宋" w:eastAsia="仿宋" w:cs="仿宋"/>
          <w:b/>
          <w:bCs/>
          <w:color w:val="auto"/>
          <w:kern w:val="0"/>
          <w:sz w:val="24"/>
          <w:szCs w:val="24"/>
          <w:highlight w:val="none"/>
          <w:lang w:val="en-US" w:eastAsia="zh-CN" w:bidi="ar-SA"/>
        </w:rPr>
      </w:pPr>
      <w:r>
        <w:rPr>
          <w:rFonts w:hint="eastAsia" w:ascii="仿宋" w:hAnsi="仿宋" w:eastAsia="仿宋" w:cs="仿宋"/>
          <w:b/>
          <w:bCs/>
          <w:kern w:val="0"/>
          <w:sz w:val="24"/>
          <w:szCs w:val="24"/>
          <w:highlight w:val="none"/>
          <w:lang w:val="en-US" w:eastAsia="zh-CN" w:bidi="ar-SA"/>
        </w:rPr>
        <w:t>1.</w:t>
      </w:r>
      <w:r>
        <w:rPr>
          <w:rFonts w:hint="eastAsia" w:ascii="仿宋" w:hAnsi="仿宋" w:eastAsia="仿宋" w:cs="仿宋"/>
          <w:b/>
          <w:bCs/>
          <w:color w:val="auto"/>
          <w:kern w:val="0"/>
          <w:sz w:val="24"/>
          <w:szCs w:val="24"/>
          <w:highlight w:val="none"/>
          <w:lang w:val="en-US" w:eastAsia="zh-CN" w:bidi="ar-SA"/>
        </w:rPr>
        <w:t>支持绿色发展</w:t>
      </w:r>
    </w:p>
    <w:p>
      <w:pPr>
        <w:pStyle w:val="79"/>
        <w:ind w:left="0" w:leftChars="0" w:firstLine="0" w:firstLineChars="0"/>
        <w:rPr>
          <w:rFonts w:hint="default" w:ascii="仿宋" w:hAnsi="仿宋" w:eastAsia="仿宋" w:cs="仿宋"/>
          <w:kern w:val="0"/>
          <w:highlight w:val="none"/>
          <w:lang w:val="en-US" w:eastAsia="zh-CN"/>
        </w:rPr>
      </w:pPr>
      <w:r>
        <w:rPr>
          <w:rFonts w:hint="eastAsia" w:ascii="仿宋" w:hAnsi="仿宋" w:eastAsia="仿宋" w:cs="仿宋"/>
          <w:kern w:val="0"/>
          <w:highlight w:val="none"/>
          <w:lang w:val="en-US" w:eastAsia="zh-CN"/>
        </w:rPr>
        <w:t>1）本次采购内容中所包含的节能产品政府采购品目清单：无。</w:t>
      </w:r>
    </w:p>
    <w:p>
      <w:pPr>
        <w:pStyle w:val="79"/>
        <w:numPr>
          <w:ilvl w:val="0"/>
          <w:numId w:val="0"/>
        </w:numPr>
        <w:rPr>
          <w:rFonts w:hint="default" w:ascii="仿宋" w:hAnsi="仿宋" w:eastAsia="仿宋" w:cs="仿宋"/>
          <w:kern w:val="0"/>
          <w:highlight w:val="none"/>
          <w:lang w:val="en-US" w:eastAsia="zh-CN"/>
        </w:rPr>
      </w:pPr>
      <w:r>
        <w:rPr>
          <w:rFonts w:hint="eastAsia" w:ascii="仿宋" w:hAnsi="仿宋" w:eastAsia="仿宋" w:cs="仿宋"/>
          <w:kern w:val="0"/>
          <w:highlight w:val="none"/>
          <w:lang w:val="en-US" w:eastAsia="zh-CN"/>
        </w:rPr>
        <w:t>2）本次采购内容中所包含的环境标志产品：无。</w:t>
      </w:r>
    </w:p>
    <w:p>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w:t>
      </w:r>
      <w:r>
        <w:rPr>
          <w:rFonts w:hint="eastAsia" w:ascii="仿宋" w:hAnsi="仿宋" w:eastAsia="仿宋" w:cs="仿宋"/>
          <w:kern w:val="2"/>
          <w:sz w:val="24"/>
          <w:szCs w:val="24"/>
          <w:highlight w:val="none"/>
          <w:lang w:val="en-US" w:eastAsia="zh-CN" w:bidi="ar-SA"/>
        </w:rPr>
        <w:t>根据《商品包装政府采购需求标准（试行）》、《快递包装政府采购需求标准（试行）》（财办库〔2020〕123号文）商品包装、快递包装的要求。</w:t>
      </w:r>
    </w:p>
    <w:p>
      <w:pPr>
        <w:pStyle w:val="8"/>
        <w:rPr>
          <w:rFonts w:hint="default"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2.商品包装环保要求：</w:t>
      </w:r>
    </w:p>
    <w:p>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1）.商品包装层数不得超过 3 层，空隙率不大于 40%；</w:t>
      </w:r>
    </w:p>
    <w:p>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2).商品包装尽可能使用单一材质的包装材料，如因功能需求必需使用不同材质，不同材质间应便于分离；</w:t>
      </w:r>
    </w:p>
    <w:p>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3）.商品包装中铅、汞、镉、六价铬的总含量应不大于100mg/kg；</w:t>
      </w:r>
    </w:p>
    <w:p>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4).商品包装印刷使用的油墨中挥发性有机化合物(VOCs)含量应不大于 5%（以重量计）；</w:t>
      </w:r>
    </w:p>
    <w:p>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5).塑料材质商品包装上呈现的印刷颜色不得超过6色；</w:t>
      </w:r>
    </w:p>
    <w:p>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6).纸质商品包装应使用 75%以上的可再生纤维原料生产；</w:t>
      </w:r>
    </w:p>
    <w:p>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7).木质商品包装的原料应来源于可持续性森林。</w:t>
      </w:r>
    </w:p>
    <w:p>
      <w:pPr>
        <w:pStyle w:val="8"/>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3.快递包装环保要求：</w:t>
      </w:r>
    </w:p>
    <w:p>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1).快递包装中重金属（铅、汞、镉、六价铬）总量应不大于100mg/kg；</w:t>
      </w:r>
    </w:p>
    <w:p>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2).快递包装印刷使用的油墨中不应添加邻苯二甲酸酯，其挥发性有机化合物(VOCs)含量应不大于 5%（以重量计）；</w:t>
      </w:r>
    </w:p>
    <w:p>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3).快递包装中使用纸基材的包装材料，纸基材中的有机氯的含量应不大于 150 mg/kg；</w:t>
      </w:r>
    </w:p>
    <w:p>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4).快递包装中使用塑料基材的包装材料不得使用邻苯二甲酸二异壬酯、邻苯二甲酸二正辛酯、邻苯二甲酸二(2- 乙基)己酯、邻苯二甲酸二异癸酯、邻苯二甲酸丁基苄基酯、邻苯二甲酸二丁酯等作为增塑剂；</w:t>
      </w:r>
    </w:p>
    <w:p>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5).快递中使用的塑料包装袋不得使用聚氯乙烯作为原料，且原料应为单一材质制成，生物分解率大于 60%；</w:t>
      </w:r>
    </w:p>
    <w:p>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6).快递中使用的充气类填充物不得使用聚氯乙烯作为原料，且原料为单一材质制成，生物分解率大于 60%；</w:t>
      </w:r>
    </w:p>
    <w:p>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7).快递中使用的集装袋应为单一材质制成，其重复使用次数应不小于 80 次；</w:t>
      </w:r>
    </w:p>
    <w:p>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8).快递中应使用幅宽不大于 45mm 的生物降解胶带；</w:t>
      </w:r>
    </w:p>
    <w:p>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9).快递包装中不得使用溶剂型胶粘剂；</w:t>
      </w:r>
    </w:p>
    <w:p>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10).快递应使用电子面单；</w:t>
      </w:r>
    </w:p>
    <w:p>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11).直接使用商品包装作为快递包装的商品，其商品包装满足《商品包装政府采购需求标准（试行）》即可；</w:t>
      </w:r>
    </w:p>
    <w:p>
      <w:pPr>
        <w:pStyle w:val="79"/>
        <w:numPr>
          <w:ilvl w:val="0"/>
          <w:numId w:val="0"/>
        </w:numPr>
        <w:rPr>
          <w:rFonts w:hint="default" w:ascii="仿宋" w:hAnsi="仿宋" w:eastAsia="仿宋" w:cs="仿宋"/>
          <w:color w:val="auto"/>
          <w:kern w:val="0"/>
          <w:sz w:val="24"/>
          <w:szCs w:val="24"/>
          <w:highlight w:val="yellow"/>
          <w:lang w:val="en-US" w:eastAsia="zh-CN" w:bidi="ar-SA"/>
        </w:rPr>
      </w:pPr>
      <w:r>
        <w:rPr>
          <w:rFonts w:hint="eastAsia" w:ascii="仿宋" w:hAnsi="仿宋" w:eastAsia="仿宋" w:cs="仿宋"/>
          <w:kern w:val="2"/>
          <w:sz w:val="24"/>
          <w:szCs w:val="24"/>
          <w:highlight w:val="none"/>
          <w:lang w:val="en-US" w:eastAsia="zh-CN" w:bidi="ar-SA"/>
        </w:rPr>
        <w:t>12).快递包装产品质量和封装方式应符合相关国家或行业标准技术指标要求。</w:t>
      </w:r>
    </w:p>
    <w:p>
      <w:pPr>
        <w:pStyle w:val="79"/>
        <w:numPr>
          <w:ilvl w:val="0"/>
          <w:numId w:val="0"/>
        </w:numPr>
        <w:rPr>
          <w:rFonts w:hint="default" w:ascii="仿宋" w:hAnsi="仿宋" w:eastAsia="仿宋" w:cs="仿宋"/>
          <w:b/>
          <w:bCs/>
          <w:kern w:val="0"/>
          <w:sz w:val="24"/>
          <w:szCs w:val="24"/>
          <w:highlight w:val="none"/>
          <w:lang w:val="en-US" w:eastAsia="zh-CN" w:bidi="ar-SA"/>
        </w:rPr>
      </w:pPr>
      <w:r>
        <w:rPr>
          <w:rFonts w:hint="eastAsia" w:ascii="仿宋" w:hAnsi="仿宋" w:eastAsia="仿宋" w:cs="仿宋"/>
          <w:b/>
          <w:bCs/>
          <w:kern w:val="0"/>
          <w:sz w:val="24"/>
          <w:szCs w:val="24"/>
          <w:highlight w:val="none"/>
          <w:lang w:val="en-US" w:eastAsia="zh-CN" w:bidi="ar-SA"/>
        </w:rPr>
        <w:t>4.支持中小企业发展</w:t>
      </w:r>
    </w:p>
    <w:p>
      <w:pPr>
        <w:pStyle w:val="79"/>
        <w:numPr>
          <w:ilvl w:val="0"/>
          <w:numId w:val="0"/>
        </w:numPr>
        <w:rPr>
          <w:rFonts w:hint="eastAsia" w:ascii="仿宋" w:hAnsi="仿宋" w:eastAsia="仿宋" w:cs="仿宋"/>
          <w:b w:val="0"/>
          <w:bCs w:val="0"/>
          <w:kern w:val="0"/>
          <w:sz w:val="24"/>
          <w:szCs w:val="24"/>
          <w:highlight w:val="none"/>
          <w:lang w:val="en-US" w:eastAsia="zh-CN"/>
        </w:rPr>
      </w:pPr>
      <w:r>
        <w:rPr>
          <w:rFonts w:hint="eastAsia" w:ascii="仿宋" w:hAnsi="仿宋" w:eastAsia="仿宋" w:cs="仿宋"/>
          <w:b w:val="0"/>
          <w:bCs w:val="0"/>
          <w:kern w:val="0"/>
          <w:sz w:val="24"/>
          <w:szCs w:val="24"/>
          <w:highlight w:val="none"/>
          <w:lang w:val="en-US" w:eastAsia="zh-CN"/>
        </w:rPr>
        <w:t>1）本项目为非专门面向中小企业采购的项目。</w:t>
      </w:r>
    </w:p>
    <w:p>
      <w:pPr>
        <w:pStyle w:val="79"/>
        <w:numPr>
          <w:ilvl w:val="0"/>
          <w:numId w:val="0"/>
        </w:numPr>
        <w:rPr>
          <w:rFonts w:hint="eastAsia" w:ascii="仿宋" w:hAnsi="仿宋" w:eastAsia="仿宋" w:cs="仿宋"/>
          <w:b w:val="0"/>
          <w:bCs w:val="0"/>
          <w:kern w:val="0"/>
          <w:sz w:val="24"/>
          <w:szCs w:val="24"/>
          <w:highlight w:val="none"/>
          <w:lang w:val="en-US" w:eastAsia="zh-CN" w:bidi="ar-SA"/>
        </w:rPr>
      </w:pPr>
      <w:r>
        <w:rPr>
          <w:rFonts w:hint="eastAsia" w:ascii="仿宋" w:hAnsi="仿宋" w:eastAsia="仿宋" w:cs="仿宋"/>
          <w:b w:val="0"/>
          <w:bCs w:val="0"/>
          <w:kern w:val="0"/>
          <w:sz w:val="24"/>
          <w:szCs w:val="24"/>
          <w:highlight w:val="none"/>
          <w:lang w:val="en-US" w:eastAsia="zh-CN"/>
        </w:rPr>
        <w:t>2）本次采购小型和微型企业的货物价格扣除幅度：</w:t>
      </w:r>
      <w:r>
        <w:rPr>
          <w:rFonts w:hint="eastAsia" w:ascii="仿宋" w:hAnsi="仿宋" w:eastAsia="仿宋" w:cs="仿宋"/>
          <w:b/>
          <w:bCs/>
          <w:kern w:val="0"/>
          <w:sz w:val="24"/>
          <w:szCs w:val="24"/>
          <w:highlight w:val="none"/>
          <w:lang w:val="en-US" w:eastAsia="zh-CN"/>
        </w:rPr>
        <w:t>给予15%的价格评审优惠扣除，用扣除后的价格参加评审。</w:t>
      </w:r>
    </w:p>
    <w:p>
      <w:pPr>
        <w:pStyle w:val="79"/>
        <w:numPr>
          <w:ilvl w:val="0"/>
          <w:numId w:val="0"/>
        </w:numPr>
        <w:rPr>
          <w:rFonts w:hint="eastAsia" w:ascii="仿宋" w:hAnsi="仿宋" w:eastAsia="仿宋" w:cs="仿宋"/>
          <w:b/>
          <w:bCs/>
          <w:i w:val="0"/>
          <w:iCs w:val="0"/>
          <w:caps w:val="0"/>
          <w:color w:val="000000"/>
          <w:spacing w:val="0"/>
          <w:w w:val="100"/>
          <w:kern w:val="0"/>
          <w:sz w:val="24"/>
          <w:szCs w:val="24"/>
          <w:highlight w:val="none"/>
          <w:lang w:val="en-US" w:eastAsia="zh-CN"/>
        </w:rPr>
      </w:pPr>
      <w:r>
        <w:rPr>
          <w:rFonts w:hint="eastAsia" w:ascii="仿宋" w:hAnsi="仿宋" w:eastAsia="仿宋" w:cs="仿宋"/>
          <w:b w:val="0"/>
          <w:bCs w:val="0"/>
          <w:kern w:val="0"/>
          <w:sz w:val="24"/>
          <w:szCs w:val="24"/>
          <w:highlight w:val="none"/>
          <w:lang w:val="en-US" w:eastAsia="zh-CN" w:bidi="ar-SA"/>
        </w:rPr>
        <w:t>3）在本采购项目中，货物由中小企业制造，即货物由中小企业生产且使用该中小企业商号或者注册商标。投标人提供的货物既有中小企业制造货物，也有大型企业制造货物的，不享受本办法规定的中小企业扶持政策。</w:t>
      </w:r>
    </w:p>
    <w:p>
      <w:pPr>
        <w:pStyle w:val="79"/>
        <w:numPr>
          <w:ilvl w:val="0"/>
          <w:numId w:val="0"/>
        </w:numPr>
        <w:rPr>
          <w:rFonts w:hint="default" w:ascii="仿宋" w:hAnsi="仿宋" w:eastAsia="仿宋" w:cs="仿宋"/>
          <w:b w:val="0"/>
          <w:bCs w:val="0"/>
          <w:kern w:val="0"/>
          <w:sz w:val="24"/>
          <w:szCs w:val="24"/>
          <w:highlight w:val="none"/>
          <w:lang w:val="en-US" w:eastAsia="zh-CN" w:bidi="ar-SA"/>
        </w:rPr>
      </w:pPr>
      <w:r>
        <w:rPr>
          <w:rFonts w:hint="eastAsia" w:ascii="仿宋" w:hAnsi="仿宋" w:eastAsia="仿宋" w:cs="仿宋"/>
          <w:b/>
          <w:bCs/>
          <w:kern w:val="0"/>
          <w:sz w:val="24"/>
          <w:szCs w:val="24"/>
          <w:highlight w:val="none"/>
          <w:lang w:val="en-US" w:eastAsia="zh-CN" w:bidi="ar-SA"/>
        </w:rPr>
        <w:t>5.本采购项目所属行业：</w:t>
      </w:r>
      <w:r>
        <w:rPr>
          <w:rFonts w:hint="eastAsia" w:ascii="仿宋" w:hAnsi="仿宋" w:eastAsia="仿宋" w:cs="仿宋"/>
          <w:b w:val="0"/>
          <w:bCs w:val="0"/>
          <w:kern w:val="0"/>
          <w:sz w:val="24"/>
          <w:szCs w:val="24"/>
          <w:highlight w:val="none"/>
          <w:lang w:val="en-US" w:eastAsia="zh-CN" w:bidi="ar-SA"/>
        </w:rPr>
        <w:t>工业（专用设备制造业-医疗仪器设备及器械制造）</w:t>
      </w:r>
    </w:p>
    <w:p>
      <w:pPr>
        <w:pStyle w:val="87"/>
        <w:numPr>
          <w:ilvl w:val="0"/>
          <w:numId w:val="0"/>
        </w:numPr>
        <w:shd w:val="clear" w:color="auto" w:fill="auto"/>
        <w:spacing w:line="573" w:lineRule="exact"/>
        <w:ind w:leftChars="0"/>
        <w:rPr>
          <w:rFonts w:hint="eastAsia" w:ascii="仿宋" w:hAnsi="仿宋" w:eastAsia="仿宋" w:cs="仿宋"/>
          <w:b/>
          <w:bCs/>
          <w:color w:val="auto"/>
          <w:kern w:val="0"/>
          <w:sz w:val="24"/>
          <w:szCs w:val="24"/>
          <w:highlight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87"/>
        <w:numPr>
          <w:ilvl w:val="0"/>
          <w:numId w:val="0"/>
        </w:numPr>
        <w:shd w:val="clear" w:color="auto" w:fill="auto"/>
        <w:spacing w:line="573" w:lineRule="exact"/>
        <w:ind w:leftChars="0"/>
        <w:outlineLvl w:val="0"/>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（四）技术要求</w:t>
      </w:r>
    </w:p>
    <w:p>
      <w:pPr>
        <w:jc w:val="center"/>
        <w:outlineLvl w:val="1"/>
        <w:rPr>
          <w:rFonts w:hint="eastAsia" w:ascii="仿宋" w:hAnsi="仿宋" w:eastAsia="仿宋" w:cs="仿宋"/>
          <w:b/>
          <w:bCs/>
          <w:sz w:val="24"/>
          <w:szCs w:val="24"/>
        </w:rPr>
      </w:pPr>
      <w:r>
        <w:rPr>
          <w:rFonts w:hint="eastAsia" w:ascii="仿宋" w:hAnsi="仿宋" w:eastAsia="仿宋" w:cs="仿宋"/>
          <w:b/>
          <w:bCs/>
          <w:sz w:val="24"/>
          <w:szCs w:val="24"/>
        </w:rPr>
        <w:t>中央心电监护系统</w:t>
      </w:r>
    </w:p>
    <w:p>
      <w:pPr>
        <w:jc w:val="left"/>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一、CCU中央站</w:t>
      </w:r>
    </w:p>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1.要求具备远程PC浏览软件，可安装到办公电脑上，查看病人数据</w:t>
      </w:r>
    </w:p>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2.要求远程浏览软件支持查看病人的实时数据，可查看的参数及波形种类要求与中央站保持一致</w:t>
      </w:r>
    </w:p>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3.要求支持不同中央站之间可相互查看对方的病人数据</w:t>
      </w:r>
    </w:p>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4.要求支持不同中央站之间转移病人数据</w:t>
      </w:r>
    </w:p>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5.要求支持Windows Server 2008、Windows Server 2012操作系统</w:t>
      </w:r>
    </w:p>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6.要求具备数据断网续传功能，至少保证断网48小时内，数据不会丢失</w:t>
      </w:r>
    </w:p>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7.要求具备时间同步功能，可与医院时钟服务器连接，并对联网的监护仪进行时间同步</w:t>
      </w:r>
    </w:p>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8.要求中心监护系统间及中心监护系统与监护设备之间均采用单播方式进行通信</w:t>
      </w:r>
    </w:p>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9.要求中央站至少支持64床病人集中管理</w:t>
      </w:r>
    </w:p>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10.要求中央站可以控制监护仪接收/解除/转移病人</w:t>
      </w:r>
    </w:p>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11.要求中央站可以控制监护仪启动/停止NIBP测量</w:t>
      </w:r>
    </w:p>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12.要求中央站可以控制监护仪报警暂停/复位，调整报警开关/级别/上下限</w:t>
      </w:r>
    </w:p>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13.要求中心监护系统可以控制监护仪进入待机模式</w:t>
      </w:r>
    </w:p>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14.要求中央站支持连接至少3个显示屏</w:t>
      </w:r>
    </w:p>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15.要求中央站显示器尺寸应不小于21英寸</w:t>
      </w:r>
    </w:p>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16.要求中央站单个显示屏可显示不少于24个病人的数据</w:t>
      </w:r>
    </w:p>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17.要求重点观察床可显示至少可以提供12道波形，16个参数区</w:t>
      </w:r>
    </w:p>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18.要求重点观察床支持趋势与实时参数波形同时显示，互不遮挡</w:t>
      </w:r>
    </w:p>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19.要求能够支持高、中、低三个报警级别，分别对应红色，黄色，青色</w:t>
      </w:r>
    </w:p>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20.要求具备中心监护系统全局静音功能</w:t>
      </w:r>
    </w:p>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21.要求中心监护系统与监护仪意外断开时提供报警。当病人正常解除时，中央站与监护仪断开不发出断网报警</w:t>
      </w:r>
    </w:p>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22.要求具备图形化技术报警指示功能</w:t>
      </w:r>
    </w:p>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23.要求具备全局报警列表功能，可显示最近1小时内所有床的报警，支持排序调整，并可连接至事件回顾查看详细数据</w:t>
      </w:r>
    </w:p>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24.要求具备呼吸氧合图回顾功能。呼吸波形可选择阻抗呼吸波形或者二氧化碳波形</w:t>
      </w:r>
    </w:p>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25.要求具备12导静息分析结果回顾。支持正常波形及平均模版两种显示方式</w:t>
      </w:r>
    </w:p>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26.要求具备ST片段回顾功能。支持取任意2个时刻的ST片段进行对比分析</w:t>
      </w:r>
    </w:p>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27.要求具备至少240小时趋势数据存储，分辨率不小于1分钟</w:t>
      </w:r>
    </w:p>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28.要求具备至少240小时全息波形数据存储，分辨率不低于250Hz</w:t>
      </w:r>
    </w:p>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29.要求具备至少240小时ST片段数据存储，分辨率不小于5分钟</w:t>
      </w:r>
    </w:p>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30.要求支持至少1000条事件存储，事件类型应包括报警事件及手动事件。事件应存储事件发生时刻的全部参数及至少3道相关波形，波形长度至少为32秒</w:t>
      </w:r>
    </w:p>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31.要求具备至少1000条NIBP测量数据存储</w:t>
      </w:r>
    </w:p>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32.要求具备至少720条CO测量数据存储</w:t>
      </w:r>
    </w:p>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33.提供心肌缺血图形化显示工具，可以快速查看ST值的变化。</w:t>
      </w:r>
    </w:p>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34.要求具备PDF电子报告功能，可自动将报告输出至网络中的报告服务器上</w:t>
      </w:r>
    </w:p>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35.要求具备定时打印功能，可在定时自动打印指定的报告</w:t>
      </w:r>
    </w:p>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36.要求具备完成病历报告功能，可在解除病人时自动打印指定报告</w:t>
      </w:r>
    </w:p>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37.要求具备报警记录/打印功能，能够自动在报警触发时进行与报警相关的波形和测量值的记录/打印</w:t>
      </w:r>
    </w:p>
    <w:p>
      <w:pPr>
        <w:jc w:val="left"/>
        <w:rPr>
          <w:rFonts w:hint="eastAsia" w:ascii="仿宋" w:hAnsi="仿宋" w:eastAsia="仿宋" w:cs="仿宋"/>
          <w:b/>
          <w:bCs/>
          <w:sz w:val="24"/>
          <w:szCs w:val="24"/>
        </w:rPr>
      </w:pPr>
      <w:r>
        <w:rPr>
          <w:rFonts w:hint="eastAsia" w:ascii="仿宋" w:hAnsi="仿宋" w:eastAsia="仿宋" w:cs="仿宋"/>
          <w:b/>
          <w:bCs/>
          <w:sz w:val="24"/>
          <w:szCs w:val="24"/>
        </w:rPr>
        <w:t>二、监护仪</w:t>
      </w:r>
    </w:p>
    <w:p>
      <w:pPr>
        <w:jc w:val="left"/>
        <w:rPr>
          <w:rFonts w:hint="eastAsia" w:ascii="仿宋" w:hAnsi="仿宋" w:eastAsia="仿宋" w:cs="仿宋"/>
          <w:b/>
          <w:bCs/>
          <w:sz w:val="24"/>
          <w:szCs w:val="24"/>
        </w:rPr>
      </w:pPr>
      <w:r>
        <w:rPr>
          <w:rFonts w:hint="eastAsia" w:ascii="仿宋" w:hAnsi="仿宋" w:eastAsia="仿宋" w:cs="仿宋"/>
          <w:b/>
          <w:bCs/>
          <w:sz w:val="24"/>
          <w:szCs w:val="24"/>
          <w:lang w:eastAsia="zh-CN"/>
        </w:rPr>
        <w:t>一）</w:t>
      </w:r>
      <w:r>
        <w:rPr>
          <w:rFonts w:hint="eastAsia" w:ascii="仿宋" w:hAnsi="仿宋" w:eastAsia="仿宋" w:cs="仿宋"/>
          <w:b/>
          <w:bCs/>
          <w:sz w:val="24"/>
          <w:szCs w:val="24"/>
        </w:rPr>
        <w:t>监护仪结构：</w:t>
      </w:r>
    </w:p>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1.模块化插件式床边监护仪，主机、显示屏和插件槽一体化设计，主机插槽数≥6个,支持扩展8槽位插件箱</w:t>
      </w:r>
    </w:p>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2.≥17.5英寸彩色触摸屏，高分辨率达1920*1080像素，8通道显示，显示屏亮度自动调节</w:t>
      </w:r>
    </w:p>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3</w:t>
      </w:r>
      <w:r>
        <w:rPr>
          <w:rFonts w:hint="eastAsia" w:ascii="仿宋" w:hAnsi="仿宋" w:eastAsia="仿宋" w:cs="仿宋"/>
          <w:b w:val="0"/>
          <w:bCs w:val="0"/>
          <w:sz w:val="24"/>
          <w:szCs w:val="24"/>
        </w:rPr>
        <w:t>.工作温度0 ~40 ℃</w:t>
      </w:r>
    </w:p>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4</w:t>
      </w:r>
      <w:r>
        <w:rPr>
          <w:rFonts w:hint="eastAsia" w:ascii="仿宋" w:hAnsi="仿宋" w:eastAsia="仿宋" w:cs="仿宋"/>
          <w:b w:val="0"/>
          <w:bCs w:val="0"/>
          <w:sz w:val="24"/>
          <w:szCs w:val="24"/>
        </w:rPr>
        <w:t>.采用无风扇设计</w:t>
      </w:r>
    </w:p>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5</w:t>
      </w:r>
      <w:r>
        <w:rPr>
          <w:rFonts w:hint="eastAsia" w:ascii="仿宋" w:hAnsi="仿宋" w:eastAsia="仿宋" w:cs="仿宋"/>
          <w:b w:val="0"/>
          <w:bCs w:val="0"/>
          <w:sz w:val="24"/>
          <w:szCs w:val="24"/>
        </w:rPr>
        <w:t>.支持升级内置锂电池，供电时间</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2小时</w:t>
      </w:r>
    </w:p>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6</w:t>
      </w:r>
      <w:r>
        <w:rPr>
          <w:rFonts w:hint="eastAsia" w:ascii="仿宋" w:hAnsi="仿宋" w:eastAsia="仿宋" w:cs="仿宋"/>
          <w:b w:val="0"/>
          <w:bCs w:val="0"/>
          <w:sz w:val="24"/>
          <w:szCs w:val="24"/>
        </w:rPr>
        <w:t>.配置</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4个USB接口，支持连接存储介质、键盘、鼠标、条码扫描枪等USB设备</w:t>
      </w:r>
    </w:p>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7</w:t>
      </w:r>
      <w:r>
        <w:rPr>
          <w:rFonts w:hint="eastAsia" w:ascii="仿宋" w:hAnsi="仿宋" w:eastAsia="仿宋" w:cs="仿宋"/>
          <w:b w:val="0"/>
          <w:bCs w:val="0"/>
          <w:sz w:val="24"/>
          <w:szCs w:val="24"/>
        </w:rPr>
        <w:t>. 支持扩展独立显示屏</w:t>
      </w:r>
    </w:p>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8</w:t>
      </w:r>
      <w:r>
        <w:rPr>
          <w:rFonts w:hint="eastAsia" w:ascii="仿宋" w:hAnsi="仿宋" w:eastAsia="仿宋" w:cs="仿宋"/>
          <w:b w:val="0"/>
          <w:bCs w:val="0"/>
          <w:sz w:val="24"/>
          <w:szCs w:val="24"/>
        </w:rPr>
        <w:t>.显示屏幕采用光学胶灌注技术（提供证明文件）</w:t>
      </w:r>
    </w:p>
    <w:p>
      <w:pPr>
        <w:jc w:val="left"/>
        <w:rPr>
          <w:rFonts w:hint="eastAsia" w:ascii="仿宋" w:hAnsi="仿宋" w:eastAsia="仿宋" w:cs="仿宋"/>
          <w:b/>
          <w:bCs/>
          <w:sz w:val="24"/>
          <w:szCs w:val="24"/>
        </w:rPr>
      </w:pPr>
      <w:r>
        <w:rPr>
          <w:rFonts w:hint="eastAsia" w:ascii="仿宋" w:hAnsi="仿宋" w:eastAsia="仿宋" w:cs="仿宋"/>
          <w:b/>
          <w:bCs/>
          <w:sz w:val="24"/>
          <w:szCs w:val="24"/>
          <w:lang w:eastAsia="zh-CN"/>
        </w:rPr>
        <w:t>二）</w:t>
      </w:r>
      <w:r>
        <w:rPr>
          <w:rFonts w:hint="eastAsia" w:ascii="仿宋" w:hAnsi="仿宋" w:eastAsia="仿宋" w:cs="仿宋"/>
          <w:b/>
          <w:bCs/>
          <w:sz w:val="24"/>
          <w:szCs w:val="24"/>
        </w:rPr>
        <w:t>监测参数：</w:t>
      </w:r>
    </w:p>
    <w:p>
      <w:pPr>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rPr>
        <w:t>1. 基本功能模块支持心电，心率，呼吸，无创血压，血氧饱和度，脉搏，双通道体温和双通道有创血压的同时监测</w:t>
      </w:r>
      <w:r>
        <w:rPr>
          <w:rFonts w:hint="eastAsia" w:ascii="仿宋" w:hAnsi="仿宋" w:eastAsia="仿宋" w:cs="仿宋"/>
          <w:b w:val="0"/>
          <w:bCs w:val="0"/>
          <w:sz w:val="24"/>
          <w:szCs w:val="24"/>
          <w:lang w:eastAsia="zh-CN"/>
        </w:rPr>
        <w:t>。</w:t>
      </w:r>
    </w:p>
    <w:p>
      <w:pPr>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rPr>
        <w:t>2. 支持升级基本功能模块从监护仪拔出后作为一个独立的监护仪支持病人的无缝转移，具有显示屏，屏幕尺寸</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5英寸，内置锂电池供电不小于6小时，无风扇设计</w:t>
      </w:r>
      <w:r>
        <w:rPr>
          <w:rFonts w:hint="eastAsia" w:ascii="仿宋" w:hAnsi="仿宋" w:eastAsia="仿宋" w:cs="仿宋"/>
          <w:b w:val="0"/>
          <w:bCs w:val="0"/>
          <w:sz w:val="24"/>
          <w:szCs w:val="24"/>
          <w:lang w:eastAsia="zh-CN"/>
        </w:rPr>
        <w:t>。</w:t>
      </w:r>
    </w:p>
    <w:p>
      <w:pPr>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rPr>
        <w:t>3. 支持3/5导心电监测,支持升级6/12导心电测量，并在监护仪上完成12导静息分析，并提供监护截图证明材料</w:t>
      </w:r>
      <w:r>
        <w:rPr>
          <w:rFonts w:hint="eastAsia" w:ascii="仿宋" w:hAnsi="仿宋" w:eastAsia="仿宋" w:cs="仿宋"/>
          <w:b w:val="0"/>
          <w:bCs w:val="0"/>
          <w:sz w:val="24"/>
          <w:szCs w:val="24"/>
          <w:lang w:eastAsia="zh-CN"/>
        </w:rPr>
        <w:t>。</w:t>
      </w:r>
    </w:p>
    <w:p>
      <w:pPr>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rPr>
        <w:t>4. 支持房颤心律失常分析功能，支持不少于20种实时心律失常分析,并提供监护截图证明材料</w:t>
      </w:r>
      <w:r>
        <w:rPr>
          <w:rFonts w:hint="eastAsia" w:ascii="仿宋" w:hAnsi="仿宋" w:eastAsia="仿宋" w:cs="仿宋"/>
          <w:b w:val="0"/>
          <w:bCs w:val="0"/>
          <w:sz w:val="24"/>
          <w:szCs w:val="24"/>
          <w:lang w:eastAsia="zh-CN"/>
        </w:rPr>
        <w:t>。</w:t>
      </w:r>
    </w:p>
    <w:p>
      <w:pPr>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rPr>
        <w:t>5. 提供ST段分析功能，支持在专门的窗口中分组显示心脏前壁，下壁和侧壁的ST实时片段和参考片段，并提供监护截图证明材料</w:t>
      </w:r>
      <w:r>
        <w:rPr>
          <w:rFonts w:hint="eastAsia" w:ascii="仿宋" w:hAnsi="仿宋" w:eastAsia="仿宋" w:cs="仿宋"/>
          <w:b w:val="0"/>
          <w:bCs w:val="0"/>
          <w:sz w:val="24"/>
          <w:szCs w:val="24"/>
          <w:lang w:eastAsia="zh-CN"/>
        </w:rPr>
        <w:t>。</w:t>
      </w:r>
    </w:p>
    <w:p>
      <w:pPr>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rPr>
        <w:t>6. 监测ST段抬高或者压低，提供ST报警。提供单个，或多个ST值报警，并支持相对的报警限设置</w:t>
      </w:r>
      <w:r>
        <w:rPr>
          <w:rFonts w:hint="eastAsia" w:ascii="仿宋" w:hAnsi="仿宋" w:eastAsia="仿宋" w:cs="仿宋"/>
          <w:b w:val="0"/>
          <w:bCs w:val="0"/>
          <w:sz w:val="24"/>
          <w:szCs w:val="24"/>
          <w:lang w:eastAsia="zh-CN"/>
        </w:rPr>
        <w:t>。</w:t>
      </w:r>
    </w:p>
    <w:p>
      <w:pPr>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rPr>
        <w:t>7. 提供导联类型自动识别功能，具备智能导联脱落监测功能，导联脱落的情况下仍能保持监护</w:t>
      </w:r>
      <w:r>
        <w:rPr>
          <w:rFonts w:hint="eastAsia" w:ascii="仿宋" w:hAnsi="仿宋" w:eastAsia="仿宋" w:cs="仿宋"/>
          <w:b w:val="0"/>
          <w:bCs w:val="0"/>
          <w:sz w:val="24"/>
          <w:szCs w:val="24"/>
          <w:lang w:eastAsia="zh-CN"/>
        </w:rPr>
        <w:t>。</w:t>
      </w:r>
    </w:p>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8. 具有QT/QTc测量功能，提供QT，QTc和ΔQTc参数值</w:t>
      </w:r>
    </w:p>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9. 提供QT和QTc模板显示</w:t>
      </w:r>
    </w:p>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10. 无创血压提供手动、自动间隔、连续、序列四种测量模式</w:t>
      </w:r>
    </w:p>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11. 无创血压成人测量范围：25-290mmHg（收缩压），10-250mmHg（舒张压），15-260mmHg（平均压）</w:t>
      </w:r>
    </w:p>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12. 无创血压小儿测量范围：25-240mmHg（收缩压），10-200mmHg（舒张压），15-215mmHg（平均压）</w:t>
      </w:r>
    </w:p>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13. 无创血压新生儿测量范围：25-140mmHg（收缩压），10-115mmHg（舒张压），15-125mmHg（平均压）</w:t>
      </w:r>
    </w:p>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14. 血氧监测提供灌注指数（PI）的监测</w:t>
      </w:r>
    </w:p>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15. 支持双通道有创压IBP监测，支持升级多达8通道有创压监测</w:t>
      </w:r>
    </w:p>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 xml:space="preserve">16. 提供肺动脉锲压（PAWP）的监测和PPV参数监测 </w:t>
      </w:r>
    </w:p>
    <w:p>
      <w:pPr>
        <w:jc w:val="left"/>
        <w:rPr>
          <w:rFonts w:hint="eastAsia" w:ascii="仿宋" w:hAnsi="仿宋" w:eastAsia="仿宋" w:cs="仿宋"/>
          <w:b/>
          <w:bCs/>
          <w:sz w:val="24"/>
          <w:szCs w:val="24"/>
        </w:rPr>
      </w:pPr>
      <w:r>
        <w:rPr>
          <w:rFonts w:hint="eastAsia" w:ascii="仿宋" w:hAnsi="仿宋" w:eastAsia="仿宋" w:cs="仿宋"/>
          <w:b w:val="0"/>
          <w:bCs w:val="0"/>
          <w:sz w:val="24"/>
          <w:szCs w:val="24"/>
        </w:rPr>
        <w:t>17. 支持多达4道IBP波形叠加显示，满足临床对比查看和节约显示空间的需求</w:t>
      </w:r>
    </w:p>
    <w:p>
      <w:pPr>
        <w:numPr>
          <w:ilvl w:val="0"/>
          <w:numId w:val="0"/>
        </w:numPr>
        <w:ind w:left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18.</w:t>
      </w:r>
      <w:r>
        <w:rPr>
          <w:rFonts w:hint="eastAsia" w:ascii="仿宋" w:hAnsi="仿宋" w:eastAsia="仿宋" w:cs="仿宋"/>
          <w:b w:val="0"/>
          <w:bCs w:val="0"/>
          <w:sz w:val="24"/>
          <w:szCs w:val="24"/>
        </w:rPr>
        <w:t>配置EtCO2监测模块，采用旁流技术，水槽要求易用快速更换</w:t>
      </w:r>
    </w:p>
    <w:p>
      <w:pPr>
        <w:numPr>
          <w:ilvl w:val="0"/>
          <w:numId w:val="0"/>
        </w:numPr>
        <w:ind w:left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19.</w:t>
      </w:r>
      <w:r>
        <w:rPr>
          <w:rFonts w:hint="eastAsia" w:ascii="仿宋" w:hAnsi="仿宋" w:eastAsia="仿宋" w:cs="仿宋"/>
          <w:b w:val="0"/>
          <w:bCs w:val="0"/>
          <w:sz w:val="24"/>
          <w:szCs w:val="24"/>
        </w:rPr>
        <w:t> CO2波形提供填充和线条两种方式显示，满足不同临床使用习惯</w:t>
      </w:r>
    </w:p>
    <w:p>
      <w:pPr>
        <w:numPr>
          <w:ilvl w:val="0"/>
          <w:numId w:val="0"/>
        </w:numPr>
        <w:ind w:left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20.</w:t>
      </w:r>
      <w:r>
        <w:rPr>
          <w:rFonts w:hint="eastAsia" w:ascii="仿宋" w:hAnsi="仿宋" w:eastAsia="仿宋" w:cs="仿宋"/>
          <w:b w:val="0"/>
          <w:bCs w:val="0"/>
          <w:sz w:val="24"/>
          <w:szCs w:val="24"/>
        </w:rPr>
        <w:t>CO2波形最小走速为3mm/s,满足同屏查看更多呼吸周期</w:t>
      </w:r>
    </w:p>
    <w:p>
      <w:pPr>
        <w:numPr>
          <w:ilvl w:val="0"/>
          <w:numId w:val="0"/>
        </w:numPr>
        <w:ind w:left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21.</w:t>
      </w:r>
      <w:r>
        <w:rPr>
          <w:rFonts w:hint="eastAsia" w:ascii="仿宋" w:hAnsi="仿宋" w:eastAsia="仿宋" w:cs="仿宋"/>
          <w:b w:val="0"/>
          <w:bCs w:val="0"/>
          <w:sz w:val="24"/>
          <w:szCs w:val="24"/>
        </w:rPr>
        <w:t>支持升级BISx4监测模块或者单机，提供不少于4通道EEG，双频指数（BIS），肌电活动（EMG）,抑制比（SR），频谱边缘频率（SEF）等参数的监测</w:t>
      </w:r>
    </w:p>
    <w:p>
      <w:pPr>
        <w:numPr>
          <w:ilvl w:val="0"/>
          <w:numId w:val="0"/>
        </w:numPr>
        <w:ind w:left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22.</w:t>
      </w:r>
      <w:r>
        <w:rPr>
          <w:rFonts w:hint="eastAsia" w:ascii="仿宋" w:hAnsi="仿宋" w:eastAsia="仿宋" w:cs="仿宋"/>
          <w:b w:val="0"/>
          <w:bCs w:val="0"/>
          <w:sz w:val="24"/>
          <w:szCs w:val="24"/>
        </w:rPr>
        <w:t> 提供功率谱密度（DSA）显示界面，可以直观地显示一段时间内的双侧功率谱分布变化的情况</w:t>
      </w:r>
    </w:p>
    <w:p>
      <w:pPr>
        <w:numPr>
          <w:ilvl w:val="0"/>
          <w:numId w:val="0"/>
        </w:numPr>
        <w:ind w:left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23.</w:t>
      </w:r>
      <w:r>
        <w:rPr>
          <w:rFonts w:hint="eastAsia" w:ascii="仿宋" w:hAnsi="仿宋" w:eastAsia="仿宋" w:cs="仿宋"/>
          <w:b w:val="0"/>
          <w:bCs w:val="0"/>
          <w:sz w:val="24"/>
          <w:szCs w:val="24"/>
        </w:rPr>
        <w:t> 支持升级PiCCO监测模块或者单机，采用Pulsion PiCCO技术股动脉和中心静脉常规穿刺实现微创CCO等血液动力学监测参数，并提供蛛网图，直观观察病人的变化情况</w:t>
      </w:r>
    </w:p>
    <w:p>
      <w:pPr>
        <w:numPr>
          <w:ilvl w:val="0"/>
          <w:numId w:val="0"/>
        </w:numPr>
        <w:ind w:left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24.</w:t>
      </w:r>
      <w:r>
        <w:rPr>
          <w:rFonts w:hint="eastAsia" w:ascii="仿宋" w:hAnsi="仿宋" w:eastAsia="仿宋" w:cs="仿宋"/>
          <w:b w:val="0"/>
          <w:bCs w:val="0"/>
          <w:sz w:val="24"/>
          <w:szCs w:val="24"/>
        </w:rPr>
        <w:t>支持升级ScvO2监测，监测组织氧供和氧耗情况</w:t>
      </w:r>
    </w:p>
    <w:p>
      <w:pPr>
        <w:numPr>
          <w:ilvl w:val="0"/>
          <w:numId w:val="0"/>
        </w:numPr>
        <w:ind w:left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25.</w:t>
      </w:r>
      <w:r>
        <w:rPr>
          <w:rFonts w:hint="eastAsia" w:ascii="仿宋" w:hAnsi="仿宋" w:eastAsia="仿宋" w:cs="仿宋"/>
          <w:b w:val="0"/>
          <w:bCs w:val="0"/>
          <w:sz w:val="24"/>
          <w:szCs w:val="24"/>
          <w:lang w:eastAsia="zh-CN"/>
        </w:rPr>
        <w:t>配备</w:t>
      </w:r>
      <w:r>
        <w:rPr>
          <w:rFonts w:hint="eastAsia" w:ascii="仿宋" w:hAnsi="仿宋" w:eastAsia="仿宋" w:cs="仿宋"/>
          <w:b w:val="0"/>
          <w:bCs w:val="0"/>
          <w:sz w:val="24"/>
          <w:szCs w:val="24"/>
        </w:rPr>
        <w:t>rsO2监测或配备脑氧监测单机</w:t>
      </w:r>
    </w:p>
    <w:p>
      <w:pPr>
        <w:numPr>
          <w:ilvl w:val="0"/>
          <w:numId w:val="0"/>
        </w:numPr>
        <w:ind w:left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26.</w:t>
      </w:r>
      <w:r>
        <w:rPr>
          <w:rFonts w:hint="eastAsia" w:ascii="仿宋" w:hAnsi="仿宋" w:eastAsia="仿宋" w:cs="仿宋"/>
          <w:b w:val="0"/>
          <w:bCs w:val="0"/>
          <w:sz w:val="24"/>
          <w:szCs w:val="24"/>
        </w:rPr>
        <w:t>支持升级与主流呼吸机品牌的呼吸机相连，实现呼吸机设备的信息在监护仪上显示、记录、储存、打印或者用于参与计算</w:t>
      </w:r>
    </w:p>
    <w:p>
      <w:pPr>
        <w:jc w:val="left"/>
        <w:rPr>
          <w:rFonts w:hint="eastAsia" w:ascii="仿宋" w:hAnsi="仿宋" w:eastAsia="仿宋" w:cs="仿宋"/>
          <w:b/>
          <w:bCs/>
          <w:sz w:val="24"/>
          <w:szCs w:val="24"/>
        </w:rPr>
      </w:pPr>
      <w:r>
        <w:rPr>
          <w:rFonts w:hint="eastAsia" w:ascii="仿宋" w:hAnsi="仿宋" w:eastAsia="仿宋" w:cs="仿宋"/>
          <w:b/>
          <w:bCs/>
          <w:sz w:val="24"/>
          <w:szCs w:val="24"/>
          <w:lang w:eastAsia="zh-CN"/>
        </w:rPr>
        <w:t>三）</w:t>
      </w:r>
      <w:r>
        <w:rPr>
          <w:rFonts w:hint="eastAsia" w:ascii="仿宋" w:hAnsi="仿宋" w:eastAsia="仿宋" w:cs="仿宋"/>
          <w:b/>
          <w:bCs/>
          <w:sz w:val="24"/>
          <w:szCs w:val="24"/>
        </w:rPr>
        <w:t>系统功能：</w:t>
      </w:r>
    </w:p>
    <w:p>
      <w:pPr>
        <w:numPr>
          <w:ilvl w:val="0"/>
          <w:numId w:val="6"/>
        </w:numPr>
        <w:ind w:left="425" w:leftChars="0" w:hanging="425" w:firstLine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 大字体界面支持6个参数的设置和显示</w:t>
      </w:r>
    </w:p>
    <w:p>
      <w:pPr>
        <w:numPr>
          <w:ilvl w:val="0"/>
          <w:numId w:val="6"/>
        </w:numPr>
        <w:ind w:left="425" w:leftChars="0" w:hanging="425" w:firstLine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 具有图形化报警指示功能，看报警信息更容易</w:t>
      </w:r>
    </w:p>
    <w:p>
      <w:pPr>
        <w:numPr>
          <w:ilvl w:val="0"/>
          <w:numId w:val="6"/>
        </w:numPr>
        <w:ind w:left="425" w:leftChars="0" w:hanging="425" w:firstLine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 所有参数报警限自动设置</w:t>
      </w:r>
    </w:p>
    <w:p>
      <w:pPr>
        <w:numPr>
          <w:ilvl w:val="0"/>
          <w:numId w:val="6"/>
        </w:numPr>
        <w:ind w:left="425" w:leftChars="0" w:hanging="425" w:firstLine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 能够设置护理组，一个护理组能够设置6-12个病人。</w:t>
      </w:r>
    </w:p>
    <w:p>
      <w:pPr>
        <w:numPr>
          <w:ilvl w:val="0"/>
          <w:numId w:val="6"/>
        </w:numPr>
        <w:ind w:left="425" w:leftChars="0" w:hanging="425" w:firstLine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 标配具备血液动力学，氧合计算，药物计算，通气计算和肾功能计算功能，并提供截图证明材料</w:t>
      </w:r>
      <w:r>
        <w:rPr>
          <w:rFonts w:hint="eastAsia" w:ascii="仿宋" w:hAnsi="仿宋" w:eastAsia="仿宋" w:cs="仿宋"/>
          <w:b w:val="0"/>
          <w:bCs w:val="0"/>
          <w:sz w:val="24"/>
          <w:szCs w:val="24"/>
          <w:lang w:eastAsia="zh-CN"/>
        </w:rPr>
        <w:t>。</w:t>
      </w:r>
    </w:p>
    <w:p>
      <w:pPr>
        <w:numPr>
          <w:ilvl w:val="0"/>
          <w:numId w:val="6"/>
        </w:numPr>
        <w:ind w:left="425" w:leftChars="0" w:hanging="425" w:firstLine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 40个及以上参数的120小时（分辨率1分钟）趋势表、趋势图回顾，4小时（分辨率5秒）趋势表、趋势图回顾</w:t>
      </w:r>
    </w:p>
    <w:p>
      <w:pPr>
        <w:numPr>
          <w:ilvl w:val="0"/>
          <w:numId w:val="6"/>
        </w:numPr>
        <w:ind w:left="425" w:leftChars="0" w:hanging="425" w:firstLine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 1000条事件回顾。每条报警事件至少能够存储32秒三道相关波形，以及报警触发时所有测量参数值</w:t>
      </w:r>
      <w:r>
        <w:rPr>
          <w:rFonts w:hint="eastAsia" w:ascii="仿宋" w:hAnsi="仿宋" w:eastAsia="仿宋" w:cs="仿宋"/>
          <w:b w:val="0"/>
          <w:bCs w:val="0"/>
          <w:sz w:val="24"/>
          <w:szCs w:val="24"/>
          <w:lang w:eastAsia="zh-CN"/>
        </w:rPr>
        <w:t>。</w:t>
      </w:r>
    </w:p>
    <w:p>
      <w:pPr>
        <w:numPr>
          <w:ilvl w:val="0"/>
          <w:numId w:val="6"/>
        </w:numPr>
        <w:ind w:left="425" w:leftChars="0" w:hanging="425" w:firstLine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 事件回顾时能够提供报警事件列表。能够根据时间、报警优先级、报警类型和参数组对事件进行筛选</w:t>
      </w:r>
      <w:r>
        <w:rPr>
          <w:rFonts w:hint="eastAsia" w:ascii="仿宋" w:hAnsi="仿宋" w:eastAsia="仿宋" w:cs="仿宋"/>
          <w:b w:val="0"/>
          <w:bCs w:val="0"/>
          <w:sz w:val="24"/>
          <w:szCs w:val="24"/>
          <w:lang w:eastAsia="zh-CN"/>
        </w:rPr>
        <w:t>。</w:t>
      </w:r>
    </w:p>
    <w:p>
      <w:pPr>
        <w:numPr>
          <w:ilvl w:val="0"/>
          <w:numId w:val="6"/>
        </w:numPr>
        <w:ind w:left="425" w:leftChars="0" w:hanging="425" w:firstLine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 具备大于等于48小时全息波形的存储与回顾功能</w:t>
      </w:r>
      <w:r>
        <w:rPr>
          <w:rFonts w:hint="eastAsia" w:ascii="仿宋" w:hAnsi="仿宋" w:eastAsia="仿宋" w:cs="仿宋"/>
          <w:b w:val="0"/>
          <w:bCs w:val="0"/>
          <w:sz w:val="24"/>
          <w:szCs w:val="24"/>
          <w:lang w:eastAsia="zh-CN"/>
        </w:rPr>
        <w:t>。</w:t>
      </w:r>
    </w:p>
    <w:p>
      <w:pPr>
        <w:numPr>
          <w:ilvl w:val="0"/>
          <w:numId w:val="6"/>
        </w:numPr>
        <w:ind w:left="425" w:leftChars="0" w:hanging="425" w:firstLine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 120小时（分辨率5分钟）ST模板回顾</w:t>
      </w:r>
    </w:p>
    <w:p>
      <w:pPr>
        <w:numPr>
          <w:ilvl w:val="0"/>
          <w:numId w:val="6"/>
        </w:numPr>
        <w:ind w:left="425" w:leftChars="0" w:hanging="425" w:firstLine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 提供升级24小时心律失常统计，具有24小时心电综合分析概览（24h ECG综合分析报告），能够提供ST、HR、QT/QTc、心律失常、起搏的统计结果，并能够查看细节</w:t>
      </w:r>
      <w:r>
        <w:rPr>
          <w:rFonts w:hint="eastAsia" w:ascii="仿宋" w:hAnsi="仿宋" w:eastAsia="仿宋" w:cs="仿宋"/>
          <w:b w:val="0"/>
          <w:bCs w:val="0"/>
          <w:sz w:val="24"/>
          <w:szCs w:val="24"/>
          <w:lang w:eastAsia="zh-CN"/>
        </w:rPr>
        <w:t>。</w:t>
      </w:r>
    </w:p>
    <w:p>
      <w:pPr>
        <w:numPr>
          <w:ilvl w:val="0"/>
          <w:numId w:val="6"/>
        </w:numPr>
        <w:ind w:left="425" w:leftChars="0" w:hanging="425" w:firstLine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 具有在线帮助功能，能够指导如何设置参数</w:t>
      </w:r>
    </w:p>
    <w:p>
      <w:pPr>
        <w:numPr>
          <w:ilvl w:val="0"/>
          <w:numId w:val="6"/>
        </w:numPr>
        <w:ind w:left="425" w:leftChars="0" w:hanging="425" w:firstLine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 具有高级参数指导功能，能够指导高级参数的使用方法</w:t>
      </w:r>
    </w:p>
    <w:p>
      <w:pPr>
        <w:numPr>
          <w:ilvl w:val="0"/>
          <w:numId w:val="6"/>
        </w:numPr>
        <w:ind w:left="425" w:leftChars="0" w:hanging="425" w:firstLine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 工作模式提供：监护模式、待机模式、体外循环模式模式、插管模式，夜间模式、演示模式、隐私模式</w:t>
      </w:r>
    </w:p>
    <w:p>
      <w:pPr>
        <w:numPr>
          <w:ilvl w:val="0"/>
          <w:numId w:val="6"/>
        </w:numPr>
        <w:ind w:left="425" w:leftChars="0" w:hanging="425" w:firstLine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 支持升级专业的血流动力学辅助应用，能够图形化显示监测参数，体现参数之间的关系，提供目标治疗决策建议，提供抬腿试验辅助工具，提供心功能图指示，提供蛛网图参数跟踪</w:t>
      </w:r>
      <w:r>
        <w:rPr>
          <w:rFonts w:hint="eastAsia" w:ascii="仿宋" w:hAnsi="仿宋" w:eastAsia="仿宋" w:cs="仿宋"/>
          <w:b w:val="0"/>
          <w:bCs w:val="0"/>
          <w:sz w:val="24"/>
          <w:szCs w:val="24"/>
          <w:lang w:eastAsia="zh-CN"/>
        </w:rPr>
        <w:t>。</w:t>
      </w:r>
    </w:p>
    <w:p>
      <w:pPr>
        <w:numPr>
          <w:ilvl w:val="0"/>
          <w:numId w:val="6"/>
        </w:numPr>
        <w:ind w:left="425" w:leftChars="0" w:hanging="425" w:firstLine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 提供心肌缺血评估工具，可以快速查看ST值的变化</w:t>
      </w:r>
      <w:r>
        <w:rPr>
          <w:rFonts w:hint="eastAsia" w:ascii="仿宋" w:hAnsi="仿宋" w:eastAsia="仿宋" w:cs="仿宋"/>
          <w:b w:val="0"/>
          <w:bCs w:val="0"/>
          <w:sz w:val="24"/>
          <w:szCs w:val="24"/>
          <w:lang w:eastAsia="zh-CN"/>
        </w:rPr>
        <w:t>。</w:t>
      </w:r>
    </w:p>
    <w:p>
      <w:pPr>
        <w:numPr>
          <w:ilvl w:val="0"/>
          <w:numId w:val="6"/>
        </w:numPr>
        <w:ind w:left="425" w:leftChars="0" w:hanging="425" w:firstLine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 支持升级脓毒症筛查工具，以及满足2012 SSC指南和Sepsis3.0的治疗建议检查清单，并提供治疗建议</w:t>
      </w:r>
      <w:r>
        <w:rPr>
          <w:rFonts w:hint="eastAsia" w:ascii="仿宋" w:hAnsi="仿宋" w:eastAsia="仿宋" w:cs="仿宋"/>
          <w:b w:val="0"/>
          <w:bCs w:val="0"/>
          <w:sz w:val="24"/>
          <w:szCs w:val="24"/>
          <w:lang w:eastAsia="zh-CN"/>
        </w:rPr>
        <w:t>。</w:t>
      </w:r>
    </w:p>
    <w:p>
      <w:pPr>
        <w:numPr>
          <w:ilvl w:val="0"/>
          <w:numId w:val="6"/>
        </w:numPr>
        <w:ind w:left="425" w:leftChars="0" w:hanging="425" w:firstLine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 支持升级早期预警评分功能，并提供自定义评分协议的能力</w:t>
      </w:r>
    </w:p>
    <w:p>
      <w:pPr>
        <w:numPr>
          <w:ilvl w:val="0"/>
          <w:numId w:val="6"/>
        </w:numPr>
        <w:ind w:left="425" w:leftChars="0" w:hanging="425" w:firstLine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 具备趋势共存界面、大字体显示界面，呼吸氧合图界面，及标准显示界面等多种显示界面</w:t>
      </w:r>
    </w:p>
    <w:p>
      <w:pPr>
        <w:widowControl w:val="0"/>
        <w:numPr>
          <w:ilvl w:val="0"/>
          <w:numId w:val="0"/>
        </w:numPr>
        <w:jc w:val="left"/>
        <w:rPr>
          <w:rFonts w:hint="eastAsia" w:ascii="仿宋" w:hAnsi="仿宋" w:eastAsia="仿宋" w:cs="仿宋"/>
          <w:b w:val="0"/>
          <w:bCs w:val="0"/>
          <w:sz w:val="24"/>
          <w:szCs w:val="24"/>
        </w:rPr>
      </w:pPr>
    </w:p>
    <w:p>
      <w:pPr>
        <w:widowControl w:val="0"/>
        <w:numPr>
          <w:ilvl w:val="0"/>
          <w:numId w:val="0"/>
        </w:numPr>
        <w:jc w:val="left"/>
        <w:rPr>
          <w:rFonts w:hint="eastAsia" w:ascii="仿宋" w:hAnsi="仿宋" w:eastAsia="仿宋" w:cs="仿宋"/>
          <w:b w:val="0"/>
          <w:bCs w:val="0"/>
          <w:sz w:val="24"/>
          <w:szCs w:val="24"/>
        </w:rPr>
        <w:sectPr>
          <w:pgSz w:w="11906" w:h="16838"/>
          <w:pgMar w:top="1440" w:right="1800" w:bottom="1440" w:left="1800" w:header="851" w:footer="992" w:gutter="0"/>
          <w:pgNumType w:fmt="decimal"/>
          <w:cols w:space="425" w:num="1"/>
          <w:docGrid w:type="lines" w:linePitch="312" w:charSpace="0"/>
        </w:sectPr>
      </w:pPr>
    </w:p>
    <w:p>
      <w:pPr>
        <w:widowControl w:val="0"/>
        <w:numPr>
          <w:ilvl w:val="0"/>
          <w:numId w:val="0"/>
        </w:numPr>
        <w:jc w:val="center"/>
        <w:outlineLvl w:val="1"/>
        <w:rPr>
          <w:rFonts w:hint="eastAsia" w:ascii="仿宋" w:hAnsi="仿宋" w:eastAsia="仿宋" w:cs="仿宋"/>
          <w:b/>
          <w:bCs/>
          <w:sz w:val="24"/>
          <w:szCs w:val="24"/>
        </w:rPr>
      </w:pPr>
      <w:r>
        <w:rPr>
          <w:rFonts w:hint="eastAsia" w:ascii="仿宋" w:hAnsi="仿宋" w:eastAsia="仿宋" w:cs="仿宋"/>
          <w:b/>
          <w:bCs/>
          <w:sz w:val="24"/>
          <w:szCs w:val="24"/>
        </w:rPr>
        <w:t>手术治疗车（大号）</w:t>
      </w:r>
    </w:p>
    <w:p>
      <w:pPr>
        <w:numPr>
          <w:ilvl w:val="0"/>
          <w:numId w:val="0"/>
        </w:numPr>
        <w:ind w:leftChars="0"/>
        <w:outlineLvl w:val="9"/>
        <w:rPr>
          <w:rFonts w:hint="eastAsia"/>
        </w:rPr>
      </w:pPr>
    </w:p>
    <w:p>
      <w:pPr>
        <w:widowControl w:val="0"/>
        <w:numPr>
          <w:ilvl w:val="0"/>
          <w:numId w:val="7"/>
        </w:numPr>
        <w:spacing w:line="360" w:lineRule="auto"/>
        <w:ind w:left="425" w:leftChars="0" w:hanging="425" w:firstLine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长*宽*高约为（1400-1500）mm*（600-800）mm*（800-900）mm</w:t>
      </w:r>
    </w:p>
    <w:p>
      <w:pPr>
        <w:widowControl w:val="0"/>
        <w:numPr>
          <w:ilvl w:val="0"/>
          <w:numId w:val="7"/>
        </w:numPr>
        <w:spacing w:line="360" w:lineRule="auto"/>
        <w:ind w:left="425" w:leftChars="0" w:hanging="425" w:firstLine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不锈钢材质，上下两层，结实耐用</w:t>
      </w:r>
    </w:p>
    <w:p>
      <w:pPr>
        <w:widowControl w:val="0"/>
        <w:numPr>
          <w:ilvl w:val="0"/>
          <w:numId w:val="7"/>
        </w:numPr>
        <w:spacing w:line="360" w:lineRule="auto"/>
        <w:ind w:left="425" w:leftChars="0" w:hanging="425" w:firstLine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脚轮为静音万向轮，正面带刹车</w:t>
      </w:r>
    </w:p>
    <w:p>
      <w:pPr>
        <w:widowControl w:val="0"/>
        <w:numPr>
          <w:ilvl w:val="0"/>
          <w:numId w:val="7"/>
        </w:numPr>
        <w:spacing w:line="360" w:lineRule="auto"/>
        <w:ind w:left="425" w:leftChars="0" w:hanging="425" w:firstLine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外观整齐，各表面不得有锋棱、毛刺、疤痕</w:t>
      </w:r>
    </w:p>
    <w:p>
      <w:pPr>
        <w:widowControl w:val="0"/>
        <w:numPr>
          <w:ilvl w:val="0"/>
          <w:numId w:val="7"/>
        </w:numPr>
        <w:spacing w:line="360" w:lineRule="auto"/>
        <w:ind w:left="425" w:leftChars="0" w:hanging="425" w:firstLine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台面为平面，下撑加强筋；各层台面平整，不得有凹凸不平现象</w:t>
      </w:r>
    </w:p>
    <w:p>
      <w:pPr>
        <w:widowControl w:val="0"/>
        <w:numPr>
          <w:ilvl w:val="0"/>
          <w:numId w:val="7"/>
        </w:numPr>
        <w:spacing w:line="360" w:lineRule="auto"/>
        <w:ind w:left="425" w:leftChars="0" w:hanging="425" w:firstLine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除正面外三面有围栏，高度约50-60mm</w:t>
      </w:r>
    </w:p>
    <w:p>
      <w:pPr>
        <w:widowControl w:val="0"/>
        <w:numPr>
          <w:ilvl w:val="0"/>
          <w:numId w:val="0"/>
        </w:numPr>
        <w:jc w:val="center"/>
        <w:rPr>
          <w:rFonts w:hint="eastAsia" w:ascii="仿宋" w:hAnsi="仿宋" w:eastAsia="仿宋" w:cs="仿宋"/>
          <w:b w:val="0"/>
          <w:bCs w:val="0"/>
          <w:sz w:val="24"/>
          <w:szCs w:val="24"/>
        </w:rPr>
        <w:sectPr>
          <w:pgSz w:w="11906" w:h="16838"/>
          <w:pgMar w:top="1440" w:right="1800" w:bottom="1440" w:left="1800" w:header="851" w:footer="992" w:gutter="0"/>
          <w:pgNumType w:fmt="decimal"/>
          <w:cols w:space="425" w:num="1"/>
          <w:docGrid w:type="lines" w:linePitch="312" w:charSpace="0"/>
        </w:sectPr>
      </w:pPr>
    </w:p>
    <w:p>
      <w:pPr>
        <w:widowControl w:val="0"/>
        <w:numPr>
          <w:ilvl w:val="0"/>
          <w:numId w:val="0"/>
        </w:numPr>
        <w:jc w:val="center"/>
        <w:outlineLvl w:val="1"/>
        <w:rPr>
          <w:rFonts w:hint="eastAsia" w:ascii="仿宋" w:hAnsi="仿宋" w:eastAsia="仿宋" w:cs="仿宋"/>
          <w:b/>
          <w:bCs/>
          <w:sz w:val="24"/>
          <w:szCs w:val="24"/>
        </w:rPr>
      </w:pPr>
      <w:r>
        <w:rPr>
          <w:rFonts w:hint="eastAsia" w:ascii="仿宋" w:hAnsi="仿宋" w:eastAsia="仿宋" w:cs="仿宋"/>
          <w:b/>
          <w:bCs/>
          <w:sz w:val="24"/>
          <w:szCs w:val="24"/>
        </w:rPr>
        <w:t>电动床</w:t>
      </w:r>
    </w:p>
    <w:p>
      <w:pPr>
        <w:widowControl w:val="0"/>
        <w:numPr>
          <w:ilvl w:val="0"/>
          <w:numId w:val="0"/>
        </w:numPr>
        <w:jc w:val="left"/>
        <w:rPr>
          <w:rFonts w:hint="eastAsia" w:ascii="仿宋" w:hAnsi="仿宋" w:eastAsia="仿宋" w:cs="仿宋"/>
          <w:b/>
          <w:bCs/>
          <w:sz w:val="24"/>
          <w:szCs w:val="24"/>
        </w:rPr>
      </w:pPr>
    </w:p>
    <w:p>
      <w:pPr>
        <w:widowControl w:val="0"/>
        <w:numPr>
          <w:ilvl w:val="0"/>
          <w:numId w:val="0"/>
        </w:numPr>
        <w:jc w:val="left"/>
        <w:rPr>
          <w:rFonts w:hint="eastAsia" w:ascii="仿宋" w:hAnsi="仿宋" w:eastAsia="仿宋" w:cs="仿宋"/>
          <w:b/>
          <w:bCs/>
          <w:sz w:val="24"/>
          <w:szCs w:val="24"/>
        </w:rPr>
      </w:pPr>
      <w:r>
        <w:rPr>
          <w:rFonts w:hint="eastAsia" w:ascii="仿宋" w:hAnsi="仿宋" w:eastAsia="仿宋" w:cs="仿宋"/>
          <w:b/>
          <w:bCs/>
          <w:sz w:val="24"/>
          <w:szCs w:val="24"/>
        </w:rPr>
        <w:t>五功能电动护理床</w:t>
      </w:r>
    </w:p>
    <w:p>
      <w:pPr>
        <w:widowControl w:val="0"/>
        <w:numPr>
          <w:ilvl w:val="0"/>
          <w:numId w:val="8"/>
        </w:numPr>
        <w:ind w:left="425" w:leftChars="0" w:hanging="425" w:firstLine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规格：（2120-2140）*（1080-1130）*（450-480）-（720-780）</w:t>
      </w:r>
      <w:r>
        <w:rPr>
          <w:rFonts w:hint="eastAsia" w:ascii="仿宋" w:hAnsi="仿宋" w:eastAsia="仿宋" w:cs="仿宋"/>
          <w:b w:val="0"/>
          <w:bCs w:val="0"/>
          <w:sz w:val="24"/>
          <w:szCs w:val="24"/>
          <w:lang w:val="en-US" w:eastAsia="zh-CN"/>
        </w:rPr>
        <w:t>mm。</w:t>
      </w:r>
    </w:p>
    <w:p>
      <w:pPr>
        <w:widowControl w:val="0"/>
        <w:numPr>
          <w:ilvl w:val="0"/>
          <w:numId w:val="8"/>
        </w:numPr>
        <w:ind w:left="5" w:leftChars="0" w:hanging="5" w:firstLine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床头尾板、床头、床尾：采用ABS工程塑料注塑成型，更换拆卸自如，床头尾板坚固可靠，不变形。采用镶嵌式abs色板，避免颜色装饰贴纸附着力不足导致脱落现象；采用优质冷轧钢板制作的插挂件，固定于床梁，床头尾板不会受到外力而歪斜.坏损，更无晃动，拆卸方便,可兼作CPR急救，满足临床需求；床尾板外侧设患者信息卡插槽</w:t>
      </w:r>
      <w:r>
        <w:rPr>
          <w:rFonts w:hint="eastAsia" w:ascii="仿宋" w:hAnsi="仿宋" w:eastAsia="仿宋" w:cs="仿宋"/>
          <w:b w:val="0"/>
          <w:bCs w:val="0"/>
          <w:sz w:val="24"/>
          <w:szCs w:val="24"/>
          <w:lang w:eastAsia="zh-CN"/>
        </w:rPr>
        <w:t>。</w:t>
      </w:r>
    </w:p>
    <w:p>
      <w:pPr>
        <w:widowControl w:val="0"/>
        <w:numPr>
          <w:ilvl w:val="0"/>
          <w:numId w:val="8"/>
        </w:numPr>
        <w:ind w:left="425" w:leftChars="0" w:hanging="425" w:firstLine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病床两侧配优质PP护栏一对,可收缩平放与床内侧</w:t>
      </w:r>
      <w:r>
        <w:rPr>
          <w:rFonts w:hint="eastAsia" w:ascii="仿宋" w:hAnsi="仿宋" w:eastAsia="仿宋" w:cs="仿宋"/>
          <w:b w:val="0"/>
          <w:bCs w:val="0"/>
          <w:sz w:val="24"/>
          <w:szCs w:val="24"/>
          <w:lang w:eastAsia="zh-CN"/>
        </w:rPr>
        <w:t>。</w:t>
      </w:r>
    </w:p>
    <w:p>
      <w:pPr>
        <w:widowControl w:val="0"/>
        <w:numPr>
          <w:ilvl w:val="0"/>
          <w:numId w:val="8"/>
        </w:numPr>
        <w:ind w:left="5" w:leftChars="0" w:hanging="5" w:firstLine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调节范围：整体升降450-800mm，背部倾斜0-70º，脚部倾斜0-50º，前后倾斜≥10º</w:t>
      </w:r>
      <w:r>
        <w:rPr>
          <w:rFonts w:hint="eastAsia" w:ascii="仿宋" w:hAnsi="仿宋" w:eastAsia="仿宋" w:cs="仿宋"/>
          <w:b w:val="0"/>
          <w:bCs w:val="0"/>
          <w:sz w:val="24"/>
          <w:szCs w:val="24"/>
          <w:lang w:val="en-US" w:eastAsia="zh-CN"/>
        </w:rPr>
        <w:t>,</w:t>
      </w:r>
      <w:r>
        <w:rPr>
          <w:rFonts w:hint="eastAsia" w:ascii="仿宋" w:hAnsi="仿宋" w:eastAsia="仿宋" w:cs="仿宋"/>
          <w:b w:val="0"/>
          <w:bCs w:val="0"/>
          <w:sz w:val="24"/>
          <w:szCs w:val="24"/>
        </w:rPr>
        <w:t>床体承载能力正常状态150-180kg</w:t>
      </w:r>
      <w:r>
        <w:rPr>
          <w:rFonts w:hint="eastAsia" w:ascii="仿宋" w:hAnsi="仿宋" w:eastAsia="仿宋" w:cs="仿宋"/>
          <w:b w:val="0"/>
          <w:bCs w:val="0"/>
          <w:sz w:val="24"/>
          <w:szCs w:val="24"/>
          <w:lang w:eastAsia="zh-CN"/>
        </w:rPr>
        <w:t>。</w:t>
      </w:r>
    </w:p>
    <w:p>
      <w:pPr>
        <w:widowControl w:val="0"/>
        <w:numPr>
          <w:ilvl w:val="0"/>
          <w:numId w:val="8"/>
        </w:numPr>
        <w:ind w:left="5" w:leftChars="0" w:hanging="5" w:firstLine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床板：一次性冲压成型碳钢床面板，床面板采用ABS强化塑胶注塑成型，整床面板具有凹型透气孔，便于透气，兼有防滑功能；配有ABS软连接，呈弧形过渡，符合人体工程医学原理</w:t>
      </w:r>
      <w:r>
        <w:rPr>
          <w:rFonts w:hint="eastAsia" w:ascii="仿宋" w:hAnsi="仿宋" w:eastAsia="仿宋" w:cs="仿宋"/>
          <w:b w:val="0"/>
          <w:bCs w:val="0"/>
          <w:sz w:val="24"/>
          <w:szCs w:val="24"/>
          <w:lang w:eastAsia="zh-CN"/>
        </w:rPr>
        <w:t>。</w:t>
      </w:r>
    </w:p>
    <w:p>
      <w:pPr>
        <w:widowControl w:val="0"/>
        <w:numPr>
          <w:ilvl w:val="0"/>
          <w:numId w:val="8"/>
        </w:numPr>
        <w:ind w:left="5" w:leftChars="0" w:hanging="5" w:firstLine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床板连接件：采用高强度优质金属连接，坚实、耐磨，方便拆卸消毒</w:t>
      </w:r>
      <w:r>
        <w:rPr>
          <w:rFonts w:hint="eastAsia" w:ascii="仿宋" w:hAnsi="仿宋" w:eastAsia="仿宋" w:cs="仿宋"/>
          <w:b w:val="0"/>
          <w:bCs w:val="0"/>
          <w:sz w:val="24"/>
          <w:szCs w:val="24"/>
          <w:lang w:eastAsia="zh-CN"/>
        </w:rPr>
        <w:t>。</w:t>
      </w:r>
    </w:p>
    <w:p>
      <w:pPr>
        <w:widowControl w:val="0"/>
        <w:numPr>
          <w:ilvl w:val="0"/>
          <w:numId w:val="8"/>
        </w:numPr>
        <w:ind w:left="5" w:leftChars="0" w:hanging="5" w:firstLine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配有保护性助力气杆，增强机构活动稳定性能、保护和延长电机寿命、防止疲劳性突发事件</w:t>
      </w:r>
      <w:r>
        <w:rPr>
          <w:rFonts w:hint="eastAsia" w:ascii="仿宋" w:hAnsi="仿宋" w:eastAsia="仿宋" w:cs="仿宋"/>
          <w:b w:val="0"/>
          <w:bCs w:val="0"/>
          <w:sz w:val="24"/>
          <w:szCs w:val="24"/>
          <w:lang w:val="en-US" w:eastAsia="zh-CN"/>
        </w:rPr>
        <w:t>,</w:t>
      </w:r>
      <w:r>
        <w:rPr>
          <w:rFonts w:hint="eastAsia" w:ascii="仿宋" w:hAnsi="仿宋" w:eastAsia="仿宋" w:cs="仿宋"/>
          <w:b w:val="0"/>
          <w:bCs w:val="0"/>
          <w:sz w:val="24"/>
          <w:szCs w:val="24"/>
        </w:rPr>
        <w:t>配有保护性低位整床支撑结构</w:t>
      </w:r>
      <w:r>
        <w:rPr>
          <w:rFonts w:hint="eastAsia" w:ascii="仿宋" w:hAnsi="仿宋" w:eastAsia="仿宋" w:cs="仿宋"/>
          <w:b w:val="0"/>
          <w:bCs w:val="0"/>
          <w:sz w:val="24"/>
          <w:szCs w:val="24"/>
          <w:lang w:eastAsia="zh-CN"/>
        </w:rPr>
        <w:t>。</w:t>
      </w:r>
    </w:p>
    <w:p>
      <w:pPr>
        <w:widowControl w:val="0"/>
        <w:numPr>
          <w:ilvl w:val="0"/>
          <w:numId w:val="8"/>
        </w:numPr>
        <w:ind w:left="425" w:leftChars="0" w:hanging="425" w:firstLine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点滴架插座：床边具备四个点滴架插孔和四个引流挂钩</w:t>
      </w:r>
      <w:r>
        <w:rPr>
          <w:rFonts w:hint="eastAsia" w:ascii="仿宋" w:hAnsi="仿宋" w:eastAsia="仿宋" w:cs="仿宋"/>
          <w:b w:val="0"/>
          <w:bCs w:val="0"/>
          <w:sz w:val="24"/>
          <w:szCs w:val="24"/>
          <w:lang w:eastAsia="zh-CN"/>
        </w:rPr>
        <w:t>。</w:t>
      </w:r>
    </w:p>
    <w:p>
      <w:pPr>
        <w:widowControl w:val="0"/>
        <w:numPr>
          <w:ilvl w:val="0"/>
          <w:numId w:val="8"/>
        </w:numPr>
        <w:ind w:left="425" w:leftChars="0" w:hanging="425" w:firstLine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床底面整体离地距离40cm以上，便于临床检查操作及卫生清洁</w:t>
      </w:r>
      <w:r>
        <w:rPr>
          <w:rFonts w:hint="eastAsia" w:ascii="仿宋" w:hAnsi="仿宋" w:eastAsia="仿宋" w:cs="仿宋"/>
          <w:b w:val="0"/>
          <w:bCs w:val="0"/>
          <w:sz w:val="24"/>
          <w:szCs w:val="24"/>
          <w:lang w:eastAsia="zh-CN"/>
        </w:rPr>
        <w:t>。</w:t>
      </w:r>
    </w:p>
    <w:p>
      <w:pPr>
        <w:widowControl w:val="0"/>
        <w:numPr>
          <w:ilvl w:val="0"/>
          <w:numId w:val="8"/>
        </w:numPr>
        <w:ind w:left="5" w:leftChars="0" w:hanging="5" w:firstLine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脚轮：5寸中控脚轮，聚氨酯，带一脚刹车装置功能；脚轮直径120-130mm中控脚轮，中控刹车</w:t>
      </w:r>
      <w:r>
        <w:rPr>
          <w:rFonts w:hint="eastAsia" w:ascii="仿宋" w:hAnsi="仿宋" w:eastAsia="仿宋" w:cs="仿宋"/>
          <w:b w:val="0"/>
          <w:bCs w:val="0"/>
          <w:sz w:val="24"/>
          <w:szCs w:val="24"/>
          <w:lang w:eastAsia="zh-CN"/>
        </w:rPr>
        <w:t>。</w:t>
      </w:r>
    </w:p>
    <w:p>
      <w:pPr>
        <w:widowControl w:val="0"/>
        <w:numPr>
          <w:ilvl w:val="0"/>
          <w:numId w:val="8"/>
        </w:numPr>
        <w:ind w:left="5" w:leftChars="0" w:hanging="5" w:firstLine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点滴架：采用手控伸缩双段设计，可调节高度1000mm～1600mm，操作灵活，不锈钢材料、轻巧、对称式回钩以满足临床需要</w:t>
      </w:r>
      <w:r>
        <w:rPr>
          <w:rFonts w:hint="eastAsia" w:ascii="仿宋" w:hAnsi="仿宋" w:eastAsia="仿宋" w:cs="仿宋"/>
          <w:b w:val="0"/>
          <w:bCs w:val="0"/>
          <w:sz w:val="24"/>
          <w:szCs w:val="24"/>
          <w:lang w:eastAsia="zh-CN"/>
        </w:rPr>
        <w:t>。</w:t>
      </w:r>
    </w:p>
    <w:p>
      <w:pPr>
        <w:widowControl w:val="0"/>
        <w:numPr>
          <w:ilvl w:val="0"/>
          <w:numId w:val="8"/>
        </w:numPr>
        <w:ind w:left="5" w:leftChars="0" w:hanging="5" w:firstLine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材质：床框：主床框采用(30-40)×(50-60)×(2.0-3.0)mm优质碳素型钢焊接，确保床体牢固结实耐用。床脚：采用50×50×2.0mm优质碳素钢焊接，插入式组装，并有加固螺丝，拆卸自如，经久耐用</w:t>
      </w:r>
      <w:r>
        <w:rPr>
          <w:rFonts w:hint="eastAsia" w:ascii="仿宋" w:hAnsi="仿宋" w:eastAsia="仿宋" w:cs="仿宋"/>
          <w:b w:val="0"/>
          <w:bCs w:val="0"/>
          <w:sz w:val="24"/>
          <w:szCs w:val="24"/>
          <w:lang w:eastAsia="zh-CN"/>
        </w:rPr>
        <w:t>。</w:t>
      </w:r>
    </w:p>
    <w:p>
      <w:pPr>
        <w:widowControl w:val="0"/>
        <w:numPr>
          <w:ilvl w:val="0"/>
          <w:numId w:val="8"/>
        </w:numPr>
        <w:ind w:left="425" w:leftChars="0" w:hanging="425" w:firstLine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床体表面处理：涂料有抗菌、防霉作用</w:t>
      </w:r>
      <w:r>
        <w:rPr>
          <w:rFonts w:hint="eastAsia" w:ascii="仿宋" w:hAnsi="仿宋" w:eastAsia="仿宋" w:cs="仿宋"/>
          <w:b w:val="0"/>
          <w:bCs w:val="0"/>
          <w:sz w:val="24"/>
          <w:szCs w:val="24"/>
          <w:lang w:eastAsia="zh-CN"/>
        </w:rPr>
        <w:t>。</w:t>
      </w:r>
    </w:p>
    <w:p>
      <w:pPr>
        <w:widowControl w:val="0"/>
        <w:numPr>
          <w:ilvl w:val="0"/>
          <w:numId w:val="8"/>
        </w:numPr>
        <w:ind w:left="425" w:leftChars="0" w:hanging="425" w:firstLine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整床采用机器人焊接</w:t>
      </w:r>
      <w:r>
        <w:rPr>
          <w:rFonts w:hint="eastAsia" w:ascii="仿宋" w:hAnsi="仿宋" w:eastAsia="仿宋" w:cs="仿宋"/>
          <w:b w:val="0"/>
          <w:bCs w:val="0"/>
          <w:sz w:val="24"/>
          <w:szCs w:val="24"/>
          <w:lang w:eastAsia="zh-CN"/>
        </w:rPr>
        <w:t>。</w:t>
      </w:r>
    </w:p>
    <w:p>
      <w:pPr>
        <w:widowControl w:val="0"/>
        <w:numPr>
          <w:ilvl w:val="0"/>
          <w:numId w:val="8"/>
        </w:numPr>
        <w:ind w:left="425" w:leftChars="0" w:hanging="425" w:firstLine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性能可靠持久耐用的一控四电机控制系统</w:t>
      </w:r>
      <w:r>
        <w:rPr>
          <w:rFonts w:hint="eastAsia" w:ascii="仿宋" w:hAnsi="仿宋" w:eastAsia="仿宋" w:cs="仿宋"/>
          <w:b w:val="0"/>
          <w:bCs w:val="0"/>
          <w:sz w:val="24"/>
          <w:szCs w:val="24"/>
          <w:lang w:eastAsia="zh-CN"/>
        </w:rPr>
        <w:t>。</w:t>
      </w:r>
    </w:p>
    <w:p>
      <w:pPr>
        <w:widowControl w:val="0"/>
        <w:numPr>
          <w:ilvl w:val="0"/>
          <w:numId w:val="8"/>
        </w:numPr>
        <w:ind w:left="5" w:leftChars="0" w:hanging="5" w:firstLineChars="0"/>
        <w:jc w:val="left"/>
        <w:rPr>
          <w:rFonts w:hint="eastAsia" w:ascii="仿宋" w:hAnsi="仿宋" w:eastAsia="仿宋" w:cs="仿宋"/>
          <w:b w:val="0"/>
          <w:bCs w:val="0"/>
          <w:sz w:val="24"/>
          <w:szCs w:val="24"/>
        </w:rPr>
        <w:sectPr>
          <w:pgSz w:w="11906" w:h="16838"/>
          <w:pgMar w:top="1440" w:right="1486" w:bottom="1440" w:left="1800" w:header="851" w:footer="992" w:gutter="0"/>
          <w:pgNumType w:fmt="decimal"/>
          <w:cols w:space="425" w:num="1"/>
          <w:docGrid w:type="lines" w:linePitch="312" w:charSpace="0"/>
        </w:sectPr>
      </w:pPr>
      <w:r>
        <w:rPr>
          <w:rFonts w:hint="eastAsia" w:ascii="仿宋" w:hAnsi="仿宋" w:eastAsia="仿宋" w:cs="仿宋"/>
          <w:b w:val="0"/>
          <w:bCs w:val="0"/>
          <w:sz w:val="24"/>
          <w:szCs w:val="24"/>
        </w:rPr>
        <w:t>具有较重的承载力，牢固、平稳、可靠、合理的安全设计</w:t>
      </w:r>
      <w:r>
        <w:rPr>
          <w:rFonts w:hint="eastAsia" w:ascii="仿宋" w:hAnsi="仿宋" w:eastAsia="仿宋" w:cs="仿宋"/>
          <w:b w:val="0"/>
          <w:bCs w:val="0"/>
          <w:sz w:val="24"/>
          <w:szCs w:val="24"/>
          <w:lang w:eastAsia="zh-CN"/>
        </w:rPr>
        <w:t>。</w:t>
      </w:r>
    </w:p>
    <w:p>
      <w:pPr>
        <w:widowControl w:val="0"/>
        <w:numPr>
          <w:ilvl w:val="0"/>
          <w:numId w:val="0"/>
        </w:numPr>
        <w:ind w:leftChars="0"/>
        <w:jc w:val="center"/>
        <w:outlineLvl w:val="1"/>
        <w:rPr>
          <w:rFonts w:hint="eastAsia" w:ascii="仿宋" w:hAnsi="仿宋" w:eastAsia="仿宋" w:cs="仿宋"/>
          <w:b/>
          <w:bCs/>
          <w:sz w:val="24"/>
          <w:szCs w:val="24"/>
        </w:rPr>
      </w:pPr>
      <w:r>
        <w:rPr>
          <w:rFonts w:hint="eastAsia" w:ascii="仿宋" w:hAnsi="仿宋" w:eastAsia="仿宋" w:cs="仿宋"/>
          <w:b/>
          <w:bCs/>
          <w:sz w:val="24"/>
          <w:szCs w:val="24"/>
        </w:rPr>
        <w:t>心血管内超声检查系统(IVUS)</w:t>
      </w:r>
    </w:p>
    <w:p>
      <w:pPr>
        <w:widowControl w:val="0"/>
        <w:numPr>
          <w:ilvl w:val="0"/>
          <w:numId w:val="0"/>
        </w:numPr>
        <w:ind w:leftChars="0"/>
        <w:jc w:val="both"/>
        <w:rPr>
          <w:rFonts w:hint="eastAsia" w:ascii="仿宋" w:hAnsi="仿宋" w:eastAsia="仿宋" w:cs="仿宋"/>
          <w:b/>
          <w:bCs/>
          <w:sz w:val="24"/>
          <w:szCs w:val="24"/>
          <w:lang w:eastAsia="zh-CN"/>
        </w:rPr>
      </w:pPr>
    </w:p>
    <w:p>
      <w:pPr>
        <w:widowControl w:val="0"/>
        <w:numPr>
          <w:ilvl w:val="0"/>
          <w:numId w:val="0"/>
        </w:numPr>
        <w:ind w:leftChars="0"/>
        <w:jc w:val="left"/>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一、</w:t>
      </w:r>
      <w:r>
        <w:rPr>
          <w:rFonts w:hint="eastAsia" w:ascii="仿宋" w:hAnsi="仿宋" w:eastAsia="仿宋" w:cs="仿宋"/>
          <w:b/>
          <w:bCs/>
          <w:sz w:val="24"/>
          <w:szCs w:val="24"/>
        </w:rPr>
        <w:t>综合参数</w:t>
      </w:r>
    </w:p>
    <w:p>
      <w:pPr>
        <w:widowControl w:val="0"/>
        <w:numPr>
          <w:ilvl w:val="0"/>
          <w:numId w:val="0"/>
        </w:numPr>
        <w:ind w:leftChars="0" w:firstLine="480" w:firstLineChars="200"/>
        <w:jc w:val="left"/>
        <w:outlineLvl w:val="9"/>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rPr>
        <w:t>投标厂商需提供投标机型的“国家医疗器械注册证”既CFDA认证</w:t>
      </w:r>
      <w:r>
        <w:rPr>
          <w:rFonts w:hint="eastAsia" w:ascii="仿宋" w:hAnsi="仿宋" w:eastAsia="仿宋" w:cs="仿宋"/>
          <w:b w:val="0"/>
          <w:bCs w:val="0"/>
          <w:sz w:val="24"/>
          <w:szCs w:val="24"/>
          <w:lang w:eastAsia="zh-CN"/>
        </w:rPr>
        <w:t>。</w:t>
      </w:r>
    </w:p>
    <w:p>
      <w:pPr>
        <w:widowControl w:val="0"/>
        <w:numPr>
          <w:ilvl w:val="0"/>
          <w:numId w:val="0"/>
        </w:numPr>
        <w:ind w:leftChars="0"/>
        <w:jc w:val="left"/>
        <w:outlineLvl w:val="9"/>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w:t>
      </w:r>
      <w:r>
        <w:rPr>
          <w:rFonts w:hint="eastAsia" w:ascii="仿宋" w:hAnsi="仿宋" w:eastAsia="仿宋" w:cs="仿宋"/>
          <w:b w:val="0"/>
          <w:bCs w:val="0"/>
          <w:sz w:val="24"/>
          <w:szCs w:val="24"/>
        </w:rPr>
        <w:t>、硬件</w:t>
      </w:r>
    </w:p>
    <w:p>
      <w:pPr>
        <w:widowControl w:val="0"/>
        <w:numPr>
          <w:ilvl w:val="0"/>
          <w:numId w:val="0"/>
        </w:numPr>
        <w:ind w:leftChars="0"/>
        <w:jc w:val="left"/>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1.1多功能介入超声诊断平台，支持9MHz~60MHz机械旋转式超声导管技术，可用于冠状动脉和心腔内介入治疗。</w:t>
      </w:r>
    </w:p>
    <w:p>
      <w:pPr>
        <w:widowControl w:val="0"/>
        <w:numPr>
          <w:ilvl w:val="0"/>
          <w:numId w:val="0"/>
        </w:numPr>
        <w:ind w:leftChars="0"/>
        <w:jc w:val="left"/>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1.2触摸屏式控制面板，可以显示所有按钮，界面直观简洁，流程式菜单避免操作失误。</w:t>
      </w:r>
    </w:p>
    <w:p>
      <w:pPr>
        <w:widowControl w:val="0"/>
        <w:numPr>
          <w:ilvl w:val="0"/>
          <w:numId w:val="0"/>
        </w:numPr>
        <w:ind w:leftChars="0"/>
        <w:jc w:val="left"/>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1.3 配备鼠标，通过鼠标进行操作，描绘图像。可以通过鼠标滚轮在不同的Frame之间切换。</w:t>
      </w:r>
    </w:p>
    <w:p>
      <w:pPr>
        <w:widowControl w:val="0"/>
        <w:numPr>
          <w:ilvl w:val="0"/>
          <w:numId w:val="0"/>
        </w:numPr>
        <w:ind w:leftChars="0"/>
        <w:jc w:val="left"/>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1.4内置高速硬盘，≥1T，可存储足够的病人数据。</w:t>
      </w:r>
    </w:p>
    <w:p>
      <w:pPr>
        <w:widowControl w:val="0"/>
        <w:numPr>
          <w:ilvl w:val="0"/>
          <w:numId w:val="0"/>
        </w:numPr>
        <w:ind w:leftChars="0"/>
        <w:jc w:val="left"/>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1.5存储方式多样，可以将图像以DICOM 3.0的格式存储于CD、DVD、移动硬盘，并可以上传至网络。</w:t>
      </w:r>
    </w:p>
    <w:p>
      <w:pPr>
        <w:widowControl w:val="0"/>
        <w:numPr>
          <w:ilvl w:val="0"/>
          <w:numId w:val="0"/>
        </w:numPr>
        <w:ind w:leftChars="0"/>
        <w:jc w:val="left"/>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1.6≥19英寸高分辨率彩色LCD显示器，(含内置式麦克风和扬声器)，含有2组DVI接口，分辨率≥1280*1024。</w:t>
      </w:r>
    </w:p>
    <w:p>
      <w:pPr>
        <w:widowControl w:val="0"/>
        <w:numPr>
          <w:ilvl w:val="0"/>
          <w:numId w:val="0"/>
        </w:numPr>
        <w:ind w:leftChars="0"/>
        <w:jc w:val="left"/>
        <w:outlineLvl w:val="9"/>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rPr>
        <w:t>1.7系统处理器：双CPU分布式系统，采集处理器Celeron 2GHz，显像处理器</w:t>
      </w:r>
      <w:r>
        <w:rPr>
          <w:rFonts w:hint="eastAsia" w:ascii="仿宋" w:hAnsi="仿宋" w:eastAsia="仿宋" w:cs="仿宋"/>
          <w:b w:val="0"/>
          <w:bCs w:val="0"/>
          <w:sz w:val="24"/>
          <w:szCs w:val="24"/>
          <w:lang w:eastAsia="zh-CN"/>
        </w:rPr>
        <w:t>不低于</w:t>
      </w:r>
      <w:r>
        <w:rPr>
          <w:rFonts w:hint="eastAsia" w:ascii="仿宋" w:hAnsi="仿宋" w:eastAsia="仿宋" w:cs="仿宋"/>
          <w:b w:val="0"/>
          <w:bCs w:val="0"/>
          <w:sz w:val="24"/>
          <w:szCs w:val="24"/>
        </w:rPr>
        <w:t>Intel Core i5-4590S 3.0GHz</w:t>
      </w:r>
      <w:r>
        <w:rPr>
          <w:rFonts w:hint="eastAsia" w:ascii="仿宋" w:hAnsi="仿宋" w:eastAsia="仿宋" w:cs="仿宋"/>
          <w:b w:val="0"/>
          <w:bCs w:val="0"/>
          <w:sz w:val="24"/>
          <w:szCs w:val="24"/>
          <w:lang w:eastAsia="zh-CN"/>
        </w:rPr>
        <w:t>。</w:t>
      </w:r>
    </w:p>
    <w:p>
      <w:pPr>
        <w:widowControl w:val="0"/>
        <w:numPr>
          <w:ilvl w:val="0"/>
          <w:numId w:val="0"/>
        </w:numPr>
        <w:ind w:leftChars="0"/>
        <w:jc w:val="left"/>
        <w:outlineLvl w:val="9"/>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rPr>
        <w:t>1.8彩色打印机</w:t>
      </w:r>
      <w:r>
        <w:rPr>
          <w:rFonts w:hint="eastAsia" w:ascii="仿宋" w:hAnsi="仿宋" w:eastAsia="仿宋" w:cs="仿宋"/>
          <w:b w:val="0"/>
          <w:bCs w:val="0"/>
          <w:sz w:val="24"/>
          <w:szCs w:val="24"/>
          <w:lang w:eastAsia="zh-CN"/>
        </w:rPr>
        <w:t>。</w:t>
      </w:r>
    </w:p>
    <w:p>
      <w:pPr>
        <w:widowControl w:val="0"/>
        <w:numPr>
          <w:ilvl w:val="0"/>
          <w:numId w:val="0"/>
        </w:numPr>
        <w:ind w:leftChars="0"/>
        <w:jc w:val="left"/>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1.9驱动马达兼具自动回撤和手动回撤功能，可显示回撤距离。</w:t>
      </w:r>
    </w:p>
    <w:p>
      <w:pPr>
        <w:widowControl w:val="0"/>
        <w:numPr>
          <w:ilvl w:val="0"/>
          <w:numId w:val="0"/>
        </w:numPr>
        <w:ind w:leftChars="0" w:firstLine="480" w:firstLineChars="200"/>
        <w:jc w:val="left"/>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自动回撤，回撤速度有0.5mm/s和1mm/s两种模式，自动回撤距离大于10cm，最大采集数约4000-6000帧图像。</w:t>
      </w:r>
    </w:p>
    <w:p>
      <w:pPr>
        <w:widowControl w:val="0"/>
        <w:numPr>
          <w:ilvl w:val="0"/>
          <w:numId w:val="0"/>
        </w:numPr>
        <w:ind w:leftChars="0" w:firstLine="480" w:firstLineChars="200"/>
        <w:jc w:val="left"/>
        <w:outlineLvl w:val="9"/>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rPr>
        <w:t>手动回撤，最大采集数为大于6000帧图像</w:t>
      </w:r>
      <w:r>
        <w:rPr>
          <w:rFonts w:hint="eastAsia" w:ascii="仿宋" w:hAnsi="仿宋" w:eastAsia="仿宋" w:cs="仿宋"/>
          <w:b w:val="0"/>
          <w:bCs w:val="0"/>
          <w:sz w:val="24"/>
          <w:szCs w:val="24"/>
          <w:lang w:eastAsia="zh-CN"/>
        </w:rPr>
        <w:t>。</w:t>
      </w:r>
    </w:p>
    <w:p>
      <w:pPr>
        <w:widowControl w:val="0"/>
        <w:numPr>
          <w:ilvl w:val="0"/>
          <w:numId w:val="0"/>
        </w:numPr>
        <w:ind w:leftChars="0"/>
        <w:jc w:val="left"/>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1.10移动式系统</w:t>
      </w:r>
    </w:p>
    <w:p>
      <w:pPr>
        <w:widowControl w:val="0"/>
        <w:numPr>
          <w:ilvl w:val="0"/>
          <w:numId w:val="0"/>
        </w:numPr>
        <w:ind w:leftChars="0"/>
        <w:jc w:val="left"/>
        <w:outlineLvl w:val="9"/>
        <w:rPr>
          <w:rFonts w:hint="eastAsia" w:ascii="仿宋" w:hAnsi="仿宋" w:eastAsia="仿宋" w:cs="仿宋"/>
          <w:b/>
          <w:bCs/>
          <w:sz w:val="24"/>
          <w:szCs w:val="24"/>
        </w:rPr>
      </w:pPr>
      <w:r>
        <w:rPr>
          <w:rFonts w:hint="eastAsia" w:ascii="仿宋" w:hAnsi="仿宋" w:eastAsia="仿宋" w:cs="仿宋"/>
          <w:b/>
          <w:bCs/>
          <w:sz w:val="24"/>
          <w:szCs w:val="24"/>
        </w:rPr>
        <w:t>二、软件</w:t>
      </w:r>
    </w:p>
    <w:p>
      <w:pPr>
        <w:widowControl w:val="0"/>
        <w:numPr>
          <w:ilvl w:val="0"/>
          <w:numId w:val="0"/>
        </w:numPr>
        <w:ind w:leftChars="0"/>
        <w:jc w:val="left"/>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2.1具有自动化血管壁和血管内腔测量功能的计算软件，该功能可通过计算机图像分析功能自动检测和识别截面管腔和血管边界。</w:t>
      </w:r>
    </w:p>
    <w:p>
      <w:pPr>
        <w:widowControl w:val="0"/>
        <w:numPr>
          <w:ilvl w:val="0"/>
          <w:numId w:val="0"/>
        </w:numPr>
        <w:ind w:leftChars="0"/>
        <w:jc w:val="left"/>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2.2具有图像动态回顾功能，反复播放当前位置前后一定帧数范围的图像，组成动态影像，以清晰确定血管腔及血流边界；帧数范围可在2~15范围内调节。</w:t>
      </w:r>
    </w:p>
    <w:p>
      <w:pPr>
        <w:widowControl w:val="0"/>
        <w:numPr>
          <w:ilvl w:val="0"/>
          <w:numId w:val="0"/>
        </w:numPr>
        <w:ind w:leftChars="0"/>
        <w:jc w:val="left"/>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2.3具有双图功能：主显示屏上同时显示来自同一回撤不同帧的两幅截面图像。 通过双图，可以查看血管的多个部分，并比较远端和近端图像及病变，还可以自动显示图像之间的距离。</w:t>
      </w:r>
    </w:p>
    <w:p>
      <w:pPr>
        <w:widowControl w:val="0"/>
        <w:numPr>
          <w:ilvl w:val="0"/>
          <w:numId w:val="0"/>
        </w:numPr>
        <w:ind w:leftChars="0"/>
        <w:jc w:val="left"/>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2.4根据数据处理控件,提供图像处理以帮助除去图像中因血细胞移动反射而形成的“血斑”，使图像更清晰。</w:t>
      </w:r>
    </w:p>
    <w:p>
      <w:pPr>
        <w:widowControl w:val="0"/>
        <w:numPr>
          <w:ilvl w:val="0"/>
          <w:numId w:val="0"/>
        </w:numPr>
        <w:ind w:leftChars="0"/>
        <w:jc w:val="left"/>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2.6书签缩略图：将书签的帧的缩略图显示在截面视图之下，快速地识别并导航到加书签的帧，同时显示相应的截面图像。</w:t>
      </w:r>
    </w:p>
    <w:p>
      <w:pPr>
        <w:widowControl w:val="0"/>
        <w:numPr>
          <w:ilvl w:val="0"/>
          <w:numId w:val="0"/>
        </w:numPr>
        <w:ind w:leftChars="0"/>
        <w:jc w:val="left"/>
        <w:outlineLvl w:val="9"/>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rPr>
        <w:t>2.7自动书签距离测量：可自动测量书签间距离、当前位置到各书签的距离或者当前位置到参考位置的距离</w:t>
      </w:r>
      <w:r>
        <w:rPr>
          <w:rFonts w:hint="eastAsia" w:ascii="仿宋" w:hAnsi="仿宋" w:eastAsia="仿宋" w:cs="仿宋"/>
          <w:b w:val="0"/>
          <w:bCs w:val="0"/>
          <w:sz w:val="24"/>
          <w:szCs w:val="24"/>
          <w:lang w:eastAsia="zh-CN"/>
        </w:rPr>
        <w:t>。</w:t>
      </w:r>
    </w:p>
    <w:p>
      <w:pPr>
        <w:widowControl w:val="0"/>
        <w:numPr>
          <w:ilvl w:val="0"/>
          <w:numId w:val="0"/>
        </w:numPr>
        <w:ind w:leftChars="0"/>
        <w:jc w:val="left"/>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2.8注释:可在图像中任意位置添加注释，注释可自定义，可保存或修改。</w:t>
      </w:r>
    </w:p>
    <w:p>
      <w:pPr>
        <w:widowControl w:val="0"/>
        <w:numPr>
          <w:ilvl w:val="0"/>
          <w:numId w:val="0"/>
        </w:numPr>
        <w:ind w:leftChars="0"/>
        <w:jc w:val="left"/>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2.9长轴标尺：长轴图像下显示距离标尺，以便于进行测量。</w:t>
      </w:r>
    </w:p>
    <w:p>
      <w:pPr>
        <w:widowControl w:val="0"/>
        <w:numPr>
          <w:ilvl w:val="0"/>
          <w:numId w:val="0"/>
        </w:numPr>
        <w:ind w:leftChars="0"/>
        <w:jc w:val="left"/>
        <w:outlineLvl w:val="9"/>
        <w:rPr>
          <w:rFonts w:hint="eastAsia" w:ascii="仿宋" w:hAnsi="仿宋" w:eastAsia="仿宋" w:cs="仿宋"/>
          <w:b w:val="0"/>
          <w:bCs w:val="0"/>
          <w:sz w:val="24"/>
          <w:szCs w:val="24"/>
        </w:rPr>
      </w:pPr>
      <w:r>
        <w:rPr>
          <w:rFonts w:hint="eastAsia" w:ascii="仿宋" w:hAnsi="仿宋" w:eastAsia="仿宋" w:cs="仿宋"/>
          <w:sz w:val="24"/>
          <w:szCs w:val="24"/>
          <w:lang w:eastAsia="zh-CN"/>
        </w:rPr>
        <w:t>▲</w:t>
      </w:r>
      <w:r>
        <w:rPr>
          <w:rFonts w:hint="eastAsia" w:ascii="仿宋" w:hAnsi="仿宋" w:eastAsia="仿宋" w:cs="仿宋"/>
          <w:b w:val="0"/>
          <w:bCs w:val="0"/>
          <w:sz w:val="24"/>
          <w:szCs w:val="24"/>
        </w:rPr>
        <w:t>2.10对于图像的任意帧可以进行多次面积和距离测量：最多可进行3次面积测量和8次距离测量。</w:t>
      </w:r>
    </w:p>
    <w:p>
      <w:pPr>
        <w:widowControl w:val="0"/>
        <w:numPr>
          <w:ilvl w:val="0"/>
          <w:numId w:val="0"/>
        </w:numPr>
        <w:ind w:leftChars="0"/>
        <w:jc w:val="left"/>
        <w:outlineLvl w:val="9"/>
        <w:rPr>
          <w:rFonts w:hint="eastAsia" w:ascii="仿宋" w:hAnsi="仿宋" w:eastAsia="仿宋" w:cs="仿宋"/>
          <w:b/>
          <w:bCs/>
          <w:sz w:val="24"/>
          <w:szCs w:val="24"/>
        </w:rPr>
      </w:pPr>
      <w:r>
        <w:rPr>
          <w:rFonts w:hint="eastAsia" w:ascii="仿宋" w:hAnsi="仿宋" w:eastAsia="仿宋" w:cs="仿宋"/>
          <w:b/>
          <w:bCs/>
          <w:sz w:val="24"/>
          <w:szCs w:val="24"/>
        </w:rPr>
        <w:t>三、超声导管参数</w:t>
      </w:r>
    </w:p>
    <w:p>
      <w:pPr>
        <w:widowControl w:val="0"/>
        <w:numPr>
          <w:ilvl w:val="0"/>
          <w:numId w:val="0"/>
        </w:numPr>
        <w:ind w:leftChars="0"/>
        <w:jc w:val="left"/>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3.1用于冠脉血管的超声导管：</w:t>
      </w:r>
    </w:p>
    <w:p>
      <w:pPr>
        <w:widowControl w:val="0"/>
        <w:numPr>
          <w:ilvl w:val="0"/>
          <w:numId w:val="0"/>
        </w:numPr>
        <w:ind w:leftChars="0" w:firstLine="480" w:firstLineChars="200"/>
        <w:jc w:val="left"/>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具有宽带技术的机械旋转式超声导管，频率50-60MHz，进入外廓2F，最大外廓3.15F，可兼容5F指引导管。</w:t>
      </w:r>
    </w:p>
    <w:p>
      <w:pPr>
        <w:widowControl w:val="0"/>
        <w:numPr>
          <w:ilvl w:val="0"/>
          <w:numId w:val="0"/>
        </w:numPr>
        <w:ind w:leftChars="0"/>
        <w:jc w:val="left"/>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3.2用于心腔内的超声导管：</w:t>
      </w:r>
    </w:p>
    <w:p>
      <w:pPr>
        <w:widowControl w:val="0"/>
        <w:numPr>
          <w:ilvl w:val="0"/>
          <w:numId w:val="0"/>
        </w:numPr>
        <w:ind w:leftChars="0"/>
        <w:jc w:val="left"/>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工作频率9MHz，可以探测心脏腔内各组织成分的形态、比重和质地。</w:t>
      </w:r>
    </w:p>
    <w:p>
      <w:pPr>
        <w:widowControl w:val="0"/>
        <w:numPr>
          <w:ilvl w:val="0"/>
          <w:numId w:val="0"/>
        </w:numPr>
        <w:ind w:leftChars="0"/>
        <w:jc w:val="left"/>
        <w:outlineLvl w:val="9"/>
        <w:rPr>
          <w:rFonts w:hint="eastAsia" w:ascii="仿宋" w:hAnsi="仿宋" w:eastAsia="仿宋" w:cs="仿宋"/>
          <w:b/>
          <w:bCs/>
          <w:sz w:val="24"/>
          <w:szCs w:val="24"/>
        </w:rPr>
      </w:pPr>
      <w:r>
        <w:rPr>
          <w:rFonts w:hint="eastAsia" w:ascii="仿宋" w:hAnsi="仿宋" w:eastAsia="仿宋" w:cs="仿宋"/>
          <w:b/>
          <w:bCs/>
          <w:sz w:val="24"/>
          <w:szCs w:val="24"/>
        </w:rPr>
        <w:t>四、FFR Link技术要求</w:t>
      </w:r>
    </w:p>
    <w:p>
      <w:pPr>
        <w:widowControl w:val="0"/>
        <w:numPr>
          <w:ilvl w:val="0"/>
          <w:numId w:val="0"/>
        </w:numPr>
        <w:ind w:leftChars="0"/>
        <w:jc w:val="left"/>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1.</w:t>
      </w:r>
      <w:r>
        <w:rPr>
          <w:rFonts w:hint="eastAsia" w:ascii="仿宋" w:hAnsi="仿宋" w:eastAsia="仿宋" w:cs="仿宋"/>
          <w:b w:val="0"/>
          <w:bCs w:val="0"/>
          <w:sz w:val="24"/>
          <w:szCs w:val="24"/>
          <w:lang w:eastAsia="zh-CN"/>
        </w:rPr>
        <w:t>配备</w:t>
      </w:r>
      <w:r>
        <w:rPr>
          <w:rFonts w:hint="eastAsia" w:ascii="仿宋" w:hAnsi="仿宋" w:eastAsia="仿宋" w:cs="仿宋"/>
          <w:b w:val="0"/>
          <w:bCs w:val="0"/>
          <w:sz w:val="24"/>
          <w:szCs w:val="24"/>
        </w:rPr>
        <w:t>有线压力导丝，实时接收、处理和传输主动脉压（Pa）和远端（Pd）血压信号。</w:t>
      </w:r>
    </w:p>
    <w:p>
      <w:pPr>
        <w:widowControl w:val="0"/>
        <w:numPr>
          <w:ilvl w:val="0"/>
          <w:numId w:val="0"/>
        </w:numPr>
        <w:ind w:leftChars="0"/>
        <w:jc w:val="left"/>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2.血流储备分数压力信号发送和接收器（FFR Link）轻巧简便，在导管室有多种安装方式，便于在几个导管室之间移动使用。</w:t>
      </w:r>
    </w:p>
    <w:p>
      <w:pPr>
        <w:widowControl w:val="0"/>
        <w:numPr>
          <w:ilvl w:val="0"/>
          <w:numId w:val="0"/>
        </w:numPr>
        <w:ind w:leftChars="0"/>
        <w:jc w:val="left"/>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3.血流储备分数压力信号发送和接收器（FFR Link）可将Pd和Pa压力转换为数字和模拟信号。数字信号可以与血管内超声系统通过蓝牙连接并进行信号传输。模拟信号可通过线缆连接到血液动力学显示检测器。</w:t>
      </w:r>
    </w:p>
    <w:p>
      <w:pPr>
        <w:widowControl w:val="0"/>
        <w:numPr>
          <w:ilvl w:val="0"/>
          <w:numId w:val="0"/>
        </w:numPr>
        <w:ind w:leftChars="0"/>
        <w:jc w:val="left"/>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4.FFR Link连接压力导丝后，可自动进行压力导丝校零。</w:t>
      </w:r>
    </w:p>
    <w:p>
      <w:pPr>
        <w:widowControl w:val="0"/>
        <w:numPr>
          <w:ilvl w:val="0"/>
          <w:numId w:val="0"/>
        </w:numPr>
        <w:ind w:leftChars="0"/>
        <w:jc w:val="left"/>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五、</w:t>
      </w:r>
      <w:r>
        <w:rPr>
          <w:rFonts w:hint="eastAsia" w:ascii="仿宋" w:hAnsi="仿宋" w:eastAsia="仿宋" w:cs="仿宋"/>
          <w:b/>
          <w:bCs/>
          <w:sz w:val="24"/>
          <w:szCs w:val="24"/>
        </w:rPr>
        <w:t>配置清单：</w:t>
      </w:r>
    </w:p>
    <w:p>
      <w:pPr>
        <w:widowControl w:val="0"/>
        <w:numPr>
          <w:ilvl w:val="0"/>
          <w:numId w:val="9"/>
        </w:numPr>
        <w:ind w:left="425" w:leftChars="0" w:hanging="425" w:firstLineChars="0"/>
        <w:jc w:val="left"/>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血管内超声诊断系统 1套</w:t>
      </w:r>
    </w:p>
    <w:p>
      <w:pPr>
        <w:widowControl w:val="0"/>
        <w:numPr>
          <w:ilvl w:val="0"/>
          <w:numId w:val="9"/>
        </w:numPr>
        <w:ind w:left="425" w:leftChars="0" w:hanging="425" w:firstLineChars="0"/>
        <w:jc w:val="left"/>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专用液晶显示器 1个</w:t>
      </w:r>
    </w:p>
    <w:p>
      <w:pPr>
        <w:widowControl w:val="0"/>
        <w:numPr>
          <w:ilvl w:val="0"/>
          <w:numId w:val="9"/>
        </w:numPr>
        <w:ind w:left="425" w:leftChars="0" w:hanging="425" w:firstLineChars="0"/>
        <w:jc w:val="left"/>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相控阵导管连接盒PIM 1 个</w:t>
      </w:r>
    </w:p>
    <w:p>
      <w:pPr>
        <w:widowControl w:val="0"/>
        <w:numPr>
          <w:ilvl w:val="0"/>
          <w:numId w:val="9"/>
        </w:numPr>
        <w:ind w:left="425" w:leftChars="0" w:hanging="425" w:firstLineChars="0"/>
        <w:jc w:val="left"/>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FFR及iFR病人连接盒PIM 1个</w:t>
      </w:r>
    </w:p>
    <w:p>
      <w:pPr>
        <w:widowControl w:val="0"/>
        <w:numPr>
          <w:ilvl w:val="0"/>
          <w:numId w:val="9"/>
        </w:numPr>
        <w:ind w:left="425" w:leftChars="0" w:hanging="425" w:firstLineChars="0"/>
        <w:jc w:val="left"/>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DVD刻录机1个</w:t>
      </w:r>
    </w:p>
    <w:p>
      <w:pPr>
        <w:widowControl w:val="0"/>
        <w:numPr>
          <w:ilvl w:val="0"/>
          <w:numId w:val="9"/>
        </w:numPr>
        <w:ind w:left="425" w:leftChars="0" w:hanging="425" w:firstLineChars="0"/>
        <w:jc w:val="left"/>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彩色打印机1个</w:t>
      </w:r>
    </w:p>
    <w:p>
      <w:pPr>
        <w:widowControl w:val="0"/>
        <w:numPr>
          <w:ilvl w:val="0"/>
          <w:numId w:val="9"/>
        </w:numPr>
        <w:ind w:left="425" w:leftChars="0" w:hanging="425" w:firstLineChars="0"/>
        <w:jc w:val="left"/>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导管自动回撤装置1个</w:t>
      </w:r>
    </w:p>
    <w:p>
      <w:pPr>
        <w:widowControl w:val="0"/>
        <w:numPr>
          <w:ilvl w:val="0"/>
          <w:numId w:val="9"/>
        </w:numPr>
        <w:ind w:left="425" w:leftChars="0" w:hanging="425" w:firstLineChars="0"/>
        <w:jc w:val="left"/>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交流电源线1个</w:t>
      </w:r>
    </w:p>
    <w:p>
      <w:pPr>
        <w:widowControl w:val="0"/>
        <w:numPr>
          <w:ilvl w:val="0"/>
          <w:numId w:val="9"/>
        </w:numPr>
        <w:ind w:left="425" w:leftChars="0" w:hanging="425" w:firstLineChars="0"/>
        <w:jc w:val="left"/>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同步心电触发电缆1个</w:t>
      </w:r>
    </w:p>
    <w:p>
      <w:pPr>
        <w:widowControl w:val="0"/>
        <w:numPr>
          <w:ilvl w:val="0"/>
          <w:numId w:val="9"/>
        </w:numPr>
        <w:ind w:left="425" w:leftChars="0" w:hanging="425" w:firstLineChars="0"/>
        <w:jc w:val="left"/>
        <w:outlineLvl w:val="9"/>
        <w:rPr>
          <w:rFonts w:hint="eastAsia" w:ascii="仿宋" w:hAnsi="仿宋" w:eastAsia="仿宋" w:cs="仿宋"/>
          <w:b w:val="0"/>
          <w:bCs w:val="0"/>
          <w:sz w:val="24"/>
          <w:szCs w:val="24"/>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b w:val="0"/>
          <w:bCs w:val="0"/>
          <w:sz w:val="24"/>
          <w:szCs w:val="24"/>
        </w:rPr>
        <w:t>操作手册1个</w:t>
      </w:r>
    </w:p>
    <w:p>
      <w:pPr>
        <w:widowControl w:val="0"/>
        <w:numPr>
          <w:ilvl w:val="0"/>
          <w:numId w:val="0"/>
        </w:numPr>
        <w:ind w:leftChars="0"/>
        <w:jc w:val="center"/>
        <w:outlineLvl w:val="1"/>
        <w:rPr>
          <w:rFonts w:hint="eastAsia" w:ascii="仿宋" w:hAnsi="仿宋" w:eastAsia="仿宋" w:cs="仿宋"/>
          <w:b/>
          <w:bCs/>
          <w:sz w:val="24"/>
          <w:szCs w:val="24"/>
        </w:rPr>
      </w:pPr>
      <w:r>
        <w:rPr>
          <w:rFonts w:hint="eastAsia" w:ascii="仿宋" w:hAnsi="仿宋" w:eastAsia="仿宋" w:cs="仿宋"/>
          <w:b/>
          <w:bCs/>
          <w:sz w:val="24"/>
          <w:szCs w:val="24"/>
        </w:rPr>
        <w:t>吊塔</w:t>
      </w:r>
    </w:p>
    <w:p>
      <w:pPr>
        <w:widowControl w:val="0"/>
        <w:numPr>
          <w:ilvl w:val="0"/>
          <w:numId w:val="0"/>
        </w:numPr>
        <w:ind w:leftChars="0"/>
        <w:jc w:val="both"/>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一、综合参数</w:t>
      </w:r>
    </w:p>
    <w:p>
      <w:pPr>
        <w:widowControl w:val="0"/>
        <w:numPr>
          <w:ilvl w:val="0"/>
          <w:numId w:val="10"/>
        </w:numPr>
        <w:ind w:left="17" w:leftChars="0" w:firstLine="403" w:firstLineChars="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横  梁：L=2000mm～3000mm（可根据安装现场情况选定长度），还可根据需求选配置通信传呼、可视电话、监控、可视电话、背景音乐及教学和远程会诊系统。</w:t>
      </w:r>
    </w:p>
    <w:p>
      <w:pPr>
        <w:widowControl w:val="0"/>
        <w:numPr>
          <w:ilvl w:val="0"/>
          <w:numId w:val="10"/>
        </w:numPr>
        <w:ind w:left="17" w:leftChars="0" w:firstLine="403" w:firstLineChars="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横臂厚度≥70mm</w:t>
      </w:r>
    </w:p>
    <w:p>
      <w:pPr>
        <w:widowControl w:val="0"/>
        <w:numPr>
          <w:ilvl w:val="0"/>
          <w:numId w:val="10"/>
        </w:numPr>
        <w:ind w:left="17" w:leftChars="0" w:firstLine="403" w:firstLineChars="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干区控制台1300～1800mm</w:t>
      </w:r>
    </w:p>
    <w:p>
      <w:pPr>
        <w:widowControl w:val="0"/>
        <w:numPr>
          <w:ilvl w:val="0"/>
          <w:numId w:val="10"/>
        </w:numPr>
        <w:ind w:left="17" w:leftChars="0" w:firstLine="403" w:firstLineChars="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湿区功能箱800～1500mm</w:t>
      </w:r>
    </w:p>
    <w:p>
      <w:pPr>
        <w:widowControl w:val="0"/>
        <w:numPr>
          <w:ilvl w:val="0"/>
          <w:numId w:val="10"/>
        </w:numPr>
        <w:ind w:left="17" w:leftChars="0" w:firstLine="403" w:firstLineChars="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旋转角度：300-3300（可调，转动范围能够覆盖病人所需区域）</w:t>
      </w:r>
    </w:p>
    <w:p>
      <w:pPr>
        <w:widowControl w:val="0"/>
        <w:numPr>
          <w:ilvl w:val="0"/>
          <w:numId w:val="10"/>
        </w:numPr>
        <w:ind w:left="17" w:leftChars="0" w:firstLine="403" w:firstLineChars="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最大负载：200㎏，每层托盘最大配载应不大于50kg,单层托盘具有四倍承重系数安全负载。</w:t>
      </w:r>
    </w:p>
    <w:p>
      <w:pPr>
        <w:widowControl w:val="0"/>
        <w:numPr>
          <w:ilvl w:val="0"/>
          <w:numId w:val="0"/>
        </w:numPr>
        <w:ind w:leftChars="0"/>
        <w:jc w:val="both"/>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二、基本配置</w:t>
      </w:r>
    </w:p>
    <w:p>
      <w:pPr>
        <w:widowControl w:val="0"/>
        <w:numPr>
          <w:ilvl w:val="0"/>
          <w:numId w:val="0"/>
        </w:numPr>
        <w:ind w:leftChars="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1、固  定  盘：2只</w:t>
      </w:r>
    </w:p>
    <w:p>
      <w:pPr>
        <w:widowControl w:val="0"/>
        <w:numPr>
          <w:ilvl w:val="0"/>
          <w:numId w:val="0"/>
        </w:numPr>
        <w:ind w:leftChars="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2、横      梁：1个</w:t>
      </w:r>
    </w:p>
    <w:p>
      <w:pPr>
        <w:widowControl w:val="0"/>
        <w:numPr>
          <w:ilvl w:val="0"/>
          <w:numId w:val="0"/>
        </w:numPr>
        <w:ind w:leftChars="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3、干区控制台：1 个</w:t>
      </w:r>
    </w:p>
    <w:p>
      <w:pPr>
        <w:widowControl w:val="0"/>
        <w:numPr>
          <w:ilvl w:val="0"/>
          <w:numId w:val="0"/>
        </w:numPr>
        <w:ind w:leftChars="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4、湿区功能箱：1 个</w:t>
      </w:r>
    </w:p>
    <w:p>
      <w:pPr>
        <w:widowControl w:val="0"/>
        <w:numPr>
          <w:ilvl w:val="0"/>
          <w:numId w:val="0"/>
        </w:numPr>
        <w:ind w:leftChars="0"/>
        <w:jc w:val="both"/>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rPr>
        <w:t>5、仪器托盘及抽屉</w:t>
      </w:r>
      <w:r>
        <w:rPr>
          <w:rFonts w:hint="eastAsia" w:ascii="仿宋" w:hAnsi="仿宋" w:eastAsia="仿宋" w:cs="仿宋"/>
          <w:b w:val="0"/>
          <w:bCs w:val="0"/>
          <w:sz w:val="24"/>
          <w:szCs w:val="24"/>
          <w:lang w:eastAsia="zh-CN"/>
        </w:rPr>
        <w:t>：</w:t>
      </w:r>
    </w:p>
    <w:p>
      <w:pPr>
        <w:widowControl w:val="0"/>
        <w:numPr>
          <w:ilvl w:val="0"/>
          <w:numId w:val="0"/>
        </w:numPr>
        <w:ind w:leftChars="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 xml:space="preserve">干区：2层托盘，1个抽屉 </w:t>
      </w:r>
    </w:p>
    <w:p>
      <w:pPr>
        <w:widowControl w:val="0"/>
        <w:numPr>
          <w:ilvl w:val="0"/>
          <w:numId w:val="0"/>
        </w:numPr>
        <w:ind w:leftChars="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湿区：2层托盘，1个抽屉</w:t>
      </w:r>
    </w:p>
    <w:p>
      <w:pPr>
        <w:widowControl w:val="0"/>
        <w:numPr>
          <w:ilvl w:val="0"/>
          <w:numId w:val="0"/>
        </w:numPr>
        <w:ind w:leftChars="0"/>
        <w:jc w:val="both"/>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rPr>
        <w:t>6、输液系统：不锈钢输液架：1套，高度可调节，挂钩4个</w:t>
      </w:r>
      <w:r>
        <w:rPr>
          <w:rFonts w:hint="eastAsia" w:ascii="仿宋" w:hAnsi="仿宋" w:eastAsia="仿宋" w:cs="仿宋"/>
          <w:b w:val="0"/>
          <w:bCs w:val="0"/>
          <w:sz w:val="24"/>
          <w:szCs w:val="24"/>
          <w:lang w:eastAsia="zh-CN"/>
        </w:rPr>
        <w:t>。</w:t>
      </w:r>
    </w:p>
    <w:p>
      <w:pPr>
        <w:widowControl w:val="0"/>
        <w:numPr>
          <w:ilvl w:val="0"/>
          <w:numId w:val="0"/>
        </w:numPr>
        <w:ind w:leftChars="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7、插座：</w:t>
      </w:r>
    </w:p>
    <w:p>
      <w:pPr>
        <w:widowControl w:val="0"/>
        <w:numPr>
          <w:ilvl w:val="0"/>
          <w:numId w:val="0"/>
        </w:numPr>
        <w:ind w:leftChars="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干区：电源插座（三眼）：6只，具有可扩展性 ，网络RJ45/电话插座RJ11：各1套；</w:t>
      </w:r>
    </w:p>
    <w:p>
      <w:pPr>
        <w:widowControl w:val="0"/>
        <w:numPr>
          <w:ilvl w:val="0"/>
          <w:numId w:val="0"/>
        </w:numPr>
        <w:ind w:leftChars="0"/>
        <w:jc w:val="both"/>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rPr>
        <w:t>湿区：电源插座（三眼）：4只，具有可扩展性 ，网络RJ45：1套</w:t>
      </w:r>
      <w:r>
        <w:rPr>
          <w:rFonts w:hint="eastAsia" w:ascii="仿宋" w:hAnsi="仿宋" w:eastAsia="仿宋" w:cs="仿宋"/>
          <w:b w:val="0"/>
          <w:bCs w:val="0"/>
          <w:sz w:val="24"/>
          <w:szCs w:val="24"/>
          <w:lang w:eastAsia="zh-CN"/>
        </w:rPr>
        <w:t>。</w:t>
      </w:r>
    </w:p>
    <w:p>
      <w:pPr>
        <w:widowControl w:val="0"/>
        <w:numPr>
          <w:ilvl w:val="0"/>
          <w:numId w:val="0"/>
        </w:numPr>
        <w:ind w:leftChars="0"/>
        <w:jc w:val="both"/>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rPr>
        <w:t>8、不锈钢网篮：1个</w:t>
      </w:r>
    </w:p>
    <w:p>
      <w:pPr>
        <w:widowControl w:val="0"/>
        <w:numPr>
          <w:ilvl w:val="0"/>
          <w:numId w:val="0"/>
        </w:numPr>
        <w:ind w:leftChars="0"/>
        <w:jc w:val="both"/>
        <w:rPr>
          <w:rFonts w:hint="eastAsia" w:ascii="仿宋" w:hAnsi="仿宋" w:eastAsia="仿宋" w:cs="仿宋"/>
          <w:b w:val="0"/>
          <w:bCs w:val="0"/>
          <w:sz w:val="24"/>
          <w:szCs w:val="24"/>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b w:val="0"/>
          <w:bCs w:val="0"/>
          <w:sz w:val="24"/>
          <w:szCs w:val="24"/>
        </w:rPr>
        <w:t>9、国标气体终端：压缩空气1只/氧气2只/吸引气1只（可选配各种气体）</w:t>
      </w:r>
    </w:p>
    <w:p>
      <w:pPr>
        <w:widowControl w:val="0"/>
        <w:numPr>
          <w:ilvl w:val="0"/>
          <w:numId w:val="0"/>
        </w:numPr>
        <w:ind w:leftChars="0"/>
        <w:jc w:val="center"/>
        <w:outlineLvl w:val="1"/>
        <w:rPr>
          <w:rFonts w:hint="eastAsia" w:ascii="仿宋" w:hAnsi="仿宋" w:eastAsia="仿宋" w:cs="仿宋"/>
          <w:b/>
          <w:bCs/>
          <w:sz w:val="24"/>
          <w:szCs w:val="24"/>
        </w:rPr>
      </w:pPr>
      <w:r>
        <w:rPr>
          <w:rFonts w:hint="eastAsia" w:ascii="仿宋" w:hAnsi="仿宋" w:eastAsia="仿宋" w:cs="仿宋"/>
          <w:b/>
          <w:bCs/>
          <w:sz w:val="24"/>
          <w:szCs w:val="24"/>
        </w:rPr>
        <w:t>临时起搏器</w:t>
      </w:r>
    </w:p>
    <w:p>
      <w:pPr>
        <w:widowControl w:val="0"/>
        <w:numPr>
          <w:ilvl w:val="0"/>
          <w:numId w:val="0"/>
        </w:numPr>
        <w:ind w:leftChars="0"/>
        <w:jc w:val="both"/>
        <w:rPr>
          <w:rFonts w:hint="eastAsia" w:ascii="仿宋" w:hAnsi="仿宋" w:eastAsia="仿宋" w:cs="仿宋"/>
          <w:b/>
          <w:bCs/>
          <w:sz w:val="24"/>
          <w:szCs w:val="24"/>
          <w:lang w:eastAsia="zh-CN"/>
        </w:rPr>
      </w:pPr>
    </w:p>
    <w:p>
      <w:pPr>
        <w:widowControl w:val="0"/>
        <w:numPr>
          <w:ilvl w:val="0"/>
          <w:numId w:val="0"/>
        </w:numPr>
        <w:ind w:leftChars="0"/>
        <w:jc w:val="both"/>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一、综合参数</w:t>
      </w:r>
    </w:p>
    <w:p>
      <w:pPr>
        <w:widowControl w:val="0"/>
        <w:numPr>
          <w:ilvl w:val="0"/>
          <w:numId w:val="11"/>
        </w:numPr>
        <w:ind w:left="0" w:leftChars="0" w:firstLine="400" w:firstLineChars="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单腔临时起搏器</w:t>
      </w:r>
    </w:p>
    <w:p>
      <w:pPr>
        <w:widowControl w:val="0"/>
        <w:numPr>
          <w:ilvl w:val="0"/>
          <w:numId w:val="11"/>
        </w:numPr>
        <w:ind w:left="0" w:leftChars="0" w:firstLine="400" w:firstLineChars="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触摸屏设计</w:t>
      </w:r>
    </w:p>
    <w:p>
      <w:pPr>
        <w:widowControl w:val="0"/>
        <w:numPr>
          <w:ilvl w:val="0"/>
          <w:numId w:val="11"/>
        </w:numPr>
        <w:ind w:left="0" w:leftChars="0" w:firstLine="400" w:firstLineChars="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模式：AOO，AAI，AAT，VOO，VVI，VVT高频起搏，紧急起搏和OSO</w:t>
      </w:r>
    </w:p>
    <w:p>
      <w:pPr>
        <w:widowControl w:val="0"/>
        <w:numPr>
          <w:ilvl w:val="0"/>
          <w:numId w:val="11"/>
        </w:numPr>
        <w:ind w:left="0" w:leftChars="0" w:firstLine="400" w:firstLineChars="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基本起搏频率：40-180ppm</w:t>
      </w:r>
    </w:p>
    <w:p>
      <w:pPr>
        <w:widowControl w:val="0"/>
        <w:numPr>
          <w:ilvl w:val="0"/>
          <w:numId w:val="11"/>
        </w:numPr>
        <w:ind w:left="0" w:leftChars="0" w:firstLine="400" w:firstLineChars="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快速心房起搏频率：40-1000ppm  预设频率400ppm   爆发式或持续性起搏</w:t>
      </w:r>
    </w:p>
    <w:p>
      <w:pPr>
        <w:widowControl w:val="0"/>
        <w:numPr>
          <w:ilvl w:val="0"/>
          <w:numId w:val="11"/>
        </w:numPr>
        <w:ind w:left="0" w:leftChars="0" w:firstLine="400" w:firstLineChars="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电压：0.1-20V</w:t>
      </w:r>
    </w:p>
    <w:p>
      <w:pPr>
        <w:widowControl w:val="0"/>
        <w:numPr>
          <w:ilvl w:val="0"/>
          <w:numId w:val="11"/>
        </w:numPr>
        <w:ind w:left="0" w:leftChars="0" w:firstLine="400" w:firstLineChars="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紧急起搏模式：VOO/10V/80ppm</w:t>
      </w:r>
    </w:p>
    <w:p>
      <w:pPr>
        <w:widowControl w:val="0"/>
        <w:numPr>
          <w:ilvl w:val="0"/>
          <w:numId w:val="11"/>
        </w:numPr>
        <w:ind w:left="0" w:leftChars="0" w:firstLine="400" w:firstLineChars="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感知灵敏度：0.1-20mv</w:t>
      </w:r>
    </w:p>
    <w:p>
      <w:pPr>
        <w:widowControl w:val="0"/>
        <w:numPr>
          <w:ilvl w:val="0"/>
          <w:numId w:val="11"/>
        </w:numPr>
        <w:ind w:left="0" w:leftChars="0" w:firstLine="400" w:firstLineChars="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不应期：400ms for AXX模式    250ms for VXX模式</w:t>
      </w:r>
    </w:p>
    <w:p>
      <w:pPr>
        <w:widowControl w:val="0"/>
        <w:numPr>
          <w:ilvl w:val="0"/>
          <w:numId w:val="11"/>
        </w:numPr>
        <w:ind w:left="0" w:leftChars="0" w:firstLine="400" w:firstLineChars="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频率奔放保护：有（取决于心率设置）</w:t>
      </w:r>
    </w:p>
    <w:p>
      <w:pPr>
        <w:widowControl w:val="0"/>
        <w:numPr>
          <w:ilvl w:val="0"/>
          <w:numId w:val="11"/>
        </w:numPr>
        <w:ind w:left="0" w:leftChars="0" w:firstLine="400" w:firstLineChars="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噪声检测：125ms 自动切换至AOO/VOO模式</w:t>
      </w:r>
    </w:p>
    <w:p>
      <w:pPr>
        <w:widowControl w:val="0"/>
        <w:numPr>
          <w:ilvl w:val="0"/>
          <w:numId w:val="11"/>
        </w:numPr>
        <w:ind w:left="0" w:leftChars="0" w:firstLine="400" w:firstLineChars="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接头：2个接头    适用接头直径范围：0.9-2.1mm</w:t>
      </w:r>
    </w:p>
    <w:p>
      <w:pPr>
        <w:widowControl w:val="0"/>
        <w:numPr>
          <w:ilvl w:val="0"/>
          <w:numId w:val="11"/>
        </w:numPr>
        <w:ind w:left="0" w:leftChars="0" w:firstLine="400" w:firstLineChars="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高度：140-145mm   宽度：80-85mm       厚度：30-40mm</w:t>
      </w:r>
    </w:p>
    <w:p>
      <w:pPr>
        <w:widowControl w:val="0"/>
        <w:numPr>
          <w:ilvl w:val="0"/>
          <w:numId w:val="11"/>
        </w:numPr>
        <w:ind w:left="0" w:leftChars="0" w:firstLine="400" w:firstLineChars="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重量：200-3500g    电池型号：AA      电池寿命：</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100h </w:t>
      </w:r>
    </w:p>
    <w:p>
      <w:pPr>
        <w:widowControl w:val="0"/>
        <w:numPr>
          <w:ilvl w:val="0"/>
          <w:numId w:val="0"/>
        </w:numPr>
        <w:jc w:val="both"/>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二、基本配置</w:t>
      </w:r>
    </w:p>
    <w:p>
      <w:pPr>
        <w:widowControl w:val="0"/>
        <w:numPr>
          <w:ilvl w:val="0"/>
          <w:numId w:val="0"/>
        </w:numPr>
        <w:ind w:firstLine="480" w:firstLineChars="200"/>
        <w:jc w:val="both"/>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rPr>
        <w:t>1个电池盒  </w:t>
      </w:r>
    </w:p>
    <w:p>
      <w:pPr>
        <w:widowControl w:val="0"/>
        <w:numPr>
          <w:ilvl w:val="0"/>
          <w:numId w:val="0"/>
        </w:numPr>
        <w:ind w:firstLine="480" w:firstLineChars="200"/>
        <w:jc w:val="both"/>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rPr>
        <w:t>2个固定装置（手臂用，三角架用）</w:t>
      </w:r>
    </w:p>
    <w:p>
      <w:pPr>
        <w:widowControl w:val="0"/>
        <w:numPr>
          <w:ilvl w:val="0"/>
          <w:numId w:val="0"/>
        </w:numPr>
        <w:ind w:firstLine="480" w:firstLineChars="200"/>
        <w:jc w:val="both"/>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rPr>
        <w:t>1个密封套</w:t>
      </w:r>
    </w:p>
    <w:p>
      <w:pPr>
        <w:widowControl w:val="0"/>
        <w:numPr>
          <w:ilvl w:val="0"/>
          <w:numId w:val="0"/>
        </w:numPr>
        <w:ind w:firstLine="480" w:firstLineChars="200"/>
        <w:jc w:val="both"/>
        <w:rPr>
          <w:rFonts w:hint="eastAsia" w:ascii="仿宋" w:hAnsi="仿宋" w:eastAsia="仿宋" w:cs="仿宋"/>
          <w:b w:val="0"/>
          <w:bCs w:val="0"/>
          <w:sz w:val="24"/>
          <w:szCs w:val="24"/>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b w:val="0"/>
          <w:bCs w:val="0"/>
          <w:sz w:val="24"/>
          <w:szCs w:val="24"/>
        </w:rPr>
        <w:t>1本用户手册</w:t>
      </w:r>
    </w:p>
    <w:p>
      <w:pPr>
        <w:widowControl w:val="0"/>
        <w:numPr>
          <w:ilvl w:val="0"/>
          <w:numId w:val="0"/>
        </w:numPr>
        <w:ind w:leftChars="0"/>
        <w:jc w:val="center"/>
        <w:outlineLvl w:val="1"/>
        <w:rPr>
          <w:rFonts w:hint="eastAsia" w:ascii="仿宋" w:hAnsi="仿宋" w:eastAsia="仿宋" w:cs="仿宋"/>
          <w:b/>
          <w:bCs/>
          <w:sz w:val="24"/>
          <w:szCs w:val="24"/>
        </w:rPr>
      </w:pPr>
      <w:r>
        <w:rPr>
          <w:rFonts w:hint="eastAsia" w:ascii="仿宋" w:hAnsi="仿宋" w:eastAsia="仿宋" w:cs="仿宋"/>
          <w:b/>
          <w:bCs/>
          <w:sz w:val="24"/>
          <w:szCs w:val="24"/>
        </w:rPr>
        <w:t>心脏射频消融仪+电生理心脏三维标测系统</w:t>
      </w:r>
    </w:p>
    <w:p>
      <w:pPr>
        <w:rPr>
          <w:rFonts w:hint="eastAsia" w:ascii="仿宋" w:hAnsi="仿宋" w:eastAsia="仿宋" w:cs="仿宋"/>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t>1.系统技术要求</w:t>
      </w:r>
    </w:p>
    <w:p>
      <w:pPr>
        <w:rPr>
          <w:rFonts w:hint="eastAsia" w:ascii="仿宋" w:hAnsi="仿宋" w:eastAsia="仿宋" w:cs="仿宋"/>
          <w:sz w:val="24"/>
          <w:szCs w:val="24"/>
        </w:rPr>
      </w:pPr>
      <w:r>
        <w:rPr>
          <w:rFonts w:hint="eastAsia" w:ascii="仿宋" w:hAnsi="仿宋" w:eastAsia="仿宋" w:cs="仿宋"/>
          <w:sz w:val="24"/>
          <w:szCs w:val="24"/>
        </w:rPr>
        <w:t>1.1主要用途：用于各种心律失常，尤其是复杂心律失常的诊治，包括典型房扑、先心术后切口性房速/房扑、局灶性房速/室速、各类旁道、房室结折返性心动过速、阵发性/持续性房颤、心梗后和手术后非典型性室性心动过速。</w:t>
      </w:r>
    </w:p>
    <w:p>
      <w:pPr>
        <w:rPr>
          <w:rFonts w:hint="eastAsia" w:ascii="仿宋" w:hAnsi="仿宋" w:eastAsia="仿宋" w:cs="仿宋"/>
          <w:sz w:val="24"/>
          <w:szCs w:val="24"/>
        </w:rPr>
      </w:pPr>
      <w:r>
        <w:rPr>
          <w:rFonts w:hint="eastAsia" w:ascii="仿宋" w:hAnsi="仿宋" w:eastAsia="仿宋" w:cs="仿宋"/>
          <w:sz w:val="24"/>
          <w:szCs w:val="24"/>
        </w:rPr>
        <w:t>1.2.主要技术参数要求：CPU：高速CPU、内存≥32GB、硬盘≥1T、光驱：CD/DVD+RW、显示器≥24英寸。</w:t>
      </w:r>
    </w:p>
    <w:p>
      <w:pPr>
        <w:rPr>
          <w:rFonts w:hint="eastAsia" w:ascii="仿宋" w:hAnsi="仿宋" w:eastAsia="仿宋" w:cs="仿宋"/>
          <w:sz w:val="24"/>
          <w:szCs w:val="24"/>
        </w:rPr>
      </w:pPr>
      <w:r>
        <w:rPr>
          <w:rFonts w:hint="eastAsia" w:ascii="仿宋" w:hAnsi="仿宋" w:eastAsia="仿宋" w:cs="仿宋"/>
          <w:sz w:val="24"/>
          <w:szCs w:val="24"/>
        </w:rPr>
        <w:t>1.3 硬件技术要求：</w:t>
      </w:r>
    </w:p>
    <w:p>
      <w:pPr>
        <w:rPr>
          <w:rFonts w:hint="eastAsia" w:ascii="仿宋" w:hAnsi="仿宋" w:eastAsia="仿宋" w:cs="仿宋"/>
          <w:sz w:val="24"/>
          <w:szCs w:val="24"/>
          <w:lang w:eastAsia="zh-CN"/>
        </w:rPr>
      </w:pPr>
      <w:r>
        <w:rPr>
          <w:rFonts w:hint="eastAsia" w:ascii="仿宋" w:hAnsi="仿宋" w:eastAsia="仿宋" w:cs="仿宋"/>
          <w:sz w:val="24"/>
          <w:szCs w:val="24"/>
        </w:rPr>
        <w:t>1.3.1定位系统：具备纯电场定位和电磁场双定位两种定位模式</w:t>
      </w:r>
      <w:r>
        <w:rPr>
          <w:rFonts w:hint="eastAsia" w:ascii="仿宋" w:hAnsi="仿宋" w:eastAsia="仿宋" w:cs="仿宋"/>
          <w:sz w:val="24"/>
          <w:szCs w:val="24"/>
          <w:lang w:eastAsia="zh-CN"/>
        </w:rPr>
        <w:t>。</w:t>
      </w:r>
    </w:p>
    <w:p>
      <w:pPr>
        <w:rPr>
          <w:rFonts w:hint="eastAsia" w:ascii="仿宋" w:hAnsi="仿宋" w:eastAsia="仿宋" w:cs="仿宋"/>
          <w:sz w:val="24"/>
          <w:szCs w:val="24"/>
        </w:rPr>
      </w:pPr>
      <w:r>
        <w:rPr>
          <w:rFonts w:hint="eastAsia" w:ascii="仿宋" w:hAnsi="仿宋" w:eastAsia="仿宋" w:cs="仿宋"/>
          <w:sz w:val="24"/>
          <w:szCs w:val="24"/>
        </w:rPr>
        <w:t>1.3.2实时导航：可实时导航显示心腔内所有标测和纯电极消融导管，以及带电极鞘管，无需校正。</w:t>
      </w:r>
    </w:p>
    <w:p>
      <w:pPr>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1.3.3放大器通道数及可导航电极数≥90通道数</w:t>
      </w:r>
    </w:p>
    <w:p>
      <w:pPr>
        <w:rPr>
          <w:rFonts w:hint="eastAsia" w:ascii="仿宋" w:hAnsi="仿宋" w:eastAsia="仿宋" w:cs="仿宋"/>
          <w:sz w:val="24"/>
          <w:szCs w:val="24"/>
        </w:rPr>
      </w:pPr>
      <w:r>
        <w:rPr>
          <w:rFonts w:hint="eastAsia" w:ascii="仿宋" w:hAnsi="仿宋" w:eastAsia="仿宋" w:cs="仿宋"/>
          <w:sz w:val="24"/>
          <w:szCs w:val="24"/>
        </w:rPr>
        <w:t>1.3.4有效磁场定位范围：35cm X 35cm X 30cm</w:t>
      </w:r>
    </w:p>
    <w:p>
      <w:pPr>
        <w:rPr>
          <w:rFonts w:hint="eastAsia" w:ascii="仿宋" w:hAnsi="仿宋" w:eastAsia="仿宋" w:cs="仿宋"/>
          <w:sz w:val="24"/>
          <w:szCs w:val="24"/>
        </w:rPr>
      </w:pPr>
      <w:r>
        <w:rPr>
          <w:rFonts w:hint="eastAsia" w:ascii="仿宋" w:hAnsi="仿宋" w:eastAsia="仿宋" w:cs="仿宋"/>
          <w:sz w:val="24"/>
          <w:szCs w:val="24"/>
        </w:rPr>
        <w:t>1.4 软件功能要求</w:t>
      </w:r>
    </w:p>
    <w:p>
      <w:pPr>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1.4.1 操作系统：Linux，系统稳定，避免计算机病毒侵入风险。</w:t>
      </w:r>
    </w:p>
    <w:p>
      <w:pPr>
        <w:rPr>
          <w:rFonts w:hint="eastAsia" w:ascii="仿宋" w:hAnsi="仿宋" w:eastAsia="仿宋" w:cs="仿宋"/>
          <w:sz w:val="24"/>
          <w:szCs w:val="24"/>
        </w:rPr>
      </w:pPr>
      <w:r>
        <w:rPr>
          <w:rFonts w:hint="eastAsia" w:ascii="仿宋" w:hAnsi="仿宋" w:eastAsia="仿宋" w:cs="仿宋"/>
          <w:sz w:val="24"/>
          <w:szCs w:val="24"/>
        </w:rPr>
        <w:t>1.4.2 可同步完成心脏建模和电生理标测。</w:t>
      </w:r>
    </w:p>
    <w:p>
      <w:pPr>
        <w:rPr>
          <w:rFonts w:hint="eastAsia" w:ascii="仿宋" w:hAnsi="仿宋" w:eastAsia="仿宋" w:cs="仿宋"/>
          <w:sz w:val="24"/>
          <w:szCs w:val="24"/>
        </w:rPr>
      </w:pPr>
      <w:r>
        <w:rPr>
          <w:rFonts w:hint="eastAsia" w:ascii="仿宋" w:hAnsi="仿宋" w:eastAsia="仿宋" w:cs="仿宋"/>
          <w:sz w:val="24"/>
          <w:szCs w:val="24"/>
        </w:rPr>
        <w:t xml:space="preserve">1.4.3可以使用冷冻消融导管建模和标测。 </w:t>
      </w:r>
    </w:p>
    <w:p>
      <w:pPr>
        <w:rPr>
          <w:rFonts w:hint="eastAsia" w:ascii="仿宋" w:hAnsi="仿宋" w:eastAsia="仿宋" w:cs="仿宋"/>
          <w:sz w:val="24"/>
          <w:szCs w:val="24"/>
        </w:rPr>
      </w:pPr>
      <w:r>
        <w:rPr>
          <w:rFonts w:hint="eastAsia" w:ascii="仿宋" w:hAnsi="仿宋" w:eastAsia="仿宋" w:cs="仿宋"/>
          <w:sz w:val="24"/>
          <w:szCs w:val="24"/>
        </w:rPr>
        <w:t>1.4.4 具备智能高密度标测模块，系统能够按照预设的心电图形态评分、间期、压力值、时间，智能完成高密度标测，不满足预设条件下的点会自动被拒绝，减少逐个评估采集点的时间。</w:t>
      </w:r>
    </w:p>
    <w:p>
      <w:pPr>
        <w:rPr>
          <w:rFonts w:hint="eastAsia" w:ascii="仿宋" w:hAnsi="仿宋" w:eastAsia="仿宋" w:cs="仿宋"/>
          <w:sz w:val="24"/>
          <w:szCs w:val="24"/>
        </w:rPr>
      </w:pPr>
      <w:r>
        <w:rPr>
          <w:rFonts w:hint="eastAsia" w:ascii="仿宋" w:hAnsi="仿宋" w:eastAsia="仿宋" w:cs="仿宋"/>
          <w:sz w:val="24"/>
          <w:szCs w:val="24"/>
        </w:rPr>
        <w:t>1.4.5 具备极速标测技术，在第一次标测基础上，利用原始数据，以≥10倍的速度完成第二次标测，能够同步标测不同源的室早、室速、房速。</w:t>
      </w:r>
    </w:p>
    <w:p>
      <w:pPr>
        <w:rPr>
          <w:rFonts w:hint="eastAsia" w:ascii="仿宋" w:hAnsi="仿宋" w:eastAsia="仿宋" w:cs="仿宋"/>
          <w:sz w:val="24"/>
          <w:szCs w:val="24"/>
        </w:rPr>
      </w:pPr>
      <w:r>
        <w:rPr>
          <w:rFonts w:hint="eastAsia" w:ascii="仿宋" w:hAnsi="仿宋" w:eastAsia="仿宋" w:cs="仿宋"/>
          <w:sz w:val="24"/>
          <w:szCs w:val="24"/>
        </w:rPr>
        <w:t>1.4.6系统提供实时回顾功能：在同一个屏幕中同时显示实时心电信息及同时回顾历史心电信息，同时显示两个电生理标测结果，以方便前后对比。</w:t>
      </w:r>
    </w:p>
    <w:p>
      <w:pPr>
        <w:rPr>
          <w:rFonts w:hint="eastAsia" w:ascii="仿宋" w:hAnsi="仿宋" w:eastAsia="仿宋" w:cs="仿宋"/>
          <w:sz w:val="24"/>
          <w:szCs w:val="24"/>
          <w:lang w:eastAsia="zh-CN"/>
        </w:rPr>
      </w:pPr>
      <w:r>
        <w:rPr>
          <w:rFonts w:hint="eastAsia" w:ascii="仿宋" w:hAnsi="仿宋" w:eastAsia="仿宋" w:cs="仿宋"/>
          <w:sz w:val="24"/>
          <w:szCs w:val="24"/>
        </w:rPr>
        <w:t>1.4.7智能标记消融点功能，满足预设的条件的消融点。如压力、压力时间乘积、时间等参数要求，能够以不同的样式显示在标测图上，并且可以被回顾</w:t>
      </w:r>
      <w:r>
        <w:rPr>
          <w:rFonts w:hint="eastAsia" w:ascii="仿宋" w:hAnsi="仿宋" w:eastAsia="仿宋" w:cs="仿宋"/>
          <w:sz w:val="24"/>
          <w:szCs w:val="24"/>
          <w:lang w:eastAsia="zh-CN"/>
        </w:rPr>
        <w:t>。</w:t>
      </w:r>
    </w:p>
    <w:p>
      <w:pPr>
        <w:rPr>
          <w:rFonts w:hint="eastAsia" w:ascii="仿宋" w:hAnsi="仿宋" w:eastAsia="仿宋" w:cs="仿宋"/>
          <w:sz w:val="24"/>
          <w:szCs w:val="24"/>
        </w:rPr>
      </w:pPr>
      <w:r>
        <w:rPr>
          <w:rFonts w:hint="eastAsia" w:ascii="仿宋" w:hAnsi="仿宋" w:eastAsia="仿宋" w:cs="仿宋"/>
          <w:sz w:val="24"/>
          <w:szCs w:val="24"/>
        </w:rPr>
        <w:t>1.4.8 射频消融手术过程中能够自动精准记录导管头段运动轨迹，通过线条呈现在三维解剖模型上，有助于消融线的连续性，提高手术成功率。</w:t>
      </w:r>
    </w:p>
    <w:p>
      <w:pPr>
        <w:rPr>
          <w:rFonts w:hint="eastAsia" w:ascii="仿宋" w:hAnsi="仿宋" w:eastAsia="仿宋" w:cs="仿宋"/>
          <w:sz w:val="24"/>
          <w:szCs w:val="24"/>
        </w:rPr>
      </w:pPr>
      <w:r>
        <w:rPr>
          <w:rFonts w:hint="eastAsia" w:ascii="仿宋" w:hAnsi="仿宋" w:eastAsia="仿宋" w:cs="仿宋"/>
          <w:sz w:val="24"/>
          <w:szCs w:val="24"/>
        </w:rPr>
        <w:t>1.4.9 对同一个标测结果，可同时显示激动图和电压图，利于分析心律失常通道。</w:t>
      </w:r>
    </w:p>
    <w:p>
      <w:pPr>
        <w:rPr>
          <w:rFonts w:hint="eastAsia" w:ascii="仿宋" w:hAnsi="仿宋" w:eastAsia="仿宋" w:cs="仿宋"/>
          <w:sz w:val="24"/>
          <w:szCs w:val="24"/>
        </w:rPr>
      </w:pPr>
      <w:r>
        <w:rPr>
          <w:rFonts w:hint="eastAsia" w:ascii="仿宋" w:hAnsi="仿宋" w:eastAsia="仿宋" w:cs="仿宋"/>
          <w:sz w:val="24"/>
          <w:szCs w:val="24"/>
        </w:rPr>
        <w:t>1.4.10 一次采集可获得空间解剖、激动顺序、电传导、单极电压等不同电信息。</w:t>
      </w:r>
    </w:p>
    <w:p>
      <w:pPr>
        <w:rPr>
          <w:rFonts w:hint="eastAsia" w:ascii="仿宋" w:hAnsi="仿宋" w:eastAsia="仿宋" w:cs="仿宋"/>
          <w:sz w:val="24"/>
          <w:szCs w:val="24"/>
        </w:rPr>
      </w:pPr>
      <w:r>
        <w:rPr>
          <w:rFonts w:hint="eastAsia" w:ascii="仿宋" w:hAnsi="仿宋" w:eastAsia="仿宋" w:cs="仿宋"/>
          <w:sz w:val="24"/>
          <w:szCs w:val="24"/>
        </w:rPr>
        <w:t>1.4.11能够将实时激动图与电压图二合为一，从而更方便观察，从而更好的观察传导与疤痕区的关系。</w:t>
      </w:r>
    </w:p>
    <w:p>
      <w:pPr>
        <w:rPr>
          <w:rFonts w:hint="eastAsia" w:ascii="仿宋" w:hAnsi="仿宋" w:eastAsia="仿宋" w:cs="仿宋"/>
          <w:sz w:val="24"/>
          <w:szCs w:val="24"/>
        </w:rPr>
      </w:pPr>
      <w:r>
        <w:rPr>
          <w:rFonts w:hint="eastAsia" w:ascii="仿宋" w:hAnsi="仿宋" w:eastAsia="仿宋" w:cs="仿宋"/>
          <w:sz w:val="24"/>
          <w:szCs w:val="24"/>
        </w:rPr>
        <w:t>1.4.12消融导管全开放。可使用任何品牌消融导管建立心脏三维解剖模型和完成射频消融能量输出。</w:t>
      </w:r>
    </w:p>
    <w:p>
      <w:pPr>
        <w:rPr>
          <w:rFonts w:hint="eastAsia" w:ascii="仿宋" w:hAnsi="仿宋" w:eastAsia="仿宋" w:cs="仿宋"/>
          <w:sz w:val="24"/>
          <w:szCs w:val="24"/>
        </w:rPr>
      </w:pPr>
      <w:r>
        <w:rPr>
          <w:rFonts w:hint="eastAsia" w:ascii="仿宋" w:hAnsi="仿宋" w:eastAsia="仿宋" w:cs="仿宋"/>
          <w:sz w:val="24"/>
          <w:szCs w:val="24"/>
        </w:rPr>
        <w:t>1.4.13具备图像自动校正功能，可使用电场或磁场进行校正。</w:t>
      </w:r>
    </w:p>
    <w:p>
      <w:pPr>
        <w:rPr>
          <w:rFonts w:hint="eastAsia" w:ascii="仿宋" w:hAnsi="仿宋" w:eastAsia="仿宋" w:cs="仿宋"/>
          <w:sz w:val="24"/>
          <w:szCs w:val="24"/>
        </w:rPr>
      </w:pPr>
      <w:r>
        <w:rPr>
          <w:rFonts w:hint="eastAsia" w:ascii="仿宋" w:hAnsi="仿宋" w:eastAsia="仿宋" w:cs="仿宋"/>
          <w:sz w:val="24"/>
          <w:szCs w:val="24"/>
        </w:rPr>
        <w:t>1.4.14具备影像融合系统，完全融合CT或MRI图像，提高手术安全性。</w:t>
      </w:r>
    </w:p>
    <w:p>
      <w:pPr>
        <w:rPr>
          <w:rFonts w:hint="eastAsia" w:ascii="仿宋" w:hAnsi="仿宋" w:eastAsia="仿宋" w:cs="仿宋"/>
          <w:sz w:val="24"/>
          <w:szCs w:val="24"/>
          <w:lang w:eastAsia="zh-CN"/>
        </w:rPr>
      </w:pPr>
      <w:r>
        <w:rPr>
          <w:rFonts w:hint="eastAsia" w:ascii="仿宋" w:hAnsi="仿宋" w:eastAsia="仿宋" w:cs="仿宋"/>
          <w:sz w:val="24"/>
          <w:szCs w:val="24"/>
        </w:rPr>
        <w:t>1.4.15 碎裂电位标测：标测简单且支持多点标测</w:t>
      </w:r>
      <w:r>
        <w:rPr>
          <w:rFonts w:hint="eastAsia" w:ascii="仿宋" w:hAnsi="仿宋" w:eastAsia="仿宋" w:cs="仿宋"/>
          <w:sz w:val="24"/>
          <w:szCs w:val="24"/>
          <w:lang w:eastAsia="zh-CN"/>
        </w:rPr>
        <w:t>，</w:t>
      </w:r>
      <w:r>
        <w:rPr>
          <w:rFonts w:hint="eastAsia" w:ascii="仿宋" w:hAnsi="仿宋" w:eastAsia="仿宋" w:cs="仿宋"/>
          <w:sz w:val="24"/>
          <w:szCs w:val="24"/>
        </w:rPr>
        <w:t>最长采样时间8秒</w:t>
      </w:r>
      <w:r>
        <w:rPr>
          <w:rFonts w:hint="eastAsia" w:ascii="仿宋" w:hAnsi="仿宋" w:eastAsia="仿宋" w:cs="仿宋"/>
          <w:sz w:val="24"/>
          <w:szCs w:val="24"/>
          <w:lang w:eastAsia="zh-CN"/>
        </w:rPr>
        <w:t>。</w:t>
      </w:r>
    </w:p>
    <w:p>
      <w:pPr>
        <w:rPr>
          <w:rFonts w:hint="eastAsia" w:ascii="仿宋" w:hAnsi="仿宋" w:eastAsia="仿宋" w:cs="仿宋"/>
          <w:sz w:val="24"/>
          <w:szCs w:val="24"/>
        </w:rPr>
      </w:pPr>
      <w:r>
        <w:rPr>
          <w:rFonts w:hint="eastAsia" w:ascii="仿宋" w:hAnsi="仿宋" w:eastAsia="仿宋" w:cs="仿宋"/>
          <w:sz w:val="24"/>
          <w:szCs w:val="24"/>
        </w:rPr>
        <w:t>1.4.16 具有自动呼吸补偿功能和呼吸门控技术，抗呼吸干扰，可连续采点建模。</w:t>
      </w:r>
    </w:p>
    <w:p>
      <w:pPr>
        <w:rPr>
          <w:rFonts w:hint="eastAsia" w:ascii="仿宋" w:hAnsi="仿宋" w:eastAsia="仿宋" w:cs="仿宋"/>
          <w:sz w:val="24"/>
          <w:szCs w:val="24"/>
        </w:rPr>
      </w:pPr>
      <w:r>
        <w:rPr>
          <w:rFonts w:hint="eastAsia" w:ascii="仿宋" w:hAnsi="仿宋" w:eastAsia="仿宋" w:cs="仿宋"/>
          <w:sz w:val="24"/>
          <w:szCs w:val="24"/>
        </w:rPr>
        <w:t>1.4.17 可与现有各种品牌多导仪兼容，数据交换。</w:t>
      </w:r>
    </w:p>
    <w:p>
      <w:pPr>
        <w:rPr>
          <w:rFonts w:hint="eastAsia" w:ascii="仿宋" w:hAnsi="仿宋" w:eastAsia="仿宋" w:cs="仿宋"/>
          <w:sz w:val="24"/>
          <w:szCs w:val="24"/>
        </w:rPr>
      </w:pPr>
      <w:r>
        <w:rPr>
          <w:rFonts w:hint="eastAsia" w:ascii="仿宋" w:hAnsi="仿宋" w:eastAsia="仿宋" w:cs="仿宋"/>
          <w:sz w:val="24"/>
          <w:szCs w:val="24"/>
        </w:rPr>
        <w:t>1.4.18 可连接现有各种品牌射频仪。</w:t>
      </w:r>
    </w:p>
    <w:p>
      <w:pPr>
        <w:rPr>
          <w:rFonts w:hint="eastAsia" w:ascii="仿宋" w:hAnsi="仿宋" w:eastAsia="仿宋" w:cs="仿宋"/>
          <w:sz w:val="24"/>
          <w:szCs w:val="24"/>
        </w:rPr>
      </w:pPr>
      <w:r>
        <w:rPr>
          <w:rFonts w:hint="eastAsia" w:ascii="仿宋" w:hAnsi="仿宋" w:eastAsia="仿宋" w:cs="仿宋"/>
          <w:sz w:val="24"/>
          <w:szCs w:val="24"/>
        </w:rPr>
        <w:t>1.4.19 能提供三维电解剖图，立体彩色显示解剖结构位置，可做解剖标记。</w:t>
      </w:r>
    </w:p>
    <w:p>
      <w:pPr>
        <w:rPr>
          <w:rFonts w:hint="eastAsia" w:ascii="仿宋" w:hAnsi="仿宋" w:eastAsia="仿宋" w:cs="仿宋"/>
          <w:sz w:val="24"/>
          <w:szCs w:val="24"/>
        </w:rPr>
      </w:pPr>
      <w:r>
        <w:rPr>
          <w:rFonts w:hint="eastAsia" w:ascii="仿宋" w:hAnsi="仿宋" w:eastAsia="仿宋" w:cs="仿宋"/>
          <w:sz w:val="24"/>
          <w:szCs w:val="24"/>
        </w:rPr>
        <w:t>1.4.20 可以与延时增强MRI图像整合，疤痕组织显而易见。</w:t>
      </w:r>
    </w:p>
    <w:p>
      <w:pPr>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1.4.21具备中文操作界面，方便临床使用。</w:t>
      </w:r>
    </w:p>
    <w:p>
      <w:pPr>
        <w:rPr>
          <w:rFonts w:hint="eastAsia" w:ascii="仿宋" w:hAnsi="仿宋" w:eastAsia="仿宋" w:cs="仿宋"/>
          <w:sz w:val="24"/>
          <w:szCs w:val="24"/>
        </w:rPr>
      </w:pPr>
      <w:r>
        <w:rPr>
          <w:rFonts w:hint="eastAsia" w:ascii="仿宋" w:hAnsi="仿宋" w:eastAsia="仿宋" w:cs="仿宋"/>
          <w:sz w:val="24"/>
          <w:szCs w:val="24"/>
        </w:rPr>
        <w:t>1.4.22 无需额外增加消融带磁导管，即可支持零曝光起搏器电极的心腔内放置，帮助起搏器电极定位。</w:t>
      </w:r>
    </w:p>
    <w:p>
      <w:pPr>
        <w:rPr>
          <w:rFonts w:hint="eastAsia" w:ascii="仿宋" w:hAnsi="仿宋" w:eastAsia="仿宋" w:cs="仿宋"/>
          <w:sz w:val="24"/>
          <w:szCs w:val="24"/>
        </w:rPr>
      </w:pPr>
      <w:r>
        <w:rPr>
          <w:rFonts w:hint="eastAsia" w:ascii="仿宋" w:hAnsi="仿宋" w:eastAsia="仿宋" w:cs="仿宋"/>
          <w:sz w:val="24"/>
          <w:szCs w:val="24"/>
        </w:rPr>
        <w:t>1.4.23 兼容所有标测导管，并可使用任何品牌标测导管建立三维解剖模型和电生理机制标测。</w:t>
      </w:r>
    </w:p>
    <w:p>
      <w:pPr>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1.4.24 具备自动进鞘保护功能：当导管远端的电极进入到鞘管里面时，电极头端会通过高亮的颜色提示，确保取点精准，保持手术流畅。</w:t>
      </w:r>
    </w:p>
    <w:p>
      <w:pPr>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1.4.25能够兼容光干涉原理的压力消融导管，并能提供总压力、侧向及轴向压力、压力时间积分、损伤指数、实时压力时间曲线、压力方向等功能。压力刷新频率50Hz。</w:t>
      </w:r>
    </w:p>
    <w:p>
      <w:pPr>
        <w:rPr>
          <w:rFonts w:hint="eastAsia" w:ascii="仿宋" w:hAnsi="仿宋" w:eastAsia="仿宋" w:cs="仿宋"/>
          <w:b/>
          <w:bCs/>
          <w:sz w:val="24"/>
          <w:szCs w:val="24"/>
        </w:rPr>
      </w:pPr>
      <w:r>
        <w:rPr>
          <w:rFonts w:hint="eastAsia" w:ascii="仿宋" w:hAnsi="仿宋" w:eastAsia="仿宋" w:cs="仿宋"/>
          <w:b/>
          <w:bCs/>
          <w:sz w:val="24"/>
          <w:szCs w:val="24"/>
        </w:rPr>
        <w:t>2．射频仪参数及技术要求</w:t>
      </w:r>
    </w:p>
    <w:p>
      <w:pPr>
        <w:rPr>
          <w:rFonts w:hint="eastAsia" w:ascii="仿宋" w:hAnsi="仿宋" w:eastAsia="仿宋" w:cs="仿宋"/>
          <w:sz w:val="24"/>
          <w:szCs w:val="24"/>
          <w:lang w:eastAsia="zh-CN"/>
        </w:rPr>
      </w:pPr>
      <w:r>
        <w:rPr>
          <w:rFonts w:hint="eastAsia" w:ascii="仿宋" w:hAnsi="仿宋" w:eastAsia="仿宋" w:cs="仿宋"/>
          <w:sz w:val="24"/>
          <w:szCs w:val="24"/>
        </w:rPr>
        <w:t>2.1 输出功率：1-100W，可以按1W的增量进行调整</w:t>
      </w:r>
      <w:r>
        <w:rPr>
          <w:rFonts w:hint="eastAsia" w:ascii="仿宋" w:hAnsi="仿宋" w:eastAsia="仿宋" w:cs="仿宋"/>
          <w:sz w:val="24"/>
          <w:szCs w:val="24"/>
          <w:lang w:eastAsia="zh-CN"/>
        </w:rPr>
        <w:t>。</w:t>
      </w:r>
    </w:p>
    <w:p>
      <w:pPr>
        <w:rPr>
          <w:rFonts w:hint="eastAsia" w:ascii="仿宋" w:hAnsi="仿宋" w:eastAsia="仿宋" w:cs="仿宋"/>
          <w:sz w:val="24"/>
          <w:szCs w:val="24"/>
          <w:lang w:eastAsia="zh-CN"/>
        </w:rPr>
      </w:pPr>
      <w:r>
        <w:rPr>
          <w:rFonts w:hint="eastAsia" w:ascii="仿宋" w:hAnsi="仿宋" w:eastAsia="仿宋" w:cs="仿宋"/>
          <w:sz w:val="24"/>
          <w:szCs w:val="24"/>
        </w:rPr>
        <w:t>2.2 电阻测量范围：25Ω — 300Ω，超出此范围显示“Low”或“High”</w:t>
      </w:r>
      <w:r>
        <w:rPr>
          <w:rFonts w:hint="eastAsia" w:ascii="仿宋" w:hAnsi="仿宋" w:eastAsia="仿宋" w:cs="仿宋"/>
          <w:sz w:val="24"/>
          <w:szCs w:val="24"/>
          <w:lang w:eastAsia="zh-CN"/>
        </w:rPr>
        <w:t>。</w:t>
      </w:r>
    </w:p>
    <w:p>
      <w:pPr>
        <w:rPr>
          <w:rFonts w:hint="eastAsia" w:ascii="仿宋" w:hAnsi="仿宋" w:eastAsia="仿宋" w:cs="仿宋"/>
          <w:sz w:val="24"/>
          <w:szCs w:val="24"/>
          <w:lang w:eastAsia="zh-CN"/>
        </w:rPr>
      </w:pPr>
      <w:r>
        <w:rPr>
          <w:rFonts w:hint="eastAsia" w:ascii="仿宋" w:hAnsi="仿宋" w:eastAsia="仿宋" w:cs="仿宋"/>
          <w:sz w:val="24"/>
          <w:szCs w:val="24"/>
        </w:rPr>
        <w:t>2.3 温度监测：4通道热电偶，能够独立同时显示数据，单通道热敏电阻</w:t>
      </w:r>
      <w:r>
        <w:rPr>
          <w:rFonts w:hint="eastAsia" w:ascii="仿宋" w:hAnsi="仿宋" w:eastAsia="仿宋" w:cs="仿宋"/>
          <w:sz w:val="24"/>
          <w:szCs w:val="24"/>
          <w:lang w:eastAsia="zh-CN"/>
        </w:rPr>
        <w:t>。</w:t>
      </w:r>
    </w:p>
    <w:p>
      <w:pPr>
        <w:rPr>
          <w:rFonts w:hint="eastAsia" w:ascii="仿宋" w:hAnsi="仿宋" w:eastAsia="仿宋" w:cs="仿宋"/>
          <w:sz w:val="24"/>
          <w:szCs w:val="24"/>
          <w:lang w:eastAsia="zh-CN"/>
        </w:rPr>
      </w:pPr>
      <w:r>
        <w:rPr>
          <w:rFonts w:hint="eastAsia" w:ascii="仿宋" w:hAnsi="仿宋" w:eastAsia="仿宋" w:cs="仿宋"/>
          <w:sz w:val="24"/>
          <w:szCs w:val="24"/>
        </w:rPr>
        <w:t>2.4 目标温度范围：15℃到80℃，可以按1℃的增量进行调整</w:t>
      </w:r>
      <w:r>
        <w:rPr>
          <w:rFonts w:hint="eastAsia" w:ascii="仿宋" w:hAnsi="仿宋" w:eastAsia="仿宋" w:cs="仿宋"/>
          <w:sz w:val="24"/>
          <w:szCs w:val="24"/>
          <w:lang w:eastAsia="zh-CN"/>
        </w:rPr>
        <w:t>。</w:t>
      </w:r>
    </w:p>
    <w:p>
      <w:pPr>
        <w:rPr>
          <w:rFonts w:hint="eastAsia" w:ascii="仿宋" w:hAnsi="仿宋" w:eastAsia="仿宋" w:cs="仿宋"/>
          <w:sz w:val="24"/>
          <w:szCs w:val="24"/>
          <w:lang w:eastAsia="zh-CN"/>
        </w:rPr>
      </w:pPr>
      <w:r>
        <w:rPr>
          <w:rFonts w:hint="eastAsia" w:ascii="仿宋" w:hAnsi="仿宋" w:eastAsia="仿宋" w:cs="仿宋"/>
          <w:sz w:val="24"/>
          <w:szCs w:val="24"/>
        </w:rPr>
        <w:t>2.5 输送射频时间：1到999秒，可以按1秒的增量进行调整</w:t>
      </w:r>
      <w:r>
        <w:rPr>
          <w:rFonts w:hint="eastAsia" w:ascii="仿宋" w:hAnsi="仿宋" w:eastAsia="仿宋" w:cs="仿宋"/>
          <w:sz w:val="24"/>
          <w:szCs w:val="24"/>
          <w:lang w:eastAsia="zh-CN"/>
        </w:rPr>
        <w:t>。</w:t>
      </w:r>
    </w:p>
    <w:p>
      <w:pPr>
        <w:rPr>
          <w:rFonts w:hint="eastAsia" w:ascii="仿宋" w:hAnsi="仿宋" w:eastAsia="仿宋" w:cs="仿宋"/>
          <w:sz w:val="24"/>
          <w:szCs w:val="24"/>
        </w:rPr>
      </w:pPr>
      <w:r>
        <w:rPr>
          <w:rFonts w:hint="eastAsia" w:ascii="仿宋" w:hAnsi="仿宋" w:eastAsia="仿宋" w:cs="仿宋"/>
          <w:sz w:val="24"/>
          <w:szCs w:val="24"/>
        </w:rPr>
        <w:t>2.6 中文用户界面液晶屏，能够数字化显示参数：放电持续时间、放电功率、导管温度、导管阻抗、手术放电次数、与盐水泵连接示意。</w:t>
      </w:r>
    </w:p>
    <w:p>
      <w:pPr>
        <w:rPr>
          <w:rFonts w:hint="eastAsia" w:ascii="仿宋" w:hAnsi="仿宋" w:eastAsia="仿宋" w:cs="仿宋"/>
          <w:sz w:val="24"/>
          <w:szCs w:val="24"/>
        </w:rPr>
      </w:pPr>
      <w:r>
        <w:rPr>
          <w:rFonts w:hint="eastAsia" w:ascii="仿宋" w:hAnsi="仿宋" w:eastAsia="仿宋" w:cs="仿宋"/>
          <w:sz w:val="24"/>
          <w:szCs w:val="24"/>
        </w:rPr>
        <w:t>2.7 射频控制模式：功率控制、温度控制、阻抗控制。</w:t>
      </w:r>
    </w:p>
    <w:p>
      <w:pPr>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2.8 具备阻抗截止功能，可在选定的时间窗口1-10秒内感知阻抗变化，并自动终止射频能量输送。</w:t>
      </w:r>
    </w:p>
    <w:p>
      <w:pPr>
        <w:rPr>
          <w:rFonts w:hint="eastAsia" w:ascii="仿宋" w:hAnsi="仿宋" w:eastAsia="仿宋" w:cs="仿宋"/>
          <w:b/>
          <w:bCs/>
          <w:sz w:val="24"/>
          <w:szCs w:val="24"/>
        </w:rPr>
      </w:pPr>
      <w:r>
        <w:rPr>
          <w:rFonts w:hint="eastAsia" w:ascii="仿宋" w:hAnsi="仿宋" w:eastAsia="仿宋" w:cs="仿宋"/>
          <w:b/>
          <w:bCs/>
          <w:sz w:val="24"/>
          <w:szCs w:val="24"/>
        </w:rPr>
        <w:t>3.灌注泵技术要求：</w:t>
      </w:r>
    </w:p>
    <w:p>
      <w:pPr>
        <w:rPr>
          <w:rFonts w:hint="eastAsia" w:ascii="仿宋" w:hAnsi="仿宋" w:eastAsia="仿宋" w:cs="仿宋"/>
          <w:sz w:val="24"/>
          <w:szCs w:val="24"/>
          <w:lang w:eastAsia="zh-CN"/>
        </w:rPr>
      </w:pPr>
      <w:r>
        <w:rPr>
          <w:rFonts w:hint="eastAsia" w:ascii="仿宋" w:hAnsi="仿宋" w:eastAsia="仿宋" w:cs="仿宋"/>
          <w:sz w:val="24"/>
          <w:szCs w:val="24"/>
        </w:rPr>
        <w:t>3.1灌注流量：低流量：1到5ml/min（以1ml/min增量进行调整）；高流量：6到40ml/min（以1ml/min增量进行调整）</w:t>
      </w:r>
      <w:r>
        <w:rPr>
          <w:rFonts w:hint="eastAsia" w:ascii="仿宋" w:hAnsi="仿宋" w:eastAsia="仿宋" w:cs="仿宋"/>
          <w:sz w:val="24"/>
          <w:szCs w:val="24"/>
          <w:lang w:eastAsia="zh-CN"/>
        </w:rPr>
        <w:t>。</w:t>
      </w:r>
    </w:p>
    <w:p>
      <w:pPr>
        <w:rPr>
          <w:rFonts w:hint="eastAsia" w:ascii="仿宋" w:hAnsi="仿宋" w:eastAsia="仿宋" w:cs="仿宋"/>
          <w:sz w:val="24"/>
          <w:szCs w:val="24"/>
        </w:rPr>
      </w:pPr>
      <w:r>
        <w:rPr>
          <w:rFonts w:hint="eastAsia" w:ascii="仿宋" w:hAnsi="仿宋" w:eastAsia="仿宋" w:cs="仿宋"/>
          <w:sz w:val="24"/>
          <w:szCs w:val="24"/>
        </w:rPr>
        <w:t>3.2 冲洗流量：≥60ml/min</w:t>
      </w:r>
    </w:p>
    <w:p>
      <w:pPr>
        <w:rPr>
          <w:rFonts w:hint="eastAsia" w:ascii="仿宋" w:hAnsi="仿宋" w:eastAsia="仿宋" w:cs="仿宋"/>
          <w:sz w:val="24"/>
          <w:szCs w:val="24"/>
        </w:rPr>
      </w:pPr>
      <w:r>
        <w:rPr>
          <w:rFonts w:hint="eastAsia" w:ascii="仿宋" w:hAnsi="仿宋" w:eastAsia="仿宋" w:cs="仿宋"/>
          <w:sz w:val="24"/>
          <w:szCs w:val="24"/>
        </w:rPr>
        <w:t xml:space="preserve">3.3 气泡检测敏感度：≤2 ul </w:t>
      </w:r>
    </w:p>
    <w:p>
      <w:pPr>
        <w:rPr>
          <w:rFonts w:hint="eastAsia" w:ascii="仿宋" w:hAnsi="仿宋" w:eastAsia="仿宋" w:cs="仿宋"/>
          <w:sz w:val="24"/>
          <w:szCs w:val="24"/>
        </w:rPr>
      </w:pPr>
      <w:r>
        <w:rPr>
          <w:rFonts w:hint="eastAsia" w:ascii="仿宋" w:hAnsi="仿宋" w:eastAsia="仿宋" w:cs="仿宋"/>
          <w:sz w:val="24"/>
          <w:szCs w:val="24"/>
        </w:rPr>
        <w:t>3.4 报警状况：检测到气泡、管路连接中断、护罩打开、未连接压力传感器、管路阻塞。</w:t>
      </w:r>
    </w:p>
    <w:p>
      <w:pPr>
        <w:rPr>
          <w:rFonts w:hint="eastAsia" w:ascii="仿宋" w:hAnsi="仿宋" w:eastAsia="仿宋" w:cs="仿宋"/>
          <w:sz w:val="24"/>
          <w:szCs w:val="24"/>
        </w:rPr>
      </w:pPr>
      <w:r>
        <w:rPr>
          <w:rFonts w:hint="eastAsia" w:ascii="仿宋" w:hAnsi="仿宋" w:eastAsia="仿宋" w:cs="仿宋"/>
          <w:sz w:val="24"/>
          <w:szCs w:val="24"/>
        </w:rPr>
        <w:t>3.5 可记录和显示总体灌注流量，数据在高清晰LED显示屏上显示。</w:t>
      </w:r>
    </w:p>
    <w:p>
      <w:pPr>
        <w:rPr>
          <w:rFonts w:hint="eastAsia" w:ascii="仿宋" w:hAnsi="仿宋" w:eastAsia="仿宋" w:cs="仿宋"/>
          <w:sz w:val="24"/>
          <w:szCs w:val="24"/>
        </w:rPr>
      </w:pPr>
      <w:r>
        <w:rPr>
          <w:rFonts w:hint="eastAsia" w:ascii="仿宋" w:hAnsi="仿宋" w:eastAsia="仿宋" w:cs="仿宋"/>
          <w:sz w:val="24"/>
          <w:szCs w:val="24"/>
        </w:rPr>
        <w:t>3.6 两个管路内气泡监测器。</w:t>
      </w:r>
    </w:p>
    <w:p>
      <w:pPr>
        <w:rPr>
          <w:rFonts w:hint="eastAsia" w:ascii="仿宋" w:hAnsi="仿宋" w:eastAsia="仿宋" w:cs="仿宋"/>
          <w:b/>
          <w:bCs/>
          <w:sz w:val="24"/>
          <w:szCs w:val="24"/>
        </w:rPr>
      </w:pPr>
      <w:r>
        <w:rPr>
          <w:rFonts w:hint="eastAsia" w:ascii="仿宋" w:hAnsi="仿宋" w:eastAsia="仿宋" w:cs="仿宋"/>
          <w:b/>
          <w:bCs/>
          <w:sz w:val="24"/>
          <w:szCs w:val="24"/>
        </w:rPr>
        <w:t>4.导管动态压力检测仪技术参数</w:t>
      </w:r>
    </w:p>
    <w:p>
      <w:pPr>
        <w:rPr>
          <w:rFonts w:hint="eastAsia" w:ascii="仿宋" w:hAnsi="仿宋" w:eastAsia="仿宋" w:cs="仿宋"/>
          <w:sz w:val="24"/>
          <w:szCs w:val="24"/>
        </w:rPr>
      </w:pPr>
      <w:r>
        <w:rPr>
          <w:rFonts w:hint="eastAsia" w:ascii="仿宋" w:hAnsi="仿宋" w:eastAsia="仿宋" w:cs="仿宋"/>
          <w:sz w:val="24"/>
          <w:szCs w:val="24"/>
        </w:rPr>
        <w:t>4.1 合力：合力显示范围：0 到990 g；合力显示分辨率：1 g</w:t>
      </w:r>
    </w:p>
    <w:p>
      <w:pPr>
        <w:rPr>
          <w:rFonts w:hint="eastAsia" w:ascii="仿宋" w:hAnsi="仿宋" w:eastAsia="仿宋" w:cs="仿宋"/>
          <w:sz w:val="24"/>
          <w:szCs w:val="24"/>
        </w:rPr>
      </w:pPr>
      <w:r>
        <w:rPr>
          <w:rFonts w:hint="eastAsia" w:ascii="仿宋" w:hAnsi="仿宋" w:eastAsia="仿宋" w:cs="仿宋"/>
          <w:sz w:val="24"/>
          <w:szCs w:val="24"/>
        </w:rPr>
        <w:t>4.2 横向力：横向力显示范围：0 到990 g；横向力显示分辨率：1 g</w:t>
      </w:r>
    </w:p>
    <w:p>
      <w:pPr>
        <w:rPr>
          <w:rFonts w:hint="eastAsia" w:ascii="仿宋" w:hAnsi="仿宋" w:eastAsia="仿宋" w:cs="仿宋"/>
          <w:sz w:val="24"/>
          <w:szCs w:val="24"/>
        </w:rPr>
      </w:pPr>
      <w:r>
        <w:rPr>
          <w:rFonts w:hint="eastAsia" w:ascii="仿宋" w:hAnsi="仿宋" w:eastAsia="仿宋" w:cs="仿宋"/>
          <w:sz w:val="24"/>
          <w:szCs w:val="24"/>
        </w:rPr>
        <w:t>轴向力；轴向力显示范围：0 到990 g；轴向力显示分辨率：1 g</w:t>
      </w:r>
    </w:p>
    <w:p>
      <w:pPr>
        <w:rPr>
          <w:rFonts w:hint="eastAsia" w:ascii="仿宋" w:hAnsi="仿宋" w:eastAsia="仿宋" w:cs="仿宋"/>
          <w:sz w:val="24"/>
          <w:szCs w:val="24"/>
        </w:rPr>
      </w:pPr>
      <w:r>
        <w:rPr>
          <w:rFonts w:hint="eastAsia" w:ascii="仿宋" w:hAnsi="仿宋" w:eastAsia="仿宋" w:cs="仿宋"/>
          <w:sz w:val="24"/>
          <w:szCs w:val="24"/>
        </w:rPr>
        <w:t>4.3 标测期间的合力准确度：- F ≤ 20 g: ± 3 g；- 20 g &lt; F: F ±15%</w:t>
      </w:r>
    </w:p>
    <w:p>
      <w:pPr>
        <w:rPr>
          <w:rFonts w:hint="eastAsia" w:ascii="仿宋" w:hAnsi="仿宋" w:eastAsia="仿宋" w:cs="仿宋"/>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t>配置清单</w:t>
      </w:r>
    </w:p>
    <w:p>
      <w:pPr>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主机:</w:t>
      </w:r>
      <w:r>
        <w:rPr>
          <w:rFonts w:hint="eastAsia" w:ascii="仿宋" w:hAnsi="仿宋" w:eastAsia="仿宋" w:cs="仿宋"/>
          <w:sz w:val="24"/>
          <w:szCs w:val="24"/>
          <w:lang w:eastAsia="zh-CN"/>
        </w:rPr>
        <w:t>不低于</w:t>
      </w:r>
      <w:r>
        <w:rPr>
          <w:rFonts w:hint="eastAsia" w:ascii="仿宋" w:hAnsi="仿宋" w:eastAsia="仿宋" w:cs="仿宋"/>
          <w:sz w:val="24"/>
          <w:szCs w:val="24"/>
        </w:rPr>
        <w:t>6核高速，双CPU, 32GB 内存, 1TB硬盘</w:t>
      </w:r>
    </w:p>
    <w:p>
      <w:pPr>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Linux系统平台，内含接触标测/非接触标测双操作系统</w:t>
      </w:r>
    </w:p>
    <w:p>
      <w:pPr>
        <w:rPr>
          <w:rFonts w:hint="eastAsia" w:ascii="仿宋" w:hAnsi="仿宋" w:eastAsia="仿宋" w:cs="仿宋"/>
          <w:sz w:val="24"/>
          <w:szCs w:val="24"/>
        </w:rPr>
      </w:pPr>
      <w:r>
        <w:rPr>
          <w:rFonts w:hint="eastAsia" w:ascii="仿宋" w:hAnsi="仿宋" w:eastAsia="仿宋" w:cs="仿宋"/>
          <w:sz w:val="24"/>
          <w:szCs w:val="24"/>
          <w:lang w:val="en-US" w:eastAsia="zh-CN"/>
        </w:rPr>
        <w:t>3.不低于</w:t>
      </w:r>
      <w:r>
        <w:rPr>
          <w:rFonts w:hint="eastAsia" w:ascii="仿宋" w:hAnsi="仿宋" w:eastAsia="仿宋" w:cs="仿宋"/>
          <w:sz w:val="24"/>
          <w:szCs w:val="24"/>
        </w:rPr>
        <w:t>24"高分辨率液晶显示器</w:t>
      </w:r>
    </w:p>
    <w:p>
      <w:pPr>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专业鼠标/键盘</w:t>
      </w:r>
    </w:p>
    <w:p>
      <w:pPr>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DWS工作站电源</w:t>
      </w:r>
    </w:p>
    <w:p>
      <w:pPr>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DWS专用可移动一体化单元车</w:t>
      </w:r>
    </w:p>
    <w:p>
      <w:pPr>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≥90通道道心电信号放大器</w:t>
      </w:r>
    </w:p>
    <w:p>
      <w:pPr>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接触性标测系统连接模块</w:t>
      </w:r>
    </w:p>
    <w:p>
      <w:pPr>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非接触性标测系统连接模块</w:t>
      </w:r>
    </w:p>
    <w:p>
      <w:pPr>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专业显示器支撑架</w:t>
      </w:r>
    </w:p>
    <w:p>
      <w:pPr>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放大器与工作站连接光缆</w:t>
      </w:r>
    </w:p>
    <w:p>
      <w:pPr>
        <w:rPr>
          <w:rFonts w:hint="eastAsia" w:ascii="仿宋" w:hAnsi="仿宋" w:eastAsia="仿宋" w:cs="仿宋"/>
          <w:sz w:val="24"/>
          <w:szCs w:val="24"/>
        </w:rPr>
      </w:pPr>
      <w:r>
        <w:rPr>
          <w:rFonts w:hint="eastAsia" w:ascii="仿宋" w:hAnsi="仿宋" w:eastAsia="仿宋" w:cs="仿宋"/>
          <w:sz w:val="24"/>
          <w:szCs w:val="24"/>
          <w:lang w:val="en-US" w:eastAsia="zh-CN"/>
        </w:rPr>
        <w:t>12.</w:t>
      </w:r>
      <w:r>
        <w:rPr>
          <w:rFonts w:hint="eastAsia" w:ascii="仿宋" w:hAnsi="仿宋" w:eastAsia="仿宋" w:cs="仿宋"/>
          <w:sz w:val="24"/>
          <w:szCs w:val="24"/>
        </w:rPr>
        <w:t>与工作站连接视频线</w:t>
      </w:r>
    </w:p>
    <w:p>
      <w:pPr>
        <w:rPr>
          <w:rFonts w:hint="eastAsia" w:ascii="仿宋" w:hAnsi="仿宋" w:eastAsia="仿宋" w:cs="仿宋"/>
          <w:sz w:val="24"/>
          <w:szCs w:val="24"/>
        </w:rPr>
      </w:pPr>
      <w:r>
        <w:rPr>
          <w:rFonts w:hint="eastAsia" w:ascii="仿宋" w:hAnsi="仿宋" w:eastAsia="仿宋" w:cs="仿宋"/>
          <w:sz w:val="24"/>
          <w:szCs w:val="24"/>
          <w:lang w:val="en-US" w:eastAsia="zh-CN"/>
        </w:rPr>
        <w:t>13.</w:t>
      </w:r>
      <w:r>
        <w:rPr>
          <w:rFonts w:hint="eastAsia" w:ascii="仿宋" w:hAnsi="仿宋" w:eastAsia="仿宋" w:cs="仿宋"/>
          <w:sz w:val="24"/>
          <w:szCs w:val="24"/>
        </w:rPr>
        <w:t>网络交换器</w:t>
      </w:r>
    </w:p>
    <w:p>
      <w:pPr>
        <w:rPr>
          <w:rFonts w:hint="eastAsia"/>
          <w:sz w:val="28"/>
          <w:szCs w:val="28"/>
        </w:rPr>
      </w:pPr>
      <w:r>
        <w:rPr>
          <w:rFonts w:hint="eastAsia" w:ascii="仿宋" w:hAnsi="仿宋" w:eastAsia="仿宋" w:cs="仿宋"/>
          <w:sz w:val="24"/>
          <w:szCs w:val="24"/>
          <w:lang w:val="en-US" w:eastAsia="zh-CN"/>
        </w:rPr>
        <w:t>14.</w:t>
      </w:r>
      <w:r>
        <w:rPr>
          <w:rFonts w:hint="eastAsia" w:ascii="仿宋" w:hAnsi="仿宋" w:eastAsia="仿宋" w:cs="仿宋"/>
          <w:sz w:val="24"/>
          <w:szCs w:val="24"/>
        </w:rPr>
        <w:t>PIU专用可移动一体化单元车</w:t>
      </w:r>
    </w:p>
    <w:p>
      <w:pPr>
        <w:pStyle w:val="87"/>
        <w:numPr>
          <w:ilvl w:val="0"/>
          <w:numId w:val="0"/>
        </w:numPr>
        <w:shd w:val="clear" w:color="auto" w:fill="auto"/>
        <w:spacing w:line="573" w:lineRule="exact"/>
        <w:ind w:leftChars="0"/>
        <w:rPr>
          <w:rFonts w:hint="eastAsia" w:ascii="仿宋" w:hAnsi="仿宋" w:eastAsia="仿宋" w:cs="仿宋"/>
          <w:b/>
          <w:bCs/>
          <w:kern w:val="0"/>
          <w:sz w:val="24"/>
          <w:szCs w:val="24"/>
          <w:highlight w:val="none"/>
          <w:lang w:val="en-US" w:eastAsia="zh-CN" w:bidi="ar-SA"/>
        </w:rPr>
        <w:sectPr>
          <w:footerReference r:id="rId7" w:type="default"/>
          <w:pgSz w:w="11906" w:h="16838"/>
          <w:pgMar w:top="1440" w:right="1797" w:bottom="1440" w:left="1797" w:header="851" w:footer="992" w:gutter="0"/>
          <w:pgNumType w:fmt="decimal"/>
          <w:cols w:space="720" w:num="1"/>
          <w:titlePg/>
          <w:docGrid w:type="lines" w:linePitch="312" w:charSpace="0"/>
        </w:sectPr>
      </w:pPr>
    </w:p>
    <w:p>
      <w:pPr>
        <w:pStyle w:val="87"/>
        <w:numPr>
          <w:ilvl w:val="0"/>
          <w:numId w:val="0"/>
        </w:numPr>
        <w:shd w:val="clear" w:color="auto" w:fill="auto"/>
        <w:spacing w:line="573" w:lineRule="exact"/>
        <w:ind w:leftChars="0"/>
        <w:outlineLvl w:val="0"/>
        <w:rPr>
          <w:rFonts w:hint="eastAsia" w:ascii="仿宋" w:hAnsi="仿宋" w:eastAsia="仿宋" w:cs="仿宋"/>
          <w:b/>
          <w:bCs/>
          <w:kern w:val="0"/>
          <w:sz w:val="24"/>
          <w:szCs w:val="24"/>
          <w:highlight w:val="none"/>
          <w:lang w:val="en-US" w:eastAsia="zh-CN" w:bidi="ar-SA"/>
        </w:rPr>
      </w:pPr>
      <w:r>
        <w:rPr>
          <w:rFonts w:hint="eastAsia" w:ascii="仿宋" w:hAnsi="仿宋" w:eastAsia="仿宋" w:cs="仿宋"/>
          <w:b/>
          <w:bCs/>
          <w:kern w:val="0"/>
          <w:sz w:val="24"/>
          <w:szCs w:val="24"/>
          <w:highlight w:val="none"/>
          <w:lang w:val="en-US" w:eastAsia="zh-CN" w:bidi="ar-SA"/>
        </w:rPr>
        <w:t>（五）商务要求</w:t>
      </w:r>
    </w:p>
    <w:p>
      <w:pPr>
        <w:pStyle w:val="87"/>
        <w:shd w:val="clear" w:color="auto" w:fill="auto"/>
        <w:spacing w:line="573" w:lineRule="exact"/>
        <w:rPr>
          <w:rFonts w:hint="default" w:ascii="仿宋" w:hAnsi="仿宋" w:eastAsia="仿宋" w:cs="仿宋"/>
          <w:b w:val="0"/>
          <w:bCs w:val="0"/>
          <w:kern w:val="0"/>
          <w:sz w:val="24"/>
          <w:szCs w:val="24"/>
          <w:highlight w:val="none"/>
          <w:lang w:val="en-US" w:eastAsia="zh-CN" w:bidi="ar-SA"/>
        </w:rPr>
      </w:pPr>
      <w:r>
        <w:rPr>
          <w:rFonts w:hint="eastAsia" w:ascii="仿宋" w:hAnsi="仿宋" w:eastAsia="仿宋" w:cs="仿宋"/>
          <w:b w:val="0"/>
          <w:bCs/>
          <w:kern w:val="2"/>
          <w:sz w:val="24"/>
          <w:szCs w:val="24"/>
          <w:highlight w:val="none"/>
          <w:lang w:val="en-US" w:eastAsia="zh-CN"/>
        </w:rPr>
        <w:t>★</w:t>
      </w:r>
      <w:r>
        <w:rPr>
          <w:rFonts w:hint="default" w:ascii="仿宋" w:hAnsi="仿宋" w:eastAsia="仿宋" w:cs="仿宋"/>
          <w:b w:val="0"/>
          <w:bCs w:val="0"/>
          <w:kern w:val="0"/>
          <w:sz w:val="24"/>
          <w:szCs w:val="24"/>
          <w:highlight w:val="none"/>
          <w:lang w:val="en-US" w:eastAsia="zh-CN" w:bidi="ar-SA"/>
        </w:rPr>
        <w:t>（1）交付（实施）的时间（期限）：</w:t>
      </w:r>
      <w:r>
        <w:rPr>
          <w:rFonts w:hint="eastAsia" w:ascii="仿宋" w:hAnsi="仿宋" w:eastAsia="仿宋" w:cs="仿宋"/>
          <w:color w:val="auto"/>
          <w:sz w:val="24"/>
          <w:szCs w:val="24"/>
          <w:highlight w:val="none"/>
          <w:u w:val="single"/>
          <w:lang w:val="en-US" w:eastAsia="zh-CN"/>
        </w:rPr>
        <w:t>自合同签订之日起30日内完成安装验收调试</w:t>
      </w:r>
      <w:r>
        <w:rPr>
          <w:rFonts w:hint="eastAsia" w:ascii="仿宋" w:hAnsi="仿宋" w:eastAsia="仿宋" w:cs="仿宋"/>
          <w:color w:val="auto"/>
          <w:sz w:val="24"/>
          <w:szCs w:val="24"/>
          <w:highlight w:val="none"/>
          <w:u w:val="none"/>
          <w:lang w:val="en-US" w:eastAsia="zh-CN"/>
        </w:rPr>
        <w:t>。</w:t>
      </w:r>
    </w:p>
    <w:p>
      <w:pPr>
        <w:pStyle w:val="87"/>
        <w:shd w:val="clear" w:color="auto" w:fill="auto"/>
        <w:spacing w:line="573" w:lineRule="exact"/>
        <w:rPr>
          <w:rFonts w:hint="default" w:ascii="仿宋" w:hAnsi="仿宋" w:eastAsia="仿宋" w:cs="仿宋"/>
          <w:kern w:val="0"/>
          <w:sz w:val="24"/>
          <w:szCs w:val="24"/>
          <w:highlight w:val="none"/>
          <w:u w:val="single"/>
          <w:shd w:val="clear" w:color="auto" w:fill="auto"/>
          <w:lang w:val="en-US" w:eastAsia="zh-CN" w:bidi="ar-SA"/>
        </w:rPr>
      </w:pPr>
      <w:r>
        <w:rPr>
          <w:rFonts w:hint="eastAsia" w:ascii="仿宋" w:hAnsi="仿宋" w:eastAsia="仿宋" w:cs="仿宋"/>
          <w:b w:val="0"/>
          <w:bCs/>
          <w:kern w:val="2"/>
          <w:sz w:val="24"/>
          <w:szCs w:val="24"/>
          <w:highlight w:val="none"/>
          <w:lang w:val="en-US" w:eastAsia="zh-CN"/>
        </w:rPr>
        <w:t>★</w:t>
      </w:r>
      <w:r>
        <w:rPr>
          <w:rFonts w:hint="default" w:ascii="仿宋" w:hAnsi="仿宋" w:eastAsia="仿宋" w:cs="仿宋"/>
          <w:b w:val="0"/>
          <w:bCs w:val="0"/>
          <w:kern w:val="0"/>
          <w:sz w:val="24"/>
          <w:szCs w:val="24"/>
          <w:highlight w:val="none"/>
          <w:lang w:val="en-US" w:eastAsia="zh-CN" w:bidi="ar-SA"/>
        </w:rPr>
        <w:t>（2）交付（实施）的地点（范围）：</w:t>
      </w:r>
      <w:r>
        <w:rPr>
          <w:rFonts w:hint="eastAsia" w:ascii="仿宋" w:hAnsi="仿宋" w:eastAsia="仿宋" w:cs="仿宋"/>
          <w:b w:val="0"/>
          <w:bCs w:val="0"/>
          <w:kern w:val="0"/>
          <w:sz w:val="24"/>
          <w:szCs w:val="24"/>
          <w:highlight w:val="none"/>
          <w:u w:val="single"/>
          <w:lang w:val="en-US" w:eastAsia="zh-CN" w:bidi="ar-SA"/>
        </w:rPr>
        <w:t>采购人指定地点。</w:t>
      </w:r>
    </w:p>
    <w:p>
      <w:pPr>
        <w:pStyle w:val="87"/>
        <w:shd w:val="clear" w:color="auto" w:fill="auto"/>
        <w:spacing w:line="573" w:lineRule="exact"/>
        <w:rPr>
          <w:rFonts w:hint="default" w:ascii="仿宋" w:hAnsi="仿宋" w:eastAsia="仿宋" w:cs="仿宋"/>
          <w:b w:val="0"/>
          <w:bCs w:val="0"/>
          <w:kern w:val="0"/>
          <w:sz w:val="24"/>
          <w:szCs w:val="24"/>
          <w:highlight w:val="none"/>
          <w:lang w:val="en-US" w:eastAsia="zh-CN" w:bidi="ar-SA"/>
        </w:rPr>
      </w:pPr>
      <w:r>
        <w:rPr>
          <w:rFonts w:hint="eastAsia" w:ascii="仿宋" w:hAnsi="仿宋" w:eastAsia="仿宋" w:cs="仿宋"/>
          <w:b w:val="0"/>
          <w:bCs/>
          <w:kern w:val="2"/>
          <w:sz w:val="24"/>
          <w:szCs w:val="24"/>
          <w:highlight w:val="none"/>
          <w:lang w:val="en-US" w:eastAsia="zh-CN"/>
        </w:rPr>
        <w:t>★</w:t>
      </w:r>
      <w:r>
        <w:rPr>
          <w:rFonts w:hint="default" w:ascii="仿宋" w:hAnsi="仿宋" w:eastAsia="仿宋" w:cs="仿宋"/>
          <w:b w:val="0"/>
          <w:bCs w:val="0"/>
          <w:kern w:val="0"/>
          <w:sz w:val="24"/>
          <w:szCs w:val="24"/>
          <w:highlight w:val="none"/>
          <w:lang w:val="en-US" w:eastAsia="zh-CN" w:bidi="ar-SA"/>
        </w:rPr>
        <w:t>（3）付款条件（进度和方式）</w:t>
      </w:r>
      <w:r>
        <w:rPr>
          <w:rFonts w:hint="default" w:ascii="仿宋" w:hAnsi="仿宋" w:eastAsia="仿宋" w:cs="仿宋"/>
          <w:b w:val="0"/>
          <w:bCs w:val="0"/>
          <w:kern w:val="0"/>
          <w:sz w:val="24"/>
          <w:szCs w:val="24"/>
          <w:highlight w:val="none"/>
          <w:u w:val="none"/>
          <w:lang w:val="en-US" w:eastAsia="zh-CN" w:bidi="ar-SA"/>
        </w:rPr>
        <w:t>：</w:t>
      </w:r>
      <w:r>
        <w:rPr>
          <w:rFonts w:hint="default" w:ascii="仿宋" w:hAnsi="仿宋" w:eastAsia="仿宋" w:cs="仿宋"/>
          <w:b w:val="0"/>
          <w:bCs w:val="0"/>
          <w:kern w:val="0"/>
          <w:sz w:val="24"/>
          <w:szCs w:val="24"/>
          <w:highlight w:val="none"/>
          <w:u w:val="single"/>
          <w:lang w:val="en-US" w:eastAsia="zh-CN" w:bidi="ar-SA"/>
        </w:rPr>
        <w:t>经采购人（使用单位）验收合格后，买方凭验收合格证明及完税发票支付给卖方合同款项的100%。</w:t>
      </w:r>
      <w:r>
        <w:rPr>
          <w:rFonts w:hint="default" w:ascii="仿宋" w:hAnsi="仿宋" w:eastAsia="仿宋" w:cs="仿宋"/>
          <w:b w:val="0"/>
          <w:bCs w:val="0"/>
          <w:kern w:val="0"/>
          <w:sz w:val="24"/>
          <w:szCs w:val="24"/>
          <w:highlight w:val="none"/>
          <w:lang w:val="en-US" w:eastAsia="zh-CN" w:bidi="ar-SA"/>
        </w:rPr>
        <w:t xml:space="preserve">                 </w:t>
      </w:r>
    </w:p>
    <w:p>
      <w:pPr>
        <w:pStyle w:val="87"/>
        <w:shd w:val="clear" w:color="auto" w:fill="auto"/>
        <w:spacing w:line="573" w:lineRule="exact"/>
        <w:rPr>
          <w:rFonts w:hint="default" w:ascii="仿宋" w:hAnsi="仿宋" w:eastAsia="仿宋" w:cs="仿宋"/>
          <w:b w:val="0"/>
          <w:bCs w:val="0"/>
          <w:kern w:val="0"/>
          <w:sz w:val="24"/>
          <w:szCs w:val="24"/>
          <w:highlight w:val="none"/>
          <w:lang w:val="en-US" w:eastAsia="zh-CN" w:bidi="ar-SA"/>
        </w:rPr>
      </w:pPr>
      <w:r>
        <w:rPr>
          <w:rFonts w:hint="eastAsia" w:ascii="仿宋" w:hAnsi="仿宋" w:eastAsia="仿宋" w:cs="仿宋"/>
          <w:b w:val="0"/>
          <w:bCs/>
          <w:kern w:val="2"/>
          <w:sz w:val="24"/>
          <w:szCs w:val="24"/>
          <w:highlight w:val="none"/>
          <w:lang w:val="en-US" w:eastAsia="zh-CN"/>
        </w:rPr>
        <w:t>★</w:t>
      </w:r>
      <w:r>
        <w:rPr>
          <w:rFonts w:hint="default" w:ascii="仿宋" w:hAnsi="仿宋" w:eastAsia="仿宋" w:cs="仿宋"/>
          <w:b w:val="0"/>
          <w:bCs w:val="0"/>
          <w:kern w:val="0"/>
          <w:sz w:val="24"/>
          <w:szCs w:val="24"/>
          <w:highlight w:val="none"/>
          <w:lang w:val="en-US" w:eastAsia="zh-CN" w:bidi="ar-SA"/>
        </w:rPr>
        <w:t>（4）售后服务要求：</w:t>
      </w:r>
    </w:p>
    <w:p>
      <w:pPr>
        <w:pStyle w:val="87"/>
        <w:shd w:val="clear" w:color="auto" w:fill="auto"/>
        <w:spacing w:line="573" w:lineRule="exact"/>
        <w:rPr>
          <w:rFonts w:hint="default" w:ascii="仿宋" w:hAnsi="仿宋" w:eastAsia="仿宋" w:cs="仿宋"/>
          <w:b w:val="0"/>
          <w:bCs w:val="0"/>
          <w:kern w:val="0"/>
          <w:sz w:val="24"/>
          <w:szCs w:val="24"/>
          <w:highlight w:val="none"/>
          <w:lang w:val="en-US" w:eastAsia="zh-CN" w:bidi="ar-SA"/>
        </w:rPr>
      </w:pPr>
      <w:r>
        <w:rPr>
          <w:rFonts w:hint="default" w:ascii="仿宋" w:hAnsi="仿宋" w:eastAsia="仿宋" w:cs="仿宋"/>
          <w:b w:val="0"/>
          <w:bCs w:val="0"/>
          <w:kern w:val="0"/>
          <w:sz w:val="24"/>
          <w:szCs w:val="24"/>
          <w:highlight w:val="none"/>
          <w:u w:val="none"/>
          <w:lang w:val="en-US" w:eastAsia="zh-CN" w:bidi="ar-SA"/>
        </w:rPr>
        <w:t>质保期限：</w:t>
      </w:r>
      <w:r>
        <w:rPr>
          <w:rFonts w:hint="default" w:ascii="仿宋" w:hAnsi="仿宋" w:eastAsia="仿宋" w:cs="仿宋"/>
          <w:b w:val="0"/>
          <w:bCs w:val="0"/>
          <w:kern w:val="0"/>
          <w:sz w:val="24"/>
          <w:szCs w:val="24"/>
          <w:highlight w:val="none"/>
          <w:u w:val="single"/>
          <w:lang w:val="en-US" w:eastAsia="zh-CN" w:bidi="ar-SA"/>
        </w:rPr>
        <w:t>项目验收合格起3年内免费质保，保修范围应包括提供的所有软件、硬件（含第三方设备或配件）和安装调试服务。在保修期内应提供维修和技术咨询服务，矫正和免费更换有缺陷的设备或部件、排除系统出现的故障。质量保证期内，</w:t>
      </w:r>
      <w:r>
        <w:rPr>
          <w:rFonts w:hint="eastAsia" w:ascii="仿宋" w:hAnsi="仿宋" w:eastAsia="仿宋" w:cs="仿宋"/>
          <w:b w:val="0"/>
          <w:bCs w:val="0"/>
          <w:kern w:val="0"/>
          <w:sz w:val="24"/>
          <w:szCs w:val="24"/>
          <w:highlight w:val="none"/>
          <w:u w:val="single"/>
          <w:lang w:val="en-US" w:eastAsia="zh-CN" w:bidi="ar-SA"/>
        </w:rPr>
        <w:t>投标人</w:t>
      </w:r>
      <w:r>
        <w:rPr>
          <w:rFonts w:hint="default" w:ascii="仿宋" w:hAnsi="仿宋" w:eastAsia="仿宋" w:cs="仿宋"/>
          <w:b w:val="0"/>
          <w:bCs w:val="0"/>
          <w:kern w:val="0"/>
          <w:sz w:val="24"/>
          <w:szCs w:val="24"/>
          <w:highlight w:val="none"/>
          <w:u w:val="single"/>
          <w:lang w:val="en-US" w:eastAsia="zh-CN" w:bidi="ar-SA"/>
        </w:rPr>
        <w:t>应对由于设计、工艺或材料的缺陷而发生的任何不足或故障负责，费用由</w:t>
      </w:r>
      <w:r>
        <w:rPr>
          <w:rFonts w:hint="eastAsia" w:ascii="仿宋" w:hAnsi="仿宋" w:eastAsia="仿宋" w:cs="仿宋"/>
          <w:b w:val="0"/>
          <w:bCs w:val="0"/>
          <w:kern w:val="0"/>
          <w:sz w:val="24"/>
          <w:szCs w:val="24"/>
          <w:highlight w:val="none"/>
          <w:u w:val="single"/>
          <w:lang w:val="en-US" w:eastAsia="zh-CN" w:bidi="ar-SA"/>
        </w:rPr>
        <w:t>投标人</w:t>
      </w:r>
      <w:r>
        <w:rPr>
          <w:rFonts w:hint="default" w:ascii="仿宋" w:hAnsi="仿宋" w:eastAsia="仿宋" w:cs="仿宋"/>
          <w:b w:val="0"/>
          <w:bCs w:val="0"/>
          <w:kern w:val="0"/>
          <w:sz w:val="24"/>
          <w:szCs w:val="24"/>
          <w:highlight w:val="none"/>
          <w:u w:val="single"/>
          <w:lang w:val="en-US" w:eastAsia="zh-CN" w:bidi="ar-SA"/>
        </w:rPr>
        <w:t>负担。</w:t>
      </w:r>
      <w:r>
        <w:rPr>
          <w:rFonts w:hint="default" w:ascii="仿宋" w:hAnsi="仿宋" w:eastAsia="仿宋" w:cs="仿宋"/>
          <w:b w:val="0"/>
          <w:bCs w:val="0"/>
          <w:kern w:val="0"/>
          <w:sz w:val="24"/>
          <w:szCs w:val="24"/>
          <w:highlight w:val="none"/>
          <w:lang w:val="en-US" w:eastAsia="zh-CN" w:bidi="ar-SA"/>
        </w:rPr>
        <w:t xml:space="preserve">                             </w:t>
      </w:r>
    </w:p>
    <w:p>
      <w:pPr>
        <w:pStyle w:val="87"/>
        <w:shd w:val="clear" w:color="auto" w:fill="auto"/>
        <w:spacing w:line="573" w:lineRule="exact"/>
        <w:rPr>
          <w:rFonts w:hint="default" w:ascii="仿宋" w:hAnsi="仿宋" w:eastAsia="仿宋" w:cs="仿宋"/>
          <w:b w:val="0"/>
          <w:bCs w:val="0"/>
          <w:kern w:val="0"/>
          <w:sz w:val="24"/>
          <w:szCs w:val="24"/>
          <w:highlight w:val="none"/>
          <w:lang w:val="en-US" w:eastAsia="zh-CN" w:bidi="ar-SA"/>
        </w:rPr>
      </w:pPr>
      <w:r>
        <w:rPr>
          <w:rFonts w:hint="default" w:ascii="仿宋" w:hAnsi="仿宋" w:eastAsia="仿宋" w:cs="仿宋"/>
          <w:b w:val="0"/>
          <w:bCs w:val="0"/>
          <w:kern w:val="0"/>
          <w:sz w:val="24"/>
          <w:szCs w:val="24"/>
          <w:highlight w:val="none"/>
          <w:lang w:val="en-US" w:eastAsia="zh-CN" w:bidi="ar-SA"/>
        </w:rPr>
        <w:t>（5）其他商务要求：</w:t>
      </w:r>
    </w:p>
    <w:p>
      <w:pPr>
        <w:pStyle w:val="87"/>
        <w:numPr>
          <w:ilvl w:val="0"/>
          <w:numId w:val="0"/>
        </w:numPr>
        <w:shd w:val="clear" w:color="auto" w:fill="auto"/>
        <w:spacing w:line="573" w:lineRule="exact"/>
        <w:ind w:left="0" w:leftChars="0" w:firstLine="422" w:firstLineChars="175"/>
        <w:rPr>
          <w:rFonts w:hint="default" w:ascii="仿宋" w:hAnsi="仿宋" w:eastAsia="仿宋" w:cs="仿宋"/>
          <w:b/>
          <w:bCs/>
          <w:kern w:val="2"/>
          <w:sz w:val="24"/>
          <w:szCs w:val="24"/>
          <w:highlight w:val="none"/>
          <w:u w:val="none"/>
          <w:shd w:val="clear"/>
          <w:lang w:val="en-US" w:eastAsia="zh-CN" w:bidi="ar-SA"/>
        </w:rPr>
      </w:pPr>
      <w:r>
        <w:rPr>
          <w:rFonts w:hint="eastAsia" w:ascii="仿宋" w:hAnsi="仿宋" w:eastAsia="仿宋" w:cs="仿宋"/>
          <w:b/>
          <w:bCs/>
          <w:kern w:val="2"/>
          <w:sz w:val="24"/>
          <w:szCs w:val="24"/>
          <w:highlight w:val="none"/>
          <w:u w:val="none"/>
          <w:shd w:val="clear"/>
          <w:lang w:val="en-US" w:eastAsia="zh-CN" w:bidi="ar-SA"/>
        </w:rPr>
        <w:t>1）</w:t>
      </w:r>
      <w:r>
        <w:rPr>
          <w:rFonts w:hint="default" w:ascii="仿宋" w:hAnsi="仿宋" w:eastAsia="仿宋" w:cs="仿宋"/>
          <w:b/>
          <w:bCs/>
          <w:kern w:val="2"/>
          <w:sz w:val="24"/>
          <w:szCs w:val="24"/>
          <w:highlight w:val="none"/>
          <w:u w:val="none"/>
          <w:shd w:val="clear"/>
          <w:lang w:val="en-US" w:eastAsia="zh-CN" w:bidi="ar-SA"/>
        </w:rPr>
        <w:t>中标人须承担所投设备安装时产生的水电改造、机房改造等所有费用（如有）</w:t>
      </w:r>
      <w:r>
        <w:rPr>
          <w:rFonts w:hint="eastAsia" w:ascii="仿宋" w:hAnsi="仿宋" w:eastAsia="仿宋" w:cs="仿宋"/>
          <w:b/>
          <w:bCs/>
          <w:kern w:val="2"/>
          <w:sz w:val="24"/>
          <w:szCs w:val="24"/>
          <w:highlight w:val="none"/>
          <w:u w:val="none"/>
          <w:shd w:val="clear"/>
          <w:lang w:val="en-US" w:eastAsia="zh-CN" w:bidi="ar-SA"/>
        </w:rPr>
        <w:t>。</w:t>
      </w:r>
    </w:p>
    <w:p>
      <w:pPr>
        <w:pStyle w:val="87"/>
        <w:numPr>
          <w:ilvl w:val="0"/>
          <w:numId w:val="0"/>
        </w:numPr>
        <w:shd w:val="clear" w:color="auto" w:fill="auto"/>
        <w:spacing w:line="573" w:lineRule="exact"/>
        <w:ind w:left="0" w:leftChars="0" w:firstLine="422" w:firstLineChars="175"/>
        <w:rPr>
          <w:rFonts w:hint="default" w:ascii="仿宋" w:hAnsi="仿宋" w:eastAsia="仿宋" w:cs="仿宋"/>
          <w:b/>
          <w:bCs/>
          <w:kern w:val="2"/>
          <w:sz w:val="24"/>
          <w:szCs w:val="24"/>
          <w:highlight w:val="none"/>
          <w:u w:val="none"/>
          <w:shd w:val="clear"/>
          <w:lang w:val="en-US" w:eastAsia="zh-CN" w:bidi="ar-SA"/>
        </w:rPr>
      </w:pPr>
      <w:r>
        <w:rPr>
          <w:rFonts w:hint="default" w:ascii="仿宋" w:hAnsi="仿宋" w:eastAsia="仿宋" w:cs="仿宋"/>
          <w:b/>
          <w:bCs/>
          <w:kern w:val="2"/>
          <w:sz w:val="24"/>
          <w:szCs w:val="24"/>
          <w:highlight w:val="none"/>
          <w:u w:val="none"/>
          <w:shd w:val="clear"/>
          <w:lang w:val="en-US" w:eastAsia="zh-CN" w:bidi="ar-SA"/>
        </w:rPr>
        <w:t>2</w:t>
      </w:r>
      <w:r>
        <w:rPr>
          <w:rFonts w:hint="eastAsia" w:ascii="仿宋" w:hAnsi="仿宋" w:eastAsia="仿宋" w:cs="仿宋"/>
          <w:b/>
          <w:bCs/>
          <w:kern w:val="2"/>
          <w:sz w:val="24"/>
          <w:szCs w:val="24"/>
          <w:highlight w:val="none"/>
          <w:u w:val="none"/>
          <w:shd w:val="clear"/>
          <w:lang w:val="en-US" w:eastAsia="zh-CN" w:bidi="ar-SA"/>
        </w:rPr>
        <w:t>）</w:t>
      </w:r>
      <w:r>
        <w:rPr>
          <w:rFonts w:hint="default" w:ascii="仿宋" w:hAnsi="仿宋" w:eastAsia="仿宋" w:cs="仿宋"/>
          <w:b/>
          <w:bCs/>
          <w:kern w:val="2"/>
          <w:sz w:val="24"/>
          <w:szCs w:val="24"/>
          <w:highlight w:val="none"/>
          <w:u w:val="none"/>
          <w:shd w:val="clear"/>
          <w:lang w:val="en-US" w:eastAsia="zh-CN" w:bidi="ar-SA"/>
        </w:rPr>
        <w:t>中标人所投设备如需适配Lis、His、Pacs系统，所产生的费用由中标人承担（如有）。</w:t>
      </w:r>
    </w:p>
    <w:p>
      <w:pPr>
        <w:pStyle w:val="87"/>
        <w:numPr>
          <w:ilvl w:val="0"/>
          <w:numId w:val="0"/>
        </w:numPr>
        <w:shd w:val="clear" w:color="auto" w:fill="auto"/>
        <w:spacing w:line="573" w:lineRule="exact"/>
        <w:ind w:left="0" w:leftChars="0" w:firstLine="422" w:firstLineChars="175"/>
        <w:rPr>
          <w:rFonts w:hint="default" w:ascii="仿宋" w:hAnsi="仿宋" w:eastAsia="仿宋" w:cs="仿宋"/>
          <w:b/>
          <w:bCs/>
          <w:kern w:val="2"/>
          <w:sz w:val="24"/>
          <w:szCs w:val="24"/>
          <w:highlight w:val="none"/>
          <w:u w:val="none"/>
          <w:shd w:val="clear"/>
          <w:lang w:val="en-US" w:eastAsia="zh-CN" w:bidi="ar-SA"/>
        </w:rPr>
      </w:pPr>
      <w:r>
        <w:rPr>
          <w:rFonts w:hint="default" w:ascii="仿宋" w:hAnsi="仿宋" w:eastAsia="仿宋" w:cs="仿宋"/>
          <w:b/>
          <w:bCs/>
          <w:kern w:val="2"/>
          <w:sz w:val="24"/>
          <w:szCs w:val="24"/>
          <w:highlight w:val="none"/>
          <w:u w:val="none"/>
          <w:shd w:val="clear"/>
          <w:lang w:val="en-US" w:eastAsia="zh-CN" w:bidi="ar-SA"/>
        </w:rPr>
        <w:t>3</w:t>
      </w:r>
      <w:r>
        <w:rPr>
          <w:rFonts w:hint="eastAsia" w:ascii="仿宋" w:hAnsi="仿宋" w:eastAsia="仿宋" w:cs="仿宋"/>
          <w:b/>
          <w:bCs/>
          <w:kern w:val="2"/>
          <w:sz w:val="24"/>
          <w:szCs w:val="24"/>
          <w:highlight w:val="none"/>
          <w:u w:val="none"/>
          <w:shd w:val="clear"/>
          <w:lang w:val="en-US" w:eastAsia="zh-CN" w:bidi="ar-SA"/>
        </w:rPr>
        <w:t>）</w:t>
      </w:r>
      <w:r>
        <w:rPr>
          <w:rFonts w:hint="default" w:ascii="仿宋" w:hAnsi="仿宋" w:eastAsia="仿宋" w:cs="仿宋"/>
          <w:b/>
          <w:bCs/>
          <w:kern w:val="2"/>
          <w:sz w:val="24"/>
          <w:szCs w:val="24"/>
          <w:highlight w:val="none"/>
          <w:u w:val="none"/>
          <w:shd w:val="clear"/>
          <w:lang w:val="en-US" w:eastAsia="zh-CN" w:bidi="ar-SA"/>
        </w:rPr>
        <w:t>中标人需提供所投设备配套的办公桌椅及电脑、打印机等。</w:t>
      </w:r>
    </w:p>
    <w:p>
      <w:pPr>
        <w:pStyle w:val="87"/>
        <w:numPr>
          <w:ilvl w:val="0"/>
          <w:numId w:val="0"/>
        </w:numPr>
        <w:shd w:val="clear" w:color="auto" w:fill="auto"/>
        <w:spacing w:line="573" w:lineRule="exact"/>
        <w:ind w:left="0" w:leftChars="0" w:firstLine="422" w:firstLineChars="175"/>
        <w:rPr>
          <w:rFonts w:hint="default" w:ascii="仿宋" w:hAnsi="仿宋" w:eastAsia="仿宋" w:cs="仿宋"/>
          <w:b/>
          <w:bCs/>
          <w:kern w:val="2"/>
          <w:sz w:val="24"/>
          <w:szCs w:val="24"/>
          <w:highlight w:val="none"/>
          <w:u w:val="none"/>
          <w:shd w:val="clear"/>
          <w:lang w:val="en-US" w:eastAsia="zh-CN" w:bidi="ar-SA"/>
        </w:rPr>
      </w:pPr>
      <w:r>
        <w:rPr>
          <w:rFonts w:hint="default" w:ascii="仿宋" w:hAnsi="仿宋" w:eastAsia="仿宋" w:cs="仿宋"/>
          <w:b/>
          <w:bCs/>
          <w:kern w:val="2"/>
          <w:sz w:val="24"/>
          <w:szCs w:val="24"/>
          <w:highlight w:val="none"/>
          <w:u w:val="none"/>
          <w:shd w:val="clear"/>
          <w:lang w:val="en-US" w:eastAsia="zh-CN" w:bidi="ar-SA"/>
        </w:rPr>
        <w:t>4</w:t>
      </w:r>
      <w:r>
        <w:rPr>
          <w:rFonts w:hint="eastAsia" w:ascii="仿宋" w:hAnsi="仿宋" w:eastAsia="仿宋" w:cs="仿宋"/>
          <w:b/>
          <w:bCs/>
          <w:kern w:val="2"/>
          <w:sz w:val="24"/>
          <w:szCs w:val="24"/>
          <w:highlight w:val="none"/>
          <w:u w:val="none"/>
          <w:shd w:val="clear"/>
          <w:lang w:val="en-US" w:eastAsia="zh-CN" w:bidi="ar-SA"/>
        </w:rPr>
        <w:t>）</w:t>
      </w:r>
      <w:r>
        <w:rPr>
          <w:rFonts w:hint="default" w:ascii="仿宋" w:hAnsi="仿宋" w:eastAsia="仿宋" w:cs="仿宋"/>
          <w:b/>
          <w:bCs/>
          <w:kern w:val="2"/>
          <w:sz w:val="24"/>
          <w:szCs w:val="24"/>
          <w:highlight w:val="none"/>
          <w:u w:val="none"/>
          <w:shd w:val="clear"/>
          <w:lang w:val="en-US" w:eastAsia="zh-CN" w:bidi="ar-SA"/>
        </w:rPr>
        <w:t>中标人需提供所投设备的试剂和配套耗材，具体数量待设备培训时确定（如有）。</w:t>
      </w:r>
    </w:p>
    <w:p>
      <w:pPr>
        <w:pStyle w:val="87"/>
        <w:numPr>
          <w:ilvl w:val="0"/>
          <w:numId w:val="0"/>
        </w:numPr>
        <w:shd w:val="clear" w:color="auto" w:fill="auto"/>
        <w:spacing w:line="573" w:lineRule="exact"/>
        <w:ind w:left="0" w:leftChars="0" w:firstLine="422" w:firstLineChars="175"/>
        <w:rPr>
          <w:rFonts w:hint="eastAsia" w:ascii="仿宋" w:hAnsi="仿宋" w:eastAsia="仿宋" w:cs="仿宋"/>
          <w:b/>
          <w:bCs/>
          <w:kern w:val="2"/>
          <w:sz w:val="24"/>
          <w:szCs w:val="24"/>
          <w:highlight w:val="none"/>
          <w:u w:val="none"/>
          <w:shd w:val="clear"/>
          <w:lang w:val="en-US" w:eastAsia="zh-CN" w:bidi="ar-SA"/>
        </w:rPr>
      </w:pPr>
      <w:r>
        <w:rPr>
          <w:rFonts w:hint="default" w:ascii="仿宋" w:hAnsi="仿宋" w:eastAsia="仿宋" w:cs="仿宋"/>
          <w:b/>
          <w:bCs/>
          <w:kern w:val="2"/>
          <w:sz w:val="24"/>
          <w:szCs w:val="24"/>
          <w:highlight w:val="none"/>
          <w:u w:val="none"/>
          <w:shd w:val="clear"/>
          <w:lang w:val="en-US" w:eastAsia="zh-CN" w:bidi="ar-SA"/>
        </w:rPr>
        <w:t>5</w:t>
      </w:r>
      <w:r>
        <w:rPr>
          <w:rFonts w:hint="eastAsia" w:ascii="仿宋" w:hAnsi="仿宋" w:eastAsia="仿宋" w:cs="仿宋"/>
          <w:b/>
          <w:bCs/>
          <w:kern w:val="2"/>
          <w:sz w:val="24"/>
          <w:szCs w:val="24"/>
          <w:highlight w:val="none"/>
          <w:u w:val="none"/>
          <w:shd w:val="clear"/>
          <w:lang w:val="en-US" w:eastAsia="zh-CN" w:bidi="ar-SA"/>
        </w:rPr>
        <w:t>）</w:t>
      </w:r>
      <w:r>
        <w:rPr>
          <w:rFonts w:hint="default" w:ascii="仿宋" w:hAnsi="仿宋" w:eastAsia="仿宋" w:cs="仿宋"/>
          <w:b/>
          <w:bCs/>
          <w:kern w:val="2"/>
          <w:sz w:val="24"/>
          <w:szCs w:val="24"/>
          <w:highlight w:val="none"/>
          <w:u w:val="none"/>
          <w:shd w:val="clear"/>
          <w:lang w:val="en-US" w:eastAsia="zh-CN" w:bidi="ar-SA"/>
        </w:rPr>
        <w:t>中标人需承担所投设备验收检测费用（如有）。</w:t>
      </w:r>
    </w:p>
    <w:p>
      <w:pPr>
        <w:pStyle w:val="32"/>
        <w:numPr>
          <w:ilvl w:val="0"/>
          <w:numId w:val="0"/>
        </w:numPr>
        <w:spacing w:line="360" w:lineRule="auto"/>
        <w:ind w:left="0" w:leftChars="0" w:firstLine="420" w:firstLineChars="175"/>
        <w:rPr>
          <w:rFonts w:hint="eastAsia" w:ascii="仿宋" w:hAnsi="仿宋" w:eastAsia="仿宋" w:cs="仿宋"/>
          <w:b w:val="0"/>
          <w:bCs w:val="0"/>
          <w:kern w:val="2"/>
          <w:sz w:val="24"/>
          <w:szCs w:val="24"/>
          <w:highlight w:val="none"/>
          <w:lang w:val="en-US" w:eastAsia="zh-CN"/>
        </w:rPr>
      </w:pPr>
      <w:r>
        <w:rPr>
          <w:rFonts w:hint="eastAsia" w:ascii="仿宋" w:hAnsi="仿宋" w:eastAsia="仿宋" w:cs="仿宋"/>
          <w:b w:val="0"/>
          <w:bCs w:val="0"/>
          <w:kern w:val="2"/>
          <w:sz w:val="24"/>
          <w:szCs w:val="24"/>
          <w:highlight w:val="none"/>
          <w:lang w:val="en-US" w:eastAsia="zh-CN"/>
        </w:rPr>
        <w:t>6</w:t>
      </w:r>
      <w:r>
        <w:rPr>
          <w:rFonts w:hint="eastAsia" w:ascii="仿宋" w:hAnsi="仿宋" w:eastAsia="仿宋" w:cs="仿宋"/>
          <w:b w:val="0"/>
          <w:bCs w:val="0"/>
          <w:kern w:val="2"/>
          <w:sz w:val="24"/>
          <w:szCs w:val="24"/>
          <w:highlight w:val="none"/>
          <w:lang w:val="zh-CN" w:eastAsia="zh-CN"/>
        </w:rPr>
        <w:t>）提供7×24小时运行维护服务</w:t>
      </w:r>
      <w:r>
        <w:rPr>
          <w:rFonts w:hint="eastAsia" w:ascii="仿宋" w:hAnsi="仿宋" w:eastAsia="仿宋" w:cs="仿宋"/>
          <w:b w:val="0"/>
          <w:bCs w:val="0"/>
          <w:kern w:val="2"/>
          <w:sz w:val="24"/>
          <w:szCs w:val="24"/>
          <w:highlight w:val="none"/>
          <w:lang w:val="en-US" w:eastAsia="zh-CN"/>
        </w:rPr>
        <w:t>。在质量保证期内设备非因人为及不可抗拒因素的原因而引起损坏或质量问题，中标人应免费予以技术服务、维修或设备更换，并承担相应费用和零部件的费用，因人为因素出现的故障不在免费保修范围内，中标人也要积极帮助采购人修理，并提供优惠价格的配件和服务。</w:t>
      </w:r>
    </w:p>
    <w:p>
      <w:pPr>
        <w:pStyle w:val="32"/>
        <w:numPr>
          <w:ilvl w:val="0"/>
          <w:numId w:val="0"/>
        </w:numPr>
        <w:spacing w:line="360" w:lineRule="auto"/>
        <w:ind w:left="0" w:leftChars="0" w:firstLine="420" w:firstLineChars="175"/>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en-US" w:eastAsia="zh-CN"/>
        </w:rPr>
        <w:t>7)本次采购需求</w:t>
      </w:r>
      <w:r>
        <w:rPr>
          <w:rFonts w:hint="eastAsia" w:ascii="仿宋" w:hAnsi="仿宋" w:eastAsia="仿宋" w:cs="仿宋"/>
          <w:sz w:val="24"/>
          <w:szCs w:val="24"/>
          <w:highlight w:val="none"/>
          <w:lang w:val="zh-CN" w:eastAsia="zh-CN"/>
        </w:rPr>
        <w:t>内容是根据采购项目的实际需求制定的。</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22" w:firstLineChars="175"/>
        <w:jc w:val="left"/>
        <w:textAlignment w:val="auto"/>
        <w:rPr>
          <w:rFonts w:hint="eastAsia" w:ascii="仿宋" w:hAnsi="仿宋" w:eastAsia="仿宋" w:cs="仿宋"/>
          <w:b/>
          <w:bCs/>
          <w:sz w:val="24"/>
          <w:szCs w:val="24"/>
          <w:highlight w:val="none"/>
          <w:lang w:val="zh-CN" w:eastAsia="zh-CN"/>
        </w:rPr>
      </w:pPr>
      <w:r>
        <w:rPr>
          <w:rFonts w:hint="eastAsia" w:ascii="仿宋" w:hAnsi="仿宋" w:eastAsia="仿宋" w:cs="仿宋"/>
          <w:b/>
          <w:bCs/>
          <w:sz w:val="24"/>
          <w:szCs w:val="24"/>
          <w:highlight w:val="none"/>
          <w:lang w:val="en-US" w:eastAsia="zh-CN"/>
        </w:rPr>
        <w:t>8）</w:t>
      </w:r>
      <w:r>
        <w:rPr>
          <w:rFonts w:hint="eastAsia" w:ascii="仿宋" w:hAnsi="仿宋" w:eastAsia="仿宋" w:cs="仿宋"/>
          <w:b/>
          <w:bCs/>
          <w:sz w:val="24"/>
          <w:szCs w:val="24"/>
          <w:highlight w:val="none"/>
          <w:lang w:val="zh-CN" w:eastAsia="zh-CN"/>
        </w:rPr>
        <w:t>投标人所报价格应</w:t>
      </w:r>
      <w:r>
        <w:rPr>
          <w:rFonts w:hint="eastAsia" w:ascii="仿宋" w:hAnsi="仿宋" w:eastAsia="仿宋" w:cs="仿宋"/>
          <w:b/>
          <w:bCs/>
          <w:sz w:val="24"/>
          <w:szCs w:val="24"/>
          <w:highlight w:val="none"/>
          <w:lang w:val="en-US" w:eastAsia="zh-CN"/>
        </w:rPr>
        <w:t>充分考虑</w:t>
      </w:r>
      <w:r>
        <w:rPr>
          <w:rFonts w:hint="eastAsia" w:ascii="仿宋" w:hAnsi="仿宋" w:eastAsia="仿宋" w:cs="仿宋"/>
          <w:b/>
          <w:bCs/>
          <w:sz w:val="24"/>
          <w:szCs w:val="24"/>
          <w:highlight w:val="none"/>
          <w:lang w:val="zh-CN" w:eastAsia="zh-CN"/>
        </w:rPr>
        <w:t>为含税全包价，包括</w:t>
      </w:r>
      <w:r>
        <w:rPr>
          <w:rFonts w:hint="eastAsia" w:ascii="仿宋" w:hAnsi="仿宋" w:eastAsia="仿宋" w:cs="仿宋"/>
          <w:b/>
          <w:bCs/>
          <w:sz w:val="24"/>
          <w:szCs w:val="24"/>
          <w:highlight w:val="none"/>
          <w:lang w:val="en-US" w:eastAsia="zh-CN"/>
        </w:rPr>
        <w:t>但不限于</w:t>
      </w:r>
      <w:r>
        <w:rPr>
          <w:rFonts w:hint="eastAsia" w:ascii="仿宋" w:hAnsi="仿宋" w:eastAsia="仿宋" w:cs="仿宋"/>
          <w:b/>
          <w:bCs/>
          <w:sz w:val="24"/>
          <w:szCs w:val="24"/>
          <w:highlight w:val="none"/>
          <w:lang w:val="zh-CN" w:eastAsia="zh-CN"/>
        </w:rPr>
        <w:t>产品的设计、制作、包装、保险、运输、装卸、安装、检测、税费、验收、保修等一切费用。</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20" w:firstLineChars="175"/>
        <w:jc w:val="left"/>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lang w:val="zh-CN" w:eastAsia="zh-CN"/>
        </w:rPr>
        <w:t>货物必须为合格产品，质量达到国家有关标准，投标人供货时须提供有关货物（包括原材料、燃料、设备、产品等）的合格证明材料、详细技术资料和检测报告等。</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20" w:firstLineChars="175"/>
        <w:jc w:val="left"/>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lang w:val="zh-CN" w:eastAsia="zh-CN"/>
        </w:rPr>
        <w:t>投标人应保证货物是全新、未使用过的合格产品。并完全符合合同规定的质量、规格和性能的要求。投标人应保证所提供的货物经正确安装、正常运转和保养后，在其使用寿命期内应具有满意的性能。在货物质量保证期内投标人应对由于设计、工艺或者材料的缺陷而发生的任何不足或者故障负责。当采购文件中的技术要求以及货物备品备件的互换性标准与国家标准或者行业标准等不一致时，应以国家标准或者行业标准等为准。</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20" w:firstLineChars="175"/>
        <w:jc w:val="left"/>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en-US" w:eastAsia="zh-CN"/>
        </w:rPr>
        <w:t>11）采购需求清单</w:t>
      </w:r>
      <w:r>
        <w:rPr>
          <w:rFonts w:hint="eastAsia" w:ascii="仿宋" w:hAnsi="仿宋" w:eastAsia="仿宋" w:cs="仿宋"/>
          <w:sz w:val="24"/>
          <w:szCs w:val="24"/>
          <w:highlight w:val="none"/>
          <w:lang w:val="zh-CN" w:eastAsia="zh-CN"/>
        </w:rPr>
        <w:t>的条款内容为本项目的实质性技术或服务要求，如不满足，按无效投标处理。</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20" w:firstLineChars="175"/>
        <w:jc w:val="left"/>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lang w:val="zh-CN" w:eastAsia="zh-CN"/>
        </w:rPr>
        <w:t>为有助于投标人选择投标产品，项目说明中提供了推荐品牌（或型号）、参考品牌（或型号）等，但这些品牌（或型号）仅供参考，并无限制性。投标人可以选择性能不低于推荐（或参考）的品牌（或型号）的其他品牌产品，但投标时应当提供有关技术证明资料，未提供的可能导致投标无效；</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22" w:firstLineChars="175"/>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kern w:val="2"/>
          <w:sz w:val="24"/>
          <w:szCs w:val="24"/>
          <w:highlight w:val="none"/>
          <w:lang w:val="en-US" w:eastAsia="zh-CN"/>
        </w:rPr>
        <w:t xml:space="preserve">13）投标人需要提供投标产品技术支持资料（或证明材料），其中技术支持资料指生产厂家公开发布的印刷资料或检测机构出具的检验报告，若生产厂家公开发布的印刷资料或检测机构出具的检验报告不一致，以检测机构出具的检验报告为准。如投标人技术响应与技术支持资料（或证明材料）不一致，将以技术支持资料（或证明材料）为准。对于技术规格及参数中有特殊要求的技术参数，投标人须在投标文件中按照招标文件技术规格及参数的要求提供技术应答的证明材料，如技术规格及参数中无特殊要求则应提交本条款规定的技术支持资料。对于投标人提供的投标文件技术应答未按本条款要求提供投标产品技术支持资料 </w:t>
      </w:r>
      <w:r>
        <w:rPr>
          <w:rFonts w:hint="eastAsia" w:ascii="仿宋" w:hAnsi="仿宋" w:eastAsia="仿宋" w:cs="仿宋"/>
          <w:b/>
          <w:bCs/>
          <w:sz w:val="24"/>
          <w:szCs w:val="24"/>
          <w:highlight w:val="none"/>
          <w:lang w:val="en-US" w:eastAsia="zh-CN"/>
        </w:rPr>
        <w:t>（或证明材料）的，评标委员会可不予承认，并可认为该技术应答不符合招标文件要求。由此产生的评标风险，由投标人承担。</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22" w:firstLineChars="175"/>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color w:val="auto"/>
          <w:kern w:val="2"/>
          <w:sz w:val="24"/>
          <w:szCs w:val="24"/>
          <w:highlight w:val="none"/>
          <w:lang w:val="en-US" w:eastAsia="zh-CN" w:bidi="ar-SA"/>
        </w:rPr>
        <w:t>14）</w:t>
      </w:r>
      <w:r>
        <w:rPr>
          <w:rFonts w:hint="eastAsia" w:ascii="仿宋" w:hAnsi="仿宋" w:eastAsia="仿宋" w:cs="仿宋"/>
          <w:b/>
          <w:bCs/>
          <w:sz w:val="24"/>
          <w:szCs w:val="24"/>
          <w:highlight w:val="none"/>
          <w:lang w:val="en-US" w:eastAsia="zh-CN"/>
        </w:rPr>
        <w:t>投标人所提供的产品技术规格应符合招标文件的要求。如所供产品存在技术偏离，投标人应如实填写技术要求偏离表（格式自拟）并详细列出设备的品牌、型号、配置参数及所投产品的技术支持资料，不得完全复制招标文件中的技术参数，否自视为无效响应。若采购人掌握了确切事实说明某投标人没有如实填写技术规格偏离表或有欺诈行为，该投标文件将按无效投标处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20" w:firstLineChars="175"/>
        <w:jc w:val="left"/>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lang w:val="zh-CN" w:eastAsia="zh-CN"/>
        </w:rPr>
        <w:t>投标人应当在投标文件中列出完成本项目并通过验收所需的所有各项服务等明细表及全部费用。中标人必须确保整体通过用户方及有关主管部门验收，所发生的验收费用由中标人承担；投标人应踏勘现场，如投标人因未及时踏勘现场而导致的报价缺项漏项废标、或中标后无法完成，投标人自行承担一切后果；</w:t>
      </w:r>
      <w:r>
        <w:rPr>
          <w:rFonts w:hint="eastAsia" w:ascii="仿宋" w:hAnsi="仿宋" w:eastAsia="仿宋" w:cs="仿宋"/>
          <w:sz w:val="24"/>
          <w:szCs w:val="24"/>
          <w:highlight w:val="none"/>
          <w:lang w:val="zh-CN" w:eastAsia="zh-CN"/>
        </w:rPr>
        <w:cr/>
      </w:r>
      <w:r>
        <w:rPr>
          <w:rFonts w:hint="eastAsia" w:ascii="仿宋" w:hAnsi="仿宋" w:eastAsia="仿宋" w:cs="仿宋"/>
          <w:sz w:val="24"/>
          <w:szCs w:val="24"/>
          <w:highlight w:val="none"/>
          <w:lang w:val="en-US" w:eastAsia="zh-CN"/>
        </w:rPr>
        <w:t xml:space="preserve">   16）</w:t>
      </w:r>
      <w:r>
        <w:rPr>
          <w:rFonts w:hint="eastAsia" w:ascii="仿宋" w:hAnsi="仿宋" w:eastAsia="仿宋" w:cs="仿宋"/>
          <w:sz w:val="24"/>
          <w:szCs w:val="24"/>
          <w:highlight w:val="none"/>
          <w:lang w:val="zh-CN" w:eastAsia="zh-CN"/>
        </w:rPr>
        <w:t>如对本招标文件有任何疑问或要求澄清，请按本招标文件的规定提出，否则视同理解和接受。</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20" w:firstLineChars="175"/>
        <w:jc w:val="left"/>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en-US" w:eastAsia="zh-CN"/>
        </w:rPr>
        <w:t>17）</w:t>
      </w:r>
      <w:r>
        <w:rPr>
          <w:rFonts w:hint="eastAsia" w:ascii="仿宋" w:hAnsi="仿宋" w:eastAsia="仿宋" w:cs="仿宋"/>
          <w:sz w:val="24"/>
          <w:szCs w:val="24"/>
          <w:highlight w:val="none"/>
          <w:lang w:val="zh-CN" w:eastAsia="zh-CN"/>
        </w:rPr>
        <w:t>疫情防控要求:必须完全遵守采购人疫情防控的其他要求。</w:t>
      </w:r>
    </w:p>
    <w:p>
      <w:pPr>
        <w:widowControl/>
        <w:numPr>
          <w:ilvl w:val="0"/>
          <w:numId w:val="0"/>
        </w:numPr>
        <w:spacing w:line="360" w:lineRule="auto"/>
        <w:ind w:left="0" w:leftChars="0" w:firstLine="420" w:firstLineChars="175"/>
        <w:jc w:val="left"/>
        <w:rPr>
          <w:rFonts w:hint="eastAsia" w:ascii="仿宋" w:hAnsi="仿宋" w:eastAsia="仿宋" w:cs="仿宋"/>
          <w:b w:val="0"/>
          <w:bCs w:val="0"/>
          <w:kern w:val="2"/>
          <w:sz w:val="24"/>
          <w:szCs w:val="24"/>
          <w:highlight w:val="none"/>
          <w:lang w:val="en-US" w:eastAsia="zh-CN"/>
        </w:rPr>
      </w:pPr>
      <w:r>
        <w:rPr>
          <w:rFonts w:hint="eastAsia" w:ascii="仿宋" w:hAnsi="仿宋" w:eastAsia="仿宋" w:cs="仿宋"/>
          <w:b w:val="0"/>
          <w:bCs w:val="0"/>
          <w:kern w:val="2"/>
          <w:sz w:val="24"/>
          <w:szCs w:val="24"/>
          <w:highlight w:val="none"/>
          <w:lang w:val="en-US" w:eastAsia="zh-CN"/>
        </w:rPr>
        <w:t xml:space="preserve">18）投标文件中有弄虚作假的内容，其投标文件作废。（如假证书、假业绩、假合同、隐瞒不良行为记录、夸大荣誉、使用非本单位在职员工的相关证件及不符合招标文件规定的条款等）；在签订合同之前，投标人如发现投标人的投标文件有弄虚作假内容，招标人可拒绝与其签订合同。并将其列入政府采购黑名单库。                                                                                                                                      </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20" w:firstLineChars="175"/>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19）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p>
      <w:pPr>
        <w:pStyle w:val="7"/>
        <w:tabs>
          <w:tab w:val="left" w:pos="0"/>
        </w:tabs>
        <w:spacing w:line="240" w:lineRule="auto"/>
        <w:ind w:left="0" w:leftChars="0" w:firstLine="422" w:firstLineChars="175"/>
        <w:rPr>
          <w:rFonts w:hint="eastAsia" w:ascii="仿宋" w:hAnsi="仿宋" w:eastAsia="仿宋" w:cs="仿宋"/>
          <w:kern w:val="2"/>
          <w:sz w:val="24"/>
          <w:szCs w:val="24"/>
          <w:highlight w:val="none"/>
          <w:lang w:val="en-US" w:eastAsia="zh-CN" w:bidi="ar-SA"/>
        </w:rPr>
      </w:pPr>
      <w:r>
        <w:rPr>
          <w:rFonts w:hint="eastAsia" w:ascii="仿宋" w:hAnsi="仿宋" w:eastAsia="仿宋" w:cs="仿宋"/>
          <w:b/>
          <w:bCs/>
          <w:sz w:val="24"/>
          <w:szCs w:val="24"/>
          <w:highlight w:val="none"/>
          <w:lang w:val="en-US" w:eastAsia="zh-CN"/>
        </w:rPr>
        <w:t>20）</w:t>
      </w:r>
      <w:r>
        <w:rPr>
          <w:rFonts w:hint="eastAsia" w:ascii="仿宋" w:hAnsi="仿宋" w:eastAsia="仿宋" w:cs="仿宋"/>
          <w:b/>
          <w:bCs/>
          <w:color w:val="auto"/>
          <w:kern w:val="2"/>
          <w:sz w:val="24"/>
          <w:szCs w:val="24"/>
          <w:highlight w:val="none"/>
          <w:lang w:val="en-US" w:eastAsia="zh-CN" w:bidi="ar-SA"/>
        </w:rPr>
        <w:t>根据《中华人民共和国民法典》第四百七十八条 有下列情形之一的，要约失效:(一)要约被拒绝;(二)要约被依法撤销;(三)承诺期限届满，受要约人未作出承诺;(四)受要约人对要约的内容作出实质性变更。第四百八十八条 承诺的内容应当与要约的内容一致。受要约人对要约的内容作出实质性变更的，为新要约。有关合同标的、数量、质量、价款或者报酬、履行期限、履行地点和方式、违约责任和解决争议方法等的变更，是对要约内容的实质性变更。采购需求中标注“★”项为实质性条款，负偏离将导致响应被否决。</w:t>
      </w:r>
    </w:p>
    <w:p>
      <w:pPr>
        <w:pStyle w:val="17"/>
        <w:tabs>
          <w:tab w:val="left" w:pos="630"/>
        </w:tabs>
        <w:ind w:left="0" w:leftChars="0" w:firstLine="420" w:firstLineChars="175"/>
        <w:rPr>
          <w:rFonts w:hint="eastAsia" w:ascii="仿宋" w:hAnsi="仿宋" w:eastAsia="仿宋" w:cs="仿宋"/>
          <w:color w:val="auto"/>
          <w:sz w:val="24"/>
          <w:szCs w:val="24"/>
          <w:highlight w:val="none"/>
        </w:rPr>
      </w:pPr>
    </w:p>
    <w:bookmarkEnd w:id="92"/>
    <w:p>
      <w:pPr>
        <w:pStyle w:val="17"/>
        <w:tabs>
          <w:tab w:val="left" w:pos="630"/>
        </w:tabs>
        <w:ind w:left="0" w:leftChars="0" w:firstLine="0" w:firstLineChars="0"/>
        <w:jc w:val="center"/>
        <w:outlineLvl w:val="0"/>
        <w:rPr>
          <w:rFonts w:hint="eastAsia" w:ascii="仿宋" w:hAnsi="仿宋" w:eastAsia="仿宋" w:cs="仿宋"/>
          <w:b/>
          <w:color w:val="auto"/>
          <w:sz w:val="36"/>
          <w:highlight w:val="none"/>
        </w:rPr>
      </w:pPr>
      <w:r>
        <w:rPr>
          <w:rFonts w:hint="eastAsia" w:ascii="仿宋" w:hAnsi="仿宋" w:eastAsia="仿宋" w:cs="仿宋"/>
          <w:b w:val="0"/>
          <w:bCs w:val="0"/>
          <w:color w:val="auto"/>
          <w:sz w:val="24"/>
          <w:szCs w:val="24"/>
          <w:highlight w:val="none"/>
          <w:lang w:val="en-US" w:eastAsia="zh-CN"/>
        </w:rPr>
        <w:br w:type="page"/>
      </w:r>
      <w:bookmarkStart w:id="105" w:name="_Toc24762"/>
      <w:r>
        <w:rPr>
          <w:rFonts w:hint="eastAsia" w:ascii="Calibri" w:hAnsi="Calibri" w:eastAsia="方正小标宋_GBK" w:cs="Times New Roman"/>
          <w:kern w:val="2"/>
          <w:sz w:val="32"/>
          <w:szCs w:val="32"/>
          <w:lang w:val="en-US" w:eastAsia="zh-CN" w:bidi="ar-SA"/>
        </w:rPr>
        <w:t>第四部分   评审方法（综合评分法）</w:t>
      </w:r>
      <w:bookmarkEnd w:id="105"/>
    </w:p>
    <w:p>
      <w:pPr>
        <w:pStyle w:val="10"/>
        <w:rPr>
          <w:rFonts w:hint="eastAsia"/>
          <w:color w:val="auto"/>
          <w:highlight w:val="none"/>
        </w:rPr>
      </w:pPr>
      <w:bookmarkStart w:id="106" w:name="EBb28a6449d2394405ae581c05a80bd7bd"/>
    </w:p>
    <w:p>
      <w:pPr>
        <w:pStyle w:val="10"/>
        <w:outlineLvl w:val="9"/>
        <w:rPr>
          <w:rFonts w:hint="default" w:eastAsia="仿宋"/>
          <w:b/>
          <w:bCs/>
          <w:color w:val="auto"/>
          <w:highlight w:val="none"/>
          <w:lang w:val="en-US" w:eastAsia="zh-CN"/>
        </w:rPr>
      </w:pPr>
      <w:r>
        <w:rPr>
          <w:rFonts w:hint="eastAsia" w:ascii="仿宋" w:hAnsi="仿宋" w:eastAsia="仿宋" w:cs="仿宋"/>
          <w:b/>
          <w:bCs/>
          <w:color w:val="auto"/>
          <w:kern w:val="0"/>
          <w:sz w:val="24"/>
          <w:highlight w:val="none"/>
          <w:lang w:eastAsia="zh-CN"/>
        </w:rPr>
        <w:t>初步评审</w:t>
      </w:r>
    </w:p>
    <w:bookmarkEnd w:id="106"/>
    <w:tbl>
      <w:tblPr>
        <w:tblStyle w:val="19"/>
        <w:tblpPr w:leftFromText="180" w:rightFromText="180" w:vertAnchor="text" w:horzAnchor="page" w:tblpX="1287" w:tblpY="468"/>
        <w:tblOverlap w:val="never"/>
        <w:tblW w:w="56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
      <w:tblGrid>
        <w:gridCol w:w="569"/>
        <w:gridCol w:w="764"/>
        <w:gridCol w:w="8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904" w:hRule="atLeast"/>
        </w:trPr>
        <w:tc>
          <w:tcPr>
            <w:tcW w:w="702" w:type="pct"/>
            <w:gridSpan w:val="2"/>
            <w:noWrap w:val="0"/>
            <w:vAlign w:val="center"/>
          </w:tcPr>
          <w:p>
            <w:pPr>
              <w:pStyle w:val="49"/>
              <w:jc w:val="center"/>
              <w:rPr>
                <w:rFonts w:hint="eastAsia" w:ascii="仿宋" w:hAnsi="仿宋" w:eastAsia="仿宋" w:cs="仿宋"/>
                <w:i w:val="0"/>
                <w:iCs w:val="0"/>
                <w:color w:val="auto"/>
                <w:sz w:val="24"/>
                <w:szCs w:val="24"/>
                <w:highlight w:val="none"/>
              </w:rPr>
            </w:pPr>
            <w:r>
              <w:rPr>
                <w:rFonts w:hint="eastAsia" w:ascii="仿宋" w:hAnsi="仿宋" w:eastAsia="仿宋" w:cs="仿宋"/>
                <w:b/>
                <w:i w:val="0"/>
                <w:iCs w:val="0"/>
                <w:color w:val="auto"/>
                <w:sz w:val="24"/>
                <w:szCs w:val="24"/>
                <w:highlight w:val="none"/>
              </w:rPr>
              <w:t>评分因素</w:t>
            </w:r>
          </w:p>
        </w:tc>
        <w:tc>
          <w:tcPr>
            <w:tcW w:w="4297" w:type="pct"/>
            <w:noWrap w:val="0"/>
            <w:vAlign w:val="center"/>
          </w:tcPr>
          <w:p>
            <w:pPr>
              <w:pStyle w:val="49"/>
              <w:jc w:val="center"/>
              <w:rPr>
                <w:rFonts w:hint="eastAsia" w:ascii="仿宋" w:hAnsi="仿宋" w:eastAsia="仿宋" w:cs="仿宋"/>
                <w:b/>
                <w:i w:val="0"/>
                <w:iCs w:val="0"/>
                <w:color w:val="auto"/>
                <w:sz w:val="24"/>
                <w:szCs w:val="24"/>
                <w:highlight w:val="none"/>
              </w:rPr>
            </w:pPr>
            <w:r>
              <w:rPr>
                <w:rFonts w:hint="eastAsia" w:ascii="仿宋" w:hAnsi="仿宋" w:eastAsia="仿宋" w:cs="仿宋"/>
                <w:b/>
                <w:i w:val="0"/>
                <w:iCs w:val="0"/>
                <w:color w:val="auto"/>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300" w:type="pct"/>
            <w:vMerge w:val="restart"/>
            <w:noWrap w:val="0"/>
            <w:vAlign w:val="center"/>
          </w:tcPr>
          <w:p>
            <w:pPr>
              <w:pStyle w:val="49"/>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初步评审</w:t>
            </w:r>
          </w:p>
        </w:tc>
        <w:tc>
          <w:tcPr>
            <w:tcW w:w="402" w:type="pct"/>
            <w:vMerge w:val="restart"/>
            <w:noWrap w:val="0"/>
            <w:vAlign w:val="center"/>
          </w:tcPr>
          <w:p>
            <w:pPr>
              <w:pStyle w:val="49"/>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资格检查</w:t>
            </w:r>
          </w:p>
        </w:tc>
        <w:tc>
          <w:tcPr>
            <w:tcW w:w="4297" w:type="pct"/>
            <w:noWrap w:val="0"/>
            <w:vAlign w:val="center"/>
          </w:tcPr>
          <w:p>
            <w:pPr>
              <w:pStyle w:val="26"/>
              <w:widowControl/>
              <w:spacing w:line="288"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一、具有独立承担民事责任的能力</w:t>
            </w:r>
          </w:p>
          <w:p>
            <w:pPr>
              <w:pStyle w:val="26"/>
              <w:widowControl/>
              <w:spacing w:line="288"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1.投标人法人营业执照（副本）或事业单位法人证书（副本）或个体工商户营业执照或有效的自然人身份证明、组织机构代码证</w:t>
            </w:r>
            <w:r>
              <w:rPr>
                <w:rFonts w:hint="eastAsia" w:ascii="仿宋" w:hAnsi="仿宋" w:eastAsia="仿宋" w:cs="仿宋"/>
                <w:b/>
                <w:bCs/>
                <w:color w:val="auto"/>
                <w:sz w:val="24"/>
                <w:szCs w:val="24"/>
                <w:highlight w:val="none"/>
              </w:rPr>
              <w:t>扫描件</w:t>
            </w:r>
            <w:r>
              <w:rPr>
                <w:rFonts w:hint="eastAsia" w:ascii="仿宋" w:hAnsi="仿宋" w:eastAsia="仿宋" w:cs="仿宋"/>
                <w:b/>
                <w:bCs/>
                <w:color w:val="auto"/>
                <w:sz w:val="24"/>
                <w:szCs w:val="24"/>
                <w:highlight w:val="none"/>
                <w:lang w:eastAsia="zh-CN"/>
              </w:rPr>
              <w:t>；</w:t>
            </w:r>
            <w:r>
              <w:rPr>
                <w:rFonts w:hint="eastAsia" w:ascii="仿宋" w:hAnsi="仿宋" w:eastAsia="仿宋" w:cs="仿宋"/>
                <w:color w:val="auto"/>
                <w:sz w:val="24"/>
                <w:szCs w:val="24"/>
                <w:highlight w:val="none"/>
              </w:rPr>
              <w:t>投标人按“三证合一”登记制度办理营业执照的,组织机构代码证和税务登记证（副本）以投标人所提供的营业执照（副本）</w:t>
            </w:r>
            <w:r>
              <w:rPr>
                <w:rFonts w:hint="eastAsia" w:ascii="仿宋" w:hAnsi="仿宋" w:eastAsia="仿宋" w:cs="仿宋"/>
                <w:b/>
                <w:bCs/>
                <w:color w:val="auto"/>
                <w:sz w:val="24"/>
                <w:szCs w:val="24"/>
                <w:highlight w:val="none"/>
              </w:rPr>
              <w:t>扫描件</w:t>
            </w:r>
            <w:r>
              <w:rPr>
                <w:rFonts w:hint="eastAsia" w:ascii="仿宋" w:hAnsi="仿宋" w:eastAsia="仿宋" w:cs="仿宋"/>
                <w:color w:val="auto"/>
                <w:sz w:val="24"/>
                <w:szCs w:val="24"/>
                <w:highlight w:val="none"/>
              </w:rPr>
              <w:t>为准；</w:t>
            </w:r>
          </w:p>
          <w:p>
            <w:pPr>
              <w:pStyle w:val="26"/>
              <w:widowControl/>
              <w:spacing w:line="288" w:lineRule="auto"/>
              <w:jc w:val="left"/>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b/>
                <w:bCs/>
                <w:color w:val="auto"/>
                <w:sz w:val="24"/>
                <w:szCs w:val="24"/>
                <w:highlight w:val="none"/>
              </w:rPr>
              <w:t>法定代表人身份证明及法定代表人授权书</w:t>
            </w:r>
          </w:p>
          <w:p>
            <w:pPr>
              <w:pStyle w:val="94"/>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outlineLvl w:val="2"/>
              <w:rPr>
                <w:rFonts w:hint="eastAsia" w:ascii="仿宋" w:hAnsi="仿宋" w:eastAsia="仿宋" w:cs="仿宋"/>
                <w:i w:val="0"/>
                <w:iCs w:val="0"/>
                <w:color w:val="auto"/>
                <w:sz w:val="24"/>
                <w:szCs w:val="24"/>
                <w:highlight w:val="none"/>
              </w:rPr>
            </w:pPr>
            <w:r>
              <w:rPr>
                <w:rFonts w:hint="eastAsia" w:ascii="仿宋" w:hAnsi="仿宋" w:eastAsia="仿宋" w:cs="仿宋"/>
                <w:b w:val="0"/>
                <w:color w:val="auto"/>
                <w:kern w:val="2"/>
                <w:sz w:val="24"/>
                <w:szCs w:val="24"/>
                <w:highlight w:val="none"/>
                <w:lang w:val="en-US" w:eastAsia="zh-CN" w:bidi="ar-SA"/>
              </w:rPr>
              <w:t>投标人法定代表人身份证明或法定代表人授权代表委托书。（</w:t>
            </w:r>
            <w:r>
              <w:rPr>
                <w:rFonts w:hint="default" w:ascii="仿宋" w:hAnsi="仿宋" w:eastAsia="仿宋" w:cs="仿宋"/>
                <w:b w:val="0"/>
                <w:color w:val="auto"/>
                <w:kern w:val="2"/>
                <w:sz w:val="24"/>
                <w:szCs w:val="24"/>
                <w:highlight w:val="none"/>
                <w:lang w:val="en-US" w:eastAsia="zh-CN" w:bidi="ar-SA"/>
              </w:rPr>
              <w:t>注：</w:t>
            </w:r>
            <w:r>
              <w:rPr>
                <w:rFonts w:hint="eastAsia" w:ascii="仿宋" w:hAnsi="仿宋" w:eastAsia="仿宋" w:cs="仿宋"/>
                <w:b w:val="0"/>
                <w:color w:val="auto"/>
                <w:kern w:val="2"/>
                <w:sz w:val="24"/>
                <w:szCs w:val="24"/>
                <w:highlight w:val="none"/>
                <w:lang w:val="en-US" w:eastAsia="zh-CN" w:bidi="ar-SA"/>
              </w:rPr>
              <w:t>如</w:t>
            </w:r>
            <w:r>
              <w:rPr>
                <w:rFonts w:hint="default" w:ascii="仿宋" w:hAnsi="仿宋" w:eastAsia="仿宋" w:cs="仿宋"/>
                <w:b w:val="0"/>
                <w:color w:val="auto"/>
                <w:kern w:val="2"/>
                <w:sz w:val="24"/>
                <w:szCs w:val="24"/>
                <w:highlight w:val="none"/>
                <w:lang w:val="en-US" w:eastAsia="zh-CN" w:bidi="ar-SA"/>
              </w:rPr>
              <w:t>法定代表人</w:t>
            </w:r>
            <w:r>
              <w:rPr>
                <w:rFonts w:hint="eastAsia" w:ascii="仿宋" w:hAnsi="仿宋" w:eastAsia="仿宋" w:cs="仿宋"/>
                <w:b w:val="0"/>
                <w:color w:val="auto"/>
                <w:kern w:val="2"/>
                <w:sz w:val="24"/>
                <w:szCs w:val="24"/>
                <w:highlight w:val="none"/>
                <w:lang w:val="en-US" w:eastAsia="zh-CN" w:bidi="ar-SA"/>
              </w:rPr>
              <w:t>出席</w:t>
            </w:r>
            <w:r>
              <w:rPr>
                <w:rFonts w:hint="default" w:ascii="仿宋" w:hAnsi="仿宋" w:eastAsia="仿宋" w:cs="仿宋"/>
                <w:b w:val="0"/>
                <w:color w:val="auto"/>
                <w:kern w:val="2"/>
                <w:sz w:val="24"/>
                <w:szCs w:val="24"/>
                <w:highlight w:val="none"/>
                <w:lang w:val="en-US" w:eastAsia="zh-CN" w:bidi="ar-SA"/>
              </w:rPr>
              <w:t>开标会时，需提供法定代表人身份证明文件。</w:t>
            </w:r>
            <w:r>
              <w:rPr>
                <w:rFonts w:hint="eastAsia" w:ascii="仿宋" w:hAnsi="仿宋" w:eastAsia="仿宋" w:cs="仿宋"/>
                <w:b w:val="0"/>
                <w:color w:val="auto"/>
                <w:kern w:val="2"/>
                <w:sz w:val="24"/>
                <w:szCs w:val="24"/>
                <w:highlight w:val="none"/>
                <w:lang w:val="en-US" w:eastAsia="zh-CN" w:bidi="ar-SA"/>
              </w:rPr>
              <w:t>如</w:t>
            </w:r>
            <w:r>
              <w:rPr>
                <w:rFonts w:hint="default" w:ascii="仿宋" w:hAnsi="仿宋" w:eastAsia="仿宋" w:cs="仿宋"/>
                <w:b w:val="0"/>
                <w:color w:val="auto"/>
                <w:kern w:val="2"/>
                <w:sz w:val="24"/>
                <w:szCs w:val="24"/>
                <w:highlight w:val="none"/>
                <w:lang w:val="en-US" w:eastAsia="zh-CN" w:bidi="ar-SA"/>
              </w:rPr>
              <w:t>委托代理人</w:t>
            </w:r>
            <w:r>
              <w:rPr>
                <w:rFonts w:hint="eastAsia" w:ascii="仿宋" w:hAnsi="仿宋" w:eastAsia="仿宋" w:cs="仿宋"/>
                <w:b w:val="0"/>
                <w:color w:val="auto"/>
                <w:kern w:val="2"/>
                <w:sz w:val="24"/>
                <w:szCs w:val="24"/>
                <w:highlight w:val="none"/>
                <w:lang w:val="en-US" w:eastAsia="zh-CN" w:bidi="ar-SA"/>
              </w:rPr>
              <w:t>出席</w:t>
            </w:r>
            <w:r>
              <w:rPr>
                <w:rFonts w:hint="default" w:ascii="仿宋" w:hAnsi="仿宋" w:eastAsia="仿宋" w:cs="仿宋"/>
                <w:b w:val="0"/>
                <w:color w:val="auto"/>
                <w:kern w:val="2"/>
                <w:sz w:val="24"/>
                <w:szCs w:val="24"/>
                <w:highlight w:val="none"/>
                <w:lang w:val="en-US" w:eastAsia="zh-CN" w:bidi="ar-SA"/>
              </w:rPr>
              <w:t>开标会时需同时提供法定代表人资格证明文件和法定代表人授权委托书。</w:t>
            </w:r>
            <w:r>
              <w:rPr>
                <w:rFonts w:hint="eastAsia" w:ascii="仿宋" w:hAnsi="仿宋" w:eastAsia="仿宋" w:cs="仿宋"/>
                <w:b w:val="0"/>
                <w:color w:val="auto"/>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300" w:type="pct"/>
            <w:vMerge w:val="continue"/>
            <w:noWrap w:val="0"/>
            <w:vAlign w:val="center"/>
          </w:tcPr>
          <w:p>
            <w:pPr>
              <w:pStyle w:val="49"/>
              <w:jc w:val="center"/>
              <w:rPr>
                <w:rFonts w:hint="eastAsia" w:ascii="仿宋" w:hAnsi="仿宋" w:eastAsia="仿宋" w:cs="仿宋"/>
                <w:i w:val="0"/>
                <w:iCs w:val="0"/>
                <w:color w:val="auto"/>
                <w:sz w:val="24"/>
                <w:szCs w:val="24"/>
                <w:highlight w:val="none"/>
              </w:rPr>
            </w:pPr>
          </w:p>
        </w:tc>
        <w:tc>
          <w:tcPr>
            <w:tcW w:w="402" w:type="pct"/>
            <w:vMerge w:val="continue"/>
            <w:noWrap w:val="0"/>
            <w:vAlign w:val="center"/>
          </w:tcPr>
          <w:p>
            <w:pPr>
              <w:pStyle w:val="49"/>
              <w:jc w:val="center"/>
              <w:rPr>
                <w:rFonts w:hint="eastAsia" w:ascii="仿宋" w:hAnsi="仿宋" w:eastAsia="仿宋" w:cs="仿宋"/>
                <w:i w:val="0"/>
                <w:iCs w:val="0"/>
                <w:color w:val="auto"/>
                <w:sz w:val="24"/>
                <w:szCs w:val="24"/>
                <w:highlight w:val="none"/>
              </w:rPr>
            </w:pPr>
          </w:p>
        </w:tc>
        <w:tc>
          <w:tcPr>
            <w:tcW w:w="4297" w:type="pct"/>
            <w:noWrap w:val="0"/>
            <w:vAlign w:val="center"/>
          </w:tcPr>
          <w:p>
            <w:pPr>
              <w:pStyle w:val="41"/>
              <w:spacing w:line="288" w:lineRule="auto"/>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二、具有良好的商业信誉和健全的财务会计制度</w:t>
            </w:r>
          </w:p>
          <w:p>
            <w:pPr>
              <w:pStyle w:val="49"/>
              <w:jc w:val="left"/>
              <w:rPr>
                <w:rFonts w:hint="eastAsia" w:ascii="仿宋" w:hAnsi="仿宋" w:eastAsia="仿宋" w:cs="仿宋"/>
                <w:i w:val="0"/>
                <w:iCs w:val="0"/>
                <w:color w:val="auto"/>
                <w:sz w:val="24"/>
                <w:szCs w:val="24"/>
                <w:highlight w:val="none"/>
              </w:rPr>
            </w:pPr>
            <w:r>
              <w:rPr>
                <w:rFonts w:hint="eastAsia" w:ascii="仿宋" w:hAnsi="仿宋" w:eastAsia="仿宋" w:cs="仿宋"/>
                <w:color w:val="auto"/>
                <w:sz w:val="24"/>
                <w:szCs w:val="24"/>
                <w:highlight w:val="none"/>
                <w:lang w:val="en-US" w:eastAsia="zh-CN"/>
              </w:rPr>
              <w:t>投标人须提供经第三方审计的2021年度财务审计报告，如投标人无法提供经第三方审计的财务会计报告，则需提供投标人基本账户银行出具的资信证明（递交投标文件截止时间前六个月内任意一个月）的扫描件，银行出具的存款证明不能作为银行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300" w:type="pct"/>
            <w:vMerge w:val="continue"/>
            <w:noWrap w:val="0"/>
            <w:vAlign w:val="center"/>
          </w:tcPr>
          <w:p>
            <w:pPr>
              <w:pStyle w:val="49"/>
              <w:jc w:val="center"/>
              <w:rPr>
                <w:rFonts w:hint="eastAsia" w:ascii="仿宋" w:hAnsi="仿宋" w:eastAsia="仿宋" w:cs="仿宋"/>
                <w:i w:val="0"/>
                <w:iCs w:val="0"/>
                <w:color w:val="auto"/>
                <w:sz w:val="24"/>
                <w:szCs w:val="24"/>
                <w:highlight w:val="none"/>
              </w:rPr>
            </w:pPr>
          </w:p>
        </w:tc>
        <w:tc>
          <w:tcPr>
            <w:tcW w:w="402" w:type="pct"/>
            <w:vMerge w:val="continue"/>
            <w:noWrap w:val="0"/>
            <w:vAlign w:val="center"/>
          </w:tcPr>
          <w:p>
            <w:pPr>
              <w:pStyle w:val="49"/>
              <w:jc w:val="center"/>
              <w:rPr>
                <w:rFonts w:hint="eastAsia" w:ascii="仿宋" w:hAnsi="仿宋" w:eastAsia="仿宋" w:cs="仿宋"/>
                <w:i w:val="0"/>
                <w:iCs w:val="0"/>
                <w:color w:val="auto"/>
                <w:sz w:val="24"/>
                <w:szCs w:val="24"/>
                <w:highlight w:val="none"/>
              </w:rPr>
            </w:pPr>
          </w:p>
        </w:tc>
        <w:tc>
          <w:tcPr>
            <w:tcW w:w="4297" w:type="pct"/>
            <w:noWrap w:val="0"/>
            <w:vAlign w:val="center"/>
          </w:tcPr>
          <w:p>
            <w:pPr>
              <w:pStyle w:val="41"/>
              <w:spacing w:line="288" w:lineRule="auto"/>
              <w:jc w:val="both"/>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三、具有履行合同所必需的设备和专业技术能力</w:t>
            </w:r>
          </w:p>
          <w:p>
            <w:pPr>
              <w:pStyle w:val="49"/>
              <w:jc w:val="both"/>
              <w:rPr>
                <w:rFonts w:hint="eastAsia" w:ascii="仿宋" w:hAnsi="仿宋" w:eastAsia="仿宋" w:cs="仿宋"/>
                <w:i w:val="0"/>
                <w:iCs w:val="0"/>
                <w:color w:val="auto"/>
                <w:sz w:val="24"/>
                <w:szCs w:val="24"/>
                <w:highlight w:val="none"/>
              </w:rPr>
            </w:pPr>
            <w:r>
              <w:rPr>
                <w:rFonts w:hint="eastAsia" w:ascii="仿宋" w:hAnsi="仿宋" w:eastAsia="仿宋" w:cs="仿宋"/>
                <w:color w:val="auto"/>
                <w:sz w:val="24"/>
                <w:szCs w:val="24"/>
                <w:highlight w:val="none"/>
                <w:lang w:val="en-US" w:eastAsia="zh-CN"/>
              </w:rPr>
              <w:t>投标人须提供相关资料或书面声明（格式可自拟）。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300" w:type="pct"/>
            <w:vMerge w:val="continue"/>
            <w:noWrap w:val="0"/>
            <w:vAlign w:val="center"/>
          </w:tcPr>
          <w:p>
            <w:pPr>
              <w:pStyle w:val="49"/>
              <w:jc w:val="center"/>
              <w:rPr>
                <w:rFonts w:hint="eastAsia" w:ascii="仿宋" w:hAnsi="仿宋" w:eastAsia="仿宋" w:cs="仿宋"/>
                <w:i w:val="0"/>
                <w:iCs w:val="0"/>
                <w:color w:val="auto"/>
                <w:sz w:val="24"/>
                <w:szCs w:val="24"/>
                <w:highlight w:val="none"/>
              </w:rPr>
            </w:pPr>
          </w:p>
        </w:tc>
        <w:tc>
          <w:tcPr>
            <w:tcW w:w="402" w:type="pct"/>
            <w:vMerge w:val="continue"/>
            <w:noWrap w:val="0"/>
            <w:vAlign w:val="center"/>
          </w:tcPr>
          <w:p>
            <w:pPr>
              <w:pStyle w:val="49"/>
              <w:jc w:val="center"/>
              <w:rPr>
                <w:rFonts w:hint="eastAsia" w:ascii="仿宋" w:hAnsi="仿宋" w:eastAsia="仿宋" w:cs="仿宋"/>
                <w:i w:val="0"/>
                <w:iCs w:val="0"/>
                <w:color w:val="auto"/>
                <w:sz w:val="24"/>
                <w:szCs w:val="24"/>
                <w:highlight w:val="none"/>
              </w:rPr>
            </w:pPr>
          </w:p>
        </w:tc>
        <w:tc>
          <w:tcPr>
            <w:tcW w:w="4297" w:type="pct"/>
            <w:noWrap w:val="0"/>
            <w:vAlign w:val="center"/>
          </w:tcPr>
          <w:p>
            <w:pPr>
              <w:spacing w:line="360" w:lineRule="auto"/>
              <w:jc w:val="both"/>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四、有依法缴纳税收和社会保障资金的良好记录</w:t>
            </w:r>
          </w:p>
          <w:p>
            <w:pPr>
              <w:pStyle w:val="34"/>
              <w:spacing w:line="3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1.投</w:t>
            </w:r>
            <w:r>
              <w:rPr>
                <w:rFonts w:hint="eastAsia" w:ascii="仿宋" w:hAnsi="仿宋" w:eastAsia="仿宋" w:cs="仿宋"/>
                <w:b w:val="0"/>
                <w:bCs w:val="0"/>
                <w:color w:val="auto"/>
                <w:kern w:val="0"/>
                <w:sz w:val="24"/>
                <w:szCs w:val="24"/>
                <w:highlight w:val="none"/>
              </w:rPr>
              <w:t>标人依法缴纳税收的证明材料复印件加盖公章（提供投标截止日期之前</w:t>
            </w:r>
            <w:r>
              <w:rPr>
                <w:rFonts w:hint="eastAsia" w:ascii="仿宋" w:hAnsi="仿宋" w:eastAsia="仿宋" w:cs="仿宋"/>
                <w:b w:val="0"/>
                <w:bCs w:val="0"/>
                <w:color w:val="auto"/>
                <w:kern w:val="0"/>
                <w:sz w:val="24"/>
                <w:szCs w:val="24"/>
                <w:highlight w:val="none"/>
                <w:lang w:eastAsia="zh-CN"/>
              </w:rPr>
              <w:t>6个月的纳税记录</w:t>
            </w:r>
            <w:r>
              <w:rPr>
                <w:rFonts w:hint="eastAsia" w:ascii="仿宋" w:hAnsi="仿宋" w:eastAsia="仿宋" w:cs="仿宋"/>
                <w:b w:val="0"/>
                <w:bCs w:val="0"/>
                <w:color w:val="auto"/>
                <w:kern w:val="0"/>
                <w:sz w:val="24"/>
                <w:szCs w:val="24"/>
                <w:highlight w:val="none"/>
              </w:rPr>
              <w:t>或证明文件,</w:t>
            </w:r>
            <w:r>
              <w:rPr>
                <w:rFonts w:hint="eastAsia" w:ascii="仿宋" w:hAnsi="仿宋" w:eastAsia="仿宋" w:cs="仿宋"/>
                <w:b w:val="0"/>
                <w:bCs w:val="0"/>
                <w:color w:val="auto"/>
                <w:sz w:val="24"/>
                <w:szCs w:val="24"/>
                <w:highlight w:val="none"/>
              </w:rPr>
              <w:t>如依法免税或不需要缴纳</w:t>
            </w:r>
            <w:r>
              <w:rPr>
                <w:rFonts w:hint="eastAsia" w:ascii="仿宋" w:hAnsi="仿宋" w:eastAsia="仿宋" w:cs="仿宋"/>
                <w:b w:val="0"/>
                <w:bCs w:val="0"/>
                <w:color w:val="auto"/>
                <w:sz w:val="24"/>
                <w:szCs w:val="24"/>
                <w:highlight w:val="none"/>
                <w:lang w:val="en-US" w:eastAsia="zh-CN"/>
              </w:rPr>
              <w:t>税收</w:t>
            </w:r>
            <w:r>
              <w:rPr>
                <w:rFonts w:hint="eastAsia" w:ascii="仿宋" w:hAnsi="仿宋" w:eastAsia="仿宋" w:cs="仿宋"/>
                <w:b w:val="0"/>
                <w:bCs w:val="0"/>
                <w:color w:val="auto"/>
                <w:sz w:val="24"/>
                <w:szCs w:val="24"/>
                <w:highlight w:val="none"/>
              </w:rPr>
              <w:t>的,提供相应证明材料</w:t>
            </w:r>
            <w:r>
              <w:rPr>
                <w:rFonts w:hint="eastAsia" w:ascii="仿宋" w:hAnsi="仿宋" w:eastAsia="仿宋" w:cs="仿宋"/>
                <w:b w:val="0"/>
                <w:bCs w:val="0"/>
                <w:color w:val="auto"/>
                <w:kern w:val="0"/>
                <w:sz w:val="24"/>
                <w:szCs w:val="24"/>
                <w:highlight w:val="none"/>
              </w:rPr>
              <w:t>）；</w:t>
            </w:r>
          </w:p>
          <w:p>
            <w:pPr>
              <w:pStyle w:val="49"/>
              <w:jc w:val="left"/>
              <w:rPr>
                <w:rFonts w:hint="eastAsia" w:ascii="仿宋" w:hAnsi="仿宋" w:eastAsia="仿宋" w:cs="仿宋"/>
                <w:i w:val="0"/>
                <w:iCs w:val="0"/>
                <w:color w:val="auto"/>
                <w:sz w:val="24"/>
                <w:szCs w:val="24"/>
                <w:highlight w:val="none"/>
              </w:rPr>
            </w:pPr>
            <w:r>
              <w:rPr>
                <w:rFonts w:hint="eastAsia" w:ascii="仿宋" w:hAnsi="仿宋" w:eastAsia="仿宋" w:cs="仿宋"/>
                <w:b w:val="0"/>
                <w:bCs/>
                <w:color w:val="auto"/>
                <w:sz w:val="24"/>
                <w:highlight w:val="none"/>
                <w:lang w:val="en-US" w:eastAsia="zh-CN"/>
              </w:rPr>
              <w:t>2.投标人</w:t>
            </w:r>
            <w:r>
              <w:rPr>
                <w:rFonts w:hint="eastAsia" w:ascii="仿宋" w:hAnsi="仿宋" w:eastAsia="仿宋" w:cs="仿宋"/>
                <w:b w:val="0"/>
                <w:bCs/>
                <w:color w:val="auto"/>
                <w:sz w:val="24"/>
                <w:highlight w:val="none"/>
              </w:rPr>
              <w:t>依法缴纳社会保障资金的证明材料复印件加盖公章（提供投标截止日期之前</w:t>
            </w:r>
            <w:r>
              <w:rPr>
                <w:rFonts w:hint="eastAsia" w:ascii="仿宋" w:hAnsi="仿宋" w:eastAsia="仿宋" w:cs="仿宋"/>
                <w:b w:val="0"/>
                <w:bCs/>
                <w:color w:val="auto"/>
                <w:sz w:val="24"/>
                <w:highlight w:val="none"/>
                <w:lang w:eastAsia="zh-CN"/>
              </w:rPr>
              <w:t>6个月的缴费记录</w:t>
            </w:r>
            <w:r>
              <w:rPr>
                <w:rFonts w:hint="eastAsia" w:ascii="仿宋" w:hAnsi="仿宋" w:eastAsia="仿宋" w:cs="仿宋"/>
                <w:b w:val="0"/>
                <w:bCs/>
                <w:color w:val="auto"/>
                <w:sz w:val="24"/>
                <w:highlight w:val="none"/>
              </w:rPr>
              <w:t>或证明文件</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rPr>
              <w:t>如依法不需要缴纳社会保障资金的</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rPr>
              <w:t>提供相应证明材料）</w:t>
            </w:r>
            <w:r>
              <w:rPr>
                <w:rFonts w:hint="eastAsia" w:ascii="仿宋" w:hAnsi="仿宋" w:eastAsia="仿宋" w:cs="仿宋"/>
                <w:b w:val="0"/>
                <w:bCs/>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90" w:hRule="atLeast"/>
        </w:trPr>
        <w:tc>
          <w:tcPr>
            <w:tcW w:w="300" w:type="pct"/>
            <w:vMerge w:val="continue"/>
            <w:noWrap w:val="0"/>
            <w:vAlign w:val="center"/>
          </w:tcPr>
          <w:p>
            <w:pPr>
              <w:pStyle w:val="49"/>
              <w:jc w:val="center"/>
              <w:rPr>
                <w:rFonts w:hint="eastAsia" w:ascii="仿宋" w:hAnsi="仿宋" w:eastAsia="仿宋" w:cs="仿宋"/>
                <w:i w:val="0"/>
                <w:iCs w:val="0"/>
                <w:color w:val="auto"/>
                <w:sz w:val="24"/>
                <w:szCs w:val="24"/>
                <w:highlight w:val="none"/>
              </w:rPr>
            </w:pPr>
          </w:p>
        </w:tc>
        <w:tc>
          <w:tcPr>
            <w:tcW w:w="402" w:type="pct"/>
            <w:vMerge w:val="continue"/>
            <w:noWrap w:val="0"/>
            <w:vAlign w:val="center"/>
          </w:tcPr>
          <w:p>
            <w:pPr>
              <w:pStyle w:val="49"/>
              <w:jc w:val="center"/>
              <w:rPr>
                <w:rFonts w:hint="eastAsia" w:ascii="仿宋" w:hAnsi="仿宋" w:eastAsia="仿宋" w:cs="仿宋"/>
                <w:i w:val="0"/>
                <w:iCs w:val="0"/>
                <w:color w:val="auto"/>
                <w:sz w:val="24"/>
                <w:szCs w:val="24"/>
                <w:highlight w:val="none"/>
              </w:rPr>
            </w:pPr>
          </w:p>
        </w:tc>
        <w:tc>
          <w:tcPr>
            <w:tcW w:w="4297" w:type="pct"/>
            <w:noWrap w:val="0"/>
            <w:vAlign w:val="center"/>
          </w:tcPr>
          <w:p>
            <w:pPr>
              <w:pStyle w:val="41"/>
              <w:numPr>
                <w:ilvl w:val="0"/>
                <w:numId w:val="12"/>
              </w:numPr>
              <w:spacing w:line="288"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参加政府采购活动前三年内</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在经营活动中没有重大违法记录</w:t>
            </w:r>
          </w:p>
          <w:p>
            <w:pPr>
              <w:pStyle w:val="41"/>
              <w:numPr>
                <w:ilvl w:val="0"/>
                <w:numId w:val="13"/>
              </w:numPr>
              <w:spacing w:line="288"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投标人参加政府采购活动前3年内在经营活动中没有重大违法记录的书面声明（格式可自拟）；</w:t>
            </w:r>
          </w:p>
          <w:p>
            <w:pPr>
              <w:pStyle w:val="49"/>
              <w:jc w:val="left"/>
              <w:rPr>
                <w:rFonts w:hint="eastAsia" w:ascii="仿宋" w:hAnsi="仿宋" w:eastAsia="仿宋" w:cs="仿宋"/>
                <w:i w:val="0"/>
                <w:iCs w:val="0"/>
                <w:color w:val="auto"/>
                <w:sz w:val="24"/>
                <w:szCs w:val="24"/>
                <w:highlight w:val="none"/>
              </w:rPr>
            </w:pPr>
            <w:r>
              <w:rPr>
                <w:rFonts w:hint="eastAsia" w:ascii="仿宋" w:hAnsi="仿宋" w:eastAsia="仿宋" w:cs="仿宋"/>
                <w:color w:val="auto"/>
                <w:sz w:val="22"/>
                <w:szCs w:val="22"/>
                <w:highlight w:val="none"/>
                <w:lang w:val="en-US" w:eastAsia="zh-CN"/>
              </w:rPr>
              <w:t>2.投标人必须为前三年内2019年1月1日至投标截止时间(开标时间）未被列入“信用中国”网站（www.creditchina.gov.cn）、中国政府采购网（www.ccgp.gov.cn）信用记录失信被执行人、税收违法黑名单、政府采购严重违法失信行为记录名单的；（查询的结果以采购人或采购代理机构开标当日查询记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300" w:type="pct"/>
            <w:vMerge w:val="continue"/>
            <w:noWrap w:val="0"/>
            <w:vAlign w:val="center"/>
          </w:tcPr>
          <w:p>
            <w:pPr>
              <w:pStyle w:val="49"/>
              <w:jc w:val="center"/>
              <w:rPr>
                <w:rFonts w:hint="eastAsia" w:ascii="仿宋" w:hAnsi="仿宋" w:eastAsia="仿宋" w:cs="仿宋"/>
                <w:i w:val="0"/>
                <w:iCs w:val="0"/>
                <w:color w:val="auto"/>
                <w:sz w:val="24"/>
                <w:szCs w:val="24"/>
                <w:highlight w:val="none"/>
              </w:rPr>
            </w:pPr>
          </w:p>
        </w:tc>
        <w:tc>
          <w:tcPr>
            <w:tcW w:w="402" w:type="pct"/>
            <w:vMerge w:val="continue"/>
            <w:noWrap w:val="0"/>
            <w:vAlign w:val="center"/>
          </w:tcPr>
          <w:p>
            <w:pPr>
              <w:pStyle w:val="49"/>
              <w:jc w:val="center"/>
              <w:rPr>
                <w:rFonts w:hint="eastAsia" w:ascii="仿宋" w:hAnsi="仿宋" w:eastAsia="仿宋" w:cs="仿宋"/>
                <w:i w:val="0"/>
                <w:iCs w:val="0"/>
                <w:color w:val="auto"/>
                <w:sz w:val="24"/>
                <w:szCs w:val="24"/>
                <w:highlight w:val="none"/>
              </w:rPr>
            </w:pPr>
          </w:p>
        </w:tc>
        <w:tc>
          <w:tcPr>
            <w:tcW w:w="4297" w:type="pct"/>
            <w:noWrap w:val="0"/>
            <w:vAlign w:val="center"/>
          </w:tcPr>
          <w:p>
            <w:pPr>
              <w:pStyle w:val="41"/>
              <w:numPr>
                <w:ilvl w:val="0"/>
                <w:numId w:val="12"/>
              </w:numPr>
              <w:spacing w:line="288" w:lineRule="auto"/>
              <w:ind w:left="0" w:leftChars="0" w:firstLine="0" w:firstLineChars="0"/>
              <w:jc w:val="both"/>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具备法律、行政法规规定的其他条件的证明材料</w:t>
            </w:r>
          </w:p>
          <w:p>
            <w:pPr>
              <w:pStyle w:val="26"/>
              <w:widowControl/>
              <w:spacing w:line="288" w:lineRule="auto"/>
              <w:jc w:val="left"/>
              <w:rPr>
                <w:rFonts w:hint="eastAsia" w:ascii="仿宋" w:hAnsi="仿宋" w:eastAsia="仿宋" w:cs="仿宋"/>
                <w:b w:val="0"/>
                <w:bCs/>
                <w:i w:val="0"/>
                <w:iCs w:val="0"/>
                <w:color w:val="auto"/>
                <w:sz w:val="24"/>
                <w:szCs w:val="24"/>
                <w:highlight w:val="none"/>
                <w:lang w:eastAsia="zh-CN"/>
              </w:rPr>
            </w:pPr>
            <w:r>
              <w:rPr>
                <w:rFonts w:hint="eastAsia" w:ascii="仿宋" w:hAnsi="仿宋" w:eastAsia="仿宋" w:cs="仿宋"/>
                <w:color w:val="auto"/>
                <w:sz w:val="24"/>
                <w:szCs w:val="24"/>
                <w:highlight w:val="none"/>
                <w:lang w:val="en-US" w:eastAsia="zh-CN"/>
              </w:rPr>
              <w:t>1.本项目的特定资格要求：投标人应符合《医疗器械经营监督管理办法》、《医疗器械生产监督管理办法》的规定：（1）投标人为所投产品制造商的，投标产品属于一类医疗器械的须提供《第一类医疗器械生产备案凭证》，所投产品属于二类、三类医疗器械须提供《医疗器械生产许可证》；（2）投标人为所投产品的经销商或代理商且所投产品属于二类医疗器械须提供《医疗器械经营许可证》及《第二类医疗器械经营备案凭证》，所投产品属于三类医疗器械须提供《医疗器械经营许可证》及《医疗器械注册证》，同时还须提供所投产品制造商的《医疗器械生产许可证》。以上所有证件必须在有效期内，否则资格性审查不通过。</w:t>
            </w:r>
          </w:p>
          <w:p>
            <w:pPr>
              <w:pStyle w:val="49"/>
              <w:numPr>
                <w:ilvl w:val="0"/>
                <w:numId w:val="0"/>
              </w:numPr>
              <w:jc w:val="left"/>
              <w:rPr>
                <w:rFonts w:hint="eastAsia" w:ascii="仿宋" w:hAnsi="仿宋" w:eastAsia="仿宋" w:cs="仿宋"/>
                <w:b w:val="0"/>
                <w:bCs/>
                <w:i w:val="0"/>
                <w:iCs w:val="0"/>
                <w:color w:val="auto"/>
                <w:sz w:val="24"/>
                <w:szCs w:val="24"/>
                <w:highlight w:val="none"/>
              </w:rPr>
            </w:pPr>
            <w:r>
              <w:rPr>
                <w:rFonts w:hint="eastAsia" w:ascii="仿宋" w:hAnsi="仿宋" w:eastAsia="仿宋" w:cs="仿宋"/>
                <w:b w:val="0"/>
                <w:bCs/>
                <w:i w:val="0"/>
                <w:iCs w:val="0"/>
                <w:color w:val="auto"/>
                <w:sz w:val="24"/>
                <w:szCs w:val="24"/>
                <w:highlight w:val="none"/>
                <w:lang w:val="en-US" w:eastAsia="zh-CN"/>
              </w:rPr>
              <w:t>2.</w:t>
            </w:r>
            <w:r>
              <w:rPr>
                <w:rFonts w:hint="eastAsia" w:ascii="仿宋" w:hAnsi="仿宋" w:eastAsia="仿宋" w:cs="仿宋"/>
                <w:b w:val="0"/>
                <w:bCs/>
                <w:i w:val="0"/>
                <w:iCs w:val="0"/>
                <w:color w:val="auto"/>
                <w:sz w:val="24"/>
                <w:szCs w:val="24"/>
                <w:highlight w:val="none"/>
                <w:lang w:eastAsia="zh-CN"/>
              </w:rPr>
              <w:t>投标人</w:t>
            </w:r>
            <w:r>
              <w:rPr>
                <w:rFonts w:hint="eastAsia" w:ascii="仿宋" w:hAnsi="仿宋" w:eastAsia="仿宋" w:cs="仿宋"/>
                <w:b w:val="0"/>
                <w:bCs/>
                <w:i w:val="0"/>
                <w:iCs w:val="0"/>
                <w:color w:val="auto"/>
                <w:sz w:val="24"/>
                <w:szCs w:val="24"/>
                <w:highlight w:val="none"/>
              </w:rPr>
              <w:t>除《中华人民共和国政府采购法》第二十二条</w:t>
            </w:r>
            <w:r>
              <w:rPr>
                <w:rFonts w:hint="eastAsia" w:ascii="仿宋" w:hAnsi="仿宋" w:eastAsia="仿宋" w:cs="仿宋"/>
                <w:b w:val="0"/>
                <w:bCs/>
                <w:i w:val="0"/>
                <w:iCs w:val="0"/>
                <w:color w:val="auto"/>
                <w:sz w:val="24"/>
                <w:szCs w:val="24"/>
                <w:highlight w:val="none"/>
                <w:lang w:val="en-US" w:eastAsia="zh-CN"/>
              </w:rPr>
              <w:t>的</w:t>
            </w:r>
            <w:r>
              <w:rPr>
                <w:rFonts w:hint="eastAsia" w:ascii="仿宋" w:hAnsi="仿宋" w:eastAsia="仿宋" w:cs="仿宋"/>
                <w:b w:val="0"/>
                <w:bCs/>
                <w:i w:val="0"/>
                <w:iCs w:val="0"/>
                <w:color w:val="auto"/>
                <w:sz w:val="24"/>
                <w:szCs w:val="24"/>
                <w:highlight w:val="none"/>
              </w:rPr>
              <w:t>规定条件以外不满足政府采购类其他法律法规的情形。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300" w:type="pct"/>
            <w:vMerge w:val="continue"/>
            <w:noWrap w:val="0"/>
            <w:vAlign w:val="center"/>
          </w:tcPr>
          <w:p>
            <w:pPr>
              <w:pStyle w:val="49"/>
              <w:jc w:val="center"/>
              <w:rPr>
                <w:rFonts w:hint="eastAsia" w:ascii="仿宋" w:hAnsi="仿宋" w:eastAsia="仿宋" w:cs="仿宋"/>
                <w:i w:val="0"/>
                <w:iCs w:val="0"/>
                <w:color w:val="auto"/>
                <w:sz w:val="24"/>
                <w:szCs w:val="24"/>
                <w:highlight w:val="none"/>
              </w:rPr>
            </w:pPr>
          </w:p>
        </w:tc>
        <w:tc>
          <w:tcPr>
            <w:tcW w:w="402" w:type="pct"/>
            <w:vMerge w:val="restart"/>
            <w:noWrap w:val="0"/>
            <w:vAlign w:val="center"/>
          </w:tcPr>
          <w:p>
            <w:pPr>
              <w:pStyle w:val="49"/>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符合性检查</w:t>
            </w:r>
          </w:p>
        </w:tc>
        <w:tc>
          <w:tcPr>
            <w:tcW w:w="4297" w:type="pct"/>
            <w:noWrap w:val="0"/>
            <w:vAlign w:val="center"/>
          </w:tcPr>
          <w:p>
            <w:pPr>
              <w:pStyle w:val="3"/>
              <w:numPr>
                <w:ilvl w:val="0"/>
                <w:numId w:val="0"/>
              </w:numPr>
              <w:spacing w:before="0" w:after="0" w:line="240" w:lineRule="auto"/>
              <w:ind w:left="0" w:leftChars="0" w:firstLine="0" w:firstLineChars="0"/>
              <w:jc w:val="left"/>
              <w:rPr>
                <w:rFonts w:hint="eastAsia" w:ascii="仿宋" w:hAnsi="仿宋" w:eastAsia="仿宋" w:cs="仿宋"/>
                <w:color w:val="auto"/>
                <w:sz w:val="24"/>
                <w:szCs w:val="24"/>
                <w:highlight w:val="none"/>
              </w:rPr>
            </w:pPr>
            <w:bookmarkStart w:id="107" w:name="_Toc21713"/>
            <w:bookmarkStart w:id="108" w:name="_Toc18885"/>
            <w:bookmarkStart w:id="109" w:name="_Toc24694"/>
            <w:r>
              <w:rPr>
                <w:rFonts w:hint="eastAsia" w:ascii="仿宋" w:hAnsi="仿宋" w:eastAsia="仿宋" w:cs="仿宋"/>
                <w:b w:val="0"/>
                <w:bCs w:val="0"/>
                <w:color w:val="auto"/>
                <w:kern w:val="2"/>
                <w:sz w:val="24"/>
                <w:szCs w:val="24"/>
                <w:highlight w:val="none"/>
                <w:lang w:val="en-US" w:eastAsia="zh-CN" w:bidi="ar-SA"/>
              </w:rPr>
              <w:t>一、</w:t>
            </w:r>
            <w:r>
              <w:rPr>
                <w:rFonts w:hint="eastAsia" w:ascii="仿宋" w:hAnsi="仿宋" w:eastAsia="仿宋" w:cs="仿宋"/>
                <w:color w:val="auto"/>
                <w:sz w:val="24"/>
                <w:szCs w:val="24"/>
                <w:highlight w:val="none"/>
              </w:rPr>
              <w:t>电子投标文件签署</w:t>
            </w:r>
            <w:bookmarkEnd w:id="107"/>
            <w:bookmarkEnd w:id="108"/>
            <w:bookmarkEnd w:id="109"/>
          </w:p>
          <w:p>
            <w:pPr>
              <w:pStyle w:val="49"/>
              <w:jc w:val="left"/>
              <w:rPr>
                <w:rFonts w:hint="eastAsia" w:ascii="仿宋" w:hAnsi="仿宋" w:eastAsia="仿宋" w:cs="仿宋"/>
                <w:i w:val="0"/>
                <w:iCs w:val="0"/>
                <w:color w:val="auto"/>
                <w:sz w:val="24"/>
                <w:szCs w:val="24"/>
                <w:highlight w:val="none"/>
              </w:rPr>
            </w:pPr>
            <w:r>
              <w:rPr>
                <w:rFonts w:hint="eastAsia" w:ascii="仿宋" w:hAnsi="仿宋" w:eastAsia="仿宋" w:cs="仿宋"/>
                <w:b w:val="0"/>
                <w:bCs w:val="0"/>
                <w:color w:val="auto"/>
                <w:kern w:val="2"/>
                <w:sz w:val="24"/>
                <w:szCs w:val="24"/>
                <w:highlight w:val="none"/>
                <w:lang w:val="en-US" w:eastAsia="zh-CN" w:bidi="ar-SA"/>
              </w:rPr>
              <w:t>电子投标文件上公司签章、法定代表人或其授权代表人的签章是否符合招标文件要求。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300" w:type="pct"/>
            <w:vMerge w:val="continue"/>
            <w:noWrap w:val="0"/>
            <w:vAlign w:val="center"/>
          </w:tcPr>
          <w:p>
            <w:pPr>
              <w:pStyle w:val="49"/>
              <w:jc w:val="center"/>
              <w:rPr>
                <w:rFonts w:hint="eastAsia" w:ascii="仿宋" w:hAnsi="仿宋" w:eastAsia="仿宋" w:cs="仿宋"/>
                <w:i w:val="0"/>
                <w:iCs w:val="0"/>
                <w:color w:val="auto"/>
                <w:sz w:val="24"/>
                <w:szCs w:val="24"/>
                <w:highlight w:val="none"/>
              </w:rPr>
            </w:pPr>
          </w:p>
        </w:tc>
        <w:tc>
          <w:tcPr>
            <w:tcW w:w="402" w:type="pct"/>
            <w:vMerge w:val="continue"/>
            <w:noWrap w:val="0"/>
            <w:vAlign w:val="center"/>
          </w:tcPr>
          <w:p>
            <w:pPr>
              <w:pStyle w:val="49"/>
              <w:jc w:val="center"/>
              <w:rPr>
                <w:rFonts w:hint="eastAsia" w:ascii="仿宋" w:hAnsi="仿宋" w:eastAsia="仿宋" w:cs="仿宋"/>
                <w:i w:val="0"/>
                <w:iCs w:val="0"/>
                <w:color w:val="auto"/>
                <w:sz w:val="24"/>
                <w:szCs w:val="24"/>
                <w:highlight w:val="none"/>
              </w:rPr>
            </w:pPr>
          </w:p>
        </w:tc>
        <w:tc>
          <w:tcPr>
            <w:tcW w:w="4297" w:type="pct"/>
            <w:noWrap w:val="0"/>
            <w:vAlign w:val="center"/>
          </w:tcPr>
          <w:p>
            <w:pPr>
              <w:pStyle w:val="49"/>
              <w:jc w:val="left"/>
              <w:rPr>
                <w:rFonts w:hint="eastAsia" w:ascii="仿宋" w:hAnsi="仿宋" w:eastAsia="仿宋" w:cs="仿宋"/>
                <w:b/>
                <w:bCs/>
                <w:i w:val="0"/>
                <w:iCs w:val="0"/>
                <w:color w:val="auto"/>
                <w:sz w:val="24"/>
                <w:szCs w:val="24"/>
                <w:highlight w:val="none"/>
              </w:rPr>
            </w:pPr>
            <w:r>
              <w:rPr>
                <w:rFonts w:hint="eastAsia" w:ascii="仿宋" w:hAnsi="仿宋" w:eastAsia="仿宋" w:cs="仿宋"/>
                <w:b/>
                <w:bCs/>
                <w:i w:val="0"/>
                <w:iCs w:val="0"/>
                <w:color w:val="auto"/>
                <w:sz w:val="24"/>
                <w:szCs w:val="24"/>
                <w:highlight w:val="none"/>
                <w:lang w:val="en-US" w:eastAsia="zh-CN"/>
              </w:rPr>
              <w:t>二、投标</w:t>
            </w:r>
            <w:r>
              <w:rPr>
                <w:rFonts w:hint="eastAsia" w:ascii="仿宋" w:hAnsi="仿宋" w:eastAsia="仿宋" w:cs="仿宋"/>
                <w:b/>
                <w:bCs/>
                <w:i w:val="0"/>
                <w:iCs w:val="0"/>
                <w:color w:val="auto"/>
                <w:sz w:val="24"/>
                <w:szCs w:val="24"/>
                <w:highlight w:val="none"/>
              </w:rPr>
              <w:t>报价唯一性</w:t>
            </w:r>
          </w:p>
          <w:p>
            <w:pPr>
              <w:pStyle w:val="49"/>
              <w:jc w:val="left"/>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rPr>
              <w:t>具有唯一性</w:t>
            </w:r>
            <w:r>
              <w:rPr>
                <w:rFonts w:hint="eastAsia" w:ascii="仿宋" w:hAnsi="仿宋" w:eastAsia="仿宋" w:cs="仿宋"/>
                <w:i w:val="0"/>
                <w:iCs w:val="0"/>
                <w:color w:val="auto"/>
                <w:sz w:val="24"/>
                <w:szCs w:val="24"/>
                <w:highlight w:val="none"/>
                <w:lang w:eastAsia="zh-CN"/>
              </w:rPr>
              <w:t>,</w:t>
            </w:r>
            <w:r>
              <w:rPr>
                <w:rFonts w:hint="eastAsia" w:ascii="仿宋" w:hAnsi="仿宋" w:eastAsia="仿宋" w:cs="仿宋"/>
                <w:i w:val="0"/>
                <w:iCs w:val="0"/>
                <w:color w:val="auto"/>
                <w:sz w:val="24"/>
                <w:szCs w:val="24"/>
                <w:highlight w:val="none"/>
              </w:rPr>
              <w:t>报价未超过招标文件中规定的预算金额或者最高限价</w:t>
            </w:r>
            <w:r>
              <w:rPr>
                <w:rFonts w:hint="eastAsia" w:ascii="仿宋" w:hAnsi="仿宋" w:eastAsia="仿宋" w:cs="仿宋"/>
                <w:i w:val="0"/>
                <w:iCs w:val="0"/>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618" w:hRule="atLeast"/>
        </w:trPr>
        <w:tc>
          <w:tcPr>
            <w:tcW w:w="300" w:type="pct"/>
            <w:vMerge w:val="continue"/>
            <w:noWrap w:val="0"/>
            <w:vAlign w:val="center"/>
          </w:tcPr>
          <w:p>
            <w:pPr>
              <w:pStyle w:val="49"/>
              <w:jc w:val="center"/>
              <w:rPr>
                <w:rFonts w:hint="eastAsia" w:ascii="仿宋" w:hAnsi="仿宋" w:eastAsia="仿宋" w:cs="仿宋"/>
                <w:i w:val="0"/>
                <w:iCs w:val="0"/>
                <w:color w:val="auto"/>
                <w:sz w:val="24"/>
                <w:szCs w:val="24"/>
                <w:highlight w:val="none"/>
              </w:rPr>
            </w:pPr>
          </w:p>
        </w:tc>
        <w:tc>
          <w:tcPr>
            <w:tcW w:w="402" w:type="pct"/>
            <w:vMerge w:val="continue"/>
            <w:noWrap w:val="0"/>
            <w:vAlign w:val="center"/>
          </w:tcPr>
          <w:p>
            <w:pPr>
              <w:pStyle w:val="49"/>
              <w:jc w:val="center"/>
              <w:rPr>
                <w:rFonts w:hint="eastAsia" w:ascii="仿宋" w:hAnsi="仿宋" w:eastAsia="仿宋" w:cs="仿宋"/>
                <w:i w:val="0"/>
                <w:iCs w:val="0"/>
                <w:color w:val="auto"/>
                <w:sz w:val="24"/>
                <w:szCs w:val="24"/>
                <w:highlight w:val="none"/>
              </w:rPr>
            </w:pPr>
          </w:p>
        </w:tc>
        <w:tc>
          <w:tcPr>
            <w:tcW w:w="4297" w:type="pct"/>
            <w:noWrap w:val="0"/>
            <w:vAlign w:val="center"/>
          </w:tcPr>
          <w:p>
            <w:pPr>
              <w:numPr>
                <w:ilvl w:val="0"/>
                <w:numId w:val="0"/>
              </w:numPr>
              <w:ind w:left="0" w:leftChars="0" w:firstLine="0" w:firstLineChars="0"/>
              <w:jc w:val="left"/>
              <w:rPr>
                <w:rFonts w:hint="eastAsia" w:ascii="仿宋" w:hAnsi="仿宋" w:eastAsia="仿宋" w:cs="仿宋"/>
                <w:b/>
                <w:bCs/>
                <w:i w:val="0"/>
                <w:iCs w:val="0"/>
                <w:color w:val="auto"/>
                <w:kern w:val="0"/>
                <w:sz w:val="24"/>
                <w:szCs w:val="24"/>
                <w:highlight w:val="none"/>
                <w:lang w:val="en-US" w:eastAsia="zh-CN" w:bidi="ar-SA"/>
              </w:rPr>
            </w:pPr>
            <w:r>
              <w:rPr>
                <w:rFonts w:hint="eastAsia" w:ascii="仿宋" w:hAnsi="仿宋" w:eastAsia="仿宋" w:cs="仿宋"/>
                <w:b/>
                <w:bCs/>
                <w:i w:val="0"/>
                <w:iCs w:val="0"/>
                <w:color w:val="auto"/>
                <w:kern w:val="0"/>
                <w:sz w:val="24"/>
                <w:szCs w:val="24"/>
                <w:highlight w:val="none"/>
                <w:lang w:val="en-US" w:eastAsia="zh-CN" w:bidi="ar-SA"/>
              </w:rPr>
              <w:t>三、投标有效期</w:t>
            </w:r>
          </w:p>
          <w:p>
            <w:pPr>
              <w:pStyle w:val="49"/>
              <w:jc w:val="left"/>
              <w:rPr>
                <w:rFonts w:hint="eastAsia" w:ascii="仿宋" w:hAnsi="仿宋" w:eastAsia="仿宋" w:cs="仿宋"/>
                <w:i w:val="0"/>
                <w:iCs w:val="0"/>
                <w:color w:val="auto"/>
                <w:sz w:val="24"/>
                <w:szCs w:val="24"/>
                <w:highlight w:val="none"/>
              </w:rPr>
            </w:pPr>
            <w:r>
              <w:rPr>
                <w:rFonts w:hint="eastAsia" w:ascii="仿宋" w:hAnsi="仿宋" w:eastAsia="仿宋" w:cs="仿宋"/>
                <w:color w:val="auto"/>
                <w:kern w:val="2"/>
                <w:sz w:val="24"/>
                <w:szCs w:val="24"/>
                <w:highlight w:val="none"/>
                <w:lang w:val="en-US" w:eastAsia="zh-CN" w:bidi="ar-SA"/>
              </w:rPr>
              <w:t>自提交投标文件截止之日起90日历日。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146" w:hRule="atLeast"/>
        </w:trPr>
        <w:tc>
          <w:tcPr>
            <w:tcW w:w="300" w:type="pct"/>
            <w:vMerge w:val="continue"/>
            <w:noWrap w:val="0"/>
            <w:vAlign w:val="center"/>
          </w:tcPr>
          <w:p>
            <w:pPr>
              <w:pStyle w:val="49"/>
              <w:jc w:val="center"/>
              <w:rPr>
                <w:rFonts w:hint="eastAsia" w:ascii="仿宋" w:hAnsi="仿宋" w:eastAsia="仿宋" w:cs="仿宋"/>
                <w:i w:val="0"/>
                <w:iCs w:val="0"/>
                <w:color w:val="auto"/>
                <w:sz w:val="24"/>
                <w:szCs w:val="24"/>
                <w:highlight w:val="none"/>
              </w:rPr>
            </w:pPr>
          </w:p>
        </w:tc>
        <w:tc>
          <w:tcPr>
            <w:tcW w:w="402" w:type="pct"/>
            <w:vMerge w:val="continue"/>
            <w:noWrap w:val="0"/>
            <w:vAlign w:val="center"/>
          </w:tcPr>
          <w:p>
            <w:pPr>
              <w:pStyle w:val="49"/>
              <w:jc w:val="center"/>
              <w:rPr>
                <w:rFonts w:hint="eastAsia" w:ascii="仿宋" w:hAnsi="仿宋" w:eastAsia="仿宋" w:cs="仿宋"/>
                <w:i w:val="0"/>
                <w:iCs w:val="0"/>
                <w:color w:val="auto"/>
                <w:sz w:val="24"/>
                <w:szCs w:val="24"/>
                <w:highlight w:val="none"/>
              </w:rPr>
            </w:pPr>
          </w:p>
        </w:tc>
        <w:tc>
          <w:tcPr>
            <w:tcW w:w="4297" w:type="pct"/>
            <w:noWrap w:val="0"/>
            <w:vAlign w:val="center"/>
          </w:tcPr>
          <w:p>
            <w:pPr>
              <w:numPr>
                <w:ilvl w:val="0"/>
                <w:numId w:val="0"/>
              </w:numPr>
              <w:ind w:left="0" w:leftChars="0" w:firstLine="0" w:firstLineChars="0"/>
              <w:jc w:val="left"/>
              <w:rPr>
                <w:rFonts w:hint="eastAsia" w:ascii="仿宋" w:hAnsi="仿宋" w:eastAsia="仿宋" w:cs="仿宋"/>
                <w:b/>
                <w:bCs/>
                <w:i w:val="0"/>
                <w:iCs w:val="0"/>
                <w:color w:val="auto"/>
                <w:kern w:val="0"/>
                <w:sz w:val="24"/>
                <w:szCs w:val="24"/>
                <w:highlight w:val="none"/>
                <w:lang w:val="en-US" w:eastAsia="zh-CN" w:bidi="ar-SA"/>
              </w:rPr>
            </w:pPr>
            <w:r>
              <w:rPr>
                <w:rFonts w:hint="eastAsia" w:ascii="仿宋" w:hAnsi="仿宋" w:eastAsia="仿宋" w:cs="仿宋"/>
                <w:b/>
                <w:bCs/>
                <w:i w:val="0"/>
                <w:iCs w:val="0"/>
                <w:color w:val="auto"/>
                <w:kern w:val="0"/>
                <w:sz w:val="24"/>
                <w:szCs w:val="24"/>
                <w:highlight w:val="none"/>
                <w:lang w:val="en-US" w:eastAsia="zh-CN" w:bidi="ar-SA"/>
              </w:rPr>
              <w:t>四、投标保证金</w:t>
            </w:r>
          </w:p>
          <w:p>
            <w:pPr>
              <w:numPr>
                <w:ilvl w:val="0"/>
                <w:numId w:val="0"/>
              </w:numPr>
              <w:ind w:left="0" w:leftChars="0"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1.通过基本账户转出的保证金汇款凭证（备注项目名称或项目编号）；</w:t>
            </w:r>
          </w:p>
          <w:p>
            <w:pPr>
              <w:numPr>
                <w:ilvl w:val="0"/>
                <w:numId w:val="0"/>
              </w:numPr>
              <w:ind w:left="0" w:leftChars="0" w:firstLine="0" w:firstLineChars="0"/>
              <w:jc w:val="left"/>
              <w:rPr>
                <w:rFonts w:hint="eastAsia" w:ascii="仿宋" w:hAnsi="仿宋" w:eastAsia="仿宋" w:cs="仿宋"/>
                <w:b w:val="0"/>
                <w:bCs w:val="0"/>
                <w:i w:val="0"/>
                <w:iCs w:val="0"/>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2.投标人基本账户开户许可证或基本存款账户信息。如提供采用银行保函缴纳的，应出具保函的银行级别（应为国有商业银行或股份制商业银行的支行及其以上的银行）及保函的有效期。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146" w:hRule="atLeast"/>
        </w:trPr>
        <w:tc>
          <w:tcPr>
            <w:tcW w:w="300" w:type="pct"/>
            <w:vMerge w:val="continue"/>
            <w:noWrap w:val="0"/>
            <w:vAlign w:val="center"/>
          </w:tcPr>
          <w:p>
            <w:pPr>
              <w:pStyle w:val="49"/>
              <w:jc w:val="center"/>
              <w:rPr>
                <w:rFonts w:hint="eastAsia" w:ascii="仿宋" w:hAnsi="仿宋" w:eastAsia="仿宋" w:cs="仿宋"/>
                <w:i w:val="0"/>
                <w:iCs w:val="0"/>
                <w:color w:val="auto"/>
                <w:sz w:val="24"/>
                <w:szCs w:val="24"/>
                <w:highlight w:val="none"/>
              </w:rPr>
            </w:pPr>
          </w:p>
        </w:tc>
        <w:tc>
          <w:tcPr>
            <w:tcW w:w="402" w:type="pct"/>
            <w:vMerge w:val="continue"/>
            <w:noWrap w:val="0"/>
            <w:vAlign w:val="center"/>
          </w:tcPr>
          <w:p>
            <w:pPr>
              <w:pStyle w:val="49"/>
              <w:jc w:val="center"/>
              <w:rPr>
                <w:rFonts w:hint="eastAsia" w:ascii="仿宋" w:hAnsi="仿宋" w:eastAsia="仿宋" w:cs="仿宋"/>
                <w:i w:val="0"/>
                <w:iCs w:val="0"/>
                <w:color w:val="auto"/>
                <w:sz w:val="24"/>
                <w:szCs w:val="24"/>
                <w:highlight w:val="none"/>
              </w:rPr>
            </w:pPr>
          </w:p>
        </w:tc>
        <w:tc>
          <w:tcPr>
            <w:tcW w:w="4297" w:type="pct"/>
            <w:noWrap w:val="0"/>
            <w:vAlign w:val="center"/>
          </w:tcPr>
          <w:p>
            <w:pPr>
              <w:numPr>
                <w:ilvl w:val="0"/>
                <w:numId w:val="14"/>
              </w:numPr>
              <w:ind w:left="0" w:leftChars="0" w:firstLine="0" w:firstLineChars="0"/>
              <w:jc w:val="left"/>
              <w:rPr>
                <w:rFonts w:hint="eastAsia" w:ascii="仿宋" w:hAnsi="仿宋" w:eastAsia="仿宋" w:cs="仿宋"/>
                <w:b/>
                <w:bCs/>
                <w:i w:val="0"/>
                <w:iCs w:val="0"/>
                <w:color w:val="auto"/>
                <w:kern w:val="0"/>
                <w:sz w:val="24"/>
                <w:szCs w:val="24"/>
                <w:highlight w:val="none"/>
                <w:lang w:val="en-US" w:eastAsia="zh-CN" w:bidi="ar-SA"/>
              </w:rPr>
            </w:pPr>
            <w:r>
              <w:rPr>
                <w:rFonts w:hint="eastAsia" w:ascii="仿宋" w:hAnsi="仿宋" w:eastAsia="仿宋" w:cs="仿宋"/>
                <w:b/>
                <w:bCs/>
                <w:i w:val="0"/>
                <w:iCs w:val="0"/>
                <w:color w:val="auto"/>
                <w:kern w:val="0"/>
                <w:sz w:val="24"/>
                <w:szCs w:val="24"/>
                <w:highlight w:val="none"/>
                <w:lang w:val="en-US" w:eastAsia="zh-CN" w:bidi="ar-SA"/>
              </w:rPr>
              <w:t>实质性响应</w:t>
            </w:r>
          </w:p>
          <w:p>
            <w:pPr>
              <w:numPr>
                <w:ilvl w:val="0"/>
                <w:numId w:val="0"/>
              </w:numPr>
              <w:ind w:left="0" w:leftChars="0" w:firstLine="0" w:firstLineChars="0"/>
              <w:jc w:val="left"/>
              <w:rPr>
                <w:rFonts w:hint="eastAsia" w:ascii="仿宋" w:hAnsi="仿宋" w:eastAsia="仿宋" w:cs="仿宋"/>
                <w:i w:val="0"/>
                <w:iCs w:val="0"/>
                <w:color w:val="auto"/>
                <w:sz w:val="24"/>
                <w:szCs w:val="24"/>
                <w:highlight w:val="none"/>
              </w:rPr>
            </w:pPr>
            <w:r>
              <w:rPr>
                <w:rFonts w:hint="eastAsia" w:ascii="仿宋" w:hAnsi="仿宋" w:eastAsia="仿宋" w:cs="仿宋"/>
                <w:color w:val="auto"/>
                <w:sz w:val="24"/>
                <w:szCs w:val="24"/>
                <w:highlight w:val="none"/>
                <w:lang w:val="en-US" w:eastAsia="zh-CN"/>
              </w:rPr>
              <w:t>是否满足招标文件前附表或“第三部分 采购需求”中标“★”条款的实质性要求和条件。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944" w:hRule="atLeast"/>
        </w:trPr>
        <w:tc>
          <w:tcPr>
            <w:tcW w:w="300" w:type="pct"/>
            <w:vMerge w:val="continue"/>
            <w:noWrap w:val="0"/>
            <w:vAlign w:val="center"/>
          </w:tcPr>
          <w:p>
            <w:pPr>
              <w:pStyle w:val="49"/>
              <w:jc w:val="center"/>
              <w:rPr>
                <w:rFonts w:hint="eastAsia" w:ascii="仿宋" w:hAnsi="仿宋" w:eastAsia="仿宋" w:cs="仿宋"/>
                <w:i w:val="0"/>
                <w:iCs w:val="0"/>
                <w:color w:val="auto"/>
                <w:sz w:val="24"/>
                <w:szCs w:val="24"/>
                <w:highlight w:val="none"/>
              </w:rPr>
            </w:pPr>
          </w:p>
        </w:tc>
        <w:tc>
          <w:tcPr>
            <w:tcW w:w="402" w:type="pct"/>
            <w:vMerge w:val="continue"/>
            <w:noWrap w:val="0"/>
            <w:vAlign w:val="center"/>
          </w:tcPr>
          <w:p>
            <w:pPr>
              <w:pStyle w:val="49"/>
              <w:jc w:val="center"/>
              <w:rPr>
                <w:rFonts w:hint="eastAsia" w:ascii="仿宋" w:hAnsi="仿宋" w:eastAsia="仿宋" w:cs="仿宋"/>
                <w:i w:val="0"/>
                <w:iCs w:val="0"/>
                <w:color w:val="auto"/>
                <w:sz w:val="24"/>
                <w:szCs w:val="24"/>
                <w:highlight w:val="none"/>
              </w:rPr>
            </w:pPr>
          </w:p>
        </w:tc>
        <w:tc>
          <w:tcPr>
            <w:tcW w:w="4297" w:type="pct"/>
            <w:noWrap w:val="0"/>
            <w:vAlign w:val="center"/>
          </w:tcPr>
          <w:p>
            <w:pPr>
              <w:numPr>
                <w:ilvl w:val="0"/>
                <w:numId w:val="0"/>
              </w:numPr>
              <w:ind w:left="0" w:leftChars="0" w:firstLine="0" w:firstLineChars="0"/>
              <w:jc w:val="left"/>
              <w:rPr>
                <w:rFonts w:hint="eastAsia" w:ascii="仿宋" w:hAnsi="仿宋" w:eastAsia="仿宋" w:cs="仿宋"/>
                <w:b/>
                <w:bCs/>
                <w:i w:val="0"/>
                <w:iCs w:val="0"/>
                <w:color w:val="auto"/>
                <w:kern w:val="0"/>
                <w:sz w:val="24"/>
                <w:szCs w:val="24"/>
                <w:highlight w:val="none"/>
                <w:lang w:val="en-US" w:eastAsia="zh-CN" w:bidi="ar-SA"/>
              </w:rPr>
            </w:pPr>
            <w:r>
              <w:rPr>
                <w:rFonts w:hint="eastAsia" w:ascii="仿宋" w:hAnsi="仿宋" w:eastAsia="仿宋" w:cs="仿宋"/>
                <w:b/>
                <w:bCs/>
                <w:i w:val="0"/>
                <w:iCs w:val="0"/>
                <w:color w:val="auto"/>
                <w:kern w:val="0"/>
                <w:sz w:val="24"/>
                <w:szCs w:val="24"/>
                <w:highlight w:val="none"/>
                <w:lang w:val="en-US" w:eastAsia="zh-CN" w:bidi="ar-SA"/>
              </w:rPr>
              <w:t>六、其它</w:t>
            </w:r>
          </w:p>
          <w:p>
            <w:pPr>
              <w:numPr>
                <w:ilvl w:val="0"/>
                <w:numId w:val="0"/>
              </w:numPr>
              <w:ind w:left="0" w:leftChars="0" w:firstLine="0" w:firstLineChars="0"/>
              <w:jc w:val="left"/>
              <w:rPr>
                <w:rFonts w:hint="eastAsia" w:ascii="仿宋" w:hAnsi="仿宋" w:eastAsia="仿宋" w:cs="仿宋"/>
                <w:b w:val="0"/>
                <w:bCs w:val="0"/>
                <w:i w:val="0"/>
                <w:iCs w:val="0"/>
                <w:color w:val="auto"/>
                <w:kern w:val="0"/>
                <w:sz w:val="24"/>
                <w:szCs w:val="24"/>
                <w:highlight w:val="none"/>
                <w:lang w:val="en-US" w:eastAsia="zh-CN" w:bidi="ar-SA"/>
              </w:rPr>
            </w:pPr>
            <w:r>
              <w:rPr>
                <w:rFonts w:hint="eastAsia" w:ascii="仿宋" w:hAnsi="仿宋" w:eastAsia="仿宋" w:cs="仿宋"/>
                <w:b w:val="0"/>
                <w:bCs w:val="0"/>
                <w:i w:val="0"/>
                <w:iCs w:val="0"/>
                <w:color w:val="auto"/>
                <w:kern w:val="0"/>
                <w:sz w:val="24"/>
                <w:szCs w:val="24"/>
                <w:highlight w:val="none"/>
                <w:lang w:val="en-US" w:eastAsia="zh-CN" w:bidi="ar-SA"/>
              </w:rPr>
              <w:t>1.投标文件是否含有采购人不能接受的附加条件；</w:t>
            </w:r>
          </w:p>
          <w:p>
            <w:pPr>
              <w:numPr>
                <w:ilvl w:val="0"/>
                <w:numId w:val="0"/>
              </w:numPr>
              <w:ind w:left="0" w:leftChars="0" w:firstLine="0" w:firstLineChars="0"/>
              <w:jc w:val="left"/>
              <w:rPr>
                <w:rFonts w:hint="eastAsia" w:ascii="仿宋" w:hAnsi="仿宋" w:eastAsia="仿宋" w:cs="仿宋"/>
                <w:b w:val="0"/>
                <w:bCs w:val="0"/>
                <w:i w:val="0"/>
                <w:iCs w:val="0"/>
                <w:color w:val="auto"/>
                <w:kern w:val="0"/>
                <w:sz w:val="24"/>
                <w:szCs w:val="24"/>
                <w:highlight w:val="none"/>
                <w:lang w:val="en-US" w:eastAsia="zh-CN" w:bidi="ar-SA"/>
              </w:rPr>
            </w:pPr>
            <w:r>
              <w:rPr>
                <w:rFonts w:hint="eastAsia" w:ascii="仿宋" w:hAnsi="仿宋" w:eastAsia="仿宋" w:cs="仿宋"/>
                <w:b w:val="0"/>
                <w:bCs w:val="0"/>
                <w:i w:val="0"/>
                <w:iCs w:val="0"/>
                <w:color w:val="auto"/>
                <w:kern w:val="0"/>
                <w:sz w:val="24"/>
                <w:szCs w:val="24"/>
                <w:highlight w:val="none"/>
                <w:lang w:val="en-US" w:eastAsia="zh-CN" w:bidi="ar-SA"/>
              </w:rPr>
              <w:t>2.是否违反国家法律、法规和招标文件规定的其他无效情形；</w:t>
            </w:r>
          </w:p>
          <w:p>
            <w:pPr>
              <w:numPr>
                <w:ilvl w:val="0"/>
                <w:numId w:val="0"/>
              </w:numPr>
              <w:ind w:leftChars="0"/>
              <w:jc w:val="left"/>
              <w:rPr>
                <w:rFonts w:hint="default" w:ascii="仿宋" w:hAnsi="仿宋" w:eastAsia="仿宋" w:cs="仿宋"/>
                <w:b w:val="0"/>
                <w:bCs w:val="0"/>
                <w:i w:val="0"/>
                <w:iCs w:val="0"/>
                <w:color w:val="auto"/>
                <w:kern w:val="0"/>
                <w:sz w:val="24"/>
                <w:szCs w:val="24"/>
                <w:highlight w:val="none"/>
                <w:lang w:val="en-US" w:eastAsia="zh-CN" w:bidi="ar-SA"/>
              </w:rPr>
            </w:pPr>
            <w:r>
              <w:rPr>
                <w:rFonts w:hint="eastAsia" w:ascii="仿宋" w:hAnsi="仿宋" w:eastAsia="仿宋" w:cs="仿宋"/>
                <w:b w:val="0"/>
                <w:bCs w:val="0"/>
                <w:i w:val="0"/>
                <w:iCs w:val="0"/>
                <w:color w:val="auto"/>
                <w:kern w:val="0"/>
                <w:sz w:val="24"/>
                <w:szCs w:val="24"/>
                <w:highlight w:val="none"/>
                <w:lang w:val="en-US" w:eastAsia="zh-CN" w:bidi="ar-SA"/>
              </w:rPr>
              <w:t>3.未与其他投标人串通投标,或者与采购人串通投标。</w:t>
            </w:r>
          </w:p>
        </w:tc>
      </w:tr>
    </w:tbl>
    <w:tbl>
      <w:tblPr>
        <w:tblStyle w:val="19"/>
        <w:tblpPr w:leftFromText="180" w:rightFromText="180" w:vertAnchor="text" w:horzAnchor="page" w:tblpX="1287" w:tblpY="1"/>
        <w:tblOverlap w:val="never"/>
        <w:tblW w:w="56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
      <w:tblGrid>
        <w:gridCol w:w="569"/>
        <w:gridCol w:w="764"/>
        <w:gridCol w:w="1218"/>
        <w:gridCol w:w="6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702" w:type="pct"/>
            <w:gridSpan w:val="2"/>
            <w:noWrap w:val="0"/>
            <w:vAlign w:val="center"/>
          </w:tcPr>
          <w:p>
            <w:pPr>
              <w:pStyle w:val="45"/>
              <w:spacing w:before="74" w:line="240" w:lineRule="auto"/>
              <w:jc w:val="center"/>
              <w:rPr>
                <w:rFonts w:hint="eastAsia" w:ascii="仿宋" w:hAnsi="仿宋" w:eastAsia="仿宋" w:cs="仿宋"/>
                <w:i w:val="0"/>
                <w:iCs w:val="0"/>
                <w:color w:val="auto"/>
                <w:sz w:val="24"/>
                <w:szCs w:val="24"/>
                <w:highlight w:val="none"/>
              </w:rPr>
            </w:pPr>
            <w:r>
              <w:rPr>
                <w:rFonts w:hint="eastAsia" w:ascii="仿宋" w:hAnsi="仿宋" w:eastAsia="仿宋" w:cs="仿宋"/>
                <w:b/>
                <w:i w:val="0"/>
                <w:iCs w:val="0"/>
                <w:color w:val="auto"/>
                <w:sz w:val="24"/>
                <w:szCs w:val="24"/>
                <w:highlight w:val="none"/>
                <w:lang w:eastAsia="en-US"/>
              </w:rPr>
              <w:t>评分因素</w:t>
            </w:r>
          </w:p>
        </w:tc>
        <w:tc>
          <w:tcPr>
            <w:tcW w:w="642" w:type="pct"/>
            <w:noWrap w:val="0"/>
            <w:vAlign w:val="center"/>
          </w:tcPr>
          <w:p>
            <w:pPr>
              <w:pStyle w:val="45"/>
              <w:spacing w:before="74" w:line="240" w:lineRule="auto"/>
              <w:jc w:val="center"/>
              <w:rPr>
                <w:rFonts w:hint="eastAsia" w:ascii="仿宋" w:hAnsi="仿宋" w:eastAsia="仿宋" w:cs="仿宋"/>
                <w:i w:val="0"/>
                <w:iCs w:val="0"/>
                <w:color w:val="auto"/>
                <w:sz w:val="24"/>
                <w:szCs w:val="24"/>
                <w:highlight w:val="none"/>
              </w:rPr>
            </w:pPr>
            <w:r>
              <w:rPr>
                <w:rFonts w:hint="eastAsia" w:ascii="仿宋" w:hAnsi="仿宋" w:eastAsia="仿宋" w:cs="仿宋"/>
                <w:b/>
                <w:i w:val="0"/>
                <w:iCs w:val="0"/>
                <w:color w:val="auto"/>
                <w:sz w:val="24"/>
                <w:szCs w:val="24"/>
                <w:highlight w:val="none"/>
                <w:lang w:eastAsia="en-US"/>
              </w:rPr>
              <w:t>评分点</w:t>
            </w:r>
          </w:p>
        </w:tc>
        <w:tc>
          <w:tcPr>
            <w:tcW w:w="3654" w:type="pct"/>
            <w:noWrap w:val="0"/>
            <w:vAlign w:val="center"/>
          </w:tcPr>
          <w:p>
            <w:pPr>
              <w:spacing w:line="240" w:lineRule="auto"/>
              <w:jc w:val="center"/>
              <w:rPr>
                <w:rFonts w:hint="eastAsia" w:ascii="仿宋" w:hAnsi="仿宋" w:eastAsia="仿宋"/>
                <w:color w:val="auto"/>
                <w:kern w:val="2"/>
                <w:sz w:val="24"/>
                <w:szCs w:val="24"/>
                <w:highlight w:val="none"/>
                <w:lang w:val="en-US" w:eastAsia="en-US" w:bidi="ar-SA"/>
              </w:rPr>
            </w:pPr>
            <w:r>
              <w:rPr>
                <w:rFonts w:hint="eastAsia" w:ascii="仿宋" w:hAnsi="仿宋" w:eastAsia="仿宋" w:cs="仿宋"/>
                <w:b/>
                <w:i w:val="0"/>
                <w:iCs w:val="0"/>
                <w:color w:val="auto"/>
                <w:sz w:val="24"/>
                <w:szCs w:val="24"/>
                <w:highlight w:val="none"/>
                <w:lang w:eastAsia="en-US"/>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300" w:type="pct"/>
            <w:vMerge w:val="restart"/>
            <w:noWrap w:val="0"/>
            <w:vAlign w:val="center"/>
          </w:tcPr>
          <w:p>
            <w:pPr>
              <w:pStyle w:val="45"/>
              <w:spacing w:line="240" w:lineRule="auto"/>
              <w:jc w:val="center"/>
              <w:rPr>
                <w:rFonts w:hint="eastAsia" w:ascii="仿宋" w:hAnsi="仿宋" w:eastAsia="仿宋" w:cs="仿宋"/>
                <w:i w:val="0"/>
                <w:iCs w:val="0"/>
                <w:color w:val="auto"/>
                <w:sz w:val="24"/>
                <w:szCs w:val="24"/>
                <w:highlight w:val="none"/>
                <w:lang w:eastAsia="en-US"/>
              </w:rPr>
            </w:pPr>
          </w:p>
          <w:p>
            <w:pPr>
              <w:pStyle w:val="45"/>
              <w:spacing w:line="240" w:lineRule="auto"/>
              <w:jc w:val="center"/>
              <w:rPr>
                <w:rFonts w:hint="eastAsia" w:ascii="仿宋" w:hAnsi="仿宋" w:eastAsia="仿宋" w:cs="仿宋"/>
                <w:i w:val="0"/>
                <w:iCs w:val="0"/>
                <w:color w:val="auto"/>
                <w:sz w:val="24"/>
                <w:szCs w:val="24"/>
                <w:highlight w:val="none"/>
                <w:lang w:eastAsia="en-US"/>
              </w:rPr>
            </w:pPr>
          </w:p>
          <w:p>
            <w:pPr>
              <w:pStyle w:val="45"/>
              <w:spacing w:line="240" w:lineRule="auto"/>
              <w:jc w:val="center"/>
              <w:rPr>
                <w:rFonts w:hint="eastAsia" w:ascii="仿宋" w:hAnsi="仿宋" w:eastAsia="仿宋" w:cs="仿宋"/>
                <w:i w:val="0"/>
                <w:iCs w:val="0"/>
                <w:color w:val="auto"/>
                <w:sz w:val="24"/>
                <w:szCs w:val="24"/>
                <w:highlight w:val="none"/>
                <w:lang w:eastAsia="en-US"/>
              </w:rPr>
            </w:pPr>
          </w:p>
          <w:p>
            <w:pPr>
              <w:pStyle w:val="45"/>
              <w:spacing w:line="240" w:lineRule="auto"/>
              <w:jc w:val="center"/>
              <w:rPr>
                <w:rFonts w:hint="eastAsia" w:ascii="仿宋" w:hAnsi="仿宋" w:eastAsia="仿宋" w:cs="仿宋"/>
                <w:i w:val="0"/>
                <w:iCs w:val="0"/>
                <w:color w:val="auto"/>
                <w:sz w:val="24"/>
                <w:szCs w:val="24"/>
                <w:highlight w:val="none"/>
                <w:lang w:eastAsia="en-US"/>
              </w:rPr>
            </w:pPr>
          </w:p>
          <w:p>
            <w:pPr>
              <w:pStyle w:val="45"/>
              <w:spacing w:line="240" w:lineRule="auto"/>
              <w:jc w:val="center"/>
              <w:rPr>
                <w:rFonts w:hint="eastAsia" w:ascii="仿宋" w:hAnsi="仿宋" w:eastAsia="仿宋" w:cs="仿宋"/>
                <w:i w:val="0"/>
                <w:iCs w:val="0"/>
                <w:color w:val="auto"/>
                <w:sz w:val="24"/>
                <w:szCs w:val="24"/>
                <w:highlight w:val="none"/>
                <w:lang w:eastAsia="en-US"/>
              </w:rPr>
            </w:pPr>
          </w:p>
          <w:p>
            <w:pPr>
              <w:pStyle w:val="45"/>
              <w:spacing w:line="240" w:lineRule="auto"/>
              <w:jc w:val="center"/>
              <w:rPr>
                <w:rFonts w:hint="eastAsia" w:ascii="仿宋" w:hAnsi="仿宋" w:eastAsia="仿宋" w:cs="仿宋"/>
                <w:i w:val="0"/>
                <w:iCs w:val="0"/>
                <w:color w:val="auto"/>
                <w:sz w:val="24"/>
                <w:szCs w:val="24"/>
                <w:highlight w:val="none"/>
                <w:lang w:eastAsia="en-US"/>
              </w:rPr>
            </w:pPr>
          </w:p>
          <w:p>
            <w:pPr>
              <w:pStyle w:val="45"/>
              <w:spacing w:line="240" w:lineRule="auto"/>
              <w:jc w:val="center"/>
              <w:rPr>
                <w:rFonts w:hint="eastAsia" w:ascii="仿宋" w:hAnsi="仿宋" w:eastAsia="仿宋" w:cs="仿宋"/>
                <w:i w:val="0"/>
                <w:iCs w:val="0"/>
                <w:color w:val="auto"/>
                <w:sz w:val="24"/>
                <w:szCs w:val="24"/>
                <w:highlight w:val="none"/>
                <w:lang w:eastAsia="en-US"/>
              </w:rPr>
            </w:pPr>
          </w:p>
          <w:p>
            <w:pPr>
              <w:pStyle w:val="45"/>
              <w:spacing w:line="240" w:lineRule="auto"/>
              <w:jc w:val="center"/>
              <w:rPr>
                <w:rFonts w:hint="eastAsia" w:ascii="仿宋" w:hAnsi="仿宋" w:eastAsia="仿宋" w:cs="仿宋"/>
                <w:i w:val="0"/>
                <w:iCs w:val="0"/>
                <w:color w:val="auto"/>
                <w:sz w:val="24"/>
                <w:szCs w:val="24"/>
                <w:highlight w:val="none"/>
                <w:lang w:eastAsia="en-US"/>
              </w:rPr>
            </w:pPr>
          </w:p>
          <w:p>
            <w:pPr>
              <w:pStyle w:val="45"/>
              <w:spacing w:line="240" w:lineRule="auto"/>
              <w:jc w:val="center"/>
              <w:rPr>
                <w:rFonts w:hint="eastAsia" w:ascii="仿宋" w:hAnsi="仿宋" w:eastAsia="仿宋" w:cs="仿宋"/>
                <w:i w:val="0"/>
                <w:iCs w:val="0"/>
                <w:color w:val="auto"/>
                <w:sz w:val="24"/>
                <w:szCs w:val="24"/>
                <w:highlight w:val="none"/>
                <w:lang w:eastAsia="en-US"/>
              </w:rPr>
            </w:pPr>
          </w:p>
          <w:p>
            <w:pPr>
              <w:pStyle w:val="45"/>
              <w:spacing w:line="240" w:lineRule="auto"/>
              <w:jc w:val="center"/>
              <w:rPr>
                <w:rFonts w:hint="eastAsia" w:ascii="仿宋" w:hAnsi="仿宋" w:eastAsia="仿宋" w:cs="仿宋"/>
                <w:i w:val="0"/>
                <w:iCs w:val="0"/>
                <w:color w:val="auto"/>
                <w:sz w:val="24"/>
                <w:szCs w:val="24"/>
                <w:highlight w:val="none"/>
                <w:lang w:eastAsia="en-US"/>
              </w:rPr>
            </w:pPr>
          </w:p>
          <w:p>
            <w:pPr>
              <w:pStyle w:val="45"/>
              <w:spacing w:line="240" w:lineRule="auto"/>
              <w:jc w:val="center"/>
              <w:rPr>
                <w:rFonts w:hint="eastAsia" w:ascii="仿宋" w:hAnsi="仿宋" w:eastAsia="仿宋" w:cs="仿宋"/>
                <w:i w:val="0"/>
                <w:iCs w:val="0"/>
                <w:color w:val="auto"/>
                <w:sz w:val="24"/>
                <w:szCs w:val="24"/>
                <w:highlight w:val="none"/>
                <w:lang w:eastAsia="en-US"/>
              </w:rPr>
            </w:pPr>
          </w:p>
          <w:p>
            <w:pPr>
              <w:pStyle w:val="45"/>
              <w:spacing w:line="240" w:lineRule="auto"/>
              <w:jc w:val="center"/>
              <w:rPr>
                <w:rFonts w:hint="eastAsia" w:ascii="仿宋" w:hAnsi="仿宋" w:eastAsia="仿宋" w:cs="仿宋"/>
                <w:i w:val="0"/>
                <w:iCs w:val="0"/>
                <w:color w:val="auto"/>
                <w:sz w:val="24"/>
                <w:szCs w:val="24"/>
                <w:highlight w:val="none"/>
                <w:lang w:eastAsia="en-US"/>
              </w:rPr>
            </w:pPr>
          </w:p>
          <w:p>
            <w:pPr>
              <w:pStyle w:val="45"/>
              <w:spacing w:line="240" w:lineRule="auto"/>
              <w:jc w:val="center"/>
              <w:rPr>
                <w:rFonts w:hint="eastAsia" w:ascii="仿宋" w:hAnsi="仿宋" w:eastAsia="仿宋" w:cs="仿宋"/>
                <w:i w:val="0"/>
                <w:iCs w:val="0"/>
                <w:color w:val="auto"/>
                <w:sz w:val="24"/>
                <w:szCs w:val="24"/>
                <w:highlight w:val="none"/>
                <w:lang w:eastAsia="en-US"/>
              </w:rPr>
            </w:pPr>
          </w:p>
          <w:p>
            <w:pPr>
              <w:pStyle w:val="45"/>
              <w:spacing w:line="240" w:lineRule="auto"/>
              <w:jc w:val="center"/>
              <w:rPr>
                <w:rFonts w:hint="eastAsia" w:ascii="仿宋" w:hAnsi="仿宋" w:eastAsia="仿宋" w:cs="仿宋"/>
                <w:i w:val="0"/>
                <w:iCs w:val="0"/>
                <w:color w:val="auto"/>
                <w:sz w:val="24"/>
                <w:szCs w:val="24"/>
                <w:highlight w:val="none"/>
                <w:lang w:eastAsia="en-US"/>
              </w:rPr>
            </w:pPr>
          </w:p>
          <w:p>
            <w:pPr>
              <w:pStyle w:val="45"/>
              <w:spacing w:line="240" w:lineRule="auto"/>
              <w:jc w:val="center"/>
              <w:rPr>
                <w:rFonts w:hint="eastAsia" w:ascii="仿宋" w:hAnsi="仿宋" w:eastAsia="仿宋" w:cs="仿宋"/>
                <w:i w:val="0"/>
                <w:iCs w:val="0"/>
                <w:color w:val="auto"/>
                <w:sz w:val="24"/>
                <w:szCs w:val="24"/>
                <w:highlight w:val="none"/>
                <w:lang w:eastAsia="en-US"/>
              </w:rPr>
            </w:pPr>
          </w:p>
          <w:p>
            <w:pPr>
              <w:pStyle w:val="45"/>
              <w:spacing w:before="7" w:line="240" w:lineRule="auto"/>
              <w:jc w:val="center"/>
              <w:rPr>
                <w:rFonts w:hint="eastAsia" w:ascii="仿宋" w:hAnsi="仿宋" w:eastAsia="仿宋" w:cs="仿宋"/>
                <w:i w:val="0"/>
                <w:iCs w:val="0"/>
                <w:color w:val="auto"/>
                <w:sz w:val="24"/>
                <w:szCs w:val="24"/>
                <w:highlight w:val="none"/>
                <w:lang w:eastAsia="en-US"/>
              </w:rPr>
            </w:pPr>
          </w:p>
          <w:p>
            <w:pPr>
              <w:pStyle w:val="45"/>
              <w:spacing w:line="240" w:lineRule="auto"/>
              <w:ind w:left="150" w:right="134"/>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eastAsia="en-US"/>
              </w:rPr>
              <w:t>详细评审</w:t>
            </w:r>
          </w:p>
        </w:tc>
        <w:tc>
          <w:tcPr>
            <w:tcW w:w="402" w:type="pct"/>
            <w:vMerge w:val="restart"/>
            <w:noWrap w:val="0"/>
            <w:vAlign w:val="center"/>
          </w:tcPr>
          <w:p>
            <w:pPr>
              <w:pStyle w:val="45"/>
              <w:spacing w:line="240" w:lineRule="auto"/>
              <w:jc w:val="center"/>
              <w:rPr>
                <w:rFonts w:hint="eastAsia" w:ascii="仿宋" w:hAnsi="仿宋" w:eastAsia="仿宋" w:cs="仿宋"/>
                <w:i w:val="0"/>
                <w:iCs w:val="0"/>
                <w:color w:val="auto"/>
                <w:sz w:val="24"/>
                <w:szCs w:val="24"/>
                <w:highlight w:val="none"/>
                <w:lang w:eastAsia="en-US"/>
              </w:rPr>
            </w:pPr>
            <w:r>
              <w:rPr>
                <w:rFonts w:hint="eastAsia" w:ascii="仿宋" w:hAnsi="仿宋" w:eastAsia="仿宋" w:cs="仿宋"/>
                <w:i w:val="0"/>
                <w:iCs w:val="0"/>
                <w:color w:val="auto"/>
                <w:sz w:val="24"/>
                <w:szCs w:val="24"/>
                <w:highlight w:val="none"/>
                <w:lang w:eastAsia="en-US"/>
              </w:rPr>
              <w:t>价格评审</w:t>
            </w:r>
          </w:p>
          <w:p>
            <w:pPr>
              <w:pStyle w:val="45"/>
              <w:spacing w:line="240" w:lineRule="auto"/>
              <w:jc w:val="center"/>
              <w:rPr>
                <w:rFonts w:hint="eastAsia" w:ascii="仿宋" w:hAnsi="仿宋" w:eastAsia="仿宋" w:cs="仿宋"/>
                <w:i w:val="0"/>
                <w:iCs w:val="0"/>
                <w:color w:val="auto"/>
                <w:kern w:val="0"/>
                <w:sz w:val="24"/>
                <w:szCs w:val="24"/>
                <w:highlight w:val="none"/>
                <w:lang w:val="zh-CN" w:eastAsia="en-US" w:bidi="zh-CN"/>
              </w:rPr>
            </w:pPr>
            <w:r>
              <w:rPr>
                <w:rFonts w:hint="eastAsia" w:ascii="仿宋" w:hAnsi="仿宋" w:eastAsia="仿宋" w:cs="仿宋"/>
                <w:i w:val="0"/>
                <w:iCs w:val="0"/>
                <w:color w:val="auto"/>
                <w:sz w:val="24"/>
                <w:szCs w:val="24"/>
                <w:highlight w:val="none"/>
                <w:lang w:eastAsia="en-US"/>
              </w:rPr>
              <w:t>（</w:t>
            </w:r>
            <w:r>
              <w:rPr>
                <w:rFonts w:hint="eastAsia" w:ascii="仿宋" w:hAnsi="仿宋" w:eastAsia="仿宋" w:cs="仿宋"/>
                <w:i w:val="0"/>
                <w:iCs w:val="0"/>
                <w:color w:val="auto"/>
                <w:sz w:val="24"/>
                <w:szCs w:val="24"/>
                <w:highlight w:val="none"/>
                <w:lang w:val="en-US" w:eastAsia="zh-CN"/>
              </w:rPr>
              <w:t>30</w:t>
            </w:r>
            <w:r>
              <w:rPr>
                <w:rFonts w:hint="eastAsia" w:ascii="仿宋" w:hAnsi="仿宋" w:eastAsia="仿宋" w:cs="仿宋"/>
                <w:i w:val="0"/>
                <w:iCs w:val="0"/>
                <w:color w:val="auto"/>
                <w:sz w:val="24"/>
                <w:szCs w:val="24"/>
                <w:highlight w:val="none"/>
                <w:lang w:eastAsia="en-US"/>
              </w:rPr>
              <w:t>分）</w:t>
            </w:r>
          </w:p>
        </w:tc>
        <w:tc>
          <w:tcPr>
            <w:tcW w:w="642" w:type="pct"/>
            <w:vMerge w:val="restart"/>
            <w:noWrap w:val="0"/>
            <w:vAlign w:val="center"/>
          </w:tcPr>
          <w:p>
            <w:pPr>
              <w:spacing w:line="240" w:lineRule="auto"/>
              <w:jc w:val="center"/>
              <w:rPr>
                <w:rFonts w:hint="eastAsia" w:ascii="仿宋" w:hAnsi="仿宋" w:eastAsia="仿宋" w:cs="仿宋"/>
                <w:i w:val="0"/>
                <w:iCs w:val="0"/>
                <w:color w:val="auto"/>
                <w:kern w:val="2"/>
                <w:sz w:val="24"/>
                <w:szCs w:val="24"/>
                <w:highlight w:val="none"/>
                <w:lang w:val="en-US" w:eastAsia="en-US" w:bidi="ar-SA"/>
              </w:rPr>
            </w:pPr>
            <w:r>
              <w:rPr>
                <w:rFonts w:hint="eastAsia" w:ascii="仿宋" w:hAnsi="仿宋" w:eastAsia="仿宋" w:cs="仿宋"/>
                <w:color w:val="auto"/>
                <w:sz w:val="24"/>
                <w:szCs w:val="24"/>
                <w:highlight w:val="none"/>
              </w:rPr>
              <w:t>投标报价</w:t>
            </w:r>
          </w:p>
        </w:tc>
        <w:tc>
          <w:tcPr>
            <w:tcW w:w="3654" w:type="pct"/>
            <w:noWrap w:val="0"/>
            <w:vAlign w:val="center"/>
          </w:tcPr>
          <w:p>
            <w:pPr>
              <w:keepNext w:val="0"/>
              <w:keepLines w:val="0"/>
              <w:widowControl/>
              <w:suppressLineNumbers w:val="0"/>
              <w:jc w:val="left"/>
              <w:rPr>
                <w:rFonts w:hint="eastAsia" w:ascii="仿宋" w:hAnsi="仿宋" w:eastAsia="仿宋" w:cs="仿宋"/>
                <w:b w:val="0"/>
                <w:bCs w:val="0"/>
                <w:i w:val="0"/>
                <w:iCs w:val="0"/>
                <w:kern w:val="0"/>
                <w:sz w:val="24"/>
                <w:szCs w:val="24"/>
                <w:highlight w:val="none"/>
                <w:lang w:val="en-US" w:eastAsia="zh-CN" w:bidi="ar-SA"/>
              </w:rPr>
            </w:pPr>
            <w:r>
              <w:rPr>
                <w:rFonts w:hint="eastAsia" w:ascii="仿宋" w:hAnsi="仿宋" w:eastAsia="仿宋" w:cs="仿宋"/>
                <w:b w:val="0"/>
                <w:bCs w:val="0"/>
                <w:i w:val="0"/>
                <w:iCs w:val="0"/>
                <w:kern w:val="0"/>
                <w:sz w:val="24"/>
                <w:szCs w:val="24"/>
                <w:highlight w:val="none"/>
                <w:lang w:val="en-US" w:eastAsia="zh-CN" w:bidi="ar-SA"/>
              </w:rPr>
              <w:t>评标基准价=有效投标报价的最低值,有效投标报价等于基准值的得满分,投标报价得分=（评标基准价/投标报价）×30。</w:t>
            </w:r>
          </w:p>
          <w:p>
            <w:pPr>
              <w:keepNext w:val="0"/>
              <w:keepLines w:val="0"/>
              <w:widowControl/>
              <w:suppressLineNumbers w:val="0"/>
              <w:jc w:val="left"/>
              <w:rPr>
                <w:rFonts w:hint="eastAsia" w:ascii="仿宋" w:hAnsi="仿宋" w:eastAsia="仿宋" w:cs="仿宋"/>
                <w:sz w:val="24"/>
                <w:szCs w:val="24"/>
                <w:lang w:val="en-US" w:eastAsia="zh-CN"/>
              </w:rPr>
            </w:pPr>
            <w:r>
              <w:rPr>
                <w:rFonts w:hint="eastAsia" w:ascii="仿宋" w:hAnsi="仿宋" w:eastAsia="仿宋" w:cs="仿宋"/>
                <w:b w:val="0"/>
                <w:bCs w:val="0"/>
                <w:i w:val="0"/>
                <w:iCs w:val="0"/>
                <w:kern w:val="0"/>
                <w:sz w:val="24"/>
                <w:szCs w:val="24"/>
                <w:highlight w:val="none"/>
                <w:lang w:val="en-US" w:eastAsia="zh-CN" w:bidi="ar-SA"/>
              </w:rPr>
              <w:t>注：有效投标报价为通过初步审查的投标人的有效报价。</w:t>
            </w:r>
            <w:r>
              <w:rPr>
                <w:rFonts w:hint="eastAsia" w:ascii="仿宋" w:hAnsi="仿宋" w:eastAsia="仿宋" w:cs="仿宋"/>
                <w:sz w:val="24"/>
                <w:szCs w:val="24"/>
                <w:lang w:val="en-US" w:eastAsia="zh-CN"/>
              </w:rPr>
              <w:t>投标人报价依据政府采购政策进行扣除，用扣除后的价格作为评审报价（如投标人为非小微企业的，投标报价即为评审报价）</w:t>
            </w:r>
          </w:p>
          <w:p>
            <w:pPr>
              <w:numPr>
                <w:ilvl w:val="0"/>
                <w:numId w:val="0"/>
              </w:numPr>
              <w:ind w:left="0" w:leftChars="0" w:firstLine="0" w:firstLineChars="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依据财政部《关于印发《政府采购促进中小企业发展管理办法》 的通知》（财库〔2020〕46号）、关于进一步加大政府采购支持中小企业力度的通知（财库〔2022〕19号）规定。本项目对小型和微型企业产品的价格给予</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b/>
                <w:bCs/>
                <w:sz w:val="24"/>
                <w:szCs w:val="24"/>
                <w:highlight w:val="none"/>
                <w:u w:val="single"/>
                <w:lang w:val="en-US" w:eastAsia="zh-CN"/>
              </w:rPr>
              <w:t xml:space="preserve">15% </w:t>
            </w:r>
            <w:r>
              <w:rPr>
                <w:rFonts w:hint="eastAsia" w:ascii="仿宋" w:hAnsi="仿宋" w:eastAsia="仿宋" w:cs="仿宋"/>
                <w:sz w:val="24"/>
                <w:szCs w:val="24"/>
                <w:highlight w:val="none"/>
                <w:lang w:val="en-US" w:eastAsia="zh-CN"/>
              </w:rPr>
              <w:t>的评审扣除优惠，用扣除后的价格参与评审，参加本次采购活动的中小企业应当提供本办法规定的《中小企业声明函》。</w:t>
            </w:r>
          </w:p>
          <w:p>
            <w:pPr>
              <w:pStyle w:val="79"/>
              <w:numPr>
                <w:ilvl w:val="0"/>
                <w:numId w:val="0"/>
              </w:numPr>
              <w:spacing w:line="24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在本采购项目中，货物由中小企业制造，即货物由中小企业生产且使用该中小企业商号或者注册商标。投标人提供的货物既有中小企业制造货物，也有大型企业制造货物的，不享受本办法规定的中小企业扶持政策。</w:t>
            </w:r>
          </w:p>
          <w:p>
            <w:pPr>
              <w:pStyle w:val="79"/>
              <w:numPr>
                <w:ilvl w:val="0"/>
                <w:numId w:val="0"/>
              </w:numPr>
              <w:rPr>
                <w:rFonts w:hint="eastAsia" w:ascii="仿宋" w:hAnsi="仿宋" w:eastAsia="仿宋" w:cs="仿宋"/>
                <w:b/>
                <w:bCs/>
                <w:color w:val="auto"/>
                <w:kern w:val="0"/>
                <w:sz w:val="24"/>
                <w:szCs w:val="24"/>
                <w:highlight w:val="none"/>
                <w:u w:val="single"/>
                <w:lang w:val="en-US" w:eastAsia="zh-CN" w:bidi="ar-SA"/>
              </w:rPr>
            </w:pPr>
            <w:r>
              <w:rPr>
                <w:rFonts w:hint="eastAsia" w:ascii="仿宋" w:hAnsi="仿宋" w:eastAsia="仿宋" w:cs="仿宋"/>
                <w:b/>
                <w:bCs/>
                <w:sz w:val="24"/>
                <w:szCs w:val="24"/>
                <w:highlight w:val="none"/>
                <w:lang w:eastAsia="zh-CN"/>
              </w:rPr>
              <w:t>本项目采购所属行业：</w:t>
            </w:r>
            <w:r>
              <w:rPr>
                <w:rFonts w:hint="default" w:ascii="仿宋" w:hAnsi="仿宋" w:eastAsia="仿宋" w:cs="仿宋"/>
                <w:b/>
                <w:bCs/>
                <w:kern w:val="0"/>
                <w:sz w:val="24"/>
                <w:szCs w:val="24"/>
                <w:highlight w:val="none"/>
                <w:lang w:val="en-US" w:eastAsia="zh-CN" w:bidi="ar-SA"/>
              </w:rPr>
              <w:t>工业【专用设备制造业-医疗仪器设备及器械制造】</w:t>
            </w:r>
          </w:p>
          <w:p>
            <w:pPr>
              <w:ind w:firstLine="480" w:firstLineChars="200"/>
              <w:jc w:val="left"/>
              <w:rPr>
                <w:rFonts w:hint="default"/>
                <w:color w:val="auto"/>
                <w:sz w:val="24"/>
                <w:szCs w:val="24"/>
                <w:highlight w:val="none"/>
                <w:lang w:val="en-US" w:eastAsia="zh-CN"/>
              </w:rPr>
            </w:pPr>
            <w:r>
              <w:rPr>
                <w:rFonts w:hint="eastAsia" w:ascii="仿宋" w:hAnsi="仿宋" w:eastAsia="仿宋" w:cs="仿宋"/>
                <w:sz w:val="24"/>
                <w:szCs w:val="24"/>
                <w:highlight w:val="none"/>
                <w:lang w:eastAsia="zh-CN"/>
              </w:rPr>
              <w:t>认定标准：</w:t>
            </w:r>
            <w:r>
              <w:rPr>
                <w:rFonts w:hint="eastAsia" w:ascii="仿宋" w:hAnsi="仿宋" w:eastAsia="仿宋" w:cs="仿宋"/>
                <w:sz w:val="24"/>
                <w:szCs w:val="24"/>
                <w:highlight w:val="none"/>
              </w:rPr>
              <w:t>从业人员1000人以下或营业收入40000万元以下的为中小微型企业。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369" w:hRule="atLeast"/>
        </w:trPr>
        <w:tc>
          <w:tcPr>
            <w:tcW w:w="300" w:type="pct"/>
            <w:vMerge w:val="continue"/>
            <w:noWrap w:val="0"/>
            <w:vAlign w:val="center"/>
          </w:tcPr>
          <w:p>
            <w:pPr>
              <w:pStyle w:val="45"/>
              <w:spacing w:line="240" w:lineRule="auto"/>
              <w:ind w:left="150" w:right="134"/>
              <w:jc w:val="center"/>
              <w:rPr>
                <w:rFonts w:hint="eastAsia" w:ascii="仿宋" w:hAnsi="仿宋" w:eastAsia="仿宋" w:cs="仿宋"/>
                <w:i w:val="0"/>
                <w:iCs w:val="0"/>
                <w:color w:val="auto"/>
                <w:sz w:val="24"/>
                <w:szCs w:val="24"/>
                <w:highlight w:val="none"/>
              </w:rPr>
            </w:pPr>
          </w:p>
        </w:tc>
        <w:tc>
          <w:tcPr>
            <w:tcW w:w="402" w:type="pct"/>
            <w:vMerge w:val="continue"/>
            <w:noWrap w:val="0"/>
            <w:vAlign w:val="center"/>
          </w:tcPr>
          <w:p>
            <w:pPr>
              <w:pStyle w:val="45"/>
              <w:spacing w:line="240" w:lineRule="auto"/>
              <w:jc w:val="center"/>
              <w:rPr>
                <w:rFonts w:hint="eastAsia" w:ascii="仿宋" w:hAnsi="仿宋" w:eastAsia="仿宋" w:cs="仿宋"/>
                <w:i w:val="0"/>
                <w:iCs w:val="0"/>
                <w:color w:val="auto"/>
                <w:sz w:val="24"/>
                <w:szCs w:val="24"/>
                <w:highlight w:val="none"/>
              </w:rPr>
            </w:pPr>
          </w:p>
        </w:tc>
        <w:tc>
          <w:tcPr>
            <w:tcW w:w="642" w:type="pct"/>
            <w:vMerge w:val="continue"/>
            <w:noWrap w:val="0"/>
            <w:vAlign w:val="center"/>
          </w:tcPr>
          <w:p>
            <w:pPr>
              <w:spacing w:line="240" w:lineRule="auto"/>
              <w:jc w:val="center"/>
              <w:rPr>
                <w:rFonts w:hint="eastAsia" w:ascii="仿宋" w:hAnsi="仿宋" w:eastAsia="仿宋" w:cs="仿宋"/>
                <w:i w:val="0"/>
                <w:iCs w:val="0"/>
                <w:color w:val="auto"/>
                <w:sz w:val="24"/>
                <w:szCs w:val="24"/>
                <w:highlight w:val="none"/>
              </w:rPr>
            </w:pPr>
          </w:p>
        </w:tc>
        <w:tc>
          <w:tcPr>
            <w:tcW w:w="3654" w:type="pct"/>
            <w:noWrap w:val="0"/>
            <w:vAlign w:val="center"/>
          </w:tcPr>
          <w:p>
            <w:pPr>
              <w:widowControl/>
              <w:spacing w:line="240" w:lineRule="auto"/>
              <w:ind w:firstLine="240" w:firstLineChars="1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1.依据财政部第87号令第六十条规定</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评标委员会认为投标人的报价明显低于其他通过符合性审查投标人的报价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有可能影响</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质量或者不能诚信履约的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必须在评标现场合理的时间内提供成本构成说明、相关证明材料原件、保证按招标文件项目需求提供承诺书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否则按无效投标处理。</w:t>
            </w:r>
          </w:p>
          <w:p>
            <w:pPr>
              <w:widowControl/>
              <w:spacing w:line="240" w:lineRule="auto"/>
              <w:ind w:firstLine="240" w:firstLineChars="100"/>
              <w:jc w:val="left"/>
              <w:rPr>
                <w:rFonts w:hint="default"/>
                <w:color w:val="auto"/>
                <w:sz w:val="24"/>
                <w:szCs w:val="24"/>
                <w:highlight w:val="none"/>
                <w:lang w:val="en-US" w:eastAsia="zh-CN"/>
              </w:rPr>
            </w:pPr>
            <w:r>
              <w:rPr>
                <w:rFonts w:hint="eastAsia" w:ascii="仿宋" w:hAnsi="仿宋" w:eastAsia="仿宋" w:cs="仿宋"/>
                <w:color w:val="auto"/>
                <w:sz w:val="24"/>
                <w:szCs w:val="24"/>
                <w:highlight w:val="none"/>
                <w:lang w:eastAsia="zh-CN"/>
              </w:rPr>
              <w:t>2.投标报价高于采购预算价的视为无效</w:t>
            </w:r>
            <w:r>
              <w:rPr>
                <w:rFonts w:hint="eastAsia" w:ascii="仿宋" w:hAnsi="仿宋" w:eastAsia="仿宋" w:cs="仿宋"/>
                <w:color w:val="auto"/>
                <w:sz w:val="24"/>
                <w:szCs w:val="24"/>
                <w:highlight w:val="none"/>
                <w:lang w:val="en-US" w:eastAsia="zh-CN"/>
              </w:rPr>
              <w:t>投</w:t>
            </w:r>
            <w:r>
              <w:rPr>
                <w:rFonts w:hint="eastAsia" w:ascii="仿宋" w:hAnsi="仿宋" w:eastAsia="仿宋" w:cs="仿宋"/>
                <w:color w:val="auto"/>
                <w:sz w:val="24"/>
                <w:szCs w:val="24"/>
                <w:highlight w:val="none"/>
                <w:lang w:eastAsia="zh-CN"/>
              </w:rPr>
              <w:t>标。</w:t>
            </w:r>
          </w:p>
        </w:tc>
      </w:tr>
    </w:tbl>
    <w:p/>
    <w:tbl>
      <w:tblPr>
        <w:tblStyle w:val="19"/>
        <w:tblpPr w:leftFromText="180" w:rightFromText="180" w:vertAnchor="text" w:horzAnchor="page" w:tblpX="1287" w:tblpY="1"/>
        <w:tblOverlap w:val="never"/>
        <w:tblW w:w="56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
      <w:tblGrid>
        <w:gridCol w:w="569"/>
        <w:gridCol w:w="764"/>
        <w:gridCol w:w="1218"/>
        <w:gridCol w:w="6021"/>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583" w:hRule="atLeast"/>
        </w:trPr>
        <w:tc>
          <w:tcPr>
            <w:tcW w:w="300" w:type="pct"/>
            <w:vMerge w:val="restart"/>
            <w:noWrap w:val="0"/>
            <w:vAlign w:val="center"/>
          </w:tcPr>
          <w:p>
            <w:pPr>
              <w:autoSpaceDE w:val="0"/>
              <w:autoSpaceDN w:val="0"/>
              <w:spacing w:line="240" w:lineRule="auto"/>
              <w:jc w:val="center"/>
              <w:rPr>
                <w:rFonts w:hint="eastAsia" w:ascii="仿宋" w:hAnsi="仿宋" w:eastAsia="仿宋" w:cs="仿宋"/>
                <w:i w:val="0"/>
                <w:iCs w:val="0"/>
                <w:color w:val="auto"/>
                <w:sz w:val="24"/>
                <w:szCs w:val="24"/>
                <w:highlight w:val="none"/>
              </w:rPr>
            </w:pPr>
          </w:p>
        </w:tc>
        <w:tc>
          <w:tcPr>
            <w:tcW w:w="402" w:type="pct"/>
            <w:vMerge w:val="restart"/>
            <w:noWrap w:val="0"/>
            <w:vAlign w:val="center"/>
          </w:tcPr>
          <w:p>
            <w:pPr>
              <w:pStyle w:val="45"/>
              <w:spacing w:line="240" w:lineRule="auto"/>
              <w:jc w:val="center"/>
              <w:rPr>
                <w:rFonts w:hint="eastAsia" w:ascii="仿宋" w:hAnsi="仿宋" w:eastAsia="仿宋" w:cs="仿宋"/>
                <w:i w:val="0"/>
                <w:iCs w:val="0"/>
                <w:color w:val="auto"/>
                <w:sz w:val="24"/>
                <w:szCs w:val="24"/>
                <w:highlight w:val="none"/>
                <w:lang w:eastAsia="en-US"/>
              </w:rPr>
            </w:pPr>
            <w:r>
              <w:rPr>
                <w:rFonts w:hint="eastAsia" w:ascii="仿宋" w:hAnsi="仿宋" w:eastAsia="仿宋" w:cs="仿宋"/>
                <w:i w:val="0"/>
                <w:iCs w:val="0"/>
                <w:color w:val="auto"/>
                <w:sz w:val="24"/>
                <w:szCs w:val="24"/>
                <w:highlight w:val="none"/>
                <w:lang w:eastAsia="en-US"/>
              </w:rPr>
              <w:t>商务标</w:t>
            </w:r>
            <w:r>
              <w:rPr>
                <w:rFonts w:hint="eastAsia" w:ascii="仿宋" w:hAnsi="仿宋" w:eastAsia="仿宋" w:cs="仿宋"/>
                <w:i w:val="0"/>
                <w:iCs w:val="0"/>
                <w:color w:val="auto"/>
                <w:sz w:val="24"/>
                <w:szCs w:val="24"/>
                <w:highlight w:val="none"/>
                <w:lang w:val="en-US"/>
              </w:rPr>
              <w:t>评</w:t>
            </w:r>
            <w:r>
              <w:rPr>
                <w:rFonts w:hint="eastAsia" w:ascii="仿宋" w:hAnsi="仿宋" w:eastAsia="仿宋" w:cs="仿宋"/>
                <w:i w:val="0"/>
                <w:iCs w:val="0"/>
                <w:color w:val="auto"/>
                <w:sz w:val="24"/>
                <w:szCs w:val="24"/>
                <w:highlight w:val="none"/>
                <w:lang w:eastAsia="en-US"/>
              </w:rPr>
              <w:t>审</w:t>
            </w:r>
          </w:p>
          <w:p>
            <w:pPr>
              <w:pStyle w:val="45"/>
              <w:spacing w:line="240" w:lineRule="auto"/>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eastAsia="en-US"/>
              </w:rPr>
              <w:t>（</w:t>
            </w:r>
            <w:r>
              <w:rPr>
                <w:rFonts w:hint="eastAsia" w:ascii="仿宋" w:hAnsi="仿宋" w:eastAsia="仿宋" w:cs="仿宋"/>
                <w:i w:val="0"/>
                <w:iCs w:val="0"/>
                <w:color w:val="auto"/>
                <w:sz w:val="24"/>
                <w:szCs w:val="24"/>
                <w:highlight w:val="none"/>
                <w:lang w:val="en-US" w:eastAsia="zh-CN"/>
              </w:rPr>
              <w:t>20</w:t>
            </w:r>
            <w:r>
              <w:rPr>
                <w:rFonts w:hint="eastAsia" w:ascii="仿宋" w:hAnsi="仿宋" w:eastAsia="仿宋" w:cs="仿宋"/>
                <w:i w:val="0"/>
                <w:iCs w:val="0"/>
                <w:color w:val="auto"/>
                <w:spacing w:val="-30"/>
                <w:sz w:val="24"/>
                <w:szCs w:val="24"/>
                <w:highlight w:val="none"/>
                <w:lang w:eastAsia="en-US"/>
              </w:rPr>
              <w:t>分</w:t>
            </w:r>
            <w:r>
              <w:rPr>
                <w:rFonts w:hint="eastAsia" w:ascii="仿宋" w:hAnsi="仿宋" w:eastAsia="仿宋" w:cs="仿宋"/>
                <w:i w:val="0"/>
                <w:iCs w:val="0"/>
                <w:color w:val="auto"/>
                <w:sz w:val="24"/>
                <w:szCs w:val="24"/>
                <w:highlight w:val="none"/>
                <w:lang w:eastAsia="en-US"/>
              </w:rPr>
              <w:t>）</w:t>
            </w:r>
          </w:p>
        </w:tc>
        <w:tc>
          <w:tcPr>
            <w:tcW w:w="642" w:type="pct"/>
            <w:noWrap w:val="0"/>
            <w:vAlign w:val="center"/>
          </w:tcPr>
          <w:p>
            <w:pPr>
              <w:pStyle w:val="50"/>
              <w:keepNext w:val="0"/>
              <w:keepLines w:val="0"/>
              <w:pageBreakBefore w:val="0"/>
              <w:kinsoku/>
              <w:wordWrap/>
              <w:overflowPunct/>
              <w:topLinePunct w:val="0"/>
              <w:bidi w:val="0"/>
              <w:spacing w:afterAutospacing="0" w:line="240" w:lineRule="auto"/>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类似项目业绩</w:t>
            </w:r>
          </w:p>
          <w:p>
            <w:pPr>
              <w:pStyle w:val="50"/>
              <w:keepNext w:val="0"/>
              <w:keepLines w:val="0"/>
              <w:pageBreakBefore w:val="0"/>
              <w:kinsoku/>
              <w:wordWrap/>
              <w:overflowPunct/>
              <w:topLinePunct w:val="0"/>
              <w:bidi w:val="0"/>
              <w:spacing w:afterAutospacing="0" w:line="240" w:lineRule="auto"/>
              <w:ind w:left="0" w:leftChars="0"/>
              <w:jc w:val="center"/>
              <w:textAlignment w:val="auto"/>
              <w:rPr>
                <w:rFonts w:hint="eastAsia" w:ascii="仿宋" w:hAnsi="仿宋" w:eastAsia="仿宋" w:cs="仿宋"/>
                <w:color w:val="auto"/>
                <w:kern w:val="2"/>
                <w:sz w:val="24"/>
                <w:szCs w:val="24"/>
                <w:highlight w:val="none"/>
                <w:lang w:val="en-US" w:eastAsia="zh-CN" w:bidi="ar-SA"/>
              </w:rPr>
            </w:pPr>
          </w:p>
        </w:tc>
        <w:tc>
          <w:tcPr>
            <w:tcW w:w="3174" w:type="pct"/>
            <w:noWrap w:val="0"/>
            <w:vAlign w:val="center"/>
          </w:tcPr>
          <w:p>
            <w:pPr>
              <w:pStyle w:val="50"/>
              <w:keepNext w:val="0"/>
              <w:keepLines w:val="0"/>
              <w:pageBreakBefore w:val="0"/>
              <w:kinsoku/>
              <w:wordWrap/>
              <w:overflowPunct/>
              <w:topLinePunct w:val="0"/>
              <w:bidi w:val="0"/>
              <w:spacing w:afterAutospacing="0" w:line="240" w:lineRule="auto"/>
              <w:ind w:left="0" w:left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每提供1项</w:t>
            </w:r>
            <w:r>
              <w:rPr>
                <w:rFonts w:hint="eastAsia" w:ascii="仿宋" w:hAnsi="仿宋" w:eastAsia="仿宋" w:cs="仿宋"/>
                <w:color w:val="auto"/>
                <w:sz w:val="24"/>
                <w:szCs w:val="24"/>
                <w:highlight w:val="none"/>
                <w:lang w:val="en-US" w:eastAsia="zh-CN"/>
              </w:rPr>
              <w:t>类似</w:t>
            </w:r>
            <w:r>
              <w:rPr>
                <w:rFonts w:hint="eastAsia" w:ascii="仿宋" w:hAnsi="仿宋" w:eastAsia="仿宋" w:cs="仿宋"/>
                <w:color w:val="auto"/>
                <w:sz w:val="24"/>
                <w:szCs w:val="24"/>
                <w:highlight w:val="none"/>
              </w:rPr>
              <w:t>业绩</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分，满分</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r>
              <w:rPr>
                <w:rFonts w:hint="eastAsia" w:ascii="仿宋" w:hAnsi="仿宋" w:eastAsia="仿宋" w:cs="仿宋"/>
                <w:color w:val="auto"/>
                <w:kern w:val="2"/>
                <w:sz w:val="24"/>
                <w:szCs w:val="24"/>
                <w:highlight w:val="none"/>
                <w:lang w:val="en-US" w:eastAsia="zh-CN" w:bidi="ar-SA"/>
              </w:rPr>
              <w:t>（</w:t>
            </w:r>
            <w:r>
              <w:rPr>
                <w:rFonts w:hint="eastAsia" w:ascii="仿宋" w:hAnsi="仿宋" w:eastAsia="仿宋" w:cs="仿宋"/>
                <w:color w:val="auto"/>
                <w:sz w:val="24"/>
                <w:szCs w:val="24"/>
                <w:highlight w:val="none"/>
              </w:rPr>
              <w:t>注:业绩证明材料须提供合同原件扫描件</w:t>
            </w:r>
            <w:r>
              <w:rPr>
                <w:rFonts w:hint="eastAsia" w:ascii="仿宋" w:hAnsi="仿宋" w:eastAsia="仿宋" w:cs="仿宋"/>
                <w:color w:val="auto"/>
                <w:kern w:val="2"/>
                <w:sz w:val="24"/>
                <w:szCs w:val="24"/>
                <w:highlight w:val="none"/>
                <w:lang w:val="en-US" w:eastAsia="zh-CN" w:bidi="ar-SA"/>
              </w:rPr>
              <w:t>（或协议书）</w:t>
            </w:r>
            <w:r>
              <w:rPr>
                <w:rFonts w:hint="eastAsia" w:ascii="仿宋" w:hAnsi="仿宋" w:eastAsia="仿宋" w:cs="仿宋"/>
                <w:color w:val="auto"/>
                <w:sz w:val="24"/>
                <w:szCs w:val="24"/>
                <w:highlight w:val="none"/>
              </w:rPr>
              <w:t>加盖投标单位公章,以合同签订时间为准。未按要求提供证明材料的不得分;提供的证明文件未显示日期、未显示项目名称、无法定代表人或授权代表签字（签章）,则该合同视为无效业绩,不予以得分。</w:t>
            </w:r>
            <w:r>
              <w:rPr>
                <w:rFonts w:hint="eastAsia" w:ascii="仿宋" w:hAnsi="仿宋" w:eastAsia="仿宋" w:cs="仿宋"/>
                <w:color w:val="auto"/>
                <w:kern w:val="2"/>
                <w:sz w:val="24"/>
                <w:szCs w:val="24"/>
                <w:highlight w:val="none"/>
                <w:lang w:val="en-US" w:eastAsia="zh-CN" w:bidi="ar-SA"/>
              </w:rPr>
              <w:t>）</w:t>
            </w:r>
          </w:p>
        </w:tc>
        <w:tc>
          <w:tcPr>
            <w:tcW w:w="480" w:type="pct"/>
            <w:noWrap w:val="0"/>
            <w:vAlign w:val="center"/>
          </w:tcPr>
          <w:p>
            <w:pPr>
              <w:widowControl/>
              <w:spacing w:line="24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18" w:hRule="atLeast"/>
        </w:trPr>
        <w:tc>
          <w:tcPr>
            <w:tcW w:w="300" w:type="pct"/>
            <w:vMerge w:val="continue"/>
            <w:noWrap w:val="0"/>
            <w:vAlign w:val="center"/>
          </w:tcPr>
          <w:p>
            <w:pPr>
              <w:autoSpaceDE w:val="0"/>
              <w:autoSpaceDN w:val="0"/>
              <w:spacing w:line="240" w:lineRule="auto"/>
              <w:jc w:val="center"/>
              <w:rPr>
                <w:rFonts w:hint="eastAsia" w:ascii="仿宋" w:hAnsi="仿宋" w:eastAsia="仿宋" w:cs="仿宋"/>
                <w:i w:val="0"/>
                <w:iCs w:val="0"/>
                <w:color w:val="auto"/>
                <w:sz w:val="24"/>
                <w:szCs w:val="24"/>
                <w:highlight w:val="none"/>
              </w:rPr>
            </w:pPr>
          </w:p>
        </w:tc>
        <w:tc>
          <w:tcPr>
            <w:tcW w:w="402" w:type="pct"/>
            <w:vMerge w:val="continue"/>
            <w:noWrap w:val="0"/>
            <w:vAlign w:val="center"/>
          </w:tcPr>
          <w:p>
            <w:pPr>
              <w:pStyle w:val="45"/>
              <w:spacing w:line="240" w:lineRule="auto"/>
              <w:jc w:val="center"/>
              <w:rPr>
                <w:rFonts w:hint="eastAsia" w:ascii="仿宋" w:hAnsi="仿宋" w:eastAsia="仿宋" w:cs="仿宋"/>
                <w:i w:val="0"/>
                <w:iCs w:val="0"/>
                <w:color w:val="auto"/>
                <w:sz w:val="24"/>
                <w:szCs w:val="24"/>
                <w:highlight w:val="none"/>
                <w:lang w:eastAsia="en-US"/>
              </w:rPr>
            </w:pPr>
          </w:p>
        </w:tc>
        <w:tc>
          <w:tcPr>
            <w:tcW w:w="1218" w:type="dxa"/>
            <w:noWrap w:val="0"/>
            <w:vAlign w:val="center"/>
          </w:tcPr>
          <w:p>
            <w:pPr>
              <w:pStyle w:val="50"/>
              <w:keepNext w:val="0"/>
              <w:keepLines w:val="0"/>
              <w:pageBreakBefore w:val="0"/>
              <w:kinsoku/>
              <w:wordWrap/>
              <w:overflowPunct/>
              <w:topLinePunct w:val="0"/>
              <w:bidi w:val="0"/>
              <w:spacing w:afterAutospacing="0" w:line="240" w:lineRule="auto"/>
              <w:ind w:lef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政府采购政策</w:t>
            </w:r>
          </w:p>
        </w:tc>
        <w:tc>
          <w:tcPr>
            <w:tcW w:w="6021" w:type="dxa"/>
            <w:noWrap w:val="0"/>
            <w:vAlign w:val="center"/>
          </w:tcPr>
          <w:p>
            <w:pPr>
              <w:pStyle w:val="50"/>
              <w:keepNext w:val="0"/>
              <w:keepLines w:val="0"/>
              <w:pageBreakBefore w:val="0"/>
              <w:kinsoku/>
              <w:wordWrap/>
              <w:overflowPunct/>
              <w:topLinePunct w:val="0"/>
              <w:bidi w:val="0"/>
              <w:spacing w:afterAutospacing="0" w:line="240" w:lineRule="auto"/>
              <w:ind w:lef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1、根据投标人是否符合招标文件“第三部分 采购需求中快递包装环保要求”，提供出具检测报告的证明文件的得2分。</w:t>
            </w:r>
          </w:p>
          <w:p>
            <w:pPr>
              <w:pStyle w:val="50"/>
              <w:keepNext w:val="0"/>
              <w:keepLines w:val="0"/>
              <w:pageBreakBefore w:val="0"/>
              <w:kinsoku/>
              <w:wordWrap/>
              <w:overflowPunct/>
              <w:topLinePunct w:val="0"/>
              <w:bidi w:val="0"/>
              <w:spacing w:afterAutospacing="0" w:line="240" w:lineRule="auto"/>
              <w:ind w:lef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2、根据投标人是否符合招标文件“第三部分 采购需求中商品包装环保要求”，提供出具检测报告的证明文件的得2分。</w:t>
            </w:r>
          </w:p>
        </w:tc>
        <w:tc>
          <w:tcPr>
            <w:tcW w:w="480" w:type="pct"/>
            <w:noWrap w:val="0"/>
            <w:vAlign w:val="center"/>
          </w:tcPr>
          <w:p>
            <w:pPr>
              <w:spacing w:line="24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18" w:hRule="atLeast"/>
        </w:trPr>
        <w:tc>
          <w:tcPr>
            <w:tcW w:w="300" w:type="pct"/>
            <w:vMerge w:val="continue"/>
            <w:noWrap w:val="0"/>
            <w:vAlign w:val="center"/>
          </w:tcPr>
          <w:p>
            <w:pPr>
              <w:autoSpaceDE w:val="0"/>
              <w:autoSpaceDN w:val="0"/>
              <w:spacing w:line="240" w:lineRule="auto"/>
              <w:jc w:val="center"/>
              <w:rPr>
                <w:rFonts w:hint="eastAsia" w:ascii="仿宋" w:hAnsi="仿宋" w:eastAsia="仿宋" w:cs="仿宋"/>
                <w:i w:val="0"/>
                <w:iCs w:val="0"/>
                <w:color w:val="auto"/>
                <w:sz w:val="24"/>
                <w:szCs w:val="24"/>
                <w:highlight w:val="none"/>
              </w:rPr>
            </w:pPr>
          </w:p>
        </w:tc>
        <w:tc>
          <w:tcPr>
            <w:tcW w:w="402" w:type="pct"/>
            <w:vMerge w:val="continue"/>
            <w:noWrap w:val="0"/>
            <w:vAlign w:val="center"/>
          </w:tcPr>
          <w:p>
            <w:pPr>
              <w:pStyle w:val="45"/>
              <w:spacing w:line="240" w:lineRule="auto"/>
              <w:jc w:val="center"/>
              <w:rPr>
                <w:rFonts w:hint="eastAsia" w:ascii="仿宋" w:hAnsi="仿宋" w:eastAsia="仿宋" w:cs="仿宋"/>
                <w:i w:val="0"/>
                <w:iCs w:val="0"/>
                <w:color w:val="auto"/>
                <w:sz w:val="24"/>
                <w:szCs w:val="24"/>
                <w:highlight w:val="none"/>
                <w:lang w:eastAsia="en-US"/>
              </w:rPr>
            </w:pPr>
          </w:p>
        </w:tc>
        <w:tc>
          <w:tcPr>
            <w:tcW w:w="642" w:type="pct"/>
            <w:noWrap w:val="0"/>
            <w:vAlign w:val="center"/>
          </w:tcPr>
          <w:p>
            <w:pPr>
              <w:pStyle w:val="50"/>
              <w:keepNext w:val="0"/>
              <w:keepLines w:val="0"/>
              <w:pageBreakBefore w:val="0"/>
              <w:kinsoku/>
              <w:wordWrap/>
              <w:overflowPunct/>
              <w:topLinePunct w:val="0"/>
              <w:bidi w:val="0"/>
              <w:spacing w:afterAutospacing="0" w:line="240" w:lineRule="auto"/>
              <w:ind w:lef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kern w:val="0"/>
                <w:sz w:val="24"/>
                <w:szCs w:val="24"/>
                <w:highlight w:val="none"/>
              </w:rPr>
              <w:t>供货产品质量控制措施</w:t>
            </w:r>
          </w:p>
        </w:tc>
        <w:tc>
          <w:tcPr>
            <w:tcW w:w="3174" w:type="pct"/>
            <w:noWrap w:val="0"/>
            <w:vAlign w:val="center"/>
          </w:tcPr>
          <w:p>
            <w:pPr>
              <w:pStyle w:val="50"/>
              <w:keepNext w:val="0"/>
              <w:keepLines w:val="0"/>
              <w:pageBreakBefore w:val="0"/>
              <w:kinsoku/>
              <w:wordWrap/>
              <w:overflowPunct/>
              <w:topLinePunct w:val="0"/>
              <w:bidi w:val="0"/>
              <w:spacing w:afterAutospacing="0" w:line="240" w:lineRule="auto"/>
              <w:ind w:lef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投标人对产品使用效果、质量标准进行科学合理的描述，具有质量控制措施且描述完整者得5分。</w:t>
            </w:r>
          </w:p>
          <w:p>
            <w:pPr>
              <w:pStyle w:val="50"/>
              <w:keepNext w:val="0"/>
              <w:keepLines w:val="0"/>
              <w:pageBreakBefore w:val="0"/>
              <w:kinsoku/>
              <w:wordWrap/>
              <w:overflowPunct/>
              <w:topLinePunct w:val="0"/>
              <w:bidi w:val="0"/>
              <w:spacing w:afterAutospacing="0" w:line="240" w:lineRule="auto"/>
              <w:ind w:lef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注：每有一项方案内容与采购内容不符或不切实际的扣1分，扣完为止，未提供者不得分。</w:t>
            </w:r>
          </w:p>
        </w:tc>
        <w:tc>
          <w:tcPr>
            <w:tcW w:w="480" w:type="pct"/>
            <w:noWrap w:val="0"/>
            <w:vAlign w:val="center"/>
          </w:tcPr>
          <w:p>
            <w:pPr>
              <w:spacing w:line="24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90" w:hRule="atLeast"/>
        </w:trPr>
        <w:tc>
          <w:tcPr>
            <w:tcW w:w="300" w:type="pct"/>
            <w:vMerge w:val="continue"/>
            <w:noWrap w:val="0"/>
            <w:vAlign w:val="center"/>
          </w:tcPr>
          <w:p>
            <w:pPr>
              <w:autoSpaceDE w:val="0"/>
              <w:autoSpaceDN w:val="0"/>
              <w:spacing w:line="240" w:lineRule="auto"/>
              <w:jc w:val="center"/>
              <w:rPr>
                <w:rFonts w:hint="eastAsia" w:ascii="仿宋" w:hAnsi="仿宋" w:eastAsia="仿宋" w:cs="仿宋"/>
                <w:i w:val="0"/>
                <w:iCs w:val="0"/>
                <w:color w:val="auto"/>
                <w:sz w:val="24"/>
                <w:szCs w:val="24"/>
                <w:highlight w:val="none"/>
              </w:rPr>
            </w:pPr>
          </w:p>
        </w:tc>
        <w:tc>
          <w:tcPr>
            <w:tcW w:w="402" w:type="pct"/>
            <w:vMerge w:val="continue"/>
            <w:noWrap w:val="0"/>
            <w:vAlign w:val="center"/>
          </w:tcPr>
          <w:p>
            <w:pPr>
              <w:pStyle w:val="45"/>
              <w:spacing w:line="240" w:lineRule="auto"/>
              <w:jc w:val="center"/>
              <w:rPr>
                <w:rFonts w:hint="eastAsia" w:ascii="仿宋" w:hAnsi="仿宋" w:eastAsia="仿宋" w:cs="仿宋"/>
                <w:i w:val="0"/>
                <w:iCs w:val="0"/>
                <w:color w:val="auto"/>
                <w:sz w:val="24"/>
                <w:szCs w:val="24"/>
                <w:highlight w:val="none"/>
                <w:lang w:eastAsia="en-US"/>
              </w:rPr>
            </w:pPr>
          </w:p>
        </w:tc>
        <w:tc>
          <w:tcPr>
            <w:tcW w:w="642" w:type="pct"/>
            <w:noWrap w:val="0"/>
            <w:vAlign w:val="center"/>
          </w:tcPr>
          <w:p>
            <w:pPr>
              <w:spacing w:line="360" w:lineRule="auto"/>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疫情防控控制措施</w:t>
            </w:r>
          </w:p>
        </w:tc>
        <w:tc>
          <w:tcPr>
            <w:tcW w:w="3174" w:type="pct"/>
            <w:noWrap w:val="0"/>
            <w:vAlign w:val="center"/>
          </w:tcPr>
          <w:p>
            <w:pPr>
              <w:spacing w:line="360" w:lineRule="auto"/>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投标人提供完善可行的疫情防控方案：</w:t>
            </w:r>
          </w:p>
          <w:p>
            <w:pPr>
              <w:spacing w:line="360" w:lineRule="auto"/>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1、提供投入该项目人员的疫情安全防卫措施的得1.5分，经评审方案不适宜本项目或未提供不得分。</w:t>
            </w:r>
          </w:p>
          <w:p>
            <w:pPr>
              <w:spacing w:line="360" w:lineRule="auto"/>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2、提供设备出库与收货环节的防疫消杀防卫措施的得1.5分，经评审方案不适宜本项目或未提供不得分。</w:t>
            </w:r>
          </w:p>
        </w:tc>
        <w:tc>
          <w:tcPr>
            <w:tcW w:w="480" w:type="pct"/>
            <w:noWrap w:val="0"/>
            <w:vAlign w:val="center"/>
          </w:tcPr>
          <w:p>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90" w:hRule="atLeast"/>
        </w:trPr>
        <w:tc>
          <w:tcPr>
            <w:tcW w:w="300" w:type="pct"/>
            <w:vMerge w:val="continue"/>
            <w:noWrap w:val="0"/>
            <w:vAlign w:val="center"/>
          </w:tcPr>
          <w:p>
            <w:pPr>
              <w:autoSpaceDE w:val="0"/>
              <w:autoSpaceDN w:val="0"/>
              <w:spacing w:line="240" w:lineRule="auto"/>
              <w:jc w:val="center"/>
              <w:rPr>
                <w:rFonts w:hint="eastAsia" w:ascii="仿宋" w:hAnsi="仿宋" w:eastAsia="仿宋" w:cs="仿宋"/>
                <w:i w:val="0"/>
                <w:iCs w:val="0"/>
                <w:color w:val="auto"/>
                <w:sz w:val="24"/>
                <w:szCs w:val="24"/>
                <w:highlight w:val="none"/>
              </w:rPr>
            </w:pPr>
          </w:p>
        </w:tc>
        <w:tc>
          <w:tcPr>
            <w:tcW w:w="402" w:type="pct"/>
            <w:vMerge w:val="continue"/>
            <w:noWrap w:val="0"/>
            <w:vAlign w:val="center"/>
          </w:tcPr>
          <w:p>
            <w:pPr>
              <w:pStyle w:val="45"/>
              <w:spacing w:line="240" w:lineRule="auto"/>
              <w:jc w:val="center"/>
              <w:rPr>
                <w:rFonts w:hint="eastAsia" w:ascii="仿宋" w:hAnsi="仿宋" w:eastAsia="仿宋" w:cs="仿宋"/>
                <w:i w:val="0"/>
                <w:iCs w:val="0"/>
                <w:color w:val="auto"/>
                <w:sz w:val="24"/>
                <w:szCs w:val="24"/>
                <w:highlight w:val="none"/>
                <w:lang w:eastAsia="en-US"/>
              </w:rPr>
            </w:pPr>
          </w:p>
        </w:tc>
        <w:tc>
          <w:tcPr>
            <w:tcW w:w="642" w:type="pct"/>
            <w:noWrap w:val="0"/>
            <w:vAlign w:val="center"/>
          </w:tcPr>
          <w:p>
            <w:pPr>
              <w:spacing w:line="360" w:lineRule="auto"/>
              <w:jc w:val="left"/>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服务承诺</w:t>
            </w:r>
          </w:p>
        </w:tc>
        <w:tc>
          <w:tcPr>
            <w:tcW w:w="3174" w:type="pct"/>
            <w:noWrap w:val="0"/>
            <w:vAlign w:val="center"/>
          </w:tcPr>
          <w:p>
            <w:pPr>
              <w:spacing w:line="360" w:lineRule="auto"/>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1、投标人提供7*24响应、能够完成采购人紧急维修任务（为抑制事态扩大的可能，临时增派人员、设备）的承诺的得2分。</w:t>
            </w:r>
          </w:p>
          <w:p>
            <w:pPr>
              <w:spacing w:line="360" w:lineRule="auto"/>
              <w:jc w:val="left"/>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sz w:val="24"/>
                <w:szCs w:val="24"/>
                <w:lang w:val="en-US" w:eastAsia="zh-CN"/>
              </w:rPr>
              <w:t>2、投标人提供积极主动配合采购人完成、积极主动配合采购人临时性工作的服务承诺的得1分。</w:t>
            </w:r>
          </w:p>
        </w:tc>
        <w:tc>
          <w:tcPr>
            <w:tcW w:w="480" w:type="pct"/>
            <w:noWrap w:val="0"/>
            <w:vAlign w:val="center"/>
          </w:tcPr>
          <w:p>
            <w:pPr>
              <w:spacing w:line="24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25" w:hRule="atLeast"/>
        </w:trPr>
        <w:tc>
          <w:tcPr>
            <w:tcW w:w="300" w:type="pct"/>
            <w:vMerge w:val="continue"/>
            <w:noWrap w:val="0"/>
            <w:vAlign w:val="center"/>
          </w:tcPr>
          <w:p>
            <w:pPr>
              <w:autoSpaceDE w:val="0"/>
              <w:autoSpaceDN w:val="0"/>
              <w:spacing w:line="240" w:lineRule="auto"/>
              <w:jc w:val="center"/>
              <w:rPr>
                <w:rFonts w:hint="eastAsia" w:ascii="仿宋" w:hAnsi="仿宋" w:eastAsia="仿宋" w:cs="仿宋"/>
                <w:i w:val="0"/>
                <w:iCs w:val="0"/>
                <w:color w:val="auto"/>
                <w:sz w:val="24"/>
                <w:szCs w:val="24"/>
                <w:highlight w:val="none"/>
              </w:rPr>
            </w:pPr>
          </w:p>
        </w:tc>
        <w:tc>
          <w:tcPr>
            <w:tcW w:w="402" w:type="pct"/>
            <w:vMerge w:val="restart"/>
            <w:noWrap w:val="0"/>
            <w:vAlign w:val="center"/>
          </w:tcPr>
          <w:p>
            <w:pPr>
              <w:pStyle w:val="45"/>
              <w:spacing w:line="240" w:lineRule="auto"/>
              <w:jc w:val="center"/>
              <w:rPr>
                <w:rFonts w:hint="eastAsia" w:ascii="仿宋" w:hAnsi="仿宋" w:eastAsia="仿宋" w:cs="仿宋"/>
                <w:i w:val="0"/>
                <w:iCs w:val="0"/>
                <w:color w:val="auto"/>
                <w:sz w:val="24"/>
                <w:szCs w:val="24"/>
                <w:highlight w:val="none"/>
                <w:lang w:eastAsia="en-US"/>
              </w:rPr>
            </w:pPr>
            <w:r>
              <w:rPr>
                <w:rFonts w:hint="eastAsia" w:ascii="仿宋" w:hAnsi="仿宋" w:eastAsia="仿宋" w:cs="仿宋"/>
                <w:i w:val="0"/>
                <w:iCs w:val="0"/>
                <w:color w:val="auto"/>
                <w:sz w:val="24"/>
                <w:szCs w:val="24"/>
                <w:highlight w:val="none"/>
                <w:lang w:eastAsia="en-US"/>
              </w:rPr>
              <w:t>技术标评审</w:t>
            </w:r>
          </w:p>
          <w:p>
            <w:pPr>
              <w:pStyle w:val="45"/>
              <w:spacing w:before="2" w:line="240" w:lineRule="auto"/>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eastAsia="en-US"/>
              </w:rPr>
              <w:t>（</w:t>
            </w:r>
            <w:r>
              <w:rPr>
                <w:rFonts w:hint="eastAsia" w:ascii="仿宋" w:hAnsi="仿宋" w:eastAsia="仿宋" w:cs="仿宋"/>
                <w:i w:val="0"/>
                <w:iCs w:val="0"/>
                <w:color w:val="auto"/>
                <w:sz w:val="24"/>
                <w:szCs w:val="24"/>
                <w:highlight w:val="none"/>
                <w:lang w:val="en-US" w:eastAsia="zh-CN"/>
              </w:rPr>
              <w:t>50</w:t>
            </w:r>
            <w:r>
              <w:rPr>
                <w:rFonts w:hint="eastAsia" w:ascii="仿宋" w:hAnsi="仿宋" w:eastAsia="仿宋" w:cs="仿宋"/>
                <w:i w:val="0"/>
                <w:iCs w:val="0"/>
                <w:color w:val="auto"/>
                <w:spacing w:val="-30"/>
                <w:sz w:val="24"/>
                <w:szCs w:val="24"/>
                <w:highlight w:val="none"/>
                <w:lang w:eastAsia="en-US"/>
              </w:rPr>
              <w:t>分</w:t>
            </w:r>
            <w:r>
              <w:rPr>
                <w:rFonts w:hint="eastAsia" w:ascii="仿宋" w:hAnsi="仿宋" w:eastAsia="仿宋" w:cs="仿宋"/>
                <w:i w:val="0"/>
                <w:iCs w:val="0"/>
                <w:color w:val="auto"/>
                <w:sz w:val="24"/>
                <w:szCs w:val="24"/>
                <w:highlight w:val="none"/>
                <w:lang w:eastAsia="en-US"/>
              </w:rPr>
              <w:t>）</w:t>
            </w:r>
          </w:p>
        </w:tc>
        <w:tc>
          <w:tcPr>
            <w:tcW w:w="642" w:type="pct"/>
            <w:noWrap w:val="0"/>
            <w:vAlign w:val="center"/>
          </w:tcPr>
          <w:p>
            <w:pPr>
              <w:spacing w:line="360" w:lineRule="auto"/>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对招标文件技术参数要求的响应程度</w:t>
            </w:r>
          </w:p>
        </w:tc>
        <w:tc>
          <w:tcPr>
            <w:tcW w:w="3174" w:type="pct"/>
            <w:noWrap w:val="0"/>
            <w:vAlign w:val="center"/>
          </w:tcPr>
          <w:p>
            <w:pPr>
              <w:widowControl/>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根据投标人是否符合采购文件技术参数中的要求进行评审：</w:t>
            </w:r>
          </w:p>
          <w:p>
            <w:pPr>
              <w:widowControl/>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1、技术参数完全满足或优于采购文件技术参数及要求的得满分30分。</w:t>
            </w:r>
          </w:p>
          <w:p>
            <w:pPr>
              <w:widowControl/>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2、技术参数中标“▲”条款，每出现一项负偏离，扣2分；[标“▲”条款5项（不含5项）以上负偏离，则该项不得分]</w:t>
            </w:r>
          </w:p>
          <w:p>
            <w:pPr>
              <w:widowControl/>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3、未标“▲”条款，每出现一项负偏离，扣1分；[10项（不含10项）以上负偏离，则该项不得分]</w:t>
            </w:r>
          </w:p>
          <w:p>
            <w:pPr>
              <w:spacing w:line="360" w:lineRule="auto"/>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注：投标人须对本招标文件“第三部分-政府采购项目采购需求”中技术要求进行点对点应答，必须在引用本采购文件的基础上,进行逐条逐项答复、说明和解释,特别对有具体参数要求的指标，投标人必须提供所投产品的具体参数值并详细列出设备的品牌、型号、配置参数及所投产品的技术支持资料。不得完全复制招标文件中的技术参数，照搬照抄采购文件参数，不注明实际参数值者或未按要求提供者视为负偏离，</w:t>
            </w:r>
            <w:r>
              <w:rPr>
                <w:rFonts w:hint="eastAsia" w:ascii="仿宋" w:hAnsi="仿宋" w:eastAsia="仿宋" w:cs="仿宋"/>
                <w:color w:val="000000"/>
                <w:sz w:val="24"/>
                <w:szCs w:val="24"/>
                <w:highlight w:val="none"/>
                <w:lang w:bidi="ar"/>
              </w:rPr>
              <w:t>投标文件商务技术偏离表响应情况与所附证明材料不一致的情况，按负偏离处理</w:t>
            </w:r>
            <w:r>
              <w:rPr>
                <w:rFonts w:hint="eastAsia" w:ascii="仿宋" w:hAnsi="仿宋" w:eastAsia="仿宋" w:cs="仿宋"/>
                <w:kern w:val="2"/>
                <w:sz w:val="24"/>
                <w:szCs w:val="24"/>
                <w:highlight w:val="none"/>
                <w:lang w:val="en-US" w:eastAsia="zh-CN" w:bidi="ar-SA"/>
              </w:rPr>
              <w:t>。）</w:t>
            </w:r>
          </w:p>
        </w:tc>
        <w:tc>
          <w:tcPr>
            <w:tcW w:w="480" w:type="pct"/>
            <w:noWrap w:val="0"/>
            <w:vAlign w:val="center"/>
          </w:tcPr>
          <w:p>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300" w:type="pct"/>
            <w:vMerge w:val="continue"/>
            <w:noWrap w:val="0"/>
            <w:vAlign w:val="center"/>
          </w:tcPr>
          <w:p>
            <w:pPr>
              <w:autoSpaceDE w:val="0"/>
              <w:autoSpaceDN w:val="0"/>
              <w:spacing w:line="240" w:lineRule="auto"/>
              <w:jc w:val="center"/>
              <w:rPr>
                <w:rFonts w:hint="eastAsia" w:ascii="仿宋" w:hAnsi="仿宋" w:eastAsia="仿宋" w:cs="仿宋"/>
                <w:i w:val="0"/>
                <w:iCs w:val="0"/>
                <w:color w:val="auto"/>
                <w:sz w:val="24"/>
                <w:szCs w:val="24"/>
                <w:highlight w:val="none"/>
              </w:rPr>
            </w:pPr>
          </w:p>
        </w:tc>
        <w:tc>
          <w:tcPr>
            <w:tcW w:w="402" w:type="pct"/>
            <w:vMerge w:val="continue"/>
            <w:noWrap w:val="0"/>
            <w:vAlign w:val="center"/>
          </w:tcPr>
          <w:p>
            <w:pPr>
              <w:pStyle w:val="45"/>
              <w:spacing w:before="2" w:line="240" w:lineRule="auto"/>
              <w:jc w:val="center"/>
              <w:rPr>
                <w:rFonts w:hint="eastAsia" w:ascii="仿宋" w:hAnsi="仿宋" w:eastAsia="仿宋" w:cs="仿宋"/>
                <w:i w:val="0"/>
                <w:iCs w:val="0"/>
                <w:color w:val="auto"/>
                <w:sz w:val="24"/>
                <w:szCs w:val="24"/>
                <w:highlight w:val="none"/>
                <w:lang w:eastAsia="en-US"/>
              </w:rPr>
            </w:pPr>
          </w:p>
        </w:tc>
        <w:tc>
          <w:tcPr>
            <w:tcW w:w="642" w:type="pct"/>
            <w:noWrap w:val="0"/>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项目实施方案</w:t>
            </w:r>
          </w:p>
        </w:tc>
        <w:tc>
          <w:tcPr>
            <w:tcW w:w="3174" w:type="pct"/>
            <w:noWrap w:val="0"/>
            <w:vAlign w:val="center"/>
          </w:tcPr>
          <w:p>
            <w:pPr>
              <w:widowControl/>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人对本项目总体要求的理解，包括:（1）功能说明、性能指标、设备选型说明详尽；（2）投标人的项目实施进度计划安排具体，且相关保障措施详细;（3）对各项关键工作安排合理，有风险预见；（4）应急保障措施完备，有完善的项目应急解决方案;（5）项目管理方案完整,组织机构完善，人员有保障。</w:t>
            </w:r>
          </w:p>
          <w:p>
            <w:pPr>
              <w:widowControl/>
              <w:jc w:val="both"/>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注：以上要求内容均能够完全满足的得5分，每缺少一项或每有一项方案内容与项目不符的扣1分，扣完为止。未提供者不得分。</w:t>
            </w:r>
          </w:p>
        </w:tc>
        <w:tc>
          <w:tcPr>
            <w:tcW w:w="480" w:type="pct"/>
            <w:noWrap w:val="0"/>
            <w:vAlign w:val="center"/>
          </w:tcPr>
          <w:p>
            <w:pPr>
              <w:pStyle w:val="45"/>
              <w:spacing w:before="74" w:line="282" w:lineRule="exact"/>
              <w:jc w:val="center"/>
              <w:rPr>
                <w:rFonts w:hint="eastAsia" w:ascii="宋体" w:hAnsi="宋体" w:eastAsia="宋体" w:cs="宋体"/>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lang w:val="en-US" w:eastAsia="zh-CN" w:bidi="ar-SA"/>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300" w:type="pct"/>
            <w:vMerge w:val="continue"/>
            <w:noWrap w:val="0"/>
            <w:vAlign w:val="center"/>
          </w:tcPr>
          <w:p>
            <w:pPr>
              <w:autoSpaceDE w:val="0"/>
              <w:autoSpaceDN w:val="0"/>
              <w:spacing w:line="240" w:lineRule="auto"/>
              <w:jc w:val="center"/>
              <w:rPr>
                <w:rFonts w:hint="eastAsia" w:ascii="仿宋" w:hAnsi="仿宋" w:eastAsia="仿宋" w:cs="仿宋"/>
                <w:i w:val="0"/>
                <w:iCs w:val="0"/>
                <w:color w:val="auto"/>
                <w:sz w:val="24"/>
                <w:szCs w:val="24"/>
                <w:highlight w:val="none"/>
              </w:rPr>
            </w:pPr>
          </w:p>
        </w:tc>
        <w:tc>
          <w:tcPr>
            <w:tcW w:w="402" w:type="pct"/>
            <w:vMerge w:val="continue"/>
            <w:noWrap w:val="0"/>
            <w:vAlign w:val="center"/>
          </w:tcPr>
          <w:p>
            <w:pPr>
              <w:pStyle w:val="45"/>
              <w:spacing w:before="2" w:line="240" w:lineRule="auto"/>
              <w:jc w:val="center"/>
              <w:rPr>
                <w:rFonts w:hint="eastAsia" w:ascii="仿宋" w:hAnsi="仿宋" w:eastAsia="仿宋" w:cs="仿宋"/>
                <w:i w:val="0"/>
                <w:iCs w:val="0"/>
                <w:color w:val="auto"/>
                <w:sz w:val="24"/>
                <w:szCs w:val="24"/>
                <w:highlight w:val="none"/>
              </w:rPr>
            </w:pPr>
          </w:p>
        </w:tc>
        <w:tc>
          <w:tcPr>
            <w:tcW w:w="642" w:type="pct"/>
            <w:noWrap w:val="0"/>
            <w:vAlign w:val="center"/>
          </w:tcPr>
          <w:p>
            <w:pPr>
              <w:pStyle w:val="82"/>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项目培训方案</w:t>
            </w:r>
          </w:p>
        </w:tc>
        <w:tc>
          <w:tcPr>
            <w:tcW w:w="3174" w:type="pct"/>
            <w:noWrap w:val="0"/>
            <w:vAlign w:val="center"/>
          </w:tcPr>
          <w:p>
            <w:pPr>
              <w:pStyle w:val="82"/>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单位提供本项目培训方案，方案需包括培训的思路、内容专业度、安排的合理度、培训人员专业资格等因素，评估培训方案与本项目需求的吻合程度等评比。能完全响应并按照承诺内容为采购人提供全面优质的培训服务得3分。</w:t>
            </w:r>
          </w:p>
          <w:p>
            <w:pPr>
              <w:pStyle w:val="82"/>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注：每缺项漏项或每有一项方案内容与项目不符或不完整的扣1分，扣完为止，未提供者不得分。</w:t>
            </w:r>
          </w:p>
        </w:tc>
        <w:tc>
          <w:tcPr>
            <w:tcW w:w="480" w:type="pct"/>
            <w:noWrap w:val="0"/>
            <w:vAlign w:val="center"/>
          </w:tcPr>
          <w:p>
            <w:pPr>
              <w:pStyle w:val="45"/>
              <w:spacing w:before="74" w:line="282" w:lineRule="exact"/>
              <w:jc w:val="center"/>
              <w:rPr>
                <w:rFonts w:hint="default" w:ascii="仿宋" w:hAnsi="仿宋" w:eastAsia="仿宋" w:cs="仿宋"/>
                <w:i w:val="0"/>
                <w:iCs w:val="0"/>
                <w:color w:val="auto"/>
                <w:sz w:val="24"/>
                <w:szCs w:val="24"/>
                <w:highlight w:val="none"/>
                <w:lang w:val="en-US" w:eastAsia="zh-CN"/>
              </w:rPr>
            </w:pPr>
            <w:r>
              <w:rPr>
                <w:rFonts w:hint="eastAsia" w:ascii="仿宋" w:hAnsi="仿宋" w:eastAsia="仿宋" w:cs="仿宋"/>
                <w:sz w:val="24"/>
                <w:szCs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300" w:type="pct"/>
            <w:vMerge w:val="continue"/>
            <w:noWrap w:val="0"/>
            <w:vAlign w:val="center"/>
          </w:tcPr>
          <w:p>
            <w:pPr>
              <w:autoSpaceDE w:val="0"/>
              <w:autoSpaceDN w:val="0"/>
              <w:spacing w:line="240" w:lineRule="auto"/>
              <w:jc w:val="center"/>
              <w:rPr>
                <w:rFonts w:hint="eastAsia" w:ascii="仿宋" w:hAnsi="仿宋" w:eastAsia="仿宋" w:cs="仿宋"/>
                <w:i w:val="0"/>
                <w:iCs w:val="0"/>
                <w:color w:val="auto"/>
                <w:sz w:val="24"/>
                <w:szCs w:val="24"/>
                <w:highlight w:val="none"/>
              </w:rPr>
            </w:pPr>
          </w:p>
        </w:tc>
        <w:tc>
          <w:tcPr>
            <w:tcW w:w="402" w:type="pct"/>
            <w:vMerge w:val="continue"/>
            <w:noWrap w:val="0"/>
            <w:vAlign w:val="center"/>
          </w:tcPr>
          <w:p>
            <w:pPr>
              <w:pStyle w:val="45"/>
              <w:spacing w:before="2" w:line="240" w:lineRule="auto"/>
              <w:jc w:val="center"/>
              <w:rPr>
                <w:rFonts w:hint="eastAsia" w:ascii="仿宋" w:hAnsi="仿宋" w:eastAsia="仿宋" w:cs="仿宋"/>
                <w:i w:val="0"/>
                <w:iCs w:val="0"/>
                <w:color w:val="auto"/>
                <w:sz w:val="24"/>
                <w:szCs w:val="24"/>
                <w:highlight w:val="none"/>
              </w:rPr>
            </w:pPr>
          </w:p>
        </w:tc>
        <w:tc>
          <w:tcPr>
            <w:tcW w:w="642" w:type="pct"/>
            <w:noWrap w:val="0"/>
            <w:vAlign w:val="center"/>
          </w:tcPr>
          <w:p>
            <w:pPr>
              <w:pStyle w:val="82"/>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安装技术水平</w:t>
            </w:r>
          </w:p>
        </w:tc>
        <w:tc>
          <w:tcPr>
            <w:tcW w:w="3174" w:type="pct"/>
            <w:noWrap w:val="0"/>
            <w:vAlign w:val="center"/>
          </w:tcPr>
          <w:p>
            <w:pPr>
              <w:pStyle w:val="82"/>
              <w:numPr>
                <w:ilvl w:val="0"/>
                <w:numId w:val="15"/>
              </w:numPr>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投标人根据招标人项目需求的情况，提供安装实施方案、安装组织计划、安装技术、人员配备及安装进度等整体运行实施方案满足项目功能需求的得2分。</w:t>
            </w:r>
          </w:p>
          <w:p>
            <w:pPr>
              <w:pStyle w:val="82"/>
              <w:numPr>
                <w:ilvl w:val="0"/>
                <w:numId w:val="15"/>
              </w:numPr>
              <w:jc w:val="left"/>
              <w:rPr>
                <w:rFonts w:hint="default" w:ascii="仿宋" w:hAnsi="仿宋" w:eastAsia="仿宋" w:cs="仿宋"/>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投标人提供交货期和技术设备的先进性及对仪器设备的安装调试和操作步骤、使用方法的得1分。</w:t>
            </w:r>
          </w:p>
          <w:p>
            <w:pPr>
              <w:pStyle w:val="82"/>
              <w:numPr>
                <w:ilvl w:val="0"/>
                <w:numId w:val="0"/>
              </w:numPr>
              <w:jc w:val="left"/>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注：每缺项漏项或每有一项方案内容与项目不符或不完整的扣1分，扣完为止，未提供者不得分。</w:t>
            </w:r>
          </w:p>
        </w:tc>
        <w:tc>
          <w:tcPr>
            <w:tcW w:w="480" w:type="pct"/>
            <w:noWrap w:val="0"/>
            <w:vAlign w:val="center"/>
          </w:tcPr>
          <w:p>
            <w:pPr>
              <w:keepNext w:val="0"/>
              <w:keepLines w:val="0"/>
              <w:widowControl/>
              <w:suppressLineNumbers w:val="0"/>
              <w:spacing w:line="300" w:lineRule="auto"/>
              <w:jc w:val="center"/>
              <w:rPr>
                <w:rFonts w:hint="default" w:ascii="仿宋" w:hAnsi="仿宋" w:eastAsia="仿宋" w:cs="仿宋"/>
                <w:i w:val="0"/>
                <w:iCs w:val="0"/>
                <w:color w:val="auto"/>
                <w:kern w:val="0"/>
                <w:sz w:val="24"/>
                <w:szCs w:val="24"/>
                <w:highlight w:val="none"/>
                <w:lang w:val="en-US" w:eastAsia="zh-CN" w:bidi="ar-SA"/>
              </w:rPr>
            </w:pPr>
            <w:r>
              <w:rPr>
                <w:rFonts w:hint="eastAsia" w:ascii="仿宋" w:hAnsi="仿宋" w:eastAsia="仿宋" w:cs="仿宋"/>
                <w:i w:val="0"/>
                <w:iCs w:val="0"/>
                <w:color w:val="auto"/>
                <w:sz w:val="24"/>
                <w:szCs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300" w:type="pct"/>
            <w:vMerge w:val="continue"/>
            <w:noWrap w:val="0"/>
            <w:vAlign w:val="center"/>
          </w:tcPr>
          <w:p>
            <w:pPr>
              <w:autoSpaceDE w:val="0"/>
              <w:autoSpaceDN w:val="0"/>
              <w:spacing w:line="240" w:lineRule="auto"/>
              <w:jc w:val="center"/>
              <w:rPr>
                <w:rFonts w:hint="eastAsia" w:ascii="仿宋" w:hAnsi="仿宋" w:eastAsia="仿宋" w:cs="仿宋"/>
                <w:i w:val="0"/>
                <w:iCs w:val="0"/>
                <w:color w:val="auto"/>
                <w:sz w:val="24"/>
                <w:szCs w:val="24"/>
                <w:highlight w:val="none"/>
              </w:rPr>
            </w:pPr>
          </w:p>
        </w:tc>
        <w:tc>
          <w:tcPr>
            <w:tcW w:w="402" w:type="pct"/>
            <w:vMerge w:val="continue"/>
            <w:noWrap w:val="0"/>
            <w:vAlign w:val="center"/>
          </w:tcPr>
          <w:p>
            <w:pPr>
              <w:pStyle w:val="45"/>
              <w:spacing w:before="2" w:line="240" w:lineRule="auto"/>
              <w:jc w:val="center"/>
              <w:rPr>
                <w:rFonts w:hint="eastAsia" w:ascii="仿宋" w:hAnsi="仿宋" w:eastAsia="仿宋" w:cs="仿宋"/>
                <w:i w:val="0"/>
                <w:iCs w:val="0"/>
                <w:color w:val="auto"/>
                <w:sz w:val="24"/>
                <w:szCs w:val="24"/>
                <w:highlight w:val="none"/>
              </w:rPr>
            </w:pPr>
          </w:p>
        </w:tc>
        <w:tc>
          <w:tcPr>
            <w:tcW w:w="642" w:type="pct"/>
            <w:noWrap w:val="0"/>
            <w:vAlign w:val="center"/>
          </w:tcPr>
          <w:p>
            <w:pPr>
              <w:pStyle w:val="82"/>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应急事件处理预案</w:t>
            </w:r>
          </w:p>
          <w:p>
            <w:pPr>
              <w:pStyle w:val="82"/>
              <w:rPr>
                <w:rFonts w:hint="eastAsia" w:ascii="仿宋" w:hAnsi="仿宋" w:eastAsia="仿宋" w:cs="仿宋"/>
                <w:kern w:val="2"/>
                <w:sz w:val="24"/>
                <w:szCs w:val="24"/>
                <w:highlight w:val="none"/>
                <w:lang w:val="en-US" w:eastAsia="zh-CN" w:bidi="ar-SA"/>
              </w:rPr>
            </w:pPr>
          </w:p>
        </w:tc>
        <w:tc>
          <w:tcPr>
            <w:tcW w:w="3174" w:type="pct"/>
            <w:noWrap w:val="0"/>
            <w:vAlign w:val="center"/>
          </w:tcPr>
          <w:p>
            <w:pPr>
              <w:pStyle w:val="14"/>
              <w:numPr>
                <w:ilvl w:val="0"/>
                <w:numId w:val="0"/>
              </w:numPr>
              <w:ind w:right="0" w:right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应针对本项目实际工作内容和环境，提供应急方案，要求切实合理可行</w:t>
            </w:r>
            <w:r>
              <w:rPr>
                <w:rFonts w:hint="eastAsia" w:ascii="仿宋" w:hAnsi="仿宋" w:eastAsia="仿宋" w:cs="仿宋"/>
                <w:sz w:val="24"/>
                <w:szCs w:val="24"/>
                <w:highlight w:val="none"/>
                <w:lang w:eastAsia="zh-CN"/>
              </w:rPr>
              <w:t>：</w:t>
            </w:r>
            <w:r>
              <w:rPr>
                <w:rFonts w:hint="eastAsia" w:ascii="仿宋" w:hAnsi="仿宋" w:eastAsia="仿宋" w:cs="仿宋"/>
                <w:i w:val="0"/>
                <w:iCs w:val="0"/>
                <w:sz w:val="24"/>
                <w:szCs w:val="24"/>
                <w:highlight w:val="none"/>
                <w:lang w:val="en-US" w:eastAsia="zh-CN"/>
              </w:rPr>
              <w:t>投标人</w:t>
            </w:r>
            <w:r>
              <w:rPr>
                <w:rFonts w:hint="eastAsia" w:ascii="仿宋" w:hAnsi="仿宋" w:eastAsia="仿宋" w:cs="仿宋"/>
                <w:sz w:val="24"/>
                <w:szCs w:val="24"/>
                <w:highlight w:val="none"/>
                <w:lang w:val="en-US" w:eastAsia="zh-CN"/>
              </w:rPr>
              <w:t>综合应急预案包含系统在安装实施及后期运行过程中可能遇到的故障所指定的应急方针、应急行动、措施和保障等基本要求和程序，</w:t>
            </w:r>
            <w:r>
              <w:rPr>
                <w:rFonts w:hint="eastAsia" w:ascii="仿宋" w:hAnsi="仿宋" w:eastAsia="仿宋" w:cs="仿宋"/>
                <w:i w:val="0"/>
                <w:iCs w:val="0"/>
                <w:sz w:val="24"/>
                <w:szCs w:val="24"/>
                <w:highlight w:val="none"/>
                <w:lang w:val="en-US" w:eastAsia="zh-CN"/>
              </w:rPr>
              <w:t>需提供公司承诺及故障处理的技术人员的相关证明材料，</w:t>
            </w:r>
            <w:r>
              <w:rPr>
                <w:rFonts w:hint="eastAsia" w:ascii="仿宋" w:hAnsi="仿宋" w:eastAsia="仿宋" w:cs="仿宋"/>
                <w:sz w:val="24"/>
                <w:szCs w:val="24"/>
                <w:highlight w:val="none"/>
                <w:lang w:val="en-US" w:eastAsia="zh-CN"/>
              </w:rPr>
              <w:t>满足要求的得3分。</w:t>
            </w:r>
          </w:p>
          <w:p>
            <w:pPr>
              <w:pStyle w:val="82"/>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注：每缺项漏项或每有一项方案内容与项目不符或不完整的扣1分，扣完为止，未提供者不得分。</w:t>
            </w:r>
          </w:p>
        </w:tc>
        <w:tc>
          <w:tcPr>
            <w:tcW w:w="480" w:type="pct"/>
            <w:noWrap w:val="0"/>
            <w:vAlign w:val="center"/>
          </w:tcPr>
          <w:p>
            <w:pPr>
              <w:keepNext w:val="0"/>
              <w:keepLines w:val="0"/>
              <w:widowControl/>
              <w:suppressLineNumbers w:val="0"/>
              <w:spacing w:line="300" w:lineRule="auto"/>
              <w:jc w:val="center"/>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300" w:type="pct"/>
            <w:vMerge w:val="continue"/>
            <w:noWrap w:val="0"/>
            <w:vAlign w:val="center"/>
          </w:tcPr>
          <w:p>
            <w:pPr>
              <w:autoSpaceDE w:val="0"/>
              <w:autoSpaceDN w:val="0"/>
              <w:spacing w:line="240" w:lineRule="auto"/>
              <w:jc w:val="center"/>
              <w:rPr>
                <w:rFonts w:hint="eastAsia" w:ascii="仿宋" w:hAnsi="仿宋" w:eastAsia="仿宋" w:cs="仿宋"/>
                <w:i w:val="0"/>
                <w:iCs w:val="0"/>
                <w:color w:val="auto"/>
                <w:sz w:val="24"/>
                <w:szCs w:val="24"/>
                <w:highlight w:val="none"/>
              </w:rPr>
            </w:pPr>
          </w:p>
        </w:tc>
        <w:tc>
          <w:tcPr>
            <w:tcW w:w="402" w:type="pct"/>
            <w:vMerge w:val="continue"/>
            <w:noWrap w:val="0"/>
            <w:vAlign w:val="center"/>
          </w:tcPr>
          <w:p>
            <w:pPr>
              <w:pStyle w:val="45"/>
              <w:spacing w:before="2" w:line="240" w:lineRule="auto"/>
              <w:jc w:val="center"/>
              <w:rPr>
                <w:rFonts w:hint="eastAsia" w:ascii="仿宋" w:hAnsi="仿宋" w:eastAsia="仿宋" w:cs="仿宋"/>
                <w:i w:val="0"/>
                <w:iCs w:val="0"/>
                <w:color w:val="auto"/>
                <w:sz w:val="24"/>
                <w:szCs w:val="24"/>
                <w:highlight w:val="none"/>
              </w:rPr>
            </w:pPr>
          </w:p>
        </w:tc>
        <w:tc>
          <w:tcPr>
            <w:tcW w:w="642" w:type="pct"/>
            <w:noWrap w:val="0"/>
            <w:vAlign w:val="center"/>
          </w:tcPr>
          <w:p>
            <w:pPr>
              <w:pStyle w:val="82"/>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售后服务方案</w:t>
            </w:r>
          </w:p>
        </w:tc>
        <w:tc>
          <w:tcPr>
            <w:tcW w:w="3174" w:type="pct"/>
            <w:noWrap w:val="0"/>
            <w:vAlign w:val="center"/>
          </w:tcPr>
          <w:p>
            <w:pPr>
              <w:pStyle w:val="82"/>
              <w:rPr>
                <w:rFonts w:hint="eastAsia" w:ascii="仿宋" w:hAnsi="仿宋" w:eastAsia="仿宋" w:cs="仿宋"/>
                <w:kern w:val="2"/>
                <w:sz w:val="24"/>
                <w:szCs w:val="24"/>
                <w:highlight w:val="none"/>
                <w:lang w:val="en-US" w:eastAsia="zh-CN" w:bidi="ar-SA"/>
              </w:rPr>
            </w:pPr>
            <w:r>
              <w:rPr>
                <w:rFonts w:hint="default" w:ascii="仿宋" w:hAnsi="仿宋" w:eastAsia="仿宋" w:cs="仿宋"/>
                <w:kern w:val="2"/>
                <w:sz w:val="24"/>
                <w:szCs w:val="24"/>
                <w:highlight w:val="none"/>
                <w:lang w:val="en-US" w:eastAsia="zh-CN" w:bidi="ar-SA"/>
              </w:rPr>
              <w:t>1</w:t>
            </w:r>
            <w:r>
              <w:rPr>
                <w:rFonts w:hint="eastAsia" w:ascii="仿宋" w:hAnsi="仿宋" w:eastAsia="仿宋" w:cs="仿宋"/>
                <w:kern w:val="2"/>
                <w:sz w:val="24"/>
                <w:szCs w:val="24"/>
                <w:highlight w:val="none"/>
                <w:lang w:val="en-US" w:eastAsia="zh-CN" w:bidi="ar-SA"/>
              </w:rPr>
              <w:t>、投标人在满足招标文件要求的质保期内，对本项目实施的售后服务方案及承诺（包括响应时间和对产品使用效果、包括生产厂商的选择、制造过程、检测措施、实验过程、运输过程、产品交接过程、网点分布，修复时间、设备生产厂家技术售后服务承诺、技术指导承诺、安装调试方案、售后服务措施等）进行综合评价：标准严格、承诺详尽且完善、保障措施服务方案描述完整者得3分。</w:t>
            </w:r>
          </w:p>
          <w:p>
            <w:pPr>
              <w:pStyle w:val="82"/>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2、投标人质保期满后，投标人负责提供终身维修服务方案（包括响应时间、网点分布、设备收取零配件、备件费等）进行综合评价：维修服务方案描述完整者得3分。</w:t>
            </w:r>
          </w:p>
          <w:p>
            <w:pPr>
              <w:pStyle w:val="82"/>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注：经专家评审所提供方案缺项漏项或不满足项目需求的扣1分，扣完为止；未提供不得分。</w:t>
            </w:r>
          </w:p>
        </w:tc>
        <w:tc>
          <w:tcPr>
            <w:tcW w:w="480" w:type="pct"/>
            <w:noWrap w:val="0"/>
            <w:vAlign w:val="center"/>
          </w:tcPr>
          <w:p>
            <w:pPr>
              <w:pStyle w:val="45"/>
              <w:spacing w:before="74" w:line="282" w:lineRule="exact"/>
              <w:jc w:val="center"/>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kern w:val="0"/>
                <w:sz w:val="24"/>
                <w:szCs w:val="24"/>
                <w:highlight w:val="none"/>
                <w:lang w:val="en-US" w:eastAsia="zh-CN" w:bidi="ar-SA"/>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300" w:type="pct"/>
            <w:vMerge w:val="restart"/>
            <w:noWrap w:val="0"/>
            <w:vAlign w:val="center"/>
          </w:tcPr>
          <w:p>
            <w:pPr>
              <w:autoSpaceDE w:val="0"/>
              <w:autoSpaceDN w:val="0"/>
              <w:spacing w:line="240" w:lineRule="auto"/>
              <w:jc w:val="center"/>
              <w:rPr>
                <w:rFonts w:hint="eastAsia" w:ascii="仿宋" w:hAnsi="仿宋" w:eastAsia="仿宋" w:cs="仿宋"/>
                <w:i w:val="0"/>
                <w:iCs w:val="0"/>
                <w:color w:val="auto"/>
                <w:sz w:val="24"/>
                <w:szCs w:val="24"/>
                <w:highlight w:val="none"/>
              </w:rPr>
            </w:pPr>
            <w:r>
              <w:rPr>
                <w:rFonts w:hint="eastAsia" w:ascii="仿宋" w:hAnsi="仿宋" w:eastAsia="仿宋" w:cs="仿宋"/>
                <w:color w:val="auto"/>
                <w:sz w:val="24"/>
                <w:szCs w:val="24"/>
                <w:highlight w:val="none"/>
              </w:rPr>
              <w:t>汇总</w:t>
            </w:r>
          </w:p>
        </w:tc>
        <w:tc>
          <w:tcPr>
            <w:tcW w:w="4219" w:type="pct"/>
            <w:gridSpan w:val="3"/>
            <w:noWrap w:val="0"/>
            <w:vAlign w:val="center"/>
          </w:tcPr>
          <w:p>
            <w:pPr>
              <w:pStyle w:val="45"/>
              <w:spacing w:line="240" w:lineRule="auto"/>
              <w:jc w:val="both"/>
              <w:rPr>
                <w:rFonts w:hint="eastAsia" w:ascii="仿宋" w:hAnsi="仿宋" w:eastAsia="仿宋" w:cs="仿宋"/>
                <w:i w:val="0"/>
                <w:iCs w:val="0"/>
                <w:color w:val="auto"/>
                <w:sz w:val="24"/>
                <w:szCs w:val="24"/>
                <w:highlight w:val="none"/>
                <w:lang w:val="en-US"/>
              </w:rPr>
            </w:pPr>
            <w:r>
              <w:rPr>
                <w:rFonts w:hint="eastAsia" w:ascii="仿宋" w:hAnsi="仿宋" w:eastAsia="仿宋" w:cs="仿宋"/>
                <w:i w:val="0"/>
                <w:iCs w:val="0"/>
                <w:color w:val="auto"/>
                <w:sz w:val="24"/>
                <w:szCs w:val="24"/>
                <w:highlight w:val="none"/>
                <w:lang w:val="en-US"/>
              </w:rPr>
              <w:t>合计</w:t>
            </w:r>
          </w:p>
        </w:tc>
        <w:tc>
          <w:tcPr>
            <w:tcW w:w="480" w:type="pct"/>
            <w:noWrap w:val="0"/>
            <w:vAlign w:val="center"/>
          </w:tcPr>
          <w:p>
            <w:pPr>
              <w:pStyle w:val="45"/>
              <w:spacing w:line="240" w:lineRule="auto"/>
              <w:jc w:val="center"/>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rPr>
              <w:t>100</w:t>
            </w:r>
            <w:r>
              <w:rPr>
                <w:rFonts w:hint="eastAsia" w:ascii="仿宋" w:hAnsi="仿宋" w:eastAsia="仿宋" w:cs="仿宋"/>
                <w:i w:val="0"/>
                <w:iCs w:val="0"/>
                <w:color w:val="auto"/>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300" w:type="pct"/>
            <w:vMerge w:val="continue"/>
            <w:noWrap w:val="0"/>
            <w:vAlign w:val="center"/>
          </w:tcPr>
          <w:p>
            <w:pPr>
              <w:autoSpaceDE w:val="0"/>
              <w:autoSpaceDN w:val="0"/>
              <w:spacing w:line="240" w:lineRule="auto"/>
              <w:jc w:val="center"/>
              <w:rPr>
                <w:rFonts w:hint="eastAsia" w:ascii="仿宋" w:hAnsi="仿宋" w:eastAsia="仿宋" w:cs="仿宋"/>
                <w:i w:val="0"/>
                <w:iCs w:val="0"/>
                <w:color w:val="auto"/>
                <w:sz w:val="24"/>
                <w:szCs w:val="24"/>
                <w:highlight w:val="none"/>
              </w:rPr>
            </w:pPr>
          </w:p>
        </w:tc>
        <w:tc>
          <w:tcPr>
            <w:tcW w:w="4699" w:type="pct"/>
            <w:gridSpan w:val="4"/>
            <w:noWrap w:val="0"/>
            <w:vAlign w:val="center"/>
          </w:tcPr>
          <w:p>
            <w:pPr>
              <w:pStyle w:val="45"/>
              <w:spacing w:line="240" w:lineRule="auto"/>
              <w:jc w:val="both"/>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注</w:t>
            </w:r>
            <w:r>
              <w:rPr>
                <w:rFonts w:hint="eastAsia" w:ascii="仿宋" w:hAnsi="仿宋" w:eastAsia="仿宋" w:cs="仿宋"/>
                <w:i w:val="0"/>
                <w:iCs w:val="0"/>
                <w:color w:val="auto"/>
                <w:sz w:val="24"/>
                <w:szCs w:val="24"/>
                <w:highlight w:val="none"/>
                <w:lang w:eastAsia="zh-CN"/>
              </w:rPr>
              <w:t>:</w:t>
            </w:r>
            <w:r>
              <w:rPr>
                <w:rFonts w:hint="eastAsia" w:ascii="仿宋" w:hAnsi="仿宋" w:eastAsia="仿宋" w:cs="仿宋"/>
                <w:i w:val="0"/>
                <w:iCs w:val="0"/>
                <w:color w:val="auto"/>
                <w:sz w:val="24"/>
                <w:szCs w:val="24"/>
                <w:highlight w:val="none"/>
              </w:rPr>
              <w:t>评分分值计算保留小数点后两位</w:t>
            </w:r>
            <w:r>
              <w:rPr>
                <w:rFonts w:hint="eastAsia" w:ascii="仿宋" w:hAnsi="仿宋" w:eastAsia="仿宋" w:cs="仿宋"/>
                <w:i w:val="0"/>
                <w:iCs w:val="0"/>
                <w:color w:val="auto"/>
                <w:sz w:val="24"/>
                <w:szCs w:val="24"/>
                <w:highlight w:val="none"/>
                <w:lang w:eastAsia="zh-CN"/>
              </w:rPr>
              <w:t>,</w:t>
            </w:r>
            <w:r>
              <w:rPr>
                <w:rFonts w:hint="eastAsia" w:ascii="仿宋" w:hAnsi="仿宋" w:eastAsia="仿宋" w:cs="仿宋"/>
                <w:i w:val="0"/>
                <w:iCs w:val="0"/>
                <w:color w:val="auto"/>
                <w:sz w:val="24"/>
                <w:szCs w:val="24"/>
                <w:highlight w:val="none"/>
              </w:rPr>
              <w:t>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702" w:type="pct"/>
            <w:gridSpan w:val="2"/>
            <w:noWrap w:val="0"/>
            <w:vAlign w:val="center"/>
          </w:tcPr>
          <w:p>
            <w:pPr>
              <w:pStyle w:val="49"/>
              <w:spacing w:line="240" w:lineRule="auto"/>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eastAsia="zh-CN"/>
              </w:rPr>
              <w:t>无效投标</w:t>
            </w:r>
            <w:r>
              <w:rPr>
                <w:rFonts w:hint="eastAsia" w:ascii="仿宋" w:hAnsi="仿宋" w:eastAsia="仿宋" w:cs="仿宋"/>
                <w:i w:val="0"/>
                <w:iCs w:val="0"/>
                <w:color w:val="auto"/>
                <w:sz w:val="24"/>
                <w:szCs w:val="24"/>
                <w:highlight w:val="none"/>
              </w:rPr>
              <w:t>条款</w:t>
            </w:r>
          </w:p>
        </w:tc>
        <w:tc>
          <w:tcPr>
            <w:tcW w:w="3816" w:type="pct"/>
            <w:gridSpan w:val="2"/>
            <w:noWrap w:val="0"/>
            <w:vAlign w:val="center"/>
          </w:tcPr>
          <w:p>
            <w:pPr>
              <w:pStyle w:val="49"/>
              <w:numPr>
                <w:ilvl w:val="0"/>
                <w:numId w:val="16"/>
              </w:numPr>
              <w:spacing w:line="240" w:lineRule="auto"/>
              <w:jc w:val="both"/>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rPr>
              <w:t>未按照</w:t>
            </w:r>
            <w:r>
              <w:rPr>
                <w:rFonts w:hint="eastAsia" w:ascii="仿宋" w:hAnsi="仿宋" w:eastAsia="仿宋" w:cs="仿宋"/>
                <w:i w:val="0"/>
                <w:iCs w:val="0"/>
                <w:color w:val="auto"/>
                <w:sz w:val="24"/>
                <w:szCs w:val="24"/>
                <w:highlight w:val="none"/>
                <w:lang w:val="en-US" w:eastAsia="zh-CN"/>
              </w:rPr>
              <w:t>招标文件</w:t>
            </w:r>
            <w:r>
              <w:rPr>
                <w:rFonts w:hint="eastAsia" w:ascii="仿宋" w:hAnsi="仿宋" w:eastAsia="仿宋" w:cs="仿宋"/>
                <w:i w:val="0"/>
                <w:iCs w:val="0"/>
                <w:color w:val="auto"/>
                <w:sz w:val="24"/>
                <w:szCs w:val="24"/>
                <w:highlight w:val="none"/>
              </w:rPr>
              <w:t>的规定提交投标保证金的</w:t>
            </w:r>
          </w:p>
          <w:p>
            <w:pPr>
              <w:pStyle w:val="49"/>
              <w:numPr>
                <w:ilvl w:val="0"/>
                <w:numId w:val="16"/>
              </w:numPr>
              <w:spacing w:line="240" w:lineRule="auto"/>
              <w:jc w:val="both"/>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rPr>
              <w:t>投标文件未按招标文件要求签署、盖章的</w:t>
            </w:r>
          </w:p>
          <w:p>
            <w:pPr>
              <w:pStyle w:val="49"/>
              <w:spacing w:line="240" w:lineRule="auto"/>
              <w:jc w:val="both"/>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rPr>
              <w:t>(3) 不具备招标文件中规定的资格要求</w:t>
            </w:r>
            <w:r>
              <w:rPr>
                <w:rFonts w:hint="eastAsia" w:ascii="仿宋" w:hAnsi="仿宋" w:eastAsia="仿宋" w:cs="仿宋"/>
                <w:i w:val="0"/>
                <w:iCs w:val="0"/>
                <w:color w:val="auto"/>
                <w:sz w:val="24"/>
                <w:szCs w:val="24"/>
                <w:highlight w:val="none"/>
                <w:lang w:val="en-US" w:eastAsia="zh-CN"/>
              </w:rPr>
              <w:t xml:space="preserve"> </w:t>
            </w:r>
          </w:p>
          <w:p>
            <w:pPr>
              <w:pStyle w:val="49"/>
              <w:spacing w:line="240" w:lineRule="auto"/>
              <w:jc w:val="both"/>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rPr>
              <w:t>(4) 报价超过招标文件中规定的预算金额或者最高限价的</w:t>
            </w:r>
          </w:p>
          <w:p>
            <w:pPr>
              <w:pStyle w:val="49"/>
              <w:spacing w:line="240" w:lineRule="auto"/>
              <w:jc w:val="both"/>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rPr>
              <w:t>(5) 投标文件含有采购人不能接受的附加条件的</w:t>
            </w:r>
          </w:p>
          <w:p>
            <w:pPr>
              <w:pStyle w:val="49"/>
              <w:spacing w:line="240" w:lineRule="auto"/>
              <w:jc w:val="both"/>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(6) 法律、法规和招标文件规定的其他无效情形</w:t>
            </w:r>
          </w:p>
        </w:tc>
        <w:tc>
          <w:tcPr>
            <w:tcW w:w="480" w:type="pct"/>
            <w:noWrap w:val="0"/>
            <w:vAlign w:val="center"/>
          </w:tcPr>
          <w:p>
            <w:pPr>
              <w:pStyle w:val="49"/>
              <w:spacing w:line="240" w:lineRule="auto"/>
              <w:jc w:val="center"/>
              <w:rPr>
                <w:rFonts w:hint="eastAsia" w:ascii="仿宋" w:hAnsi="仿宋" w:eastAsia="仿宋" w:cs="仿宋"/>
                <w:i w:val="0"/>
                <w:iCs w:val="0"/>
                <w:color w:val="auto"/>
                <w:sz w:val="24"/>
                <w:szCs w:val="24"/>
                <w:highlight w:val="none"/>
              </w:rPr>
            </w:pPr>
          </w:p>
        </w:tc>
      </w:tr>
    </w:tbl>
    <w:p>
      <w:pPr>
        <w:rPr>
          <w:rFonts w:hint="eastAsia"/>
          <w:color w:val="auto"/>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1、经评标委员会认可小、微企业产品和产品报价后，投标人相应产品政策计算公式如下：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中小微企业产品价格扣除后的投标人报价=投标人总报价-中小微企业产品报价*扣除幅度。（以价格扣除后的投标人报价作为评审依据）</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评标委员会应当执行连续评标的原则完成全部评标工作。只有发生不可抗力导致评标工作无法继续时，评标活动方可暂停。发生评标暂停情况时，评标委员会应当封存全部投标文件和评标记录，待不可抗力的影响结束且具备继续评标的条件时，由原评标委员会继续评标。</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除非发生下列情况之一，评标委员会成员不得在评标中途更换：(1)因不可抗拒的客观原因，不能到场或需在评标中途退出评标活动；(2)根据法律法规规定，某个或某几个评标委员会成员需要回避。退出评标的评标委员会成员，其已完成的评标行为无效。根据本招标文件规定的评标委员会成员产生方式另行确定替代者进行评标。</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4、在任何评标环节中，需评标委员会就某项评审结论做出表决的，由评标委员会全体成员按照少数服从多数的原则，以记名投票方式表决。</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5、确定成交投标人采购代理机构应当自评审结束之日起2个工作日内将评审报告送交 采购人。采购人应当自收到评审报告之日起5个工作日内在评审报告推荐的中标或者 成交候选人中按顺序确定中标或者成交投标人。</w:t>
      </w:r>
    </w:p>
    <w:p>
      <w:pPr>
        <w:spacing w:line="360" w:lineRule="auto"/>
        <w:ind w:firstLine="420" w:firstLineChars="200"/>
        <w:rPr>
          <w:rFonts w:hint="eastAsia" w:ascii="仿宋" w:hAnsi="仿宋" w:eastAsia="仿宋" w:cs="仿宋"/>
          <w:color w:val="auto"/>
          <w:highlight w:val="none"/>
        </w:rPr>
      </w:pPr>
    </w:p>
    <w:p>
      <w:pPr>
        <w:pStyle w:val="5"/>
        <w:rPr>
          <w:rFonts w:hint="eastAsia" w:ascii="仿宋" w:hAnsi="仿宋" w:eastAsia="仿宋" w:cs="仿宋"/>
          <w:color w:val="auto"/>
          <w:highlight w:val="none"/>
        </w:rPr>
      </w:pPr>
    </w:p>
    <w:p>
      <w:pPr>
        <w:pStyle w:val="7"/>
        <w:tabs>
          <w:tab w:val="left" w:pos="0"/>
        </w:tabs>
        <w:spacing w:line="240" w:lineRule="auto"/>
        <w:ind w:left="0" w:leftChars="0" w:firstLine="0" w:firstLineChars="0"/>
        <w:jc w:val="center"/>
        <w:outlineLvl w:val="0"/>
        <w:rPr>
          <w:rFonts w:hint="eastAsia" w:ascii="仿宋" w:hAnsi="仿宋" w:eastAsia="仿宋" w:cs="仿宋"/>
          <w:b/>
          <w:color w:val="auto"/>
          <w:sz w:val="36"/>
          <w:highlight w:val="none"/>
          <w:lang w:eastAsia="zh-CN"/>
        </w:rPr>
      </w:pPr>
      <w:bookmarkStart w:id="110" w:name="EB52f6984251c942469dcd80a82d573493"/>
      <w:bookmarkEnd w:id="110"/>
      <w:bookmarkStart w:id="111" w:name="_Toc14119"/>
      <w:bookmarkStart w:id="112" w:name="_Toc6623"/>
      <w:bookmarkStart w:id="113" w:name="_Toc30820"/>
      <w:bookmarkStart w:id="114" w:name="_Toc18735"/>
      <w:bookmarkStart w:id="115" w:name="_Toc18169"/>
      <w:bookmarkStart w:id="116" w:name="_Toc6447"/>
      <w:bookmarkStart w:id="117" w:name="_Toc15608"/>
      <w:bookmarkStart w:id="118" w:name="EB988aaeb746df41ed91835b8cac8f5d69"/>
      <w:r>
        <w:rPr>
          <w:rFonts w:hint="eastAsia" w:ascii="仿宋" w:hAnsi="仿宋" w:eastAsia="仿宋" w:cs="仿宋"/>
          <w:b/>
          <w:color w:val="auto"/>
          <w:sz w:val="36"/>
          <w:highlight w:val="none"/>
        </w:rPr>
        <w:t>第五部分</w:t>
      </w:r>
      <w:r>
        <w:rPr>
          <w:rFonts w:hint="eastAsia" w:ascii="仿宋" w:hAnsi="仿宋" w:eastAsia="仿宋" w:cs="仿宋"/>
          <w:b/>
          <w:color w:val="auto"/>
          <w:sz w:val="36"/>
          <w:highlight w:val="none"/>
          <w:lang w:val="en-US" w:eastAsia="zh-CN"/>
        </w:rPr>
        <w:t xml:space="preserve">   </w:t>
      </w:r>
      <w:r>
        <w:rPr>
          <w:rFonts w:hint="eastAsia" w:ascii="仿宋" w:hAnsi="仿宋" w:eastAsia="仿宋" w:cs="仿宋"/>
          <w:b/>
          <w:color w:val="auto"/>
          <w:sz w:val="36"/>
          <w:highlight w:val="none"/>
        </w:rPr>
        <w:t>政府采购合同</w:t>
      </w:r>
      <w:bookmarkEnd w:id="111"/>
      <w:bookmarkEnd w:id="112"/>
      <w:bookmarkEnd w:id="113"/>
      <w:bookmarkEnd w:id="114"/>
      <w:bookmarkEnd w:id="115"/>
      <w:bookmarkEnd w:id="116"/>
      <w:r>
        <w:rPr>
          <w:rFonts w:hint="eastAsia" w:ascii="仿宋" w:hAnsi="仿宋" w:eastAsia="仿宋" w:cs="仿宋"/>
          <w:b/>
          <w:color w:val="auto"/>
          <w:sz w:val="36"/>
          <w:highlight w:val="none"/>
          <w:lang w:eastAsia="zh-CN"/>
        </w:rPr>
        <w:t>（</w:t>
      </w:r>
      <w:r>
        <w:rPr>
          <w:rFonts w:hint="eastAsia" w:ascii="仿宋" w:hAnsi="仿宋" w:eastAsia="仿宋" w:cs="仿宋"/>
          <w:b/>
          <w:color w:val="auto"/>
          <w:sz w:val="36"/>
          <w:highlight w:val="none"/>
          <w:lang w:val="en-US" w:eastAsia="zh-CN"/>
        </w:rPr>
        <w:t>示范文本</w:t>
      </w:r>
      <w:r>
        <w:rPr>
          <w:rFonts w:hint="eastAsia" w:ascii="仿宋" w:hAnsi="仿宋" w:eastAsia="仿宋" w:cs="仿宋"/>
          <w:b/>
          <w:color w:val="auto"/>
          <w:sz w:val="36"/>
          <w:highlight w:val="none"/>
          <w:lang w:eastAsia="zh-CN"/>
        </w:rPr>
        <w:t>）</w:t>
      </w:r>
    </w:p>
    <w:p>
      <w:pPr>
        <w:rPr>
          <w:rFonts w:hint="eastAsia" w:ascii="仿宋" w:hAnsi="仿宋" w:eastAsia="仿宋" w:cs="仿宋"/>
          <w:color w:val="auto"/>
          <w:highlight w:val="none"/>
        </w:rPr>
      </w:pPr>
    </w:p>
    <w:p>
      <w:pPr>
        <w:pStyle w:val="51"/>
        <w:tabs>
          <w:tab w:val="left" w:pos="720"/>
        </w:tabs>
        <w:spacing w:line="360" w:lineRule="auto"/>
        <w:jc w:val="center"/>
        <w:rPr>
          <w:rFonts w:hint="eastAsia" w:ascii="仿宋" w:hAnsi="仿宋" w:eastAsia="仿宋" w:cs="仿宋"/>
          <w:b/>
          <w:color w:val="auto"/>
          <w:sz w:val="28"/>
          <w:szCs w:val="28"/>
          <w:highlight w:val="none"/>
          <w:u w:val="single"/>
        </w:rPr>
      </w:pPr>
    </w:p>
    <w:p>
      <w:pPr>
        <w:pStyle w:val="51"/>
        <w:tabs>
          <w:tab w:val="left" w:pos="720"/>
        </w:tabs>
        <w:spacing w:line="360" w:lineRule="auto"/>
        <w:jc w:val="center"/>
        <w:rPr>
          <w:rFonts w:hint="eastAsia" w:ascii="仿宋" w:hAnsi="仿宋" w:eastAsia="仿宋" w:cs="仿宋"/>
          <w:b/>
          <w:color w:val="auto"/>
          <w:sz w:val="28"/>
          <w:szCs w:val="28"/>
          <w:highlight w:val="none"/>
          <w:u w:val="single"/>
        </w:rPr>
      </w:pPr>
    </w:p>
    <w:p>
      <w:pPr>
        <w:pStyle w:val="51"/>
        <w:tabs>
          <w:tab w:val="left" w:pos="720"/>
        </w:tabs>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政府采购</w:t>
      </w:r>
    </w:p>
    <w:p>
      <w:pPr>
        <w:pStyle w:val="51"/>
        <w:tabs>
          <w:tab w:val="left" w:pos="720"/>
        </w:tabs>
        <w:spacing w:line="360" w:lineRule="auto"/>
        <w:jc w:val="center"/>
        <w:rPr>
          <w:rFonts w:hint="eastAsia" w:ascii="仿宋" w:hAnsi="仿宋" w:eastAsia="仿宋" w:cs="仿宋"/>
          <w:b/>
          <w:color w:val="auto"/>
          <w:sz w:val="28"/>
          <w:szCs w:val="28"/>
          <w:highlight w:val="none"/>
        </w:rPr>
      </w:pPr>
    </w:p>
    <w:p>
      <w:pPr>
        <w:pStyle w:val="51"/>
        <w:tabs>
          <w:tab w:val="left" w:pos="720"/>
        </w:tabs>
        <w:spacing w:line="360" w:lineRule="auto"/>
        <w:jc w:val="center"/>
        <w:rPr>
          <w:rFonts w:hint="eastAsia" w:ascii="仿宋" w:hAnsi="仿宋" w:eastAsia="仿宋" w:cs="仿宋"/>
          <w:b/>
          <w:color w:val="auto"/>
          <w:sz w:val="28"/>
          <w:szCs w:val="28"/>
          <w:highlight w:val="none"/>
        </w:rPr>
      </w:pPr>
    </w:p>
    <w:p>
      <w:pPr>
        <w:pStyle w:val="51"/>
        <w:tabs>
          <w:tab w:val="left" w:pos="720"/>
        </w:tabs>
        <w:spacing w:line="360" w:lineRule="auto"/>
        <w:rPr>
          <w:rFonts w:hint="eastAsia" w:ascii="仿宋" w:hAnsi="仿宋" w:eastAsia="仿宋" w:cs="仿宋"/>
          <w:b/>
          <w:color w:val="auto"/>
          <w:sz w:val="28"/>
          <w:szCs w:val="28"/>
          <w:highlight w:val="none"/>
        </w:rPr>
      </w:pPr>
    </w:p>
    <w:p>
      <w:pPr>
        <w:pStyle w:val="51"/>
        <w:tabs>
          <w:tab w:val="left" w:pos="720"/>
        </w:tabs>
        <w:spacing w:line="360" w:lineRule="auto"/>
        <w:rPr>
          <w:rFonts w:hint="eastAsia" w:ascii="仿宋" w:hAnsi="仿宋" w:eastAsia="仿宋" w:cs="仿宋"/>
          <w:b/>
          <w:color w:val="auto"/>
          <w:sz w:val="28"/>
          <w:szCs w:val="28"/>
          <w:highlight w:val="none"/>
        </w:rPr>
      </w:pPr>
    </w:p>
    <w:p>
      <w:pPr>
        <w:pStyle w:val="51"/>
        <w:tabs>
          <w:tab w:val="left" w:pos="720"/>
        </w:tabs>
        <w:spacing w:line="360" w:lineRule="auto"/>
        <w:rPr>
          <w:rFonts w:hint="eastAsia" w:ascii="仿宋" w:hAnsi="仿宋" w:eastAsia="仿宋" w:cs="仿宋"/>
          <w:b/>
          <w:color w:val="auto"/>
          <w:sz w:val="28"/>
          <w:szCs w:val="28"/>
          <w:highlight w:val="none"/>
        </w:rPr>
      </w:pPr>
    </w:p>
    <w:p>
      <w:pPr>
        <w:pStyle w:val="51"/>
        <w:tabs>
          <w:tab w:val="left" w:pos="720"/>
        </w:tabs>
        <w:spacing w:line="360" w:lineRule="auto"/>
        <w:ind w:firstLine="1110" w:firstLineChars="395"/>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rPr>
        <w:t>采购编号：</w:t>
      </w:r>
    </w:p>
    <w:p>
      <w:pPr>
        <w:pStyle w:val="51"/>
        <w:tabs>
          <w:tab w:val="left" w:pos="720"/>
        </w:tabs>
        <w:spacing w:line="360" w:lineRule="auto"/>
        <w:rPr>
          <w:rFonts w:hint="eastAsia" w:ascii="仿宋" w:hAnsi="仿宋" w:eastAsia="仿宋" w:cs="仿宋"/>
          <w:b/>
          <w:color w:val="auto"/>
          <w:sz w:val="28"/>
          <w:szCs w:val="28"/>
          <w:highlight w:val="none"/>
        </w:rPr>
      </w:pPr>
    </w:p>
    <w:p>
      <w:pPr>
        <w:pStyle w:val="51"/>
        <w:tabs>
          <w:tab w:val="left" w:pos="720"/>
        </w:tabs>
        <w:spacing w:line="360" w:lineRule="auto"/>
        <w:ind w:firstLine="1110" w:firstLineChars="395"/>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rPr>
        <w:t>项目名称：</w:t>
      </w:r>
    </w:p>
    <w:p>
      <w:pPr>
        <w:pStyle w:val="51"/>
        <w:tabs>
          <w:tab w:val="left" w:pos="720"/>
        </w:tabs>
        <w:spacing w:line="360" w:lineRule="auto"/>
        <w:rPr>
          <w:rFonts w:hint="eastAsia" w:ascii="仿宋" w:hAnsi="仿宋" w:eastAsia="仿宋" w:cs="仿宋"/>
          <w:b/>
          <w:color w:val="auto"/>
          <w:sz w:val="28"/>
          <w:szCs w:val="28"/>
          <w:highlight w:val="none"/>
        </w:rPr>
      </w:pPr>
    </w:p>
    <w:p>
      <w:pPr>
        <w:pStyle w:val="51"/>
        <w:tabs>
          <w:tab w:val="left" w:pos="720"/>
        </w:tabs>
        <w:spacing w:line="360" w:lineRule="auto"/>
        <w:rPr>
          <w:rFonts w:hint="eastAsia" w:ascii="仿宋" w:hAnsi="仿宋" w:eastAsia="仿宋" w:cs="仿宋"/>
          <w:b/>
          <w:color w:val="auto"/>
          <w:sz w:val="28"/>
          <w:szCs w:val="28"/>
          <w:highlight w:val="none"/>
        </w:rPr>
      </w:pPr>
    </w:p>
    <w:p>
      <w:pPr>
        <w:pStyle w:val="51"/>
        <w:tabs>
          <w:tab w:val="left" w:pos="720"/>
        </w:tabs>
        <w:spacing w:line="360" w:lineRule="auto"/>
        <w:rPr>
          <w:rFonts w:hint="eastAsia" w:ascii="仿宋" w:hAnsi="仿宋" w:eastAsia="仿宋" w:cs="仿宋"/>
          <w:b/>
          <w:color w:val="auto"/>
          <w:sz w:val="28"/>
          <w:szCs w:val="28"/>
          <w:highlight w:val="none"/>
        </w:rPr>
      </w:pPr>
    </w:p>
    <w:p>
      <w:pPr>
        <w:pStyle w:val="51"/>
        <w:tabs>
          <w:tab w:val="left" w:pos="720"/>
        </w:tabs>
        <w:spacing w:line="360" w:lineRule="auto"/>
        <w:rPr>
          <w:rFonts w:hint="eastAsia" w:ascii="仿宋" w:hAnsi="仿宋" w:eastAsia="仿宋" w:cs="仿宋"/>
          <w:b/>
          <w:color w:val="auto"/>
          <w:sz w:val="28"/>
          <w:szCs w:val="28"/>
          <w:highlight w:val="none"/>
        </w:rPr>
      </w:pPr>
    </w:p>
    <w:p>
      <w:pPr>
        <w:pStyle w:val="51"/>
        <w:tabs>
          <w:tab w:val="left" w:pos="720"/>
        </w:tabs>
        <w:spacing w:line="360" w:lineRule="auto"/>
        <w:rPr>
          <w:rFonts w:hint="eastAsia" w:ascii="仿宋" w:hAnsi="仿宋" w:eastAsia="仿宋" w:cs="仿宋"/>
          <w:b/>
          <w:color w:val="auto"/>
          <w:sz w:val="28"/>
          <w:szCs w:val="28"/>
          <w:highlight w:val="none"/>
        </w:rPr>
      </w:pPr>
    </w:p>
    <w:p>
      <w:pPr>
        <w:pStyle w:val="51"/>
        <w:tabs>
          <w:tab w:val="left" w:pos="720"/>
        </w:tabs>
        <w:spacing w:line="360" w:lineRule="auto"/>
        <w:rPr>
          <w:rFonts w:hint="eastAsia" w:ascii="仿宋" w:hAnsi="仿宋" w:eastAsia="仿宋" w:cs="仿宋"/>
          <w:b/>
          <w:color w:val="auto"/>
          <w:sz w:val="28"/>
          <w:szCs w:val="28"/>
          <w:highlight w:val="none"/>
        </w:rPr>
      </w:pPr>
    </w:p>
    <w:p>
      <w:pPr>
        <w:pStyle w:val="51"/>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注：本协议书仅为参考文本，签订双方可根据项目的具体要求进行修订。</w:t>
      </w:r>
    </w:p>
    <w:p>
      <w:pPr>
        <w:pStyle w:val="34"/>
        <w:spacing w:line="360" w:lineRule="auto"/>
        <w:ind w:firstLine="480" w:firstLineChars="200"/>
        <w:jc w:val="left"/>
        <w:outlineLvl w:val="9"/>
        <w:rPr>
          <w:rFonts w:hint="eastAsia" w:ascii="仿宋" w:hAnsi="仿宋" w:eastAsia="仿宋" w:cs="仿宋"/>
          <w:sz w:val="24"/>
          <w:szCs w:val="24"/>
          <w:highlight w:val="none"/>
        </w:rPr>
        <w:sectPr>
          <w:pgSz w:w="11906" w:h="16838"/>
          <w:pgMar w:top="1440" w:right="1797" w:bottom="1440" w:left="1797" w:header="851" w:footer="992" w:gutter="0"/>
          <w:pgNumType w:fmt="decimal"/>
          <w:cols w:space="720" w:num="1"/>
          <w:titlePg/>
          <w:docGrid w:type="lines" w:linePitch="312" w:charSpace="0"/>
        </w:sectPr>
      </w:pPr>
    </w:p>
    <w:p>
      <w:pPr>
        <w:pStyle w:val="34"/>
        <w:spacing w:line="360" w:lineRule="auto"/>
        <w:ind w:firstLine="480" w:firstLineChars="200"/>
        <w:jc w:val="left"/>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（甲方）所需</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(项目名称)</w:t>
      </w:r>
      <w:r>
        <w:rPr>
          <w:rFonts w:hint="eastAsia" w:ascii="仿宋" w:hAnsi="仿宋" w:eastAsia="仿宋" w:cs="仿宋"/>
          <w:sz w:val="24"/>
          <w:szCs w:val="24"/>
          <w:highlight w:val="none"/>
        </w:rPr>
        <w:t>经</w:t>
      </w:r>
      <w:r>
        <w:rPr>
          <w:rFonts w:hint="eastAsia" w:ascii="仿宋" w:hAnsi="仿宋" w:eastAsia="仿宋" w:cs="仿宋"/>
          <w:sz w:val="24"/>
          <w:szCs w:val="24"/>
          <w:highlight w:val="none"/>
          <w:lang w:val="en-US" w:eastAsia="zh-CN"/>
        </w:rPr>
        <w:t>新疆锦辰工程项目管理有限公司</w:t>
      </w:r>
      <w:r>
        <w:rPr>
          <w:rFonts w:hint="eastAsia" w:ascii="仿宋" w:hAnsi="仿宋" w:eastAsia="仿宋" w:cs="仿宋"/>
          <w:sz w:val="24"/>
          <w:szCs w:val="24"/>
          <w:highlight w:val="none"/>
        </w:rPr>
        <w:t>以公开招标方式进行采购。经评标委员会</w:t>
      </w:r>
      <w:r>
        <w:rPr>
          <w:rFonts w:hint="eastAsia" w:ascii="仿宋" w:hAnsi="仿宋" w:eastAsia="仿宋" w:cs="仿宋"/>
          <w:sz w:val="24"/>
          <w:szCs w:val="24"/>
          <w:highlight w:val="none"/>
          <w:lang w:val="en-US" w:eastAsia="zh-CN"/>
        </w:rPr>
        <w:t>推荐，</w:t>
      </w:r>
      <w:r>
        <w:rPr>
          <w:rFonts w:hint="eastAsia" w:ascii="仿宋" w:hAnsi="仿宋" w:eastAsia="仿宋" w:cs="仿宋"/>
          <w:sz w:val="24"/>
          <w:szCs w:val="24"/>
          <w:highlight w:val="none"/>
        </w:rPr>
        <w:t>确定         （乙方）为中标人。甲、乙双方根据《中华人民共和国政府采购法》、《中华人民共和国民法典》等相关法律以及本项目招标文件的规定，经平等协商达成合同如下</w:t>
      </w:r>
      <w:r>
        <w:rPr>
          <w:rFonts w:hint="eastAsia" w:ascii="仿宋" w:hAnsi="仿宋" w:eastAsia="仿宋" w:cs="仿宋"/>
          <w:sz w:val="24"/>
          <w:szCs w:val="24"/>
          <w:highlight w:val="none"/>
          <w:lang w:eastAsia="zh-CN"/>
        </w:rPr>
        <w:t>:</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一、合同文件</w:t>
      </w:r>
    </w:p>
    <w:p>
      <w:pPr>
        <w:pStyle w:val="34"/>
        <w:spacing w:line="360" w:lineRule="auto"/>
        <w:ind w:firstLine="480" w:firstLineChars="200"/>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本合同所附下列文件是构成本合同不可分割的部分</w:t>
      </w:r>
      <w:r>
        <w:rPr>
          <w:rFonts w:hint="eastAsia" w:ascii="仿宋" w:hAnsi="仿宋" w:eastAsia="仿宋" w:cs="仿宋"/>
          <w:sz w:val="24"/>
          <w:szCs w:val="24"/>
          <w:highlight w:val="none"/>
          <w:lang w:eastAsia="zh-CN"/>
        </w:rPr>
        <w:t>:</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（一）本项目招标文件</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（二）中标人投标文件</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（三）合同格式、合同条款</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（四）中标人在评标过程中做出的有关澄清、说明或者补正文件</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（五）中标通知书</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（六）本合同附件</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二、合同的范围和条件</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本合同的范围和条件应与上述合同文件的规定相一致。</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三、货物、数量及规格</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本合同所提供的货物、数量及规格详见合同货物清单（附件一）（同投标文件中报价明细表，下同）。</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四、合同金额</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根据上述合同文件要求，合同金额为人民币         元，大写</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 xml:space="preserve">         。（分项价格详见合同货物清单）。</w:t>
      </w:r>
    </w:p>
    <w:p>
      <w:pPr>
        <w:pStyle w:val="34"/>
        <w:spacing w:line="360" w:lineRule="auto"/>
        <w:ind w:firstLine="480" w:firstLineChars="200"/>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乙方开户单位</w:t>
      </w:r>
      <w:r>
        <w:rPr>
          <w:rFonts w:hint="eastAsia" w:ascii="仿宋" w:hAnsi="仿宋" w:eastAsia="仿宋" w:cs="仿宋"/>
          <w:sz w:val="24"/>
          <w:szCs w:val="24"/>
          <w:highlight w:val="none"/>
          <w:lang w:eastAsia="zh-CN"/>
        </w:rPr>
        <w:t>:</w:t>
      </w:r>
    </w:p>
    <w:p>
      <w:pPr>
        <w:pStyle w:val="34"/>
        <w:spacing w:line="360" w:lineRule="auto"/>
        <w:ind w:firstLine="480" w:firstLineChars="200"/>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开户银行</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 xml:space="preserve">                           帐号</w:t>
      </w:r>
      <w:r>
        <w:rPr>
          <w:rFonts w:hint="eastAsia" w:ascii="仿宋" w:hAnsi="仿宋" w:eastAsia="仿宋" w:cs="仿宋"/>
          <w:sz w:val="24"/>
          <w:szCs w:val="24"/>
          <w:highlight w:val="none"/>
          <w:lang w:eastAsia="zh-CN"/>
        </w:rPr>
        <w:t>:</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五、付款途径</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 国库集中支付   □甲方支付    □ 国库与甲方共同支付</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 财政性资金       元          □ 自筹性资金         元</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属国库集中支付的财政性资金，甲方应按合同约定的付款期限，通过《新疆兵团政府采购管理系统》及时向财政部门报送资金支付申请，财政部门对支付申请审核无误后，将货款直接支付至乙方账户。</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六、付款方式</w:t>
      </w:r>
    </w:p>
    <w:p>
      <w:pPr>
        <w:pStyle w:val="34"/>
        <w:spacing w:line="360" w:lineRule="auto"/>
        <w:ind w:firstLine="480" w:firstLineChars="200"/>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付款方式</w:t>
      </w:r>
      <w:r>
        <w:rPr>
          <w:rFonts w:hint="eastAsia" w:ascii="仿宋" w:hAnsi="仿宋" w:eastAsia="仿宋" w:cs="仿宋"/>
          <w:sz w:val="24"/>
          <w:szCs w:val="24"/>
          <w:highlight w:val="none"/>
          <w:lang w:eastAsia="zh-CN"/>
        </w:rPr>
        <w:t>:</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七、交付日期、地点</w:t>
      </w:r>
    </w:p>
    <w:p>
      <w:pPr>
        <w:pStyle w:val="34"/>
        <w:spacing w:line="360" w:lineRule="auto"/>
        <w:ind w:firstLine="480" w:firstLineChars="200"/>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1、交付日期</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 xml:space="preserve"> </w:t>
      </w:r>
    </w:p>
    <w:p>
      <w:pPr>
        <w:pStyle w:val="34"/>
        <w:spacing w:line="360" w:lineRule="auto"/>
        <w:ind w:firstLine="480" w:firstLineChars="200"/>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2、交付地点</w:t>
      </w:r>
      <w:r>
        <w:rPr>
          <w:rFonts w:hint="eastAsia" w:ascii="仿宋" w:hAnsi="仿宋" w:eastAsia="仿宋" w:cs="仿宋"/>
          <w:sz w:val="24"/>
          <w:szCs w:val="24"/>
          <w:highlight w:val="none"/>
          <w:lang w:eastAsia="zh-CN"/>
        </w:rPr>
        <w:t>:</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八、履约保证金</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履约保证金在项目交付验收合格无质量问题后，填写《履约保证金退付表》、《政府采购项目验收单》和资金往来收款收据交招标人后20个工作日内退还。九、合同生效</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本合同经甲乙双方签字盖章，乙方提交履约保证金后生效。</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十、合同保存</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本合同</w:t>
      </w:r>
      <w:r>
        <w:rPr>
          <w:rFonts w:hint="eastAsia" w:ascii="仿宋" w:hAnsi="仿宋" w:eastAsia="仿宋" w:cs="仿宋"/>
          <w:sz w:val="24"/>
          <w:szCs w:val="24"/>
          <w:highlight w:val="none"/>
          <w:lang w:eastAsia="zh-CN"/>
        </w:rPr>
        <w:t>一</w:t>
      </w:r>
      <w:r>
        <w:rPr>
          <w:rFonts w:hint="eastAsia" w:ascii="仿宋" w:hAnsi="仿宋" w:eastAsia="仿宋" w:cs="仿宋"/>
          <w:sz w:val="24"/>
          <w:szCs w:val="24"/>
          <w:highlight w:val="none"/>
        </w:rPr>
        <w:t>式</w:t>
      </w:r>
      <w:r>
        <w:rPr>
          <w:rFonts w:hint="eastAsia" w:ascii="仿宋" w:hAnsi="仿宋" w:eastAsia="仿宋" w:cs="仿宋"/>
          <w:sz w:val="24"/>
          <w:szCs w:val="24"/>
          <w:highlight w:val="none"/>
          <w:lang w:eastAsia="zh-CN"/>
        </w:rPr>
        <w:t>叁</w:t>
      </w:r>
      <w:r>
        <w:rPr>
          <w:rFonts w:hint="eastAsia" w:ascii="仿宋" w:hAnsi="仿宋" w:eastAsia="仿宋" w:cs="仿宋"/>
          <w:sz w:val="24"/>
          <w:szCs w:val="24"/>
          <w:highlight w:val="none"/>
        </w:rPr>
        <w:t>份，甲方</w:t>
      </w:r>
      <w:r>
        <w:rPr>
          <w:rFonts w:hint="eastAsia" w:ascii="仿宋" w:hAnsi="仿宋" w:eastAsia="仿宋" w:cs="仿宋"/>
          <w:sz w:val="24"/>
          <w:szCs w:val="24"/>
          <w:highlight w:val="none"/>
          <w:lang w:eastAsia="zh-CN"/>
        </w:rPr>
        <w:t>贰</w:t>
      </w:r>
      <w:r>
        <w:rPr>
          <w:rFonts w:hint="eastAsia" w:ascii="仿宋" w:hAnsi="仿宋" w:eastAsia="仿宋" w:cs="仿宋"/>
          <w:sz w:val="24"/>
          <w:szCs w:val="24"/>
          <w:highlight w:val="none"/>
        </w:rPr>
        <w:t>份，乙方一份</w:t>
      </w:r>
      <w:r>
        <w:rPr>
          <w:rFonts w:hint="eastAsia" w:ascii="仿宋" w:hAnsi="仿宋" w:eastAsia="仿宋" w:cs="仿宋"/>
          <w:sz w:val="24"/>
          <w:szCs w:val="24"/>
          <w:highlight w:val="none"/>
          <w:lang w:eastAsia="zh-CN"/>
        </w:rPr>
        <w:t>，具有同等法律效应</w:t>
      </w:r>
      <w:r>
        <w:rPr>
          <w:rFonts w:hint="eastAsia" w:ascii="仿宋" w:hAnsi="仿宋" w:eastAsia="仿宋" w:cs="仿宋"/>
          <w:sz w:val="24"/>
          <w:szCs w:val="24"/>
          <w:highlight w:val="none"/>
        </w:rPr>
        <w:t>。</w:t>
      </w:r>
    </w:p>
    <w:p>
      <w:pPr>
        <w:pStyle w:val="34"/>
        <w:spacing w:line="360" w:lineRule="auto"/>
        <w:ind w:firstLine="480" w:firstLineChars="200"/>
        <w:outlineLvl w:val="9"/>
        <w:rPr>
          <w:rFonts w:hint="eastAsia" w:ascii="仿宋" w:hAnsi="仿宋" w:eastAsia="仿宋" w:cs="仿宋"/>
          <w:sz w:val="24"/>
          <w:szCs w:val="24"/>
          <w:highlight w:val="none"/>
        </w:rPr>
      </w:pPr>
    </w:p>
    <w:p>
      <w:pPr>
        <w:pStyle w:val="34"/>
        <w:spacing w:line="360" w:lineRule="auto"/>
        <w:ind w:firstLine="480" w:firstLineChars="200"/>
        <w:outlineLvl w:val="9"/>
        <w:rPr>
          <w:rFonts w:hint="eastAsia" w:ascii="仿宋" w:hAnsi="仿宋" w:eastAsia="仿宋" w:cs="仿宋"/>
          <w:sz w:val="24"/>
          <w:szCs w:val="24"/>
          <w:highlight w:val="none"/>
        </w:rPr>
      </w:pPr>
    </w:p>
    <w:p>
      <w:pPr>
        <w:pStyle w:val="34"/>
        <w:spacing w:line="360" w:lineRule="auto"/>
        <w:ind w:firstLine="480" w:firstLineChars="200"/>
        <w:outlineLvl w:val="9"/>
        <w:rPr>
          <w:rFonts w:hint="eastAsia" w:ascii="仿宋" w:hAnsi="仿宋" w:eastAsia="仿宋" w:cs="仿宋"/>
          <w:sz w:val="24"/>
          <w:szCs w:val="24"/>
          <w:highlight w:val="none"/>
        </w:rPr>
      </w:pPr>
    </w:p>
    <w:p>
      <w:pPr>
        <w:pStyle w:val="34"/>
        <w:spacing w:line="360" w:lineRule="auto"/>
        <w:ind w:firstLine="480" w:firstLineChars="200"/>
        <w:outlineLvl w:val="9"/>
        <w:rPr>
          <w:rFonts w:hint="eastAsia" w:ascii="仿宋" w:hAnsi="仿宋" w:eastAsia="仿宋" w:cs="仿宋"/>
          <w:sz w:val="24"/>
          <w:szCs w:val="24"/>
          <w:highlight w:val="none"/>
          <w:lang w:eastAsia="zh-CN"/>
        </w:rPr>
      </w:pPr>
      <w:bookmarkStart w:id="119" w:name="_Toc23214"/>
      <w:bookmarkStart w:id="120" w:name="_Toc25383"/>
      <w:bookmarkStart w:id="121" w:name="_Toc25449"/>
      <w:bookmarkStart w:id="122" w:name="_Toc1894"/>
      <w:r>
        <w:rPr>
          <w:rFonts w:hint="eastAsia" w:ascii="仿宋" w:hAnsi="仿宋" w:eastAsia="仿宋" w:cs="仿宋"/>
          <w:sz w:val="24"/>
          <w:szCs w:val="24"/>
          <w:highlight w:val="none"/>
        </w:rPr>
        <w:t>甲    方</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 xml:space="preserve">                            乙    方</w:t>
      </w:r>
      <w:bookmarkEnd w:id="119"/>
      <w:bookmarkEnd w:id="120"/>
      <w:bookmarkEnd w:id="121"/>
      <w:bookmarkEnd w:id="122"/>
      <w:r>
        <w:rPr>
          <w:rFonts w:hint="eastAsia" w:ascii="仿宋" w:hAnsi="仿宋" w:eastAsia="仿宋" w:cs="仿宋"/>
          <w:sz w:val="24"/>
          <w:szCs w:val="24"/>
          <w:highlight w:val="none"/>
          <w:lang w:eastAsia="zh-CN"/>
        </w:rPr>
        <w:t>:</w:t>
      </w:r>
    </w:p>
    <w:p>
      <w:pPr>
        <w:pStyle w:val="34"/>
        <w:spacing w:line="360" w:lineRule="auto"/>
        <w:ind w:firstLine="480" w:firstLineChars="200"/>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单位名称(公章)</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 xml:space="preserve">                      单位名称(公章)</w:t>
      </w:r>
      <w:r>
        <w:rPr>
          <w:rFonts w:hint="eastAsia" w:ascii="仿宋" w:hAnsi="仿宋" w:eastAsia="仿宋" w:cs="仿宋"/>
          <w:sz w:val="24"/>
          <w:szCs w:val="24"/>
          <w:highlight w:val="none"/>
          <w:lang w:eastAsia="zh-CN"/>
        </w:rPr>
        <w:t>:</w:t>
      </w:r>
    </w:p>
    <w:p>
      <w:pPr>
        <w:pStyle w:val="34"/>
        <w:spacing w:line="360" w:lineRule="auto"/>
        <w:ind w:firstLine="480" w:firstLineChars="200"/>
        <w:outlineLvl w:val="9"/>
        <w:rPr>
          <w:rFonts w:hint="eastAsia" w:ascii="仿宋" w:hAnsi="仿宋" w:eastAsia="仿宋" w:cs="仿宋"/>
          <w:sz w:val="24"/>
          <w:szCs w:val="24"/>
          <w:highlight w:val="none"/>
        </w:rPr>
      </w:pP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法定代表人或授权代理人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（签字）      法定代表人或授权代理人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（签字）</w:t>
      </w:r>
    </w:p>
    <w:p>
      <w:pPr>
        <w:pStyle w:val="34"/>
        <w:spacing w:line="360" w:lineRule="auto"/>
        <w:ind w:firstLine="480" w:firstLineChars="200"/>
        <w:outlineLvl w:val="9"/>
        <w:rPr>
          <w:rFonts w:hint="eastAsia" w:ascii="仿宋" w:hAnsi="仿宋" w:eastAsia="仿宋" w:cs="仿宋"/>
          <w:sz w:val="24"/>
          <w:szCs w:val="24"/>
          <w:highlight w:val="none"/>
        </w:rPr>
      </w:pPr>
    </w:p>
    <w:p>
      <w:pPr>
        <w:pStyle w:val="34"/>
        <w:spacing w:line="360" w:lineRule="auto"/>
        <w:ind w:firstLine="480" w:firstLineChars="200"/>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电    话</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 xml:space="preserve">                            电    话</w:t>
      </w:r>
      <w:r>
        <w:rPr>
          <w:rFonts w:hint="eastAsia" w:ascii="仿宋" w:hAnsi="仿宋" w:eastAsia="仿宋" w:cs="仿宋"/>
          <w:sz w:val="24"/>
          <w:szCs w:val="24"/>
          <w:highlight w:val="none"/>
          <w:lang w:eastAsia="zh-CN"/>
        </w:rPr>
        <w:t>:</w:t>
      </w:r>
    </w:p>
    <w:p>
      <w:pPr>
        <w:pStyle w:val="34"/>
        <w:spacing w:line="360" w:lineRule="auto"/>
        <w:ind w:firstLine="480" w:firstLineChars="200"/>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签订日期</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 xml:space="preserve">                            签订日期</w:t>
      </w:r>
      <w:r>
        <w:rPr>
          <w:rFonts w:hint="eastAsia" w:ascii="仿宋" w:hAnsi="仿宋" w:eastAsia="仿宋" w:cs="仿宋"/>
          <w:sz w:val="24"/>
          <w:szCs w:val="24"/>
          <w:highlight w:val="none"/>
          <w:lang w:eastAsia="zh-CN"/>
        </w:rPr>
        <w:t>:</w:t>
      </w:r>
    </w:p>
    <w:p>
      <w:pPr>
        <w:pStyle w:val="34"/>
        <w:spacing w:line="360" w:lineRule="auto"/>
        <w:ind w:firstLine="480" w:firstLineChars="200"/>
        <w:outlineLvl w:val="9"/>
        <w:rPr>
          <w:rFonts w:hint="eastAsia" w:ascii="仿宋" w:hAnsi="仿宋" w:eastAsia="仿宋" w:cs="仿宋"/>
          <w:sz w:val="24"/>
          <w:szCs w:val="24"/>
          <w:highlight w:val="none"/>
        </w:rPr>
      </w:pPr>
    </w:p>
    <w:p>
      <w:pPr>
        <w:pStyle w:val="34"/>
        <w:spacing w:line="360" w:lineRule="auto"/>
        <w:ind w:firstLine="482" w:firstLineChars="200"/>
        <w:outlineLvl w:val="9"/>
        <w:rPr>
          <w:rFonts w:hint="eastAsia" w:ascii="仿宋" w:hAnsi="仿宋" w:eastAsia="仿宋" w:cs="仿宋"/>
          <w:sz w:val="24"/>
          <w:szCs w:val="24"/>
          <w:highlight w:val="none"/>
        </w:rPr>
      </w:pPr>
      <w:r>
        <w:rPr>
          <w:rFonts w:hint="eastAsia" w:ascii="宋体" w:hAnsi="宋体"/>
          <w:b/>
          <w:color w:val="000000"/>
          <w:kern w:val="0"/>
          <w:sz w:val="24"/>
          <w:highlight w:val="none"/>
        </w:rPr>
        <w:br w:type="page"/>
      </w:r>
      <w:r>
        <w:rPr>
          <w:rFonts w:hint="eastAsia" w:ascii="仿宋" w:hAnsi="仿宋" w:eastAsia="仿宋" w:cs="仿宋"/>
          <w:sz w:val="24"/>
          <w:szCs w:val="24"/>
          <w:highlight w:val="none"/>
        </w:rPr>
        <w:t>二、合同条款</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甲方在本项目中所需货物和服务由新疆锦辰工程项目管理有限公司在国内进行公开招标，经评标委员会评定，确定乙方为中标人。甲乙双方根据《中华人民共和国政府采购法》、《中华人民共和国民法典》等相关法律法规以及本项目招标文件的规定，经平等协商达成合同如下</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 xml:space="preserve"> </w:t>
      </w:r>
      <w:bookmarkStart w:id="123" w:name="_Toc86202594"/>
      <w:bookmarkStart w:id="124" w:name="_Toc175644041"/>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一、定义</w:t>
      </w:r>
      <w:bookmarkEnd w:id="123"/>
      <w:bookmarkEnd w:id="124"/>
    </w:p>
    <w:p>
      <w:pPr>
        <w:pStyle w:val="34"/>
        <w:spacing w:line="360" w:lineRule="auto"/>
        <w:ind w:firstLine="480" w:firstLineChars="200"/>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除非另有特别解释或说明，在本合同及与本合同相关的，双方另行签署的其他文件（包括但不限于本合同的附件）中，下述词语均依如下定义进行解释</w:t>
      </w:r>
      <w:r>
        <w:rPr>
          <w:rFonts w:hint="eastAsia" w:ascii="仿宋" w:hAnsi="仿宋" w:eastAsia="仿宋" w:cs="仿宋"/>
          <w:sz w:val="24"/>
          <w:szCs w:val="24"/>
          <w:highlight w:val="none"/>
          <w:lang w:eastAsia="zh-CN"/>
        </w:rPr>
        <w:t>:</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1、“合同”指甲乙双方签署的，与本项目相关的协议、附件、附录和其他一切文件，还包括招标文件、投标文件中的相关内容及其有效补充文件。</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2、“附件”是指与本合同的订立、履行有关的，经甲乙双方认可的，对本合同约定的内容进行细化、补充、修改、变更的文件、图纸、音像制品等资料。</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3、“货物”指合同货物清单（附件1）（同投标文件中货物明细表，下同）中所规定的硬件、软件、安装材料、备件及专用器具、文件资料等内容。</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4、“服务”指根据合同规定乙方应承担的与供货有关的辅助服务，包括（但不限于）合同货物的乙方付费办妥清关、乙方付费运输、保险、安装、测试、调试、培训、维修、提供技术指导和支持、保修期外的维护以及其他类似的义务。</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5、“检验”指按照本合同约定的标准对合同货物进行的检测与查验。</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6、“政府采购项目验收单”指甲、乙双方验收完成后由合同双方签署的最终验收确认书。</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7、“技术资料”指安装、调试、使用、维修合同货物所应具备的产品使用说明书和／或使用指南、操作手册、维修指南、服务手册、电路图、产品演示等文件。</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8、“保修期”指自验收单签署之日起，乙方免费对所卖给甲方货物更换整件或零部件，维修、保养及技术支持、产品升级并以自担费用方式保证项目正常运行的时期。</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9、“第三人”是指本合同双方以外的任何中国境内、外的自然人、法人或其他经济组织。</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10、“法律、法规”是指由中国有关部门制定的法律、行政法规、地方性法规、规章及其他规范性文件以及经全国人民代表大会常务委员会批准的中国缔结、参加的国际条（公）约的有关规定。</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11、“招标文件”指采购代理机构发布的本项目招标文件。</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12、“投标文件”指乙方按照本项目招标文件的要求编制和投递，并最终经采购代理机构接收的投标文件。</w:t>
      </w:r>
    </w:p>
    <w:p>
      <w:pPr>
        <w:pStyle w:val="34"/>
        <w:spacing w:line="360" w:lineRule="auto"/>
        <w:ind w:firstLine="480" w:firstLineChars="200"/>
        <w:outlineLvl w:val="9"/>
        <w:rPr>
          <w:rFonts w:hint="eastAsia" w:ascii="仿宋" w:hAnsi="仿宋" w:eastAsia="仿宋" w:cs="仿宋"/>
          <w:sz w:val="24"/>
          <w:szCs w:val="24"/>
          <w:highlight w:val="none"/>
        </w:rPr>
      </w:pPr>
      <w:bookmarkStart w:id="125" w:name="_Toc86202595"/>
      <w:bookmarkStart w:id="126" w:name="_Toc175644043"/>
      <w:r>
        <w:rPr>
          <w:rFonts w:hint="eastAsia" w:ascii="仿宋" w:hAnsi="仿宋" w:eastAsia="仿宋" w:cs="仿宋"/>
          <w:sz w:val="24"/>
          <w:szCs w:val="24"/>
          <w:highlight w:val="none"/>
        </w:rPr>
        <w:t>二、货物、数量及规格</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本合同所提供的货物、数量及规格详见合同货物清单（附件一）（同投标文件中报价明细表）。</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三、合同价格</w:t>
      </w:r>
      <w:bookmarkEnd w:id="125"/>
      <w:bookmarkEnd w:id="126"/>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1、合同金额详见合同格式。</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除有另行规定外，本合同价格包括设备金额及运输、财产保险及第三方损害赔偿保险、安装、调试、及安装位置调整布置、使用环境形成或恢复以及相关服务等费用，是在项目交付前、交付时所发生或引起的本合同相关的全部成本、费用等，以及依约在交付后所需承担的维修、保养、技术支持、产品升级等售后服务价格的总和，且为完税后价格。</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3、合同货物详细目录及销售价格详见合同格式附件1合同货物清单（同投标文件中报价明细表）。</w:t>
      </w:r>
      <w:bookmarkStart w:id="127" w:name="_Toc175644044"/>
      <w:bookmarkStart w:id="128" w:name="_Toc86202596"/>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四、</w:t>
      </w:r>
      <w:bookmarkEnd w:id="127"/>
      <w:bookmarkEnd w:id="128"/>
      <w:r>
        <w:rPr>
          <w:rFonts w:hint="eastAsia" w:ascii="仿宋" w:hAnsi="仿宋" w:eastAsia="仿宋" w:cs="仿宋"/>
          <w:sz w:val="24"/>
          <w:szCs w:val="24"/>
          <w:highlight w:val="none"/>
        </w:rPr>
        <w:t>付款</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1、双方因本合同发生的一切费用均以人民币结算及支付。</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2、双方的帐户名称、开户银行及帐号以本合同提供的为准。</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3、付款途径</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按照招标文件第二部分“投标人须知前附表”的规定。</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4、付款方式</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按照招标文件第二部分“投标人须知前附表”的规定。</w:t>
      </w:r>
    </w:p>
    <w:p>
      <w:pPr>
        <w:pStyle w:val="34"/>
        <w:spacing w:line="360" w:lineRule="auto"/>
        <w:ind w:firstLine="480" w:firstLineChars="200"/>
        <w:outlineLvl w:val="9"/>
        <w:rPr>
          <w:rFonts w:hint="eastAsia" w:ascii="仿宋" w:hAnsi="仿宋" w:eastAsia="仿宋" w:cs="仿宋"/>
          <w:sz w:val="24"/>
          <w:szCs w:val="24"/>
          <w:highlight w:val="none"/>
        </w:rPr>
      </w:pPr>
      <w:bookmarkStart w:id="129" w:name="_Toc86202597"/>
      <w:r>
        <w:rPr>
          <w:rFonts w:hint="eastAsia" w:ascii="仿宋" w:hAnsi="仿宋" w:eastAsia="仿宋" w:cs="仿宋"/>
          <w:sz w:val="24"/>
          <w:szCs w:val="24"/>
          <w:highlight w:val="none"/>
        </w:rPr>
        <w:t>5、如乙方根据本合同约定有责任向甲方支付违约金、赔偿金时，甲方有权直接从上述付款中扣除该等款项并于事后通知乙方，该情形下应当视为甲方已经依约履行了合同义务，而所扣乙方的款项金额未达到乙方依照其责任所应当向甲方支付的金额时，乙方仍应向甲方补足。同时，若乙方对甲方的扣款有异议而不能协商解决时，乙方应依照本合同关于解决争议的约定方式解决。但存在或解决相关争议的期间，乙方不得停滞或减缓其合同的履行，否则对因停滞或减缓合同的履行所引起的任何及所有责任均应当全部给予赔偿。</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6、甲方直接与乙方付款结算，采购代理机构不对其付款承担连带责任或任何其它责任，在任何情形下乙方亦只能直接向甲方追索而不应当向采购代理机构追索。</w:t>
      </w:r>
    </w:p>
    <w:p>
      <w:pPr>
        <w:pStyle w:val="34"/>
        <w:spacing w:line="360" w:lineRule="auto"/>
        <w:ind w:firstLine="480" w:firstLineChars="200"/>
        <w:outlineLvl w:val="9"/>
        <w:rPr>
          <w:rFonts w:hint="eastAsia" w:ascii="仿宋" w:hAnsi="仿宋" w:eastAsia="仿宋" w:cs="仿宋"/>
          <w:sz w:val="24"/>
          <w:szCs w:val="24"/>
          <w:highlight w:val="none"/>
        </w:rPr>
      </w:pPr>
      <w:bookmarkStart w:id="130" w:name="_Toc175644045"/>
      <w:r>
        <w:rPr>
          <w:rFonts w:hint="eastAsia" w:ascii="仿宋" w:hAnsi="仿宋" w:eastAsia="仿宋" w:cs="仿宋"/>
          <w:sz w:val="24"/>
          <w:szCs w:val="24"/>
          <w:highlight w:val="none"/>
        </w:rPr>
        <w:t>五、</w:t>
      </w:r>
      <w:bookmarkEnd w:id="129"/>
      <w:bookmarkEnd w:id="130"/>
      <w:r>
        <w:rPr>
          <w:rFonts w:hint="eastAsia" w:ascii="仿宋" w:hAnsi="仿宋" w:eastAsia="仿宋" w:cs="仿宋"/>
          <w:sz w:val="24"/>
          <w:szCs w:val="24"/>
          <w:highlight w:val="none"/>
        </w:rPr>
        <w:t>交付</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1、乙方负责办理运输和保险，将货物运抵交货地点。有关运输、保险和装卸等一切相关的费用由乙方承担。</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2、货物应运至甲方指定地点，并卸至甲方指定位置，开箱清点及初步检验时双方应派人员参加。</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3、所有货物运抵现场并且安装完毕经检验合格交付甲方，该日期为交付日期。双方签署交付收货单后为交付完毕。交付完毕货物所有权发生转移，此前货物毁坏的风险由乙方承担。</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4、交付日期</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按照招标文件第二部分“投标人须知前附表”的规定。</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5、交付地点</w:t>
      </w:r>
      <w:bookmarkStart w:id="131" w:name="_Toc86202598"/>
      <w:bookmarkStart w:id="132" w:name="_Toc175644046"/>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按照招标文件第二部分“投标人须知前附表”的规定。</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六、包装和标记</w:t>
      </w:r>
      <w:bookmarkEnd w:id="131"/>
      <w:bookmarkEnd w:id="132"/>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1、乙方交付的所有合同货物应具有适于运输的坚固包装，并且乙方应根据合同货物的不同特性和要求采取防潮、防雨、防锈、防震、防腐等保护措施，以确保合同货物安全无损地送达交货地点。</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2、凡由于乙方对合同货物包装不善、标记不明、防护措施不当或在合同货物装箱前保管不良，致使合同货物遭到损坏或丢失，乙方应负责免费修理或更换，并承担由此给甲方造成的一切损失。</w:t>
      </w:r>
      <w:bookmarkStart w:id="133" w:name="_Toc86202599"/>
      <w:bookmarkStart w:id="134" w:name="_Toc175644047"/>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七、质量标准和检验</w:t>
      </w:r>
      <w:bookmarkEnd w:id="133"/>
      <w:r>
        <w:rPr>
          <w:rFonts w:hint="eastAsia" w:ascii="仿宋" w:hAnsi="仿宋" w:eastAsia="仿宋" w:cs="仿宋"/>
          <w:sz w:val="24"/>
          <w:szCs w:val="24"/>
          <w:highlight w:val="none"/>
        </w:rPr>
        <w:t>方式</w:t>
      </w:r>
      <w:bookmarkEnd w:id="134"/>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1、乙方应保证提供给甲方的合同货物是货物生产厂商原造的，全新、未使用过的，是用一流的工艺和优质材料制造而成的，并完全符合本项目招标文件规定的质量、性能和规格的要求。</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乙方提供给甲方的合同货物应通过货物制造厂商的出厂检验，并提供质量合格证书。乙方承诺提供给甲方的合同货物的技术规范应与本项目招标文件中《项目说明》部分中的规定及投标文件中《货物技术规范偏离表》(如果被招标人接受) 相一致，同时，乙方提供的货物质量应符合中华人民共和国相关标准及相应的技术规范、本次采购相关文件中的全部相关要求及相关标准及相应的技术规范中之较高者。</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乙方保证提供的货物、服务符合中华人民共和国国家及行业的安全质量标准、环保标准中之较高者；若货物、服务来源于中华人民共和国境外，还要同时符合货物来源国的官方、行业及生产厂商的安全质量标准、环保标准中之较高者。上述标准为已发布的且在货物、服务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4、乙方应保证所提供的货物经正确安装、合理操作和维护保养在其使用寿命期内具有令甲方满意的性能，并对由于合同货物的设计、工艺或材料的缺陷而发生的任何故障负责。</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5、乙方提供的货物抵达甲方指定地点后的开箱清点及初步检验，应依据乙方提供的开箱要求和环境要求进行。乙方应在收到甲方的验货通知后到现场参加开箱清点及初步检验，开箱清点及初步检验时双方均应派员参加，并签署《政府采购项目验收单》，以此作为乙方履约进度的依据。</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6、甲方对合同货物的数量、规格和质量的检验，应依据本项目招标文件中的有关规定进行。</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7、若检验时发现货物数量不足、规格与合同要求不符或开箱时虽然货物外包装完好无损，但箱内货物短缺或损伤，双方应签署书面形式证明，乙方应根据该证明及时补足或更换。</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8、本合同各相关条款中凡与乙方责任或义务相关及由乙方原因所引起涉及各项货物、零件、部件、配件及资料的更、换、补、退等情形，所发生相关的任何价款、成本、费用，包括但不限于运输、安装、服务、维修、调试等，以及保险、税、费等，均应当由乙方承担。</w:t>
      </w:r>
    </w:p>
    <w:p>
      <w:pPr>
        <w:pStyle w:val="34"/>
        <w:spacing w:line="360" w:lineRule="auto"/>
        <w:ind w:firstLine="480" w:firstLineChars="200"/>
        <w:outlineLvl w:val="9"/>
        <w:rPr>
          <w:rFonts w:hint="eastAsia" w:ascii="仿宋" w:hAnsi="仿宋" w:eastAsia="仿宋" w:cs="仿宋"/>
          <w:sz w:val="24"/>
          <w:szCs w:val="24"/>
          <w:highlight w:val="none"/>
        </w:rPr>
      </w:pPr>
      <w:bookmarkStart w:id="135" w:name="_Toc175644048"/>
      <w:bookmarkStart w:id="136" w:name="_Toc86202601"/>
      <w:r>
        <w:rPr>
          <w:rFonts w:hint="eastAsia" w:ascii="仿宋" w:hAnsi="仿宋" w:eastAsia="仿宋" w:cs="仿宋"/>
          <w:sz w:val="24"/>
          <w:szCs w:val="24"/>
          <w:highlight w:val="none"/>
        </w:rPr>
        <w:t>八、技术服务和保修责任</w:t>
      </w:r>
      <w:bookmarkEnd w:id="135"/>
      <w:bookmarkEnd w:id="136"/>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1、乙方对合同货物、服务的保修期按照招标文件第二部分“投标人须知前附表”</w:t>
      </w:r>
      <w:r>
        <w:rPr>
          <w:rFonts w:hint="eastAsia" w:ascii="仿宋" w:hAnsi="仿宋" w:eastAsia="仿宋" w:cs="仿宋"/>
          <w:sz w:val="24"/>
          <w:szCs w:val="24"/>
          <w:highlight w:val="none"/>
          <w:lang w:val="en-US" w:eastAsia="zh-CN"/>
        </w:rPr>
        <w:t>中</w:t>
      </w:r>
      <w:r>
        <w:rPr>
          <w:rFonts w:hint="eastAsia" w:ascii="仿宋" w:hAnsi="仿宋" w:eastAsia="仿宋" w:cs="仿宋"/>
          <w:sz w:val="24"/>
          <w:szCs w:val="24"/>
          <w:highlight w:val="none"/>
        </w:rPr>
        <w:t>的规定。若厂家规定的保修期或合同货物主要部件的保修期长于本合同保修期，应适用其保修期。(在本次采购文件所规定的期限中，若有不同期限自动适用其中期限较长者)。本合同项下货物的免费保修期或与质量相关的其它期限均自按照本合同约定方式完成最终验收并由甲方签署了项目验收单之日起算。</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如因甲方在使用中自行变更货物的硬件或软件而引起的缺陷，或因甲方人员维护不当而损坏的货物或零部件，乙方不负保修责任，乙方应按照或比照本合同相关条款规定提供更换或修理服务，由此引起的合理费用由甲方负担。</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如因乙方提供的货物硬件或软件有缺陷、服务达不到要求，或乙方提供的技术资料有错误，或乙方在现场的技术人员指导有错误而使合同货物不能达到合同规定的指标和技术性能，乙方应负责按本合同相关条款规定修理或更换，使货物运行指标和技术性能以及相关服务达到合同规定,由此引起的全部费用由乙方承担。若以上原因导致或引起甲方损失及导致或引起第三方受到损害的，全部赔偿责任均应由乙方承担。</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4、在免费保修期内，如果由于乙方更换、修理和续补货物或更换服务，而造成本合同不得不停止运行，保修期应依照停止运行的实际时间加以延长，如因此给甲方造成损失，乙方应负责赔偿。</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5、在免费保修期届满后，乙方保证继续为甲方提供设备的维修服务，甲方应按乙方提供的不差于任何第三方的优惠价格向乙方支付相关费用，乙方保证在合同货物使用期内以不高于本合同货物、相关配件及服务的价格，并且不差于任何第三方的优惠价格，向甲方提供备品、备件及维修服务。</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6、本合同签订后及货物使用中，如涉及增加或改进安全性的软件升级问题，无论甲方是否知晓或是否向乙方提出，乙方均应当在其刚开始应用该等软件时的第一时间内，立即主动地、无条件地给与免费更新并调试完好。</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7、若由于甲方提出增加并不涉及安全性的新功能而引起的软件升级，相关成本费由甲方承担，乙方不得赚取利润或拒绝、拖延。</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8、若由于乙方增加并不涉及安全性的新功能引起软件升级，而且甲方愿意增加该新功能时，由双方协商解决。</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9、乙方保证，乙方依据本合同提供的货物、服务及相关的软件和技术资料，乙方均已得到有关知识产权的权利人的合法授权，如发生涉及到专利权、著作权、商标权等争议，乙方负责处理，并承担由此引起的全部法律及经济责任。</w:t>
      </w:r>
    </w:p>
    <w:p>
      <w:pPr>
        <w:pStyle w:val="34"/>
        <w:spacing w:line="360" w:lineRule="auto"/>
        <w:ind w:firstLine="480" w:firstLineChars="200"/>
        <w:outlineLvl w:val="9"/>
        <w:rPr>
          <w:rFonts w:hint="eastAsia" w:ascii="仿宋" w:hAnsi="仿宋" w:eastAsia="仿宋" w:cs="仿宋"/>
          <w:sz w:val="24"/>
          <w:szCs w:val="24"/>
          <w:highlight w:val="none"/>
        </w:rPr>
      </w:pPr>
      <w:bookmarkStart w:id="137" w:name="_Toc175644049"/>
      <w:bookmarkStart w:id="138" w:name="_Toc86202602"/>
      <w:r>
        <w:rPr>
          <w:rFonts w:hint="eastAsia" w:ascii="仿宋" w:hAnsi="仿宋" w:eastAsia="仿宋" w:cs="仿宋"/>
          <w:sz w:val="24"/>
          <w:szCs w:val="24"/>
          <w:highlight w:val="none"/>
        </w:rPr>
        <w:t>九、违约责任</w:t>
      </w:r>
      <w:bookmarkEnd w:id="137"/>
      <w:bookmarkEnd w:id="138"/>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对本合同的任何违反均构成违约。当一方认为对方的违约属于严重违约时，若按照相关法律规定或按照通常的理解或认识，确属对合同的履行有重大影响，则应当被认为属于严重违约。若双方对某一违约是否属于严重违约仍有争议，可以由争议解决机构裁决认定。</w:t>
      </w:r>
    </w:p>
    <w:p>
      <w:pPr>
        <w:pStyle w:val="34"/>
        <w:spacing w:line="360" w:lineRule="auto"/>
        <w:ind w:firstLine="480" w:firstLineChars="200"/>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若乙方未如期按照合同约定交付合同货物或提供服务、补足或更换货物，或乙方未能履行合同规定的任何其他义务时，甲方有权直接向乙方发出违约通知书，乙方应按照甲方选择的下列一种或多种方式承担赔偿责任及违约责任</w:t>
      </w:r>
      <w:r>
        <w:rPr>
          <w:rFonts w:hint="eastAsia" w:ascii="仿宋" w:hAnsi="仿宋" w:eastAsia="仿宋" w:cs="仿宋"/>
          <w:sz w:val="24"/>
          <w:szCs w:val="24"/>
          <w:highlight w:val="none"/>
          <w:lang w:eastAsia="zh-CN"/>
        </w:rPr>
        <w:t>:</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1）在甲方同意延长的期限内交付全部货物、提供服务并承担由此给甲方造成的直接损失及甲方因此产生的对第三方的责任。</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在甲方规定的时间内，用符合合同规定的规格、质量和性能要求的新零件、部件或货物来更换有缺陷的零件、部件和货物，或修补缺陷部分以达到合同规定的要求，乙方应承担由此发生的相关费用并承担由此给甲方造成的直接损失及甲方因此产生的对第三方的责任。此时，相关货物的质量保修期也应相应延长。</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3）根据货物、服务低劣程度、损坏程度以及使甲方所遭受的损失及甲方因此产生的对第三方的责任，经双方商定降低货物、服务的价格或赔偿甲方所遭受的损失及甲方因此产生的对第三方的责任。</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4）按合同规定的同种货币将甲方所退货物已支付的货款全部退还给甲方，并承担由此发生的直接损失和相关费用及甲方因此产生的对第三方的责任。</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5）甲方有权部分或全部解除合同并要求乙方赔偿由此造成的损失及甲方因此产生的对第三方的责任。此时甲方可采取必要的补救措施，相关费用由乙方承担。</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6）此外，上述情形下甲方为采取必要的补救措施或因防止损失扩大而支出的合理费用应由乙方承担。</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如果乙方在收到甲方的违约通知书5个工作日内未作答复也没有按照甲方选择的方式承担违约责任，则甲方有权从尚未支付的合同价款中扣回相当于甲方选择的方式计算的索赔金额。如果这些金额不足以补偿，甲方有权向乙方提出不足部分的赔偿要求。</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4、除有另行约定外，甲方如延期付款，每逾期1日，按应付金额0.3‰支付违约金；乙方如延期交付，每延迟1日，按应交付货物总额0.3‰支付违约金。</w:t>
      </w:r>
    </w:p>
    <w:p>
      <w:pPr>
        <w:pStyle w:val="34"/>
        <w:spacing w:line="360" w:lineRule="auto"/>
        <w:ind w:firstLine="480" w:firstLineChars="200"/>
        <w:outlineLvl w:val="9"/>
        <w:rPr>
          <w:rFonts w:hint="eastAsia" w:ascii="仿宋" w:hAnsi="仿宋" w:eastAsia="仿宋" w:cs="仿宋"/>
          <w:sz w:val="24"/>
          <w:szCs w:val="24"/>
          <w:highlight w:val="none"/>
        </w:rPr>
      </w:pPr>
      <w:bookmarkStart w:id="139" w:name="_Toc86202603"/>
      <w:r>
        <w:rPr>
          <w:rFonts w:hint="eastAsia" w:ascii="仿宋" w:hAnsi="仿宋" w:eastAsia="仿宋" w:cs="仿宋"/>
          <w:sz w:val="24"/>
          <w:szCs w:val="24"/>
          <w:highlight w:val="none"/>
        </w:rPr>
        <w:t>5、当违约行为给对方造成损失时，若违约金不足以弥补全部损失，违约方还应当赔偿对方因此所受全部损失。当构成严重违约时，对方可以单方面决定解除或终止合同履行，违约方同时还应当承担违约或赔偿责任。</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7、以上各项交付的违约金并不影响违约方履行合同的各项义务。</w:t>
      </w:r>
    </w:p>
    <w:p>
      <w:pPr>
        <w:pStyle w:val="34"/>
        <w:spacing w:line="360" w:lineRule="auto"/>
        <w:ind w:firstLine="480" w:firstLineChars="200"/>
        <w:outlineLvl w:val="9"/>
        <w:rPr>
          <w:rFonts w:hint="eastAsia" w:ascii="仿宋" w:hAnsi="仿宋" w:eastAsia="仿宋" w:cs="仿宋"/>
          <w:sz w:val="24"/>
          <w:szCs w:val="24"/>
          <w:highlight w:val="none"/>
        </w:rPr>
      </w:pPr>
      <w:bookmarkStart w:id="140" w:name="_Toc175644050"/>
      <w:r>
        <w:rPr>
          <w:rFonts w:hint="eastAsia" w:ascii="仿宋" w:hAnsi="仿宋" w:eastAsia="仿宋" w:cs="仿宋"/>
          <w:sz w:val="24"/>
          <w:szCs w:val="24"/>
          <w:highlight w:val="none"/>
        </w:rPr>
        <w:t>十、不可抗力</w:t>
      </w:r>
      <w:bookmarkEnd w:id="139"/>
      <w:bookmarkEnd w:id="140"/>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1、不可抗力指下列事件</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战争、动乱、瘟疫、严重火灾、洪水、地震、风暴或其他自然灾害，以及本合同各方不可预见、不可防止并不能避免或克服的一切其他因素及事件。</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任何一方因不可抗力不能履行本合同规定的全部或部分义务，该方应尽快通知另一方，并须在不可抗力发生后三日内以书面形式向另一方提供详细情况报告及不可抗力对履行本合同的影响程度的说明。就上述不可抗力的发生须由受到不可抗力影响的一方负责同时提供由公证机关做出的公证证明。</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4、合同各方应根据不可抗力对本合同履行的影响程度，协商确定是否终止本合同，或是继续履行本合同。</w:t>
      </w:r>
      <w:bookmarkStart w:id="141" w:name="_Toc175644051"/>
      <w:bookmarkStart w:id="142" w:name="_Toc86202604"/>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十一、联系方式</w:t>
      </w:r>
      <w:bookmarkEnd w:id="141"/>
      <w:bookmarkEnd w:id="142"/>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合同双方发出与本合同有关的通知或回复，应以专人送递、传真或特快专递方式发出；如果以专人送递或特快专递发送，以送达至对方的住所地或通讯联络地为送达；如果以传真方式发送，发件人在收到传真报告后视为送达；如果采用电话或电子邮件的方式，则应在发送后由对方以书面方式予以确认。</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合同双方发出的与本合同有关的通知或回复均应发至招标文件与投标文件中的通讯地址，一方变更通讯地址或帐号，应自变更之日起3个工作日内，将变更后的地址通知对方。变更方不履行通知义务的，应对此造成的一切后果承担法律责任。</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3、上述发出通知、回复的费用由发出一方承担。</w:t>
      </w:r>
    </w:p>
    <w:p>
      <w:pPr>
        <w:pStyle w:val="34"/>
        <w:spacing w:line="360" w:lineRule="auto"/>
        <w:ind w:firstLine="480" w:firstLineChars="200"/>
        <w:outlineLvl w:val="9"/>
        <w:rPr>
          <w:rFonts w:hint="eastAsia" w:ascii="仿宋" w:hAnsi="仿宋" w:eastAsia="仿宋" w:cs="仿宋"/>
          <w:sz w:val="24"/>
          <w:szCs w:val="24"/>
          <w:highlight w:val="none"/>
        </w:rPr>
      </w:pPr>
      <w:bookmarkStart w:id="143" w:name="_Toc175644052"/>
      <w:bookmarkStart w:id="144" w:name="_Toc86202605"/>
      <w:r>
        <w:rPr>
          <w:rFonts w:hint="eastAsia" w:ascii="仿宋" w:hAnsi="仿宋" w:eastAsia="仿宋" w:cs="仿宋"/>
          <w:sz w:val="24"/>
          <w:szCs w:val="24"/>
          <w:highlight w:val="none"/>
        </w:rPr>
        <w:t>十二、保密条款</w:t>
      </w:r>
      <w:bookmarkEnd w:id="143"/>
      <w:bookmarkEnd w:id="144"/>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1、任何一方对其获知的本合同及附件中其他各方的商业秘密和国家秘密负有保密义务。</w:t>
      </w:r>
    </w:p>
    <w:p>
      <w:pPr>
        <w:pStyle w:val="34"/>
        <w:spacing w:line="360" w:lineRule="auto"/>
        <w:ind w:firstLine="480" w:firstLineChars="200"/>
        <w:outlineLvl w:val="9"/>
        <w:rPr>
          <w:rFonts w:hint="eastAsia" w:ascii="仿宋" w:hAnsi="仿宋" w:eastAsia="仿宋" w:cs="仿宋"/>
          <w:sz w:val="24"/>
          <w:szCs w:val="24"/>
          <w:highlight w:val="none"/>
        </w:rPr>
      </w:pPr>
      <w:bookmarkStart w:id="145" w:name="_Toc86202606"/>
      <w:r>
        <w:rPr>
          <w:rFonts w:hint="eastAsia" w:ascii="仿宋" w:hAnsi="仿宋" w:eastAsia="仿宋" w:cs="仿宋"/>
          <w:sz w:val="24"/>
          <w:szCs w:val="24"/>
          <w:highlight w:val="none"/>
        </w:rPr>
        <w:t>2、在下列情形下</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当发布中标公告和其他公告时，当国家机关调查、审查、审计时，以及其他符合法律规定的情形下，无须事先征求乙方同意而可以披露关于采购过程、合同文本、签署情况的资料、乙方的名称及地址、采购内容的有关信息以及补充条款等，但应当在合理的必要范围内。对任何已经公布过的内容或与之内容相同的资料，以及乙方已经泄露或公开的，无须再承担保密责任。</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此外的其他情形下，除非法律、法规另有规定或得到本合同之其他各方的书面许可，任何一方不得向第三人泄露前款规定的商业秘密和国家秘密。保密期限自任何一方获知该商业秘密和国家秘密之日起至本条规定的秘密成为公众信息之日止。</w:t>
      </w:r>
    </w:p>
    <w:p>
      <w:pPr>
        <w:pStyle w:val="34"/>
        <w:spacing w:line="360" w:lineRule="auto"/>
        <w:ind w:firstLine="480" w:firstLineChars="200"/>
        <w:outlineLvl w:val="9"/>
        <w:rPr>
          <w:rFonts w:hint="eastAsia" w:ascii="仿宋" w:hAnsi="仿宋" w:eastAsia="仿宋" w:cs="仿宋"/>
          <w:sz w:val="24"/>
          <w:szCs w:val="24"/>
          <w:highlight w:val="none"/>
        </w:rPr>
      </w:pPr>
      <w:bookmarkStart w:id="146" w:name="_Toc175644053"/>
      <w:r>
        <w:rPr>
          <w:rFonts w:hint="eastAsia" w:ascii="仿宋" w:hAnsi="仿宋" w:eastAsia="仿宋" w:cs="仿宋"/>
          <w:sz w:val="24"/>
          <w:szCs w:val="24"/>
          <w:highlight w:val="none"/>
        </w:rPr>
        <w:t>十三、合同的解释</w:t>
      </w:r>
      <w:bookmarkEnd w:id="145"/>
      <w:bookmarkEnd w:id="146"/>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1、任何一方对本合同及其附件的解释均应遵循诚实信用原则,依照本合同签订时有效的中国法律、法规以及通常的理解进行。</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2、本合同标题仅供查阅方便，并非对本合同的诠释或解释；本合同中以日表述的时间期限均指自然日。</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3、对本合同的任何解释均应以书面做出。</w:t>
      </w:r>
    </w:p>
    <w:p>
      <w:pPr>
        <w:pStyle w:val="34"/>
        <w:spacing w:line="360" w:lineRule="auto"/>
        <w:ind w:firstLine="480" w:firstLineChars="200"/>
        <w:outlineLvl w:val="9"/>
        <w:rPr>
          <w:rFonts w:hint="eastAsia" w:ascii="仿宋" w:hAnsi="仿宋" w:eastAsia="仿宋" w:cs="仿宋"/>
          <w:sz w:val="24"/>
          <w:szCs w:val="24"/>
          <w:highlight w:val="none"/>
        </w:rPr>
      </w:pPr>
      <w:bookmarkStart w:id="147" w:name="_Toc175644054"/>
      <w:bookmarkStart w:id="148" w:name="_Toc86202607"/>
      <w:r>
        <w:rPr>
          <w:rFonts w:hint="eastAsia" w:ascii="仿宋" w:hAnsi="仿宋" w:eastAsia="仿宋" w:cs="仿宋"/>
          <w:sz w:val="24"/>
          <w:szCs w:val="24"/>
          <w:highlight w:val="none"/>
        </w:rPr>
        <w:t>十四、合同的终止</w:t>
      </w:r>
      <w:bookmarkEnd w:id="147"/>
      <w:bookmarkEnd w:id="148"/>
    </w:p>
    <w:p>
      <w:pPr>
        <w:pStyle w:val="34"/>
        <w:spacing w:line="360" w:lineRule="auto"/>
        <w:ind w:firstLine="480" w:firstLineChars="200"/>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1、本合同因下列原因而终止</w:t>
      </w:r>
      <w:r>
        <w:rPr>
          <w:rFonts w:hint="eastAsia" w:ascii="仿宋" w:hAnsi="仿宋" w:eastAsia="仿宋" w:cs="仿宋"/>
          <w:sz w:val="24"/>
          <w:szCs w:val="24"/>
          <w:highlight w:val="none"/>
          <w:lang w:eastAsia="zh-CN"/>
        </w:rPr>
        <w:t>:</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1）本合同正常履行完毕；</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2）合同双方协议终止本合同的履行；</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3）不可抗力事件导致本合同无法履行或履行不必要；</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4）任何一方行使解除权，解除本合同。</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2、对本合同终止有过错的一方应赔偿另一方因合同终止而受到的损失。对合同终止双方均无过错的，则各自承担所受到的损失。</w:t>
      </w:r>
    </w:p>
    <w:p>
      <w:pPr>
        <w:pStyle w:val="34"/>
        <w:spacing w:line="360" w:lineRule="auto"/>
        <w:ind w:firstLine="480" w:firstLineChars="200"/>
        <w:outlineLvl w:val="9"/>
        <w:rPr>
          <w:rFonts w:hint="eastAsia" w:ascii="仿宋" w:hAnsi="仿宋" w:eastAsia="仿宋" w:cs="仿宋"/>
          <w:sz w:val="24"/>
          <w:szCs w:val="24"/>
          <w:highlight w:val="none"/>
        </w:rPr>
      </w:pPr>
      <w:bookmarkStart w:id="149" w:name="_Toc175644055"/>
      <w:bookmarkStart w:id="150" w:name="_Toc86202608"/>
      <w:r>
        <w:rPr>
          <w:rFonts w:hint="eastAsia" w:ascii="仿宋" w:hAnsi="仿宋" w:eastAsia="仿宋" w:cs="仿宋"/>
          <w:sz w:val="24"/>
          <w:szCs w:val="24"/>
          <w:highlight w:val="none"/>
        </w:rPr>
        <w:t>十五、法律适用</w:t>
      </w:r>
      <w:bookmarkEnd w:id="149"/>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1、本合同及附件的订立、效力、解释、履行、争议的解决等适用本合同签订时有效的中华人民共和国法律、法规的有关规定。</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在本合同履行期间，因中华人民共和国法律、法规、政策的变化致使本合同的部分条款相冲突、无效或失去可强制执行效力时，双方同意将密切合作，尽快修改本合同中相冲突或无效或失去强制执行效力的有关条款。</w:t>
      </w:r>
    </w:p>
    <w:p>
      <w:pPr>
        <w:pStyle w:val="34"/>
        <w:spacing w:line="360" w:lineRule="auto"/>
        <w:ind w:firstLine="480" w:firstLineChars="200"/>
        <w:outlineLvl w:val="9"/>
        <w:rPr>
          <w:rFonts w:hint="eastAsia" w:ascii="仿宋" w:hAnsi="仿宋" w:eastAsia="仿宋" w:cs="仿宋"/>
          <w:sz w:val="24"/>
          <w:szCs w:val="24"/>
          <w:highlight w:val="none"/>
        </w:rPr>
      </w:pPr>
      <w:bookmarkStart w:id="151" w:name="_Toc175644056"/>
      <w:r>
        <w:rPr>
          <w:rFonts w:hint="eastAsia" w:ascii="仿宋" w:hAnsi="仿宋" w:eastAsia="仿宋" w:cs="仿宋"/>
          <w:sz w:val="24"/>
          <w:szCs w:val="24"/>
          <w:highlight w:val="none"/>
        </w:rPr>
        <w:t>十六、权利的保留</w:t>
      </w:r>
      <w:bookmarkEnd w:id="150"/>
      <w:bookmarkEnd w:id="151"/>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pPr>
        <w:pStyle w:val="34"/>
        <w:spacing w:line="360" w:lineRule="auto"/>
        <w:ind w:firstLine="480" w:firstLineChars="200"/>
        <w:outlineLvl w:val="9"/>
        <w:rPr>
          <w:rFonts w:hint="eastAsia" w:ascii="仿宋" w:hAnsi="仿宋" w:eastAsia="仿宋" w:cs="仿宋"/>
          <w:sz w:val="24"/>
          <w:szCs w:val="24"/>
          <w:highlight w:val="none"/>
        </w:rPr>
      </w:pPr>
      <w:bookmarkStart w:id="152" w:name="_Toc175644057"/>
      <w:bookmarkStart w:id="153" w:name="_Toc86202609"/>
      <w:r>
        <w:rPr>
          <w:rFonts w:hint="eastAsia" w:ascii="仿宋" w:hAnsi="仿宋" w:eastAsia="仿宋" w:cs="仿宋"/>
          <w:sz w:val="24"/>
          <w:szCs w:val="24"/>
          <w:highlight w:val="none"/>
        </w:rPr>
        <w:t>十七、争议的解决</w:t>
      </w:r>
      <w:bookmarkEnd w:id="152"/>
      <w:bookmarkEnd w:id="153"/>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1、合同双方应通过友好协商解决因解释﹑执行本合同所发生的和本合同有关的一切争议。如果经协商不能达成协议，可以采用以下方式解决（按照招标文件第二部分“投标人须知前附表”第32项的规定）</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（1）提交兵团仲裁委员会仲裁；（2）向甲方所在地人民法院起诉。</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2、本合同甲、乙双方一致认为，本合同仅属于甲、乙双方之间的协议，任何争议均只应当按照本合同的约定方式处理，任何情形下采购代理机构均不应当成为该等争议的当事人，无论该等仲裁或诉讼均不得针对采购代理机构提起。</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3、在争议解决期间，除了诉讼或仲裁进行过程中正在解决的那部分问题外，合同其余部分应继续履行。</w:t>
      </w:r>
    </w:p>
    <w:p>
      <w:pPr>
        <w:pStyle w:val="34"/>
        <w:spacing w:line="360" w:lineRule="auto"/>
        <w:ind w:firstLine="480" w:firstLineChars="200"/>
        <w:outlineLvl w:val="9"/>
        <w:rPr>
          <w:rFonts w:hint="eastAsia" w:ascii="仿宋" w:hAnsi="仿宋" w:eastAsia="仿宋" w:cs="仿宋"/>
          <w:sz w:val="24"/>
          <w:szCs w:val="24"/>
          <w:highlight w:val="none"/>
        </w:rPr>
      </w:pPr>
      <w:bookmarkStart w:id="154" w:name="_Toc86202611"/>
      <w:bookmarkStart w:id="155" w:name="_Toc175644059"/>
      <w:r>
        <w:rPr>
          <w:rFonts w:hint="eastAsia" w:ascii="仿宋" w:hAnsi="仿宋" w:eastAsia="仿宋" w:cs="仿宋"/>
          <w:sz w:val="24"/>
          <w:szCs w:val="24"/>
          <w:highlight w:val="none"/>
        </w:rPr>
        <w:t>十八、合同的生效</w:t>
      </w:r>
      <w:bookmarkEnd w:id="154"/>
      <w:bookmarkEnd w:id="155"/>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本合同经甲乙双方法定代表人或授权代理人签字加盖单位公章，乙方按时、足额提交履约保证金后生效。</w:t>
      </w:r>
    </w:p>
    <w:p>
      <w:pPr>
        <w:pStyle w:val="34"/>
        <w:spacing w:line="360" w:lineRule="auto"/>
        <w:ind w:firstLine="480" w:firstLineChars="200"/>
        <w:outlineLvl w:val="9"/>
        <w:rPr>
          <w:rFonts w:hint="eastAsia" w:ascii="仿宋" w:hAnsi="仿宋" w:eastAsia="仿宋" w:cs="仿宋"/>
          <w:sz w:val="24"/>
          <w:szCs w:val="24"/>
          <w:highlight w:val="none"/>
        </w:rPr>
      </w:pPr>
      <w:bookmarkStart w:id="156" w:name="_Toc175644060"/>
      <w:bookmarkStart w:id="157" w:name="_Toc86202612"/>
      <w:r>
        <w:rPr>
          <w:rFonts w:hint="eastAsia" w:ascii="仿宋" w:hAnsi="仿宋" w:eastAsia="仿宋" w:cs="仿宋"/>
          <w:sz w:val="24"/>
          <w:szCs w:val="24"/>
          <w:highlight w:val="none"/>
        </w:rPr>
        <w:t>十九、其他约定事项</w:t>
      </w:r>
      <w:bookmarkEnd w:id="156"/>
      <w:bookmarkEnd w:id="157"/>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1、本合同中的附件均为本合同不可分割的部分，与本合同具有相同的法律效力。</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2、不得将合同转让给第三人，有关分包事项或服务委托等须事先取得甲方和采购代理机构书面同意并且须遵守相关法律、法规；有关联合投标须在本次招标允许的情况下并须符合本次招标的全部规定。</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3、本合同一式</w:t>
      </w:r>
      <w:r>
        <w:rPr>
          <w:rFonts w:hint="eastAsia" w:ascii="仿宋" w:hAnsi="仿宋" w:eastAsia="仿宋" w:cs="仿宋"/>
          <w:sz w:val="24"/>
          <w:szCs w:val="24"/>
          <w:highlight w:val="none"/>
          <w:lang w:val="en-US" w:eastAsia="zh-CN"/>
        </w:rPr>
        <w:t>叁</w:t>
      </w:r>
      <w:r>
        <w:rPr>
          <w:rFonts w:hint="eastAsia" w:ascii="仿宋" w:hAnsi="仿宋" w:eastAsia="仿宋" w:cs="仿宋"/>
          <w:sz w:val="24"/>
          <w:szCs w:val="24"/>
          <w:highlight w:val="none"/>
        </w:rPr>
        <w:t>份，具有同等法律效力。</w:t>
      </w:r>
    </w:p>
    <w:p>
      <w:pPr>
        <w:pStyle w:val="51"/>
        <w:rPr>
          <w:rFonts w:hint="eastAsia" w:ascii="仿宋" w:hAnsi="仿宋" w:eastAsia="仿宋" w:cs="仿宋"/>
          <w:color w:val="auto"/>
          <w:sz w:val="28"/>
          <w:szCs w:val="28"/>
          <w:highlight w:val="none"/>
        </w:rPr>
      </w:pPr>
    </w:p>
    <w:p>
      <w:pPr>
        <w:pStyle w:val="7"/>
        <w:tabs>
          <w:tab w:val="left" w:pos="0"/>
        </w:tabs>
        <w:spacing w:line="240" w:lineRule="auto"/>
        <w:ind w:left="0" w:leftChars="0" w:firstLine="0" w:firstLineChars="0"/>
        <w:jc w:val="center"/>
        <w:outlineLvl w:val="0"/>
        <w:rPr>
          <w:rFonts w:hint="eastAsia" w:ascii="仿宋" w:hAnsi="仿宋" w:eastAsia="仿宋" w:cs="仿宋"/>
          <w:b/>
          <w:color w:val="auto"/>
          <w:sz w:val="36"/>
          <w:highlight w:val="none"/>
        </w:rPr>
      </w:pPr>
      <w:r>
        <w:rPr>
          <w:rFonts w:hint="eastAsia" w:ascii="仿宋" w:hAnsi="仿宋" w:eastAsia="仿宋" w:cs="仿宋"/>
          <w:color w:val="auto"/>
          <w:highlight w:val="none"/>
        </w:rPr>
        <w:br w:type="page"/>
      </w:r>
      <w:bookmarkEnd w:id="117"/>
      <w:bookmarkEnd w:id="118"/>
      <w:bookmarkStart w:id="158" w:name="_Toc2727"/>
      <w:r>
        <w:rPr>
          <w:rFonts w:hint="eastAsia" w:ascii="仿宋" w:hAnsi="仿宋" w:eastAsia="仿宋" w:cs="仿宋"/>
          <w:b/>
          <w:color w:val="auto"/>
          <w:sz w:val="36"/>
          <w:highlight w:val="none"/>
        </w:rPr>
        <w:t xml:space="preserve">第六部分   </w:t>
      </w:r>
      <w:r>
        <w:rPr>
          <w:rFonts w:hint="eastAsia" w:ascii="仿宋" w:hAnsi="仿宋" w:eastAsia="仿宋" w:cs="仿宋"/>
          <w:b/>
          <w:color w:val="auto"/>
          <w:sz w:val="36"/>
          <w:highlight w:val="none"/>
          <w:lang w:val="en-US" w:eastAsia="zh-CN"/>
        </w:rPr>
        <w:t>投标</w:t>
      </w:r>
      <w:r>
        <w:rPr>
          <w:rFonts w:hint="eastAsia" w:ascii="仿宋" w:hAnsi="仿宋" w:eastAsia="仿宋" w:cs="仿宋"/>
          <w:b/>
          <w:color w:val="auto"/>
          <w:sz w:val="36"/>
          <w:highlight w:val="none"/>
        </w:rPr>
        <w:t>文件格式</w:t>
      </w:r>
      <w:bookmarkEnd w:id="158"/>
    </w:p>
    <w:p>
      <w:pPr>
        <w:pStyle w:val="3"/>
        <w:numPr>
          <w:ilvl w:val="0"/>
          <w:numId w:val="0"/>
        </w:numPr>
        <w:spacing w:before="0" w:line="360" w:lineRule="auto"/>
        <w:ind w:leftChars="-257" w:firstLine="723" w:firstLineChars="300"/>
        <w:jc w:val="center"/>
        <w:outlineLvl w:val="0"/>
        <w:rPr>
          <w:rFonts w:ascii="宋体" w:hAnsi="宋体" w:eastAsia="宋体"/>
          <w:color w:val="auto"/>
          <w:sz w:val="24"/>
          <w:highlight w:val="none"/>
        </w:rPr>
      </w:pPr>
      <w:bookmarkStart w:id="159" w:name="_Toc10088"/>
      <w:bookmarkStart w:id="160" w:name="_Toc26661"/>
      <w:bookmarkStart w:id="161" w:name="_Toc98265618"/>
      <w:bookmarkStart w:id="162" w:name="_Toc518923107"/>
      <w:r>
        <w:rPr>
          <w:rFonts w:hint="eastAsia" w:ascii="宋体" w:hAnsi="宋体" w:eastAsia="宋体"/>
          <w:color w:val="auto"/>
          <w:sz w:val="24"/>
          <w:highlight w:val="none"/>
          <w:lang w:val="en-US" w:eastAsia="zh-CN"/>
        </w:rPr>
        <w:t>一、</w:t>
      </w:r>
      <w:r>
        <w:rPr>
          <w:rFonts w:hint="eastAsia" w:ascii="宋体" w:hAnsi="宋体" w:eastAsia="宋体"/>
          <w:color w:val="auto"/>
          <w:sz w:val="24"/>
          <w:highlight w:val="none"/>
        </w:rPr>
        <w:t xml:space="preserve"> 资格证明文件</w:t>
      </w:r>
      <w:bookmarkEnd w:id="159"/>
      <w:bookmarkEnd w:id="160"/>
      <w:bookmarkEnd w:id="161"/>
      <w:bookmarkEnd w:id="162"/>
    </w:p>
    <w:p>
      <w:pPr>
        <w:spacing w:line="360" w:lineRule="auto"/>
        <w:ind w:left="708" w:hanging="708" w:hangingChars="295"/>
        <w:jc w:val="center"/>
        <w:outlineLvl w:val="9"/>
        <w:rPr>
          <w:rFonts w:ascii="宋体" w:hAnsi="宋体"/>
          <w:color w:val="auto"/>
          <w:sz w:val="24"/>
          <w:highlight w:val="none"/>
        </w:rPr>
      </w:pPr>
    </w:p>
    <w:p>
      <w:pPr>
        <w:tabs>
          <w:tab w:val="left" w:pos="5580"/>
        </w:tabs>
        <w:spacing w:line="360" w:lineRule="auto"/>
        <w:ind w:firstLine="424" w:firstLineChars="17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p>
      <w:pPr>
        <w:tabs>
          <w:tab w:val="left" w:pos="5580"/>
        </w:tabs>
        <w:spacing w:line="360" w:lineRule="auto"/>
        <w:ind w:firstLine="424" w:firstLineChars="17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.具有良好的商业信誉和健全的财务会计制度的证明文件</w:t>
      </w:r>
    </w:p>
    <w:p>
      <w:pPr>
        <w:tabs>
          <w:tab w:val="left" w:pos="5580"/>
        </w:tabs>
        <w:spacing w:line="360" w:lineRule="auto"/>
        <w:ind w:firstLine="424" w:firstLineChars="17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.具有履行合同所必需的设备和专业技术能力</w:t>
      </w:r>
    </w:p>
    <w:p>
      <w:pPr>
        <w:tabs>
          <w:tab w:val="left" w:pos="5580"/>
        </w:tabs>
        <w:spacing w:line="360" w:lineRule="auto"/>
        <w:ind w:firstLine="424" w:firstLineChars="17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.有依法缴纳税收和社会保障资金的良好记录</w:t>
      </w:r>
    </w:p>
    <w:p>
      <w:pPr>
        <w:tabs>
          <w:tab w:val="left" w:pos="5580"/>
        </w:tabs>
        <w:spacing w:line="360" w:lineRule="auto"/>
        <w:ind w:firstLine="424" w:firstLineChars="17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.参加政府采购活动前3年内在经营活动中没有重大违法记录的书面声明</w:t>
      </w:r>
    </w:p>
    <w:p>
      <w:pPr>
        <w:tabs>
          <w:tab w:val="left" w:pos="5580"/>
        </w:tabs>
        <w:spacing w:line="360" w:lineRule="auto"/>
        <w:ind w:firstLine="424" w:firstLineChars="17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具备法律、行政法规规定的其他条件的证明材料</w:t>
      </w:r>
    </w:p>
    <w:p>
      <w:pPr>
        <w:tabs>
          <w:tab w:val="left" w:pos="5580"/>
        </w:tabs>
        <w:spacing w:line="360" w:lineRule="auto"/>
        <w:ind w:firstLine="424" w:firstLineChars="177"/>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7.本项目特定资格条件</w:t>
      </w:r>
    </w:p>
    <w:p>
      <w:pPr>
        <w:tabs>
          <w:tab w:val="left" w:pos="5580"/>
        </w:tabs>
        <w:spacing w:line="360" w:lineRule="auto"/>
        <w:ind w:firstLine="424" w:firstLineChars="177"/>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8.投标保证金</w:t>
      </w:r>
    </w:p>
    <w:p>
      <w:pPr>
        <w:pStyle w:val="17"/>
        <w:rPr>
          <w:rFonts w:hint="eastAsia"/>
          <w:color w:val="auto"/>
          <w:sz w:val="24"/>
          <w:szCs w:val="24"/>
          <w:highlight w:val="none"/>
        </w:rPr>
      </w:pPr>
    </w:p>
    <w:p>
      <w:pPr>
        <w:pStyle w:val="5"/>
        <w:rPr>
          <w:rFonts w:hint="eastAsia" w:ascii="宋体" w:hAnsi="宋体"/>
          <w:color w:val="auto"/>
          <w:szCs w:val="21"/>
          <w:highlight w:val="none"/>
        </w:rPr>
      </w:pPr>
    </w:p>
    <w:p>
      <w:pPr>
        <w:rPr>
          <w:color w:val="auto"/>
          <w:highlight w:val="none"/>
        </w:rPr>
      </w:pPr>
    </w:p>
    <w:p>
      <w:pPr>
        <w:tabs>
          <w:tab w:val="left" w:pos="5580"/>
        </w:tabs>
        <w:spacing w:line="360" w:lineRule="auto"/>
        <w:outlineLvl w:val="1"/>
        <w:rPr>
          <w:rFonts w:hint="eastAsia" w:ascii="宋体" w:hAnsi="宋体" w:eastAsia="宋体" w:cs="Times New Roman"/>
          <w:b/>
          <w:bCs/>
          <w:color w:val="auto"/>
          <w:kern w:val="0"/>
          <w:sz w:val="24"/>
          <w:szCs w:val="32"/>
          <w:highlight w:val="none"/>
          <w:lang w:val="en-US" w:eastAsia="zh-CN" w:bidi="ar-SA"/>
        </w:rPr>
      </w:pPr>
      <w:r>
        <w:rPr>
          <w:rFonts w:hint="eastAsia" w:ascii="仿宋" w:hAnsi="仿宋" w:eastAsia="仿宋" w:cs="仿宋"/>
          <w:color w:val="auto"/>
          <w:highlight w:val="none"/>
        </w:rPr>
        <w:br w:type="page"/>
      </w:r>
      <w:bookmarkStart w:id="163" w:name="_Toc29047"/>
      <w:r>
        <w:rPr>
          <w:rFonts w:hint="eastAsia" w:ascii="宋体" w:hAnsi="宋体" w:eastAsia="宋体" w:cs="Times New Roman"/>
          <w:b/>
          <w:bCs/>
          <w:color w:val="auto"/>
          <w:kern w:val="0"/>
          <w:sz w:val="24"/>
          <w:szCs w:val="32"/>
          <w:highlight w:val="none"/>
          <w:lang w:val="en-US" w:eastAsia="zh-CN" w:bidi="ar-SA"/>
        </w:rPr>
        <w:t>1.具有独立承担民事责任的能力</w:t>
      </w:r>
      <w:bookmarkEnd w:id="163"/>
    </w:p>
    <w:p>
      <w:pPr>
        <w:pStyle w:val="26"/>
        <w:widowControl/>
        <w:spacing w:line="288"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投标人法人营业执照（副本）或事业单位法人证书（副本）或个体工商户营业执照或有效的自然人身份证明、组织机构代码证</w:t>
      </w:r>
      <w:r>
        <w:rPr>
          <w:rFonts w:hint="eastAsia" w:ascii="仿宋" w:hAnsi="仿宋" w:eastAsia="仿宋" w:cs="仿宋"/>
          <w:b/>
          <w:bCs/>
          <w:color w:val="auto"/>
          <w:sz w:val="24"/>
          <w:szCs w:val="24"/>
          <w:highlight w:val="none"/>
        </w:rPr>
        <w:t>扫描件</w:t>
      </w:r>
      <w:r>
        <w:rPr>
          <w:rFonts w:hint="eastAsia" w:ascii="仿宋" w:hAnsi="仿宋" w:eastAsia="仿宋" w:cs="仿宋"/>
          <w:color w:val="auto"/>
          <w:sz w:val="24"/>
          <w:szCs w:val="24"/>
          <w:highlight w:val="none"/>
        </w:rPr>
        <w:t>（投标人按“三证合一”登记制度办理营业执照的,组织机构代码证和税务登记证（副本）以投标人所提供的营业执照（副本）</w:t>
      </w:r>
      <w:r>
        <w:rPr>
          <w:rFonts w:hint="eastAsia" w:ascii="仿宋" w:hAnsi="仿宋" w:eastAsia="仿宋" w:cs="仿宋"/>
          <w:b/>
          <w:bCs/>
          <w:color w:val="auto"/>
          <w:sz w:val="24"/>
          <w:szCs w:val="24"/>
          <w:highlight w:val="none"/>
        </w:rPr>
        <w:t>扫描件</w:t>
      </w:r>
      <w:r>
        <w:rPr>
          <w:rFonts w:hint="eastAsia" w:ascii="仿宋" w:hAnsi="仿宋" w:eastAsia="仿宋" w:cs="仿宋"/>
          <w:color w:val="auto"/>
          <w:sz w:val="24"/>
          <w:szCs w:val="24"/>
          <w:highlight w:val="none"/>
        </w:rPr>
        <w:t>为准；</w:t>
      </w:r>
    </w:p>
    <w:p>
      <w:pPr>
        <w:pStyle w:val="57"/>
        <w:jc w:val="both"/>
        <w:outlineLvl w:val="9"/>
        <w:rPr>
          <w:rFonts w:hint="eastAsia" w:ascii="仿宋" w:hAnsi="仿宋" w:eastAsia="仿宋" w:cs="仿宋"/>
          <w:color w:val="auto"/>
          <w:highlight w:val="none"/>
        </w:rPr>
      </w:pPr>
    </w:p>
    <w:p>
      <w:pPr>
        <w:pStyle w:val="57"/>
        <w:jc w:val="both"/>
        <w:outlineLvl w:val="9"/>
        <w:rPr>
          <w:rFonts w:hint="eastAsia" w:ascii="仿宋" w:hAnsi="仿宋" w:eastAsia="仿宋" w:cs="仿宋"/>
          <w:color w:val="auto"/>
          <w:highlight w:val="none"/>
        </w:rPr>
      </w:pPr>
    </w:p>
    <w:p>
      <w:pPr>
        <w:pStyle w:val="57"/>
        <w:jc w:val="both"/>
        <w:outlineLvl w:val="9"/>
        <w:rPr>
          <w:rFonts w:hint="eastAsia" w:ascii="仿宋" w:hAnsi="仿宋" w:eastAsia="仿宋" w:cs="仿宋"/>
          <w:color w:val="auto"/>
          <w:highlight w:val="none"/>
        </w:rPr>
      </w:pPr>
    </w:p>
    <w:p>
      <w:pPr>
        <w:pStyle w:val="57"/>
        <w:jc w:val="both"/>
        <w:outlineLvl w:val="9"/>
        <w:rPr>
          <w:rFonts w:hint="eastAsia" w:ascii="仿宋" w:hAnsi="仿宋" w:eastAsia="仿宋" w:cs="仿宋"/>
          <w:color w:val="auto"/>
          <w:highlight w:val="none"/>
        </w:rPr>
      </w:pPr>
    </w:p>
    <w:p>
      <w:pPr>
        <w:pStyle w:val="57"/>
        <w:jc w:val="both"/>
        <w:outlineLvl w:val="9"/>
        <w:rPr>
          <w:rFonts w:hint="eastAsia" w:ascii="仿宋" w:hAnsi="仿宋" w:eastAsia="仿宋" w:cs="仿宋"/>
          <w:color w:val="auto"/>
          <w:highlight w:val="none"/>
        </w:rPr>
      </w:pPr>
    </w:p>
    <w:p>
      <w:pPr>
        <w:pStyle w:val="57"/>
        <w:jc w:val="both"/>
        <w:outlineLvl w:val="9"/>
        <w:rPr>
          <w:rFonts w:hint="eastAsia" w:ascii="仿宋" w:hAnsi="仿宋" w:eastAsia="仿宋" w:cs="仿宋"/>
          <w:color w:val="auto"/>
          <w:highlight w:val="none"/>
        </w:rPr>
      </w:pPr>
    </w:p>
    <w:p>
      <w:pPr>
        <w:pStyle w:val="57"/>
        <w:jc w:val="both"/>
        <w:outlineLvl w:val="9"/>
        <w:rPr>
          <w:rFonts w:hint="eastAsia" w:ascii="仿宋" w:hAnsi="仿宋" w:eastAsia="仿宋" w:cs="仿宋"/>
          <w:color w:val="auto"/>
          <w:highlight w:val="none"/>
        </w:rPr>
      </w:pPr>
    </w:p>
    <w:p>
      <w:pPr>
        <w:pStyle w:val="57"/>
        <w:jc w:val="both"/>
        <w:outlineLvl w:val="9"/>
        <w:rPr>
          <w:rFonts w:hint="eastAsia" w:ascii="仿宋" w:hAnsi="仿宋" w:eastAsia="仿宋" w:cs="仿宋"/>
          <w:color w:val="auto"/>
          <w:highlight w:val="none"/>
        </w:rPr>
      </w:pPr>
    </w:p>
    <w:p>
      <w:pPr>
        <w:pStyle w:val="57"/>
        <w:jc w:val="both"/>
        <w:outlineLvl w:val="9"/>
        <w:rPr>
          <w:rFonts w:hint="eastAsia" w:ascii="仿宋" w:hAnsi="仿宋" w:eastAsia="仿宋" w:cs="仿宋"/>
          <w:color w:val="auto"/>
          <w:highlight w:val="none"/>
        </w:rPr>
      </w:pPr>
    </w:p>
    <w:p>
      <w:pPr>
        <w:pStyle w:val="57"/>
        <w:jc w:val="both"/>
        <w:outlineLvl w:val="9"/>
        <w:rPr>
          <w:rFonts w:hint="eastAsia" w:ascii="仿宋" w:hAnsi="仿宋" w:eastAsia="仿宋" w:cs="仿宋"/>
          <w:color w:val="auto"/>
          <w:highlight w:val="none"/>
        </w:rPr>
      </w:pPr>
    </w:p>
    <w:p>
      <w:pPr>
        <w:pStyle w:val="57"/>
        <w:jc w:val="both"/>
        <w:outlineLvl w:val="9"/>
        <w:rPr>
          <w:rFonts w:hint="eastAsia" w:ascii="仿宋" w:hAnsi="仿宋" w:eastAsia="仿宋" w:cs="仿宋"/>
          <w:color w:val="auto"/>
          <w:highlight w:val="none"/>
        </w:rPr>
      </w:pPr>
    </w:p>
    <w:p>
      <w:pPr>
        <w:pStyle w:val="57"/>
        <w:jc w:val="both"/>
        <w:outlineLvl w:val="9"/>
        <w:rPr>
          <w:rFonts w:hint="eastAsia" w:ascii="仿宋" w:hAnsi="仿宋" w:eastAsia="仿宋" w:cs="仿宋"/>
          <w:color w:val="auto"/>
          <w:highlight w:val="none"/>
        </w:rPr>
      </w:pPr>
    </w:p>
    <w:p>
      <w:pPr>
        <w:pStyle w:val="57"/>
        <w:jc w:val="both"/>
        <w:outlineLvl w:val="9"/>
        <w:rPr>
          <w:rFonts w:hint="eastAsia" w:ascii="仿宋" w:hAnsi="仿宋" w:eastAsia="仿宋" w:cs="仿宋"/>
          <w:color w:val="auto"/>
          <w:highlight w:val="none"/>
        </w:rPr>
      </w:pPr>
    </w:p>
    <w:p>
      <w:pPr>
        <w:pStyle w:val="57"/>
        <w:jc w:val="both"/>
        <w:outlineLvl w:val="9"/>
        <w:rPr>
          <w:rFonts w:hint="eastAsia" w:ascii="仿宋" w:hAnsi="仿宋" w:eastAsia="仿宋" w:cs="仿宋"/>
          <w:color w:val="auto"/>
          <w:highlight w:val="none"/>
        </w:rPr>
      </w:pPr>
    </w:p>
    <w:p>
      <w:pPr>
        <w:pStyle w:val="57"/>
        <w:jc w:val="both"/>
        <w:outlineLvl w:val="9"/>
        <w:rPr>
          <w:rFonts w:hint="eastAsia" w:ascii="仿宋" w:hAnsi="仿宋" w:eastAsia="仿宋" w:cs="仿宋"/>
          <w:color w:val="auto"/>
          <w:highlight w:val="none"/>
        </w:rPr>
      </w:pPr>
    </w:p>
    <w:p>
      <w:pPr>
        <w:pStyle w:val="57"/>
        <w:jc w:val="both"/>
        <w:outlineLvl w:val="9"/>
        <w:rPr>
          <w:rFonts w:hint="eastAsia" w:ascii="仿宋" w:hAnsi="仿宋" w:eastAsia="仿宋" w:cs="仿宋"/>
          <w:color w:val="auto"/>
          <w:highlight w:val="none"/>
        </w:rPr>
      </w:pPr>
    </w:p>
    <w:p>
      <w:pPr>
        <w:pStyle w:val="57"/>
        <w:jc w:val="both"/>
        <w:outlineLvl w:val="9"/>
        <w:rPr>
          <w:rFonts w:hint="eastAsia" w:ascii="仿宋" w:hAnsi="仿宋" w:eastAsia="仿宋" w:cs="仿宋"/>
          <w:color w:val="auto"/>
          <w:highlight w:val="none"/>
        </w:rPr>
      </w:pPr>
    </w:p>
    <w:p>
      <w:pPr>
        <w:pStyle w:val="57"/>
        <w:jc w:val="both"/>
        <w:outlineLvl w:val="9"/>
        <w:rPr>
          <w:rFonts w:hint="eastAsia" w:ascii="仿宋" w:hAnsi="仿宋" w:eastAsia="仿宋" w:cs="仿宋"/>
          <w:color w:val="auto"/>
          <w:highlight w:val="none"/>
        </w:rPr>
      </w:pPr>
    </w:p>
    <w:p>
      <w:pPr>
        <w:pStyle w:val="57"/>
        <w:jc w:val="both"/>
        <w:outlineLvl w:val="9"/>
        <w:rPr>
          <w:rFonts w:hint="eastAsia" w:ascii="仿宋" w:hAnsi="仿宋" w:eastAsia="仿宋" w:cs="仿宋"/>
          <w:color w:val="auto"/>
          <w:highlight w:val="none"/>
        </w:rPr>
      </w:pPr>
    </w:p>
    <w:p>
      <w:pPr>
        <w:pStyle w:val="57"/>
        <w:jc w:val="both"/>
        <w:outlineLvl w:val="9"/>
        <w:rPr>
          <w:rFonts w:hint="eastAsia" w:ascii="宋体" w:hAnsi="宋体" w:eastAsia="宋体" w:cs="Times New Roman"/>
          <w:b/>
          <w:bCs/>
          <w:color w:val="auto"/>
          <w:kern w:val="0"/>
          <w:sz w:val="24"/>
          <w:szCs w:val="32"/>
          <w:highlight w:val="none"/>
          <w:lang w:val="en-US" w:eastAsia="zh-CN" w:bidi="ar-SA"/>
        </w:rPr>
      </w:pPr>
    </w:p>
    <w:p>
      <w:pPr>
        <w:pStyle w:val="57"/>
        <w:jc w:val="both"/>
        <w:outlineLvl w:val="9"/>
        <w:rPr>
          <w:rFonts w:hint="default" w:ascii="宋体" w:hAnsi="宋体" w:eastAsia="宋体" w:cs="Times New Roman"/>
          <w:b/>
          <w:bCs/>
          <w:color w:val="auto"/>
          <w:kern w:val="0"/>
          <w:sz w:val="24"/>
          <w:szCs w:val="32"/>
          <w:highlight w:val="none"/>
          <w:lang w:val="en-US" w:eastAsia="zh-CN" w:bidi="ar-SA"/>
        </w:rPr>
      </w:pPr>
      <w:r>
        <w:rPr>
          <w:rFonts w:hint="eastAsia" w:ascii="宋体" w:hAnsi="宋体" w:eastAsia="宋体" w:cs="Times New Roman"/>
          <w:b/>
          <w:bCs/>
          <w:color w:val="auto"/>
          <w:kern w:val="0"/>
          <w:sz w:val="24"/>
          <w:szCs w:val="32"/>
          <w:highlight w:val="none"/>
          <w:lang w:val="en-US" w:eastAsia="zh-CN" w:bidi="ar-SA"/>
        </w:rPr>
        <w:t>(2)法定代表人身份证明及法定代表人授权书</w:t>
      </w:r>
    </w:p>
    <w:p>
      <w:pPr>
        <w:pStyle w:val="58"/>
        <w:adjustRightInd w:val="0"/>
        <w:snapToGrid w:val="0"/>
        <w:spacing w:line="50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法定代表人资格证明文件</w:t>
      </w:r>
    </w:p>
    <w:p>
      <w:pPr>
        <w:pStyle w:val="58"/>
        <w:adjustRightInd w:val="0"/>
        <w:snapToGrid w:val="0"/>
        <w:spacing w:line="500" w:lineRule="exact"/>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u w:val="single"/>
        </w:rPr>
        <w:t>（代理机构名称）</w:t>
      </w:r>
      <w:r>
        <w:rPr>
          <w:rFonts w:hint="eastAsia" w:ascii="仿宋" w:hAnsi="仿宋" w:eastAsia="仿宋" w:cs="仿宋"/>
          <w:color w:val="auto"/>
          <w:sz w:val="24"/>
          <w:szCs w:val="24"/>
          <w:highlight w:val="none"/>
          <w:lang w:eastAsia="zh-CN"/>
        </w:rPr>
        <w:t>:</w:t>
      </w:r>
    </w:p>
    <w:p>
      <w:pPr>
        <w:pStyle w:val="58"/>
        <w:adjustRightInd w:val="0"/>
        <w:snapToGrid w:val="0"/>
        <w:spacing w:line="5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兹有</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同志为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公司法定代表人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代表我公司办理一切社会公务事宜</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具有法律效力。 </w:t>
      </w:r>
    </w:p>
    <w:p>
      <w:pPr>
        <w:pStyle w:val="58"/>
        <w:adjustRightInd w:val="0"/>
        <w:snapToGrid w:val="0"/>
        <w:spacing w:line="5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附法定代表人基本情况</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w:t>
      </w:r>
    </w:p>
    <w:p>
      <w:pPr>
        <w:pStyle w:val="58"/>
        <w:adjustRightInd w:val="0"/>
        <w:snapToGrid w:val="0"/>
        <w:spacing w:line="500" w:lineRule="exact"/>
        <w:ind w:firstLine="480" w:firstLineChars="20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姓名</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性别</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职务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p>
    <w:p>
      <w:pPr>
        <w:pStyle w:val="58"/>
        <w:adjustRightInd w:val="0"/>
        <w:snapToGrid w:val="0"/>
        <w:spacing w:line="5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p>
    <w:p>
      <w:pPr>
        <w:pStyle w:val="58"/>
        <w:adjustRightInd w:val="0"/>
        <w:snapToGrid w:val="0"/>
        <w:spacing w:line="5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通讯地址</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p>
    <w:p>
      <w:pPr>
        <w:pStyle w:val="58"/>
        <w:adjustRightInd w:val="0"/>
        <w:snapToGrid w:val="0"/>
        <w:spacing w:line="5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电话号码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邮政编码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p>
    <w:p>
      <w:pPr>
        <w:pStyle w:val="58"/>
        <w:adjustRightInd w:val="0"/>
        <w:snapToGrid w:val="0"/>
        <w:spacing w:line="50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tbl>
      <w:tblPr>
        <w:tblStyle w:val="19"/>
        <w:tblW w:w="0" w:type="auto"/>
        <w:tblInd w:w="1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6804" w:type="dxa"/>
            <w:tcBorders>
              <w:top w:val="single" w:color="auto" w:sz="4" w:space="0"/>
              <w:left w:val="single" w:color="auto" w:sz="4" w:space="0"/>
              <w:bottom w:val="single" w:color="auto" w:sz="4" w:space="0"/>
              <w:right w:val="single" w:color="auto" w:sz="4" w:space="0"/>
            </w:tcBorders>
            <w:noWrap w:val="0"/>
            <w:vAlign w:val="top"/>
          </w:tcPr>
          <w:p>
            <w:pPr>
              <w:pStyle w:val="58"/>
              <w:adjustRightInd w:val="0"/>
              <w:snapToGrid w:val="0"/>
              <w:spacing w:line="500" w:lineRule="exact"/>
              <w:jc w:val="center"/>
              <w:outlineLvl w:val="9"/>
              <w:rPr>
                <w:rFonts w:hint="eastAsia" w:ascii="仿宋" w:hAnsi="仿宋" w:eastAsia="仿宋" w:cs="仿宋"/>
                <w:color w:val="auto"/>
                <w:sz w:val="24"/>
                <w:szCs w:val="24"/>
                <w:highlight w:val="none"/>
              </w:rPr>
            </w:pPr>
          </w:p>
          <w:p>
            <w:pPr>
              <w:pStyle w:val="58"/>
              <w:adjustRightInd w:val="0"/>
              <w:snapToGrid w:val="0"/>
              <w:spacing w:line="500" w:lineRule="exact"/>
              <w:jc w:val="center"/>
              <w:outlineLvl w:val="9"/>
              <w:rPr>
                <w:rFonts w:hint="eastAsia" w:ascii="仿宋" w:hAnsi="仿宋" w:eastAsia="仿宋" w:cs="仿宋"/>
                <w:color w:val="auto"/>
                <w:sz w:val="24"/>
                <w:szCs w:val="24"/>
                <w:highlight w:val="none"/>
              </w:rPr>
            </w:pPr>
          </w:p>
          <w:p>
            <w:pPr>
              <w:pStyle w:val="58"/>
              <w:adjustRightInd w:val="0"/>
              <w:snapToGrid w:val="0"/>
              <w:spacing w:line="50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法定代表人《居民身份证》</w:t>
            </w:r>
            <w:r>
              <w:rPr>
                <w:rFonts w:hint="eastAsia" w:ascii="仿宋" w:hAnsi="仿宋" w:eastAsia="仿宋" w:cs="仿宋"/>
                <w:color w:val="auto"/>
                <w:sz w:val="24"/>
                <w:szCs w:val="24"/>
                <w:highlight w:val="none"/>
                <w:lang w:val="en-US" w:eastAsia="zh-CN"/>
              </w:rPr>
              <w:t>正反面</w:t>
            </w:r>
            <w:r>
              <w:rPr>
                <w:rFonts w:hint="eastAsia" w:ascii="仿宋" w:hAnsi="仿宋" w:eastAsia="仿宋" w:cs="仿宋"/>
                <w:color w:val="auto"/>
                <w:sz w:val="24"/>
                <w:szCs w:val="24"/>
                <w:highlight w:val="none"/>
              </w:rPr>
              <w:t>扫描件</w:t>
            </w:r>
          </w:p>
        </w:tc>
      </w:tr>
    </w:tbl>
    <w:p>
      <w:pPr>
        <w:pStyle w:val="58"/>
        <w:adjustRightInd w:val="0"/>
        <w:snapToGrid w:val="0"/>
        <w:spacing w:line="500" w:lineRule="exact"/>
        <w:outlineLvl w:val="9"/>
        <w:rPr>
          <w:rFonts w:hint="eastAsia" w:ascii="仿宋" w:hAnsi="仿宋" w:eastAsia="仿宋" w:cs="仿宋"/>
          <w:color w:val="auto"/>
          <w:sz w:val="24"/>
          <w:szCs w:val="24"/>
          <w:highlight w:val="none"/>
        </w:rPr>
      </w:pPr>
    </w:p>
    <w:p>
      <w:pPr>
        <w:pStyle w:val="58"/>
        <w:tabs>
          <w:tab w:val="left" w:pos="750"/>
        </w:tabs>
        <w:adjustRightInd w:val="0"/>
        <w:snapToGrid w:val="0"/>
        <w:spacing w:line="50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投标人名称（签章）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pStyle w:val="58"/>
        <w:tabs>
          <w:tab w:val="left" w:pos="750"/>
        </w:tabs>
        <w:adjustRightInd w:val="0"/>
        <w:snapToGrid w:val="0"/>
        <w:spacing w:line="500" w:lineRule="exact"/>
        <w:outlineLvl w:val="9"/>
        <w:rPr>
          <w:rFonts w:hint="eastAsia" w:ascii="仿宋" w:hAnsi="仿宋" w:eastAsia="仿宋" w:cs="仿宋"/>
          <w:color w:val="auto"/>
          <w:sz w:val="24"/>
          <w:szCs w:val="24"/>
          <w:highlight w:val="none"/>
        </w:rPr>
      </w:pPr>
    </w:p>
    <w:p>
      <w:pPr>
        <w:pStyle w:val="58"/>
        <w:tabs>
          <w:tab w:val="left" w:pos="750"/>
        </w:tabs>
        <w:adjustRightInd w:val="0"/>
        <w:snapToGrid w:val="0"/>
        <w:spacing w:line="500" w:lineRule="exact"/>
        <w:ind w:firstLine="720" w:firstLineChars="3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val="en-US" w:eastAsia="zh-CN"/>
        </w:rPr>
        <w:t>签名/签章</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p>
    <w:p>
      <w:pPr>
        <w:pStyle w:val="58"/>
        <w:tabs>
          <w:tab w:val="left" w:pos="750"/>
        </w:tabs>
        <w:adjustRightInd w:val="0"/>
        <w:snapToGrid w:val="0"/>
        <w:spacing w:line="500" w:lineRule="exact"/>
        <w:outlineLvl w:val="9"/>
        <w:rPr>
          <w:rFonts w:hint="eastAsia" w:ascii="仿宋" w:hAnsi="仿宋" w:eastAsia="仿宋" w:cs="仿宋"/>
          <w:color w:val="auto"/>
          <w:sz w:val="24"/>
          <w:szCs w:val="24"/>
          <w:highlight w:val="none"/>
        </w:rPr>
      </w:pPr>
    </w:p>
    <w:p>
      <w:pPr>
        <w:pStyle w:val="58"/>
        <w:tabs>
          <w:tab w:val="left" w:pos="750"/>
        </w:tabs>
        <w:adjustRightInd w:val="0"/>
        <w:snapToGrid w:val="0"/>
        <w:spacing w:line="500" w:lineRule="exact"/>
        <w:ind w:firstLine="720" w:firstLineChars="3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pStyle w:val="59"/>
        <w:outlineLvl w:val="9"/>
        <w:rPr>
          <w:rFonts w:hint="eastAsia" w:ascii="仿宋" w:hAnsi="仿宋" w:eastAsia="仿宋" w:cs="仿宋"/>
          <w:color w:val="auto"/>
          <w:highlight w:val="none"/>
          <w:lang w:eastAsia="zh-CN"/>
        </w:rPr>
      </w:pPr>
      <w:r>
        <w:rPr>
          <w:rFonts w:hint="eastAsia" w:ascii="仿宋" w:hAnsi="仿宋" w:eastAsia="仿宋" w:cs="仿宋"/>
          <w:color w:val="auto"/>
          <w:highlight w:val="none"/>
        </w:rPr>
        <w:t xml:space="preserve"> </w:t>
      </w:r>
    </w:p>
    <w:p>
      <w:pPr>
        <w:pStyle w:val="59"/>
        <w:outlineLvl w:val="9"/>
        <w:rPr>
          <w:rFonts w:hint="eastAsia" w:ascii="仿宋" w:hAnsi="仿宋" w:eastAsia="仿宋" w:cs="仿宋"/>
          <w:color w:val="auto"/>
          <w:highlight w:val="none"/>
          <w:lang w:eastAsia="zh-CN"/>
        </w:rPr>
      </w:pPr>
    </w:p>
    <w:p>
      <w:pPr>
        <w:pStyle w:val="59"/>
        <w:outlineLvl w:val="9"/>
        <w:rPr>
          <w:rFonts w:hint="eastAsia" w:ascii="仿宋" w:hAnsi="仿宋" w:eastAsia="仿宋" w:cs="仿宋"/>
          <w:color w:val="auto"/>
          <w:highlight w:val="none"/>
          <w:lang w:eastAsia="zh-CN"/>
        </w:rPr>
      </w:pPr>
    </w:p>
    <w:p>
      <w:pPr>
        <w:pStyle w:val="58"/>
        <w:outlineLvl w:val="9"/>
        <w:rPr>
          <w:rFonts w:hint="eastAsia" w:ascii="仿宋" w:hAnsi="仿宋" w:eastAsia="仿宋" w:cs="仿宋"/>
          <w:color w:val="auto"/>
          <w:highlight w:val="none"/>
        </w:rPr>
      </w:pPr>
    </w:p>
    <w:p>
      <w:pPr>
        <w:pStyle w:val="58"/>
        <w:outlineLvl w:val="9"/>
        <w:rPr>
          <w:rFonts w:hint="eastAsia" w:ascii="仿宋" w:hAnsi="仿宋" w:eastAsia="仿宋" w:cs="仿宋"/>
          <w:color w:val="auto"/>
          <w:highlight w:val="none"/>
        </w:rPr>
      </w:pPr>
    </w:p>
    <w:p>
      <w:pPr>
        <w:pStyle w:val="58"/>
        <w:spacing w:line="50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法定代表人授权书</w:t>
      </w:r>
    </w:p>
    <w:p>
      <w:pPr>
        <w:pStyle w:val="58"/>
        <w:spacing w:line="500" w:lineRule="exact"/>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u w:val="single"/>
        </w:rPr>
        <w:t>（代理机构名称）</w:t>
      </w:r>
      <w:r>
        <w:rPr>
          <w:rFonts w:hint="eastAsia" w:ascii="仿宋" w:hAnsi="仿宋" w:eastAsia="仿宋" w:cs="仿宋"/>
          <w:color w:val="auto"/>
          <w:sz w:val="24"/>
          <w:szCs w:val="24"/>
          <w:highlight w:val="none"/>
          <w:lang w:eastAsia="zh-CN"/>
        </w:rPr>
        <w:t>:</w:t>
      </w:r>
    </w:p>
    <w:p>
      <w:pPr>
        <w:pStyle w:val="58"/>
        <w:spacing w:line="5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兹授权</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同志为我公司参加贵单位组织的编号为</w:t>
      </w:r>
      <w:r>
        <w:rPr>
          <w:rFonts w:hint="eastAsia" w:ascii="仿宋" w:hAnsi="仿宋" w:eastAsia="仿宋" w:cs="仿宋"/>
          <w:color w:val="auto"/>
          <w:sz w:val="24"/>
          <w:szCs w:val="24"/>
          <w:highlight w:val="none"/>
          <w:u w:val="single"/>
        </w:rPr>
        <w:t>（项目编号）</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（项 目 名 称）</w:t>
      </w:r>
      <w:r>
        <w:rPr>
          <w:rFonts w:hint="eastAsia" w:ascii="仿宋" w:hAnsi="仿宋" w:eastAsia="仿宋" w:cs="仿宋"/>
          <w:color w:val="auto"/>
          <w:sz w:val="24"/>
          <w:szCs w:val="24"/>
          <w:highlight w:val="none"/>
        </w:rPr>
        <w:t>采购活动的投标代表人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全权代表我公司处理在该项目采购活动中的一切事宜。代理期限从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日起至</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日止。 </w:t>
      </w:r>
    </w:p>
    <w:p>
      <w:pPr>
        <w:pStyle w:val="58"/>
        <w:spacing w:line="500" w:lineRule="exact"/>
        <w:outlineLvl w:val="9"/>
        <w:rPr>
          <w:rFonts w:hint="eastAsia" w:ascii="仿宋" w:hAnsi="仿宋" w:eastAsia="仿宋" w:cs="仿宋"/>
          <w:color w:val="auto"/>
          <w:sz w:val="24"/>
          <w:szCs w:val="24"/>
          <w:highlight w:val="none"/>
        </w:rPr>
      </w:pPr>
    </w:p>
    <w:p>
      <w:pPr>
        <w:pStyle w:val="58"/>
        <w:spacing w:line="50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投标人（签章）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pStyle w:val="58"/>
        <w:spacing w:line="50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val="en-US" w:eastAsia="zh-CN"/>
        </w:rPr>
        <w:t>签名或</w:t>
      </w:r>
      <w:r>
        <w:rPr>
          <w:rFonts w:hint="eastAsia" w:ascii="仿宋" w:hAnsi="仿宋" w:eastAsia="仿宋" w:cs="仿宋"/>
          <w:color w:val="auto"/>
          <w:sz w:val="24"/>
          <w:szCs w:val="24"/>
          <w:highlight w:val="none"/>
        </w:rPr>
        <w:t>签章）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p>
    <w:p>
      <w:pPr>
        <w:pStyle w:val="58"/>
        <w:spacing w:line="50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签发日期</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pStyle w:val="58"/>
        <w:spacing w:line="500" w:lineRule="exact"/>
        <w:outlineLvl w:val="9"/>
        <w:rPr>
          <w:rFonts w:hint="eastAsia" w:ascii="仿宋" w:hAnsi="仿宋" w:eastAsia="仿宋" w:cs="仿宋"/>
          <w:color w:val="auto"/>
          <w:sz w:val="24"/>
          <w:szCs w:val="24"/>
          <w:highlight w:val="none"/>
        </w:rPr>
      </w:pPr>
    </w:p>
    <w:p>
      <w:pPr>
        <w:pStyle w:val="58"/>
        <w:spacing w:line="500" w:lineRule="exact"/>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附</w:t>
      </w:r>
      <w:r>
        <w:rPr>
          <w:rFonts w:hint="eastAsia" w:ascii="仿宋" w:hAnsi="仿宋" w:eastAsia="仿宋" w:cs="仿宋"/>
          <w:color w:val="auto"/>
          <w:sz w:val="24"/>
          <w:szCs w:val="24"/>
          <w:highlight w:val="none"/>
          <w:lang w:eastAsia="zh-CN"/>
        </w:rPr>
        <w:t>:</w:t>
      </w:r>
    </w:p>
    <w:p>
      <w:pPr>
        <w:pStyle w:val="58"/>
        <w:spacing w:line="50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代理人工作单位</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pStyle w:val="58"/>
        <w:spacing w:line="50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电话</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pStyle w:val="58"/>
        <w:adjustRightInd w:val="0"/>
        <w:snapToGrid w:val="0"/>
        <w:spacing w:line="500" w:lineRule="exact"/>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身份证号码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pStyle w:val="58"/>
        <w:adjustRightInd w:val="0"/>
        <w:snapToGrid w:val="0"/>
        <w:spacing w:line="500" w:lineRule="exact"/>
        <w:ind w:left="-88" w:leftChars="-42" w:firstLine="600" w:firstLineChars="250"/>
        <w:outlineLvl w:val="9"/>
        <w:rPr>
          <w:rFonts w:hint="eastAsia" w:ascii="仿宋" w:hAnsi="仿宋" w:eastAsia="仿宋" w:cs="仿宋"/>
          <w:color w:val="auto"/>
          <w:sz w:val="24"/>
          <w:szCs w:val="24"/>
          <w:highlight w:val="none"/>
          <w:u w:val="single"/>
        </w:rPr>
      </w:pPr>
    </w:p>
    <w:tbl>
      <w:tblPr>
        <w:tblStyle w:val="19"/>
        <w:tblW w:w="4496" w:type="pct"/>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5000" w:type="pct"/>
            <w:tcBorders>
              <w:top w:val="single" w:color="auto" w:sz="4" w:space="0"/>
              <w:left w:val="single" w:color="auto" w:sz="4" w:space="0"/>
              <w:bottom w:val="single" w:color="auto" w:sz="4" w:space="0"/>
              <w:right w:val="single" w:color="auto" w:sz="4" w:space="0"/>
            </w:tcBorders>
            <w:noWrap w:val="0"/>
            <w:vAlign w:val="top"/>
          </w:tcPr>
          <w:p>
            <w:pPr>
              <w:pStyle w:val="58"/>
              <w:spacing w:line="50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粘贴被授权人身份证</w:t>
            </w:r>
            <w:r>
              <w:rPr>
                <w:rFonts w:hint="eastAsia" w:ascii="仿宋" w:hAnsi="仿宋" w:eastAsia="仿宋" w:cs="仿宋"/>
                <w:color w:val="auto"/>
                <w:sz w:val="24"/>
                <w:szCs w:val="24"/>
                <w:highlight w:val="none"/>
                <w:lang w:val="en-US" w:eastAsia="zh-CN"/>
              </w:rPr>
              <w:t>正反面</w:t>
            </w:r>
            <w:r>
              <w:rPr>
                <w:rFonts w:hint="eastAsia" w:ascii="仿宋" w:hAnsi="仿宋" w:eastAsia="仿宋" w:cs="仿宋"/>
                <w:color w:val="auto"/>
                <w:sz w:val="24"/>
                <w:szCs w:val="24"/>
                <w:highlight w:val="none"/>
              </w:rPr>
              <w:t>（扫描件）</w:t>
            </w:r>
          </w:p>
        </w:tc>
      </w:tr>
    </w:tbl>
    <w:p>
      <w:pPr>
        <w:pStyle w:val="57"/>
        <w:jc w:val="both"/>
        <w:outlineLvl w:val="9"/>
        <w:rPr>
          <w:rFonts w:hint="eastAsia" w:ascii="仿宋" w:hAnsi="仿宋" w:eastAsia="仿宋" w:cs="仿宋"/>
          <w:color w:val="auto"/>
          <w:highlight w:val="none"/>
        </w:rPr>
      </w:pPr>
    </w:p>
    <w:p>
      <w:pPr>
        <w:pStyle w:val="57"/>
        <w:jc w:val="both"/>
        <w:outlineLvl w:val="9"/>
        <w:rPr>
          <w:rFonts w:hint="eastAsia" w:ascii="仿宋" w:hAnsi="仿宋" w:eastAsia="仿宋" w:cs="仿宋"/>
          <w:color w:val="auto"/>
          <w:highlight w:val="none"/>
        </w:rPr>
      </w:pPr>
    </w:p>
    <w:p>
      <w:pPr>
        <w:pStyle w:val="57"/>
        <w:jc w:val="both"/>
        <w:outlineLvl w:val="9"/>
        <w:rPr>
          <w:rFonts w:hint="eastAsia" w:ascii="仿宋" w:hAnsi="仿宋" w:eastAsia="仿宋" w:cs="仿宋"/>
          <w:color w:val="auto"/>
          <w:highlight w:val="none"/>
        </w:rPr>
      </w:pPr>
    </w:p>
    <w:p>
      <w:pPr>
        <w:pStyle w:val="41"/>
        <w:spacing w:line="288" w:lineRule="auto"/>
        <w:jc w:val="left"/>
        <w:outlineLvl w:val="1"/>
        <w:rPr>
          <w:rFonts w:hint="eastAsia" w:ascii="宋体" w:hAnsi="宋体" w:eastAsia="宋体" w:cs="宋体"/>
          <w:b/>
          <w:bCs/>
          <w:color w:val="auto"/>
          <w:sz w:val="24"/>
          <w:szCs w:val="24"/>
          <w:highlight w:val="none"/>
          <w:lang w:val="en-US" w:eastAsia="zh-CN"/>
        </w:rPr>
      </w:pPr>
      <w:bookmarkStart w:id="164" w:name="_Toc8580"/>
      <w:r>
        <w:rPr>
          <w:rFonts w:hint="eastAsia" w:ascii="宋体" w:hAnsi="宋体" w:eastAsia="宋体" w:cs="宋体"/>
          <w:b/>
          <w:bCs/>
          <w:color w:val="auto"/>
          <w:sz w:val="24"/>
          <w:szCs w:val="24"/>
          <w:highlight w:val="none"/>
          <w:lang w:val="en-US" w:eastAsia="zh-CN"/>
        </w:rPr>
        <w:t>2.具有良好的商业信誉和健全的财务会计制度</w:t>
      </w:r>
      <w:bookmarkEnd w:id="164"/>
    </w:p>
    <w:p>
      <w:pPr>
        <w:pStyle w:val="57"/>
        <w:ind w:firstLine="480" w:firstLineChars="200"/>
        <w:jc w:val="both"/>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具有良好的商业信誉和健全的财务会计制度，投标人须提供经第三方审计的2021年度财务审计报告，如投标人无法提供经第三方审计的财务会计报告，则需提供投标人基本账户银行出具的资信证明（递交投标文件截止时间前六个月内任意一个月）的扫描件，银行出具的存款证明不能作为银行资信证明。</w:t>
      </w:r>
    </w:p>
    <w:p>
      <w:pPr>
        <w:pStyle w:val="57"/>
        <w:jc w:val="both"/>
        <w:outlineLvl w:val="9"/>
        <w:rPr>
          <w:rFonts w:hint="eastAsia" w:ascii="仿宋" w:hAnsi="仿宋" w:eastAsia="仿宋" w:cs="仿宋"/>
          <w:color w:val="auto"/>
          <w:highlight w:val="none"/>
        </w:rPr>
      </w:pPr>
    </w:p>
    <w:p>
      <w:pPr>
        <w:pStyle w:val="57"/>
        <w:jc w:val="both"/>
        <w:outlineLvl w:val="9"/>
        <w:rPr>
          <w:rFonts w:hint="eastAsia" w:ascii="仿宋" w:hAnsi="仿宋" w:eastAsia="仿宋" w:cs="仿宋"/>
          <w:color w:val="auto"/>
          <w:highlight w:val="none"/>
        </w:rPr>
      </w:pPr>
    </w:p>
    <w:p>
      <w:pPr>
        <w:pStyle w:val="57"/>
        <w:jc w:val="both"/>
        <w:outlineLvl w:val="9"/>
        <w:rPr>
          <w:rFonts w:hint="eastAsia" w:ascii="仿宋" w:hAnsi="仿宋" w:eastAsia="仿宋" w:cs="仿宋"/>
          <w:color w:val="auto"/>
          <w:highlight w:val="none"/>
        </w:rPr>
      </w:pPr>
    </w:p>
    <w:p>
      <w:pPr>
        <w:pStyle w:val="57"/>
        <w:jc w:val="both"/>
        <w:outlineLvl w:val="9"/>
        <w:rPr>
          <w:rFonts w:hint="eastAsia" w:ascii="仿宋" w:hAnsi="仿宋" w:eastAsia="仿宋" w:cs="仿宋"/>
          <w:color w:val="auto"/>
          <w:highlight w:val="none"/>
        </w:rPr>
      </w:pPr>
    </w:p>
    <w:p>
      <w:pPr>
        <w:pStyle w:val="57"/>
        <w:jc w:val="both"/>
        <w:outlineLvl w:val="9"/>
        <w:rPr>
          <w:rFonts w:hint="eastAsia" w:ascii="仿宋" w:hAnsi="仿宋" w:eastAsia="仿宋" w:cs="仿宋"/>
          <w:color w:val="auto"/>
          <w:highlight w:val="none"/>
        </w:rPr>
      </w:pPr>
    </w:p>
    <w:p>
      <w:pPr>
        <w:pStyle w:val="57"/>
        <w:jc w:val="both"/>
        <w:outlineLvl w:val="9"/>
        <w:rPr>
          <w:rFonts w:hint="eastAsia" w:ascii="仿宋" w:hAnsi="仿宋" w:eastAsia="仿宋" w:cs="仿宋"/>
          <w:color w:val="auto"/>
          <w:highlight w:val="none"/>
        </w:rPr>
      </w:pPr>
    </w:p>
    <w:p>
      <w:pPr>
        <w:pStyle w:val="41"/>
        <w:spacing w:line="288" w:lineRule="auto"/>
        <w:jc w:val="both"/>
        <w:outlineLvl w:val="1"/>
        <w:rPr>
          <w:rFonts w:hint="eastAsia" w:ascii="宋体" w:hAnsi="宋体" w:eastAsia="宋体" w:cs="宋体"/>
          <w:b/>
          <w:bCs/>
          <w:color w:val="auto"/>
          <w:sz w:val="24"/>
          <w:szCs w:val="24"/>
          <w:highlight w:val="none"/>
          <w:lang w:val="en-US" w:eastAsia="zh-CN"/>
        </w:rPr>
      </w:pPr>
      <w:bookmarkStart w:id="165" w:name="_Toc22817"/>
      <w:r>
        <w:rPr>
          <w:rFonts w:hint="eastAsia" w:ascii="宋体" w:hAnsi="宋体" w:eastAsia="宋体" w:cs="宋体"/>
          <w:b/>
          <w:bCs/>
          <w:color w:val="auto"/>
          <w:sz w:val="24"/>
          <w:szCs w:val="24"/>
          <w:highlight w:val="none"/>
          <w:lang w:val="en-US" w:eastAsia="zh-CN"/>
        </w:rPr>
        <w:t>3.具有履行合同所必需的设备和专业技术能力</w:t>
      </w:r>
      <w:bookmarkEnd w:id="165"/>
    </w:p>
    <w:p>
      <w:pPr>
        <w:pStyle w:val="41"/>
        <w:spacing w:line="288" w:lineRule="auto"/>
        <w:ind w:firstLine="480" w:firstLineChars="200"/>
        <w:jc w:val="both"/>
        <w:outlineLvl w:val="1"/>
        <w:rPr>
          <w:rFonts w:hint="eastAsia" w:ascii="仿宋" w:hAnsi="仿宋" w:eastAsia="仿宋" w:cs="仿宋"/>
          <w:color w:val="auto"/>
          <w:highlight w:val="none"/>
        </w:rPr>
      </w:pPr>
      <w:r>
        <w:rPr>
          <w:rFonts w:hint="eastAsia" w:ascii="仿宋" w:hAnsi="仿宋" w:eastAsia="仿宋" w:cs="仿宋"/>
          <w:b w:val="0"/>
          <w:bCs/>
          <w:color w:val="auto"/>
          <w:sz w:val="24"/>
          <w:szCs w:val="24"/>
          <w:highlight w:val="none"/>
          <w:lang w:val="en-US" w:eastAsia="zh-CN"/>
        </w:rPr>
        <w:t>投标人须提供相关资料或书面声明（格式可自拟）。</w:t>
      </w:r>
    </w:p>
    <w:p>
      <w:pPr>
        <w:pStyle w:val="57"/>
        <w:jc w:val="both"/>
        <w:outlineLvl w:val="9"/>
        <w:rPr>
          <w:rFonts w:hint="eastAsia" w:ascii="仿宋" w:hAnsi="仿宋" w:eastAsia="仿宋" w:cs="仿宋"/>
          <w:color w:val="auto"/>
          <w:highlight w:val="none"/>
        </w:rPr>
      </w:pPr>
    </w:p>
    <w:p>
      <w:pPr>
        <w:pStyle w:val="57"/>
        <w:jc w:val="both"/>
        <w:outlineLvl w:val="9"/>
        <w:rPr>
          <w:rFonts w:hint="eastAsia" w:ascii="仿宋" w:hAnsi="仿宋" w:eastAsia="仿宋" w:cs="仿宋"/>
          <w:color w:val="auto"/>
          <w:highlight w:val="none"/>
        </w:rPr>
      </w:pPr>
    </w:p>
    <w:p>
      <w:pPr>
        <w:pStyle w:val="57"/>
        <w:jc w:val="both"/>
        <w:outlineLvl w:val="9"/>
        <w:rPr>
          <w:rFonts w:hint="eastAsia" w:ascii="仿宋" w:hAnsi="仿宋" w:eastAsia="仿宋" w:cs="仿宋"/>
          <w:color w:val="auto"/>
          <w:highlight w:val="none"/>
        </w:rPr>
      </w:pPr>
    </w:p>
    <w:p>
      <w:pPr>
        <w:spacing w:line="360" w:lineRule="auto"/>
        <w:jc w:val="both"/>
        <w:rPr>
          <w:rFonts w:hint="eastAsia" w:ascii="宋体" w:hAnsi="宋体" w:eastAsia="宋体" w:cs="宋体"/>
          <w:b/>
          <w:bCs/>
          <w:color w:val="auto"/>
          <w:sz w:val="24"/>
          <w:szCs w:val="24"/>
          <w:highlight w:val="none"/>
          <w:lang w:val="en-US" w:eastAsia="zh-CN"/>
        </w:rPr>
      </w:pPr>
    </w:p>
    <w:p>
      <w:pPr>
        <w:spacing w:line="360" w:lineRule="auto"/>
        <w:jc w:val="both"/>
        <w:outlineLvl w:val="1"/>
        <w:rPr>
          <w:rFonts w:hint="eastAsia" w:ascii="宋体" w:hAnsi="宋体" w:eastAsia="宋体" w:cs="宋体"/>
          <w:b/>
          <w:bCs/>
          <w:color w:val="auto"/>
          <w:sz w:val="24"/>
          <w:szCs w:val="24"/>
          <w:highlight w:val="none"/>
          <w:lang w:val="en-US" w:eastAsia="zh-CN"/>
        </w:rPr>
      </w:pPr>
      <w:bookmarkStart w:id="166" w:name="_Toc17329"/>
      <w:r>
        <w:rPr>
          <w:rFonts w:hint="eastAsia" w:ascii="宋体" w:hAnsi="宋体" w:eastAsia="宋体" w:cs="宋体"/>
          <w:b/>
          <w:bCs/>
          <w:color w:val="auto"/>
          <w:sz w:val="24"/>
          <w:szCs w:val="24"/>
          <w:highlight w:val="none"/>
          <w:lang w:val="en-US" w:eastAsia="zh-CN"/>
        </w:rPr>
        <w:t>4.有依法缴纳税收和</w:t>
      </w:r>
      <w:r>
        <w:rPr>
          <w:rFonts w:hint="eastAsia" w:ascii="宋体" w:hAnsi="宋体" w:cs="宋体"/>
          <w:b/>
          <w:bCs/>
          <w:color w:val="auto"/>
          <w:sz w:val="24"/>
          <w:szCs w:val="24"/>
          <w:highlight w:val="none"/>
          <w:lang w:val="en-US" w:eastAsia="zh-CN"/>
        </w:rPr>
        <w:t>社会保障资金</w:t>
      </w:r>
      <w:r>
        <w:rPr>
          <w:rFonts w:hint="eastAsia" w:ascii="宋体" w:hAnsi="宋体" w:eastAsia="宋体" w:cs="宋体"/>
          <w:b/>
          <w:bCs/>
          <w:color w:val="auto"/>
          <w:sz w:val="24"/>
          <w:szCs w:val="24"/>
          <w:highlight w:val="none"/>
          <w:lang w:val="en-US" w:eastAsia="zh-CN"/>
        </w:rPr>
        <w:t>的良好记录</w:t>
      </w:r>
      <w:bookmarkEnd w:id="166"/>
    </w:p>
    <w:p>
      <w:pPr>
        <w:pStyle w:val="34"/>
        <w:spacing w:line="360" w:lineRule="exact"/>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1.投</w:t>
      </w:r>
      <w:r>
        <w:rPr>
          <w:rFonts w:hint="eastAsia" w:ascii="仿宋" w:hAnsi="仿宋" w:eastAsia="仿宋" w:cs="仿宋"/>
          <w:b w:val="0"/>
          <w:bCs w:val="0"/>
          <w:color w:val="auto"/>
          <w:kern w:val="0"/>
          <w:sz w:val="24"/>
          <w:szCs w:val="24"/>
          <w:highlight w:val="none"/>
        </w:rPr>
        <w:t>标人依法缴纳税收的证明材料复印件加盖公章（提供投标截止日期之前</w:t>
      </w:r>
      <w:r>
        <w:rPr>
          <w:rFonts w:hint="eastAsia" w:ascii="仿宋" w:hAnsi="仿宋" w:eastAsia="仿宋" w:cs="仿宋"/>
          <w:b w:val="0"/>
          <w:bCs w:val="0"/>
          <w:color w:val="auto"/>
          <w:kern w:val="0"/>
          <w:sz w:val="24"/>
          <w:szCs w:val="24"/>
          <w:highlight w:val="none"/>
          <w:lang w:eastAsia="zh-CN"/>
        </w:rPr>
        <w:t>6个月的纳税记录</w:t>
      </w:r>
      <w:r>
        <w:rPr>
          <w:rFonts w:hint="eastAsia" w:ascii="仿宋" w:hAnsi="仿宋" w:eastAsia="仿宋" w:cs="仿宋"/>
          <w:b w:val="0"/>
          <w:bCs w:val="0"/>
          <w:color w:val="auto"/>
          <w:kern w:val="0"/>
          <w:sz w:val="24"/>
          <w:szCs w:val="24"/>
          <w:highlight w:val="none"/>
        </w:rPr>
        <w:t>或证明文件,</w:t>
      </w:r>
      <w:r>
        <w:rPr>
          <w:rFonts w:hint="eastAsia" w:ascii="仿宋" w:hAnsi="仿宋" w:eastAsia="仿宋" w:cs="仿宋"/>
          <w:b w:val="0"/>
          <w:bCs w:val="0"/>
          <w:color w:val="auto"/>
          <w:sz w:val="24"/>
          <w:szCs w:val="24"/>
          <w:highlight w:val="none"/>
        </w:rPr>
        <w:t>如依法免税或不需要缴纳</w:t>
      </w:r>
      <w:r>
        <w:rPr>
          <w:rFonts w:hint="eastAsia" w:ascii="仿宋" w:hAnsi="仿宋" w:eastAsia="仿宋" w:cs="仿宋"/>
          <w:b w:val="0"/>
          <w:bCs w:val="0"/>
          <w:color w:val="auto"/>
          <w:sz w:val="24"/>
          <w:szCs w:val="24"/>
          <w:highlight w:val="none"/>
          <w:lang w:val="en-US" w:eastAsia="zh-CN"/>
        </w:rPr>
        <w:t>税收</w:t>
      </w:r>
      <w:r>
        <w:rPr>
          <w:rFonts w:hint="eastAsia" w:ascii="仿宋" w:hAnsi="仿宋" w:eastAsia="仿宋" w:cs="仿宋"/>
          <w:b w:val="0"/>
          <w:bCs w:val="0"/>
          <w:color w:val="auto"/>
          <w:sz w:val="24"/>
          <w:szCs w:val="24"/>
          <w:highlight w:val="none"/>
        </w:rPr>
        <w:t>的,提供相应证明材料</w:t>
      </w:r>
      <w:r>
        <w:rPr>
          <w:rFonts w:hint="eastAsia" w:ascii="仿宋" w:hAnsi="仿宋" w:eastAsia="仿宋" w:cs="仿宋"/>
          <w:b w:val="0"/>
          <w:bCs w:val="0"/>
          <w:color w:val="auto"/>
          <w:kern w:val="0"/>
          <w:sz w:val="24"/>
          <w:szCs w:val="24"/>
          <w:highlight w:val="none"/>
        </w:rPr>
        <w:t>）；</w:t>
      </w:r>
    </w:p>
    <w:p>
      <w:pPr>
        <w:pStyle w:val="41"/>
        <w:numPr>
          <w:ilvl w:val="0"/>
          <w:numId w:val="0"/>
        </w:numPr>
        <w:spacing w:line="288" w:lineRule="auto"/>
        <w:jc w:val="left"/>
        <w:outlineLvl w:val="9"/>
        <w:rPr>
          <w:rFonts w:hint="eastAsia" w:ascii="仿宋" w:hAnsi="仿宋" w:eastAsia="仿宋" w:cs="仿宋"/>
          <w:b w:val="0"/>
          <w:bCs/>
          <w:color w:val="auto"/>
          <w:sz w:val="24"/>
          <w:highlight w:val="none"/>
          <w:lang w:val="en-US" w:eastAsia="zh-CN"/>
        </w:rPr>
      </w:pPr>
    </w:p>
    <w:p>
      <w:pPr>
        <w:pStyle w:val="41"/>
        <w:numPr>
          <w:ilvl w:val="0"/>
          <w:numId w:val="0"/>
        </w:numPr>
        <w:spacing w:line="288" w:lineRule="auto"/>
        <w:jc w:val="left"/>
        <w:outlineLvl w:val="9"/>
        <w:rPr>
          <w:rFonts w:hint="eastAsia" w:ascii="仿宋" w:hAnsi="仿宋" w:eastAsia="仿宋" w:cs="仿宋"/>
          <w:b w:val="0"/>
          <w:bCs/>
          <w:color w:val="auto"/>
          <w:sz w:val="24"/>
          <w:highlight w:val="none"/>
          <w:lang w:val="en-US" w:eastAsia="zh-CN"/>
        </w:rPr>
      </w:pPr>
    </w:p>
    <w:p>
      <w:pPr>
        <w:pStyle w:val="41"/>
        <w:numPr>
          <w:ilvl w:val="0"/>
          <w:numId w:val="0"/>
        </w:numPr>
        <w:spacing w:line="288" w:lineRule="auto"/>
        <w:jc w:val="left"/>
        <w:outlineLvl w:val="9"/>
        <w:rPr>
          <w:rFonts w:hint="eastAsia" w:ascii="仿宋" w:hAnsi="仿宋" w:eastAsia="仿宋" w:cs="仿宋"/>
          <w:b w:val="0"/>
          <w:bCs/>
          <w:color w:val="auto"/>
          <w:sz w:val="24"/>
          <w:highlight w:val="none"/>
          <w:lang w:val="en-US" w:eastAsia="zh-CN"/>
        </w:rPr>
      </w:pPr>
    </w:p>
    <w:p>
      <w:pPr>
        <w:pStyle w:val="41"/>
        <w:numPr>
          <w:ilvl w:val="0"/>
          <w:numId w:val="0"/>
        </w:numPr>
        <w:spacing w:line="288" w:lineRule="auto"/>
        <w:jc w:val="left"/>
        <w:outlineLvl w:val="9"/>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lang w:val="en-US" w:eastAsia="zh-CN"/>
        </w:rPr>
        <w:t>4.2.投标人</w:t>
      </w:r>
      <w:r>
        <w:rPr>
          <w:rFonts w:hint="eastAsia" w:ascii="仿宋" w:hAnsi="仿宋" w:eastAsia="仿宋" w:cs="仿宋"/>
          <w:b w:val="0"/>
          <w:bCs/>
          <w:color w:val="auto"/>
          <w:sz w:val="24"/>
          <w:highlight w:val="none"/>
        </w:rPr>
        <w:t>依法缴纳社会保障资金的证明材料复印件加盖公章（提供投标截止日期之前</w:t>
      </w:r>
      <w:r>
        <w:rPr>
          <w:rFonts w:hint="eastAsia" w:ascii="仿宋" w:hAnsi="仿宋" w:eastAsia="仿宋" w:cs="仿宋"/>
          <w:b w:val="0"/>
          <w:bCs/>
          <w:color w:val="auto"/>
          <w:sz w:val="24"/>
          <w:highlight w:val="none"/>
          <w:lang w:eastAsia="zh-CN"/>
        </w:rPr>
        <w:t>6个月的缴费记录</w:t>
      </w:r>
      <w:r>
        <w:rPr>
          <w:rFonts w:hint="eastAsia" w:ascii="仿宋" w:hAnsi="仿宋" w:eastAsia="仿宋" w:cs="仿宋"/>
          <w:b w:val="0"/>
          <w:bCs/>
          <w:color w:val="auto"/>
          <w:sz w:val="24"/>
          <w:highlight w:val="none"/>
        </w:rPr>
        <w:t>或证明文件</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rPr>
        <w:t>如依法不需要缴纳社会保障资金的</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rPr>
        <w:t>提供相应证明材料）</w:t>
      </w:r>
      <w:r>
        <w:rPr>
          <w:rFonts w:hint="eastAsia" w:ascii="仿宋" w:hAnsi="仿宋" w:eastAsia="仿宋" w:cs="仿宋"/>
          <w:b w:val="0"/>
          <w:bCs/>
          <w:color w:val="auto"/>
          <w:sz w:val="24"/>
          <w:highlight w:val="none"/>
          <w:lang w:eastAsia="zh-CN"/>
        </w:rPr>
        <w:t>。</w:t>
      </w:r>
    </w:p>
    <w:p>
      <w:pPr>
        <w:pStyle w:val="41"/>
        <w:numPr>
          <w:ilvl w:val="0"/>
          <w:numId w:val="0"/>
        </w:numPr>
        <w:spacing w:line="288" w:lineRule="auto"/>
        <w:jc w:val="left"/>
        <w:outlineLvl w:val="1"/>
        <w:rPr>
          <w:rFonts w:hint="eastAsia" w:ascii="仿宋" w:hAnsi="仿宋" w:eastAsia="仿宋" w:cs="仿宋"/>
          <w:b w:val="0"/>
          <w:bCs/>
          <w:color w:val="auto"/>
          <w:sz w:val="24"/>
          <w:highlight w:val="none"/>
          <w:lang w:eastAsia="zh-CN"/>
        </w:rPr>
        <w:sectPr>
          <w:pgSz w:w="11906" w:h="16838"/>
          <w:pgMar w:top="1440" w:right="1797" w:bottom="1440" w:left="1797" w:header="851" w:footer="992" w:gutter="0"/>
          <w:pgNumType w:fmt="decimal"/>
          <w:cols w:space="720" w:num="1"/>
          <w:titlePg/>
          <w:docGrid w:type="lines" w:linePitch="312" w:charSpace="0"/>
        </w:sectPr>
      </w:pPr>
    </w:p>
    <w:p>
      <w:pPr>
        <w:pStyle w:val="41"/>
        <w:numPr>
          <w:ilvl w:val="0"/>
          <w:numId w:val="0"/>
        </w:numPr>
        <w:spacing w:line="288" w:lineRule="auto"/>
        <w:jc w:val="left"/>
        <w:outlineLvl w:val="1"/>
        <w:rPr>
          <w:rFonts w:hint="eastAsia" w:ascii="宋体" w:hAnsi="宋体" w:eastAsia="宋体" w:cs="宋体"/>
          <w:b/>
          <w:bCs/>
          <w:color w:val="auto"/>
          <w:sz w:val="24"/>
          <w:szCs w:val="24"/>
          <w:highlight w:val="none"/>
        </w:rPr>
      </w:pPr>
      <w:bookmarkStart w:id="167" w:name="_Toc21942"/>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参加政府采购活动前三年内</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在经营活动中没有重大违法记录</w:t>
      </w:r>
      <w:bookmarkEnd w:id="167"/>
    </w:p>
    <w:p>
      <w:pPr>
        <w:pStyle w:val="41"/>
        <w:numPr>
          <w:ilvl w:val="0"/>
          <w:numId w:val="0"/>
        </w:numPr>
        <w:spacing w:line="288" w:lineRule="auto"/>
        <w:jc w:val="left"/>
        <w:rPr>
          <w:rFonts w:hint="eastAsia" w:ascii="仿宋" w:hAnsi="仿宋" w:eastAsia="仿宋" w:cs="仿宋"/>
          <w:color w:val="auto"/>
          <w:sz w:val="24"/>
          <w:szCs w:val="24"/>
          <w:highlight w:val="none"/>
          <w:lang w:val="en-US" w:eastAsia="zh-CN"/>
        </w:rPr>
      </w:pPr>
    </w:p>
    <w:p>
      <w:pPr>
        <w:pStyle w:val="41"/>
        <w:numPr>
          <w:ilvl w:val="0"/>
          <w:numId w:val="0"/>
        </w:numPr>
        <w:spacing w:line="288" w:lineRule="auto"/>
        <w:jc w:val="left"/>
        <w:rPr>
          <w:rFonts w:hint="eastAsia" w:ascii="仿宋" w:hAnsi="仿宋" w:eastAsia="仿宋" w:cs="仿宋"/>
          <w:color w:val="auto"/>
          <w:sz w:val="24"/>
          <w:szCs w:val="24"/>
          <w:highlight w:val="none"/>
          <w:lang w:val="en-US" w:eastAsia="zh-CN"/>
        </w:rPr>
      </w:pPr>
    </w:p>
    <w:p>
      <w:pPr>
        <w:pStyle w:val="41"/>
        <w:numPr>
          <w:ilvl w:val="0"/>
          <w:numId w:val="0"/>
        </w:numPr>
        <w:spacing w:line="288"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（1）投标人参加政府采购活动前3年内在经营活动中没有重大违法记录的书面声明（格式可自拟）；</w:t>
      </w:r>
    </w:p>
    <w:p>
      <w:pPr>
        <w:pStyle w:val="41"/>
        <w:numPr>
          <w:ilvl w:val="0"/>
          <w:numId w:val="0"/>
        </w:numPr>
        <w:spacing w:line="288" w:lineRule="auto"/>
        <w:jc w:val="left"/>
        <w:rPr>
          <w:rFonts w:hint="eastAsia" w:ascii="仿宋" w:hAnsi="仿宋" w:eastAsia="仿宋" w:cs="仿宋"/>
          <w:color w:val="auto"/>
          <w:sz w:val="24"/>
          <w:szCs w:val="24"/>
          <w:highlight w:val="none"/>
          <w:lang w:val="en-US" w:eastAsia="zh-CN"/>
        </w:rPr>
      </w:pPr>
    </w:p>
    <w:p>
      <w:pPr>
        <w:pStyle w:val="41"/>
        <w:numPr>
          <w:ilvl w:val="0"/>
          <w:numId w:val="0"/>
        </w:numPr>
        <w:spacing w:line="288" w:lineRule="auto"/>
        <w:jc w:val="left"/>
        <w:rPr>
          <w:rFonts w:hint="eastAsia" w:ascii="仿宋" w:hAnsi="仿宋" w:eastAsia="仿宋" w:cs="仿宋"/>
          <w:color w:val="auto"/>
          <w:sz w:val="24"/>
          <w:szCs w:val="24"/>
          <w:highlight w:val="none"/>
          <w:lang w:val="en-US" w:eastAsia="zh-CN"/>
        </w:rPr>
      </w:pPr>
    </w:p>
    <w:p>
      <w:pPr>
        <w:pStyle w:val="41"/>
        <w:numPr>
          <w:ilvl w:val="0"/>
          <w:numId w:val="0"/>
        </w:numPr>
        <w:spacing w:line="288" w:lineRule="auto"/>
        <w:jc w:val="left"/>
        <w:rPr>
          <w:rFonts w:hint="eastAsia" w:ascii="仿宋" w:hAnsi="仿宋" w:eastAsia="仿宋" w:cs="仿宋"/>
          <w:color w:val="auto"/>
          <w:sz w:val="24"/>
          <w:szCs w:val="24"/>
          <w:highlight w:val="none"/>
          <w:lang w:val="en-US" w:eastAsia="zh-CN"/>
        </w:rPr>
      </w:pPr>
    </w:p>
    <w:p>
      <w:pPr>
        <w:pStyle w:val="41"/>
        <w:numPr>
          <w:ilvl w:val="0"/>
          <w:numId w:val="0"/>
        </w:numPr>
        <w:spacing w:line="288" w:lineRule="auto"/>
        <w:jc w:val="left"/>
        <w:rPr>
          <w:rFonts w:hint="eastAsia" w:ascii="仿宋" w:hAnsi="仿宋" w:eastAsia="仿宋" w:cs="仿宋"/>
          <w:color w:val="auto"/>
          <w:sz w:val="24"/>
          <w:szCs w:val="24"/>
          <w:highlight w:val="none"/>
          <w:lang w:val="en-US" w:eastAsia="zh-CN"/>
        </w:rPr>
      </w:pPr>
    </w:p>
    <w:p>
      <w:pPr>
        <w:pStyle w:val="41"/>
        <w:numPr>
          <w:ilvl w:val="0"/>
          <w:numId w:val="0"/>
        </w:numPr>
        <w:spacing w:line="288" w:lineRule="auto"/>
        <w:jc w:val="left"/>
        <w:rPr>
          <w:rFonts w:hint="eastAsia" w:ascii="仿宋" w:hAnsi="仿宋" w:eastAsia="仿宋" w:cs="仿宋"/>
          <w:color w:val="auto"/>
          <w:sz w:val="24"/>
          <w:szCs w:val="24"/>
          <w:highlight w:val="none"/>
          <w:lang w:val="en-US" w:eastAsia="zh-CN"/>
        </w:rPr>
      </w:pPr>
    </w:p>
    <w:p>
      <w:pPr>
        <w:pStyle w:val="41"/>
        <w:numPr>
          <w:ilvl w:val="0"/>
          <w:numId w:val="0"/>
        </w:numPr>
        <w:spacing w:line="288" w:lineRule="auto"/>
        <w:jc w:val="left"/>
        <w:rPr>
          <w:rFonts w:hint="eastAsia" w:ascii="仿宋" w:hAnsi="仿宋" w:eastAsia="仿宋" w:cs="仿宋"/>
          <w:color w:val="auto"/>
          <w:sz w:val="24"/>
          <w:szCs w:val="24"/>
          <w:highlight w:val="none"/>
          <w:lang w:val="en-US" w:eastAsia="zh-CN"/>
        </w:rPr>
      </w:pPr>
    </w:p>
    <w:p>
      <w:pPr>
        <w:pStyle w:val="41"/>
        <w:numPr>
          <w:ilvl w:val="0"/>
          <w:numId w:val="0"/>
        </w:numPr>
        <w:spacing w:line="288" w:lineRule="auto"/>
        <w:jc w:val="left"/>
        <w:rPr>
          <w:rFonts w:hint="eastAsia" w:ascii="仿宋" w:hAnsi="仿宋" w:eastAsia="仿宋" w:cs="仿宋"/>
          <w:color w:val="auto"/>
          <w:sz w:val="24"/>
          <w:szCs w:val="24"/>
          <w:highlight w:val="none"/>
          <w:lang w:val="en-US" w:eastAsia="zh-CN"/>
        </w:rPr>
      </w:pPr>
    </w:p>
    <w:p>
      <w:pPr>
        <w:pStyle w:val="41"/>
        <w:numPr>
          <w:ilvl w:val="0"/>
          <w:numId w:val="0"/>
        </w:numPr>
        <w:spacing w:line="288" w:lineRule="auto"/>
        <w:jc w:val="left"/>
        <w:rPr>
          <w:rFonts w:hint="eastAsia" w:ascii="仿宋" w:hAnsi="仿宋" w:eastAsia="仿宋" w:cs="仿宋"/>
          <w:color w:val="auto"/>
          <w:sz w:val="24"/>
          <w:szCs w:val="24"/>
          <w:highlight w:val="none"/>
          <w:lang w:val="en-US" w:eastAsia="zh-CN"/>
        </w:rPr>
      </w:pPr>
    </w:p>
    <w:p>
      <w:pPr>
        <w:pStyle w:val="41"/>
        <w:numPr>
          <w:ilvl w:val="0"/>
          <w:numId w:val="0"/>
        </w:numPr>
        <w:spacing w:line="288" w:lineRule="auto"/>
        <w:jc w:val="left"/>
        <w:rPr>
          <w:rFonts w:hint="eastAsia" w:ascii="仿宋" w:hAnsi="仿宋" w:eastAsia="仿宋" w:cs="仿宋"/>
          <w:color w:val="auto"/>
          <w:sz w:val="24"/>
          <w:szCs w:val="24"/>
          <w:highlight w:val="none"/>
          <w:lang w:val="en-US" w:eastAsia="zh-CN"/>
        </w:rPr>
      </w:pPr>
    </w:p>
    <w:p>
      <w:pPr>
        <w:pStyle w:val="41"/>
        <w:numPr>
          <w:ilvl w:val="0"/>
          <w:numId w:val="0"/>
        </w:numPr>
        <w:spacing w:line="288" w:lineRule="auto"/>
        <w:jc w:val="left"/>
        <w:rPr>
          <w:rFonts w:hint="eastAsia" w:ascii="仿宋" w:hAnsi="仿宋" w:eastAsia="仿宋" w:cs="仿宋"/>
          <w:color w:val="auto"/>
          <w:sz w:val="24"/>
          <w:szCs w:val="24"/>
          <w:highlight w:val="none"/>
          <w:lang w:val="en-US" w:eastAsia="zh-CN"/>
        </w:rPr>
      </w:pPr>
    </w:p>
    <w:p>
      <w:pPr>
        <w:pStyle w:val="41"/>
        <w:numPr>
          <w:ilvl w:val="0"/>
          <w:numId w:val="0"/>
        </w:numPr>
        <w:spacing w:line="288" w:lineRule="auto"/>
        <w:jc w:val="left"/>
        <w:rPr>
          <w:rFonts w:hint="eastAsia" w:ascii="仿宋" w:hAnsi="仿宋" w:eastAsia="仿宋" w:cs="仿宋"/>
          <w:color w:val="auto"/>
          <w:sz w:val="24"/>
          <w:szCs w:val="24"/>
          <w:highlight w:val="none"/>
          <w:lang w:val="en-US" w:eastAsia="zh-CN"/>
        </w:rPr>
      </w:pPr>
    </w:p>
    <w:p>
      <w:pPr>
        <w:pStyle w:val="41"/>
        <w:numPr>
          <w:ilvl w:val="0"/>
          <w:numId w:val="0"/>
        </w:numPr>
        <w:spacing w:line="288" w:lineRule="auto"/>
        <w:jc w:val="left"/>
        <w:rPr>
          <w:rFonts w:hint="eastAsia" w:ascii="仿宋" w:hAnsi="仿宋" w:eastAsia="仿宋" w:cs="仿宋"/>
          <w:color w:val="auto"/>
          <w:sz w:val="24"/>
          <w:szCs w:val="24"/>
          <w:highlight w:val="none"/>
          <w:lang w:val="en-US" w:eastAsia="zh-CN"/>
        </w:rPr>
      </w:pPr>
    </w:p>
    <w:p>
      <w:pPr>
        <w:pStyle w:val="41"/>
        <w:numPr>
          <w:ilvl w:val="0"/>
          <w:numId w:val="0"/>
        </w:numPr>
        <w:spacing w:line="288"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（2）投标人必须为前三年内（2019 年1月1日至投标截止时间）未被列入“信用中国”网站（www.creditchina.gov.cn）、中国政府采购网（www.ccgp.gov.cn）信用记录失信被执行人、税收违法黑名单、政府采购严重违法失信行为记录名单的；（查询的结果以采购人或采购代理机构开标当日查询记录为准）。 </w:t>
      </w:r>
    </w:p>
    <w:p>
      <w:pPr>
        <w:pStyle w:val="41"/>
        <w:numPr>
          <w:ilvl w:val="0"/>
          <w:numId w:val="0"/>
        </w:numPr>
        <w:spacing w:line="288" w:lineRule="auto"/>
        <w:jc w:val="left"/>
        <w:rPr>
          <w:rFonts w:hint="eastAsia" w:ascii="仿宋" w:hAnsi="仿宋" w:eastAsia="仿宋" w:cs="仿宋"/>
          <w:color w:val="auto"/>
          <w:sz w:val="24"/>
          <w:szCs w:val="24"/>
          <w:highlight w:val="none"/>
          <w:lang w:val="en-US" w:eastAsia="zh-CN"/>
        </w:rPr>
      </w:pPr>
    </w:p>
    <w:p>
      <w:pPr>
        <w:pStyle w:val="41"/>
        <w:numPr>
          <w:ilvl w:val="0"/>
          <w:numId w:val="0"/>
        </w:numPr>
        <w:spacing w:line="288" w:lineRule="auto"/>
        <w:ind w:leftChars="0"/>
        <w:jc w:val="both"/>
        <w:rPr>
          <w:rFonts w:hint="eastAsia" w:ascii="宋体" w:hAnsi="宋体" w:eastAsia="宋体" w:cs="宋体"/>
          <w:b/>
          <w:bCs/>
          <w:color w:val="auto"/>
          <w:sz w:val="24"/>
          <w:szCs w:val="24"/>
          <w:highlight w:val="none"/>
          <w:lang w:val="en-US" w:eastAsia="zh-CN"/>
        </w:rPr>
      </w:pPr>
    </w:p>
    <w:p>
      <w:pPr>
        <w:pStyle w:val="41"/>
        <w:numPr>
          <w:ilvl w:val="0"/>
          <w:numId w:val="0"/>
        </w:numPr>
        <w:spacing w:line="288" w:lineRule="auto"/>
        <w:ind w:leftChars="0"/>
        <w:jc w:val="both"/>
        <w:rPr>
          <w:rFonts w:hint="eastAsia" w:ascii="宋体" w:hAnsi="宋体" w:eastAsia="宋体" w:cs="宋体"/>
          <w:b/>
          <w:bCs/>
          <w:color w:val="auto"/>
          <w:sz w:val="24"/>
          <w:szCs w:val="24"/>
          <w:highlight w:val="none"/>
          <w:lang w:val="en-US" w:eastAsia="zh-CN"/>
        </w:rPr>
      </w:pPr>
    </w:p>
    <w:p>
      <w:pPr>
        <w:pStyle w:val="57"/>
        <w:jc w:val="both"/>
        <w:outlineLvl w:val="9"/>
        <w:rPr>
          <w:rFonts w:hint="eastAsia" w:ascii="仿宋" w:hAnsi="仿宋" w:eastAsia="仿宋" w:cs="仿宋"/>
          <w:color w:val="auto"/>
          <w:highlight w:val="none"/>
          <w:lang w:eastAsia="zh-CN"/>
        </w:rPr>
      </w:pPr>
    </w:p>
    <w:p>
      <w:pPr>
        <w:pStyle w:val="57"/>
        <w:jc w:val="both"/>
        <w:outlineLvl w:val="9"/>
        <w:rPr>
          <w:rFonts w:hint="eastAsia" w:ascii="仿宋" w:hAnsi="仿宋" w:eastAsia="仿宋" w:cs="仿宋"/>
          <w:color w:val="auto"/>
          <w:highlight w:val="none"/>
          <w:lang w:eastAsia="zh-CN"/>
        </w:rPr>
      </w:pPr>
    </w:p>
    <w:p>
      <w:pPr>
        <w:pStyle w:val="57"/>
        <w:jc w:val="both"/>
        <w:outlineLvl w:val="9"/>
        <w:rPr>
          <w:rFonts w:hint="eastAsia" w:ascii="仿宋" w:hAnsi="仿宋" w:eastAsia="仿宋" w:cs="仿宋"/>
          <w:color w:val="auto"/>
          <w:highlight w:val="none"/>
          <w:lang w:eastAsia="zh-CN"/>
        </w:rPr>
      </w:pPr>
    </w:p>
    <w:p>
      <w:pPr>
        <w:pStyle w:val="57"/>
        <w:jc w:val="both"/>
        <w:outlineLvl w:val="9"/>
        <w:rPr>
          <w:rFonts w:hint="eastAsia" w:ascii="仿宋" w:hAnsi="仿宋" w:eastAsia="仿宋" w:cs="仿宋"/>
          <w:color w:val="auto"/>
          <w:highlight w:val="none"/>
          <w:lang w:eastAsia="zh-CN"/>
        </w:rPr>
      </w:pPr>
    </w:p>
    <w:p>
      <w:pPr>
        <w:pStyle w:val="57"/>
        <w:jc w:val="both"/>
        <w:outlineLvl w:val="9"/>
        <w:rPr>
          <w:rFonts w:hint="eastAsia" w:ascii="仿宋" w:hAnsi="仿宋" w:eastAsia="仿宋" w:cs="仿宋"/>
          <w:color w:val="auto"/>
          <w:highlight w:val="none"/>
          <w:lang w:eastAsia="zh-CN"/>
        </w:rPr>
      </w:pPr>
    </w:p>
    <w:p>
      <w:pPr>
        <w:pStyle w:val="57"/>
        <w:jc w:val="both"/>
        <w:outlineLvl w:val="9"/>
        <w:rPr>
          <w:rFonts w:hint="eastAsia" w:ascii="仿宋" w:hAnsi="仿宋" w:eastAsia="仿宋" w:cs="仿宋"/>
          <w:color w:val="auto"/>
          <w:highlight w:val="none"/>
          <w:lang w:eastAsia="zh-CN"/>
        </w:rPr>
      </w:pPr>
    </w:p>
    <w:p>
      <w:pPr>
        <w:pStyle w:val="57"/>
        <w:jc w:val="both"/>
        <w:outlineLvl w:val="9"/>
        <w:rPr>
          <w:rFonts w:hint="eastAsia" w:ascii="仿宋" w:hAnsi="仿宋" w:eastAsia="仿宋" w:cs="仿宋"/>
          <w:color w:val="auto"/>
          <w:highlight w:val="none"/>
          <w:lang w:eastAsia="zh-CN"/>
        </w:rPr>
      </w:pPr>
    </w:p>
    <w:p>
      <w:pPr>
        <w:pStyle w:val="57"/>
        <w:jc w:val="both"/>
        <w:outlineLvl w:val="9"/>
        <w:rPr>
          <w:rFonts w:hint="eastAsia" w:ascii="仿宋" w:hAnsi="仿宋" w:eastAsia="仿宋" w:cs="仿宋"/>
          <w:color w:val="auto"/>
          <w:highlight w:val="none"/>
          <w:lang w:eastAsia="zh-CN"/>
        </w:rPr>
      </w:pPr>
    </w:p>
    <w:p>
      <w:pPr>
        <w:pStyle w:val="41"/>
        <w:numPr>
          <w:ilvl w:val="0"/>
          <w:numId w:val="0"/>
        </w:numPr>
        <w:spacing w:line="288" w:lineRule="auto"/>
        <w:ind w:leftChars="0"/>
        <w:jc w:val="both"/>
        <w:outlineLvl w:val="1"/>
        <w:rPr>
          <w:rFonts w:hint="eastAsia" w:ascii="宋体" w:hAnsi="宋体" w:eastAsia="宋体" w:cs="宋体"/>
          <w:b/>
          <w:bCs/>
          <w:color w:val="auto"/>
          <w:sz w:val="24"/>
          <w:szCs w:val="24"/>
          <w:highlight w:val="none"/>
          <w:lang w:val="en-US" w:eastAsia="zh-CN"/>
        </w:rPr>
      </w:pPr>
      <w:bookmarkStart w:id="168" w:name="_Toc22711"/>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val="en-US" w:eastAsia="zh-CN"/>
        </w:rPr>
        <w:t>.具备法律、行政法规规定的其他条件的证明材料</w:t>
      </w:r>
      <w:bookmarkEnd w:id="168"/>
    </w:p>
    <w:p>
      <w:pPr>
        <w:pStyle w:val="60"/>
        <w:widowControl/>
        <w:spacing w:before="100" w:beforeAutospacing="1" w:after="100" w:afterAutospacing="1" w:line="360" w:lineRule="auto"/>
        <w:jc w:val="both"/>
        <w:outlineLvl w:val="9"/>
        <w:rPr>
          <w:rFonts w:hint="eastAsia" w:ascii="仿宋" w:hAnsi="仿宋" w:eastAsia="仿宋" w:cs="仿宋"/>
          <w:b/>
          <w:bCs/>
          <w:color w:val="auto"/>
          <w:kern w:val="2"/>
          <w:sz w:val="24"/>
          <w:szCs w:val="24"/>
          <w:highlight w:val="none"/>
          <w:lang w:val="en-US" w:eastAsia="zh-CN" w:bidi="ug-CN"/>
        </w:rPr>
      </w:pPr>
      <w:r>
        <w:rPr>
          <w:rFonts w:hint="eastAsia" w:ascii="仿宋" w:hAnsi="仿宋" w:eastAsia="仿宋" w:cs="仿宋"/>
          <w:b/>
          <w:bCs/>
          <w:color w:val="auto"/>
          <w:kern w:val="2"/>
          <w:sz w:val="24"/>
          <w:szCs w:val="24"/>
          <w:highlight w:val="none"/>
          <w:lang w:val="en-US" w:eastAsia="zh-CN" w:bidi="ug-CN"/>
        </w:rPr>
        <w:t>6.1投标单位（投标人）反商业贿赂承诺书</w:t>
      </w:r>
    </w:p>
    <w:p>
      <w:pPr>
        <w:pStyle w:val="60"/>
        <w:widowControl/>
        <w:spacing w:line="480" w:lineRule="auto"/>
        <w:jc w:val="left"/>
        <w:outlineLvl w:val="9"/>
        <w:rPr>
          <w:rFonts w:hint="eastAsia" w:ascii="仿宋" w:hAnsi="仿宋" w:eastAsia="仿宋" w:cs="仿宋"/>
          <w:color w:val="auto"/>
          <w:sz w:val="24"/>
          <w:szCs w:val="24"/>
          <w:highlight w:val="none"/>
        </w:rPr>
      </w:pPr>
      <w:r>
        <w:rPr>
          <w:rFonts w:hint="eastAsia" w:ascii="仿宋" w:hAnsi="仿宋" w:eastAsia="仿宋" w:cs="仿宋"/>
          <w:bCs/>
          <w:color w:val="auto"/>
          <w:szCs w:val="21"/>
          <w:highlight w:val="none"/>
        </w:rPr>
        <w:t> </w:t>
      </w:r>
      <w:r>
        <w:rPr>
          <w:rFonts w:hint="eastAsia" w:ascii="仿宋" w:hAnsi="仿宋" w:eastAsia="仿宋" w:cs="仿宋"/>
          <w:color w:val="auto"/>
          <w:szCs w:val="21"/>
          <w:highlight w:val="none"/>
        </w:rPr>
        <w:t>   </w:t>
      </w:r>
      <w:r>
        <w:rPr>
          <w:rFonts w:hint="eastAsia" w:ascii="仿宋" w:hAnsi="仿宋" w:eastAsia="仿宋" w:cs="仿宋"/>
          <w:color w:val="auto"/>
          <w:sz w:val="24"/>
          <w:szCs w:val="24"/>
          <w:highlight w:val="none"/>
        </w:rPr>
        <w:t>我公司承诺在</w:t>
      </w:r>
      <w:r>
        <w:rPr>
          <w:rFonts w:hint="eastAsia" w:ascii="仿宋" w:hAnsi="仿宋" w:eastAsia="仿宋" w:cs="仿宋"/>
          <w:color w:val="auto"/>
          <w:sz w:val="24"/>
          <w:szCs w:val="24"/>
          <w:highlight w:val="none"/>
          <w:u w:val="single"/>
        </w:rPr>
        <w:t>（项目编号、项目名称）</w:t>
      </w:r>
      <w:r>
        <w:rPr>
          <w:rFonts w:hint="eastAsia" w:ascii="仿宋" w:hAnsi="仿宋" w:eastAsia="仿宋" w:cs="仿宋"/>
          <w:color w:val="auto"/>
          <w:sz w:val="24"/>
          <w:szCs w:val="24"/>
          <w:highlight w:val="none"/>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投标单位（</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 xml:space="preserve">）承诺书 </w:t>
      </w:r>
    </w:p>
    <w:p>
      <w:pPr>
        <w:pStyle w:val="60"/>
        <w:widowControl/>
        <w:spacing w:line="480" w:lineRule="auto"/>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我公司承诺在参加本次投标前三年内，无以下行为：</w:t>
      </w:r>
    </w:p>
    <w:p>
      <w:pPr>
        <w:pStyle w:val="60"/>
        <w:widowControl/>
        <w:spacing w:line="480" w:lineRule="auto"/>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重大违法行为；</w:t>
      </w:r>
    </w:p>
    <w:p>
      <w:pPr>
        <w:pStyle w:val="60"/>
        <w:widowControl/>
        <w:spacing w:line="480" w:lineRule="auto"/>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商业贿赂行为；</w:t>
      </w:r>
    </w:p>
    <w:p>
      <w:pPr>
        <w:pStyle w:val="60"/>
        <w:widowControl/>
        <w:spacing w:line="480" w:lineRule="auto"/>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政府采购法《第七十七条》，列入不良行为记录名单的各种行为；</w:t>
      </w:r>
    </w:p>
    <w:p>
      <w:pPr>
        <w:pStyle w:val="60"/>
        <w:widowControl/>
        <w:spacing w:line="480" w:lineRule="auto"/>
        <w:ind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如有上述行为，我公司及项目参与人员自愿放弃本次项目的投标、报价资格，若为预中标、成交人，也自愿放弃中标、成交资格。 </w:t>
      </w:r>
    </w:p>
    <w:p>
      <w:pPr>
        <w:pStyle w:val="60"/>
        <w:widowControl/>
        <w:spacing w:line="480" w:lineRule="auto"/>
        <w:jc w:val="left"/>
        <w:outlineLvl w:val="9"/>
        <w:rPr>
          <w:rFonts w:hint="eastAsia" w:ascii="仿宋" w:hAnsi="仿宋" w:eastAsia="仿宋" w:cs="仿宋"/>
          <w:color w:val="auto"/>
          <w:sz w:val="24"/>
          <w:szCs w:val="24"/>
          <w:highlight w:val="none"/>
        </w:rPr>
      </w:pPr>
    </w:p>
    <w:p>
      <w:pPr>
        <w:pStyle w:val="60"/>
        <w:widowControl/>
        <w:spacing w:line="480" w:lineRule="auto"/>
        <w:jc w:val="left"/>
        <w:outlineLvl w:val="9"/>
        <w:rPr>
          <w:rFonts w:hint="eastAsia" w:ascii="仿宋" w:hAnsi="仿宋" w:eastAsia="仿宋" w:cs="仿宋"/>
          <w:color w:val="auto"/>
          <w:sz w:val="24"/>
          <w:szCs w:val="24"/>
          <w:highlight w:val="none"/>
        </w:rPr>
      </w:pPr>
    </w:p>
    <w:p>
      <w:pPr>
        <w:pStyle w:val="60"/>
        <w:widowControl/>
        <w:spacing w:line="480" w:lineRule="auto"/>
        <w:ind w:firstLine="6240" w:firstLineChars="2600"/>
        <w:jc w:val="left"/>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投标人（签章）：</w:t>
      </w:r>
    </w:p>
    <w:p>
      <w:pPr>
        <w:pStyle w:val="60"/>
        <w:widowControl/>
        <w:spacing w:line="480" w:lineRule="auto"/>
        <w:ind w:firstLine="5280" w:firstLineChars="2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公司法人代表签</w:t>
      </w:r>
      <w:r>
        <w:rPr>
          <w:rFonts w:hint="eastAsia" w:ascii="仿宋" w:hAnsi="仿宋" w:eastAsia="仿宋" w:cs="仿宋"/>
          <w:color w:val="auto"/>
          <w:sz w:val="24"/>
          <w:szCs w:val="24"/>
          <w:highlight w:val="none"/>
          <w:lang w:val="en-US" w:eastAsia="zh-CN"/>
        </w:rPr>
        <w:t>名或签章</w:t>
      </w:r>
      <w:r>
        <w:rPr>
          <w:rFonts w:hint="eastAsia" w:ascii="仿宋" w:hAnsi="仿宋" w:eastAsia="仿宋" w:cs="仿宋"/>
          <w:color w:val="auto"/>
          <w:sz w:val="24"/>
          <w:szCs w:val="24"/>
          <w:highlight w:val="none"/>
        </w:rPr>
        <w:t>：</w:t>
      </w:r>
    </w:p>
    <w:p>
      <w:pPr>
        <w:pStyle w:val="60"/>
        <w:widowControl/>
        <w:spacing w:line="480" w:lineRule="auto"/>
        <w:ind w:firstLine="6480" w:firstLineChars="27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pPr>
        <w:pStyle w:val="57"/>
        <w:numPr>
          <w:ilvl w:val="0"/>
          <w:numId w:val="0"/>
        </w:numPr>
        <w:jc w:val="both"/>
        <w:outlineLvl w:val="9"/>
        <w:rPr>
          <w:rFonts w:hint="default" w:ascii="仿宋" w:hAnsi="仿宋" w:eastAsia="仿宋" w:cs="仿宋"/>
          <w:b/>
          <w:bCs/>
          <w:color w:val="auto"/>
          <w:kern w:val="2"/>
          <w:sz w:val="24"/>
          <w:szCs w:val="24"/>
          <w:highlight w:val="none"/>
          <w:lang w:val="en-US" w:eastAsia="zh-CN" w:bidi="ug-CN"/>
        </w:rPr>
      </w:pPr>
    </w:p>
    <w:p>
      <w:pPr>
        <w:pStyle w:val="57"/>
        <w:numPr>
          <w:ilvl w:val="0"/>
          <w:numId w:val="0"/>
        </w:numPr>
        <w:jc w:val="both"/>
        <w:outlineLvl w:val="9"/>
        <w:rPr>
          <w:rFonts w:hint="eastAsia" w:ascii="仿宋" w:hAnsi="仿宋" w:eastAsia="仿宋" w:cs="仿宋"/>
          <w:b/>
          <w:bCs/>
          <w:color w:val="auto"/>
          <w:kern w:val="2"/>
          <w:sz w:val="24"/>
          <w:szCs w:val="24"/>
          <w:highlight w:val="none"/>
          <w:lang w:val="en-US" w:eastAsia="zh-CN" w:bidi="ug-CN"/>
        </w:rPr>
        <w:sectPr>
          <w:pgSz w:w="11906" w:h="16838"/>
          <w:pgMar w:top="1440" w:right="1797" w:bottom="1440" w:left="1797" w:header="851" w:footer="992" w:gutter="0"/>
          <w:pgNumType w:fmt="decimal"/>
          <w:cols w:space="720" w:num="1"/>
          <w:titlePg/>
          <w:docGrid w:type="lines" w:linePitch="312" w:charSpace="0"/>
        </w:sectPr>
      </w:pPr>
    </w:p>
    <w:p>
      <w:pPr>
        <w:pStyle w:val="61"/>
        <w:outlineLvl w:val="9"/>
        <w:rPr>
          <w:rFonts w:hint="eastAsia" w:ascii="仿宋" w:hAnsi="仿宋" w:eastAsia="仿宋" w:cs="仿宋"/>
          <w:b/>
          <w:bCs/>
          <w:color w:val="auto"/>
          <w:kern w:val="2"/>
          <w:sz w:val="24"/>
          <w:szCs w:val="24"/>
          <w:highlight w:val="none"/>
          <w:lang w:val="en-US" w:eastAsia="zh-CN" w:bidi="ug-CN"/>
        </w:rPr>
      </w:pPr>
      <w:r>
        <w:rPr>
          <w:rFonts w:hint="eastAsia" w:ascii="仿宋" w:hAnsi="仿宋" w:eastAsia="仿宋" w:cs="仿宋"/>
          <w:b/>
          <w:bCs/>
          <w:color w:val="auto"/>
          <w:kern w:val="2"/>
          <w:sz w:val="24"/>
          <w:szCs w:val="24"/>
          <w:highlight w:val="none"/>
          <w:lang w:val="en-US" w:eastAsia="zh-CN" w:bidi="ug-CN"/>
        </w:rPr>
        <w:t>6.2不参与围标串标承诺书</w:t>
      </w:r>
    </w:p>
    <w:p>
      <w:pPr>
        <w:pStyle w:val="62"/>
        <w:spacing w:line="640" w:lineRule="exact"/>
        <w:ind w:firstLine="480" w:firstLineChars="200"/>
        <w:outlineLvl w:val="9"/>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本人作为</w:t>
      </w:r>
      <w:r>
        <w:rPr>
          <w:rFonts w:hint="eastAsia" w:ascii="仿宋" w:hAnsi="仿宋" w:eastAsia="仿宋" w:cs="仿宋"/>
          <w:b w:val="0"/>
          <w:bCs/>
          <w:color w:val="auto"/>
          <w:sz w:val="24"/>
          <w:highlight w:val="none"/>
          <w:u w:val="single"/>
          <w:lang w:val="en-US" w:eastAsia="zh-CN"/>
        </w:rPr>
        <w:t xml:space="preserve">（单位名称）                    </w:t>
      </w:r>
      <w:r>
        <w:rPr>
          <w:rFonts w:hint="eastAsia" w:ascii="仿宋" w:hAnsi="仿宋" w:eastAsia="仿宋" w:cs="仿宋"/>
          <w:b w:val="0"/>
          <w:bCs/>
          <w:color w:val="auto"/>
          <w:sz w:val="24"/>
          <w:highlight w:val="none"/>
          <w:lang w:val="en-US" w:eastAsia="zh-CN"/>
        </w:rPr>
        <w:t>的法人，清楚知晓我公司本项目投标活动，对以下事项作出承诺：</w:t>
      </w:r>
    </w:p>
    <w:p>
      <w:pPr>
        <w:pStyle w:val="62"/>
        <w:spacing w:line="640" w:lineRule="exact"/>
        <w:ind w:firstLine="480" w:firstLineChars="200"/>
        <w:outlineLvl w:val="9"/>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一、我单位遵循公开、公平、公正、诚实守信的原则，依法依规参与本项目竞标。</w:t>
      </w:r>
    </w:p>
    <w:p>
      <w:pPr>
        <w:pStyle w:val="62"/>
        <w:spacing w:line="640" w:lineRule="exact"/>
        <w:ind w:firstLine="480" w:firstLineChars="200"/>
        <w:outlineLvl w:val="9"/>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二、我单位在本项目招标投标活动中，未参与围标串标。</w:t>
      </w:r>
    </w:p>
    <w:p>
      <w:pPr>
        <w:pStyle w:val="62"/>
        <w:spacing w:line="640" w:lineRule="exact"/>
        <w:ind w:firstLine="480" w:firstLineChars="200"/>
        <w:outlineLvl w:val="9"/>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三、我单位如被查实在本项目招标投标活动中存在围标串标的，递交投标文件行为作为实施串通投标违法行为的关键环节，本人承担直接责任人员法律责任，接受相应行政处罚和失信惩戒。</w:t>
      </w:r>
    </w:p>
    <w:p>
      <w:pPr>
        <w:pStyle w:val="62"/>
        <w:spacing w:line="640" w:lineRule="exact"/>
        <w:jc w:val="left"/>
        <w:outlineLvl w:val="9"/>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 xml:space="preserve">项目编号：    </w:t>
      </w:r>
    </w:p>
    <w:p>
      <w:pPr>
        <w:pStyle w:val="62"/>
        <w:spacing w:line="640" w:lineRule="exact"/>
        <w:jc w:val="left"/>
        <w:outlineLvl w:val="9"/>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 xml:space="preserve">项目名称：    </w:t>
      </w:r>
    </w:p>
    <w:p>
      <w:pPr>
        <w:pStyle w:val="62"/>
        <w:spacing w:line="640" w:lineRule="exact"/>
        <w:jc w:val="left"/>
        <w:outlineLvl w:val="9"/>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 xml:space="preserve">                                  </w:t>
      </w:r>
    </w:p>
    <w:p>
      <w:pPr>
        <w:pStyle w:val="62"/>
        <w:spacing w:line="640" w:lineRule="exact"/>
        <w:jc w:val="left"/>
        <w:outlineLvl w:val="9"/>
        <w:rPr>
          <w:rFonts w:hint="eastAsia" w:ascii="仿宋" w:hAnsi="仿宋" w:eastAsia="仿宋" w:cs="仿宋"/>
          <w:b w:val="0"/>
          <w:bCs/>
          <w:color w:val="auto"/>
          <w:sz w:val="24"/>
          <w:highlight w:val="none"/>
          <w:lang w:val="en-US" w:eastAsia="zh-CN"/>
        </w:rPr>
      </w:pPr>
    </w:p>
    <w:p>
      <w:pPr>
        <w:pStyle w:val="62"/>
        <w:spacing w:line="640" w:lineRule="exact"/>
        <w:ind w:firstLine="4320" w:firstLineChars="1800"/>
        <w:jc w:val="left"/>
        <w:outlineLvl w:val="9"/>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投标人（签章）：</w:t>
      </w:r>
    </w:p>
    <w:p>
      <w:pPr>
        <w:pStyle w:val="62"/>
        <w:spacing w:line="640" w:lineRule="exact"/>
        <w:ind w:firstLine="4320" w:firstLineChars="1800"/>
        <w:jc w:val="left"/>
        <w:outlineLvl w:val="9"/>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公司法人代表签名或签章：</w:t>
      </w:r>
    </w:p>
    <w:p>
      <w:pPr>
        <w:pStyle w:val="62"/>
        <w:spacing w:line="640" w:lineRule="exact"/>
        <w:ind w:firstLine="4320" w:firstLineChars="1800"/>
        <w:jc w:val="left"/>
        <w:outlineLvl w:val="9"/>
        <w:rPr>
          <w:rFonts w:hint="eastAsia" w:ascii="仿宋" w:hAnsi="仿宋" w:eastAsia="仿宋" w:cs="仿宋"/>
          <w:b w:val="0"/>
          <w:bCs/>
          <w:color w:val="auto"/>
          <w:sz w:val="24"/>
          <w:highlight w:val="none"/>
          <w:lang w:val="en-US" w:eastAsia="zh-CN"/>
        </w:rPr>
      </w:pPr>
    </w:p>
    <w:p>
      <w:pPr>
        <w:pStyle w:val="62"/>
        <w:spacing w:line="640" w:lineRule="exact"/>
        <w:ind w:firstLine="4320" w:firstLineChars="1800"/>
        <w:jc w:val="left"/>
        <w:outlineLvl w:val="9"/>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 xml:space="preserve"> 年   月   日</w:t>
      </w:r>
    </w:p>
    <w:p>
      <w:pPr>
        <w:pStyle w:val="57"/>
        <w:numPr>
          <w:ilvl w:val="0"/>
          <w:numId w:val="0"/>
        </w:numPr>
        <w:jc w:val="both"/>
        <w:outlineLvl w:val="9"/>
        <w:rPr>
          <w:rFonts w:hint="eastAsia" w:ascii="仿宋" w:hAnsi="仿宋" w:eastAsia="仿宋" w:cs="仿宋"/>
          <w:b/>
          <w:bCs/>
          <w:color w:val="auto"/>
          <w:kern w:val="2"/>
          <w:sz w:val="24"/>
          <w:szCs w:val="24"/>
          <w:highlight w:val="none"/>
          <w:lang w:val="en-US" w:eastAsia="zh-CN" w:bidi="ug-CN"/>
        </w:rPr>
      </w:pPr>
    </w:p>
    <w:p>
      <w:pPr>
        <w:pStyle w:val="57"/>
        <w:numPr>
          <w:ilvl w:val="0"/>
          <w:numId w:val="0"/>
        </w:numPr>
        <w:jc w:val="both"/>
        <w:outlineLvl w:val="9"/>
        <w:rPr>
          <w:rFonts w:hint="eastAsia" w:ascii="仿宋" w:hAnsi="仿宋" w:eastAsia="仿宋" w:cs="仿宋"/>
          <w:b/>
          <w:bCs/>
          <w:color w:val="auto"/>
          <w:kern w:val="2"/>
          <w:sz w:val="24"/>
          <w:szCs w:val="24"/>
          <w:highlight w:val="none"/>
          <w:lang w:val="en-US" w:eastAsia="zh-CN" w:bidi="ug-CN"/>
        </w:rPr>
      </w:pPr>
    </w:p>
    <w:p>
      <w:pPr>
        <w:pStyle w:val="57"/>
        <w:numPr>
          <w:ilvl w:val="0"/>
          <w:numId w:val="0"/>
        </w:numPr>
        <w:jc w:val="both"/>
        <w:outlineLvl w:val="9"/>
        <w:rPr>
          <w:rFonts w:hint="eastAsia" w:ascii="仿宋" w:hAnsi="仿宋" w:eastAsia="仿宋" w:cs="仿宋"/>
          <w:b/>
          <w:bCs/>
          <w:color w:val="auto"/>
          <w:kern w:val="2"/>
          <w:sz w:val="24"/>
          <w:szCs w:val="24"/>
          <w:highlight w:val="none"/>
          <w:lang w:val="en-US" w:eastAsia="zh-CN" w:bidi="ug-CN"/>
        </w:rPr>
      </w:pPr>
    </w:p>
    <w:p>
      <w:pPr>
        <w:pStyle w:val="57"/>
        <w:numPr>
          <w:ilvl w:val="0"/>
          <w:numId w:val="0"/>
        </w:numPr>
        <w:jc w:val="both"/>
        <w:outlineLvl w:val="9"/>
        <w:rPr>
          <w:rFonts w:hint="eastAsia" w:ascii="仿宋" w:hAnsi="仿宋" w:eastAsia="仿宋" w:cs="仿宋"/>
          <w:b/>
          <w:bCs/>
          <w:color w:val="auto"/>
          <w:kern w:val="2"/>
          <w:sz w:val="24"/>
          <w:szCs w:val="24"/>
          <w:highlight w:val="none"/>
          <w:lang w:val="en-US" w:eastAsia="zh-CN" w:bidi="ug-CN"/>
        </w:rPr>
      </w:pPr>
    </w:p>
    <w:p>
      <w:pPr>
        <w:pStyle w:val="57"/>
        <w:numPr>
          <w:ilvl w:val="0"/>
          <w:numId w:val="0"/>
        </w:numPr>
        <w:jc w:val="both"/>
        <w:outlineLvl w:val="9"/>
        <w:rPr>
          <w:rFonts w:hint="eastAsia" w:ascii="仿宋" w:hAnsi="仿宋" w:eastAsia="仿宋" w:cs="仿宋"/>
          <w:b/>
          <w:bCs/>
          <w:color w:val="auto"/>
          <w:kern w:val="2"/>
          <w:sz w:val="24"/>
          <w:szCs w:val="24"/>
          <w:highlight w:val="none"/>
          <w:lang w:val="en-US" w:eastAsia="zh-CN" w:bidi="ug-CN"/>
        </w:rPr>
      </w:pPr>
    </w:p>
    <w:p>
      <w:pPr>
        <w:pStyle w:val="57"/>
        <w:numPr>
          <w:ilvl w:val="0"/>
          <w:numId w:val="0"/>
        </w:numPr>
        <w:jc w:val="both"/>
        <w:outlineLvl w:val="9"/>
        <w:rPr>
          <w:rFonts w:hint="eastAsia" w:ascii="仿宋" w:hAnsi="仿宋" w:eastAsia="仿宋" w:cs="仿宋"/>
          <w:b/>
          <w:bCs/>
          <w:color w:val="auto"/>
          <w:kern w:val="2"/>
          <w:sz w:val="24"/>
          <w:szCs w:val="24"/>
          <w:highlight w:val="none"/>
          <w:lang w:val="en-US" w:eastAsia="zh-CN" w:bidi="ug-CN"/>
        </w:rPr>
      </w:pPr>
    </w:p>
    <w:p>
      <w:pPr>
        <w:pStyle w:val="57"/>
        <w:numPr>
          <w:ilvl w:val="0"/>
          <w:numId w:val="0"/>
        </w:numPr>
        <w:jc w:val="both"/>
        <w:outlineLvl w:val="9"/>
        <w:rPr>
          <w:rFonts w:hint="eastAsia" w:ascii="仿宋" w:hAnsi="仿宋" w:eastAsia="仿宋" w:cs="仿宋"/>
          <w:b/>
          <w:bCs/>
          <w:color w:val="auto"/>
          <w:kern w:val="2"/>
          <w:sz w:val="24"/>
          <w:szCs w:val="24"/>
          <w:highlight w:val="none"/>
          <w:lang w:val="en-US" w:eastAsia="zh-CN" w:bidi="ug-CN"/>
        </w:rPr>
      </w:pPr>
    </w:p>
    <w:p>
      <w:pPr>
        <w:pStyle w:val="57"/>
        <w:numPr>
          <w:ilvl w:val="0"/>
          <w:numId w:val="0"/>
        </w:numPr>
        <w:jc w:val="both"/>
        <w:outlineLvl w:val="9"/>
        <w:rPr>
          <w:rFonts w:hint="eastAsia" w:ascii="仿宋" w:hAnsi="仿宋" w:eastAsia="仿宋" w:cs="仿宋"/>
          <w:b/>
          <w:bCs/>
          <w:color w:val="auto"/>
          <w:kern w:val="2"/>
          <w:sz w:val="24"/>
          <w:szCs w:val="24"/>
          <w:highlight w:val="none"/>
          <w:lang w:val="en-US" w:eastAsia="zh-CN" w:bidi="ug-CN"/>
        </w:rPr>
      </w:pPr>
    </w:p>
    <w:p>
      <w:pPr>
        <w:pStyle w:val="57"/>
        <w:numPr>
          <w:ilvl w:val="0"/>
          <w:numId w:val="0"/>
        </w:numPr>
        <w:jc w:val="both"/>
        <w:outlineLvl w:val="9"/>
        <w:rPr>
          <w:rFonts w:hint="eastAsia" w:ascii="仿宋" w:hAnsi="仿宋" w:eastAsia="仿宋" w:cs="仿宋"/>
          <w:b/>
          <w:bCs/>
          <w:color w:val="auto"/>
          <w:kern w:val="2"/>
          <w:sz w:val="24"/>
          <w:szCs w:val="24"/>
          <w:highlight w:val="none"/>
          <w:lang w:val="en-US" w:eastAsia="zh-CN" w:bidi="ug-CN"/>
        </w:rPr>
      </w:pPr>
    </w:p>
    <w:p>
      <w:pPr>
        <w:pStyle w:val="57"/>
        <w:numPr>
          <w:ilvl w:val="0"/>
          <w:numId w:val="0"/>
        </w:numPr>
        <w:jc w:val="both"/>
        <w:outlineLvl w:val="9"/>
        <w:rPr>
          <w:rFonts w:hint="eastAsia" w:ascii="仿宋" w:hAnsi="仿宋" w:eastAsia="仿宋" w:cs="仿宋"/>
          <w:b/>
          <w:bCs/>
          <w:color w:val="auto"/>
          <w:kern w:val="2"/>
          <w:sz w:val="24"/>
          <w:szCs w:val="24"/>
          <w:highlight w:val="none"/>
          <w:lang w:val="en-US" w:eastAsia="zh-CN" w:bidi="ug-CN"/>
        </w:rPr>
      </w:pPr>
    </w:p>
    <w:p>
      <w:pPr>
        <w:pStyle w:val="26"/>
        <w:widowControl/>
        <w:numPr>
          <w:ilvl w:val="0"/>
          <w:numId w:val="17"/>
        </w:numPr>
        <w:spacing w:line="288" w:lineRule="auto"/>
        <w:jc w:val="left"/>
        <w:rPr>
          <w:rFonts w:hint="eastAsia" w:ascii="仿宋" w:hAnsi="仿宋" w:eastAsia="仿宋" w:cs="仿宋"/>
          <w:b w:val="0"/>
          <w:bCs/>
          <w:i w:val="0"/>
          <w:iCs w:val="0"/>
          <w:color w:val="auto"/>
          <w:sz w:val="24"/>
          <w:szCs w:val="24"/>
          <w:highlight w:val="none"/>
          <w:lang w:eastAsia="zh-CN"/>
        </w:rPr>
      </w:pPr>
      <w:r>
        <w:rPr>
          <w:rFonts w:hint="eastAsia" w:ascii="仿宋" w:hAnsi="仿宋" w:eastAsia="仿宋" w:cs="仿宋"/>
          <w:b/>
          <w:bCs/>
          <w:color w:val="auto"/>
          <w:sz w:val="24"/>
          <w:szCs w:val="24"/>
          <w:highlight w:val="none"/>
          <w:lang w:val="en-US" w:eastAsia="zh-CN"/>
        </w:rPr>
        <w:t>本项目的特定资格要求：</w:t>
      </w:r>
      <w:r>
        <w:rPr>
          <w:rFonts w:hint="eastAsia" w:ascii="仿宋" w:hAnsi="仿宋" w:eastAsia="仿宋" w:cs="仿宋"/>
          <w:color w:val="auto"/>
          <w:sz w:val="24"/>
          <w:szCs w:val="24"/>
          <w:highlight w:val="none"/>
          <w:lang w:val="en-US" w:eastAsia="zh-CN"/>
        </w:rPr>
        <w:t>投标人应符合《医疗器械经营监督管理办法》、《医疗器械生产监督管理办法》的规定：投标人为所投产品制造商的，投标产品属于一类医疗器械的须提供《第一类医疗器械生产备案凭证》，所投产品属于二类、三类医疗器械须提供《医疗器械生产许可证》；投标人为所投产品的经销商或代理商且所投产品属于二类医疗器械须提供《医疗器械经营许可证》及《第二类医疗器械经营备案凭证》，所投产品属于三类医疗器械须提供《医疗器械经营许可证》及《医疗器械注册证》，同时还须提供所投产品制造商的《医疗器械生产许可证》。以上所有证件必须在有效期内，否则资格性审查不通过。</w:t>
      </w:r>
    </w:p>
    <w:p>
      <w:pPr>
        <w:pStyle w:val="57"/>
        <w:numPr>
          <w:ilvl w:val="0"/>
          <w:numId w:val="0"/>
        </w:numPr>
        <w:jc w:val="both"/>
        <w:outlineLvl w:val="9"/>
        <w:rPr>
          <w:rFonts w:hint="eastAsia" w:ascii="仿宋" w:hAnsi="仿宋" w:eastAsia="仿宋" w:cs="仿宋"/>
          <w:b/>
          <w:bCs/>
          <w:color w:val="auto"/>
          <w:kern w:val="2"/>
          <w:sz w:val="24"/>
          <w:szCs w:val="24"/>
          <w:highlight w:val="none"/>
          <w:lang w:val="en-US" w:eastAsia="zh-CN" w:bidi="ug-CN"/>
        </w:rPr>
      </w:pPr>
    </w:p>
    <w:p>
      <w:pPr>
        <w:pStyle w:val="57"/>
        <w:numPr>
          <w:ilvl w:val="0"/>
          <w:numId w:val="0"/>
        </w:numPr>
        <w:jc w:val="both"/>
        <w:outlineLvl w:val="9"/>
        <w:rPr>
          <w:rFonts w:hint="eastAsia" w:ascii="仿宋" w:hAnsi="仿宋" w:eastAsia="仿宋" w:cs="仿宋"/>
          <w:b/>
          <w:bCs/>
          <w:color w:val="auto"/>
          <w:kern w:val="2"/>
          <w:sz w:val="24"/>
          <w:szCs w:val="24"/>
          <w:highlight w:val="none"/>
          <w:lang w:val="en-US" w:eastAsia="zh-CN" w:bidi="ug-CN"/>
        </w:rPr>
      </w:pPr>
    </w:p>
    <w:p>
      <w:pPr>
        <w:pStyle w:val="57"/>
        <w:numPr>
          <w:ilvl w:val="0"/>
          <w:numId w:val="0"/>
        </w:numPr>
        <w:jc w:val="both"/>
        <w:outlineLvl w:val="9"/>
        <w:rPr>
          <w:rFonts w:hint="eastAsia" w:ascii="仿宋" w:hAnsi="仿宋" w:eastAsia="仿宋" w:cs="仿宋"/>
          <w:b/>
          <w:bCs/>
          <w:color w:val="auto"/>
          <w:kern w:val="2"/>
          <w:sz w:val="24"/>
          <w:szCs w:val="24"/>
          <w:highlight w:val="none"/>
          <w:lang w:val="en-US" w:eastAsia="zh-CN" w:bidi="ug-CN"/>
        </w:rPr>
      </w:pPr>
    </w:p>
    <w:p>
      <w:pPr>
        <w:pStyle w:val="57"/>
        <w:numPr>
          <w:ilvl w:val="0"/>
          <w:numId w:val="0"/>
        </w:numPr>
        <w:jc w:val="both"/>
        <w:outlineLvl w:val="9"/>
        <w:rPr>
          <w:rFonts w:hint="eastAsia" w:ascii="仿宋" w:hAnsi="仿宋" w:eastAsia="仿宋" w:cs="仿宋"/>
          <w:b/>
          <w:bCs/>
          <w:color w:val="auto"/>
          <w:kern w:val="2"/>
          <w:sz w:val="24"/>
          <w:szCs w:val="24"/>
          <w:highlight w:val="none"/>
          <w:lang w:val="en-US" w:eastAsia="zh-CN" w:bidi="ug-CN"/>
        </w:rPr>
      </w:pPr>
    </w:p>
    <w:p>
      <w:pPr>
        <w:pStyle w:val="57"/>
        <w:numPr>
          <w:ilvl w:val="0"/>
          <w:numId w:val="0"/>
        </w:numPr>
        <w:jc w:val="both"/>
        <w:outlineLvl w:val="9"/>
        <w:rPr>
          <w:rFonts w:hint="eastAsia" w:ascii="仿宋" w:hAnsi="仿宋" w:eastAsia="仿宋" w:cs="仿宋"/>
          <w:b/>
          <w:bCs/>
          <w:color w:val="auto"/>
          <w:kern w:val="2"/>
          <w:sz w:val="24"/>
          <w:szCs w:val="24"/>
          <w:highlight w:val="none"/>
          <w:lang w:val="en-US" w:eastAsia="zh-CN" w:bidi="ug-CN"/>
        </w:rPr>
      </w:pPr>
    </w:p>
    <w:p>
      <w:pPr>
        <w:pStyle w:val="57"/>
        <w:numPr>
          <w:ilvl w:val="0"/>
          <w:numId w:val="0"/>
        </w:numPr>
        <w:jc w:val="both"/>
        <w:outlineLvl w:val="9"/>
        <w:rPr>
          <w:rFonts w:hint="eastAsia" w:ascii="仿宋" w:hAnsi="仿宋" w:eastAsia="仿宋" w:cs="仿宋"/>
          <w:b/>
          <w:bCs/>
          <w:color w:val="auto"/>
          <w:kern w:val="2"/>
          <w:sz w:val="24"/>
          <w:szCs w:val="24"/>
          <w:highlight w:val="none"/>
          <w:lang w:val="en-US" w:eastAsia="zh-CN" w:bidi="ug-CN"/>
        </w:rPr>
      </w:pPr>
    </w:p>
    <w:p>
      <w:pPr>
        <w:pStyle w:val="57"/>
        <w:numPr>
          <w:ilvl w:val="0"/>
          <w:numId w:val="0"/>
        </w:numPr>
        <w:jc w:val="both"/>
        <w:outlineLvl w:val="1"/>
        <w:rPr>
          <w:rFonts w:hint="eastAsia" w:ascii="仿宋" w:hAnsi="仿宋" w:eastAsia="仿宋" w:cs="仿宋"/>
          <w:b/>
          <w:bCs/>
          <w:color w:val="auto"/>
          <w:kern w:val="2"/>
          <w:sz w:val="24"/>
          <w:szCs w:val="24"/>
          <w:highlight w:val="none"/>
          <w:lang w:val="en-US" w:eastAsia="zh-CN" w:bidi="ug-CN"/>
        </w:rPr>
      </w:pPr>
      <w:bookmarkStart w:id="169" w:name="_Toc23031"/>
      <w:r>
        <w:rPr>
          <w:rFonts w:hint="eastAsia" w:ascii="仿宋" w:hAnsi="仿宋" w:eastAsia="仿宋" w:cs="仿宋"/>
          <w:b/>
          <w:bCs/>
          <w:color w:val="auto"/>
          <w:kern w:val="2"/>
          <w:sz w:val="24"/>
          <w:szCs w:val="24"/>
          <w:highlight w:val="none"/>
          <w:lang w:val="en-US" w:eastAsia="zh-CN" w:bidi="ug-CN"/>
        </w:rPr>
        <w:t>8、投标保证金</w:t>
      </w:r>
      <w:bookmarkEnd w:id="169"/>
    </w:p>
    <w:p>
      <w:pPr>
        <w:pStyle w:val="57"/>
        <w:numPr>
          <w:ilvl w:val="0"/>
          <w:numId w:val="0"/>
        </w:numPr>
        <w:jc w:val="both"/>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8.1通过基本账户转出的投标保证金汇款凭证（备注项目名称或项目编号）</w:t>
      </w:r>
    </w:p>
    <w:p>
      <w:pPr>
        <w:pStyle w:val="57"/>
        <w:numPr>
          <w:ilvl w:val="0"/>
          <w:numId w:val="0"/>
        </w:numPr>
        <w:jc w:val="both"/>
        <w:outlineLvl w:val="9"/>
        <w:rPr>
          <w:rFonts w:hint="eastAsia" w:ascii="仿宋" w:hAnsi="仿宋" w:eastAsia="仿宋" w:cs="仿宋"/>
          <w:b w:val="0"/>
          <w:color w:val="auto"/>
          <w:kern w:val="2"/>
          <w:sz w:val="24"/>
          <w:szCs w:val="24"/>
          <w:highlight w:val="none"/>
          <w:lang w:val="en-US" w:eastAsia="zh-CN" w:bidi="ar-SA"/>
        </w:rPr>
      </w:pPr>
    </w:p>
    <w:p>
      <w:pPr>
        <w:pStyle w:val="57"/>
        <w:numPr>
          <w:ilvl w:val="0"/>
          <w:numId w:val="0"/>
        </w:numPr>
        <w:jc w:val="both"/>
        <w:outlineLvl w:val="9"/>
        <w:rPr>
          <w:rFonts w:hint="eastAsia" w:ascii="仿宋" w:hAnsi="仿宋" w:eastAsia="仿宋" w:cs="仿宋"/>
          <w:b w:val="0"/>
          <w:color w:val="auto"/>
          <w:kern w:val="2"/>
          <w:sz w:val="24"/>
          <w:szCs w:val="24"/>
          <w:highlight w:val="none"/>
          <w:lang w:val="en-US" w:eastAsia="zh-CN" w:bidi="ar-SA"/>
        </w:rPr>
      </w:pPr>
    </w:p>
    <w:p>
      <w:pPr>
        <w:pStyle w:val="57"/>
        <w:numPr>
          <w:ilvl w:val="0"/>
          <w:numId w:val="0"/>
        </w:numPr>
        <w:jc w:val="both"/>
        <w:outlineLvl w:val="9"/>
        <w:rPr>
          <w:rFonts w:hint="eastAsia" w:ascii="仿宋" w:hAnsi="仿宋" w:eastAsia="仿宋" w:cs="仿宋"/>
          <w:b w:val="0"/>
          <w:color w:val="auto"/>
          <w:kern w:val="2"/>
          <w:sz w:val="24"/>
          <w:szCs w:val="24"/>
          <w:highlight w:val="none"/>
          <w:lang w:val="en-US" w:eastAsia="zh-CN" w:bidi="ar-SA"/>
        </w:rPr>
      </w:pPr>
    </w:p>
    <w:p>
      <w:pPr>
        <w:pStyle w:val="57"/>
        <w:numPr>
          <w:ilvl w:val="0"/>
          <w:numId w:val="0"/>
        </w:numPr>
        <w:jc w:val="both"/>
        <w:outlineLvl w:val="9"/>
        <w:rPr>
          <w:rFonts w:hint="eastAsia" w:ascii="仿宋" w:hAnsi="仿宋" w:eastAsia="仿宋" w:cs="仿宋"/>
          <w:b w:val="0"/>
          <w:color w:val="auto"/>
          <w:kern w:val="2"/>
          <w:sz w:val="24"/>
          <w:szCs w:val="24"/>
          <w:highlight w:val="none"/>
          <w:lang w:val="en-US" w:eastAsia="zh-CN" w:bidi="ar-SA"/>
        </w:rPr>
      </w:pPr>
    </w:p>
    <w:p>
      <w:pPr>
        <w:pStyle w:val="57"/>
        <w:numPr>
          <w:ilvl w:val="0"/>
          <w:numId w:val="0"/>
        </w:numPr>
        <w:jc w:val="both"/>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8.2投标人</w:t>
      </w:r>
      <w:r>
        <w:rPr>
          <w:rFonts w:hint="eastAsia" w:ascii="仿宋" w:hAnsi="仿宋" w:eastAsia="仿宋" w:cs="仿宋"/>
          <w:b/>
          <w:bCs/>
          <w:color w:val="auto"/>
          <w:kern w:val="2"/>
          <w:sz w:val="24"/>
          <w:szCs w:val="24"/>
          <w:highlight w:val="none"/>
          <w:lang w:val="en-US" w:eastAsia="zh-CN" w:bidi="ar-SA"/>
        </w:rPr>
        <w:t>基本账户开户许可证或基本存款账户信息</w:t>
      </w:r>
      <w:r>
        <w:rPr>
          <w:rFonts w:hint="eastAsia" w:ascii="仿宋" w:hAnsi="仿宋" w:eastAsia="仿宋" w:cs="仿宋"/>
          <w:b w:val="0"/>
          <w:color w:val="auto"/>
          <w:kern w:val="2"/>
          <w:sz w:val="24"/>
          <w:szCs w:val="24"/>
          <w:highlight w:val="none"/>
          <w:lang w:val="en-US" w:eastAsia="zh-CN" w:bidi="ar-SA"/>
        </w:rPr>
        <w:t>。</w:t>
      </w:r>
    </w:p>
    <w:p>
      <w:pPr>
        <w:pStyle w:val="57"/>
        <w:numPr>
          <w:ilvl w:val="0"/>
          <w:numId w:val="0"/>
        </w:numPr>
        <w:jc w:val="both"/>
        <w:outlineLvl w:val="9"/>
        <w:rPr>
          <w:rFonts w:hint="eastAsia" w:ascii="仿宋" w:hAnsi="仿宋" w:eastAsia="仿宋" w:cs="仿宋"/>
          <w:b w:val="0"/>
          <w:color w:val="auto"/>
          <w:kern w:val="2"/>
          <w:sz w:val="24"/>
          <w:szCs w:val="24"/>
          <w:highlight w:val="none"/>
          <w:lang w:val="en-US" w:eastAsia="zh-CN" w:bidi="ar-SA"/>
        </w:rPr>
      </w:pPr>
    </w:p>
    <w:p>
      <w:pPr>
        <w:pStyle w:val="57"/>
        <w:numPr>
          <w:ilvl w:val="0"/>
          <w:numId w:val="0"/>
        </w:numPr>
        <w:jc w:val="both"/>
        <w:outlineLvl w:val="9"/>
        <w:rPr>
          <w:rFonts w:hint="eastAsia" w:ascii="仿宋" w:hAnsi="仿宋" w:eastAsia="仿宋" w:cs="仿宋"/>
          <w:b w:val="0"/>
          <w:color w:val="auto"/>
          <w:kern w:val="2"/>
          <w:sz w:val="24"/>
          <w:szCs w:val="24"/>
          <w:highlight w:val="none"/>
          <w:lang w:val="en-US" w:eastAsia="zh-CN" w:bidi="ar-SA"/>
        </w:rPr>
      </w:pPr>
    </w:p>
    <w:p>
      <w:pPr>
        <w:pStyle w:val="57"/>
        <w:numPr>
          <w:ilvl w:val="0"/>
          <w:numId w:val="0"/>
        </w:numPr>
        <w:jc w:val="both"/>
        <w:outlineLvl w:val="9"/>
        <w:rPr>
          <w:rFonts w:hint="eastAsia" w:ascii="仿宋" w:hAnsi="仿宋" w:eastAsia="仿宋" w:cs="仿宋"/>
          <w:b w:val="0"/>
          <w:color w:val="auto"/>
          <w:kern w:val="2"/>
          <w:sz w:val="24"/>
          <w:szCs w:val="24"/>
          <w:highlight w:val="none"/>
          <w:lang w:val="en-US" w:eastAsia="zh-CN" w:bidi="ar-SA"/>
        </w:rPr>
      </w:pPr>
    </w:p>
    <w:p>
      <w:pPr>
        <w:pStyle w:val="57"/>
        <w:numPr>
          <w:ilvl w:val="0"/>
          <w:numId w:val="0"/>
        </w:numPr>
        <w:jc w:val="both"/>
        <w:outlineLvl w:val="9"/>
        <w:rPr>
          <w:rFonts w:hint="eastAsia" w:ascii="仿宋" w:hAnsi="仿宋" w:eastAsia="仿宋" w:cs="仿宋"/>
          <w:b w:val="0"/>
          <w:color w:val="auto"/>
          <w:kern w:val="2"/>
          <w:sz w:val="24"/>
          <w:szCs w:val="24"/>
          <w:highlight w:val="none"/>
          <w:lang w:val="en-US" w:eastAsia="zh-CN" w:bidi="ar-SA"/>
        </w:rPr>
      </w:pPr>
    </w:p>
    <w:p>
      <w:pPr>
        <w:pStyle w:val="57"/>
        <w:numPr>
          <w:ilvl w:val="0"/>
          <w:numId w:val="0"/>
        </w:numPr>
        <w:jc w:val="both"/>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如提供采用银行保函缴纳的，应出具保函的银行级别（应为国有商业银行或股份制商业银行的支行及其以上的银行）及保函的有效期。</w:t>
      </w:r>
    </w:p>
    <w:p>
      <w:pPr>
        <w:pStyle w:val="57"/>
        <w:numPr>
          <w:ilvl w:val="0"/>
          <w:numId w:val="0"/>
        </w:numPr>
        <w:jc w:val="both"/>
        <w:outlineLvl w:val="0"/>
        <w:rPr>
          <w:rFonts w:hint="eastAsia" w:ascii="仿宋" w:hAnsi="仿宋" w:eastAsia="仿宋" w:cs="仿宋"/>
          <w:color w:val="auto"/>
          <w:highlight w:val="none"/>
          <w:lang w:val="en-US" w:eastAsia="zh-CN"/>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 w:linePitch="312" w:charSpace="0"/>
        </w:sectPr>
      </w:pPr>
      <w:bookmarkStart w:id="170" w:name="_Toc22216"/>
    </w:p>
    <w:p>
      <w:pPr>
        <w:pStyle w:val="57"/>
        <w:numPr>
          <w:ilvl w:val="0"/>
          <w:numId w:val="0"/>
        </w:numPr>
        <w:jc w:val="center"/>
        <w:outlineLvl w:val="0"/>
        <w:rPr>
          <w:rFonts w:hint="eastAsia" w:ascii="仿宋" w:hAnsi="仿宋" w:eastAsia="仿宋" w:cs="仿宋"/>
          <w:color w:val="auto"/>
          <w:highlight w:val="none"/>
          <w:lang w:val="en-US" w:eastAsia="zh-CN"/>
        </w:rPr>
      </w:pPr>
      <w:bookmarkStart w:id="171" w:name="_Toc22300"/>
      <w:r>
        <w:rPr>
          <w:rFonts w:hint="eastAsia" w:ascii="仿宋" w:hAnsi="仿宋" w:eastAsia="仿宋" w:cs="仿宋"/>
          <w:color w:val="auto"/>
          <w:highlight w:val="none"/>
          <w:lang w:val="en-US" w:eastAsia="zh-CN"/>
        </w:rPr>
        <w:t>二、投标报价文件</w:t>
      </w:r>
      <w:bookmarkEnd w:id="170"/>
      <w:bookmarkEnd w:id="171"/>
    </w:p>
    <w:p>
      <w:pPr>
        <w:pStyle w:val="57"/>
        <w:numPr>
          <w:ilvl w:val="0"/>
          <w:numId w:val="0"/>
        </w:numPr>
        <w:jc w:val="both"/>
        <w:outlineLvl w:val="9"/>
        <w:rPr>
          <w:rFonts w:hint="eastAsia" w:ascii="仿宋" w:hAnsi="仿宋" w:eastAsia="仿宋" w:cs="仿宋"/>
          <w:b w:val="0"/>
          <w:bCs/>
          <w:color w:val="auto"/>
          <w:kern w:val="2"/>
          <w:sz w:val="24"/>
          <w:szCs w:val="24"/>
          <w:highlight w:val="none"/>
          <w:lang w:val="en-US" w:eastAsia="zh-CN"/>
        </w:rPr>
      </w:pPr>
    </w:p>
    <w:p>
      <w:pPr>
        <w:pStyle w:val="57"/>
        <w:numPr>
          <w:ilvl w:val="0"/>
          <w:numId w:val="18"/>
        </w:numPr>
        <w:jc w:val="both"/>
        <w:outlineLvl w:val="9"/>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报价函</w:t>
      </w:r>
    </w:p>
    <w:p>
      <w:pPr>
        <w:pStyle w:val="57"/>
        <w:numPr>
          <w:ilvl w:val="0"/>
          <w:numId w:val="18"/>
        </w:numPr>
        <w:jc w:val="both"/>
        <w:outlineLvl w:val="9"/>
        <w:rPr>
          <w:rFonts w:hint="default" w:ascii="仿宋" w:hAnsi="仿宋" w:eastAsia="仿宋" w:cs="仿宋"/>
          <w:b w:val="0"/>
          <w:bCs/>
          <w:color w:val="auto"/>
          <w:kern w:val="2"/>
          <w:sz w:val="24"/>
          <w:szCs w:val="24"/>
          <w:highlight w:val="none"/>
          <w:lang w:val="en-US" w:eastAsia="zh-CN"/>
        </w:rPr>
      </w:pPr>
      <w:r>
        <w:rPr>
          <w:rFonts w:hint="default" w:ascii="仿宋" w:hAnsi="仿宋" w:eastAsia="仿宋" w:cs="仿宋"/>
          <w:b w:val="0"/>
          <w:bCs/>
          <w:color w:val="auto"/>
          <w:kern w:val="2"/>
          <w:sz w:val="24"/>
          <w:szCs w:val="24"/>
          <w:highlight w:val="none"/>
          <w:lang w:val="en-US" w:eastAsia="zh-CN"/>
        </w:rPr>
        <w:t>开标一览表</w:t>
      </w:r>
    </w:p>
    <w:p>
      <w:pPr>
        <w:pStyle w:val="57"/>
        <w:numPr>
          <w:ilvl w:val="0"/>
          <w:numId w:val="18"/>
        </w:numPr>
        <w:jc w:val="both"/>
        <w:outlineLvl w:val="9"/>
        <w:rPr>
          <w:rFonts w:hint="default"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报价明细表</w:t>
      </w:r>
    </w:p>
    <w:p>
      <w:pPr>
        <w:pStyle w:val="57"/>
        <w:numPr>
          <w:ilvl w:val="0"/>
          <w:numId w:val="18"/>
        </w:numPr>
        <w:ind w:left="0" w:leftChars="0" w:firstLine="0" w:firstLineChars="0"/>
        <w:jc w:val="both"/>
        <w:outlineLvl w:val="9"/>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监狱企业证明文件（如适用）</w:t>
      </w:r>
    </w:p>
    <w:p>
      <w:pPr>
        <w:pStyle w:val="57"/>
        <w:numPr>
          <w:ilvl w:val="0"/>
          <w:numId w:val="18"/>
        </w:numPr>
        <w:ind w:left="0" w:leftChars="0" w:firstLine="0" w:firstLineChars="0"/>
        <w:jc w:val="both"/>
        <w:outlineLvl w:val="9"/>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残疾人福利性单位声明函（如适用）</w:t>
      </w:r>
    </w:p>
    <w:p>
      <w:pPr>
        <w:pStyle w:val="57"/>
        <w:numPr>
          <w:ilvl w:val="0"/>
          <w:numId w:val="18"/>
        </w:numPr>
        <w:ind w:left="0" w:leftChars="0" w:firstLine="0" w:firstLineChars="0"/>
        <w:jc w:val="both"/>
        <w:outlineLvl w:val="9"/>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中、小微企业声明函</w:t>
      </w:r>
    </w:p>
    <w:p>
      <w:pPr>
        <w:pStyle w:val="57"/>
        <w:jc w:val="both"/>
        <w:outlineLvl w:val="9"/>
        <w:rPr>
          <w:rFonts w:hint="eastAsia" w:ascii="仿宋" w:hAnsi="仿宋" w:eastAsia="仿宋" w:cs="仿宋"/>
          <w:color w:val="auto"/>
          <w:highlight w:val="none"/>
          <w:lang w:eastAsia="zh-CN"/>
        </w:rPr>
      </w:pPr>
    </w:p>
    <w:p>
      <w:pPr>
        <w:pStyle w:val="57"/>
        <w:jc w:val="both"/>
        <w:outlineLvl w:val="9"/>
        <w:rPr>
          <w:rFonts w:hint="eastAsia" w:ascii="仿宋" w:hAnsi="仿宋" w:eastAsia="仿宋" w:cs="仿宋"/>
          <w:color w:val="auto"/>
          <w:highlight w:val="none"/>
          <w:lang w:eastAsia="zh-CN"/>
        </w:rPr>
      </w:pPr>
    </w:p>
    <w:p>
      <w:pPr>
        <w:pStyle w:val="57"/>
        <w:jc w:val="both"/>
        <w:outlineLvl w:val="9"/>
        <w:rPr>
          <w:rFonts w:hint="eastAsia" w:ascii="仿宋" w:hAnsi="仿宋" w:eastAsia="仿宋" w:cs="仿宋"/>
          <w:color w:val="auto"/>
          <w:highlight w:val="none"/>
          <w:lang w:eastAsia="zh-CN"/>
        </w:rPr>
      </w:pPr>
    </w:p>
    <w:p>
      <w:pPr>
        <w:pStyle w:val="57"/>
        <w:jc w:val="both"/>
        <w:outlineLvl w:val="9"/>
        <w:rPr>
          <w:rFonts w:hint="eastAsia" w:ascii="仿宋" w:hAnsi="仿宋" w:eastAsia="仿宋" w:cs="仿宋"/>
          <w:color w:val="auto"/>
          <w:highlight w:val="none"/>
          <w:lang w:eastAsia="zh-CN"/>
        </w:rPr>
      </w:pPr>
    </w:p>
    <w:p>
      <w:pPr>
        <w:pStyle w:val="57"/>
        <w:jc w:val="both"/>
        <w:outlineLvl w:val="9"/>
        <w:rPr>
          <w:rFonts w:hint="eastAsia" w:ascii="仿宋" w:hAnsi="仿宋" w:eastAsia="仿宋" w:cs="仿宋"/>
          <w:color w:val="auto"/>
          <w:highlight w:val="none"/>
          <w:lang w:eastAsia="zh-CN"/>
        </w:rPr>
      </w:pPr>
    </w:p>
    <w:p>
      <w:pPr>
        <w:pStyle w:val="57"/>
        <w:jc w:val="both"/>
        <w:outlineLvl w:val="9"/>
        <w:rPr>
          <w:rFonts w:hint="eastAsia" w:ascii="仿宋" w:hAnsi="仿宋" w:eastAsia="仿宋" w:cs="仿宋"/>
          <w:color w:val="auto"/>
          <w:highlight w:val="none"/>
          <w:lang w:eastAsia="zh-CN"/>
        </w:rPr>
      </w:pPr>
    </w:p>
    <w:p>
      <w:pPr>
        <w:pStyle w:val="57"/>
        <w:jc w:val="both"/>
        <w:outlineLvl w:val="9"/>
        <w:rPr>
          <w:rFonts w:hint="eastAsia" w:ascii="仿宋" w:hAnsi="仿宋" w:eastAsia="仿宋" w:cs="仿宋"/>
          <w:color w:val="auto"/>
          <w:highlight w:val="none"/>
          <w:lang w:eastAsia="zh-CN"/>
        </w:rPr>
      </w:pPr>
    </w:p>
    <w:p>
      <w:pPr>
        <w:pStyle w:val="57"/>
        <w:jc w:val="both"/>
        <w:outlineLvl w:val="9"/>
        <w:rPr>
          <w:rFonts w:hint="eastAsia" w:ascii="仿宋" w:hAnsi="仿宋" w:eastAsia="仿宋" w:cs="仿宋"/>
          <w:color w:val="auto"/>
          <w:highlight w:val="none"/>
          <w:lang w:eastAsia="zh-CN"/>
        </w:rPr>
      </w:pPr>
    </w:p>
    <w:p>
      <w:pPr>
        <w:pStyle w:val="57"/>
        <w:jc w:val="both"/>
        <w:outlineLvl w:val="9"/>
        <w:rPr>
          <w:rFonts w:hint="eastAsia" w:ascii="仿宋" w:hAnsi="仿宋" w:eastAsia="仿宋" w:cs="仿宋"/>
          <w:color w:val="auto"/>
          <w:highlight w:val="none"/>
          <w:lang w:eastAsia="zh-CN"/>
        </w:rPr>
      </w:pPr>
    </w:p>
    <w:p>
      <w:pPr>
        <w:pStyle w:val="57"/>
        <w:jc w:val="both"/>
        <w:outlineLvl w:val="9"/>
        <w:rPr>
          <w:rFonts w:hint="eastAsia" w:ascii="仿宋" w:hAnsi="仿宋" w:eastAsia="仿宋" w:cs="仿宋"/>
          <w:color w:val="auto"/>
          <w:highlight w:val="none"/>
          <w:lang w:eastAsia="zh-CN"/>
        </w:rPr>
      </w:pPr>
    </w:p>
    <w:p>
      <w:pPr>
        <w:pStyle w:val="57"/>
        <w:jc w:val="both"/>
        <w:outlineLvl w:val="9"/>
        <w:rPr>
          <w:rFonts w:hint="eastAsia" w:ascii="仿宋" w:hAnsi="仿宋" w:eastAsia="仿宋" w:cs="仿宋"/>
          <w:color w:val="auto"/>
          <w:highlight w:val="none"/>
          <w:lang w:eastAsia="zh-CN"/>
        </w:rPr>
      </w:pPr>
    </w:p>
    <w:p>
      <w:pPr>
        <w:pStyle w:val="57"/>
        <w:jc w:val="both"/>
        <w:outlineLvl w:val="9"/>
        <w:rPr>
          <w:rFonts w:hint="eastAsia" w:ascii="仿宋" w:hAnsi="仿宋" w:eastAsia="仿宋" w:cs="仿宋"/>
          <w:color w:val="auto"/>
          <w:highlight w:val="none"/>
          <w:lang w:eastAsia="zh-CN"/>
        </w:rPr>
      </w:pPr>
    </w:p>
    <w:p>
      <w:pPr>
        <w:pStyle w:val="57"/>
        <w:jc w:val="both"/>
        <w:outlineLvl w:val="9"/>
        <w:rPr>
          <w:rFonts w:hint="eastAsia" w:ascii="仿宋" w:hAnsi="仿宋" w:eastAsia="仿宋" w:cs="仿宋"/>
          <w:color w:val="auto"/>
          <w:highlight w:val="none"/>
          <w:lang w:eastAsia="zh-CN"/>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57"/>
        <w:numPr>
          <w:ilvl w:val="0"/>
          <w:numId w:val="0"/>
        </w:numPr>
        <w:jc w:val="left"/>
        <w:outlineLvl w:val="1"/>
        <w:rPr>
          <w:rFonts w:hint="eastAsia" w:ascii="仿宋" w:hAnsi="仿宋" w:eastAsia="仿宋" w:cs="仿宋"/>
          <w:b/>
          <w:color w:val="auto"/>
          <w:kern w:val="2"/>
          <w:sz w:val="24"/>
          <w:szCs w:val="24"/>
          <w:highlight w:val="none"/>
          <w:lang w:val="en-US" w:eastAsia="zh-CN"/>
        </w:rPr>
      </w:pPr>
      <w:bookmarkStart w:id="172" w:name="_Toc15859"/>
      <w:r>
        <w:rPr>
          <w:rFonts w:hint="eastAsia" w:ascii="宋体" w:hAnsi="宋体" w:eastAsia="宋体" w:cs="宋体"/>
          <w:b/>
          <w:color w:val="auto"/>
          <w:kern w:val="2"/>
          <w:sz w:val="28"/>
          <w:szCs w:val="28"/>
          <w:highlight w:val="none"/>
          <w:lang w:val="en-US" w:eastAsia="zh-CN"/>
        </w:rPr>
        <w:t>1.报价函</w:t>
      </w:r>
      <w:bookmarkEnd w:id="172"/>
    </w:p>
    <w:p>
      <w:pPr>
        <w:pStyle w:val="66"/>
        <w:widowControl/>
        <w:spacing w:line="360" w:lineRule="auto"/>
        <w:ind w:left="0" w:leftChars="0"/>
        <w:outlineLvl w:val="9"/>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u w:val="single"/>
          <w:lang w:val="en-US" w:eastAsia="zh-CN"/>
        </w:rPr>
        <w:t>新疆锦辰工程项目管理有限公司:</w:t>
      </w:r>
    </w:p>
    <w:p>
      <w:pPr>
        <w:pStyle w:val="66"/>
        <w:widowControl/>
        <w:spacing w:line="360" w:lineRule="auto"/>
        <w:ind w:left="0" w:leftChars="0" w:firstLine="480" w:firstLineChars="200"/>
        <w:jc w:val="left"/>
        <w:outlineLvl w:val="9"/>
        <w:rPr>
          <w:rFonts w:hint="eastAsia" w:ascii="仿宋" w:hAnsi="仿宋" w:eastAsia="仿宋" w:cs="仿宋"/>
          <w:b w:val="0"/>
          <w:bCs w:val="0"/>
          <w:color w:val="auto"/>
          <w:sz w:val="24"/>
          <w:highlight w:val="none"/>
          <w:lang w:val="en-US" w:eastAsia="zh-CN" w:bidi="ar-SA"/>
        </w:rPr>
      </w:pPr>
      <w:r>
        <w:rPr>
          <w:rFonts w:hint="eastAsia" w:ascii="仿宋" w:hAnsi="仿宋" w:eastAsia="仿宋" w:cs="仿宋"/>
          <w:color w:val="auto"/>
          <w:sz w:val="24"/>
          <w:highlight w:val="none"/>
        </w:rPr>
        <w:t>依据贵方_____</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项目</w:t>
      </w:r>
      <w:r>
        <w:rPr>
          <w:rFonts w:hint="eastAsia" w:ascii="仿宋" w:hAnsi="仿宋" w:eastAsia="仿宋" w:cs="仿宋"/>
          <w:color w:val="auto"/>
          <w:sz w:val="24"/>
          <w:highlight w:val="none"/>
          <w:lang w:val="en-US" w:eastAsia="zh-CN"/>
        </w:rPr>
        <w:t>名称）</w:t>
      </w:r>
      <w:r>
        <w:rPr>
          <w:rFonts w:hint="eastAsia" w:ascii="仿宋" w:hAnsi="仿宋" w:eastAsia="仿宋" w:cs="仿宋"/>
          <w:color w:val="auto"/>
          <w:sz w:val="24"/>
          <w:highlight w:val="none"/>
        </w:rPr>
        <w:t>招标采购的邀请</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我方代表____经正式授权并代表</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提交</w:t>
      </w:r>
      <w:r>
        <w:rPr>
          <w:rFonts w:hint="eastAsia" w:ascii="仿宋" w:hAnsi="仿宋" w:eastAsia="仿宋" w:cs="仿宋"/>
          <w:color w:val="auto"/>
          <w:sz w:val="24"/>
          <w:highlight w:val="none"/>
          <w:lang w:val="en-US" w:eastAsia="zh-CN"/>
        </w:rPr>
        <w:t>以下投标</w:t>
      </w:r>
      <w:r>
        <w:rPr>
          <w:rFonts w:hint="eastAsia" w:ascii="仿宋" w:hAnsi="仿宋" w:eastAsia="仿宋" w:cs="仿宋"/>
          <w:color w:val="auto"/>
          <w:sz w:val="24"/>
          <w:highlight w:val="none"/>
        </w:rPr>
        <w:t>文件</w:t>
      </w:r>
      <w:r>
        <w:rPr>
          <w:rFonts w:hint="eastAsia" w:ascii="仿宋" w:hAnsi="仿宋" w:eastAsia="仿宋" w:cs="仿宋"/>
          <w:color w:val="auto"/>
          <w:sz w:val="24"/>
          <w:highlight w:val="none"/>
          <w:lang w:eastAsia="zh-CN"/>
        </w:rPr>
        <w:t>，</w:t>
      </w:r>
      <w:r>
        <w:rPr>
          <w:rFonts w:hint="eastAsia" w:ascii="仿宋" w:hAnsi="仿宋" w:eastAsia="仿宋" w:cs="仿宋"/>
          <w:b w:val="0"/>
          <w:bCs w:val="0"/>
          <w:color w:val="auto"/>
          <w:sz w:val="24"/>
          <w:highlight w:val="none"/>
          <w:lang w:val="en-US" w:eastAsia="zh-CN" w:bidi="ar-SA"/>
        </w:rPr>
        <w:t>其中包含在项目所属电子交易平台上传电子投标文件一份。</w:t>
      </w:r>
    </w:p>
    <w:p>
      <w:pPr>
        <w:pStyle w:val="66"/>
        <w:widowControl/>
        <w:spacing w:line="360" w:lineRule="auto"/>
        <w:ind w:left="0" w:leftChars="0" w:firstLine="720" w:firstLineChars="300"/>
        <w:outlineLvl w:val="9"/>
        <w:rPr>
          <w:rFonts w:hint="eastAsia" w:ascii="仿宋" w:hAnsi="仿宋" w:eastAsia="仿宋" w:cs="仿宋"/>
          <w:color w:val="auto"/>
          <w:sz w:val="24"/>
          <w:highlight w:val="none"/>
        </w:rPr>
      </w:pPr>
    </w:p>
    <w:p>
      <w:pPr>
        <w:pStyle w:val="66"/>
        <w:widowControl/>
        <w:spacing w:line="360" w:lineRule="auto"/>
        <w:ind w:left="0" w:leftChars="0"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1.报价函;</w:t>
      </w:r>
    </w:p>
    <w:p>
      <w:pPr>
        <w:pStyle w:val="66"/>
        <w:widowControl/>
        <w:spacing w:line="360" w:lineRule="auto"/>
        <w:ind w:left="0" w:leftChars="0"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2.开标一览表;</w:t>
      </w:r>
    </w:p>
    <w:p>
      <w:pPr>
        <w:pStyle w:val="66"/>
        <w:widowControl/>
        <w:spacing w:line="360" w:lineRule="auto"/>
        <w:ind w:left="0" w:leftChars="0"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3.报价明细表;</w:t>
      </w:r>
    </w:p>
    <w:p>
      <w:pPr>
        <w:pStyle w:val="66"/>
        <w:widowControl/>
        <w:spacing w:line="360" w:lineRule="auto"/>
        <w:ind w:left="0" w:leftChars="0"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4.按</w:t>
      </w:r>
      <w:r>
        <w:rPr>
          <w:rFonts w:hint="eastAsia" w:ascii="仿宋" w:hAnsi="仿宋" w:eastAsia="仿宋" w:cs="仿宋"/>
          <w:color w:val="auto"/>
          <w:sz w:val="24"/>
          <w:highlight w:val="none"/>
          <w:lang w:eastAsia="zh-CN"/>
        </w:rPr>
        <w:t>招标文件投标人</w:t>
      </w:r>
      <w:r>
        <w:rPr>
          <w:rFonts w:hint="eastAsia" w:ascii="仿宋" w:hAnsi="仿宋" w:eastAsia="仿宋" w:cs="仿宋"/>
          <w:color w:val="auto"/>
          <w:sz w:val="24"/>
          <w:highlight w:val="none"/>
        </w:rPr>
        <w:t>须知和技术规格要求提供的有关文件;</w:t>
      </w:r>
    </w:p>
    <w:p>
      <w:pPr>
        <w:pStyle w:val="66"/>
        <w:widowControl/>
        <w:spacing w:line="360" w:lineRule="auto"/>
        <w:ind w:left="0" w:leftChars="0"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5.资格证明文件;</w:t>
      </w:r>
    </w:p>
    <w:p>
      <w:pPr>
        <w:pStyle w:val="66"/>
        <w:widowControl/>
        <w:spacing w:line="360" w:lineRule="auto"/>
        <w:ind w:left="0" w:leftChars="0"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6.商务技术文件</w:t>
      </w:r>
    </w:p>
    <w:p>
      <w:pPr>
        <w:pStyle w:val="66"/>
        <w:widowControl/>
        <w:spacing w:line="360" w:lineRule="auto"/>
        <w:ind w:left="0" w:leftChars="0"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在此</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我方宣布同意如下;</w:t>
      </w:r>
    </w:p>
    <w:p>
      <w:pPr>
        <w:pStyle w:val="66"/>
        <w:widowControl/>
        <w:spacing w:line="360" w:lineRule="auto"/>
        <w:ind w:left="0" w:leftChars="0"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1.所附《报价表》中规定的应提交和交付的/（</w:t>
      </w:r>
      <w:r>
        <w:rPr>
          <w:rFonts w:hint="eastAsia" w:ascii="仿宋" w:hAnsi="仿宋" w:eastAsia="仿宋" w:cs="仿宋"/>
          <w:color w:val="auto"/>
          <w:sz w:val="24"/>
          <w:highlight w:val="none"/>
          <w:lang w:val="en-US" w:eastAsia="zh-CN"/>
        </w:rPr>
        <w:t>项目编号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）投标总价为人民币</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）（注明文字和数字表示的投标总价）。</w:t>
      </w:r>
    </w:p>
    <w:p>
      <w:pPr>
        <w:pStyle w:val="66"/>
        <w:widowControl/>
        <w:spacing w:line="360" w:lineRule="auto"/>
        <w:ind w:left="0" w:leftChars="0"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2.将按</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的约定履行合同责任和义务。</w:t>
      </w:r>
    </w:p>
    <w:p>
      <w:pPr>
        <w:pStyle w:val="66"/>
        <w:widowControl/>
        <w:spacing w:line="360" w:lineRule="auto"/>
        <w:ind w:left="0" w:leftChars="0"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3.已详细审查全部</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包括</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修正或补充文件</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如有</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对此无异议。</w:t>
      </w:r>
    </w:p>
    <w:p>
      <w:pPr>
        <w:pStyle w:val="66"/>
        <w:widowControl/>
        <w:spacing w:line="360" w:lineRule="auto"/>
        <w:ind w:left="0" w:leftChars="0"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4.本投标有效期为自开标日起</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共</w:t>
      </w:r>
      <w:r>
        <w:rPr>
          <w:rFonts w:hint="eastAsia" w:ascii="仿宋" w:hAnsi="仿宋" w:eastAsia="仿宋" w:cs="仿宋"/>
          <w:b w:val="0"/>
          <w:bCs w:val="0"/>
          <w:color w:val="auto"/>
          <w:sz w:val="24"/>
          <w:highlight w:val="none"/>
          <w:u w:val="single"/>
          <w:lang w:val="en-US" w:eastAsia="zh-CN"/>
        </w:rPr>
        <w:t>90</w:t>
      </w:r>
      <w:r>
        <w:rPr>
          <w:rFonts w:hint="eastAsia" w:ascii="仿宋" w:hAnsi="仿宋" w:eastAsia="仿宋" w:cs="仿宋"/>
          <w:color w:val="auto"/>
          <w:sz w:val="24"/>
          <w:highlight w:val="none"/>
        </w:rPr>
        <w:t>个日历日。</w:t>
      </w:r>
    </w:p>
    <w:p>
      <w:pPr>
        <w:pStyle w:val="66"/>
        <w:widowControl/>
        <w:spacing w:line="360" w:lineRule="auto"/>
        <w:ind w:left="0" w:leftChars="0" w:firstLine="480" w:firstLineChars="200"/>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5.接受招标文件所列须知中关于没收投标保证金的约定。</w:t>
      </w:r>
    </w:p>
    <w:p>
      <w:pPr>
        <w:pStyle w:val="66"/>
        <w:widowControl/>
        <w:spacing w:line="360" w:lineRule="auto"/>
        <w:ind w:left="0" w:leftChars="0" w:firstLine="480" w:firstLineChars="200"/>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 同意提供按照贵方可能要求的与其投标有关的一切数据或资料。</w:t>
      </w:r>
    </w:p>
    <w:p>
      <w:pPr>
        <w:pStyle w:val="66"/>
        <w:widowControl/>
        <w:spacing w:line="360" w:lineRule="auto"/>
        <w:ind w:left="0" w:leftChars="0" w:firstLine="480" w:firstLineChars="200"/>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7.与本投标有关的一切正式往来信函请寄: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w:t>
      </w:r>
    </w:p>
    <w:p>
      <w:pPr>
        <w:pStyle w:val="66"/>
        <w:widowControl/>
        <w:spacing w:line="360" w:lineRule="auto"/>
        <w:ind w:left="0" w:leftChars="0" w:firstLine="480" w:firstLineChars="200"/>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8.其他:_____</w:t>
      </w:r>
    </w:p>
    <w:p>
      <w:pPr>
        <w:pStyle w:val="66"/>
        <w:widowControl/>
        <w:spacing w:line="360" w:lineRule="auto"/>
        <w:ind w:left="0" w:leftChars="0" w:firstLine="482" w:firstLineChars="200"/>
        <w:outlineLvl w:val="9"/>
        <w:rPr>
          <w:rFonts w:hint="eastAsia" w:ascii="仿宋" w:hAnsi="仿宋" w:eastAsia="仿宋" w:cs="仿宋"/>
          <w:b/>
          <w:bCs/>
          <w:color w:val="auto"/>
          <w:sz w:val="24"/>
          <w:highlight w:val="none"/>
          <w:lang w:val="en-US" w:eastAsia="zh-CN"/>
        </w:rPr>
      </w:pPr>
    </w:p>
    <w:p>
      <w:pPr>
        <w:pStyle w:val="66"/>
        <w:widowControl/>
        <w:spacing w:line="360" w:lineRule="auto"/>
        <w:ind w:left="0" w:leftChars="0" w:firstLine="482" w:firstLineChars="200"/>
        <w:outlineLvl w:val="9"/>
        <w:rPr>
          <w:rFonts w:hint="default" w:ascii="仿宋" w:hAnsi="仿宋" w:eastAsia="仿宋" w:cs="仿宋"/>
          <w:b/>
          <w:bCs/>
          <w:color w:val="auto"/>
          <w:sz w:val="24"/>
          <w:highlight w:val="none"/>
          <w:u w:val="single"/>
          <w:lang w:val="en-US" w:eastAsia="zh-CN"/>
        </w:rPr>
      </w:pPr>
      <w:r>
        <w:rPr>
          <w:rFonts w:hint="eastAsia" w:ascii="仿宋" w:hAnsi="仿宋" w:eastAsia="仿宋" w:cs="仿宋"/>
          <w:b/>
          <w:bCs/>
          <w:color w:val="auto"/>
          <w:sz w:val="24"/>
          <w:highlight w:val="none"/>
          <w:lang w:val="en-US" w:eastAsia="zh-CN"/>
        </w:rPr>
        <w:t>投标人法定代表人或授权代表人（签章或签名）:</w:t>
      </w:r>
      <w:r>
        <w:rPr>
          <w:rFonts w:hint="eastAsia" w:ascii="仿宋" w:hAnsi="仿宋" w:eastAsia="仿宋" w:cs="仿宋"/>
          <w:b/>
          <w:bCs/>
          <w:color w:val="auto"/>
          <w:sz w:val="24"/>
          <w:highlight w:val="none"/>
          <w:u w:val="single"/>
          <w:lang w:val="en-US" w:eastAsia="zh-CN"/>
        </w:rPr>
        <w:t xml:space="preserve">            </w:t>
      </w:r>
    </w:p>
    <w:p>
      <w:pPr>
        <w:pStyle w:val="66"/>
        <w:widowControl/>
        <w:spacing w:line="360" w:lineRule="auto"/>
        <w:ind w:left="0" w:leftChars="0" w:firstLine="482" w:firstLineChars="200"/>
        <w:outlineLvl w:val="9"/>
        <w:rPr>
          <w:rFonts w:hint="default" w:ascii="仿宋" w:hAnsi="仿宋" w:eastAsia="仿宋" w:cs="仿宋"/>
          <w:b/>
          <w:bCs/>
          <w:color w:val="auto"/>
          <w:sz w:val="24"/>
          <w:highlight w:val="none"/>
          <w:u w:val="single"/>
          <w:lang w:val="en-US" w:eastAsia="zh-CN"/>
        </w:rPr>
      </w:pPr>
      <w:r>
        <w:rPr>
          <w:rFonts w:hint="eastAsia" w:ascii="仿宋" w:hAnsi="仿宋" w:eastAsia="仿宋" w:cs="仿宋"/>
          <w:b/>
          <w:bCs/>
          <w:color w:val="auto"/>
          <w:sz w:val="24"/>
          <w:highlight w:val="none"/>
          <w:lang w:val="en-US" w:eastAsia="zh-CN"/>
        </w:rPr>
        <w:t>投标人名称（签章）:</w:t>
      </w:r>
      <w:r>
        <w:rPr>
          <w:rFonts w:hint="eastAsia" w:ascii="仿宋" w:hAnsi="仿宋" w:eastAsia="仿宋" w:cs="仿宋"/>
          <w:b/>
          <w:bCs/>
          <w:color w:val="auto"/>
          <w:sz w:val="24"/>
          <w:highlight w:val="none"/>
          <w:u w:val="single"/>
          <w:lang w:val="en-US" w:eastAsia="zh-CN"/>
        </w:rPr>
        <w:t xml:space="preserve">                                     </w:t>
      </w:r>
    </w:p>
    <w:p>
      <w:pPr>
        <w:pStyle w:val="66"/>
        <w:widowControl/>
        <w:spacing w:line="360" w:lineRule="auto"/>
        <w:ind w:left="0" w:leftChars="0" w:firstLine="480" w:firstLineChars="200"/>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地址:                   电话:</w:t>
      </w:r>
    </w:p>
    <w:p>
      <w:pPr>
        <w:pStyle w:val="66"/>
        <w:widowControl/>
        <w:spacing w:line="360" w:lineRule="auto"/>
        <w:ind w:left="0" w:leftChars="0" w:firstLine="480" w:firstLineChars="200"/>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日期:  年  月  日     </w:t>
      </w:r>
    </w:p>
    <w:p>
      <w:pPr>
        <w:bidi w:val="0"/>
        <w:outlineLvl w:val="9"/>
        <w:rPr>
          <w:rFonts w:hint="eastAsia" w:ascii="宋体" w:hAnsi="宋体" w:eastAsia="宋体" w:cs="宋体"/>
          <w:b/>
          <w:bCs w:val="0"/>
          <w:color w:val="auto"/>
          <w:sz w:val="28"/>
          <w:szCs w:val="28"/>
          <w:highlight w:val="none"/>
          <w:lang w:val="en-US" w:eastAsia="zh-CN"/>
        </w:rPr>
      </w:pPr>
    </w:p>
    <w:p>
      <w:pPr>
        <w:bidi w:val="0"/>
        <w:outlineLvl w:val="1"/>
        <w:rPr>
          <w:rFonts w:hAnsi="宋体" w:cs="宋体"/>
          <w:b/>
          <w:color w:val="auto"/>
          <w:highlight w:val="none"/>
        </w:rPr>
      </w:pPr>
      <w:bookmarkStart w:id="173" w:name="_Toc3021"/>
      <w:r>
        <w:rPr>
          <w:rFonts w:hint="eastAsia" w:ascii="宋体" w:hAnsi="宋体" w:eastAsia="宋体" w:cs="宋体"/>
          <w:b/>
          <w:bCs w:val="0"/>
          <w:color w:val="auto"/>
          <w:sz w:val="28"/>
          <w:szCs w:val="28"/>
          <w:highlight w:val="none"/>
          <w:lang w:val="en-US" w:eastAsia="zh-CN"/>
        </w:rPr>
        <w:t>2.</w:t>
      </w:r>
      <w:r>
        <w:rPr>
          <w:rFonts w:hint="eastAsia" w:ascii="宋体" w:hAnsi="宋体" w:eastAsia="宋体" w:cs="宋体"/>
          <w:b/>
          <w:bCs w:val="0"/>
          <w:color w:val="auto"/>
          <w:sz w:val="28"/>
          <w:szCs w:val="28"/>
          <w:highlight w:val="none"/>
        </w:rPr>
        <w:t>开标一览表</w:t>
      </w:r>
      <w:bookmarkEnd w:id="173"/>
    </w:p>
    <w:p>
      <w:pPr>
        <w:tabs>
          <w:tab w:val="left" w:pos="1800"/>
          <w:tab w:val="left" w:pos="5580"/>
        </w:tabs>
        <w:spacing w:line="360" w:lineRule="auto"/>
        <w:ind w:right="-867" w:rightChars="-413"/>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项目名称</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 xml:space="preserve">                          </w:t>
      </w:r>
    </w:p>
    <w:p>
      <w:pPr>
        <w:tabs>
          <w:tab w:val="left" w:pos="1800"/>
          <w:tab w:val="left" w:pos="5580"/>
        </w:tabs>
        <w:spacing w:line="360" w:lineRule="auto"/>
        <w:ind w:right="-867" w:rightChars="-413"/>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项目编号</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 xml:space="preserve">                                       报价单位</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人民币  元</w:t>
      </w:r>
    </w:p>
    <w:tbl>
      <w:tblPr>
        <w:tblStyle w:val="19"/>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5"/>
        <w:gridCol w:w="1768"/>
        <w:gridCol w:w="4200"/>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trPr>
        <w:tc>
          <w:tcPr>
            <w:tcW w:w="705" w:type="dxa"/>
            <w:noWrap w:val="0"/>
            <w:vAlign w:val="center"/>
          </w:tcPr>
          <w:p>
            <w:pPr>
              <w:tabs>
                <w:tab w:val="left" w:pos="5580"/>
              </w:tabs>
              <w:spacing w:line="40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序号</w:t>
            </w:r>
          </w:p>
        </w:tc>
        <w:tc>
          <w:tcPr>
            <w:tcW w:w="5968" w:type="dxa"/>
            <w:gridSpan w:val="2"/>
            <w:noWrap w:val="0"/>
            <w:vAlign w:val="center"/>
          </w:tcPr>
          <w:p>
            <w:pPr>
              <w:tabs>
                <w:tab w:val="left" w:pos="5580"/>
              </w:tabs>
              <w:spacing w:line="40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投标总价</w:t>
            </w:r>
            <w:r>
              <w:rPr>
                <w:rFonts w:hint="eastAsia" w:ascii="仿宋" w:hAnsi="仿宋" w:eastAsia="仿宋" w:cs="仿宋"/>
                <w:b/>
                <w:color w:val="auto"/>
                <w:szCs w:val="21"/>
                <w:highlight w:val="none"/>
                <w:lang w:eastAsia="zh-CN"/>
              </w:rPr>
              <w:t>（</w:t>
            </w:r>
            <w:r>
              <w:rPr>
                <w:rFonts w:hint="eastAsia" w:ascii="仿宋" w:hAnsi="仿宋" w:eastAsia="仿宋" w:cs="仿宋"/>
                <w:b/>
                <w:color w:val="auto"/>
                <w:szCs w:val="21"/>
                <w:highlight w:val="none"/>
                <w:lang w:val="en-US" w:eastAsia="zh-CN"/>
              </w:rPr>
              <w:t>元</w:t>
            </w:r>
            <w:r>
              <w:rPr>
                <w:rFonts w:hint="eastAsia" w:ascii="仿宋" w:hAnsi="仿宋" w:eastAsia="仿宋" w:cs="仿宋"/>
                <w:b/>
                <w:color w:val="auto"/>
                <w:szCs w:val="21"/>
                <w:highlight w:val="none"/>
                <w:lang w:eastAsia="zh-CN"/>
              </w:rPr>
              <w:t>）</w:t>
            </w:r>
          </w:p>
        </w:tc>
        <w:tc>
          <w:tcPr>
            <w:tcW w:w="1283" w:type="dxa"/>
            <w:noWrap w:val="0"/>
            <w:vAlign w:val="center"/>
          </w:tcPr>
          <w:p>
            <w:pPr>
              <w:tabs>
                <w:tab w:val="left" w:pos="5580"/>
              </w:tabs>
              <w:spacing w:line="40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82" w:hRule="atLeast"/>
        </w:trPr>
        <w:tc>
          <w:tcPr>
            <w:tcW w:w="705" w:type="dxa"/>
            <w:noWrap w:val="0"/>
            <w:vAlign w:val="center"/>
          </w:tcPr>
          <w:p>
            <w:pPr>
              <w:tabs>
                <w:tab w:val="left" w:pos="5580"/>
              </w:tabs>
              <w:spacing w:line="400" w:lineRule="exact"/>
              <w:jc w:val="center"/>
              <w:rPr>
                <w:rFonts w:hint="eastAsia" w:ascii="仿宋" w:hAnsi="仿宋" w:eastAsia="仿宋" w:cs="仿宋"/>
                <w:b/>
                <w:color w:val="auto"/>
                <w:szCs w:val="21"/>
                <w:highlight w:val="none"/>
                <w:lang w:val="en-US" w:eastAsia="zh-CN"/>
              </w:rPr>
            </w:pPr>
            <w:r>
              <w:rPr>
                <w:rFonts w:hint="eastAsia" w:ascii="仿宋" w:hAnsi="仿宋" w:eastAsia="仿宋" w:cs="仿宋"/>
                <w:b/>
                <w:color w:val="auto"/>
                <w:szCs w:val="21"/>
                <w:highlight w:val="none"/>
                <w:lang w:val="en-US" w:eastAsia="zh-CN"/>
              </w:rPr>
              <w:t>1</w:t>
            </w:r>
          </w:p>
        </w:tc>
        <w:tc>
          <w:tcPr>
            <w:tcW w:w="5968" w:type="dxa"/>
            <w:gridSpan w:val="2"/>
            <w:noWrap w:val="0"/>
            <w:vAlign w:val="center"/>
          </w:tcPr>
          <w:p>
            <w:pPr>
              <w:tabs>
                <w:tab w:val="left" w:pos="5580"/>
              </w:tabs>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小写</w:t>
            </w:r>
            <w:r>
              <w:rPr>
                <w:rFonts w:hint="eastAsia" w:ascii="仿宋" w:hAnsi="仿宋" w:eastAsia="仿宋" w:cs="仿宋"/>
                <w:color w:val="auto"/>
                <w:szCs w:val="21"/>
                <w:highlight w:val="none"/>
                <w:lang w:eastAsia="zh-CN"/>
              </w:rPr>
              <w:t>:</w:t>
            </w:r>
          </w:p>
          <w:p>
            <w:pPr>
              <w:tabs>
                <w:tab w:val="left" w:pos="5580"/>
              </w:tabs>
              <w:spacing w:line="400" w:lineRule="exact"/>
              <w:jc w:val="left"/>
              <w:rPr>
                <w:rFonts w:hint="eastAsia" w:ascii="仿宋" w:hAnsi="仿宋" w:eastAsia="仿宋" w:cs="仿宋"/>
                <w:color w:val="auto"/>
                <w:szCs w:val="21"/>
                <w:highlight w:val="none"/>
              </w:rPr>
            </w:pPr>
          </w:p>
          <w:p>
            <w:pPr>
              <w:tabs>
                <w:tab w:val="left" w:pos="5580"/>
              </w:tabs>
              <w:spacing w:line="400" w:lineRule="exact"/>
              <w:jc w:val="both"/>
              <w:rPr>
                <w:rFonts w:hint="eastAsia" w:ascii="仿宋" w:hAnsi="仿宋" w:eastAsia="仿宋" w:cs="仿宋"/>
                <w:b/>
                <w:color w:val="auto"/>
                <w:szCs w:val="21"/>
                <w:highlight w:val="none"/>
              </w:rPr>
            </w:pPr>
            <w:r>
              <w:rPr>
                <w:rFonts w:hint="eastAsia" w:ascii="仿宋" w:hAnsi="仿宋" w:eastAsia="仿宋" w:cs="仿宋"/>
                <w:color w:val="auto"/>
                <w:szCs w:val="21"/>
                <w:highlight w:val="none"/>
              </w:rPr>
              <w:t>大写</w:t>
            </w:r>
            <w:r>
              <w:rPr>
                <w:rFonts w:hint="eastAsia" w:ascii="仿宋" w:hAnsi="仿宋" w:eastAsia="仿宋" w:cs="仿宋"/>
                <w:color w:val="auto"/>
                <w:szCs w:val="21"/>
                <w:highlight w:val="none"/>
                <w:lang w:eastAsia="zh-CN"/>
              </w:rPr>
              <w:t>:</w:t>
            </w:r>
          </w:p>
        </w:tc>
        <w:tc>
          <w:tcPr>
            <w:tcW w:w="1283" w:type="dxa"/>
            <w:noWrap w:val="0"/>
            <w:vAlign w:val="center"/>
          </w:tcPr>
          <w:p>
            <w:pPr>
              <w:tabs>
                <w:tab w:val="left" w:pos="5580"/>
              </w:tabs>
              <w:spacing w:line="400" w:lineRule="exact"/>
              <w:ind w:left="1080" w:leftChars="257" w:hanging="540"/>
              <w:jc w:val="both"/>
              <w:rPr>
                <w:rFonts w:hint="eastAsia" w:ascii="仿宋" w:hAnsi="仿宋" w:eastAsia="仿宋" w:cs="仿宋"/>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0" w:hRule="atLeast"/>
        </w:trPr>
        <w:tc>
          <w:tcPr>
            <w:tcW w:w="705" w:type="dxa"/>
            <w:noWrap w:val="0"/>
            <w:vAlign w:val="center"/>
          </w:tcPr>
          <w:p>
            <w:pPr>
              <w:tabs>
                <w:tab w:val="left" w:pos="5580"/>
              </w:tabs>
              <w:spacing w:line="400" w:lineRule="exact"/>
              <w:jc w:val="center"/>
              <w:rPr>
                <w:rFonts w:hint="default" w:ascii="仿宋" w:hAnsi="仿宋" w:eastAsia="仿宋" w:cs="仿宋"/>
                <w:b/>
                <w:color w:val="auto"/>
                <w:szCs w:val="21"/>
                <w:highlight w:val="none"/>
                <w:lang w:val="en-US" w:eastAsia="zh-CN"/>
              </w:rPr>
            </w:pPr>
            <w:r>
              <w:rPr>
                <w:rFonts w:hint="eastAsia" w:ascii="仿宋" w:hAnsi="仿宋" w:eastAsia="仿宋" w:cs="仿宋"/>
                <w:b/>
                <w:color w:val="auto"/>
                <w:szCs w:val="21"/>
                <w:highlight w:val="none"/>
                <w:lang w:val="en-US" w:eastAsia="zh-CN"/>
              </w:rPr>
              <w:t>2</w:t>
            </w:r>
          </w:p>
        </w:tc>
        <w:tc>
          <w:tcPr>
            <w:tcW w:w="1768" w:type="dxa"/>
            <w:noWrap w:val="0"/>
            <w:vAlign w:val="center"/>
          </w:tcPr>
          <w:p>
            <w:pPr>
              <w:tabs>
                <w:tab w:val="left" w:pos="5580"/>
              </w:tabs>
              <w:spacing w:line="400" w:lineRule="exact"/>
              <w:jc w:val="both"/>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交货期</w:t>
            </w:r>
          </w:p>
        </w:tc>
        <w:tc>
          <w:tcPr>
            <w:tcW w:w="4200" w:type="dxa"/>
            <w:noWrap w:val="0"/>
            <w:vAlign w:val="center"/>
          </w:tcPr>
          <w:p>
            <w:pPr>
              <w:tabs>
                <w:tab w:val="left" w:pos="5580"/>
              </w:tabs>
              <w:spacing w:line="400" w:lineRule="exact"/>
              <w:ind w:left="1080" w:leftChars="257" w:hanging="540"/>
              <w:jc w:val="both"/>
              <w:rPr>
                <w:rFonts w:hint="eastAsia" w:ascii="仿宋" w:hAnsi="仿宋" w:eastAsia="仿宋" w:cs="仿宋"/>
                <w:b/>
                <w:color w:val="auto"/>
                <w:szCs w:val="21"/>
                <w:highlight w:val="none"/>
              </w:rPr>
            </w:pPr>
          </w:p>
        </w:tc>
        <w:tc>
          <w:tcPr>
            <w:tcW w:w="1283" w:type="dxa"/>
            <w:noWrap w:val="0"/>
            <w:vAlign w:val="center"/>
          </w:tcPr>
          <w:p>
            <w:pPr>
              <w:tabs>
                <w:tab w:val="left" w:pos="5580"/>
              </w:tabs>
              <w:spacing w:line="400" w:lineRule="exact"/>
              <w:ind w:left="1080" w:leftChars="257" w:hanging="540"/>
              <w:jc w:val="both"/>
              <w:rPr>
                <w:rFonts w:hint="eastAsia" w:ascii="仿宋" w:hAnsi="仿宋" w:eastAsia="仿宋" w:cs="仿宋"/>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0" w:hRule="atLeast"/>
        </w:trPr>
        <w:tc>
          <w:tcPr>
            <w:tcW w:w="705" w:type="dxa"/>
            <w:noWrap w:val="0"/>
            <w:vAlign w:val="center"/>
          </w:tcPr>
          <w:p>
            <w:pPr>
              <w:tabs>
                <w:tab w:val="left" w:pos="5580"/>
              </w:tabs>
              <w:spacing w:line="400" w:lineRule="exact"/>
              <w:jc w:val="center"/>
              <w:rPr>
                <w:rFonts w:hint="default" w:ascii="仿宋" w:hAnsi="仿宋" w:eastAsia="仿宋" w:cs="仿宋"/>
                <w:b/>
                <w:color w:val="auto"/>
                <w:szCs w:val="21"/>
                <w:highlight w:val="none"/>
                <w:lang w:val="en-US" w:eastAsia="zh-CN"/>
              </w:rPr>
            </w:pPr>
            <w:r>
              <w:rPr>
                <w:rFonts w:hint="eastAsia" w:ascii="仿宋" w:hAnsi="仿宋" w:eastAsia="仿宋" w:cs="仿宋"/>
                <w:b/>
                <w:color w:val="auto"/>
                <w:szCs w:val="21"/>
                <w:highlight w:val="none"/>
                <w:lang w:val="en-US" w:eastAsia="zh-CN"/>
              </w:rPr>
              <w:t>3</w:t>
            </w:r>
          </w:p>
        </w:tc>
        <w:tc>
          <w:tcPr>
            <w:tcW w:w="1768" w:type="dxa"/>
            <w:noWrap w:val="0"/>
            <w:vAlign w:val="center"/>
          </w:tcPr>
          <w:p>
            <w:pPr>
              <w:tabs>
                <w:tab w:val="left" w:pos="5580"/>
              </w:tabs>
              <w:spacing w:line="400" w:lineRule="exact"/>
              <w:jc w:val="both"/>
              <w:rPr>
                <w:rFonts w:hint="default" w:ascii="仿宋" w:hAnsi="仿宋" w:eastAsia="仿宋" w:cs="仿宋"/>
                <w:b/>
                <w:color w:val="auto"/>
                <w:szCs w:val="21"/>
                <w:highlight w:val="none"/>
                <w:lang w:val="en-US" w:eastAsia="zh-CN"/>
              </w:rPr>
            </w:pPr>
            <w:r>
              <w:rPr>
                <w:rFonts w:hint="eastAsia" w:ascii="仿宋" w:hAnsi="仿宋" w:eastAsia="仿宋" w:cs="仿宋"/>
                <w:b/>
                <w:color w:val="auto"/>
                <w:szCs w:val="21"/>
                <w:highlight w:val="none"/>
                <w:lang w:val="en-US" w:eastAsia="zh-CN"/>
              </w:rPr>
              <w:t>质保期限</w:t>
            </w:r>
          </w:p>
        </w:tc>
        <w:tc>
          <w:tcPr>
            <w:tcW w:w="4200" w:type="dxa"/>
            <w:noWrap w:val="0"/>
            <w:vAlign w:val="center"/>
          </w:tcPr>
          <w:p>
            <w:pPr>
              <w:tabs>
                <w:tab w:val="left" w:pos="5580"/>
              </w:tabs>
              <w:spacing w:line="400" w:lineRule="exact"/>
              <w:ind w:left="1080" w:leftChars="257" w:hanging="540"/>
              <w:jc w:val="both"/>
              <w:rPr>
                <w:rFonts w:hint="eastAsia" w:ascii="仿宋" w:hAnsi="仿宋" w:eastAsia="仿宋" w:cs="仿宋"/>
                <w:b/>
                <w:color w:val="auto"/>
                <w:szCs w:val="21"/>
                <w:highlight w:val="none"/>
              </w:rPr>
            </w:pPr>
          </w:p>
        </w:tc>
        <w:tc>
          <w:tcPr>
            <w:tcW w:w="1283" w:type="dxa"/>
            <w:noWrap w:val="0"/>
            <w:vAlign w:val="center"/>
          </w:tcPr>
          <w:p>
            <w:pPr>
              <w:tabs>
                <w:tab w:val="left" w:pos="5580"/>
              </w:tabs>
              <w:spacing w:line="400" w:lineRule="exact"/>
              <w:ind w:left="1080" w:leftChars="257" w:hanging="540"/>
              <w:jc w:val="both"/>
              <w:rPr>
                <w:rFonts w:hint="eastAsia" w:ascii="仿宋" w:hAnsi="仿宋" w:eastAsia="仿宋" w:cs="仿宋"/>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0" w:hRule="atLeast"/>
        </w:trPr>
        <w:tc>
          <w:tcPr>
            <w:tcW w:w="705" w:type="dxa"/>
            <w:noWrap w:val="0"/>
            <w:vAlign w:val="center"/>
          </w:tcPr>
          <w:p>
            <w:pPr>
              <w:tabs>
                <w:tab w:val="left" w:pos="5580"/>
              </w:tabs>
              <w:spacing w:line="400" w:lineRule="exact"/>
              <w:jc w:val="center"/>
              <w:rPr>
                <w:rFonts w:hint="default" w:ascii="仿宋" w:hAnsi="仿宋" w:eastAsia="仿宋" w:cs="仿宋"/>
                <w:b/>
                <w:color w:val="auto"/>
                <w:szCs w:val="21"/>
                <w:highlight w:val="none"/>
                <w:lang w:val="en-US" w:eastAsia="zh-CN"/>
              </w:rPr>
            </w:pPr>
            <w:r>
              <w:rPr>
                <w:rFonts w:hint="eastAsia" w:ascii="仿宋" w:hAnsi="仿宋" w:eastAsia="仿宋" w:cs="仿宋"/>
                <w:b/>
                <w:color w:val="auto"/>
                <w:szCs w:val="21"/>
                <w:highlight w:val="none"/>
                <w:lang w:val="en-US" w:eastAsia="zh-CN"/>
              </w:rPr>
              <w:t>4</w:t>
            </w:r>
          </w:p>
        </w:tc>
        <w:tc>
          <w:tcPr>
            <w:tcW w:w="1768" w:type="dxa"/>
            <w:noWrap w:val="0"/>
            <w:vAlign w:val="center"/>
          </w:tcPr>
          <w:p>
            <w:pPr>
              <w:tabs>
                <w:tab w:val="left" w:pos="5580"/>
              </w:tabs>
              <w:spacing w:line="400" w:lineRule="exact"/>
              <w:jc w:val="both"/>
              <w:rPr>
                <w:rFonts w:hint="default" w:ascii="仿宋" w:hAnsi="仿宋" w:eastAsia="仿宋" w:cs="仿宋"/>
                <w:b/>
                <w:color w:val="auto"/>
                <w:szCs w:val="21"/>
                <w:highlight w:val="none"/>
                <w:lang w:val="en-US" w:eastAsia="zh-CN"/>
              </w:rPr>
            </w:pPr>
            <w:r>
              <w:rPr>
                <w:rFonts w:hint="eastAsia" w:ascii="仿宋" w:hAnsi="仿宋" w:eastAsia="仿宋" w:cs="仿宋"/>
                <w:b/>
                <w:color w:val="auto"/>
                <w:szCs w:val="21"/>
                <w:highlight w:val="none"/>
                <w:lang w:val="en-US" w:eastAsia="zh-CN"/>
              </w:rPr>
              <w:t>质量标准</w:t>
            </w:r>
          </w:p>
        </w:tc>
        <w:tc>
          <w:tcPr>
            <w:tcW w:w="4200" w:type="dxa"/>
            <w:noWrap w:val="0"/>
            <w:vAlign w:val="center"/>
          </w:tcPr>
          <w:p>
            <w:pPr>
              <w:tabs>
                <w:tab w:val="left" w:pos="5580"/>
              </w:tabs>
              <w:spacing w:line="400" w:lineRule="exact"/>
              <w:ind w:left="1080" w:leftChars="257" w:hanging="540"/>
              <w:jc w:val="both"/>
              <w:rPr>
                <w:rFonts w:hint="eastAsia" w:ascii="仿宋" w:hAnsi="仿宋" w:eastAsia="仿宋" w:cs="仿宋"/>
                <w:b/>
                <w:color w:val="auto"/>
                <w:szCs w:val="21"/>
                <w:highlight w:val="none"/>
              </w:rPr>
            </w:pPr>
          </w:p>
        </w:tc>
        <w:tc>
          <w:tcPr>
            <w:tcW w:w="1283" w:type="dxa"/>
            <w:noWrap w:val="0"/>
            <w:vAlign w:val="center"/>
          </w:tcPr>
          <w:p>
            <w:pPr>
              <w:tabs>
                <w:tab w:val="left" w:pos="5580"/>
              </w:tabs>
              <w:spacing w:line="400" w:lineRule="exact"/>
              <w:ind w:left="1080" w:leftChars="257" w:hanging="540"/>
              <w:jc w:val="both"/>
              <w:rPr>
                <w:rFonts w:hint="eastAsia" w:ascii="仿宋" w:hAnsi="仿宋" w:eastAsia="仿宋" w:cs="仿宋"/>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0" w:hRule="atLeast"/>
        </w:trPr>
        <w:tc>
          <w:tcPr>
            <w:tcW w:w="705" w:type="dxa"/>
            <w:noWrap w:val="0"/>
            <w:vAlign w:val="center"/>
          </w:tcPr>
          <w:p>
            <w:pPr>
              <w:tabs>
                <w:tab w:val="left" w:pos="5580"/>
              </w:tabs>
              <w:spacing w:line="400" w:lineRule="exact"/>
              <w:jc w:val="center"/>
              <w:rPr>
                <w:rFonts w:hint="default" w:ascii="仿宋" w:hAnsi="仿宋" w:eastAsia="仿宋" w:cs="仿宋"/>
                <w:b/>
                <w:color w:val="auto"/>
                <w:szCs w:val="21"/>
                <w:highlight w:val="none"/>
                <w:lang w:val="en-US" w:eastAsia="zh-CN"/>
              </w:rPr>
            </w:pPr>
            <w:r>
              <w:rPr>
                <w:rFonts w:hint="eastAsia" w:ascii="仿宋" w:hAnsi="仿宋" w:eastAsia="仿宋" w:cs="仿宋"/>
                <w:b/>
                <w:color w:val="auto"/>
                <w:szCs w:val="21"/>
                <w:highlight w:val="none"/>
                <w:lang w:val="en-US" w:eastAsia="zh-CN"/>
              </w:rPr>
              <w:t>5</w:t>
            </w:r>
          </w:p>
        </w:tc>
        <w:tc>
          <w:tcPr>
            <w:tcW w:w="1768" w:type="dxa"/>
            <w:noWrap w:val="0"/>
            <w:vAlign w:val="center"/>
          </w:tcPr>
          <w:p>
            <w:pPr>
              <w:tabs>
                <w:tab w:val="left" w:pos="5580"/>
              </w:tabs>
              <w:spacing w:line="400" w:lineRule="exact"/>
              <w:jc w:val="both"/>
              <w:rPr>
                <w:rFonts w:hint="eastAsia" w:ascii="仿宋" w:hAnsi="仿宋" w:eastAsia="仿宋" w:cs="仿宋"/>
                <w:b/>
                <w:color w:val="auto"/>
                <w:szCs w:val="21"/>
                <w:highlight w:val="none"/>
                <w:lang w:val="en-US" w:eastAsia="zh-CN"/>
              </w:rPr>
            </w:pPr>
            <w:r>
              <w:rPr>
                <w:rFonts w:hint="eastAsia" w:ascii="仿宋" w:hAnsi="仿宋" w:eastAsia="仿宋" w:cs="仿宋"/>
                <w:b/>
                <w:color w:val="auto"/>
                <w:szCs w:val="21"/>
                <w:highlight w:val="none"/>
                <w:lang w:val="en-US" w:eastAsia="zh-CN"/>
              </w:rPr>
              <w:t>备注</w:t>
            </w:r>
          </w:p>
        </w:tc>
        <w:tc>
          <w:tcPr>
            <w:tcW w:w="4200" w:type="dxa"/>
            <w:noWrap w:val="0"/>
            <w:vAlign w:val="center"/>
          </w:tcPr>
          <w:p>
            <w:pPr>
              <w:tabs>
                <w:tab w:val="left" w:pos="5580"/>
              </w:tabs>
              <w:spacing w:line="400" w:lineRule="exact"/>
              <w:ind w:left="1080" w:leftChars="257" w:hanging="540"/>
              <w:jc w:val="both"/>
              <w:rPr>
                <w:rFonts w:hint="eastAsia" w:ascii="仿宋" w:hAnsi="仿宋" w:eastAsia="仿宋" w:cs="仿宋"/>
                <w:b/>
                <w:color w:val="auto"/>
                <w:szCs w:val="21"/>
                <w:highlight w:val="none"/>
              </w:rPr>
            </w:pPr>
          </w:p>
        </w:tc>
        <w:tc>
          <w:tcPr>
            <w:tcW w:w="1283" w:type="dxa"/>
            <w:noWrap w:val="0"/>
            <w:vAlign w:val="center"/>
          </w:tcPr>
          <w:p>
            <w:pPr>
              <w:tabs>
                <w:tab w:val="left" w:pos="5580"/>
              </w:tabs>
              <w:spacing w:line="400" w:lineRule="exact"/>
              <w:ind w:left="1080" w:leftChars="257" w:hanging="540"/>
              <w:jc w:val="both"/>
              <w:rPr>
                <w:rFonts w:hint="eastAsia" w:ascii="仿宋" w:hAnsi="仿宋" w:eastAsia="仿宋" w:cs="仿宋"/>
                <w:b/>
                <w:color w:val="auto"/>
                <w:szCs w:val="21"/>
                <w:highlight w:val="none"/>
              </w:rPr>
            </w:pPr>
          </w:p>
        </w:tc>
      </w:tr>
    </w:tbl>
    <w:p>
      <w:pPr>
        <w:pStyle w:val="68"/>
        <w:tabs>
          <w:tab w:val="left" w:pos="5580"/>
        </w:tabs>
        <w:spacing w:line="240" w:lineRule="atLeast"/>
        <w:ind w:left="1080" w:leftChars="257" w:hanging="540"/>
        <w:rPr>
          <w:rFonts w:hint="eastAsia" w:ascii="仿宋" w:hAnsi="仿宋" w:eastAsia="仿宋" w:cs="仿宋"/>
          <w:color w:val="auto"/>
          <w:szCs w:val="21"/>
          <w:highlight w:val="none"/>
        </w:rPr>
      </w:pPr>
    </w:p>
    <w:p>
      <w:pPr>
        <w:pStyle w:val="68"/>
        <w:tabs>
          <w:tab w:val="left" w:pos="5580"/>
        </w:tabs>
        <w:spacing w:line="360" w:lineRule="auto"/>
        <w:ind w:left="1080" w:leftChars="257" w:hanging="54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投标人名称（单位</w:t>
      </w:r>
      <w:r>
        <w:rPr>
          <w:rFonts w:hint="eastAsia" w:ascii="仿宋" w:hAnsi="仿宋" w:eastAsia="仿宋" w:cs="仿宋"/>
          <w:color w:val="auto"/>
          <w:szCs w:val="21"/>
          <w:highlight w:val="none"/>
          <w:lang w:val="en-US" w:eastAsia="zh-CN"/>
        </w:rPr>
        <w:t>签</w:t>
      </w:r>
      <w:r>
        <w:rPr>
          <w:rFonts w:hint="eastAsia" w:ascii="仿宋" w:hAnsi="仿宋" w:eastAsia="仿宋" w:cs="仿宋"/>
          <w:color w:val="auto"/>
          <w:szCs w:val="21"/>
          <w:highlight w:val="none"/>
        </w:rPr>
        <w:t>章）</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rPr>
        <w:t xml:space="preserve">                  </w:t>
      </w:r>
    </w:p>
    <w:p>
      <w:pPr>
        <w:pStyle w:val="68"/>
        <w:tabs>
          <w:tab w:val="left" w:pos="5580"/>
        </w:tabs>
        <w:spacing w:line="360" w:lineRule="auto"/>
        <w:ind w:left="1080" w:leftChars="257" w:hanging="54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法定代表人或委托代理(签</w:t>
      </w:r>
      <w:r>
        <w:rPr>
          <w:rFonts w:hint="eastAsia" w:ascii="仿宋" w:hAnsi="仿宋" w:eastAsia="仿宋" w:cs="仿宋"/>
          <w:color w:val="auto"/>
          <w:szCs w:val="21"/>
          <w:highlight w:val="none"/>
          <w:lang w:val="en-US" w:eastAsia="zh-CN"/>
        </w:rPr>
        <w:t>名</w:t>
      </w:r>
      <w:r>
        <w:rPr>
          <w:rFonts w:hint="eastAsia" w:ascii="仿宋" w:hAnsi="仿宋" w:eastAsia="仿宋" w:cs="仿宋"/>
          <w:color w:val="auto"/>
          <w:szCs w:val="21"/>
          <w:highlight w:val="none"/>
        </w:rPr>
        <w:t>或</w:t>
      </w:r>
      <w:r>
        <w:rPr>
          <w:rFonts w:hint="eastAsia" w:ascii="仿宋" w:hAnsi="仿宋" w:eastAsia="仿宋" w:cs="仿宋"/>
          <w:color w:val="auto"/>
          <w:szCs w:val="21"/>
          <w:highlight w:val="none"/>
          <w:lang w:val="en-US" w:eastAsia="zh-CN"/>
        </w:rPr>
        <w:t>签</w:t>
      </w:r>
      <w:r>
        <w:rPr>
          <w:rFonts w:hint="eastAsia" w:ascii="仿宋" w:hAnsi="仿宋" w:eastAsia="仿宋" w:cs="仿宋"/>
          <w:color w:val="auto"/>
          <w:szCs w:val="21"/>
          <w:highlight w:val="none"/>
        </w:rPr>
        <w:t>章)</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u w:val="single"/>
        </w:rPr>
        <w:tab/>
      </w:r>
    </w:p>
    <w:p>
      <w:pPr>
        <w:pStyle w:val="68"/>
        <w:tabs>
          <w:tab w:val="left" w:pos="5580"/>
        </w:tabs>
        <w:spacing w:line="360" w:lineRule="auto"/>
        <w:ind w:left="1080" w:leftChars="257" w:hanging="540"/>
        <w:rPr>
          <w:rFonts w:hint="eastAsia" w:ascii="仿宋" w:hAnsi="仿宋" w:eastAsia="仿宋" w:cs="仿宋"/>
          <w:color w:val="auto"/>
          <w:szCs w:val="21"/>
          <w:highlight w:val="none"/>
        </w:rPr>
      </w:pPr>
    </w:p>
    <w:p>
      <w:pPr>
        <w:pStyle w:val="67"/>
        <w:rPr>
          <w:rFonts w:hint="eastAsia" w:ascii="仿宋" w:hAnsi="仿宋" w:eastAsia="仿宋" w:cs="仿宋"/>
          <w:color w:val="auto"/>
          <w:highlight w:val="none"/>
        </w:rPr>
      </w:pPr>
      <w:r>
        <w:rPr>
          <w:rFonts w:hint="eastAsia" w:ascii="仿宋" w:hAnsi="仿宋" w:eastAsia="仿宋" w:cs="仿宋"/>
          <w:color w:val="auto"/>
          <w:szCs w:val="21"/>
          <w:highlight w:val="none"/>
        </w:rPr>
        <w:t>注</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此表中</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投标总价应和投标分项报价表的总价相一致。</w:t>
      </w:r>
    </w:p>
    <w:p>
      <w:pPr>
        <w:pStyle w:val="67"/>
        <w:rPr>
          <w:rFonts w:hint="eastAsia" w:ascii="仿宋" w:hAnsi="仿宋" w:eastAsia="仿宋" w:cs="仿宋"/>
          <w:color w:val="auto"/>
          <w:sz w:val="24"/>
          <w:highlight w:val="none"/>
        </w:rPr>
      </w:pPr>
    </w:p>
    <w:p>
      <w:pPr>
        <w:pStyle w:val="67"/>
        <w:rPr>
          <w:rFonts w:hint="eastAsia" w:ascii="仿宋" w:hAnsi="仿宋" w:eastAsia="仿宋" w:cs="仿宋"/>
          <w:color w:val="auto"/>
          <w:sz w:val="24"/>
          <w:highlight w:val="none"/>
        </w:rPr>
      </w:pPr>
    </w:p>
    <w:p>
      <w:pPr>
        <w:pStyle w:val="57"/>
        <w:jc w:val="both"/>
        <w:outlineLvl w:val="9"/>
        <w:rPr>
          <w:rFonts w:hint="eastAsia" w:ascii="仿宋" w:hAnsi="仿宋" w:eastAsia="仿宋" w:cs="仿宋"/>
          <w:color w:val="auto"/>
          <w:highlight w:val="none"/>
          <w:lang w:eastAsia="zh-CN"/>
        </w:rPr>
      </w:pPr>
    </w:p>
    <w:p>
      <w:pPr>
        <w:pStyle w:val="57"/>
        <w:jc w:val="both"/>
        <w:outlineLvl w:val="9"/>
        <w:rPr>
          <w:rFonts w:hint="eastAsia" w:ascii="仿宋" w:hAnsi="仿宋" w:eastAsia="仿宋" w:cs="仿宋"/>
          <w:color w:val="auto"/>
          <w:highlight w:val="none"/>
          <w:lang w:eastAsia="zh-CN"/>
        </w:rPr>
      </w:pPr>
    </w:p>
    <w:p>
      <w:pPr>
        <w:pStyle w:val="57"/>
        <w:jc w:val="both"/>
        <w:outlineLvl w:val="9"/>
        <w:rPr>
          <w:rFonts w:hint="eastAsia" w:ascii="仿宋" w:hAnsi="仿宋" w:eastAsia="仿宋" w:cs="仿宋"/>
          <w:color w:val="auto"/>
          <w:highlight w:val="none"/>
          <w:lang w:eastAsia="zh-CN"/>
        </w:rPr>
      </w:pPr>
    </w:p>
    <w:p>
      <w:pPr>
        <w:pStyle w:val="57"/>
        <w:numPr>
          <w:ilvl w:val="0"/>
          <w:numId w:val="0"/>
        </w:numPr>
        <w:ind w:leftChars="0"/>
        <w:jc w:val="both"/>
        <w:outlineLvl w:val="9"/>
        <w:rPr>
          <w:rFonts w:hint="eastAsia" w:ascii="仿宋" w:hAnsi="仿宋" w:eastAsia="仿宋" w:cs="仿宋"/>
          <w:b/>
          <w:bCs w:val="0"/>
          <w:color w:val="auto"/>
          <w:kern w:val="2"/>
          <w:sz w:val="28"/>
          <w:szCs w:val="28"/>
          <w:highlight w:val="none"/>
          <w:lang w:val="en-US" w:eastAsia="zh-CN"/>
        </w:rPr>
      </w:pPr>
    </w:p>
    <w:p>
      <w:pPr>
        <w:pStyle w:val="57"/>
        <w:numPr>
          <w:ilvl w:val="0"/>
          <w:numId w:val="0"/>
        </w:numPr>
        <w:ind w:leftChars="0"/>
        <w:jc w:val="both"/>
        <w:outlineLvl w:val="9"/>
        <w:rPr>
          <w:rFonts w:hint="eastAsia" w:ascii="仿宋" w:hAnsi="仿宋" w:eastAsia="仿宋" w:cs="仿宋"/>
          <w:b/>
          <w:bCs w:val="0"/>
          <w:color w:val="auto"/>
          <w:kern w:val="2"/>
          <w:sz w:val="28"/>
          <w:szCs w:val="28"/>
          <w:highlight w:val="none"/>
          <w:lang w:val="en-US" w:eastAsia="zh-CN"/>
        </w:rPr>
      </w:pPr>
    </w:p>
    <w:p>
      <w:pPr>
        <w:pStyle w:val="57"/>
        <w:numPr>
          <w:ilvl w:val="0"/>
          <w:numId w:val="0"/>
        </w:numPr>
        <w:ind w:leftChars="0"/>
        <w:jc w:val="both"/>
        <w:outlineLvl w:val="1"/>
        <w:rPr>
          <w:rFonts w:hint="eastAsia" w:ascii="仿宋" w:hAnsi="仿宋" w:eastAsia="仿宋" w:cs="仿宋"/>
          <w:b/>
          <w:bCs w:val="0"/>
          <w:color w:val="auto"/>
          <w:kern w:val="2"/>
          <w:sz w:val="28"/>
          <w:szCs w:val="28"/>
          <w:highlight w:val="none"/>
          <w:lang w:val="en-US" w:eastAsia="zh-CN"/>
        </w:rPr>
      </w:pPr>
      <w:bookmarkStart w:id="174" w:name="_Toc912"/>
      <w:r>
        <w:rPr>
          <w:rFonts w:hint="eastAsia" w:ascii="仿宋" w:hAnsi="仿宋" w:eastAsia="仿宋" w:cs="仿宋"/>
          <w:b/>
          <w:bCs w:val="0"/>
          <w:color w:val="auto"/>
          <w:kern w:val="2"/>
          <w:sz w:val="28"/>
          <w:szCs w:val="28"/>
          <w:highlight w:val="none"/>
          <w:lang w:val="en-US" w:eastAsia="zh-CN"/>
        </w:rPr>
        <w:t>3.报价明细表</w:t>
      </w:r>
      <w:bookmarkEnd w:id="174"/>
    </w:p>
    <w:p>
      <w:pPr>
        <w:pStyle w:val="69"/>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val="en-US" w:eastAsia="zh-CN"/>
        </w:rPr>
        <w:t>项目名称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价格单位：元</w:t>
      </w:r>
    </w:p>
    <w:tbl>
      <w:tblPr>
        <w:tblStyle w:val="19"/>
        <w:tblW w:w="10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592"/>
        <w:gridCol w:w="818"/>
        <w:gridCol w:w="851"/>
        <w:gridCol w:w="901"/>
        <w:gridCol w:w="769"/>
        <w:gridCol w:w="679"/>
        <w:gridCol w:w="1006"/>
        <w:gridCol w:w="1090"/>
        <w:gridCol w:w="1490"/>
        <w:gridCol w:w="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590" w:type="dxa"/>
            <w:noWrap w:val="0"/>
            <w:vAlign w:val="center"/>
          </w:tcPr>
          <w:p>
            <w:pPr>
              <w:pStyle w:val="71"/>
              <w:tabs>
                <w:tab w:val="left" w:pos="1337"/>
              </w:tabs>
              <w:spacing w:line="360" w:lineRule="auto"/>
              <w:ind w:left="-42" w:right="-42"/>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项</w:t>
            </w:r>
          </w:p>
        </w:tc>
        <w:tc>
          <w:tcPr>
            <w:tcW w:w="1592" w:type="dxa"/>
            <w:noWrap w:val="0"/>
            <w:vAlign w:val="center"/>
          </w:tcPr>
          <w:p>
            <w:pPr>
              <w:pStyle w:val="71"/>
              <w:tabs>
                <w:tab w:val="left" w:pos="1337"/>
              </w:tabs>
              <w:spacing w:line="360" w:lineRule="auto"/>
              <w:ind w:left="-42" w:right="-42"/>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p>
        </w:tc>
        <w:tc>
          <w:tcPr>
            <w:tcW w:w="818" w:type="dxa"/>
            <w:noWrap w:val="0"/>
            <w:vAlign w:val="center"/>
          </w:tcPr>
          <w:p>
            <w:pPr>
              <w:pStyle w:val="71"/>
              <w:tabs>
                <w:tab w:val="left" w:pos="1337"/>
              </w:tabs>
              <w:spacing w:line="360" w:lineRule="auto"/>
              <w:ind w:right="-42"/>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w:t>
            </w:r>
          </w:p>
        </w:tc>
        <w:tc>
          <w:tcPr>
            <w:tcW w:w="851" w:type="dxa"/>
            <w:noWrap w:val="0"/>
            <w:vAlign w:val="center"/>
          </w:tcPr>
          <w:p>
            <w:pPr>
              <w:pStyle w:val="71"/>
              <w:tabs>
                <w:tab w:val="left" w:pos="1337"/>
              </w:tabs>
              <w:spacing w:line="360" w:lineRule="auto"/>
              <w:ind w:right="-42"/>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w:t>
            </w:r>
          </w:p>
        </w:tc>
        <w:tc>
          <w:tcPr>
            <w:tcW w:w="901" w:type="dxa"/>
            <w:noWrap w:val="0"/>
            <w:vAlign w:val="center"/>
          </w:tcPr>
          <w:p>
            <w:pPr>
              <w:pStyle w:val="71"/>
              <w:tabs>
                <w:tab w:val="left" w:pos="1337"/>
              </w:tabs>
              <w:spacing w:line="360" w:lineRule="auto"/>
              <w:ind w:right="-42"/>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w:t>
            </w:r>
          </w:p>
        </w:tc>
        <w:tc>
          <w:tcPr>
            <w:tcW w:w="769" w:type="dxa"/>
            <w:noWrap w:val="0"/>
            <w:vAlign w:val="center"/>
          </w:tcPr>
          <w:p>
            <w:pPr>
              <w:pStyle w:val="71"/>
              <w:tabs>
                <w:tab w:val="left" w:pos="1337"/>
              </w:tabs>
              <w:spacing w:line="360" w:lineRule="auto"/>
              <w:ind w:right="-42"/>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w:t>
            </w:r>
          </w:p>
        </w:tc>
        <w:tc>
          <w:tcPr>
            <w:tcW w:w="4265" w:type="dxa"/>
            <w:gridSpan w:val="4"/>
            <w:noWrap w:val="0"/>
            <w:vAlign w:val="center"/>
          </w:tcPr>
          <w:p>
            <w:pPr>
              <w:pStyle w:val="71"/>
              <w:tabs>
                <w:tab w:val="left" w:pos="1337"/>
              </w:tabs>
              <w:spacing w:line="360" w:lineRule="auto"/>
              <w:ind w:left="-42" w:right="-42"/>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w:t>
            </w:r>
          </w:p>
        </w:tc>
        <w:tc>
          <w:tcPr>
            <w:tcW w:w="749" w:type="dxa"/>
            <w:noWrap w:val="0"/>
            <w:vAlign w:val="center"/>
          </w:tcPr>
          <w:p>
            <w:pPr>
              <w:pStyle w:val="71"/>
              <w:tabs>
                <w:tab w:val="left" w:pos="1337"/>
              </w:tabs>
              <w:spacing w:line="360" w:lineRule="auto"/>
              <w:ind w:left="-42" w:right="-42"/>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590" w:type="dxa"/>
            <w:vMerge w:val="restart"/>
            <w:noWrap w:val="0"/>
            <w:vAlign w:val="center"/>
          </w:tcPr>
          <w:p>
            <w:pPr>
              <w:pStyle w:val="71"/>
              <w:tabs>
                <w:tab w:val="left" w:pos="1337"/>
              </w:tabs>
              <w:spacing w:line="360" w:lineRule="auto"/>
              <w:ind w:left="-42" w:right="-42"/>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序</w:t>
            </w:r>
          </w:p>
          <w:p>
            <w:pPr>
              <w:pStyle w:val="71"/>
              <w:tabs>
                <w:tab w:val="left" w:pos="1337"/>
              </w:tabs>
              <w:spacing w:line="360" w:lineRule="auto"/>
              <w:ind w:left="-42" w:right="-42"/>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号</w:t>
            </w:r>
          </w:p>
        </w:tc>
        <w:tc>
          <w:tcPr>
            <w:tcW w:w="1592" w:type="dxa"/>
            <w:vMerge w:val="restart"/>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产品名称</w:t>
            </w:r>
          </w:p>
        </w:tc>
        <w:tc>
          <w:tcPr>
            <w:tcW w:w="818" w:type="dxa"/>
            <w:vMerge w:val="restart"/>
            <w:noWrap w:val="0"/>
            <w:vAlign w:val="center"/>
          </w:tcPr>
          <w:p>
            <w:pPr>
              <w:pStyle w:val="71"/>
              <w:tabs>
                <w:tab w:val="left" w:pos="1337"/>
              </w:tabs>
              <w:spacing w:line="360" w:lineRule="auto"/>
              <w:ind w:left="-42" w:right="-42"/>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品牌</w:t>
            </w:r>
          </w:p>
        </w:tc>
        <w:tc>
          <w:tcPr>
            <w:tcW w:w="851" w:type="dxa"/>
            <w:vMerge w:val="restart"/>
            <w:noWrap w:val="0"/>
            <w:vAlign w:val="center"/>
          </w:tcPr>
          <w:p>
            <w:pPr>
              <w:pStyle w:val="71"/>
              <w:tabs>
                <w:tab w:val="left" w:pos="1337"/>
              </w:tabs>
              <w:spacing w:line="360" w:lineRule="auto"/>
              <w:ind w:left="-42" w:right="-42"/>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产地</w:t>
            </w:r>
          </w:p>
        </w:tc>
        <w:tc>
          <w:tcPr>
            <w:tcW w:w="901" w:type="dxa"/>
            <w:vMerge w:val="restart"/>
            <w:noWrap w:val="0"/>
            <w:vAlign w:val="center"/>
          </w:tcPr>
          <w:p>
            <w:pPr>
              <w:pStyle w:val="71"/>
              <w:tabs>
                <w:tab w:val="left" w:pos="1337"/>
              </w:tabs>
              <w:spacing w:line="360" w:lineRule="auto"/>
              <w:ind w:left="-42" w:right="-42"/>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规格</w:t>
            </w:r>
          </w:p>
        </w:tc>
        <w:tc>
          <w:tcPr>
            <w:tcW w:w="769" w:type="dxa"/>
            <w:vMerge w:val="restart"/>
            <w:noWrap w:val="0"/>
            <w:vAlign w:val="center"/>
          </w:tcPr>
          <w:p>
            <w:pPr>
              <w:pStyle w:val="71"/>
              <w:tabs>
                <w:tab w:val="left" w:pos="1337"/>
              </w:tabs>
              <w:spacing w:line="360" w:lineRule="auto"/>
              <w:ind w:left="-42" w:right="-42"/>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型号</w:t>
            </w:r>
          </w:p>
        </w:tc>
        <w:tc>
          <w:tcPr>
            <w:tcW w:w="4265" w:type="dxa"/>
            <w:gridSpan w:val="4"/>
            <w:noWrap w:val="0"/>
            <w:vAlign w:val="center"/>
          </w:tcPr>
          <w:p>
            <w:pPr>
              <w:pStyle w:val="71"/>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价格</w:t>
            </w:r>
          </w:p>
        </w:tc>
        <w:tc>
          <w:tcPr>
            <w:tcW w:w="749" w:type="dxa"/>
            <w:vMerge w:val="restart"/>
            <w:noWrap w:val="0"/>
            <w:vAlign w:val="center"/>
          </w:tcPr>
          <w:p>
            <w:pPr>
              <w:pStyle w:val="71"/>
              <w:spacing w:line="36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590" w:type="dxa"/>
            <w:vMerge w:val="continue"/>
            <w:noWrap w:val="0"/>
            <w:vAlign w:val="center"/>
          </w:tcPr>
          <w:p>
            <w:pPr>
              <w:pStyle w:val="71"/>
              <w:tabs>
                <w:tab w:val="left" w:pos="1337"/>
              </w:tabs>
              <w:spacing w:line="360" w:lineRule="auto"/>
              <w:ind w:left="-42" w:right="-42"/>
              <w:jc w:val="center"/>
              <w:rPr>
                <w:rFonts w:hint="eastAsia" w:ascii="仿宋" w:hAnsi="仿宋" w:eastAsia="仿宋" w:cs="仿宋"/>
                <w:color w:val="000000"/>
                <w:sz w:val="24"/>
                <w:szCs w:val="24"/>
                <w:highlight w:val="none"/>
              </w:rPr>
            </w:pPr>
          </w:p>
        </w:tc>
        <w:tc>
          <w:tcPr>
            <w:tcW w:w="1592" w:type="dxa"/>
            <w:vMerge w:val="continue"/>
            <w:noWrap w:val="0"/>
            <w:vAlign w:val="center"/>
          </w:tcPr>
          <w:p>
            <w:pPr>
              <w:pStyle w:val="71"/>
              <w:tabs>
                <w:tab w:val="left" w:pos="1337"/>
              </w:tabs>
              <w:spacing w:line="360" w:lineRule="auto"/>
              <w:ind w:left="-42" w:right="-42"/>
              <w:jc w:val="center"/>
              <w:rPr>
                <w:rFonts w:hint="eastAsia" w:ascii="仿宋" w:hAnsi="仿宋" w:eastAsia="仿宋" w:cs="仿宋"/>
                <w:color w:val="000000"/>
                <w:sz w:val="24"/>
                <w:szCs w:val="24"/>
                <w:highlight w:val="none"/>
              </w:rPr>
            </w:pPr>
          </w:p>
        </w:tc>
        <w:tc>
          <w:tcPr>
            <w:tcW w:w="818" w:type="dxa"/>
            <w:vMerge w:val="continue"/>
            <w:noWrap w:val="0"/>
            <w:vAlign w:val="center"/>
          </w:tcPr>
          <w:p>
            <w:pPr>
              <w:pStyle w:val="71"/>
              <w:tabs>
                <w:tab w:val="left" w:pos="1337"/>
              </w:tabs>
              <w:spacing w:line="360" w:lineRule="auto"/>
              <w:ind w:left="-42" w:right="-42"/>
              <w:jc w:val="center"/>
              <w:rPr>
                <w:rFonts w:hint="eastAsia" w:ascii="仿宋" w:hAnsi="仿宋" w:eastAsia="仿宋" w:cs="仿宋"/>
                <w:color w:val="000000"/>
                <w:sz w:val="24"/>
                <w:szCs w:val="24"/>
                <w:highlight w:val="none"/>
              </w:rPr>
            </w:pPr>
          </w:p>
        </w:tc>
        <w:tc>
          <w:tcPr>
            <w:tcW w:w="851" w:type="dxa"/>
            <w:vMerge w:val="continue"/>
            <w:noWrap w:val="0"/>
            <w:vAlign w:val="center"/>
          </w:tcPr>
          <w:p>
            <w:pPr>
              <w:pStyle w:val="71"/>
              <w:tabs>
                <w:tab w:val="left" w:pos="1337"/>
              </w:tabs>
              <w:spacing w:line="360" w:lineRule="auto"/>
              <w:ind w:left="-42" w:right="-42"/>
              <w:jc w:val="center"/>
              <w:rPr>
                <w:rFonts w:hint="eastAsia" w:ascii="仿宋" w:hAnsi="仿宋" w:eastAsia="仿宋" w:cs="仿宋"/>
                <w:color w:val="000000"/>
                <w:sz w:val="24"/>
                <w:szCs w:val="24"/>
                <w:highlight w:val="none"/>
              </w:rPr>
            </w:pPr>
          </w:p>
        </w:tc>
        <w:tc>
          <w:tcPr>
            <w:tcW w:w="901" w:type="dxa"/>
            <w:vMerge w:val="continue"/>
            <w:noWrap w:val="0"/>
            <w:vAlign w:val="center"/>
          </w:tcPr>
          <w:p>
            <w:pPr>
              <w:pStyle w:val="71"/>
              <w:tabs>
                <w:tab w:val="left" w:pos="1337"/>
              </w:tabs>
              <w:spacing w:line="360" w:lineRule="auto"/>
              <w:ind w:left="-42" w:right="-42"/>
              <w:jc w:val="center"/>
              <w:rPr>
                <w:rFonts w:hint="eastAsia" w:ascii="仿宋" w:hAnsi="仿宋" w:eastAsia="仿宋" w:cs="仿宋"/>
                <w:color w:val="000000"/>
                <w:sz w:val="24"/>
                <w:szCs w:val="24"/>
                <w:highlight w:val="none"/>
              </w:rPr>
            </w:pPr>
          </w:p>
        </w:tc>
        <w:tc>
          <w:tcPr>
            <w:tcW w:w="769" w:type="dxa"/>
            <w:vMerge w:val="continue"/>
            <w:noWrap w:val="0"/>
            <w:vAlign w:val="center"/>
          </w:tcPr>
          <w:p>
            <w:pPr>
              <w:pStyle w:val="71"/>
              <w:tabs>
                <w:tab w:val="left" w:pos="1337"/>
              </w:tabs>
              <w:spacing w:line="360" w:lineRule="auto"/>
              <w:ind w:left="-42" w:right="-42"/>
              <w:jc w:val="center"/>
              <w:rPr>
                <w:rFonts w:hint="eastAsia" w:ascii="仿宋" w:hAnsi="仿宋" w:eastAsia="仿宋" w:cs="仿宋"/>
                <w:color w:val="000000"/>
                <w:sz w:val="24"/>
                <w:szCs w:val="24"/>
                <w:highlight w:val="none"/>
              </w:rPr>
            </w:pPr>
          </w:p>
        </w:tc>
        <w:tc>
          <w:tcPr>
            <w:tcW w:w="679"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单</w:t>
            </w:r>
            <w:r>
              <w:rPr>
                <w:rFonts w:hint="eastAsia" w:ascii="仿宋" w:hAnsi="仿宋" w:eastAsia="仿宋" w:cs="仿宋"/>
                <w:color w:val="000000"/>
                <w:sz w:val="24"/>
                <w:szCs w:val="24"/>
                <w:highlight w:val="none"/>
                <w:lang w:val="en-US" w:eastAsia="zh-CN"/>
              </w:rPr>
              <w:t>位</w:t>
            </w:r>
          </w:p>
        </w:tc>
        <w:tc>
          <w:tcPr>
            <w:tcW w:w="1006" w:type="dxa"/>
            <w:noWrap w:val="0"/>
            <w:vAlign w:val="center"/>
          </w:tcPr>
          <w:p>
            <w:pPr>
              <w:pStyle w:val="71"/>
              <w:widowControl/>
              <w:spacing w:line="36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单价（元）</w:t>
            </w:r>
          </w:p>
        </w:tc>
        <w:tc>
          <w:tcPr>
            <w:tcW w:w="1090" w:type="dxa"/>
            <w:noWrap w:val="0"/>
            <w:vAlign w:val="center"/>
          </w:tcPr>
          <w:p>
            <w:pPr>
              <w:pStyle w:val="71"/>
              <w:widowControl/>
              <w:spacing w:line="360" w:lineRule="auto"/>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数量</w:t>
            </w:r>
          </w:p>
        </w:tc>
        <w:tc>
          <w:tcPr>
            <w:tcW w:w="1490" w:type="dxa"/>
            <w:noWrap w:val="0"/>
            <w:vAlign w:val="center"/>
          </w:tcPr>
          <w:p>
            <w:pPr>
              <w:pStyle w:val="71"/>
              <w:widowControl/>
              <w:spacing w:line="360" w:lineRule="auto"/>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合计金额（元）</w:t>
            </w:r>
          </w:p>
        </w:tc>
        <w:tc>
          <w:tcPr>
            <w:tcW w:w="749" w:type="dxa"/>
            <w:vMerge w:val="continue"/>
            <w:noWrap w:val="0"/>
            <w:vAlign w:val="center"/>
          </w:tcPr>
          <w:p>
            <w:pPr>
              <w:pStyle w:val="71"/>
              <w:widowControl/>
              <w:spacing w:line="360" w:lineRule="auto"/>
              <w:jc w:val="center"/>
              <w:rPr>
                <w:rFonts w:hint="eastAsia" w:ascii="仿宋" w:hAnsi="仿宋" w:eastAsia="仿宋" w:cs="仿宋"/>
                <w:color w:val="00000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590"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p>
        </w:tc>
        <w:tc>
          <w:tcPr>
            <w:tcW w:w="1592"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818"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851"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901"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769"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679"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1006"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1090"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1490"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749"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590"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p>
        </w:tc>
        <w:tc>
          <w:tcPr>
            <w:tcW w:w="1592" w:type="dxa"/>
            <w:noWrap w:val="0"/>
            <w:vAlign w:val="center"/>
          </w:tcPr>
          <w:p>
            <w:pPr>
              <w:pStyle w:val="71"/>
              <w:tabs>
                <w:tab w:val="left" w:pos="1337"/>
              </w:tabs>
              <w:spacing w:line="360" w:lineRule="auto"/>
              <w:jc w:val="center"/>
              <w:rPr>
                <w:rFonts w:hint="eastAsia" w:ascii="仿宋" w:hAnsi="仿宋" w:eastAsia="仿宋" w:cs="仿宋"/>
                <w:color w:val="000000"/>
                <w:sz w:val="21"/>
                <w:szCs w:val="21"/>
                <w:highlight w:val="none"/>
              </w:rPr>
            </w:pPr>
          </w:p>
        </w:tc>
        <w:tc>
          <w:tcPr>
            <w:tcW w:w="818"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851"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901"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769"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679"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1006"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1090"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1490"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749"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590"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w:t>
            </w:r>
          </w:p>
        </w:tc>
        <w:tc>
          <w:tcPr>
            <w:tcW w:w="1592" w:type="dxa"/>
            <w:noWrap w:val="0"/>
            <w:vAlign w:val="center"/>
          </w:tcPr>
          <w:p>
            <w:pPr>
              <w:pStyle w:val="71"/>
              <w:tabs>
                <w:tab w:val="left" w:pos="1337"/>
              </w:tabs>
              <w:spacing w:line="360" w:lineRule="auto"/>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w:t>
            </w:r>
          </w:p>
        </w:tc>
        <w:tc>
          <w:tcPr>
            <w:tcW w:w="818"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851"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901"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769"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679"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1006"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1090"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1490"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749"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590"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1592" w:type="dxa"/>
            <w:noWrap w:val="0"/>
            <w:vAlign w:val="center"/>
          </w:tcPr>
          <w:p>
            <w:pPr>
              <w:pStyle w:val="71"/>
              <w:tabs>
                <w:tab w:val="left" w:pos="1337"/>
              </w:tabs>
              <w:spacing w:line="360" w:lineRule="auto"/>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货物费用小计</w:t>
            </w:r>
          </w:p>
        </w:tc>
        <w:tc>
          <w:tcPr>
            <w:tcW w:w="818"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851"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901"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769"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679"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1006"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1090"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1490"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749"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590"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1592" w:type="dxa"/>
            <w:noWrap w:val="0"/>
            <w:vAlign w:val="center"/>
          </w:tcPr>
          <w:p>
            <w:pPr>
              <w:pStyle w:val="71"/>
              <w:tabs>
                <w:tab w:val="left" w:pos="1337"/>
              </w:tabs>
              <w:spacing w:line="360" w:lineRule="auto"/>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安装调试费用</w:t>
            </w:r>
          </w:p>
        </w:tc>
        <w:tc>
          <w:tcPr>
            <w:tcW w:w="818"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851"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901"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769"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679"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1006"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1090"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1490"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749"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8" w:hRule="atLeast"/>
          <w:jc w:val="center"/>
        </w:trPr>
        <w:tc>
          <w:tcPr>
            <w:tcW w:w="590"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1592" w:type="dxa"/>
            <w:noWrap w:val="0"/>
            <w:vAlign w:val="center"/>
          </w:tcPr>
          <w:p>
            <w:pPr>
              <w:pStyle w:val="71"/>
              <w:tabs>
                <w:tab w:val="left" w:pos="1337"/>
              </w:tabs>
              <w:spacing w:line="360" w:lineRule="auto"/>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维护与技术支持费用</w:t>
            </w:r>
          </w:p>
        </w:tc>
        <w:tc>
          <w:tcPr>
            <w:tcW w:w="818"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851"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901"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769"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679"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1006"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1090"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1490"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749"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590"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1592" w:type="dxa"/>
            <w:noWrap w:val="0"/>
            <w:vAlign w:val="center"/>
          </w:tcPr>
          <w:p>
            <w:pPr>
              <w:pStyle w:val="71"/>
              <w:tabs>
                <w:tab w:val="left" w:pos="1337"/>
              </w:tabs>
              <w:spacing w:line="360" w:lineRule="auto"/>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培训费用</w:t>
            </w:r>
          </w:p>
        </w:tc>
        <w:tc>
          <w:tcPr>
            <w:tcW w:w="818"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851"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901"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769"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679"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1006"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1090"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1490"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749"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590"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1592" w:type="dxa"/>
            <w:noWrap w:val="0"/>
            <w:vAlign w:val="center"/>
          </w:tcPr>
          <w:p>
            <w:pPr>
              <w:pStyle w:val="71"/>
              <w:tabs>
                <w:tab w:val="left" w:pos="1337"/>
              </w:tabs>
              <w:spacing w:line="360" w:lineRule="auto"/>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备品备件费用</w:t>
            </w:r>
          </w:p>
        </w:tc>
        <w:tc>
          <w:tcPr>
            <w:tcW w:w="818"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851"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901"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769"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679"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1006"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1090"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1490"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749"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590"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1592" w:type="dxa"/>
            <w:noWrap w:val="0"/>
            <w:vAlign w:val="center"/>
          </w:tcPr>
          <w:p>
            <w:pPr>
              <w:pStyle w:val="71"/>
              <w:tabs>
                <w:tab w:val="left" w:pos="1337"/>
              </w:tabs>
              <w:spacing w:line="360" w:lineRule="auto"/>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运输与保险费用</w:t>
            </w:r>
          </w:p>
        </w:tc>
        <w:tc>
          <w:tcPr>
            <w:tcW w:w="818"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851"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901"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769"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679"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1006"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1090"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1490"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749"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590"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1592" w:type="dxa"/>
            <w:noWrap w:val="0"/>
            <w:vAlign w:val="center"/>
          </w:tcPr>
          <w:p>
            <w:pPr>
              <w:pStyle w:val="71"/>
              <w:tabs>
                <w:tab w:val="left" w:pos="1337"/>
              </w:tabs>
              <w:spacing w:line="360" w:lineRule="auto"/>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其他</w:t>
            </w:r>
          </w:p>
        </w:tc>
        <w:tc>
          <w:tcPr>
            <w:tcW w:w="818"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851"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901"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769"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679"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1006"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1090"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1490"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749"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590"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1592" w:type="dxa"/>
            <w:noWrap w:val="0"/>
            <w:vAlign w:val="center"/>
          </w:tcPr>
          <w:p>
            <w:pPr>
              <w:pStyle w:val="71"/>
              <w:tabs>
                <w:tab w:val="left" w:pos="1337"/>
              </w:tabs>
              <w:spacing w:line="360" w:lineRule="auto"/>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共</w:t>
            </w:r>
            <w:r>
              <w:rPr>
                <w:rFonts w:hint="eastAsia" w:ascii="仿宋" w:hAnsi="仿宋" w:eastAsia="仿宋" w:cs="仿宋"/>
                <w:color w:val="000000"/>
                <w:sz w:val="21"/>
                <w:szCs w:val="21"/>
                <w:highlight w:val="none"/>
              </w:rPr>
              <w:t>计</w:t>
            </w:r>
          </w:p>
        </w:tc>
        <w:tc>
          <w:tcPr>
            <w:tcW w:w="818"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851"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901"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769"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679"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1006"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1090"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1490"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749"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r>
    </w:tbl>
    <w:p>
      <w:pPr>
        <w:pStyle w:val="71"/>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说明：</w:t>
      </w:r>
      <w:r>
        <w:rPr>
          <w:rFonts w:hint="eastAsia" w:ascii="宋体" w:hAnsi="宋体" w:eastAsia="宋体" w:cs="宋体"/>
          <w:bCs/>
          <w:color w:val="auto"/>
          <w:sz w:val="24"/>
          <w:szCs w:val="24"/>
          <w:highlight w:val="none"/>
        </w:rPr>
        <w:t>投标人必须填写报价明细表，否则将导致投标被拒绝</w:t>
      </w:r>
      <w:bookmarkStart w:id="175" w:name="_Toc8996"/>
    </w:p>
    <w:p>
      <w:pPr>
        <w:pStyle w:val="71"/>
        <w:spacing w:line="360" w:lineRule="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1．所有价格均用人民币表示，单位为元。</w:t>
      </w:r>
      <w:bookmarkEnd w:id="175"/>
    </w:p>
    <w:p>
      <w:pPr>
        <w:pStyle w:val="67"/>
        <w:numPr>
          <w:ilvl w:val="0"/>
          <w:numId w:val="0"/>
        </w:numPr>
        <w:adjustRightInd w:val="0"/>
        <w:snapToGrid w:val="0"/>
        <w:spacing w:line="500" w:lineRule="exact"/>
        <w:ind w:leftChars="0"/>
        <w:outlineLvl w:val="9"/>
        <w:rPr>
          <w:rFonts w:hint="eastAsia" w:ascii="仿宋" w:hAnsi="仿宋" w:eastAsia="仿宋" w:cs="仿宋"/>
          <w:color w:val="auto"/>
          <w:sz w:val="22"/>
          <w:szCs w:val="22"/>
          <w:highlight w:val="none"/>
        </w:rPr>
      </w:pPr>
      <w:bookmarkStart w:id="176" w:name="_Toc22666"/>
      <w:bookmarkStart w:id="177" w:name="_Toc22192"/>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分项报价总计价格必须与《开标一览表》报价一致。</w:t>
      </w:r>
      <w:bookmarkEnd w:id="176"/>
      <w:bookmarkEnd w:id="177"/>
      <w:bookmarkStart w:id="178" w:name="_Toc28058"/>
    </w:p>
    <w:p>
      <w:pPr>
        <w:pStyle w:val="67"/>
        <w:numPr>
          <w:ilvl w:val="0"/>
          <w:numId w:val="0"/>
        </w:numPr>
        <w:adjustRightInd w:val="0"/>
        <w:snapToGrid w:val="0"/>
        <w:spacing w:line="500" w:lineRule="exact"/>
        <w:ind w:leftChars="0"/>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3.</w:t>
      </w:r>
      <w:bookmarkStart w:id="179" w:name="_Toc22415"/>
      <w:r>
        <w:rPr>
          <w:rFonts w:hint="eastAsia" w:ascii="仿宋" w:hAnsi="仿宋" w:eastAsia="仿宋" w:cs="仿宋"/>
          <w:color w:val="auto"/>
          <w:sz w:val="22"/>
          <w:szCs w:val="22"/>
          <w:highlight w:val="none"/>
        </w:rPr>
        <w:t>如果不提供详细的投标分项报价表将被视为没有实质性响应</w:t>
      </w:r>
      <w:r>
        <w:rPr>
          <w:rFonts w:hint="eastAsia" w:ascii="仿宋" w:hAnsi="仿宋" w:eastAsia="仿宋" w:cs="仿宋"/>
          <w:color w:val="auto"/>
          <w:sz w:val="22"/>
          <w:szCs w:val="22"/>
          <w:highlight w:val="none"/>
          <w:lang w:val="en-US" w:eastAsia="zh-CN"/>
        </w:rPr>
        <w:t>招标</w:t>
      </w:r>
      <w:r>
        <w:rPr>
          <w:rFonts w:hint="eastAsia" w:ascii="仿宋" w:hAnsi="仿宋" w:eastAsia="仿宋" w:cs="仿宋"/>
          <w:color w:val="auto"/>
          <w:sz w:val="22"/>
          <w:szCs w:val="22"/>
          <w:highlight w:val="none"/>
        </w:rPr>
        <w:t>文件。</w:t>
      </w:r>
      <w:bookmarkEnd w:id="178"/>
      <w:bookmarkEnd w:id="179"/>
    </w:p>
    <w:p>
      <w:pPr>
        <w:pStyle w:val="67"/>
        <w:adjustRightInd w:val="0"/>
        <w:snapToGrid w:val="0"/>
        <w:spacing w:line="500" w:lineRule="exact"/>
        <w:outlineLvl w:val="9"/>
        <w:rPr>
          <w:rFonts w:hint="eastAsia" w:ascii="仿宋" w:hAnsi="仿宋" w:eastAsia="仿宋" w:cs="仿宋"/>
          <w:color w:val="auto"/>
          <w:sz w:val="22"/>
          <w:szCs w:val="22"/>
          <w:highlight w:val="none"/>
        </w:rPr>
      </w:pPr>
      <w:bookmarkStart w:id="180" w:name="_Toc13998"/>
      <w:bookmarkStart w:id="181" w:name="_Toc16527"/>
      <w:r>
        <w:rPr>
          <w:rFonts w:hint="eastAsia" w:ascii="仿宋" w:hAnsi="仿宋" w:eastAsia="仿宋" w:cs="仿宋"/>
          <w:color w:val="auto"/>
          <w:sz w:val="22"/>
          <w:szCs w:val="22"/>
          <w:highlight w:val="none"/>
        </w:rPr>
        <w:t>4．</w:t>
      </w:r>
      <w:r>
        <w:rPr>
          <w:rFonts w:hint="eastAsia" w:ascii="仿宋" w:hAnsi="仿宋" w:eastAsia="仿宋" w:cs="仿宋"/>
          <w:color w:val="auto"/>
          <w:sz w:val="22"/>
          <w:szCs w:val="22"/>
          <w:highlight w:val="none"/>
          <w:lang w:val="en-US" w:eastAsia="zh-CN"/>
        </w:rPr>
        <w:t>投标人</w:t>
      </w:r>
      <w:r>
        <w:rPr>
          <w:rFonts w:hint="eastAsia" w:ascii="仿宋" w:hAnsi="仿宋" w:eastAsia="仿宋" w:cs="仿宋"/>
          <w:color w:val="auto"/>
          <w:sz w:val="22"/>
          <w:szCs w:val="22"/>
          <w:highlight w:val="none"/>
        </w:rPr>
        <w:t>必须按此表格式中的对应栏目内容填写，若需增加栏目，请在栏目“其它”中填写，并作详细说明。</w:t>
      </w:r>
      <w:bookmarkEnd w:id="180"/>
      <w:bookmarkEnd w:id="181"/>
    </w:p>
    <w:p>
      <w:pPr>
        <w:pStyle w:val="70"/>
        <w:rPr>
          <w:rFonts w:hint="eastAsia" w:ascii="仿宋" w:hAnsi="仿宋" w:eastAsia="仿宋" w:cs="仿宋"/>
          <w:color w:val="auto"/>
          <w:sz w:val="24"/>
          <w:highlight w:val="none"/>
        </w:rPr>
      </w:pPr>
    </w:p>
    <w:p>
      <w:pPr>
        <w:pStyle w:val="70"/>
        <w:ind w:firstLine="5542" w:firstLineChars="23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投标人（</w:t>
      </w:r>
      <w:r>
        <w:rPr>
          <w:rFonts w:hint="eastAsia" w:ascii="仿宋" w:hAnsi="仿宋" w:eastAsia="仿宋" w:cs="仿宋"/>
          <w:b/>
          <w:bCs/>
          <w:color w:val="auto"/>
          <w:sz w:val="24"/>
          <w:highlight w:val="none"/>
          <w:lang w:val="en-US" w:eastAsia="zh-CN"/>
        </w:rPr>
        <w:t>签</w:t>
      </w:r>
      <w:r>
        <w:rPr>
          <w:rFonts w:hint="eastAsia" w:ascii="仿宋" w:hAnsi="仿宋" w:eastAsia="仿宋" w:cs="仿宋"/>
          <w:b/>
          <w:bCs/>
          <w:color w:val="auto"/>
          <w:sz w:val="24"/>
          <w:highlight w:val="none"/>
        </w:rPr>
        <w:t>章）</w:t>
      </w:r>
      <w:r>
        <w:rPr>
          <w:rFonts w:hint="eastAsia" w:ascii="仿宋" w:hAnsi="仿宋" w:eastAsia="仿宋" w:cs="仿宋"/>
          <w:b/>
          <w:bCs/>
          <w:color w:val="auto"/>
          <w:sz w:val="24"/>
          <w:highlight w:val="none"/>
          <w:lang w:eastAsia="zh-CN"/>
        </w:rPr>
        <w:t>:</w:t>
      </w:r>
    </w:p>
    <w:p>
      <w:pPr>
        <w:pStyle w:val="70"/>
        <w:ind w:firstLine="6000" w:firstLineChars="2500"/>
        <w:rPr>
          <w:rFonts w:hint="eastAsia" w:ascii="仿宋" w:hAnsi="仿宋" w:eastAsia="仿宋" w:cs="仿宋"/>
          <w:color w:val="auto"/>
          <w:highlight w:val="none"/>
        </w:rPr>
      </w:pPr>
      <w:r>
        <w:rPr>
          <w:rFonts w:hint="eastAsia" w:ascii="仿宋" w:hAnsi="仿宋" w:eastAsia="仿宋" w:cs="仿宋"/>
          <w:color w:val="auto"/>
          <w:sz w:val="24"/>
          <w:highlight w:val="none"/>
        </w:rPr>
        <w:t>年   月   日</w:t>
      </w:r>
    </w:p>
    <w:p>
      <w:pPr>
        <w:pStyle w:val="6"/>
        <w:outlineLvl w:val="9"/>
        <w:rPr>
          <w:rFonts w:hint="eastAsia"/>
          <w:color w:val="auto"/>
          <w:highlight w:val="none"/>
        </w:rPr>
      </w:pPr>
      <w:r>
        <w:rPr>
          <w:rFonts w:hint="eastAsia" w:ascii="仿宋" w:hAnsi="仿宋" w:eastAsia="仿宋" w:cs="仿宋"/>
          <w:color w:val="auto"/>
          <w:highlight w:val="none"/>
        </w:rPr>
        <w:br w:type="page"/>
      </w:r>
    </w:p>
    <w:p>
      <w:pPr>
        <w:pStyle w:val="72"/>
        <w:ind w:left="0" w:leftChars="0" w:firstLine="0" w:firstLineChars="0"/>
        <w:jc w:val="both"/>
        <w:outlineLvl w:val="1"/>
        <w:rPr>
          <w:rFonts w:hint="eastAsia" w:ascii="仿宋" w:hAnsi="仿宋" w:eastAsia="仿宋" w:cs="仿宋"/>
          <w:color w:val="auto"/>
          <w:kern w:val="2"/>
          <w:highlight w:val="none"/>
        </w:rPr>
      </w:pPr>
      <w:bookmarkStart w:id="182" w:name="_Toc32514"/>
      <w:r>
        <w:rPr>
          <w:rFonts w:hint="eastAsia" w:ascii="仿宋" w:hAnsi="仿宋" w:eastAsia="仿宋" w:cs="仿宋"/>
          <w:color w:val="auto"/>
          <w:kern w:val="2"/>
          <w:highlight w:val="none"/>
          <w:lang w:val="en-US" w:eastAsia="zh-CN"/>
        </w:rPr>
        <w:t>4.</w:t>
      </w:r>
      <w:r>
        <w:rPr>
          <w:rFonts w:hint="eastAsia" w:ascii="仿宋" w:hAnsi="仿宋" w:eastAsia="仿宋" w:cs="仿宋"/>
          <w:color w:val="auto"/>
          <w:kern w:val="2"/>
          <w:highlight w:val="none"/>
        </w:rPr>
        <w:t>监狱企业证明文件（如适用）</w:t>
      </w:r>
      <w:bookmarkEnd w:id="182"/>
    </w:p>
    <w:p>
      <w:pPr>
        <w:pStyle w:val="73"/>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pStyle w:val="73"/>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jc w:val="center"/>
        <w:outlineLvl w:val="9"/>
        <w:rPr>
          <w:rFonts w:hint="eastAsia" w:ascii="仿宋" w:hAnsi="仿宋" w:eastAsia="仿宋" w:cs="仿宋"/>
          <w:b/>
          <w:color w:val="auto"/>
          <w:sz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highlight w:val="none"/>
        </w:rPr>
        <w:t>监狱企业声明函</w:t>
      </w:r>
    </w:p>
    <w:p>
      <w:pPr>
        <w:jc w:val="center"/>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【服务类，监狱企业如需享受优惠政策，还须另行提供省级以上监狱管理局、戒毒管理局（含新疆生产建设兵团）出具的监狱企业证明文件】</w:t>
      </w:r>
    </w:p>
    <w:p>
      <w:pPr>
        <w:ind w:firstLine="420" w:firstLineChars="200"/>
        <w:outlineLvl w:val="9"/>
        <w:rPr>
          <w:rFonts w:hint="eastAsia" w:ascii="仿宋" w:hAnsi="仿宋" w:eastAsia="仿宋" w:cs="仿宋"/>
          <w:color w:val="auto"/>
          <w:szCs w:val="21"/>
          <w:highlight w:val="none"/>
        </w:rPr>
      </w:pPr>
    </w:p>
    <w:p>
      <w:pPr>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本投标人郑重声明，根据《财政部司法部关于政府采购支持监狱企业发展有关问题的通知》（财库〔2014〕68号）的规定，本投标人参加</w:t>
      </w:r>
      <w:r>
        <w:rPr>
          <w:rFonts w:hint="eastAsia" w:ascii="仿宋" w:hAnsi="仿宋" w:eastAsia="仿宋" w:cs="仿宋"/>
          <w:b/>
          <w:bCs/>
          <w:color w:val="auto"/>
          <w:sz w:val="24"/>
          <w:szCs w:val="24"/>
          <w:highlight w:val="none"/>
          <w:u w:val="single"/>
        </w:rPr>
        <w:t>（采购人名称）</w:t>
      </w:r>
      <w:r>
        <w:rPr>
          <w:rFonts w:hint="eastAsia" w:ascii="仿宋" w:hAnsi="仿宋" w:eastAsia="仿宋" w:cs="仿宋"/>
          <w:color w:val="auto"/>
          <w:sz w:val="24"/>
          <w:szCs w:val="24"/>
          <w:highlight w:val="none"/>
        </w:rPr>
        <w:t>的</w:t>
      </w:r>
      <w:r>
        <w:rPr>
          <w:rFonts w:hint="eastAsia" w:ascii="仿宋" w:hAnsi="仿宋" w:eastAsia="仿宋" w:cs="仿宋"/>
          <w:b/>
          <w:bCs/>
          <w:color w:val="auto"/>
          <w:sz w:val="24"/>
          <w:szCs w:val="24"/>
          <w:highlight w:val="none"/>
          <w:u w:val="single"/>
        </w:rPr>
        <w:t>（项目名称）</w:t>
      </w:r>
      <w:r>
        <w:rPr>
          <w:rFonts w:hint="eastAsia" w:ascii="仿宋" w:hAnsi="仿宋" w:eastAsia="仿宋" w:cs="仿宋"/>
          <w:color w:val="auto"/>
          <w:sz w:val="24"/>
          <w:szCs w:val="24"/>
          <w:highlight w:val="none"/>
        </w:rPr>
        <w:t>采购活动，</w:t>
      </w:r>
      <w:r>
        <w:rPr>
          <w:rFonts w:hint="eastAsia" w:ascii="仿宋" w:hAnsi="仿宋" w:eastAsia="仿宋" w:cs="仿宋"/>
          <w:color w:val="auto"/>
          <w:sz w:val="24"/>
          <w:szCs w:val="24"/>
          <w:highlight w:val="none"/>
          <w:lang w:eastAsia="zh-CN"/>
        </w:rPr>
        <w:t>货物</w:t>
      </w:r>
      <w:r>
        <w:rPr>
          <w:rFonts w:hint="eastAsia" w:ascii="仿宋" w:hAnsi="仿宋" w:eastAsia="仿宋" w:cs="仿宋"/>
          <w:color w:val="auto"/>
          <w:sz w:val="24"/>
          <w:szCs w:val="24"/>
          <w:highlight w:val="none"/>
          <w:lang w:val="en-US" w:eastAsia="zh-CN"/>
        </w:rPr>
        <w:t>/施工/</w:t>
      </w:r>
      <w:r>
        <w:rPr>
          <w:rFonts w:hint="eastAsia" w:ascii="仿宋" w:hAnsi="仿宋" w:eastAsia="仿宋" w:cs="仿宋"/>
          <w:color w:val="auto"/>
          <w:sz w:val="24"/>
          <w:szCs w:val="24"/>
          <w:highlight w:val="none"/>
        </w:rPr>
        <w:t>服务全部由符合政策要求的监狱企业承接。相关监狱企业的具体情况如下：</w:t>
      </w:r>
    </w:p>
    <w:p>
      <w:pPr>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
          <w:bCs/>
          <w:color w:val="auto"/>
          <w:sz w:val="24"/>
          <w:szCs w:val="24"/>
          <w:highlight w:val="none"/>
          <w:u w:val="single"/>
        </w:rPr>
        <w:t xml:space="preserve"> （标的名称）</w:t>
      </w:r>
      <w:r>
        <w:rPr>
          <w:rFonts w:hint="eastAsia" w:ascii="仿宋" w:hAnsi="仿宋" w:eastAsia="仿宋" w:cs="仿宋"/>
          <w:color w:val="auto"/>
          <w:sz w:val="24"/>
          <w:szCs w:val="24"/>
          <w:highlight w:val="none"/>
        </w:rPr>
        <w:t>，承接单位为</w:t>
      </w:r>
      <w:r>
        <w:rPr>
          <w:rFonts w:hint="eastAsia" w:ascii="仿宋" w:hAnsi="仿宋" w:eastAsia="仿宋" w:cs="仿宋"/>
          <w:b/>
          <w:bCs/>
          <w:color w:val="auto"/>
          <w:sz w:val="24"/>
          <w:szCs w:val="24"/>
          <w:highlight w:val="none"/>
          <w:u w:val="single"/>
        </w:rPr>
        <w:t>（企业名称）</w:t>
      </w:r>
      <w:r>
        <w:rPr>
          <w:rFonts w:hint="eastAsia" w:ascii="仿宋" w:hAnsi="仿宋" w:eastAsia="仿宋" w:cs="仿宋"/>
          <w:color w:val="auto"/>
          <w:sz w:val="24"/>
          <w:szCs w:val="24"/>
          <w:highlight w:val="none"/>
        </w:rPr>
        <w:t>，属于</w:t>
      </w:r>
      <w:r>
        <w:rPr>
          <w:rFonts w:hint="eastAsia" w:ascii="仿宋" w:hAnsi="仿宋" w:eastAsia="仿宋" w:cs="仿宋"/>
          <w:b/>
          <w:bCs/>
          <w:color w:val="auto"/>
          <w:sz w:val="24"/>
          <w:szCs w:val="24"/>
          <w:highlight w:val="none"/>
          <w:u w:val="single"/>
        </w:rPr>
        <w:t>监狱企业</w:t>
      </w:r>
      <w:r>
        <w:rPr>
          <w:rFonts w:hint="eastAsia" w:ascii="仿宋" w:hAnsi="仿宋" w:eastAsia="仿宋" w:cs="仿宋"/>
          <w:color w:val="auto"/>
          <w:sz w:val="24"/>
          <w:szCs w:val="24"/>
          <w:highlight w:val="none"/>
        </w:rPr>
        <w:t>；</w:t>
      </w:r>
    </w:p>
    <w:p>
      <w:pPr>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b/>
          <w:bCs/>
          <w:color w:val="auto"/>
          <w:sz w:val="24"/>
          <w:szCs w:val="24"/>
          <w:highlight w:val="none"/>
          <w:u w:val="single"/>
        </w:rPr>
        <w:t xml:space="preserve"> （标的名称）</w:t>
      </w:r>
      <w:r>
        <w:rPr>
          <w:rFonts w:hint="eastAsia" w:ascii="仿宋" w:hAnsi="仿宋" w:eastAsia="仿宋" w:cs="仿宋"/>
          <w:color w:val="auto"/>
          <w:sz w:val="24"/>
          <w:szCs w:val="24"/>
          <w:highlight w:val="none"/>
        </w:rPr>
        <w:t>，承接单位为</w:t>
      </w:r>
      <w:r>
        <w:rPr>
          <w:rFonts w:hint="eastAsia" w:ascii="仿宋" w:hAnsi="仿宋" w:eastAsia="仿宋" w:cs="仿宋"/>
          <w:b/>
          <w:bCs/>
          <w:color w:val="auto"/>
          <w:sz w:val="24"/>
          <w:szCs w:val="24"/>
          <w:highlight w:val="none"/>
          <w:u w:val="single"/>
        </w:rPr>
        <w:t>（企业名称）</w:t>
      </w:r>
      <w:r>
        <w:rPr>
          <w:rFonts w:hint="eastAsia" w:ascii="仿宋" w:hAnsi="仿宋" w:eastAsia="仿宋" w:cs="仿宋"/>
          <w:color w:val="auto"/>
          <w:sz w:val="24"/>
          <w:szCs w:val="24"/>
          <w:highlight w:val="none"/>
        </w:rPr>
        <w:t>，属于</w:t>
      </w:r>
      <w:r>
        <w:rPr>
          <w:rFonts w:hint="eastAsia" w:ascii="仿宋" w:hAnsi="仿宋" w:eastAsia="仿宋" w:cs="仿宋"/>
          <w:b/>
          <w:bCs/>
          <w:color w:val="auto"/>
          <w:sz w:val="24"/>
          <w:szCs w:val="24"/>
          <w:highlight w:val="none"/>
          <w:u w:val="single"/>
        </w:rPr>
        <w:t>监狱企业</w:t>
      </w:r>
      <w:r>
        <w:rPr>
          <w:rFonts w:hint="eastAsia" w:ascii="仿宋" w:hAnsi="仿宋" w:eastAsia="仿宋" w:cs="仿宋"/>
          <w:color w:val="auto"/>
          <w:sz w:val="24"/>
          <w:szCs w:val="24"/>
          <w:highlight w:val="none"/>
        </w:rPr>
        <w:t>。</w:t>
      </w:r>
    </w:p>
    <w:p>
      <w:pPr>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本投标人对上述声明内容的真实性负责。如有虚假，将依法承担相应责任。</w:t>
      </w:r>
    </w:p>
    <w:p>
      <w:pPr>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附：省级以上监狱管理局、戒毒管理局（含新疆生产建设兵团）出具的监狱企业证明文件。</w:t>
      </w:r>
    </w:p>
    <w:p>
      <w:pPr>
        <w:spacing w:line="240" w:lineRule="atLeast"/>
        <w:ind w:firstLine="567"/>
        <w:jc w:val="center"/>
        <w:outlineLvl w:val="9"/>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企业名称（盖章）： </w:t>
      </w:r>
    </w:p>
    <w:p>
      <w:pPr>
        <w:spacing w:line="240" w:lineRule="atLeast"/>
        <w:ind w:firstLine="567"/>
        <w:jc w:val="center"/>
        <w:outlineLvl w:val="9"/>
        <w:rPr>
          <w:rFonts w:hint="eastAsia" w:ascii="仿宋" w:hAnsi="仿宋" w:eastAsia="仿宋" w:cs="仿宋"/>
          <w:color w:val="auto"/>
          <w:kern w:val="0"/>
          <w:sz w:val="24"/>
          <w:szCs w:val="20"/>
          <w:highlight w:val="none"/>
          <w:lang w:val="en-US" w:eastAsia="zh-CN"/>
        </w:rPr>
      </w:pPr>
      <w:r>
        <w:rPr>
          <w:rFonts w:hint="eastAsia" w:ascii="仿宋" w:hAnsi="仿宋" w:eastAsia="仿宋" w:cs="仿宋"/>
          <w:color w:val="auto"/>
          <w:kern w:val="0"/>
          <w:sz w:val="24"/>
          <w:szCs w:val="24"/>
          <w:highlight w:val="none"/>
          <w:lang w:val="en-US" w:eastAsia="zh-CN"/>
        </w:rPr>
        <w:t>日 期：</w:t>
      </w:r>
    </w:p>
    <w:p>
      <w:pPr>
        <w:pStyle w:val="32"/>
        <w:spacing w:before="35" w:beforeLines="0"/>
        <w:outlineLvl w:val="9"/>
        <w:rPr>
          <w:rFonts w:hint="eastAsia" w:ascii="仿宋" w:hAnsi="仿宋" w:eastAsia="仿宋" w:cs="仿宋"/>
          <w:color w:val="auto"/>
          <w:sz w:val="24"/>
          <w:highlight w:val="none"/>
          <w:lang w:val="en-US" w:eastAsia="zh-CN"/>
        </w:rPr>
      </w:pPr>
    </w:p>
    <w:p>
      <w:pPr>
        <w:pStyle w:val="73"/>
        <w:outlineLvl w:val="9"/>
        <w:rPr>
          <w:rFonts w:hint="eastAsia" w:ascii="仿宋" w:hAnsi="仿宋" w:eastAsia="仿宋" w:cs="仿宋"/>
          <w:color w:val="auto"/>
          <w:sz w:val="24"/>
          <w:szCs w:val="24"/>
          <w:highlight w:val="none"/>
        </w:rPr>
      </w:pPr>
    </w:p>
    <w:p>
      <w:pPr>
        <w:pStyle w:val="72"/>
        <w:spacing w:line="340" w:lineRule="exact"/>
        <w:ind w:left="0" w:leftChars="0" w:firstLine="0" w:firstLineChars="0"/>
        <w:jc w:val="both"/>
        <w:outlineLvl w:val="1"/>
        <w:rPr>
          <w:rFonts w:hint="eastAsia" w:ascii="仿宋" w:hAnsi="仿宋" w:eastAsia="仿宋" w:cs="仿宋"/>
          <w:color w:val="auto"/>
          <w:kern w:val="2"/>
          <w:highlight w:val="none"/>
        </w:rPr>
      </w:pPr>
      <w:r>
        <w:rPr>
          <w:rFonts w:hint="eastAsia" w:ascii="仿宋" w:hAnsi="仿宋" w:eastAsia="仿宋" w:cs="仿宋"/>
          <w:color w:val="auto"/>
          <w:kern w:val="2"/>
          <w:highlight w:val="none"/>
        </w:rPr>
        <w:br w:type="page"/>
      </w:r>
      <w:bookmarkStart w:id="183" w:name="_Toc4204"/>
      <w:r>
        <w:rPr>
          <w:rFonts w:hint="eastAsia" w:ascii="仿宋" w:hAnsi="仿宋" w:eastAsia="仿宋" w:cs="仿宋"/>
          <w:color w:val="auto"/>
          <w:kern w:val="2"/>
          <w:highlight w:val="none"/>
          <w:lang w:val="en-US" w:eastAsia="zh-CN"/>
        </w:rPr>
        <w:t>5.</w:t>
      </w:r>
      <w:r>
        <w:rPr>
          <w:rFonts w:hint="eastAsia" w:ascii="仿宋" w:hAnsi="仿宋" w:eastAsia="仿宋" w:cs="仿宋"/>
          <w:color w:val="auto"/>
          <w:kern w:val="2"/>
          <w:highlight w:val="none"/>
        </w:rPr>
        <w:t>残疾人福利性单位声明函（如适用）</w:t>
      </w:r>
      <w:bookmarkEnd w:id="183"/>
    </w:p>
    <w:p>
      <w:pPr>
        <w:pStyle w:val="74"/>
        <w:spacing w:before="123" w:beforeLines="0" w:line="340" w:lineRule="exact"/>
        <w:ind w:left="0" w:right="12"/>
        <w:jc w:val="center"/>
        <w:outlineLvl w:val="9"/>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xml:space="preserve"> </w:t>
      </w:r>
    </w:p>
    <w:p>
      <w:pPr>
        <w:pStyle w:val="73"/>
        <w:spacing w:before="84" w:beforeLines="0" w:line="340" w:lineRule="exact"/>
        <w:ind w:left="62" w:right="72"/>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残疾人福利性单位声明函 </w:t>
      </w:r>
    </w:p>
    <w:p>
      <w:pPr>
        <w:pStyle w:val="73"/>
        <w:spacing w:line="3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pStyle w:val="32"/>
        <w:spacing w:before="35" w:beforeLines="0" w:line="340" w:lineRule="exact"/>
        <w:ind w:right="274" w:firstLine="444"/>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本单位郑重声明,根据《财政部民政部中国残疾人联合会关于促进残疾人就业政府 采购政策的通知》（财库〔2017〕141 号）的规定,本单位为符合条件的残疾人福利性单 位,且本单位参加______单位的______项目采购活动提供本单位制造的货物（由本单位承 担工程/提供服务）,或者提供其他残疾人福利性单位制造的货物（不包括使用非残疾人 福利性单位注册商标的货物）。 </w:t>
      </w:r>
    </w:p>
    <w:p>
      <w:pPr>
        <w:pStyle w:val="32"/>
        <w:spacing w:before="46" w:beforeLines="0" w:line="340" w:lineRule="exact"/>
        <w:ind w:right="464" w:firstLine="480" w:firstLineChars="200"/>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本单位对上述声明的真实性负责。如有虚假,将依法承担相应责任。 </w:t>
      </w:r>
    </w:p>
    <w:p>
      <w:pPr>
        <w:pStyle w:val="73"/>
        <w:spacing w:before="10" w:beforeLines="0" w:line="3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pStyle w:val="32"/>
        <w:spacing w:line="340" w:lineRule="exact"/>
        <w:ind w:right="1716"/>
        <w:jc w:val="right"/>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投标人（签章）: </w:t>
      </w:r>
    </w:p>
    <w:p>
      <w:pPr>
        <w:pStyle w:val="32"/>
        <w:spacing w:line="340" w:lineRule="exact"/>
        <w:ind w:right="1728"/>
        <w:jc w:val="right"/>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日 期: </w:t>
      </w:r>
    </w:p>
    <w:p>
      <w:pPr>
        <w:pStyle w:val="73"/>
        <w:spacing w:line="3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pStyle w:val="73"/>
        <w:spacing w:line="3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pStyle w:val="73"/>
        <w:spacing w:before="38" w:beforeLines="0" w:line="340" w:lineRule="exact"/>
        <w:ind w:left="157"/>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备注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享受政府采购支持政策的残疾人福利性单位应当同时满足以下条件</w:t>
      </w:r>
      <w:r>
        <w:rPr>
          <w:rFonts w:hint="eastAsia" w:ascii="仿宋" w:hAnsi="仿宋" w:eastAsia="仿宋" w:cs="仿宋"/>
          <w:color w:val="auto"/>
          <w:sz w:val="24"/>
          <w:szCs w:val="24"/>
          <w:highlight w:val="none"/>
          <w:lang w:eastAsia="zh-CN"/>
        </w:rPr>
        <w:t>:</w:t>
      </w:r>
    </w:p>
    <w:p>
      <w:pPr>
        <w:pStyle w:val="73"/>
        <w:spacing w:before="36" w:beforeLines="0" w:line="340" w:lineRule="exact"/>
        <w:ind w:left="157" w:right="273" w:firstLine="399"/>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（1）安置的残疾人占本单位在职职工人数的比例不低于 25%（含 25%）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并且安置的残疾人 人数不少于 10 人（含 10 人）；</w:t>
      </w:r>
    </w:p>
    <w:p>
      <w:pPr>
        <w:pStyle w:val="73"/>
        <w:spacing w:before="5" w:beforeLines="0" w:line="340" w:lineRule="exact"/>
        <w:ind w:left="557"/>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（2）依法与安置的每位残疾人签订了一年以上（含一年）的劳动合同或服务协议；</w:t>
      </w:r>
    </w:p>
    <w:p>
      <w:pPr>
        <w:pStyle w:val="73"/>
        <w:spacing w:before="21" w:beforeLines="0" w:line="340" w:lineRule="exact"/>
        <w:ind w:left="157" w:right="373" w:firstLine="399"/>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（3）为安置的每位残疾人按月足额缴纳了基本养老保险、基本医疗保险、失业保险、工伤保 险和生育保险等社会保险费；</w:t>
      </w:r>
    </w:p>
    <w:p>
      <w:pPr>
        <w:pStyle w:val="73"/>
        <w:spacing w:before="20" w:beforeLines="0" w:line="340" w:lineRule="exact"/>
        <w:ind w:left="157" w:right="373" w:firstLine="399"/>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（4）通过银行等金融机构向安置的每位残疾人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按月支付了不低于单位所在区县适用的经省 级人民政府批准的月最低工资标准的工资；</w:t>
      </w:r>
    </w:p>
    <w:p>
      <w:pPr>
        <w:pStyle w:val="73"/>
        <w:spacing w:before="20" w:beforeLines="0" w:line="340" w:lineRule="exact"/>
        <w:ind w:left="157" w:right="373" w:firstLine="399"/>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（5）提供本单位制造的货物、承担的工程或者服务（以下简称产品）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或者提供其他残疾人 福利性单位制造的货物（不包括使用非残疾人福利性单位注册商标的货物）。</w:t>
      </w:r>
    </w:p>
    <w:p>
      <w:pPr>
        <w:pStyle w:val="73"/>
        <w:spacing w:before="20" w:beforeLines="0" w:line="340" w:lineRule="exact"/>
        <w:ind w:left="157" w:right="373" w:firstLine="399"/>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前款所称残疾人是指法定劳动年龄内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持有《中华人民共和国残疾人证》或者《中华人民共和 国残疾军人证（1 至 8 级）》的自然人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包括具有劳动条件和劳动意愿的精神残疾人。在职职工人 数是指与残疾人福利性单位建立劳动关系并依法签订劳动合同或者服务协议的雇员人数。</w:t>
      </w:r>
    </w:p>
    <w:p>
      <w:pPr>
        <w:pStyle w:val="75"/>
        <w:ind w:firstLine="560" w:firstLineChars="200"/>
        <w:outlineLvl w:val="9"/>
        <w:rPr>
          <w:rFonts w:hint="eastAsia" w:ascii="仿宋" w:hAnsi="仿宋" w:eastAsia="仿宋" w:cs="仿宋"/>
          <w:color w:val="auto"/>
          <w:highlight w:val="none"/>
        </w:rPr>
      </w:pPr>
    </w:p>
    <w:p>
      <w:pPr>
        <w:pStyle w:val="75"/>
        <w:ind w:firstLine="560" w:firstLineChars="200"/>
        <w:outlineLvl w:val="9"/>
        <w:rPr>
          <w:rFonts w:hint="eastAsia" w:ascii="仿宋" w:hAnsi="仿宋" w:eastAsia="仿宋" w:cs="仿宋"/>
          <w:color w:val="auto"/>
          <w:highlight w:val="none"/>
        </w:rPr>
      </w:pPr>
    </w:p>
    <w:p>
      <w:pPr>
        <w:pStyle w:val="75"/>
        <w:ind w:firstLine="560" w:firstLineChars="200"/>
        <w:outlineLvl w:val="9"/>
        <w:rPr>
          <w:rFonts w:hint="eastAsia" w:ascii="仿宋" w:hAnsi="仿宋" w:eastAsia="仿宋" w:cs="仿宋"/>
          <w:color w:val="auto"/>
          <w:highlight w:val="none"/>
        </w:rPr>
      </w:pPr>
    </w:p>
    <w:p>
      <w:pPr>
        <w:numPr>
          <w:ilvl w:val="0"/>
          <w:numId w:val="0"/>
        </w:numPr>
        <w:tabs>
          <w:tab w:val="left" w:pos="360"/>
          <w:tab w:val="left" w:pos="480"/>
          <w:tab w:val="left" w:pos="1413"/>
        </w:tabs>
        <w:spacing w:line="360" w:lineRule="auto"/>
        <w:outlineLvl w:val="1"/>
        <w:rPr>
          <w:rFonts w:hint="eastAsia" w:ascii="仿宋" w:hAnsi="仿宋" w:eastAsia="仿宋" w:cs="仿宋"/>
          <w:b/>
          <w:kern w:val="0"/>
          <w:sz w:val="32"/>
          <w:szCs w:val="24"/>
          <w:highlight w:val="none"/>
        </w:rPr>
      </w:pPr>
      <w:bookmarkStart w:id="184" w:name="_Toc3355"/>
      <w:r>
        <w:rPr>
          <w:rFonts w:hint="eastAsia" w:ascii="宋体" w:hAnsi="宋体" w:eastAsia="宋体" w:cs="宋体"/>
          <w:b/>
          <w:color w:val="auto"/>
          <w:kern w:val="0"/>
          <w:sz w:val="28"/>
          <w:szCs w:val="28"/>
          <w:highlight w:val="none"/>
          <w:lang w:val="en-US" w:eastAsia="zh-CN" w:bidi="ar-SA"/>
        </w:rPr>
        <w:t>6.</w:t>
      </w:r>
      <w:bookmarkEnd w:id="184"/>
      <w:r>
        <w:rPr>
          <w:rFonts w:hint="eastAsia" w:ascii="仿宋" w:hAnsi="仿宋" w:eastAsia="仿宋" w:cs="仿宋"/>
          <w:b/>
          <w:kern w:val="0"/>
          <w:sz w:val="32"/>
          <w:szCs w:val="24"/>
          <w:highlight w:val="none"/>
        </w:rPr>
        <w:t>中、小微企业声明函（中、小、微型企业产品价格需扣除的须提供）</w:t>
      </w:r>
    </w:p>
    <w:p>
      <w:pPr>
        <w:pStyle w:val="88"/>
        <w:ind w:left="0" w:leftChars="0" w:firstLine="0" w:firstLineChars="0"/>
        <w:jc w:val="center"/>
        <w:outlineLvl w:val="9"/>
        <w:rPr>
          <w:rFonts w:hint="eastAsia" w:ascii="仿宋" w:hAnsi="仿宋" w:eastAsia="仿宋" w:cs="仿宋"/>
          <w:b/>
          <w:bCs/>
          <w:color w:val="auto"/>
          <w:spacing w:val="-2"/>
          <w:kern w:val="2"/>
          <w:sz w:val="24"/>
          <w:szCs w:val="24"/>
          <w:highlight w:val="none"/>
          <w:u w:val="none"/>
          <w:lang w:val="en-US" w:eastAsia="zh-CN"/>
        </w:rPr>
      </w:pPr>
      <w:bookmarkStart w:id="185" w:name="_Toc12536"/>
      <w:bookmarkStart w:id="186" w:name="_Toc16342"/>
      <w:r>
        <w:rPr>
          <w:rFonts w:hint="eastAsia" w:ascii="仿宋" w:hAnsi="仿宋" w:eastAsia="仿宋" w:cs="仿宋"/>
          <w:b/>
          <w:bCs/>
          <w:color w:val="auto"/>
          <w:spacing w:val="-2"/>
          <w:kern w:val="2"/>
          <w:sz w:val="24"/>
          <w:szCs w:val="24"/>
          <w:highlight w:val="none"/>
          <w:u w:val="none"/>
          <w:lang w:val="en-US" w:eastAsia="zh-CN"/>
        </w:rPr>
        <w:t>中小企业声明函（货物）</w:t>
      </w:r>
      <w:bookmarkEnd w:id="185"/>
      <w:bookmarkEnd w:id="186"/>
    </w:p>
    <w:p>
      <w:pPr>
        <w:pStyle w:val="55"/>
        <w:rPr>
          <w:rFonts w:hint="eastAsia" w:ascii="仿宋" w:hAnsi="仿宋" w:eastAsia="仿宋" w:cs="仿宋"/>
          <w:b w:val="0"/>
          <w:bCs w:val="0"/>
          <w:color w:val="auto"/>
          <w:spacing w:val="-2"/>
          <w:kern w:val="2"/>
          <w:sz w:val="24"/>
          <w:szCs w:val="24"/>
          <w:highlight w:val="none"/>
          <w:u w:val="none"/>
          <w:lang w:val="en-US" w:eastAsia="zh-CN"/>
        </w:rPr>
      </w:pPr>
    </w:p>
    <w:p>
      <w:pPr>
        <w:pStyle w:val="55"/>
        <w:spacing w:line="560" w:lineRule="exact"/>
        <w:ind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本公司（联合体）郑重声明，根据《政府采购促进中小企业发展管理办法》（财库﹝2020﹞46 号）的规定，本公司（联合体）参加</w:t>
      </w:r>
      <w:r>
        <w:rPr>
          <w:rFonts w:hint="eastAsia" w:ascii="仿宋" w:hAnsi="仿宋" w:eastAsia="仿宋" w:cs="仿宋"/>
          <w:b w:val="0"/>
          <w:bCs w:val="0"/>
          <w:i/>
          <w:iCs/>
          <w:color w:val="auto"/>
          <w:spacing w:val="-2"/>
          <w:kern w:val="2"/>
          <w:sz w:val="24"/>
          <w:szCs w:val="24"/>
          <w:highlight w:val="none"/>
          <w:u w:val="single"/>
          <w:lang w:val="en-US" w:eastAsia="zh-CN"/>
        </w:rPr>
        <w:t>（单位名称）</w:t>
      </w:r>
      <w:r>
        <w:rPr>
          <w:rFonts w:hint="eastAsia" w:ascii="仿宋" w:hAnsi="仿宋" w:eastAsia="仿宋" w:cs="仿宋"/>
          <w:b w:val="0"/>
          <w:bCs w:val="0"/>
          <w:color w:val="auto"/>
          <w:spacing w:val="-2"/>
          <w:kern w:val="2"/>
          <w:sz w:val="24"/>
          <w:szCs w:val="24"/>
          <w:highlight w:val="none"/>
          <w:u w:val="none"/>
          <w:lang w:val="en-US" w:eastAsia="zh-CN"/>
        </w:rPr>
        <w:t>的</w:t>
      </w:r>
      <w:r>
        <w:rPr>
          <w:rFonts w:hint="eastAsia" w:ascii="仿宋" w:hAnsi="仿宋" w:eastAsia="仿宋" w:cs="仿宋"/>
          <w:b w:val="0"/>
          <w:bCs w:val="0"/>
          <w:color w:val="auto"/>
          <w:spacing w:val="-2"/>
          <w:kern w:val="2"/>
          <w:sz w:val="24"/>
          <w:szCs w:val="24"/>
          <w:highlight w:val="none"/>
          <w:u w:val="single"/>
          <w:lang w:val="en-US" w:eastAsia="zh-CN"/>
        </w:rPr>
        <w:t>（</w:t>
      </w:r>
      <w:r>
        <w:rPr>
          <w:rFonts w:hint="eastAsia" w:ascii="仿宋" w:hAnsi="仿宋" w:eastAsia="仿宋" w:cs="仿宋"/>
          <w:b w:val="0"/>
          <w:bCs w:val="0"/>
          <w:i/>
          <w:iCs/>
          <w:color w:val="auto"/>
          <w:spacing w:val="-2"/>
          <w:kern w:val="2"/>
          <w:sz w:val="24"/>
          <w:szCs w:val="24"/>
          <w:highlight w:val="none"/>
          <w:u w:val="single"/>
          <w:lang w:val="en-US" w:eastAsia="zh-CN"/>
        </w:rPr>
        <w:t>项目名称）</w:t>
      </w:r>
      <w:r>
        <w:rPr>
          <w:rFonts w:hint="eastAsia" w:ascii="仿宋" w:hAnsi="仿宋" w:eastAsia="仿宋" w:cs="仿宋"/>
          <w:b w:val="0"/>
          <w:bCs w:val="0"/>
          <w:color w:val="auto"/>
          <w:spacing w:val="-2"/>
          <w:kern w:val="2"/>
          <w:sz w:val="24"/>
          <w:szCs w:val="24"/>
          <w:highlight w:val="none"/>
          <w:u w:val="none"/>
          <w:lang w:val="en-US" w:eastAsia="zh-CN"/>
        </w:rPr>
        <w:t>采购活动，提供的货物全部由符合政策要求的中小企业制造。相关企业（含联合体中的中小企业、签订分包意向协议的中小企业）的具体情况如下：</w:t>
      </w:r>
    </w:p>
    <w:p>
      <w:pPr>
        <w:pStyle w:val="55"/>
        <w:spacing w:line="560" w:lineRule="exact"/>
        <w:ind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1.</w:t>
      </w:r>
      <w:r>
        <w:rPr>
          <w:rFonts w:hint="eastAsia" w:ascii="仿宋" w:hAnsi="仿宋" w:eastAsia="仿宋" w:cs="仿宋"/>
          <w:b w:val="0"/>
          <w:bCs w:val="0"/>
          <w:i/>
          <w:iCs/>
          <w:color w:val="auto"/>
          <w:spacing w:val="-2"/>
          <w:kern w:val="2"/>
          <w:sz w:val="24"/>
          <w:szCs w:val="24"/>
          <w:highlight w:val="none"/>
          <w:u w:val="single"/>
          <w:lang w:val="en-US" w:eastAsia="zh-CN"/>
        </w:rPr>
        <w:t>（标的名称）</w:t>
      </w:r>
      <w:r>
        <w:rPr>
          <w:rFonts w:hint="eastAsia" w:ascii="仿宋" w:hAnsi="仿宋" w:eastAsia="仿宋" w:cs="仿宋"/>
          <w:b w:val="0"/>
          <w:bCs w:val="0"/>
          <w:color w:val="auto"/>
          <w:spacing w:val="-2"/>
          <w:kern w:val="2"/>
          <w:sz w:val="24"/>
          <w:szCs w:val="24"/>
          <w:highlight w:val="none"/>
          <w:u w:val="none"/>
          <w:lang w:val="en-US" w:eastAsia="zh-CN"/>
        </w:rPr>
        <w:t>，属于</w:t>
      </w:r>
      <w:r>
        <w:rPr>
          <w:rFonts w:hint="eastAsia" w:ascii="仿宋" w:hAnsi="仿宋" w:eastAsia="仿宋" w:cs="仿宋"/>
          <w:b w:val="0"/>
          <w:bCs w:val="0"/>
          <w:i/>
          <w:iCs/>
          <w:color w:val="auto"/>
          <w:spacing w:val="-2"/>
          <w:kern w:val="2"/>
          <w:sz w:val="24"/>
          <w:szCs w:val="24"/>
          <w:highlight w:val="none"/>
          <w:u w:val="single"/>
          <w:lang w:val="en-US" w:eastAsia="zh-CN"/>
        </w:rPr>
        <w:t>（采购文件中明确的所属行业）</w:t>
      </w:r>
      <w:r>
        <w:rPr>
          <w:rFonts w:hint="eastAsia" w:ascii="仿宋" w:hAnsi="仿宋" w:eastAsia="仿宋" w:cs="仿宋"/>
          <w:b w:val="0"/>
          <w:bCs w:val="0"/>
          <w:color w:val="auto"/>
          <w:spacing w:val="-2"/>
          <w:kern w:val="2"/>
          <w:sz w:val="24"/>
          <w:szCs w:val="24"/>
          <w:highlight w:val="none"/>
          <w:u w:val="none"/>
          <w:lang w:val="en-US" w:eastAsia="zh-CN"/>
        </w:rPr>
        <w:t>；制造商为</w:t>
      </w:r>
      <w:r>
        <w:rPr>
          <w:rFonts w:hint="eastAsia" w:ascii="仿宋" w:hAnsi="仿宋" w:eastAsia="仿宋" w:cs="仿宋"/>
          <w:b w:val="0"/>
          <w:bCs w:val="0"/>
          <w:i/>
          <w:iCs/>
          <w:color w:val="auto"/>
          <w:spacing w:val="-2"/>
          <w:kern w:val="2"/>
          <w:sz w:val="24"/>
          <w:szCs w:val="24"/>
          <w:highlight w:val="none"/>
          <w:u w:val="single"/>
          <w:lang w:val="en-US" w:eastAsia="zh-CN"/>
        </w:rPr>
        <w:t>（企业名称）</w:t>
      </w:r>
      <w:r>
        <w:rPr>
          <w:rFonts w:hint="eastAsia" w:ascii="仿宋" w:hAnsi="仿宋" w:eastAsia="仿宋" w:cs="仿宋"/>
          <w:b w:val="0"/>
          <w:bCs w:val="0"/>
          <w:color w:val="auto"/>
          <w:spacing w:val="-2"/>
          <w:kern w:val="2"/>
          <w:sz w:val="24"/>
          <w:szCs w:val="24"/>
          <w:highlight w:val="none"/>
          <w:u w:val="none"/>
          <w:lang w:val="en-US" w:eastAsia="zh-CN"/>
        </w:rPr>
        <w:t>，从业人员</w:t>
      </w:r>
      <w:r>
        <w:rPr>
          <w:rFonts w:hint="eastAsia" w:ascii="仿宋" w:hAnsi="仿宋" w:eastAsia="仿宋" w:cs="仿宋"/>
          <w:b w:val="0"/>
          <w:bCs w:val="0"/>
          <w:color w:val="auto"/>
          <w:spacing w:val="-2"/>
          <w:kern w:val="2"/>
          <w:sz w:val="24"/>
          <w:szCs w:val="24"/>
          <w:highlight w:val="none"/>
          <w:u w:val="single"/>
          <w:lang w:val="en-US" w:eastAsia="zh-CN"/>
        </w:rPr>
        <w:t xml:space="preserve">     </w:t>
      </w:r>
      <w:r>
        <w:rPr>
          <w:rFonts w:hint="eastAsia" w:ascii="仿宋" w:hAnsi="仿宋" w:eastAsia="仿宋" w:cs="仿宋"/>
          <w:b w:val="0"/>
          <w:bCs w:val="0"/>
          <w:color w:val="auto"/>
          <w:spacing w:val="-2"/>
          <w:kern w:val="2"/>
          <w:sz w:val="24"/>
          <w:szCs w:val="24"/>
          <w:highlight w:val="none"/>
          <w:u w:val="none"/>
          <w:lang w:val="en-US" w:eastAsia="zh-CN"/>
        </w:rPr>
        <w:t>人，营业收入为</w:t>
      </w:r>
      <w:r>
        <w:rPr>
          <w:rFonts w:hint="eastAsia" w:ascii="仿宋" w:hAnsi="仿宋" w:eastAsia="仿宋" w:cs="仿宋"/>
          <w:b w:val="0"/>
          <w:bCs w:val="0"/>
          <w:color w:val="auto"/>
          <w:spacing w:val="-2"/>
          <w:kern w:val="2"/>
          <w:sz w:val="24"/>
          <w:szCs w:val="24"/>
          <w:highlight w:val="none"/>
          <w:u w:val="single"/>
          <w:lang w:val="en-US" w:eastAsia="zh-CN"/>
        </w:rPr>
        <w:t xml:space="preserve">     </w:t>
      </w:r>
      <w:r>
        <w:rPr>
          <w:rFonts w:hint="eastAsia" w:ascii="仿宋" w:hAnsi="仿宋" w:eastAsia="仿宋" w:cs="仿宋"/>
          <w:b w:val="0"/>
          <w:bCs w:val="0"/>
          <w:color w:val="auto"/>
          <w:spacing w:val="-2"/>
          <w:kern w:val="2"/>
          <w:sz w:val="24"/>
          <w:szCs w:val="24"/>
          <w:highlight w:val="none"/>
          <w:u w:val="none"/>
          <w:lang w:val="en-US" w:eastAsia="zh-CN"/>
        </w:rPr>
        <w:t>万元，资产总额为</w:t>
      </w:r>
      <w:r>
        <w:rPr>
          <w:rFonts w:hint="eastAsia" w:ascii="仿宋" w:hAnsi="仿宋" w:eastAsia="仿宋" w:cs="仿宋"/>
          <w:b w:val="0"/>
          <w:bCs w:val="0"/>
          <w:color w:val="auto"/>
          <w:spacing w:val="-2"/>
          <w:kern w:val="2"/>
          <w:sz w:val="24"/>
          <w:szCs w:val="24"/>
          <w:highlight w:val="none"/>
          <w:u w:val="single"/>
          <w:lang w:val="en-US" w:eastAsia="zh-CN"/>
        </w:rPr>
        <w:t xml:space="preserve">      </w:t>
      </w:r>
      <w:r>
        <w:rPr>
          <w:rFonts w:hint="eastAsia" w:ascii="仿宋" w:hAnsi="仿宋" w:eastAsia="仿宋" w:cs="仿宋"/>
          <w:b w:val="0"/>
          <w:bCs w:val="0"/>
          <w:color w:val="auto"/>
          <w:spacing w:val="-2"/>
          <w:kern w:val="2"/>
          <w:sz w:val="24"/>
          <w:szCs w:val="24"/>
          <w:highlight w:val="none"/>
          <w:u w:val="none"/>
          <w:lang w:val="en-US" w:eastAsia="zh-CN"/>
        </w:rPr>
        <w:t>万元，属于</w:t>
      </w:r>
      <w:r>
        <w:rPr>
          <w:rFonts w:hint="eastAsia" w:ascii="仿宋" w:hAnsi="仿宋" w:eastAsia="仿宋" w:cs="仿宋"/>
          <w:b w:val="0"/>
          <w:bCs w:val="0"/>
          <w:i/>
          <w:iCs/>
          <w:color w:val="auto"/>
          <w:spacing w:val="-2"/>
          <w:kern w:val="2"/>
          <w:sz w:val="24"/>
          <w:szCs w:val="24"/>
          <w:highlight w:val="none"/>
          <w:u w:val="single"/>
          <w:lang w:val="en-US" w:eastAsia="zh-CN"/>
        </w:rPr>
        <w:t>（中型企业、小型企业、微型企业）</w:t>
      </w:r>
      <w:r>
        <w:rPr>
          <w:rFonts w:hint="eastAsia" w:ascii="仿宋" w:hAnsi="仿宋" w:eastAsia="仿宋" w:cs="仿宋"/>
          <w:b w:val="0"/>
          <w:bCs w:val="0"/>
          <w:color w:val="auto"/>
          <w:spacing w:val="-2"/>
          <w:kern w:val="2"/>
          <w:sz w:val="24"/>
          <w:szCs w:val="24"/>
          <w:highlight w:val="none"/>
          <w:u w:val="none"/>
          <w:lang w:val="en-US" w:eastAsia="zh-CN"/>
        </w:rPr>
        <w:t>；</w:t>
      </w:r>
    </w:p>
    <w:p>
      <w:pPr>
        <w:pStyle w:val="55"/>
        <w:spacing w:line="560" w:lineRule="exact"/>
        <w:ind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2.</w:t>
      </w:r>
      <w:r>
        <w:rPr>
          <w:rFonts w:hint="eastAsia" w:ascii="仿宋" w:hAnsi="仿宋" w:eastAsia="仿宋" w:cs="仿宋"/>
          <w:b w:val="0"/>
          <w:bCs w:val="0"/>
          <w:i/>
          <w:iCs/>
          <w:color w:val="auto"/>
          <w:spacing w:val="-2"/>
          <w:kern w:val="2"/>
          <w:sz w:val="24"/>
          <w:szCs w:val="24"/>
          <w:highlight w:val="none"/>
          <w:u w:val="single"/>
          <w:lang w:val="en-US" w:eastAsia="zh-CN"/>
        </w:rPr>
        <w:t>（标的名称）</w:t>
      </w:r>
      <w:r>
        <w:rPr>
          <w:rFonts w:hint="eastAsia" w:ascii="仿宋" w:hAnsi="仿宋" w:eastAsia="仿宋" w:cs="仿宋"/>
          <w:b w:val="0"/>
          <w:bCs w:val="0"/>
          <w:color w:val="auto"/>
          <w:spacing w:val="-2"/>
          <w:kern w:val="2"/>
          <w:sz w:val="24"/>
          <w:szCs w:val="24"/>
          <w:highlight w:val="none"/>
          <w:u w:val="none"/>
          <w:lang w:val="en-US" w:eastAsia="zh-CN"/>
        </w:rPr>
        <w:t>，属于</w:t>
      </w:r>
      <w:r>
        <w:rPr>
          <w:rFonts w:hint="eastAsia" w:ascii="仿宋" w:hAnsi="仿宋" w:eastAsia="仿宋" w:cs="仿宋"/>
          <w:b w:val="0"/>
          <w:bCs w:val="0"/>
          <w:i/>
          <w:iCs/>
          <w:color w:val="auto"/>
          <w:spacing w:val="-2"/>
          <w:kern w:val="2"/>
          <w:sz w:val="24"/>
          <w:szCs w:val="24"/>
          <w:highlight w:val="none"/>
          <w:u w:val="single"/>
          <w:lang w:val="en-US" w:eastAsia="zh-CN"/>
        </w:rPr>
        <w:t>（采购文件中明确的所属行业）</w:t>
      </w:r>
      <w:r>
        <w:rPr>
          <w:rFonts w:hint="eastAsia" w:ascii="仿宋" w:hAnsi="仿宋" w:eastAsia="仿宋" w:cs="仿宋"/>
          <w:b w:val="0"/>
          <w:bCs w:val="0"/>
          <w:color w:val="auto"/>
          <w:spacing w:val="-2"/>
          <w:kern w:val="2"/>
          <w:sz w:val="24"/>
          <w:szCs w:val="24"/>
          <w:highlight w:val="none"/>
          <w:u w:val="none"/>
          <w:lang w:val="en-US" w:eastAsia="zh-CN"/>
        </w:rPr>
        <w:t>；制造商为</w:t>
      </w:r>
      <w:r>
        <w:rPr>
          <w:rFonts w:hint="eastAsia" w:ascii="仿宋" w:hAnsi="仿宋" w:eastAsia="仿宋" w:cs="仿宋"/>
          <w:b w:val="0"/>
          <w:bCs w:val="0"/>
          <w:i/>
          <w:iCs/>
          <w:color w:val="auto"/>
          <w:spacing w:val="-2"/>
          <w:kern w:val="2"/>
          <w:sz w:val="24"/>
          <w:szCs w:val="24"/>
          <w:highlight w:val="none"/>
          <w:u w:val="single"/>
          <w:lang w:val="en-US" w:eastAsia="zh-CN"/>
        </w:rPr>
        <w:t>（企业名称）</w:t>
      </w:r>
      <w:r>
        <w:rPr>
          <w:rFonts w:hint="eastAsia" w:ascii="仿宋" w:hAnsi="仿宋" w:eastAsia="仿宋" w:cs="仿宋"/>
          <w:b w:val="0"/>
          <w:bCs w:val="0"/>
          <w:color w:val="auto"/>
          <w:spacing w:val="-2"/>
          <w:kern w:val="2"/>
          <w:sz w:val="24"/>
          <w:szCs w:val="24"/>
          <w:highlight w:val="none"/>
          <w:u w:val="none"/>
          <w:lang w:val="en-US" w:eastAsia="zh-CN"/>
        </w:rPr>
        <w:t>，从业人员</w:t>
      </w:r>
      <w:r>
        <w:rPr>
          <w:rFonts w:hint="eastAsia" w:ascii="仿宋" w:hAnsi="仿宋" w:eastAsia="仿宋" w:cs="仿宋"/>
          <w:b w:val="0"/>
          <w:bCs w:val="0"/>
          <w:color w:val="auto"/>
          <w:spacing w:val="-2"/>
          <w:kern w:val="2"/>
          <w:sz w:val="24"/>
          <w:szCs w:val="24"/>
          <w:highlight w:val="none"/>
          <w:u w:val="single"/>
          <w:lang w:val="en-US" w:eastAsia="zh-CN"/>
        </w:rPr>
        <w:t xml:space="preserve">     </w:t>
      </w:r>
      <w:r>
        <w:rPr>
          <w:rFonts w:hint="eastAsia" w:ascii="仿宋" w:hAnsi="仿宋" w:eastAsia="仿宋" w:cs="仿宋"/>
          <w:b w:val="0"/>
          <w:bCs w:val="0"/>
          <w:color w:val="auto"/>
          <w:spacing w:val="-2"/>
          <w:kern w:val="2"/>
          <w:sz w:val="24"/>
          <w:szCs w:val="24"/>
          <w:highlight w:val="none"/>
          <w:u w:val="none"/>
          <w:lang w:val="en-US" w:eastAsia="zh-CN"/>
        </w:rPr>
        <w:t>人，营业收入为</w:t>
      </w:r>
      <w:r>
        <w:rPr>
          <w:rFonts w:hint="eastAsia" w:ascii="仿宋" w:hAnsi="仿宋" w:eastAsia="仿宋" w:cs="仿宋"/>
          <w:b w:val="0"/>
          <w:bCs w:val="0"/>
          <w:color w:val="auto"/>
          <w:spacing w:val="-2"/>
          <w:kern w:val="2"/>
          <w:sz w:val="24"/>
          <w:szCs w:val="24"/>
          <w:highlight w:val="none"/>
          <w:u w:val="single"/>
          <w:lang w:val="en-US" w:eastAsia="zh-CN"/>
        </w:rPr>
        <w:t xml:space="preserve">     </w:t>
      </w:r>
      <w:r>
        <w:rPr>
          <w:rFonts w:hint="eastAsia" w:ascii="仿宋" w:hAnsi="仿宋" w:eastAsia="仿宋" w:cs="仿宋"/>
          <w:b w:val="0"/>
          <w:bCs w:val="0"/>
          <w:color w:val="auto"/>
          <w:spacing w:val="-2"/>
          <w:kern w:val="2"/>
          <w:sz w:val="24"/>
          <w:szCs w:val="24"/>
          <w:highlight w:val="none"/>
          <w:u w:val="none"/>
          <w:lang w:val="en-US" w:eastAsia="zh-CN"/>
        </w:rPr>
        <w:t>万元，资产总额为</w:t>
      </w:r>
      <w:r>
        <w:rPr>
          <w:rFonts w:hint="eastAsia" w:ascii="仿宋" w:hAnsi="仿宋" w:eastAsia="仿宋" w:cs="仿宋"/>
          <w:b w:val="0"/>
          <w:bCs w:val="0"/>
          <w:color w:val="auto"/>
          <w:spacing w:val="-2"/>
          <w:kern w:val="2"/>
          <w:sz w:val="24"/>
          <w:szCs w:val="24"/>
          <w:highlight w:val="none"/>
          <w:u w:val="single"/>
          <w:lang w:val="en-US" w:eastAsia="zh-CN"/>
        </w:rPr>
        <w:t xml:space="preserve">      </w:t>
      </w:r>
      <w:r>
        <w:rPr>
          <w:rFonts w:hint="eastAsia" w:ascii="仿宋" w:hAnsi="仿宋" w:eastAsia="仿宋" w:cs="仿宋"/>
          <w:b w:val="0"/>
          <w:bCs w:val="0"/>
          <w:color w:val="auto"/>
          <w:spacing w:val="-2"/>
          <w:kern w:val="2"/>
          <w:sz w:val="24"/>
          <w:szCs w:val="24"/>
          <w:highlight w:val="none"/>
          <w:u w:val="none"/>
          <w:lang w:val="en-US" w:eastAsia="zh-CN"/>
        </w:rPr>
        <w:t>万元，属于</w:t>
      </w:r>
      <w:r>
        <w:rPr>
          <w:rFonts w:hint="eastAsia" w:ascii="仿宋" w:hAnsi="仿宋" w:eastAsia="仿宋" w:cs="仿宋"/>
          <w:b w:val="0"/>
          <w:bCs w:val="0"/>
          <w:i/>
          <w:iCs/>
          <w:color w:val="auto"/>
          <w:spacing w:val="-2"/>
          <w:kern w:val="2"/>
          <w:sz w:val="24"/>
          <w:szCs w:val="24"/>
          <w:highlight w:val="none"/>
          <w:u w:val="single"/>
          <w:lang w:val="en-US" w:eastAsia="zh-CN"/>
        </w:rPr>
        <w:t>（中型企业、小型企业、微型企业）</w:t>
      </w:r>
      <w:r>
        <w:rPr>
          <w:rFonts w:hint="eastAsia" w:ascii="仿宋" w:hAnsi="仿宋" w:eastAsia="仿宋" w:cs="仿宋"/>
          <w:b w:val="0"/>
          <w:bCs w:val="0"/>
          <w:color w:val="auto"/>
          <w:spacing w:val="-2"/>
          <w:kern w:val="2"/>
          <w:sz w:val="24"/>
          <w:szCs w:val="24"/>
          <w:highlight w:val="none"/>
          <w:u w:val="none"/>
          <w:lang w:val="en-US" w:eastAsia="zh-CN"/>
        </w:rPr>
        <w:t>；</w:t>
      </w:r>
    </w:p>
    <w:p>
      <w:pPr>
        <w:pStyle w:val="30"/>
        <w:spacing w:line="560" w:lineRule="exact"/>
        <w:ind w:firstLine="236" w:firstLineChars="1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 xml:space="preserve"> ......</w:t>
      </w:r>
    </w:p>
    <w:p>
      <w:pPr>
        <w:pStyle w:val="55"/>
        <w:spacing w:line="560" w:lineRule="exact"/>
        <w:ind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以上企业，不属于大企业的分支机构，不存在控股股东为大企业的情形，也不存在与大企业的负责人为同一人的情形。</w:t>
      </w:r>
    </w:p>
    <w:p>
      <w:pPr>
        <w:pStyle w:val="55"/>
        <w:spacing w:line="560" w:lineRule="exact"/>
        <w:ind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本企业对上述声明内容的真实性负责。如有虚假，将依 法承担相应责任。</w:t>
      </w:r>
    </w:p>
    <w:p>
      <w:pPr>
        <w:pStyle w:val="30"/>
        <w:spacing w:before="35" w:beforeLines="0" w:line="314" w:lineRule="auto"/>
        <w:ind w:right="2166"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 xml:space="preserve">                         </w:t>
      </w:r>
    </w:p>
    <w:p>
      <w:pPr>
        <w:pStyle w:val="30"/>
        <w:spacing w:before="35" w:beforeLines="0" w:line="314" w:lineRule="auto"/>
        <w:ind w:right="2166"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p>
    <w:p>
      <w:pPr>
        <w:pStyle w:val="30"/>
        <w:spacing w:before="35" w:beforeLines="0" w:line="314" w:lineRule="auto"/>
        <w:ind w:right="2166" w:firstLine="472" w:firstLineChars="200"/>
        <w:jc w:val="right"/>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企业名称（盖章）：</w:t>
      </w:r>
    </w:p>
    <w:p>
      <w:pPr>
        <w:pStyle w:val="38"/>
        <w:spacing w:line="520" w:lineRule="exact"/>
        <w:ind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 xml:space="preserve">                                    日期：</w:t>
      </w:r>
    </w:p>
    <w:p>
      <w:pPr>
        <w:pStyle w:val="30"/>
        <w:spacing w:before="35" w:line="316" w:lineRule="auto"/>
        <w:ind w:right="2166"/>
        <w:outlineLvl w:val="9"/>
        <w:rPr>
          <w:rFonts w:hint="eastAsia" w:ascii="仿宋" w:hAnsi="仿宋" w:eastAsia="仿宋" w:cs="仿宋"/>
          <w:color w:val="auto"/>
          <w:sz w:val="24"/>
          <w:szCs w:val="24"/>
          <w:highlight w:val="none"/>
        </w:rPr>
      </w:pPr>
    </w:p>
    <w:p>
      <w:pPr>
        <w:pStyle w:val="6"/>
        <w:outlineLvl w:val="9"/>
        <w:rPr>
          <w:rFonts w:hint="eastAsia"/>
          <w:color w:val="auto"/>
          <w:highlight w:val="none"/>
        </w:rPr>
      </w:pPr>
    </w:p>
    <w:p>
      <w:pPr>
        <w:pStyle w:val="65"/>
        <w:spacing w:line="360" w:lineRule="auto"/>
        <w:outlineLvl w:val="9"/>
        <w:rPr>
          <w:rFonts w:hint="eastAsia" w:ascii="仿宋" w:hAnsi="仿宋" w:eastAsia="仿宋" w:cs="仿宋"/>
          <w:b/>
          <w:bCs/>
          <w:color w:val="auto"/>
          <w:sz w:val="24"/>
          <w:szCs w:val="24"/>
          <w:highlight w:val="none"/>
          <w:lang w:eastAsia="zh-CN"/>
        </w:rPr>
      </w:pPr>
      <w:bookmarkStart w:id="187" w:name="_Toc15641"/>
      <w:r>
        <w:rPr>
          <w:rFonts w:hint="eastAsia" w:ascii="仿宋" w:hAnsi="仿宋" w:eastAsia="仿宋" w:cs="仿宋"/>
          <w:b/>
          <w:bCs/>
          <w:color w:val="auto"/>
          <w:sz w:val="24"/>
          <w:szCs w:val="24"/>
          <w:highlight w:val="none"/>
          <w:lang w:val="en-US" w:eastAsia="zh-CN"/>
        </w:rPr>
        <w:t>注：</w:t>
      </w:r>
      <w:r>
        <w:rPr>
          <w:rFonts w:hint="eastAsia" w:ascii="仿宋" w:hAnsi="仿宋" w:eastAsia="仿宋" w:cs="仿宋"/>
          <w:b/>
          <w:bCs/>
          <w:color w:val="auto"/>
          <w:sz w:val="24"/>
          <w:szCs w:val="24"/>
          <w:highlight w:val="none"/>
        </w:rPr>
        <w:t>从业人员、营业收入</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资产</w:t>
      </w:r>
      <w:r>
        <w:rPr>
          <w:rFonts w:hint="eastAsia" w:ascii="仿宋" w:hAnsi="仿宋" w:eastAsia="仿宋" w:cs="仿宋"/>
          <w:b/>
          <w:bCs/>
          <w:color w:val="auto"/>
          <w:sz w:val="24"/>
          <w:szCs w:val="24"/>
          <w:highlight w:val="none"/>
          <w:lang w:val="en-US" w:eastAsia="zh-CN"/>
        </w:rPr>
        <w:t>总额</w:t>
      </w:r>
      <w:r>
        <w:rPr>
          <w:rFonts w:hint="eastAsia" w:ascii="仿宋" w:hAnsi="仿宋" w:eastAsia="仿宋" w:cs="仿宋"/>
          <w:b/>
          <w:bCs/>
          <w:color w:val="auto"/>
          <w:sz w:val="24"/>
          <w:szCs w:val="24"/>
          <w:highlight w:val="none"/>
        </w:rPr>
        <w:t>填报上一年度</w:t>
      </w:r>
      <w:r>
        <w:rPr>
          <w:rFonts w:hint="eastAsia" w:ascii="仿宋" w:hAnsi="仿宋" w:eastAsia="仿宋" w:cs="仿宋"/>
          <w:b/>
          <w:bCs/>
          <w:color w:val="auto"/>
          <w:sz w:val="24"/>
          <w:szCs w:val="24"/>
          <w:highlight w:val="none"/>
          <w:lang w:val="en-US" w:eastAsia="zh-CN"/>
        </w:rPr>
        <w:t>数据</w:t>
      </w:r>
      <w:bookmarkEnd w:id="187"/>
      <w:r>
        <w:rPr>
          <w:rFonts w:hint="eastAsia" w:ascii="仿宋" w:hAnsi="仿宋" w:eastAsia="仿宋" w:cs="仿宋"/>
          <w:b/>
          <w:bCs/>
          <w:color w:val="auto"/>
          <w:sz w:val="24"/>
          <w:szCs w:val="24"/>
          <w:highlight w:val="none"/>
          <w:lang w:val="en-US" w:eastAsia="zh-CN"/>
        </w:rPr>
        <w:t>。</w:t>
      </w:r>
    </w:p>
    <w:p>
      <w:pPr>
        <w:pStyle w:val="65"/>
        <w:spacing w:line="360" w:lineRule="auto"/>
        <w:ind w:firstLine="482" w:firstLineChars="200"/>
        <w:outlineLvl w:val="9"/>
        <w:rPr>
          <w:rFonts w:hint="eastAsia" w:ascii="仿宋" w:hAnsi="仿宋" w:eastAsia="仿宋" w:cs="仿宋"/>
          <w:b/>
          <w:bCs/>
          <w:color w:val="auto"/>
          <w:kern w:val="2"/>
          <w:sz w:val="24"/>
          <w:szCs w:val="24"/>
          <w:highlight w:val="none"/>
          <w:lang w:val="en-US" w:eastAsia="zh-CN"/>
        </w:rPr>
      </w:pPr>
    </w:p>
    <w:p>
      <w:pPr>
        <w:pStyle w:val="65"/>
        <w:spacing w:line="360" w:lineRule="auto"/>
        <w:ind w:firstLine="482" w:firstLineChars="200"/>
        <w:outlineLvl w:val="9"/>
        <w:rPr>
          <w:rFonts w:hint="eastAsia" w:ascii="仿宋" w:hAnsi="仿宋" w:eastAsia="仿宋" w:cs="仿宋"/>
          <w:b/>
          <w:bCs/>
          <w:color w:val="auto"/>
          <w:kern w:val="2"/>
          <w:sz w:val="24"/>
          <w:szCs w:val="24"/>
          <w:highlight w:val="none"/>
          <w:lang w:val="en-US" w:eastAsia="zh-CN"/>
        </w:rPr>
      </w:pPr>
    </w:p>
    <w:p>
      <w:pPr>
        <w:pStyle w:val="65"/>
        <w:spacing w:line="360" w:lineRule="auto"/>
        <w:ind w:firstLine="482" w:firstLineChars="200"/>
        <w:outlineLvl w:val="9"/>
        <w:rPr>
          <w:rFonts w:hint="eastAsia" w:ascii="仿宋" w:hAnsi="仿宋" w:eastAsia="仿宋" w:cs="仿宋"/>
          <w:b/>
          <w:bCs/>
          <w:color w:val="auto"/>
          <w:kern w:val="2"/>
          <w:sz w:val="24"/>
          <w:szCs w:val="24"/>
          <w:highlight w:val="none"/>
          <w:lang w:val="en-US" w:eastAsia="zh-CN"/>
        </w:rPr>
      </w:pPr>
    </w:p>
    <w:p>
      <w:pPr>
        <w:pStyle w:val="65"/>
        <w:spacing w:line="360" w:lineRule="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中小企业声明函“注释”：</w:t>
      </w:r>
    </w:p>
    <w:p>
      <w:pPr>
        <w:pStyle w:val="65"/>
        <w:spacing w:line="360" w:lineRule="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1.《中小企业声明函》由参加政府采购活动的投标人出具；组成联合体的，由联合体的一方或者各方共同出具；合同分包的，由参加政府采购活动的投标人（主承包商）出具。</w:t>
      </w:r>
    </w:p>
    <w:p>
      <w:pPr>
        <w:pStyle w:val="65"/>
        <w:spacing w:line="360" w:lineRule="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2.相关企业的具体情况：提供的货物、承建工程、承接服务的中小企业的具体情况（包括联合体中的中小企业、签订分包意向协议的中小企业）。</w:t>
      </w:r>
    </w:p>
    <w:p>
      <w:pPr>
        <w:pStyle w:val="65"/>
        <w:spacing w:line="360" w:lineRule="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对于联合体中由中小企业承担的部分，或者分包给中小企业的部分，必须全部由中小企业制造、承建或者承接；投标人应当在声明函“项目名称”部分标明联合体中中小企业承担的具体内容或者中小企业的具体分包内容。</w:t>
      </w:r>
    </w:p>
    <w:p>
      <w:pPr>
        <w:pStyle w:val="65"/>
        <w:spacing w:line="360" w:lineRule="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（2）要求或接受联合体形式，或者要求或允许合同分包的，还应当提供联合体协议或者合同分包意向协议，该协议应标明联合体中中小企业承担的具体内容或者中小企业的具体分包内容。</w:t>
      </w:r>
    </w:p>
    <w:p>
      <w:pPr>
        <w:pStyle w:val="65"/>
        <w:spacing w:line="360" w:lineRule="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（3）“相关企业”信息为上一年度数据，无上一年度数据的新成立企业可不填。</w:t>
      </w:r>
    </w:p>
    <w:p>
      <w:pPr>
        <w:pStyle w:val="65"/>
        <w:spacing w:line="360" w:lineRule="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新成立的企业参照国务院批准的中小企业划分标准，根据企业自身情况如实判断，认为本企业属于中小企业的，可按照《政府采购促进中小企业发展管理办法》（财库〔2020〕46号）、关于进一步加大政府采购支持中小企业力度的通知（财库〔2022〕19号）的规定出具的《中小企业声明函》，享受相关扶持政策。</w:t>
      </w:r>
    </w:p>
    <w:p>
      <w:pPr>
        <w:pStyle w:val="65"/>
        <w:spacing w:line="360" w:lineRule="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（4）如果一个采购项目涉及多个采购标的的，应当按招标文件规定逐一填写所有采购标的对应的相关企业具体情况，并判断该企业类型。</w:t>
      </w:r>
    </w:p>
    <w:p>
      <w:pPr>
        <w:pStyle w:val="65"/>
        <w:spacing w:line="360" w:lineRule="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（5）招标文件规定：采购项目属性、采购标的对应的中小企业划分标准所属行业。</w:t>
      </w:r>
    </w:p>
    <w:p>
      <w:pPr>
        <w:pStyle w:val="65"/>
        <w:spacing w:line="360" w:lineRule="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按照《中小企业划分标准规定》（工信部联合企业〔2011〕300号）中十六个行业对应。</w:t>
      </w:r>
    </w:p>
    <w:p>
      <w:pPr>
        <w:pStyle w:val="65"/>
        <w:spacing w:line="360" w:lineRule="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3.除了需要投标人应该填写的内容外，不得随意修改或删除中小企业声明函中的其他任何内容。</w:t>
      </w:r>
    </w:p>
    <w:p>
      <w:pPr>
        <w:pStyle w:val="16"/>
        <w:keepNext w:val="0"/>
        <w:keepLines w:val="0"/>
        <w:widowControl/>
        <w:suppressLineNumbers w:val="0"/>
        <w:jc w:val="center"/>
        <w:rPr>
          <w:rStyle w:val="22"/>
          <w:sz w:val="36"/>
          <w:szCs w:val="36"/>
        </w:rPr>
      </w:pPr>
    </w:p>
    <w:p>
      <w:pPr>
        <w:pStyle w:val="16"/>
        <w:keepNext w:val="0"/>
        <w:keepLines w:val="0"/>
        <w:widowControl/>
        <w:suppressLineNumbers w:val="0"/>
        <w:jc w:val="center"/>
        <w:rPr>
          <w:rStyle w:val="22"/>
          <w:sz w:val="36"/>
          <w:szCs w:val="36"/>
        </w:rPr>
      </w:pPr>
    </w:p>
    <w:p>
      <w:pPr>
        <w:pStyle w:val="75"/>
        <w:outlineLvl w:val="9"/>
        <w:rPr>
          <w:rFonts w:hint="eastAsia" w:ascii="仿宋" w:hAnsi="仿宋" w:eastAsia="仿宋" w:cs="仿宋"/>
          <w:b/>
          <w:bCs/>
          <w:sz w:val="24"/>
          <w:szCs w:val="24"/>
          <w:lang w:eastAsia="zh-CN"/>
        </w:rPr>
      </w:pPr>
      <w:r>
        <w:rPr>
          <w:rFonts w:hint="eastAsia" w:ascii="仿宋" w:hAnsi="仿宋" w:eastAsia="仿宋" w:cs="仿宋"/>
          <w:b/>
          <w:bCs/>
          <w:sz w:val="24"/>
          <w:szCs w:val="24"/>
        </w:rPr>
        <w:t>附：中小企业划型标准</w:t>
      </w:r>
      <w:r>
        <w:rPr>
          <w:rFonts w:hint="eastAsia" w:ascii="仿宋" w:hAnsi="仿宋" w:eastAsia="仿宋" w:cs="仿宋"/>
          <w:b/>
          <w:bCs/>
          <w:sz w:val="24"/>
          <w:szCs w:val="24"/>
          <w:lang w:eastAsia="zh-CN"/>
        </w:rPr>
        <w:t>（工信部联企业〔2011〕300号）</w:t>
      </w:r>
    </w:p>
    <w:p>
      <w:pPr>
        <w:pStyle w:val="75"/>
        <w:outlineLvl w:val="9"/>
        <w:rPr>
          <w:rFonts w:hint="eastAsia" w:ascii="仿宋" w:hAnsi="仿宋" w:eastAsia="仿宋" w:cs="仿宋"/>
          <w:b/>
          <w:bCs/>
          <w:sz w:val="24"/>
          <w:szCs w:val="24"/>
          <w:lang w:eastAsia="zh-CN"/>
        </w:rPr>
      </w:pPr>
    </w:p>
    <w:p>
      <w:pPr>
        <w:pStyle w:val="75"/>
        <w:ind w:left="0" w:leftChars="0"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rPr>
        <w:t>一、根据《中华人民共和国中小企业促进法》和《国务院关于进一步促进中小企业发展的若干意见》(国发〔2009〕36号)，制定本规定。</w:t>
      </w:r>
    </w:p>
    <w:p>
      <w:pPr>
        <w:pStyle w:val="75"/>
        <w:ind w:left="0" w:leftChars="0"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rPr>
        <w:t>二、中小企业划分为中型、小型、微型三种类型，具体标准根据企业从业人员、营业收入、资产总额等指标，结合行业特点制定。</w:t>
      </w:r>
    </w:p>
    <w:p>
      <w:pPr>
        <w:pStyle w:val="75"/>
        <w:ind w:left="0" w:leftChars="0"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75"/>
        <w:ind w:left="0" w:leftChars="0"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rPr>
        <w:t>四、各行业划型标准为：</w:t>
      </w:r>
    </w:p>
    <w:p>
      <w:pPr>
        <w:pStyle w:val="75"/>
        <w:ind w:left="0" w:leftChars="0" w:firstLine="0" w:firstLineChars="0"/>
        <w:outlineLvl w:val="9"/>
        <w:rPr>
          <w:rFonts w:hint="eastAsia" w:ascii="仿宋" w:hAnsi="仿宋" w:eastAsia="仿宋" w:cs="仿宋"/>
          <w:sz w:val="24"/>
          <w:szCs w:val="24"/>
          <w:lang w:eastAsia="zh-CN"/>
        </w:rPr>
      </w:pPr>
      <w:r>
        <w:rPr>
          <w:rFonts w:hint="eastAsia" w:ascii="仿宋" w:hAnsi="仿宋" w:eastAsia="仿宋" w:cs="仿宋"/>
          <w:sz w:val="24"/>
          <w:szCs w:val="24"/>
        </w:rPr>
        <w:t>　　（一）农、林、牧、渔业。营业收入20000万元以下的为中小微型企业。其中，营业收入500万元及以上的为中型企业，营业收入50万元及以上的为小型企业，营业收入50万元以下的为微型企业。</w:t>
      </w:r>
    </w:p>
    <w:p>
      <w:pPr>
        <w:pStyle w:val="75"/>
        <w:ind w:left="0" w:leftChars="0" w:firstLine="0" w:firstLineChars="0"/>
        <w:outlineLvl w:val="9"/>
        <w:rPr>
          <w:rFonts w:hint="eastAsia" w:ascii="仿宋" w:hAnsi="仿宋" w:eastAsia="仿宋" w:cs="仿宋"/>
          <w:sz w:val="24"/>
          <w:szCs w:val="24"/>
          <w:lang w:eastAsia="zh-CN"/>
        </w:rPr>
      </w:pPr>
      <w:r>
        <w:rPr>
          <w:rFonts w:hint="eastAsia" w:ascii="仿宋" w:hAnsi="仿宋" w:eastAsia="仿宋" w:cs="仿宋"/>
          <w:sz w:val="24"/>
          <w:szCs w:val="24"/>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75"/>
        <w:ind w:left="0" w:leftChars="0" w:firstLine="0" w:firstLineChars="0"/>
        <w:outlineLvl w:val="9"/>
        <w:rPr>
          <w:rFonts w:hint="eastAsia" w:ascii="仿宋" w:hAnsi="仿宋" w:eastAsia="仿宋" w:cs="仿宋"/>
          <w:sz w:val="24"/>
          <w:szCs w:val="24"/>
          <w:lang w:eastAsia="zh-CN"/>
        </w:rPr>
      </w:pPr>
      <w:r>
        <w:rPr>
          <w:rFonts w:hint="eastAsia" w:ascii="仿宋" w:hAnsi="仿宋" w:eastAsia="仿宋" w:cs="仿宋"/>
          <w:sz w:val="24"/>
          <w:szCs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75"/>
        <w:ind w:left="0" w:leftChars="0" w:firstLine="0" w:firstLineChars="0"/>
        <w:outlineLvl w:val="9"/>
        <w:rPr>
          <w:rFonts w:hint="eastAsia" w:ascii="仿宋" w:hAnsi="仿宋" w:eastAsia="仿宋" w:cs="仿宋"/>
          <w:sz w:val="24"/>
          <w:szCs w:val="24"/>
          <w:lang w:eastAsia="zh-CN"/>
        </w:rPr>
      </w:pPr>
      <w:r>
        <w:rPr>
          <w:rFonts w:hint="eastAsia" w:ascii="仿宋" w:hAnsi="仿宋" w:eastAsia="仿宋" w:cs="仿宋"/>
          <w:sz w:val="24"/>
          <w:szCs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75"/>
        <w:ind w:left="0" w:leftChars="0" w:firstLine="0" w:firstLineChars="0"/>
        <w:outlineLvl w:val="9"/>
        <w:rPr>
          <w:rFonts w:hint="eastAsia" w:ascii="仿宋" w:hAnsi="仿宋" w:eastAsia="仿宋" w:cs="仿宋"/>
          <w:sz w:val="24"/>
          <w:szCs w:val="24"/>
          <w:lang w:eastAsia="zh-CN"/>
        </w:rPr>
      </w:pPr>
      <w:r>
        <w:rPr>
          <w:rFonts w:hint="eastAsia" w:ascii="仿宋" w:hAnsi="仿宋" w:eastAsia="仿宋" w:cs="仿宋"/>
          <w:sz w:val="24"/>
          <w:szCs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75"/>
        <w:ind w:left="0" w:leftChars="0" w:firstLine="0" w:firstLineChars="0"/>
        <w:outlineLvl w:val="9"/>
        <w:rPr>
          <w:rFonts w:hint="eastAsia" w:ascii="仿宋" w:hAnsi="仿宋" w:eastAsia="仿宋" w:cs="仿宋"/>
          <w:sz w:val="24"/>
          <w:szCs w:val="24"/>
          <w:lang w:eastAsia="zh-CN"/>
        </w:rPr>
      </w:pPr>
      <w:r>
        <w:rPr>
          <w:rFonts w:hint="eastAsia" w:ascii="仿宋" w:hAnsi="仿宋" w:eastAsia="仿宋" w:cs="仿宋"/>
          <w:sz w:val="24"/>
          <w:szCs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75"/>
        <w:ind w:left="0" w:leftChars="0" w:firstLine="0" w:firstLineChars="0"/>
        <w:outlineLvl w:val="9"/>
        <w:rPr>
          <w:rFonts w:hint="eastAsia" w:ascii="仿宋" w:hAnsi="仿宋" w:eastAsia="仿宋" w:cs="仿宋"/>
          <w:sz w:val="24"/>
          <w:szCs w:val="24"/>
          <w:lang w:eastAsia="zh-CN"/>
        </w:rPr>
      </w:pPr>
      <w:r>
        <w:rPr>
          <w:rFonts w:hint="eastAsia" w:ascii="仿宋" w:hAnsi="仿宋" w:eastAsia="仿宋" w:cs="仿宋"/>
          <w:sz w:val="24"/>
          <w:szCs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75"/>
        <w:ind w:left="0" w:leftChars="0" w:firstLine="0" w:firstLineChars="0"/>
        <w:outlineLvl w:val="9"/>
        <w:rPr>
          <w:rFonts w:hint="eastAsia" w:ascii="仿宋" w:hAnsi="仿宋" w:eastAsia="仿宋" w:cs="仿宋"/>
          <w:sz w:val="24"/>
          <w:szCs w:val="24"/>
          <w:lang w:eastAsia="zh-CN"/>
        </w:rPr>
      </w:pPr>
      <w:r>
        <w:rPr>
          <w:rFonts w:hint="eastAsia" w:ascii="仿宋" w:hAnsi="仿宋" w:eastAsia="仿宋" w:cs="仿宋"/>
          <w:sz w:val="24"/>
          <w:szCs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75"/>
        <w:ind w:left="0" w:leftChars="0" w:firstLine="0" w:firstLineChars="0"/>
        <w:outlineLvl w:val="9"/>
        <w:rPr>
          <w:rFonts w:hint="eastAsia" w:ascii="仿宋" w:hAnsi="仿宋" w:eastAsia="仿宋" w:cs="仿宋"/>
          <w:sz w:val="24"/>
          <w:szCs w:val="24"/>
          <w:lang w:eastAsia="zh-CN"/>
        </w:rPr>
      </w:pPr>
      <w:r>
        <w:rPr>
          <w:rFonts w:hint="eastAsia" w:ascii="仿宋" w:hAnsi="仿宋" w:eastAsia="仿宋" w:cs="仿宋"/>
          <w:sz w:val="24"/>
          <w:szCs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75"/>
        <w:ind w:left="0" w:leftChars="0" w:firstLine="0" w:firstLineChars="0"/>
        <w:outlineLvl w:val="9"/>
        <w:rPr>
          <w:rFonts w:hint="eastAsia" w:ascii="仿宋" w:hAnsi="仿宋" w:eastAsia="仿宋" w:cs="仿宋"/>
          <w:sz w:val="24"/>
          <w:szCs w:val="24"/>
          <w:lang w:eastAsia="zh-CN"/>
        </w:rPr>
      </w:pPr>
      <w:r>
        <w:rPr>
          <w:rFonts w:hint="eastAsia" w:ascii="仿宋" w:hAnsi="仿宋" w:eastAsia="仿宋" w:cs="仿宋"/>
          <w:sz w:val="24"/>
          <w:szCs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75"/>
        <w:ind w:left="0" w:leftChars="0" w:firstLine="0" w:firstLineChars="0"/>
        <w:outlineLvl w:val="9"/>
        <w:rPr>
          <w:rFonts w:hint="eastAsia" w:ascii="仿宋" w:hAnsi="仿宋" w:eastAsia="仿宋" w:cs="仿宋"/>
          <w:sz w:val="24"/>
          <w:szCs w:val="24"/>
          <w:lang w:eastAsia="zh-CN"/>
        </w:rPr>
      </w:pPr>
      <w:r>
        <w:rPr>
          <w:rFonts w:hint="eastAsia" w:ascii="仿宋" w:hAnsi="仿宋" w:eastAsia="仿宋" w:cs="仿宋"/>
          <w:sz w:val="24"/>
          <w:szCs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75"/>
        <w:ind w:left="0" w:leftChars="0" w:firstLine="0" w:firstLineChars="0"/>
        <w:outlineLvl w:val="9"/>
        <w:rPr>
          <w:rFonts w:hint="eastAsia" w:ascii="仿宋" w:hAnsi="仿宋" w:eastAsia="仿宋" w:cs="仿宋"/>
          <w:sz w:val="24"/>
          <w:szCs w:val="24"/>
          <w:lang w:eastAsia="zh-CN"/>
        </w:rPr>
      </w:pPr>
      <w:r>
        <w:rPr>
          <w:rFonts w:hint="eastAsia" w:ascii="仿宋" w:hAnsi="仿宋" w:eastAsia="仿宋" w:cs="仿宋"/>
          <w:sz w:val="24"/>
          <w:szCs w:val="24"/>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75"/>
        <w:ind w:left="0" w:leftChars="0" w:firstLine="0" w:firstLineChars="0"/>
        <w:outlineLvl w:val="9"/>
        <w:rPr>
          <w:rFonts w:hint="eastAsia" w:ascii="仿宋" w:hAnsi="仿宋" w:eastAsia="仿宋" w:cs="仿宋"/>
          <w:sz w:val="24"/>
          <w:szCs w:val="24"/>
          <w:lang w:eastAsia="zh-CN"/>
        </w:rPr>
      </w:pPr>
      <w:r>
        <w:rPr>
          <w:rFonts w:hint="eastAsia" w:ascii="仿宋" w:hAnsi="仿宋" w:eastAsia="仿宋" w:cs="仿宋"/>
          <w:sz w:val="24"/>
          <w:szCs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75"/>
        <w:ind w:left="0" w:leftChars="0" w:firstLine="0" w:firstLineChars="0"/>
        <w:outlineLvl w:val="9"/>
        <w:rPr>
          <w:rFonts w:hint="eastAsia" w:ascii="仿宋" w:hAnsi="仿宋" w:eastAsia="仿宋" w:cs="仿宋"/>
          <w:sz w:val="24"/>
          <w:szCs w:val="24"/>
          <w:lang w:eastAsia="zh-CN"/>
        </w:rPr>
      </w:pPr>
      <w:r>
        <w:rPr>
          <w:rFonts w:hint="eastAsia" w:ascii="仿宋" w:hAnsi="仿宋" w:eastAsia="仿宋" w:cs="仿宋"/>
          <w:sz w:val="24"/>
          <w:szCs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75"/>
        <w:ind w:left="0" w:leftChars="0" w:firstLine="0" w:firstLineChars="0"/>
        <w:outlineLvl w:val="9"/>
        <w:rPr>
          <w:rFonts w:hint="eastAsia" w:ascii="仿宋" w:hAnsi="仿宋" w:eastAsia="仿宋" w:cs="仿宋"/>
          <w:sz w:val="24"/>
          <w:szCs w:val="24"/>
          <w:lang w:eastAsia="zh-CN"/>
        </w:rPr>
      </w:pPr>
      <w:r>
        <w:rPr>
          <w:rFonts w:hint="eastAsia" w:ascii="仿宋" w:hAnsi="仿宋" w:eastAsia="仿宋" w:cs="仿宋"/>
          <w:sz w:val="24"/>
          <w:szCs w:val="24"/>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75"/>
        <w:ind w:left="0" w:leftChars="0" w:firstLine="0" w:firstLineChars="0"/>
        <w:outlineLvl w:val="9"/>
        <w:rPr>
          <w:rFonts w:hint="eastAsia" w:ascii="仿宋" w:hAnsi="仿宋" w:eastAsia="仿宋" w:cs="仿宋"/>
          <w:sz w:val="24"/>
          <w:szCs w:val="24"/>
          <w:lang w:eastAsia="zh-CN"/>
        </w:rPr>
      </w:pPr>
      <w:r>
        <w:rPr>
          <w:rFonts w:hint="eastAsia" w:ascii="仿宋" w:hAnsi="仿宋" w:eastAsia="仿宋" w:cs="仿宋"/>
          <w:sz w:val="24"/>
          <w:szCs w:val="24"/>
        </w:rPr>
        <w:t>　　（十六）其他未列明行业。从业人员300人以下的为中小微型企业。其中，从业人员100人及以上的为中型企业；从业人员10人及以上的为小型企业；从业人员10人以下的为微型企业。</w:t>
      </w:r>
    </w:p>
    <w:p>
      <w:pPr>
        <w:pStyle w:val="75"/>
        <w:ind w:left="0" w:leftChars="0" w:firstLine="0" w:firstLineChars="0"/>
        <w:outlineLvl w:val="9"/>
        <w:rPr>
          <w:rFonts w:hint="eastAsia" w:ascii="仿宋" w:hAnsi="仿宋" w:eastAsia="仿宋" w:cs="仿宋"/>
          <w:sz w:val="24"/>
          <w:szCs w:val="24"/>
          <w:lang w:eastAsia="zh-CN"/>
        </w:rPr>
      </w:pPr>
    </w:p>
    <w:p>
      <w:pPr>
        <w:pStyle w:val="75"/>
        <w:ind w:firstLine="560" w:firstLineChars="200"/>
        <w:outlineLvl w:val="9"/>
        <w:rPr>
          <w:rFonts w:hint="eastAsia" w:ascii="仿宋" w:hAnsi="仿宋" w:eastAsia="仿宋" w:cs="仿宋"/>
          <w:color w:val="auto"/>
          <w:highlight w:val="none"/>
        </w:rPr>
      </w:pPr>
    </w:p>
    <w:p>
      <w:pPr>
        <w:pStyle w:val="57"/>
        <w:jc w:val="both"/>
        <w:outlineLvl w:val="9"/>
        <w:rPr>
          <w:rFonts w:hint="eastAsia" w:ascii="仿宋" w:hAnsi="仿宋" w:eastAsia="仿宋" w:cs="仿宋"/>
          <w:color w:val="auto"/>
          <w:highlight w:val="none"/>
          <w:lang w:eastAsia="zh-CN"/>
        </w:rPr>
      </w:pPr>
    </w:p>
    <w:p>
      <w:pPr>
        <w:pStyle w:val="3"/>
        <w:numPr>
          <w:ilvl w:val="0"/>
          <w:numId w:val="0"/>
        </w:numPr>
        <w:spacing w:before="0" w:line="360" w:lineRule="auto"/>
        <w:jc w:val="center"/>
        <w:outlineLvl w:val="0"/>
        <w:rPr>
          <w:rFonts w:hint="eastAsia" w:ascii="宋体" w:hAnsi="宋体" w:eastAsia="宋体"/>
          <w:color w:val="auto"/>
          <w:sz w:val="24"/>
          <w:highlight w:val="none"/>
          <w:lang w:val="en-US" w:eastAsia="zh-CN"/>
        </w:rPr>
        <w:sectPr>
          <w:footerReference r:id="rId9" w:type="first"/>
          <w:footerReference r:id="rId8" w:type="default"/>
          <w:pgSz w:w="11906" w:h="16838"/>
          <w:pgMar w:top="1440" w:right="1797" w:bottom="1440" w:left="1797" w:header="851" w:footer="992" w:gutter="0"/>
          <w:pgNumType w:fmt="decimal"/>
          <w:cols w:space="720" w:num="1"/>
          <w:titlePg/>
          <w:docGrid w:type="lines" w:linePitch="312" w:charSpace="0"/>
        </w:sectPr>
      </w:pPr>
      <w:bookmarkStart w:id="188" w:name="_Toc9075"/>
      <w:bookmarkStart w:id="189" w:name="_Toc4026"/>
      <w:bookmarkStart w:id="190" w:name="_Toc98265629"/>
    </w:p>
    <w:p>
      <w:pPr>
        <w:pStyle w:val="3"/>
        <w:numPr>
          <w:ilvl w:val="0"/>
          <w:numId w:val="0"/>
        </w:numPr>
        <w:spacing w:before="0" w:line="360" w:lineRule="auto"/>
        <w:jc w:val="center"/>
        <w:outlineLvl w:val="0"/>
        <w:rPr>
          <w:rFonts w:ascii="宋体" w:hAnsi="宋体" w:eastAsia="宋体"/>
          <w:color w:val="auto"/>
          <w:sz w:val="24"/>
          <w:highlight w:val="none"/>
        </w:rPr>
      </w:pPr>
      <w:r>
        <w:rPr>
          <w:rFonts w:hint="eastAsia" w:ascii="宋体" w:hAnsi="宋体" w:eastAsia="宋体"/>
          <w:color w:val="auto"/>
          <w:sz w:val="24"/>
          <w:highlight w:val="none"/>
          <w:lang w:val="en-US" w:eastAsia="zh-CN"/>
        </w:rPr>
        <w:t>三、</w:t>
      </w:r>
      <w:r>
        <w:rPr>
          <w:rFonts w:hint="eastAsia" w:ascii="宋体" w:hAnsi="宋体" w:eastAsia="宋体"/>
          <w:color w:val="auto"/>
          <w:sz w:val="24"/>
          <w:highlight w:val="none"/>
        </w:rPr>
        <w:t>商务</w:t>
      </w:r>
      <w:r>
        <w:rPr>
          <w:rFonts w:ascii="宋体" w:hAnsi="宋体" w:eastAsia="宋体"/>
          <w:color w:val="auto"/>
          <w:sz w:val="24"/>
          <w:highlight w:val="none"/>
        </w:rPr>
        <w:t>技术</w:t>
      </w:r>
      <w:r>
        <w:rPr>
          <w:rFonts w:hint="eastAsia" w:ascii="宋体" w:hAnsi="宋体" w:eastAsia="宋体"/>
          <w:color w:val="auto"/>
          <w:sz w:val="24"/>
          <w:highlight w:val="none"/>
        </w:rPr>
        <w:t>文件</w:t>
      </w:r>
      <w:bookmarkEnd w:id="188"/>
      <w:bookmarkEnd w:id="189"/>
      <w:bookmarkEnd w:id="190"/>
    </w:p>
    <w:p>
      <w:pPr>
        <w:pStyle w:val="57"/>
        <w:spacing w:line="480" w:lineRule="auto"/>
        <w:jc w:val="both"/>
        <w:outlineLvl w:val="9"/>
        <w:rPr>
          <w:rFonts w:hint="eastAsia" w:ascii="仿宋" w:hAnsi="仿宋" w:eastAsia="仿宋" w:cs="仿宋"/>
          <w:b w:val="0"/>
          <w:bCs/>
          <w:color w:val="auto"/>
          <w:kern w:val="2"/>
          <w:sz w:val="30"/>
          <w:szCs w:val="30"/>
          <w:highlight w:val="none"/>
          <w:lang w:val="en-US" w:eastAsia="zh-CN"/>
        </w:rPr>
      </w:pPr>
      <w:r>
        <w:rPr>
          <w:rFonts w:hint="eastAsia" w:ascii="仿宋" w:hAnsi="仿宋" w:eastAsia="仿宋" w:cs="仿宋"/>
          <w:b w:val="0"/>
          <w:bCs/>
          <w:color w:val="auto"/>
          <w:kern w:val="2"/>
          <w:sz w:val="30"/>
          <w:szCs w:val="30"/>
          <w:highlight w:val="none"/>
          <w:lang w:val="en-US" w:eastAsia="zh-CN"/>
        </w:rPr>
        <w:t>1.类似项目业绩（如有）</w:t>
      </w:r>
    </w:p>
    <w:p>
      <w:pPr>
        <w:pStyle w:val="57"/>
        <w:spacing w:line="480" w:lineRule="auto"/>
        <w:jc w:val="both"/>
        <w:outlineLvl w:val="9"/>
        <w:rPr>
          <w:rFonts w:hint="eastAsia" w:ascii="仿宋" w:hAnsi="仿宋" w:eastAsia="仿宋" w:cs="仿宋"/>
          <w:b w:val="0"/>
          <w:bCs/>
          <w:color w:val="auto"/>
          <w:kern w:val="2"/>
          <w:sz w:val="30"/>
          <w:szCs w:val="30"/>
          <w:highlight w:val="none"/>
          <w:lang w:val="en-US" w:eastAsia="zh-CN"/>
        </w:rPr>
      </w:pPr>
      <w:r>
        <w:rPr>
          <w:rFonts w:hint="eastAsia" w:ascii="仿宋" w:hAnsi="仿宋" w:eastAsia="仿宋" w:cs="仿宋"/>
          <w:b w:val="0"/>
          <w:bCs/>
          <w:color w:val="auto"/>
          <w:kern w:val="2"/>
          <w:sz w:val="30"/>
          <w:szCs w:val="30"/>
          <w:highlight w:val="none"/>
          <w:lang w:val="en-US" w:eastAsia="zh-CN"/>
        </w:rPr>
        <w:t>2.商务条款偏离说明表</w:t>
      </w:r>
    </w:p>
    <w:p>
      <w:pPr>
        <w:pStyle w:val="57"/>
        <w:spacing w:line="480" w:lineRule="auto"/>
        <w:jc w:val="both"/>
        <w:outlineLvl w:val="9"/>
        <w:rPr>
          <w:rFonts w:hint="default" w:ascii="仿宋" w:hAnsi="仿宋" w:eastAsia="仿宋" w:cs="仿宋"/>
          <w:b w:val="0"/>
          <w:bCs/>
          <w:color w:val="auto"/>
          <w:kern w:val="2"/>
          <w:sz w:val="30"/>
          <w:szCs w:val="30"/>
          <w:highlight w:val="none"/>
          <w:lang w:val="en-US" w:eastAsia="zh-CN"/>
        </w:rPr>
      </w:pPr>
      <w:r>
        <w:rPr>
          <w:rFonts w:hint="eastAsia" w:ascii="仿宋" w:hAnsi="仿宋" w:eastAsia="仿宋" w:cs="仿宋"/>
          <w:b w:val="0"/>
          <w:bCs/>
          <w:color w:val="auto"/>
          <w:kern w:val="2"/>
          <w:sz w:val="30"/>
          <w:szCs w:val="30"/>
          <w:highlight w:val="none"/>
          <w:lang w:val="en-US" w:eastAsia="zh-CN"/>
        </w:rPr>
        <w:t>3.技术参数响应</w:t>
      </w:r>
    </w:p>
    <w:p>
      <w:pPr>
        <w:pStyle w:val="57"/>
        <w:spacing w:line="480" w:lineRule="auto"/>
        <w:jc w:val="both"/>
        <w:outlineLvl w:val="9"/>
        <w:rPr>
          <w:rFonts w:hint="eastAsia" w:ascii="仿宋" w:hAnsi="仿宋" w:eastAsia="仿宋" w:cs="仿宋"/>
          <w:b w:val="0"/>
          <w:bCs/>
          <w:color w:val="auto"/>
          <w:kern w:val="2"/>
          <w:sz w:val="30"/>
          <w:szCs w:val="30"/>
          <w:highlight w:val="none"/>
          <w:lang w:val="en-US" w:eastAsia="zh-CN"/>
        </w:rPr>
      </w:pPr>
      <w:r>
        <w:rPr>
          <w:rFonts w:hint="eastAsia" w:ascii="仿宋" w:hAnsi="仿宋" w:eastAsia="仿宋" w:cs="仿宋"/>
          <w:b w:val="0"/>
          <w:bCs/>
          <w:color w:val="auto"/>
          <w:kern w:val="2"/>
          <w:sz w:val="30"/>
          <w:szCs w:val="30"/>
          <w:highlight w:val="none"/>
          <w:lang w:val="en-US" w:eastAsia="zh-CN"/>
        </w:rPr>
        <w:t>4.投标人认为有必要提供的其他声明及文件技术资料</w:t>
      </w:r>
    </w:p>
    <w:p>
      <w:pPr>
        <w:pStyle w:val="57"/>
        <w:spacing w:line="480" w:lineRule="auto"/>
        <w:jc w:val="both"/>
        <w:outlineLvl w:val="9"/>
        <w:rPr>
          <w:rFonts w:hint="eastAsia" w:ascii="仿宋" w:hAnsi="仿宋" w:eastAsia="仿宋" w:cs="仿宋"/>
          <w:b w:val="0"/>
          <w:bCs/>
          <w:color w:val="auto"/>
          <w:kern w:val="2"/>
          <w:sz w:val="30"/>
          <w:szCs w:val="30"/>
          <w:highlight w:val="none"/>
          <w:lang w:val="en-US" w:eastAsia="zh-CN"/>
        </w:rPr>
      </w:pPr>
      <w:r>
        <w:rPr>
          <w:rFonts w:hint="eastAsia" w:ascii="仿宋" w:hAnsi="仿宋" w:eastAsia="仿宋" w:cs="仿宋"/>
          <w:b w:val="0"/>
          <w:bCs/>
          <w:color w:val="auto"/>
          <w:kern w:val="2"/>
          <w:sz w:val="30"/>
          <w:szCs w:val="30"/>
          <w:highlight w:val="none"/>
          <w:lang w:val="en-US" w:eastAsia="zh-CN"/>
        </w:rPr>
        <w:t>5.商务技术其他评分内容</w:t>
      </w:r>
    </w:p>
    <w:p>
      <w:pPr>
        <w:pStyle w:val="57"/>
        <w:spacing w:line="480" w:lineRule="auto"/>
        <w:jc w:val="both"/>
        <w:outlineLvl w:val="9"/>
        <w:rPr>
          <w:rFonts w:hint="eastAsia" w:ascii="仿宋" w:hAnsi="仿宋" w:eastAsia="仿宋" w:cs="仿宋"/>
          <w:b w:val="0"/>
          <w:bCs/>
          <w:color w:val="auto"/>
          <w:kern w:val="2"/>
          <w:sz w:val="30"/>
          <w:szCs w:val="30"/>
          <w:highlight w:val="none"/>
          <w:lang w:val="en-US" w:eastAsia="zh-CN"/>
        </w:rPr>
      </w:pPr>
      <w:r>
        <w:rPr>
          <w:rFonts w:hint="eastAsia" w:ascii="仿宋" w:hAnsi="仿宋" w:eastAsia="仿宋" w:cs="仿宋"/>
          <w:b w:val="0"/>
          <w:bCs/>
          <w:color w:val="auto"/>
          <w:kern w:val="2"/>
          <w:sz w:val="30"/>
          <w:szCs w:val="30"/>
          <w:highlight w:val="none"/>
          <w:lang w:val="en-US" w:eastAsia="zh-CN"/>
        </w:rPr>
        <w:t>6.退还保证金申请函</w:t>
      </w:r>
    </w:p>
    <w:p>
      <w:pPr>
        <w:pStyle w:val="57"/>
        <w:spacing w:line="480" w:lineRule="auto"/>
        <w:jc w:val="both"/>
        <w:outlineLvl w:val="9"/>
        <w:rPr>
          <w:rFonts w:hint="eastAsia" w:ascii="仿宋" w:hAnsi="仿宋" w:eastAsia="仿宋" w:cs="仿宋"/>
          <w:b w:val="0"/>
          <w:bCs/>
          <w:color w:val="auto"/>
          <w:kern w:val="2"/>
          <w:sz w:val="30"/>
          <w:szCs w:val="30"/>
          <w:highlight w:val="none"/>
          <w:lang w:val="en-US" w:eastAsia="zh-CN"/>
        </w:rPr>
      </w:pPr>
    </w:p>
    <w:p>
      <w:pPr>
        <w:pStyle w:val="57"/>
        <w:jc w:val="both"/>
        <w:outlineLvl w:val="9"/>
        <w:rPr>
          <w:rFonts w:hint="default" w:ascii="仿宋" w:hAnsi="仿宋" w:eastAsia="仿宋" w:cs="仿宋"/>
          <w:b w:val="0"/>
          <w:bCs/>
          <w:color w:val="auto"/>
          <w:kern w:val="2"/>
          <w:sz w:val="24"/>
          <w:szCs w:val="24"/>
          <w:highlight w:val="none"/>
          <w:lang w:val="en-US" w:eastAsia="zh-CN" w:bidi="ar-SA"/>
        </w:rPr>
      </w:pPr>
    </w:p>
    <w:p>
      <w:pPr>
        <w:pStyle w:val="57"/>
        <w:jc w:val="both"/>
        <w:outlineLvl w:val="9"/>
        <w:rPr>
          <w:rFonts w:hint="eastAsia" w:ascii="仿宋" w:hAnsi="仿宋" w:eastAsia="仿宋" w:cs="仿宋"/>
          <w:color w:val="auto"/>
          <w:highlight w:val="none"/>
          <w:lang w:eastAsia="zh-CN"/>
        </w:rPr>
      </w:pPr>
    </w:p>
    <w:p>
      <w:pPr>
        <w:pStyle w:val="57"/>
        <w:jc w:val="both"/>
        <w:outlineLvl w:val="9"/>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 </w:t>
      </w:r>
    </w:p>
    <w:p>
      <w:pPr>
        <w:pStyle w:val="57"/>
        <w:jc w:val="both"/>
        <w:outlineLvl w:val="9"/>
        <w:rPr>
          <w:rFonts w:hint="eastAsia" w:ascii="仿宋" w:hAnsi="仿宋" w:eastAsia="仿宋" w:cs="仿宋"/>
          <w:color w:val="auto"/>
          <w:highlight w:val="none"/>
          <w:lang w:eastAsia="zh-CN"/>
        </w:rPr>
      </w:pPr>
    </w:p>
    <w:p>
      <w:pPr>
        <w:pStyle w:val="57"/>
        <w:jc w:val="both"/>
        <w:outlineLvl w:val="9"/>
        <w:rPr>
          <w:rFonts w:hint="eastAsia" w:ascii="仿宋" w:hAnsi="仿宋" w:eastAsia="仿宋" w:cs="仿宋"/>
          <w:color w:val="auto"/>
          <w:highlight w:val="none"/>
          <w:lang w:eastAsia="zh-CN"/>
        </w:rPr>
      </w:pPr>
    </w:p>
    <w:p>
      <w:pPr>
        <w:pStyle w:val="57"/>
        <w:jc w:val="both"/>
        <w:outlineLvl w:val="9"/>
        <w:rPr>
          <w:rFonts w:hint="eastAsia" w:ascii="仿宋" w:hAnsi="仿宋" w:eastAsia="仿宋" w:cs="仿宋"/>
          <w:color w:val="auto"/>
          <w:highlight w:val="none"/>
          <w:lang w:eastAsia="zh-CN"/>
        </w:rPr>
      </w:pPr>
    </w:p>
    <w:p>
      <w:pPr>
        <w:pStyle w:val="57"/>
        <w:jc w:val="both"/>
        <w:outlineLvl w:val="9"/>
        <w:rPr>
          <w:rFonts w:hint="eastAsia" w:ascii="仿宋" w:hAnsi="仿宋" w:eastAsia="仿宋" w:cs="仿宋"/>
          <w:color w:val="auto"/>
          <w:highlight w:val="none"/>
          <w:lang w:eastAsia="zh-CN"/>
        </w:rPr>
      </w:pPr>
    </w:p>
    <w:p>
      <w:pPr>
        <w:pStyle w:val="57"/>
        <w:jc w:val="both"/>
        <w:outlineLvl w:val="9"/>
        <w:rPr>
          <w:rFonts w:hint="eastAsia" w:ascii="仿宋" w:hAnsi="仿宋" w:eastAsia="仿宋" w:cs="仿宋"/>
          <w:color w:val="auto"/>
          <w:highlight w:val="none"/>
          <w:lang w:eastAsia="zh-CN"/>
        </w:rPr>
      </w:pPr>
    </w:p>
    <w:p>
      <w:pPr>
        <w:pStyle w:val="57"/>
        <w:jc w:val="both"/>
        <w:outlineLvl w:val="9"/>
        <w:rPr>
          <w:rFonts w:hint="eastAsia" w:ascii="仿宋" w:hAnsi="仿宋" w:eastAsia="仿宋" w:cs="仿宋"/>
          <w:color w:val="auto"/>
          <w:highlight w:val="none"/>
          <w:lang w:eastAsia="zh-CN"/>
        </w:rPr>
        <w:sectPr>
          <w:pgSz w:w="11906" w:h="16838"/>
          <w:pgMar w:top="1440" w:right="1797" w:bottom="1440" w:left="1797" w:header="851" w:footer="992" w:gutter="0"/>
          <w:pgNumType w:fmt="decimal"/>
          <w:cols w:space="720" w:num="1"/>
          <w:titlePg/>
          <w:docGrid w:type="lines" w:linePitch="312" w:charSpace="0"/>
        </w:sectPr>
      </w:pPr>
    </w:p>
    <w:p>
      <w:pPr>
        <w:pStyle w:val="57"/>
        <w:jc w:val="both"/>
        <w:outlineLvl w:val="9"/>
        <w:rPr>
          <w:rFonts w:hint="eastAsia" w:ascii="仿宋" w:hAnsi="仿宋" w:eastAsia="仿宋" w:cs="仿宋"/>
          <w:color w:val="auto"/>
          <w:kern w:val="2"/>
          <w:sz w:val="28"/>
          <w:szCs w:val="28"/>
          <w:highlight w:val="none"/>
          <w:lang w:val="en-US" w:eastAsia="zh-CN"/>
        </w:rPr>
      </w:pPr>
      <w:bookmarkStart w:id="191" w:name="_Toc15243"/>
      <w:r>
        <w:rPr>
          <w:rFonts w:hint="eastAsia" w:ascii="仿宋" w:hAnsi="仿宋" w:eastAsia="仿宋" w:cs="仿宋"/>
          <w:color w:val="auto"/>
          <w:kern w:val="2"/>
          <w:sz w:val="28"/>
          <w:szCs w:val="28"/>
          <w:highlight w:val="none"/>
          <w:lang w:val="en-US" w:eastAsia="zh-CN"/>
        </w:rPr>
        <w:t>1.类似项目业绩（如有）</w:t>
      </w:r>
      <w:bookmarkEnd w:id="191"/>
    </w:p>
    <w:p>
      <w:pPr>
        <w:pStyle w:val="57"/>
        <w:jc w:val="both"/>
        <w:outlineLvl w:val="9"/>
        <w:rPr>
          <w:rFonts w:hint="eastAsia" w:ascii="仿宋" w:hAnsi="仿宋" w:eastAsia="仿宋" w:cs="仿宋"/>
          <w:color w:val="auto"/>
          <w:kern w:val="2"/>
          <w:sz w:val="24"/>
          <w:szCs w:val="24"/>
          <w:highlight w:val="none"/>
          <w:lang w:val="en-US" w:eastAsia="zh-CN"/>
        </w:rPr>
      </w:pPr>
    </w:p>
    <w:tbl>
      <w:tblPr>
        <w:tblStyle w:val="19"/>
        <w:tblpPr w:leftFromText="180" w:rightFromText="180" w:vertAnchor="text" w:horzAnchor="page" w:tblpX="1028" w:tblpY="438"/>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31"/>
        <w:gridCol w:w="1093"/>
        <w:gridCol w:w="933"/>
        <w:gridCol w:w="1478"/>
        <w:gridCol w:w="822"/>
        <w:gridCol w:w="1111"/>
        <w:gridCol w:w="1322"/>
        <w:gridCol w:w="1011"/>
        <w:gridCol w:w="13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48" w:hRule="atLeast"/>
        </w:trPr>
        <w:tc>
          <w:tcPr>
            <w:tcW w:w="1031"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采购单位名称</w:t>
            </w:r>
          </w:p>
        </w:tc>
        <w:tc>
          <w:tcPr>
            <w:tcW w:w="1093"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项目名称</w:t>
            </w:r>
          </w:p>
        </w:tc>
        <w:tc>
          <w:tcPr>
            <w:tcW w:w="933"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项目时间/地点</w:t>
            </w:r>
          </w:p>
        </w:tc>
        <w:tc>
          <w:tcPr>
            <w:tcW w:w="1478"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项目主要内容</w:t>
            </w:r>
          </w:p>
        </w:tc>
        <w:tc>
          <w:tcPr>
            <w:tcW w:w="822"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合同金额</w:t>
            </w:r>
          </w:p>
          <w:p>
            <w:pPr>
              <w:jc w:val="center"/>
              <w:outlineLvl w:val="9"/>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（元）</w:t>
            </w:r>
          </w:p>
        </w:tc>
        <w:tc>
          <w:tcPr>
            <w:tcW w:w="3444" w:type="dxa"/>
            <w:gridSpan w:val="3"/>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center"/>
              <w:outlineLvl w:val="9"/>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附件</w:t>
            </w:r>
          </w:p>
        </w:tc>
        <w:tc>
          <w:tcPr>
            <w:tcW w:w="1367" w:type="dxa"/>
            <w:vMerge w:val="restart"/>
            <w:tcBorders>
              <w:top w:val="single" w:color="000000" w:sz="4" w:space="0"/>
              <w:left w:val="single" w:color="000000" w:sz="4" w:space="0"/>
              <w:right w:val="single" w:color="000000" w:sz="4" w:space="0"/>
            </w:tcBorders>
            <w:noWrap w:val="0"/>
            <w:vAlign w:val="center"/>
          </w:tcPr>
          <w:p>
            <w:pPr>
              <w:jc w:val="center"/>
              <w:outlineLvl w:val="9"/>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采购单位联系人及</w:t>
            </w:r>
          </w:p>
          <w:p>
            <w:pPr>
              <w:spacing w:before="50" w:beforeLines="0" w:after="120" w:afterLines="0" w:line="400" w:lineRule="exact"/>
              <w:jc w:val="center"/>
              <w:outlineLvl w:val="9"/>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3" w:hRule="atLeast"/>
        </w:trPr>
        <w:tc>
          <w:tcPr>
            <w:tcW w:w="10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outlineLvl w:val="9"/>
              <w:rPr>
                <w:rFonts w:hint="eastAsia" w:ascii="仿宋" w:hAnsi="仿宋" w:eastAsia="仿宋" w:cs="仿宋"/>
                <w:color w:val="auto"/>
                <w:kern w:val="1"/>
                <w:szCs w:val="21"/>
                <w:highlight w:val="none"/>
              </w:rPr>
            </w:pPr>
          </w:p>
        </w:tc>
        <w:tc>
          <w:tcPr>
            <w:tcW w:w="10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outlineLvl w:val="9"/>
              <w:rPr>
                <w:rFonts w:hint="eastAsia" w:ascii="仿宋" w:hAnsi="仿宋" w:eastAsia="仿宋" w:cs="仿宋"/>
                <w:color w:val="auto"/>
                <w:kern w:val="1"/>
                <w:szCs w:val="21"/>
                <w:highlight w:val="none"/>
              </w:rPr>
            </w:pPr>
          </w:p>
        </w:tc>
        <w:tc>
          <w:tcPr>
            <w:tcW w:w="9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outlineLvl w:val="9"/>
              <w:rPr>
                <w:rFonts w:hint="eastAsia" w:ascii="仿宋" w:hAnsi="仿宋" w:eastAsia="仿宋" w:cs="仿宋"/>
                <w:color w:val="auto"/>
                <w:kern w:val="1"/>
                <w:szCs w:val="21"/>
                <w:highlight w:val="none"/>
              </w:rPr>
            </w:pPr>
          </w:p>
        </w:tc>
        <w:tc>
          <w:tcPr>
            <w:tcW w:w="14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outlineLvl w:val="9"/>
              <w:rPr>
                <w:rFonts w:hint="eastAsia" w:ascii="仿宋" w:hAnsi="仿宋" w:eastAsia="仿宋" w:cs="仿宋"/>
                <w:color w:val="auto"/>
                <w:kern w:val="1"/>
                <w:szCs w:val="21"/>
                <w:highlight w:val="none"/>
              </w:rPr>
            </w:pPr>
          </w:p>
        </w:tc>
        <w:tc>
          <w:tcPr>
            <w:tcW w:w="8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outlineLvl w:val="9"/>
              <w:rPr>
                <w:rFonts w:hint="eastAsia" w:ascii="仿宋" w:hAnsi="仿宋" w:eastAsia="仿宋" w:cs="仿宋"/>
                <w:color w:val="auto"/>
                <w:kern w:val="1"/>
                <w:szCs w:val="21"/>
                <w:highlight w:val="none"/>
              </w:rPr>
            </w:pPr>
          </w:p>
        </w:tc>
        <w:tc>
          <w:tcPr>
            <w:tcW w:w="1111"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合同</w:t>
            </w:r>
          </w:p>
        </w:tc>
        <w:tc>
          <w:tcPr>
            <w:tcW w:w="1322"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color w:val="auto"/>
                <w:kern w:val="1"/>
                <w:szCs w:val="21"/>
                <w:highlight w:val="none"/>
                <w:lang w:eastAsia="zh-CN"/>
              </w:rPr>
            </w:pPr>
            <w:r>
              <w:rPr>
                <w:rFonts w:hint="eastAsia" w:ascii="仿宋" w:hAnsi="仿宋" w:eastAsia="仿宋" w:cs="仿宋"/>
                <w:color w:val="auto"/>
                <w:kern w:val="1"/>
                <w:szCs w:val="21"/>
                <w:highlight w:val="none"/>
              </w:rPr>
              <w:t>政府采购指定官方网站</w:t>
            </w:r>
            <w:r>
              <w:rPr>
                <w:rFonts w:hint="eastAsia" w:ascii="仿宋" w:hAnsi="仿宋" w:eastAsia="仿宋" w:cs="仿宋"/>
                <w:color w:val="auto"/>
                <w:kern w:val="1"/>
                <w:szCs w:val="21"/>
                <w:highlight w:val="none"/>
                <w:lang w:val="en-US" w:eastAsia="zh-CN"/>
              </w:rPr>
              <w:t>的</w:t>
            </w:r>
            <w:r>
              <w:rPr>
                <w:rFonts w:hint="eastAsia" w:ascii="仿宋" w:hAnsi="仿宋" w:eastAsia="仿宋" w:cs="仿宋"/>
                <w:color w:val="auto"/>
                <w:kern w:val="1"/>
                <w:szCs w:val="21"/>
                <w:highlight w:val="none"/>
              </w:rPr>
              <w:t>中标</w:t>
            </w:r>
            <w:r>
              <w:rPr>
                <w:rFonts w:hint="eastAsia" w:ascii="仿宋" w:hAnsi="仿宋" w:eastAsia="仿宋" w:cs="仿宋"/>
                <w:color w:val="auto"/>
                <w:kern w:val="1"/>
                <w:szCs w:val="21"/>
                <w:highlight w:val="none"/>
                <w:lang w:eastAsia="zh-CN"/>
              </w:rPr>
              <w:t>结果公告</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中标通知书</w:t>
            </w:r>
          </w:p>
        </w:tc>
        <w:tc>
          <w:tcPr>
            <w:tcW w:w="1367" w:type="dxa"/>
            <w:vMerge w:val="continue"/>
            <w:tcBorders>
              <w:left w:val="single" w:color="000000" w:sz="4" w:space="0"/>
              <w:bottom w:val="single" w:color="000000" w:sz="4" w:space="0"/>
              <w:right w:val="single" w:color="000000" w:sz="4" w:space="0"/>
            </w:tcBorders>
            <w:noWrap w:val="0"/>
            <w:vAlign w:val="top"/>
          </w:tcPr>
          <w:p>
            <w:pPr>
              <w:jc w:val="center"/>
              <w:outlineLvl w:val="9"/>
              <w:rPr>
                <w:rFonts w:hint="eastAsia" w:ascii="仿宋" w:hAnsi="仿宋" w:eastAsia="仿宋" w:cs="仿宋"/>
                <w:color w:val="auto"/>
                <w:kern w:val="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031"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outlineLvl w:val="9"/>
              <w:rPr>
                <w:rFonts w:hint="eastAsia" w:ascii="仿宋" w:hAnsi="仿宋" w:eastAsia="仿宋" w:cs="仿宋"/>
                <w:color w:val="auto"/>
                <w:kern w:val="1"/>
                <w:szCs w:val="21"/>
                <w:highlight w:val="none"/>
              </w:rPr>
            </w:pPr>
          </w:p>
        </w:tc>
        <w:tc>
          <w:tcPr>
            <w:tcW w:w="1093"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outlineLvl w:val="9"/>
              <w:rPr>
                <w:rFonts w:hint="eastAsia" w:ascii="仿宋" w:hAnsi="仿宋" w:eastAsia="仿宋" w:cs="仿宋"/>
                <w:color w:val="auto"/>
                <w:kern w:val="1"/>
                <w:szCs w:val="21"/>
                <w:highlight w:val="none"/>
              </w:rPr>
            </w:pPr>
          </w:p>
        </w:tc>
        <w:tc>
          <w:tcPr>
            <w:tcW w:w="933"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outlineLvl w:val="9"/>
              <w:rPr>
                <w:rFonts w:hint="eastAsia" w:ascii="仿宋" w:hAnsi="仿宋" w:eastAsia="仿宋" w:cs="仿宋"/>
                <w:color w:val="auto"/>
                <w:kern w:val="1"/>
                <w:szCs w:val="21"/>
                <w:highlight w:val="none"/>
              </w:rPr>
            </w:pPr>
          </w:p>
        </w:tc>
        <w:tc>
          <w:tcPr>
            <w:tcW w:w="1478"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outlineLvl w:val="9"/>
              <w:rPr>
                <w:rFonts w:hint="eastAsia" w:ascii="仿宋" w:hAnsi="仿宋" w:eastAsia="仿宋" w:cs="仿宋"/>
                <w:color w:val="auto"/>
                <w:kern w:val="1"/>
                <w:szCs w:val="21"/>
                <w:highlight w:val="none"/>
              </w:rPr>
            </w:pPr>
          </w:p>
        </w:tc>
        <w:tc>
          <w:tcPr>
            <w:tcW w:w="822"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outlineLvl w:val="9"/>
              <w:rPr>
                <w:rFonts w:hint="eastAsia" w:ascii="仿宋" w:hAnsi="仿宋" w:eastAsia="仿宋" w:cs="仿宋"/>
                <w:color w:val="auto"/>
                <w:kern w:val="1"/>
                <w:szCs w:val="21"/>
                <w:highlight w:val="none"/>
              </w:rPr>
            </w:pPr>
          </w:p>
        </w:tc>
        <w:tc>
          <w:tcPr>
            <w:tcW w:w="1111"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outlineLvl w:val="9"/>
              <w:rPr>
                <w:rFonts w:hint="eastAsia" w:ascii="仿宋" w:hAnsi="仿宋" w:eastAsia="仿宋" w:cs="仿宋"/>
                <w:color w:val="auto"/>
                <w:kern w:val="1"/>
                <w:szCs w:val="21"/>
                <w:highlight w:val="none"/>
              </w:rPr>
            </w:pPr>
          </w:p>
        </w:tc>
        <w:tc>
          <w:tcPr>
            <w:tcW w:w="1322"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outlineLvl w:val="9"/>
              <w:rPr>
                <w:rFonts w:hint="eastAsia" w:ascii="仿宋" w:hAnsi="仿宋" w:eastAsia="仿宋" w:cs="仿宋"/>
                <w:color w:val="auto"/>
                <w:kern w:val="1"/>
                <w:szCs w:val="21"/>
                <w:highlight w:val="none"/>
              </w:rPr>
            </w:pPr>
          </w:p>
        </w:tc>
        <w:tc>
          <w:tcPr>
            <w:tcW w:w="1011"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outlineLvl w:val="9"/>
              <w:rPr>
                <w:rFonts w:hint="eastAsia" w:ascii="仿宋" w:hAnsi="仿宋" w:eastAsia="仿宋" w:cs="仿宋"/>
                <w:color w:val="auto"/>
                <w:kern w:val="1"/>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outlineLvl w:val="9"/>
              <w:rPr>
                <w:rFonts w:hint="eastAsia" w:ascii="仿宋" w:hAnsi="仿宋" w:eastAsia="仿宋" w:cs="仿宋"/>
                <w:color w:val="auto"/>
                <w:kern w:val="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031"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outlineLvl w:val="9"/>
              <w:rPr>
                <w:rFonts w:hint="eastAsia" w:ascii="仿宋" w:hAnsi="仿宋" w:eastAsia="仿宋" w:cs="仿宋"/>
                <w:color w:val="auto"/>
                <w:kern w:val="1"/>
                <w:szCs w:val="21"/>
                <w:highlight w:val="none"/>
              </w:rPr>
            </w:pPr>
          </w:p>
        </w:tc>
        <w:tc>
          <w:tcPr>
            <w:tcW w:w="1093"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outlineLvl w:val="9"/>
              <w:rPr>
                <w:rFonts w:hint="eastAsia" w:ascii="仿宋" w:hAnsi="仿宋" w:eastAsia="仿宋" w:cs="仿宋"/>
                <w:color w:val="auto"/>
                <w:kern w:val="1"/>
                <w:szCs w:val="21"/>
                <w:highlight w:val="none"/>
              </w:rPr>
            </w:pPr>
          </w:p>
        </w:tc>
        <w:tc>
          <w:tcPr>
            <w:tcW w:w="933"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outlineLvl w:val="9"/>
              <w:rPr>
                <w:rFonts w:hint="eastAsia" w:ascii="仿宋" w:hAnsi="仿宋" w:eastAsia="仿宋" w:cs="仿宋"/>
                <w:color w:val="auto"/>
                <w:kern w:val="1"/>
                <w:szCs w:val="21"/>
                <w:highlight w:val="none"/>
              </w:rPr>
            </w:pPr>
          </w:p>
        </w:tc>
        <w:tc>
          <w:tcPr>
            <w:tcW w:w="1478"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outlineLvl w:val="9"/>
              <w:rPr>
                <w:rFonts w:hint="eastAsia" w:ascii="仿宋" w:hAnsi="仿宋" w:eastAsia="仿宋" w:cs="仿宋"/>
                <w:color w:val="auto"/>
                <w:kern w:val="1"/>
                <w:szCs w:val="21"/>
                <w:highlight w:val="none"/>
              </w:rPr>
            </w:pPr>
          </w:p>
        </w:tc>
        <w:tc>
          <w:tcPr>
            <w:tcW w:w="822"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outlineLvl w:val="9"/>
              <w:rPr>
                <w:rFonts w:hint="eastAsia" w:ascii="仿宋" w:hAnsi="仿宋" w:eastAsia="仿宋" w:cs="仿宋"/>
                <w:color w:val="auto"/>
                <w:kern w:val="1"/>
                <w:szCs w:val="21"/>
                <w:highlight w:val="none"/>
              </w:rPr>
            </w:pPr>
          </w:p>
        </w:tc>
        <w:tc>
          <w:tcPr>
            <w:tcW w:w="1111"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outlineLvl w:val="9"/>
              <w:rPr>
                <w:rFonts w:hint="eastAsia" w:ascii="仿宋" w:hAnsi="仿宋" w:eastAsia="仿宋" w:cs="仿宋"/>
                <w:color w:val="auto"/>
                <w:kern w:val="1"/>
                <w:szCs w:val="21"/>
                <w:highlight w:val="none"/>
              </w:rPr>
            </w:pPr>
          </w:p>
        </w:tc>
        <w:tc>
          <w:tcPr>
            <w:tcW w:w="1322"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outlineLvl w:val="9"/>
              <w:rPr>
                <w:rFonts w:hint="eastAsia" w:ascii="仿宋" w:hAnsi="仿宋" w:eastAsia="仿宋" w:cs="仿宋"/>
                <w:color w:val="auto"/>
                <w:kern w:val="1"/>
                <w:szCs w:val="21"/>
                <w:highlight w:val="none"/>
              </w:rPr>
            </w:pPr>
          </w:p>
        </w:tc>
        <w:tc>
          <w:tcPr>
            <w:tcW w:w="1011"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outlineLvl w:val="9"/>
              <w:rPr>
                <w:rFonts w:hint="eastAsia" w:ascii="仿宋" w:hAnsi="仿宋" w:eastAsia="仿宋" w:cs="仿宋"/>
                <w:color w:val="auto"/>
                <w:kern w:val="1"/>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outlineLvl w:val="9"/>
              <w:rPr>
                <w:rFonts w:hint="eastAsia" w:ascii="仿宋" w:hAnsi="仿宋" w:eastAsia="仿宋" w:cs="仿宋"/>
                <w:color w:val="auto"/>
                <w:kern w:val="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031"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outlineLvl w:val="9"/>
              <w:rPr>
                <w:rFonts w:hint="eastAsia" w:ascii="仿宋" w:hAnsi="仿宋" w:eastAsia="仿宋" w:cs="仿宋"/>
                <w:color w:val="auto"/>
                <w:kern w:val="1"/>
                <w:szCs w:val="21"/>
                <w:highlight w:val="none"/>
              </w:rPr>
            </w:pPr>
          </w:p>
        </w:tc>
        <w:tc>
          <w:tcPr>
            <w:tcW w:w="1093"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outlineLvl w:val="9"/>
              <w:rPr>
                <w:rFonts w:hint="eastAsia" w:ascii="仿宋" w:hAnsi="仿宋" w:eastAsia="仿宋" w:cs="仿宋"/>
                <w:color w:val="auto"/>
                <w:kern w:val="1"/>
                <w:szCs w:val="21"/>
                <w:highlight w:val="none"/>
              </w:rPr>
            </w:pPr>
          </w:p>
        </w:tc>
        <w:tc>
          <w:tcPr>
            <w:tcW w:w="933"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outlineLvl w:val="9"/>
              <w:rPr>
                <w:rFonts w:hint="eastAsia" w:ascii="仿宋" w:hAnsi="仿宋" w:eastAsia="仿宋" w:cs="仿宋"/>
                <w:color w:val="auto"/>
                <w:kern w:val="1"/>
                <w:szCs w:val="21"/>
                <w:highlight w:val="none"/>
              </w:rPr>
            </w:pPr>
          </w:p>
        </w:tc>
        <w:tc>
          <w:tcPr>
            <w:tcW w:w="1478"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outlineLvl w:val="9"/>
              <w:rPr>
                <w:rFonts w:hint="eastAsia" w:ascii="仿宋" w:hAnsi="仿宋" w:eastAsia="仿宋" w:cs="仿宋"/>
                <w:color w:val="auto"/>
                <w:kern w:val="1"/>
                <w:szCs w:val="21"/>
                <w:highlight w:val="none"/>
              </w:rPr>
            </w:pPr>
          </w:p>
        </w:tc>
        <w:tc>
          <w:tcPr>
            <w:tcW w:w="822"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outlineLvl w:val="9"/>
              <w:rPr>
                <w:rFonts w:hint="eastAsia" w:ascii="仿宋" w:hAnsi="仿宋" w:eastAsia="仿宋" w:cs="仿宋"/>
                <w:color w:val="auto"/>
                <w:kern w:val="1"/>
                <w:szCs w:val="21"/>
                <w:highlight w:val="none"/>
              </w:rPr>
            </w:pPr>
          </w:p>
        </w:tc>
        <w:tc>
          <w:tcPr>
            <w:tcW w:w="1111"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outlineLvl w:val="9"/>
              <w:rPr>
                <w:rFonts w:hint="eastAsia" w:ascii="仿宋" w:hAnsi="仿宋" w:eastAsia="仿宋" w:cs="仿宋"/>
                <w:color w:val="auto"/>
                <w:kern w:val="1"/>
                <w:szCs w:val="21"/>
                <w:highlight w:val="none"/>
              </w:rPr>
            </w:pPr>
          </w:p>
        </w:tc>
        <w:tc>
          <w:tcPr>
            <w:tcW w:w="1322"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outlineLvl w:val="9"/>
              <w:rPr>
                <w:rFonts w:hint="eastAsia" w:ascii="仿宋" w:hAnsi="仿宋" w:eastAsia="仿宋" w:cs="仿宋"/>
                <w:color w:val="auto"/>
                <w:kern w:val="1"/>
                <w:szCs w:val="21"/>
                <w:highlight w:val="none"/>
              </w:rPr>
            </w:pPr>
          </w:p>
        </w:tc>
        <w:tc>
          <w:tcPr>
            <w:tcW w:w="1011"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outlineLvl w:val="9"/>
              <w:rPr>
                <w:rFonts w:hint="eastAsia" w:ascii="仿宋" w:hAnsi="仿宋" w:eastAsia="仿宋" w:cs="仿宋"/>
                <w:color w:val="auto"/>
                <w:kern w:val="1"/>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outlineLvl w:val="9"/>
              <w:rPr>
                <w:rFonts w:hint="eastAsia" w:ascii="仿宋" w:hAnsi="仿宋" w:eastAsia="仿宋" w:cs="仿宋"/>
                <w:color w:val="auto"/>
                <w:kern w:val="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031"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outlineLvl w:val="9"/>
              <w:rPr>
                <w:rFonts w:hint="eastAsia" w:ascii="仿宋" w:hAnsi="仿宋" w:eastAsia="仿宋" w:cs="仿宋"/>
                <w:color w:val="auto"/>
                <w:kern w:val="1"/>
                <w:szCs w:val="21"/>
                <w:highlight w:val="none"/>
              </w:rPr>
            </w:pPr>
          </w:p>
        </w:tc>
        <w:tc>
          <w:tcPr>
            <w:tcW w:w="1093"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outlineLvl w:val="9"/>
              <w:rPr>
                <w:rFonts w:hint="eastAsia" w:ascii="仿宋" w:hAnsi="仿宋" w:eastAsia="仿宋" w:cs="仿宋"/>
                <w:color w:val="auto"/>
                <w:kern w:val="1"/>
                <w:szCs w:val="21"/>
                <w:highlight w:val="none"/>
              </w:rPr>
            </w:pPr>
          </w:p>
        </w:tc>
        <w:tc>
          <w:tcPr>
            <w:tcW w:w="933"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outlineLvl w:val="9"/>
              <w:rPr>
                <w:rFonts w:hint="eastAsia" w:ascii="仿宋" w:hAnsi="仿宋" w:eastAsia="仿宋" w:cs="仿宋"/>
                <w:color w:val="auto"/>
                <w:kern w:val="1"/>
                <w:szCs w:val="21"/>
                <w:highlight w:val="none"/>
              </w:rPr>
            </w:pPr>
          </w:p>
        </w:tc>
        <w:tc>
          <w:tcPr>
            <w:tcW w:w="1478"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outlineLvl w:val="9"/>
              <w:rPr>
                <w:rFonts w:hint="eastAsia" w:ascii="仿宋" w:hAnsi="仿宋" w:eastAsia="仿宋" w:cs="仿宋"/>
                <w:color w:val="auto"/>
                <w:kern w:val="1"/>
                <w:szCs w:val="21"/>
                <w:highlight w:val="none"/>
              </w:rPr>
            </w:pPr>
          </w:p>
        </w:tc>
        <w:tc>
          <w:tcPr>
            <w:tcW w:w="822"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outlineLvl w:val="9"/>
              <w:rPr>
                <w:rFonts w:hint="eastAsia" w:ascii="仿宋" w:hAnsi="仿宋" w:eastAsia="仿宋" w:cs="仿宋"/>
                <w:color w:val="auto"/>
                <w:kern w:val="1"/>
                <w:szCs w:val="21"/>
                <w:highlight w:val="none"/>
              </w:rPr>
            </w:pPr>
          </w:p>
        </w:tc>
        <w:tc>
          <w:tcPr>
            <w:tcW w:w="1111"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outlineLvl w:val="9"/>
              <w:rPr>
                <w:rFonts w:hint="eastAsia" w:ascii="仿宋" w:hAnsi="仿宋" w:eastAsia="仿宋" w:cs="仿宋"/>
                <w:color w:val="auto"/>
                <w:kern w:val="1"/>
                <w:szCs w:val="21"/>
                <w:highlight w:val="none"/>
              </w:rPr>
            </w:pPr>
          </w:p>
        </w:tc>
        <w:tc>
          <w:tcPr>
            <w:tcW w:w="1322"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outlineLvl w:val="9"/>
              <w:rPr>
                <w:rFonts w:hint="eastAsia" w:ascii="仿宋" w:hAnsi="仿宋" w:eastAsia="仿宋" w:cs="仿宋"/>
                <w:color w:val="auto"/>
                <w:kern w:val="1"/>
                <w:szCs w:val="21"/>
                <w:highlight w:val="none"/>
              </w:rPr>
            </w:pPr>
          </w:p>
        </w:tc>
        <w:tc>
          <w:tcPr>
            <w:tcW w:w="1011"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outlineLvl w:val="9"/>
              <w:rPr>
                <w:rFonts w:hint="eastAsia" w:ascii="仿宋" w:hAnsi="仿宋" w:eastAsia="仿宋" w:cs="仿宋"/>
                <w:color w:val="auto"/>
                <w:kern w:val="1"/>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outlineLvl w:val="9"/>
              <w:rPr>
                <w:rFonts w:hint="eastAsia" w:ascii="仿宋" w:hAnsi="仿宋" w:eastAsia="仿宋" w:cs="仿宋"/>
                <w:color w:val="auto"/>
                <w:kern w:val="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031"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outlineLvl w:val="9"/>
              <w:rPr>
                <w:rFonts w:hint="eastAsia" w:ascii="仿宋" w:hAnsi="仿宋" w:eastAsia="仿宋" w:cs="仿宋"/>
                <w:color w:val="auto"/>
                <w:kern w:val="1"/>
                <w:szCs w:val="21"/>
                <w:highlight w:val="none"/>
              </w:rPr>
            </w:pPr>
          </w:p>
        </w:tc>
        <w:tc>
          <w:tcPr>
            <w:tcW w:w="1093"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outlineLvl w:val="9"/>
              <w:rPr>
                <w:rFonts w:hint="eastAsia" w:ascii="仿宋" w:hAnsi="仿宋" w:eastAsia="仿宋" w:cs="仿宋"/>
                <w:color w:val="auto"/>
                <w:kern w:val="1"/>
                <w:szCs w:val="21"/>
                <w:highlight w:val="none"/>
              </w:rPr>
            </w:pPr>
          </w:p>
        </w:tc>
        <w:tc>
          <w:tcPr>
            <w:tcW w:w="933"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outlineLvl w:val="9"/>
              <w:rPr>
                <w:rFonts w:hint="eastAsia" w:ascii="仿宋" w:hAnsi="仿宋" w:eastAsia="仿宋" w:cs="仿宋"/>
                <w:color w:val="auto"/>
                <w:kern w:val="1"/>
                <w:szCs w:val="21"/>
                <w:highlight w:val="none"/>
              </w:rPr>
            </w:pPr>
          </w:p>
        </w:tc>
        <w:tc>
          <w:tcPr>
            <w:tcW w:w="1478"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outlineLvl w:val="9"/>
              <w:rPr>
                <w:rFonts w:hint="eastAsia" w:ascii="仿宋" w:hAnsi="仿宋" w:eastAsia="仿宋" w:cs="仿宋"/>
                <w:color w:val="auto"/>
                <w:kern w:val="1"/>
                <w:szCs w:val="21"/>
                <w:highlight w:val="none"/>
              </w:rPr>
            </w:pPr>
          </w:p>
        </w:tc>
        <w:tc>
          <w:tcPr>
            <w:tcW w:w="822"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outlineLvl w:val="9"/>
              <w:rPr>
                <w:rFonts w:hint="eastAsia" w:ascii="仿宋" w:hAnsi="仿宋" w:eastAsia="仿宋" w:cs="仿宋"/>
                <w:color w:val="auto"/>
                <w:kern w:val="1"/>
                <w:szCs w:val="21"/>
                <w:highlight w:val="none"/>
              </w:rPr>
            </w:pPr>
          </w:p>
        </w:tc>
        <w:tc>
          <w:tcPr>
            <w:tcW w:w="1111"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outlineLvl w:val="9"/>
              <w:rPr>
                <w:rFonts w:hint="eastAsia" w:ascii="仿宋" w:hAnsi="仿宋" w:eastAsia="仿宋" w:cs="仿宋"/>
                <w:color w:val="auto"/>
                <w:kern w:val="1"/>
                <w:szCs w:val="21"/>
                <w:highlight w:val="none"/>
              </w:rPr>
            </w:pPr>
          </w:p>
        </w:tc>
        <w:tc>
          <w:tcPr>
            <w:tcW w:w="1322"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outlineLvl w:val="9"/>
              <w:rPr>
                <w:rFonts w:hint="eastAsia" w:ascii="仿宋" w:hAnsi="仿宋" w:eastAsia="仿宋" w:cs="仿宋"/>
                <w:color w:val="auto"/>
                <w:kern w:val="1"/>
                <w:szCs w:val="21"/>
                <w:highlight w:val="none"/>
              </w:rPr>
            </w:pPr>
          </w:p>
        </w:tc>
        <w:tc>
          <w:tcPr>
            <w:tcW w:w="1011"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outlineLvl w:val="9"/>
              <w:rPr>
                <w:rFonts w:hint="eastAsia" w:ascii="仿宋" w:hAnsi="仿宋" w:eastAsia="仿宋" w:cs="仿宋"/>
                <w:color w:val="auto"/>
                <w:kern w:val="1"/>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outlineLvl w:val="9"/>
              <w:rPr>
                <w:rFonts w:hint="eastAsia" w:ascii="仿宋" w:hAnsi="仿宋" w:eastAsia="仿宋" w:cs="仿宋"/>
                <w:color w:val="auto"/>
                <w:kern w:val="1"/>
                <w:szCs w:val="21"/>
                <w:highlight w:val="none"/>
              </w:rPr>
            </w:pPr>
          </w:p>
        </w:tc>
      </w:tr>
    </w:tbl>
    <w:p>
      <w:pPr>
        <w:pStyle w:val="58"/>
        <w:spacing w:line="50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投标人（签章）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p>
    <w:p>
      <w:pPr>
        <w:pStyle w:val="58"/>
        <w:spacing w:line="50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val="en-US" w:eastAsia="zh-CN"/>
        </w:rPr>
        <w:t>签名或</w:t>
      </w:r>
      <w:r>
        <w:rPr>
          <w:rFonts w:hint="eastAsia" w:ascii="仿宋" w:hAnsi="仿宋" w:eastAsia="仿宋" w:cs="仿宋"/>
          <w:color w:val="auto"/>
          <w:sz w:val="24"/>
          <w:szCs w:val="24"/>
          <w:highlight w:val="none"/>
        </w:rPr>
        <w:t>签章）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p>
    <w:p>
      <w:pPr>
        <w:pStyle w:val="58"/>
        <w:spacing w:line="50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签发日期</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pStyle w:val="57"/>
        <w:jc w:val="both"/>
        <w:outlineLvl w:val="9"/>
        <w:rPr>
          <w:rFonts w:hint="eastAsia" w:ascii="仿宋" w:hAnsi="仿宋" w:eastAsia="仿宋" w:cs="仿宋"/>
          <w:color w:val="auto"/>
          <w:highlight w:val="none"/>
          <w:lang w:eastAsia="zh-CN"/>
        </w:rPr>
      </w:pPr>
    </w:p>
    <w:p>
      <w:pPr>
        <w:pStyle w:val="57"/>
        <w:jc w:val="both"/>
        <w:outlineLvl w:val="9"/>
        <w:rPr>
          <w:rFonts w:hint="eastAsia" w:ascii="仿宋" w:hAnsi="仿宋" w:eastAsia="仿宋" w:cs="仿宋"/>
          <w:color w:val="auto"/>
          <w:highlight w:val="none"/>
          <w:lang w:eastAsia="zh-CN"/>
        </w:rPr>
      </w:pPr>
    </w:p>
    <w:p>
      <w:pPr>
        <w:pStyle w:val="57"/>
        <w:jc w:val="both"/>
        <w:outlineLvl w:val="9"/>
        <w:rPr>
          <w:rFonts w:hint="eastAsia" w:ascii="仿宋" w:hAnsi="仿宋" w:eastAsia="仿宋" w:cs="仿宋"/>
          <w:color w:val="auto"/>
          <w:highlight w:val="none"/>
          <w:lang w:eastAsia="zh-CN"/>
        </w:rPr>
      </w:pPr>
    </w:p>
    <w:p>
      <w:pPr>
        <w:pStyle w:val="57"/>
        <w:jc w:val="both"/>
        <w:outlineLvl w:val="9"/>
        <w:rPr>
          <w:rFonts w:hint="eastAsia" w:ascii="仿宋" w:hAnsi="仿宋" w:eastAsia="仿宋" w:cs="仿宋"/>
          <w:color w:val="auto"/>
          <w:highlight w:val="none"/>
          <w:lang w:eastAsia="zh-CN"/>
        </w:rPr>
      </w:pPr>
    </w:p>
    <w:p>
      <w:pPr>
        <w:pStyle w:val="57"/>
        <w:jc w:val="both"/>
        <w:outlineLvl w:val="9"/>
        <w:rPr>
          <w:rFonts w:hint="eastAsia" w:ascii="仿宋" w:hAnsi="仿宋" w:eastAsia="仿宋" w:cs="仿宋"/>
          <w:color w:val="auto"/>
          <w:highlight w:val="none"/>
          <w:lang w:eastAsia="zh-CN"/>
        </w:rPr>
      </w:pPr>
    </w:p>
    <w:p>
      <w:pPr>
        <w:pStyle w:val="57"/>
        <w:jc w:val="both"/>
        <w:outlineLvl w:val="9"/>
        <w:rPr>
          <w:rFonts w:hint="eastAsia" w:ascii="仿宋" w:hAnsi="仿宋" w:eastAsia="仿宋" w:cs="仿宋"/>
          <w:color w:val="auto"/>
          <w:highlight w:val="none"/>
          <w:lang w:eastAsia="zh-CN"/>
        </w:rPr>
      </w:pPr>
    </w:p>
    <w:p>
      <w:pPr>
        <w:pStyle w:val="76"/>
        <w:spacing w:line="500" w:lineRule="exact"/>
        <w:outlineLvl w:val="9"/>
        <w:rPr>
          <w:rFonts w:hint="eastAsia" w:ascii="仿宋" w:hAnsi="仿宋" w:eastAsia="仿宋" w:cs="仿宋"/>
          <w:b/>
          <w:color w:val="auto"/>
          <w:kern w:val="0"/>
          <w:sz w:val="32"/>
          <w:szCs w:val="24"/>
          <w:highlight w:val="none"/>
          <w:lang w:val="en-US" w:eastAsia="zh-CN"/>
        </w:rPr>
      </w:pPr>
    </w:p>
    <w:p>
      <w:pPr>
        <w:pStyle w:val="76"/>
        <w:spacing w:line="500" w:lineRule="exact"/>
        <w:outlineLvl w:val="9"/>
        <w:rPr>
          <w:rFonts w:hint="eastAsia" w:ascii="仿宋" w:hAnsi="仿宋" w:eastAsia="仿宋" w:cs="仿宋"/>
          <w:b/>
          <w:color w:val="auto"/>
          <w:kern w:val="0"/>
          <w:sz w:val="32"/>
          <w:szCs w:val="24"/>
          <w:highlight w:val="none"/>
          <w:lang w:val="en-US" w:eastAsia="zh-CN"/>
        </w:rPr>
      </w:pPr>
    </w:p>
    <w:p>
      <w:pPr>
        <w:numPr>
          <w:ilvl w:val="2"/>
          <w:numId w:val="0"/>
        </w:numPr>
        <w:ind w:leftChars="0"/>
        <w:outlineLvl w:val="9"/>
        <w:rPr>
          <w:rFonts w:hint="eastAsia" w:ascii="仿宋" w:hAnsi="仿宋" w:eastAsia="仿宋" w:cs="仿宋"/>
          <w:b/>
          <w:bCs w:val="0"/>
          <w:color w:val="auto"/>
          <w:kern w:val="2"/>
          <w:sz w:val="32"/>
          <w:szCs w:val="32"/>
          <w:highlight w:val="none"/>
          <w:lang w:val="en-US" w:eastAsia="zh-CN"/>
        </w:rPr>
        <w:sectPr>
          <w:pgSz w:w="11906" w:h="16838"/>
          <w:pgMar w:top="1440" w:right="1797" w:bottom="1440" w:left="1797" w:header="851" w:footer="992" w:gutter="0"/>
          <w:pgNumType w:fmt="decimal"/>
          <w:cols w:space="720" w:num="1"/>
          <w:titlePg/>
          <w:docGrid w:type="lines" w:linePitch="312" w:charSpace="0"/>
        </w:sectPr>
      </w:pPr>
      <w:bookmarkStart w:id="192" w:name="_Toc1025"/>
    </w:p>
    <w:p>
      <w:pPr>
        <w:numPr>
          <w:ilvl w:val="2"/>
          <w:numId w:val="0"/>
        </w:numPr>
        <w:ind w:leftChars="0"/>
        <w:outlineLvl w:val="9"/>
        <w:rPr>
          <w:rFonts w:hint="eastAsia" w:ascii="仿宋" w:hAnsi="仿宋" w:eastAsia="仿宋" w:cs="仿宋"/>
          <w:b/>
          <w:bCs w:val="0"/>
          <w:color w:val="auto"/>
          <w:kern w:val="2"/>
          <w:sz w:val="32"/>
          <w:szCs w:val="32"/>
          <w:highlight w:val="none"/>
          <w:lang w:val="en-US" w:eastAsia="zh-CN"/>
        </w:rPr>
      </w:pPr>
      <w:bookmarkStart w:id="207" w:name="_GoBack"/>
      <w:bookmarkEnd w:id="207"/>
      <w:r>
        <w:rPr>
          <w:rFonts w:hint="eastAsia" w:ascii="仿宋" w:hAnsi="仿宋" w:eastAsia="仿宋" w:cs="仿宋"/>
          <w:b/>
          <w:bCs w:val="0"/>
          <w:color w:val="auto"/>
          <w:kern w:val="2"/>
          <w:sz w:val="32"/>
          <w:szCs w:val="32"/>
          <w:highlight w:val="none"/>
          <w:lang w:val="en-US" w:eastAsia="zh-CN"/>
        </w:rPr>
        <w:t>2.商务条款偏离说明表</w:t>
      </w:r>
      <w:bookmarkEnd w:id="192"/>
    </w:p>
    <w:p>
      <w:pPr>
        <w:numPr>
          <w:ilvl w:val="4"/>
          <w:numId w:val="0"/>
        </w:numPr>
        <w:spacing w:before="230" w:beforeLines="0"/>
        <w:ind w:left="3573" w:leftChars="0"/>
        <w:outlineLvl w:val="9"/>
        <w:rPr>
          <w:rFonts w:hint="eastAsia" w:ascii="仿宋" w:hAnsi="仿宋" w:eastAsia="仿宋" w:cs="仿宋"/>
          <w:color w:val="auto"/>
          <w:highlight w:val="none"/>
        </w:rPr>
      </w:pPr>
      <w:r>
        <w:rPr>
          <w:rFonts w:hint="eastAsia" w:ascii="仿宋" w:hAnsi="仿宋" w:eastAsia="仿宋" w:cs="仿宋"/>
          <w:color w:val="auto"/>
          <w:sz w:val="24"/>
          <w:szCs w:val="28"/>
          <w:highlight w:val="none"/>
        </w:rPr>
        <w:t>商务</w:t>
      </w:r>
      <w:r>
        <w:rPr>
          <w:rFonts w:hint="eastAsia" w:ascii="仿宋" w:hAnsi="仿宋" w:eastAsia="仿宋" w:cs="仿宋"/>
          <w:color w:val="auto"/>
          <w:sz w:val="24"/>
          <w:szCs w:val="28"/>
          <w:highlight w:val="none"/>
          <w:lang w:val="en-US" w:eastAsia="zh-CN"/>
        </w:rPr>
        <w:t>条款</w:t>
      </w:r>
      <w:r>
        <w:rPr>
          <w:rFonts w:hint="eastAsia" w:ascii="仿宋" w:hAnsi="仿宋" w:eastAsia="仿宋" w:cs="仿宋"/>
          <w:color w:val="auto"/>
          <w:sz w:val="24"/>
          <w:szCs w:val="28"/>
          <w:highlight w:val="none"/>
        </w:rPr>
        <w:t>偏离说明表</w:t>
      </w:r>
      <w:r>
        <w:rPr>
          <w:rFonts w:hint="eastAsia" w:ascii="仿宋" w:hAnsi="仿宋" w:eastAsia="仿宋" w:cs="仿宋"/>
          <w:color w:val="auto"/>
          <w:highlight w:val="none"/>
        </w:rPr>
        <w:t xml:space="preserve"> </w:t>
      </w:r>
    </w:p>
    <w:p>
      <w:pPr>
        <w:spacing w:before="140" w:beforeLines="0" w:line="336" w:lineRule="auto"/>
        <w:ind w:right="3103"/>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采购项目编号：</w:t>
      </w:r>
      <w:r>
        <w:rPr>
          <w:rFonts w:hint="eastAsia" w:ascii="仿宋" w:hAnsi="仿宋" w:eastAsia="仿宋" w:cs="仿宋"/>
          <w:color w:val="auto"/>
          <w:spacing w:val="-2"/>
          <w:sz w:val="24"/>
          <w:szCs w:val="24"/>
          <w:highlight w:val="none"/>
          <w:u w:val="single"/>
        </w:rPr>
        <w:t xml:space="preserve">                             </w:t>
      </w:r>
      <w:r>
        <w:rPr>
          <w:rFonts w:hint="eastAsia" w:ascii="仿宋" w:hAnsi="仿宋" w:eastAsia="仿宋" w:cs="仿宋"/>
          <w:color w:val="auto"/>
          <w:spacing w:val="-2"/>
          <w:sz w:val="24"/>
          <w:szCs w:val="24"/>
          <w:highlight w:val="none"/>
        </w:rPr>
        <w:t xml:space="preserve">      采购项目名称：</w:t>
      </w:r>
      <w:r>
        <w:rPr>
          <w:rFonts w:hint="eastAsia" w:ascii="仿宋" w:hAnsi="仿宋" w:eastAsia="仿宋" w:cs="仿宋"/>
          <w:color w:val="auto"/>
          <w:spacing w:val="-2"/>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pacing w:val="-2"/>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pacing w:val="-2"/>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pacing w:val="-2"/>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pacing w:val="-2"/>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pacing w:val="-2"/>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pacing w:val="-2"/>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pacing w:val="-2"/>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pacing w:val="-2"/>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pacing w:val="-2"/>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pacing w:val="-2"/>
          <w:sz w:val="24"/>
          <w:szCs w:val="24"/>
          <w:highlight w:val="none"/>
          <w:u w:val="single"/>
        </w:rPr>
        <w:t xml:space="preserve">  </w:t>
      </w:r>
      <w:r>
        <w:rPr>
          <w:rFonts w:hint="eastAsia" w:ascii="仿宋" w:hAnsi="仿宋" w:eastAsia="仿宋" w:cs="仿宋"/>
          <w:color w:val="auto"/>
          <w:spacing w:val="1"/>
          <w:sz w:val="24"/>
          <w:szCs w:val="24"/>
          <w:highlight w:val="none"/>
          <w:u w:val="single"/>
        </w:rPr>
        <w:t xml:space="preserve"> </w:t>
      </w:r>
      <w:r>
        <w:rPr>
          <w:rFonts w:hint="eastAsia" w:ascii="仿宋" w:hAnsi="仿宋" w:eastAsia="仿宋" w:cs="仿宋"/>
          <w:color w:val="auto"/>
          <w:sz w:val="24"/>
          <w:szCs w:val="24"/>
          <w:highlight w:val="none"/>
        </w:rPr>
        <w:t xml:space="preserve"> </w:t>
      </w:r>
    </w:p>
    <w:tbl>
      <w:tblPr>
        <w:tblStyle w:val="19"/>
        <w:tblpPr w:leftFromText="180" w:rightFromText="180" w:vertAnchor="text" w:horzAnchor="page" w:tblpX="1511" w:tblpY="4"/>
        <w:tblOverlap w:val="never"/>
        <w:tblW w:w="91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5"/>
        <w:gridCol w:w="2920"/>
        <w:gridCol w:w="3064"/>
        <w:gridCol w:w="2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2" w:hRule="atLeast"/>
        </w:trPr>
        <w:tc>
          <w:tcPr>
            <w:tcW w:w="565" w:type="dxa"/>
            <w:noWrap w:val="0"/>
            <w:vAlign w:val="top"/>
          </w:tcPr>
          <w:p>
            <w:pPr>
              <w:pStyle w:val="45"/>
              <w:spacing w:line="500" w:lineRule="exact"/>
              <w:ind w:left="107" w:right="-1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序号 </w:t>
            </w:r>
          </w:p>
        </w:tc>
        <w:tc>
          <w:tcPr>
            <w:tcW w:w="2920" w:type="dxa"/>
            <w:noWrap w:val="0"/>
            <w:vAlign w:val="top"/>
          </w:tcPr>
          <w:p>
            <w:pPr>
              <w:pStyle w:val="45"/>
              <w:spacing w:before="11" w:beforeLines="0"/>
              <w:outlineLvl w:val="9"/>
              <w:rPr>
                <w:rFonts w:hint="eastAsia" w:ascii="仿宋" w:hAnsi="仿宋" w:eastAsia="仿宋" w:cs="仿宋"/>
                <w:color w:val="auto"/>
                <w:sz w:val="24"/>
                <w:szCs w:val="24"/>
                <w:highlight w:val="none"/>
              </w:rPr>
            </w:pPr>
          </w:p>
          <w:p>
            <w:pPr>
              <w:pStyle w:val="45"/>
              <w:ind w:left="234"/>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 xml:space="preserve">要求部分 </w:t>
            </w:r>
          </w:p>
        </w:tc>
        <w:tc>
          <w:tcPr>
            <w:tcW w:w="3064" w:type="dxa"/>
            <w:noWrap w:val="0"/>
            <w:vAlign w:val="top"/>
          </w:tcPr>
          <w:p>
            <w:pPr>
              <w:pStyle w:val="45"/>
              <w:spacing w:line="500" w:lineRule="exact"/>
              <w:ind w:left="730" w:right="585"/>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投标服务部分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如有彩页，具体所对应页码）</w:t>
            </w:r>
          </w:p>
        </w:tc>
        <w:tc>
          <w:tcPr>
            <w:tcW w:w="2629" w:type="dxa"/>
            <w:noWrap w:val="0"/>
            <w:vAlign w:val="top"/>
          </w:tcPr>
          <w:p>
            <w:pPr>
              <w:pStyle w:val="45"/>
              <w:spacing w:before="11" w:beforeLines="0"/>
              <w:outlineLvl w:val="9"/>
              <w:rPr>
                <w:rFonts w:hint="eastAsia" w:ascii="仿宋" w:hAnsi="仿宋" w:eastAsia="仿宋" w:cs="仿宋"/>
                <w:color w:val="auto"/>
                <w:sz w:val="24"/>
                <w:szCs w:val="24"/>
                <w:highlight w:val="none"/>
              </w:rPr>
            </w:pPr>
          </w:p>
          <w:p>
            <w:pPr>
              <w:pStyle w:val="45"/>
              <w:ind w:left="786"/>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偏离说明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565" w:type="dxa"/>
            <w:noWrap w:val="0"/>
            <w:vAlign w:val="top"/>
          </w:tcPr>
          <w:p>
            <w:pPr>
              <w:pStyle w:val="45"/>
              <w:spacing w:before="245" w:beforeLines="0"/>
              <w:ind w:left="107"/>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 </w:t>
            </w:r>
          </w:p>
        </w:tc>
        <w:tc>
          <w:tcPr>
            <w:tcW w:w="2920" w:type="dxa"/>
            <w:noWrap w:val="0"/>
            <w:vAlign w:val="top"/>
          </w:tcPr>
          <w:p>
            <w:pPr>
              <w:pStyle w:val="45"/>
              <w:spacing w:before="245" w:beforeLines="0"/>
              <w:ind w:left="107"/>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供货</w:t>
            </w:r>
            <w:r>
              <w:rPr>
                <w:rFonts w:hint="eastAsia" w:ascii="仿宋" w:hAnsi="仿宋" w:eastAsia="仿宋" w:cs="仿宋"/>
                <w:color w:val="auto"/>
                <w:sz w:val="24"/>
                <w:szCs w:val="24"/>
                <w:highlight w:val="none"/>
                <w:lang w:eastAsia="zh-CN"/>
              </w:rPr>
              <w:t>期</w:t>
            </w:r>
            <w:r>
              <w:rPr>
                <w:rFonts w:hint="eastAsia" w:ascii="仿宋" w:hAnsi="仿宋" w:eastAsia="仿宋" w:cs="仿宋"/>
                <w:color w:val="auto"/>
                <w:sz w:val="24"/>
                <w:szCs w:val="24"/>
                <w:highlight w:val="none"/>
                <w:lang w:val="en-US" w:eastAsia="zh-CN"/>
              </w:rPr>
              <w:t>.供货地点.付款方式等</w:t>
            </w:r>
            <w:r>
              <w:rPr>
                <w:rFonts w:hint="eastAsia" w:ascii="仿宋" w:hAnsi="仿宋" w:eastAsia="仿宋" w:cs="仿宋"/>
                <w:color w:val="auto"/>
                <w:sz w:val="24"/>
                <w:szCs w:val="24"/>
                <w:highlight w:val="none"/>
                <w:lang w:eastAsia="zh-CN"/>
              </w:rPr>
              <w:t>）</w:t>
            </w:r>
          </w:p>
        </w:tc>
        <w:tc>
          <w:tcPr>
            <w:tcW w:w="3064" w:type="dxa"/>
            <w:noWrap w:val="0"/>
            <w:vAlign w:val="top"/>
          </w:tcPr>
          <w:p>
            <w:pPr>
              <w:pStyle w:val="45"/>
              <w:spacing w:before="245" w:beforeLines="0"/>
              <w:ind w:left="104"/>
              <w:outlineLvl w:val="9"/>
              <w:rPr>
                <w:rFonts w:hint="eastAsia" w:ascii="仿宋" w:hAnsi="仿宋" w:eastAsia="仿宋" w:cs="仿宋"/>
                <w:color w:val="auto"/>
                <w:sz w:val="24"/>
                <w:szCs w:val="24"/>
                <w:highlight w:val="none"/>
              </w:rPr>
            </w:pPr>
            <w:r>
              <w:rPr>
                <w:rFonts w:hint="eastAsia" w:ascii="仿宋" w:hAnsi="仿宋" w:eastAsia="仿宋" w:cs="仿宋"/>
                <w:color w:val="auto"/>
                <w:w w:val="100"/>
                <w:sz w:val="24"/>
                <w:szCs w:val="24"/>
                <w:highlight w:val="none"/>
              </w:rPr>
              <w:t xml:space="preserve"> </w:t>
            </w:r>
          </w:p>
        </w:tc>
        <w:tc>
          <w:tcPr>
            <w:tcW w:w="2629" w:type="dxa"/>
            <w:noWrap w:val="0"/>
            <w:vAlign w:val="top"/>
          </w:tcPr>
          <w:p>
            <w:pPr>
              <w:pStyle w:val="45"/>
              <w:spacing w:before="245" w:beforeLines="0"/>
              <w:ind w:left="104"/>
              <w:outlineLvl w:val="9"/>
              <w:rPr>
                <w:rFonts w:hint="eastAsia" w:ascii="仿宋" w:hAnsi="仿宋" w:eastAsia="仿宋" w:cs="仿宋"/>
                <w:color w:val="auto"/>
                <w:sz w:val="24"/>
                <w:szCs w:val="24"/>
                <w:highlight w:val="none"/>
              </w:rPr>
            </w:pPr>
            <w:r>
              <w:rPr>
                <w:rFonts w:hint="eastAsia" w:ascii="仿宋" w:hAnsi="仿宋" w:eastAsia="仿宋" w:cs="仿宋"/>
                <w:color w:val="auto"/>
                <w:w w:val="100"/>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565" w:type="dxa"/>
            <w:noWrap w:val="0"/>
            <w:vAlign w:val="top"/>
          </w:tcPr>
          <w:p>
            <w:pPr>
              <w:pStyle w:val="45"/>
              <w:spacing w:before="248" w:beforeLines="0"/>
              <w:ind w:left="107"/>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 </w:t>
            </w:r>
          </w:p>
        </w:tc>
        <w:tc>
          <w:tcPr>
            <w:tcW w:w="2920" w:type="dxa"/>
            <w:noWrap w:val="0"/>
            <w:vAlign w:val="top"/>
          </w:tcPr>
          <w:p>
            <w:pPr>
              <w:pStyle w:val="45"/>
              <w:spacing w:before="248" w:beforeLines="0"/>
              <w:ind w:left="107"/>
              <w:outlineLvl w:val="9"/>
              <w:rPr>
                <w:rFonts w:hint="eastAsia" w:ascii="仿宋" w:hAnsi="仿宋" w:eastAsia="仿宋" w:cs="仿宋"/>
                <w:color w:val="auto"/>
                <w:sz w:val="24"/>
                <w:szCs w:val="24"/>
                <w:highlight w:val="none"/>
              </w:rPr>
            </w:pPr>
          </w:p>
        </w:tc>
        <w:tc>
          <w:tcPr>
            <w:tcW w:w="3064" w:type="dxa"/>
            <w:noWrap w:val="0"/>
            <w:vAlign w:val="top"/>
          </w:tcPr>
          <w:p>
            <w:pPr>
              <w:pStyle w:val="45"/>
              <w:spacing w:before="248" w:beforeLines="0"/>
              <w:ind w:left="104"/>
              <w:outlineLvl w:val="9"/>
              <w:rPr>
                <w:rFonts w:hint="eastAsia" w:ascii="仿宋" w:hAnsi="仿宋" w:eastAsia="仿宋" w:cs="仿宋"/>
                <w:color w:val="auto"/>
                <w:sz w:val="24"/>
                <w:szCs w:val="24"/>
                <w:highlight w:val="none"/>
              </w:rPr>
            </w:pPr>
            <w:r>
              <w:rPr>
                <w:rFonts w:hint="eastAsia" w:ascii="仿宋" w:hAnsi="仿宋" w:eastAsia="仿宋" w:cs="仿宋"/>
                <w:color w:val="auto"/>
                <w:w w:val="100"/>
                <w:sz w:val="24"/>
                <w:szCs w:val="24"/>
                <w:highlight w:val="none"/>
              </w:rPr>
              <w:t xml:space="preserve"> </w:t>
            </w:r>
          </w:p>
        </w:tc>
        <w:tc>
          <w:tcPr>
            <w:tcW w:w="2629" w:type="dxa"/>
            <w:noWrap w:val="0"/>
            <w:vAlign w:val="top"/>
          </w:tcPr>
          <w:p>
            <w:pPr>
              <w:pStyle w:val="45"/>
              <w:spacing w:before="248" w:beforeLines="0"/>
              <w:ind w:left="104"/>
              <w:outlineLvl w:val="9"/>
              <w:rPr>
                <w:rFonts w:hint="eastAsia" w:ascii="仿宋" w:hAnsi="仿宋" w:eastAsia="仿宋" w:cs="仿宋"/>
                <w:color w:val="auto"/>
                <w:sz w:val="24"/>
                <w:szCs w:val="24"/>
                <w:highlight w:val="none"/>
              </w:rPr>
            </w:pPr>
            <w:r>
              <w:rPr>
                <w:rFonts w:hint="eastAsia" w:ascii="仿宋" w:hAnsi="仿宋" w:eastAsia="仿宋" w:cs="仿宋"/>
                <w:color w:val="auto"/>
                <w:w w:val="100"/>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565" w:type="dxa"/>
            <w:noWrap w:val="0"/>
            <w:vAlign w:val="top"/>
          </w:tcPr>
          <w:p>
            <w:pPr>
              <w:pStyle w:val="45"/>
              <w:spacing w:before="245" w:beforeLines="0"/>
              <w:ind w:left="107"/>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 </w:t>
            </w:r>
          </w:p>
        </w:tc>
        <w:tc>
          <w:tcPr>
            <w:tcW w:w="2920" w:type="dxa"/>
            <w:noWrap w:val="0"/>
            <w:vAlign w:val="top"/>
          </w:tcPr>
          <w:p>
            <w:pPr>
              <w:pStyle w:val="45"/>
              <w:spacing w:before="245" w:beforeLines="0"/>
              <w:ind w:left="107"/>
              <w:outlineLvl w:val="9"/>
              <w:rPr>
                <w:rFonts w:hint="eastAsia" w:ascii="仿宋" w:hAnsi="仿宋" w:eastAsia="仿宋" w:cs="仿宋"/>
                <w:color w:val="auto"/>
                <w:sz w:val="24"/>
                <w:szCs w:val="24"/>
                <w:highlight w:val="none"/>
              </w:rPr>
            </w:pPr>
          </w:p>
        </w:tc>
        <w:tc>
          <w:tcPr>
            <w:tcW w:w="3064" w:type="dxa"/>
            <w:noWrap w:val="0"/>
            <w:vAlign w:val="top"/>
          </w:tcPr>
          <w:p>
            <w:pPr>
              <w:pStyle w:val="45"/>
              <w:spacing w:before="245" w:beforeLines="0"/>
              <w:ind w:left="104"/>
              <w:outlineLvl w:val="9"/>
              <w:rPr>
                <w:rFonts w:hint="eastAsia" w:ascii="仿宋" w:hAnsi="仿宋" w:eastAsia="仿宋" w:cs="仿宋"/>
                <w:color w:val="auto"/>
                <w:sz w:val="24"/>
                <w:szCs w:val="24"/>
                <w:highlight w:val="none"/>
              </w:rPr>
            </w:pPr>
            <w:r>
              <w:rPr>
                <w:rFonts w:hint="eastAsia" w:ascii="仿宋" w:hAnsi="仿宋" w:eastAsia="仿宋" w:cs="仿宋"/>
                <w:color w:val="auto"/>
                <w:w w:val="100"/>
                <w:sz w:val="24"/>
                <w:szCs w:val="24"/>
                <w:highlight w:val="none"/>
              </w:rPr>
              <w:t xml:space="preserve"> </w:t>
            </w:r>
          </w:p>
        </w:tc>
        <w:tc>
          <w:tcPr>
            <w:tcW w:w="2629" w:type="dxa"/>
            <w:noWrap w:val="0"/>
            <w:vAlign w:val="top"/>
          </w:tcPr>
          <w:p>
            <w:pPr>
              <w:pStyle w:val="45"/>
              <w:spacing w:before="245" w:beforeLines="0"/>
              <w:ind w:left="104"/>
              <w:outlineLvl w:val="9"/>
              <w:rPr>
                <w:rFonts w:hint="eastAsia" w:ascii="仿宋" w:hAnsi="仿宋" w:eastAsia="仿宋" w:cs="仿宋"/>
                <w:color w:val="auto"/>
                <w:sz w:val="24"/>
                <w:szCs w:val="24"/>
                <w:highlight w:val="none"/>
              </w:rPr>
            </w:pPr>
            <w:r>
              <w:rPr>
                <w:rFonts w:hint="eastAsia" w:ascii="仿宋" w:hAnsi="仿宋" w:eastAsia="仿宋" w:cs="仿宋"/>
                <w:color w:val="auto"/>
                <w:w w:val="100"/>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565" w:type="dxa"/>
            <w:noWrap w:val="0"/>
            <w:vAlign w:val="top"/>
          </w:tcPr>
          <w:p>
            <w:pPr>
              <w:pStyle w:val="45"/>
              <w:spacing w:before="248" w:beforeLines="0"/>
              <w:ind w:left="107"/>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 </w:t>
            </w:r>
          </w:p>
        </w:tc>
        <w:tc>
          <w:tcPr>
            <w:tcW w:w="2920" w:type="dxa"/>
            <w:noWrap w:val="0"/>
            <w:vAlign w:val="top"/>
          </w:tcPr>
          <w:p>
            <w:pPr>
              <w:pStyle w:val="45"/>
              <w:spacing w:before="248" w:beforeLines="0"/>
              <w:ind w:left="107"/>
              <w:outlineLvl w:val="9"/>
              <w:rPr>
                <w:rFonts w:hint="eastAsia" w:ascii="仿宋" w:hAnsi="仿宋" w:eastAsia="仿宋" w:cs="仿宋"/>
                <w:color w:val="auto"/>
                <w:sz w:val="24"/>
                <w:szCs w:val="24"/>
                <w:highlight w:val="none"/>
              </w:rPr>
            </w:pPr>
          </w:p>
        </w:tc>
        <w:tc>
          <w:tcPr>
            <w:tcW w:w="3064" w:type="dxa"/>
            <w:noWrap w:val="0"/>
            <w:vAlign w:val="top"/>
          </w:tcPr>
          <w:p>
            <w:pPr>
              <w:pStyle w:val="45"/>
              <w:spacing w:before="248" w:beforeLines="0"/>
              <w:ind w:left="104"/>
              <w:outlineLvl w:val="9"/>
              <w:rPr>
                <w:rFonts w:hint="eastAsia" w:ascii="仿宋" w:hAnsi="仿宋" w:eastAsia="仿宋" w:cs="仿宋"/>
                <w:color w:val="auto"/>
                <w:sz w:val="24"/>
                <w:szCs w:val="24"/>
                <w:highlight w:val="none"/>
              </w:rPr>
            </w:pPr>
            <w:r>
              <w:rPr>
                <w:rFonts w:hint="eastAsia" w:ascii="仿宋" w:hAnsi="仿宋" w:eastAsia="仿宋" w:cs="仿宋"/>
                <w:color w:val="auto"/>
                <w:w w:val="100"/>
                <w:sz w:val="24"/>
                <w:szCs w:val="24"/>
                <w:highlight w:val="none"/>
              </w:rPr>
              <w:t xml:space="preserve"> </w:t>
            </w:r>
          </w:p>
        </w:tc>
        <w:tc>
          <w:tcPr>
            <w:tcW w:w="2629" w:type="dxa"/>
            <w:noWrap w:val="0"/>
            <w:vAlign w:val="top"/>
          </w:tcPr>
          <w:p>
            <w:pPr>
              <w:pStyle w:val="45"/>
              <w:spacing w:before="248" w:beforeLines="0"/>
              <w:ind w:left="104"/>
              <w:outlineLvl w:val="9"/>
              <w:rPr>
                <w:rFonts w:hint="eastAsia" w:ascii="仿宋" w:hAnsi="仿宋" w:eastAsia="仿宋" w:cs="仿宋"/>
                <w:color w:val="auto"/>
                <w:sz w:val="24"/>
                <w:szCs w:val="24"/>
                <w:highlight w:val="none"/>
              </w:rPr>
            </w:pPr>
            <w:r>
              <w:rPr>
                <w:rFonts w:hint="eastAsia" w:ascii="仿宋" w:hAnsi="仿宋" w:eastAsia="仿宋" w:cs="仿宋"/>
                <w:color w:val="auto"/>
                <w:w w:val="100"/>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565" w:type="dxa"/>
            <w:noWrap w:val="0"/>
            <w:vAlign w:val="top"/>
          </w:tcPr>
          <w:p>
            <w:pPr>
              <w:pStyle w:val="45"/>
              <w:spacing w:before="248" w:beforeLines="0"/>
              <w:ind w:left="107"/>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 </w:t>
            </w:r>
          </w:p>
        </w:tc>
        <w:tc>
          <w:tcPr>
            <w:tcW w:w="2920" w:type="dxa"/>
            <w:noWrap w:val="0"/>
            <w:vAlign w:val="top"/>
          </w:tcPr>
          <w:p>
            <w:pPr>
              <w:pStyle w:val="45"/>
              <w:spacing w:before="245" w:beforeLines="0"/>
              <w:ind w:left="107" w:leftChars="0"/>
              <w:outlineLvl w:val="9"/>
              <w:rPr>
                <w:rFonts w:hint="eastAsia" w:ascii="仿宋" w:hAnsi="仿宋" w:eastAsia="仿宋" w:cs="仿宋"/>
                <w:color w:val="auto"/>
                <w:kern w:val="0"/>
                <w:sz w:val="24"/>
                <w:szCs w:val="24"/>
                <w:highlight w:val="none"/>
                <w:lang w:val="zh-CN" w:eastAsia="zh-CN"/>
              </w:rPr>
            </w:pPr>
          </w:p>
        </w:tc>
        <w:tc>
          <w:tcPr>
            <w:tcW w:w="3064" w:type="dxa"/>
            <w:noWrap w:val="0"/>
            <w:vAlign w:val="top"/>
          </w:tcPr>
          <w:p>
            <w:pPr>
              <w:pStyle w:val="45"/>
              <w:spacing w:before="248" w:beforeLines="0"/>
              <w:ind w:left="104"/>
              <w:outlineLvl w:val="9"/>
              <w:rPr>
                <w:rFonts w:hint="eastAsia" w:ascii="仿宋" w:hAnsi="仿宋" w:eastAsia="仿宋" w:cs="仿宋"/>
                <w:color w:val="auto"/>
                <w:sz w:val="24"/>
                <w:szCs w:val="24"/>
                <w:highlight w:val="none"/>
              </w:rPr>
            </w:pPr>
            <w:r>
              <w:rPr>
                <w:rFonts w:hint="eastAsia" w:ascii="仿宋" w:hAnsi="仿宋" w:eastAsia="仿宋" w:cs="仿宋"/>
                <w:color w:val="auto"/>
                <w:w w:val="100"/>
                <w:sz w:val="24"/>
                <w:szCs w:val="24"/>
                <w:highlight w:val="none"/>
              </w:rPr>
              <w:t xml:space="preserve"> </w:t>
            </w:r>
          </w:p>
        </w:tc>
        <w:tc>
          <w:tcPr>
            <w:tcW w:w="2629" w:type="dxa"/>
            <w:noWrap w:val="0"/>
            <w:vAlign w:val="top"/>
          </w:tcPr>
          <w:p>
            <w:pPr>
              <w:pStyle w:val="45"/>
              <w:spacing w:before="248" w:beforeLines="0"/>
              <w:ind w:left="104"/>
              <w:outlineLvl w:val="9"/>
              <w:rPr>
                <w:rFonts w:hint="eastAsia" w:ascii="仿宋" w:hAnsi="仿宋" w:eastAsia="仿宋" w:cs="仿宋"/>
                <w:color w:val="auto"/>
                <w:sz w:val="24"/>
                <w:szCs w:val="24"/>
                <w:highlight w:val="none"/>
              </w:rPr>
            </w:pPr>
            <w:r>
              <w:rPr>
                <w:rFonts w:hint="eastAsia" w:ascii="仿宋" w:hAnsi="仿宋" w:eastAsia="仿宋" w:cs="仿宋"/>
                <w:color w:val="auto"/>
                <w:w w:val="100"/>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565" w:type="dxa"/>
            <w:noWrap w:val="0"/>
            <w:vAlign w:val="top"/>
          </w:tcPr>
          <w:p>
            <w:pPr>
              <w:pStyle w:val="45"/>
              <w:spacing w:before="248" w:beforeLines="0"/>
              <w:ind w:left="107"/>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p>
        </w:tc>
        <w:tc>
          <w:tcPr>
            <w:tcW w:w="2920" w:type="dxa"/>
            <w:noWrap w:val="0"/>
            <w:vAlign w:val="top"/>
          </w:tcPr>
          <w:p>
            <w:pPr>
              <w:pStyle w:val="45"/>
              <w:spacing w:before="248" w:beforeLines="0"/>
              <w:ind w:left="107" w:leftChars="0"/>
              <w:outlineLvl w:val="9"/>
              <w:rPr>
                <w:rFonts w:hint="eastAsia" w:ascii="仿宋" w:hAnsi="仿宋" w:eastAsia="仿宋" w:cs="仿宋"/>
                <w:color w:val="auto"/>
                <w:kern w:val="0"/>
                <w:sz w:val="24"/>
                <w:szCs w:val="24"/>
                <w:highlight w:val="none"/>
                <w:lang w:val="zh-CN" w:eastAsia="zh-CN"/>
              </w:rPr>
            </w:pPr>
          </w:p>
        </w:tc>
        <w:tc>
          <w:tcPr>
            <w:tcW w:w="3064" w:type="dxa"/>
            <w:noWrap w:val="0"/>
            <w:vAlign w:val="top"/>
          </w:tcPr>
          <w:p>
            <w:pPr>
              <w:pStyle w:val="45"/>
              <w:spacing w:before="248" w:beforeLines="0"/>
              <w:ind w:left="104"/>
              <w:outlineLvl w:val="9"/>
              <w:rPr>
                <w:rFonts w:hint="eastAsia" w:ascii="仿宋" w:hAnsi="仿宋" w:eastAsia="仿宋" w:cs="仿宋"/>
                <w:color w:val="auto"/>
                <w:sz w:val="24"/>
                <w:szCs w:val="24"/>
                <w:highlight w:val="none"/>
              </w:rPr>
            </w:pPr>
            <w:r>
              <w:rPr>
                <w:rFonts w:hint="eastAsia" w:ascii="仿宋" w:hAnsi="仿宋" w:eastAsia="仿宋" w:cs="仿宋"/>
                <w:color w:val="auto"/>
                <w:w w:val="100"/>
                <w:sz w:val="24"/>
                <w:szCs w:val="24"/>
                <w:highlight w:val="none"/>
              </w:rPr>
              <w:t xml:space="preserve"> </w:t>
            </w:r>
          </w:p>
        </w:tc>
        <w:tc>
          <w:tcPr>
            <w:tcW w:w="2629" w:type="dxa"/>
            <w:noWrap w:val="0"/>
            <w:vAlign w:val="top"/>
          </w:tcPr>
          <w:p>
            <w:pPr>
              <w:pStyle w:val="45"/>
              <w:spacing w:before="248" w:beforeLines="0"/>
              <w:ind w:left="104"/>
              <w:outlineLvl w:val="9"/>
              <w:rPr>
                <w:rFonts w:hint="eastAsia" w:ascii="仿宋" w:hAnsi="仿宋" w:eastAsia="仿宋" w:cs="仿宋"/>
                <w:color w:val="auto"/>
                <w:sz w:val="24"/>
                <w:szCs w:val="24"/>
                <w:highlight w:val="none"/>
              </w:rPr>
            </w:pPr>
            <w:r>
              <w:rPr>
                <w:rFonts w:hint="eastAsia" w:ascii="仿宋" w:hAnsi="仿宋" w:eastAsia="仿宋" w:cs="仿宋"/>
                <w:color w:val="auto"/>
                <w:w w:val="100"/>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565" w:type="dxa"/>
            <w:noWrap w:val="0"/>
            <w:vAlign w:val="top"/>
          </w:tcPr>
          <w:p>
            <w:pPr>
              <w:pStyle w:val="45"/>
              <w:spacing w:before="247" w:beforeLines="0"/>
              <w:ind w:left="107" w:right="-15"/>
              <w:outlineLvl w:val="9"/>
              <w:rPr>
                <w:rFonts w:hint="eastAsia" w:ascii="仿宋" w:hAnsi="仿宋" w:eastAsia="仿宋" w:cs="仿宋"/>
                <w:color w:val="auto"/>
                <w:sz w:val="24"/>
                <w:szCs w:val="24"/>
                <w:highlight w:val="none"/>
              </w:rPr>
            </w:pPr>
          </w:p>
        </w:tc>
        <w:tc>
          <w:tcPr>
            <w:tcW w:w="2920" w:type="dxa"/>
            <w:noWrap w:val="0"/>
            <w:vAlign w:val="top"/>
          </w:tcPr>
          <w:p>
            <w:pPr>
              <w:pStyle w:val="45"/>
              <w:spacing w:before="247" w:beforeLines="0"/>
              <w:ind w:left="107"/>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w w:val="100"/>
                <w:sz w:val="24"/>
                <w:szCs w:val="24"/>
                <w:highlight w:val="none"/>
              </w:rPr>
              <w:t xml:space="preserve"> </w:t>
            </w:r>
            <w:r>
              <w:rPr>
                <w:rFonts w:hint="eastAsia" w:ascii="仿宋" w:hAnsi="仿宋" w:eastAsia="仿宋" w:cs="仿宋"/>
                <w:color w:val="auto"/>
                <w:w w:val="100"/>
                <w:sz w:val="24"/>
                <w:szCs w:val="24"/>
                <w:highlight w:val="none"/>
                <w:lang w:val="en-US" w:eastAsia="zh-CN"/>
              </w:rPr>
              <w:t>.....</w:t>
            </w:r>
          </w:p>
        </w:tc>
        <w:tc>
          <w:tcPr>
            <w:tcW w:w="3064" w:type="dxa"/>
            <w:noWrap w:val="0"/>
            <w:vAlign w:val="top"/>
          </w:tcPr>
          <w:p>
            <w:pPr>
              <w:pStyle w:val="45"/>
              <w:spacing w:before="247" w:beforeLines="0"/>
              <w:ind w:left="104"/>
              <w:outlineLvl w:val="9"/>
              <w:rPr>
                <w:rFonts w:hint="eastAsia" w:ascii="仿宋" w:hAnsi="仿宋" w:eastAsia="仿宋" w:cs="仿宋"/>
                <w:color w:val="auto"/>
                <w:sz w:val="24"/>
                <w:szCs w:val="24"/>
                <w:highlight w:val="none"/>
              </w:rPr>
            </w:pPr>
            <w:r>
              <w:rPr>
                <w:rFonts w:hint="eastAsia" w:ascii="仿宋" w:hAnsi="仿宋" w:eastAsia="仿宋" w:cs="仿宋"/>
                <w:color w:val="auto"/>
                <w:w w:val="100"/>
                <w:sz w:val="24"/>
                <w:szCs w:val="24"/>
                <w:highlight w:val="none"/>
              </w:rPr>
              <w:t xml:space="preserve"> </w:t>
            </w:r>
          </w:p>
        </w:tc>
        <w:tc>
          <w:tcPr>
            <w:tcW w:w="2629" w:type="dxa"/>
            <w:noWrap w:val="0"/>
            <w:vAlign w:val="top"/>
          </w:tcPr>
          <w:p>
            <w:pPr>
              <w:pStyle w:val="45"/>
              <w:spacing w:before="247" w:beforeLines="0"/>
              <w:ind w:left="104"/>
              <w:outlineLvl w:val="9"/>
              <w:rPr>
                <w:rFonts w:hint="eastAsia" w:ascii="仿宋" w:hAnsi="仿宋" w:eastAsia="仿宋" w:cs="仿宋"/>
                <w:color w:val="auto"/>
                <w:sz w:val="24"/>
                <w:szCs w:val="24"/>
                <w:highlight w:val="none"/>
              </w:rPr>
            </w:pPr>
            <w:r>
              <w:rPr>
                <w:rFonts w:hint="eastAsia" w:ascii="仿宋" w:hAnsi="仿宋" w:eastAsia="仿宋" w:cs="仿宋"/>
                <w:color w:val="auto"/>
                <w:w w:val="100"/>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565" w:type="dxa"/>
            <w:noWrap w:val="0"/>
            <w:vAlign w:val="top"/>
          </w:tcPr>
          <w:p>
            <w:pPr>
              <w:pStyle w:val="45"/>
              <w:spacing w:before="247" w:beforeLines="0"/>
              <w:ind w:left="107" w:right="-15"/>
              <w:outlineLvl w:val="9"/>
              <w:rPr>
                <w:rFonts w:hint="eastAsia" w:ascii="仿宋" w:hAnsi="仿宋" w:eastAsia="仿宋" w:cs="仿宋"/>
                <w:color w:val="auto"/>
                <w:sz w:val="24"/>
                <w:szCs w:val="24"/>
                <w:highlight w:val="none"/>
              </w:rPr>
            </w:pPr>
          </w:p>
        </w:tc>
        <w:tc>
          <w:tcPr>
            <w:tcW w:w="2920" w:type="dxa"/>
            <w:noWrap w:val="0"/>
            <w:vAlign w:val="top"/>
          </w:tcPr>
          <w:p>
            <w:pPr>
              <w:pStyle w:val="45"/>
              <w:spacing w:before="247" w:beforeLines="0"/>
              <w:ind w:left="107"/>
              <w:outlineLvl w:val="9"/>
              <w:rPr>
                <w:rFonts w:hint="eastAsia" w:ascii="仿宋" w:hAnsi="仿宋" w:eastAsia="仿宋" w:cs="仿宋"/>
                <w:color w:val="auto"/>
                <w:w w:val="100"/>
                <w:sz w:val="24"/>
                <w:szCs w:val="24"/>
                <w:highlight w:val="none"/>
              </w:rPr>
            </w:pPr>
            <w:r>
              <w:rPr>
                <w:rFonts w:hint="eastAsia" w:ascii="仿宋" w:hAnsi="仿宋" w:eastAsia="仿宋" w:cs="仿宋"/>
                <w:color w:val="auto"/>
                <w:w w:val="100"/>
                <w:sz w:val="24"/>
                <w:szCs w:val="24"/>
                <w:highlight w:val="none"/>
              </w:rPr>
              <w:t xml:space="preserve"> </w:t>
            </w:r>
            <w:r>
              <w:rPr>
                <w:rFonts w:hint="eastAsia" w:ascii="仿宋" w:hAnsi="仿宋" w:eastAsia="仿宋" w:cs="仿宋"/>
                <w:color w:val="auto"/>
                <w:w w:val="100"/>
                <w:sz w:val="24"/>
                <w:szCs w:val="24"/>
                <w:highlight w:val="none"/>
                <w:lang w:val="en-US" w:eastAsia="zh-CN"/>
              </w:rPr>
              <w:t>.....</w:t>
            </w:r>
          </w:p>
        </w:tc>
        <w:tc>
          <w:tcPr>
            <w:tcW w:w="3064" w:type="dxa"/>
            <w:noWrap w:val="0"/>
            <w:vAlign w:val="top"/>
          </w:tcPr>
          <w:p>
            <w:pPr>
              <w:pStyle w:val="45"/>
              <w:spacing w:before="247" w:beforeLines="0"/>
              <w:ind w:left="104"/>
              <w:outlineLvl w:val="9"/>
              <w:rPr>
                <w:rFonts w:hint="eastAsia" w:ascii="仿宋" w:hAnsi="仿宋" w:eastAsia="仿宋" w:cs="仿宋"/>
                <w:color w:val="auto"/>
                <w:w w:val="100"/>
                <w:sz w:val="24"/>
                <w:szCs w:val="24"/>
                <w:highlight w:val="none"/>
              </w:rPr>
            </w:pPr>
          </w:p>
        </w:tc>
        <w:tc>
          <w:tcPr>
            <w:tcW w:w="2629" w:type="dxa"/>
            <w:noWrap w:val="0"/>
            <w:vAlign w:val="top"/>
          </w:tcPr>
          <w:p>
            <w:pPr>
              <w:pStyle w:val="45"/>
              <w:spacing w:before="247" w:beforeLines="0"/>
              <w:ind w:left="104"/>
              <w:outlineLvl w:val="9"/>
              <w:rPr>
                <w:rFonts w:hint="eastAsia" w:ascii="仿宋" w:hAnsi="仿宋" w:eastAsia="仿宋" w:cs="仿宋"/>
                <w:color w:val="auto"/>
                <w:w w:val="100"/>
                <w:sz w:val="24"/>
                <w:szCs w:val="24"/>
                <w:highlight w:val="none"/>
              </w:rPr>
            </w:pPr>
          </w:p>
        </w:tc>
      </w:tr>
    </w:tbl>
    <w:p>
      <w:pPr>
        <w:pStyle w:val="58"/>
        <w:spacing w:line="500" w:lineRule="exact"/>
        <w:outlineLvl w:val="9"/>
        <w:rPr>
          <w:rFonts w:hint="eastAsia" w:ascii="仿宋" w:hAnsi="仿宋" w:eastAsia="仿宋" w:cs="仿宋"/>
          <w:color w:val="auto"/>
          <w:sz w:val="24"/>
          <w:szCs w:val="24"/>
          <w:highlight w:val="none"/>
        </w:rPr>
      </w:pPr>
    </w:p>
    <w:p>
      <w:pPr>
        <w:pStyle w:val="58"/>
        <w:spacing w:line="500" w:lineRule="exact"/>
        <w:outlineLvl w:val="9"/>
        <w:rPr>
          <w:rFonts w:hint="eastAsia" w:ascii="仿宋" w:hAnsi="仿宋" w:eastAsia="仿宋" w:cs="仿宋"/>
          <w:color w:val="auto"/>
          <w:sz w:val="24"/>
          <w:szCs w:val="24"/>
          <w:highlight w:val="none"/>
        </w:rPr>
      </w:pPr>
    </w:p>
    <w:p>
      <w:pPr>
        <w:pStyle w:val="58"/>
        <w:spacing w:line="50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投标人（签章）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p>
    <w:p>
      <w:pPr>
        <w:pStyle w:val="58"/>
        <w:spacing w:line="50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val="en-US" w:eastAsia="zh-CN"/>
        </w:rPr>
        <w:t>签名或</w:t>
      </w:r>
      <w:r>
        <w:rPr>
          <w:rFonts w:hint="eastAsia" w:ascii="仿宋" w:hAnsi="仿宋" w:eastAsia="仿宋" w:cs="仿宋"/>
          <w:color w:val="auto"/>
          <w:sz w:val="24"/>
          <w:szCs w:val="24"/>
          <w:highlight w:val="none"/>
        </w:rPr>
        <w:t>签章）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p>
    <w:p>
      <w:pPr>
        <w:pStyle w:val="77"/>
        <w:spacing w:line="360" w:lineRule="auto"/>
        <w:ind w:right="17" w:firstLine="4320" w:firstLineChars="1800"/>
        <w:jc w:val="both"/>
        <w:outlineLvl w:val="9"/>
        <w:rPr>
          <w:rFonts w:hint="eastAsia" w:ascii="仿宋" w:hAnsi="仿宋" w:eastAsia="仿宋" w:cs="仿宋"/>
          <w:color w:val="auto"/>
          <w:sz w:val="24"/>
          <w:szCs w:val="24"/>
          <w:highlight w:val="none"/>
        </w:rPr>
        <w:sectPr>
          <w:pgSz w:w="11906" w:h="16838"/>
          <w:pgMar w:top="1440" w:right="1797" w:bottom="1440" w:left="1797" w:header="851" w:footer="992" w:gutter="0"/>
          <w:pgNumType w:fmt="decimal"/>
          <w:cols w:space="720" w:num="1"/>
          <w:titlePg/>
          <w:docGrid w:type="lines" w:linePitch="312" w:charSpace="0"/>
        </w:sect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outlineLvl w:val="9"/>
        <w:rPr>
          <w:rFonts w:hint="eastAsia" w:ascii="仿宋" w:hAnsi="仿宋" w:eastAsia="仿宋" w:cs="仿宋"/>
          <w:b/>
          <w:kern w:val="2"/>
          <w:sz w:val="32"/>
          <w:szCs w:val="32"/>
          <w:highlight w:val="none"/>
          <w:lang w:val="en-US" w:eastAsia="zh-CN" w:bidi="ar-SA"/>
        </w:rPr>
      </w:pPr>
      <w:r>
        <w:rPr>
          <w:rFonts w:hint="eastAsia" w:ascii="仿宋" w:hAnsi="仿宋" w:eastAsia="仿宋" w:cs="仿宋"/>
          <w:b/>
          <w:kern w:val="2"/>
          <w:sz w:val="32"/>
          <w:szCs w:val="32"/>
          <w:highlight w:val="none"/>
          <w:lang w:val="en-US" w:eastAsia="zh-CN" w:bidi="ar-SA"/>
        </w:rPr>
        <w:t>3.技术参数响应</w:t>
      </w:r>
    </w:p>
    <w:p>
      <w:pPr>
        <w:pStyle w:val="58"/>
        <w:numPr>
          <w:ilvl w:val="0"/>
          <w:numId w:val="0"/>
        </w:numPr>
        <w:spacing w:line="500" w:lineRule="exact"/>
        <w:jc w:val="left"/>
        <w:outlineLvl w:val="9"/>
        <w:rPr>
          <w:rFonts w:hint="eastAsia" w:ascii="仿宋" w:hAnsi="仿宋" w:eastAsia="仿宋" w:cs="仿宋"/>
          <w:b/>
          <w:kern w:val="2"/>
          <w:sz w:val="32"/>
          <w:szCs w:val="32"/>
          <w:highlight w:val="none"/>
          <w:lang w:val="en-US" w:eastAsia="zh-CN" w:bidi="ar-SA"/>
        </w:rPr>
      </w:pPr>
      <w:r>
        <w:rPr>
          <w:rFonts w:hint="eastAsia" w:ascii="仿宋" w:hAnsi="仿宋" w:eastAsia="仿宋" w:cs="仿宋"/>
          <w:b/>
          <w:kern w:val="2"/>
          <w:sz w:val="32"/>
          <w:szCs w:val="32"/>
          <w:highlight w:val="none"/>
          <w:lang w:val="en-US" w:eastAsia="zh-CN" w:bidi="ar-SA"/>
        </w:rPr>
        <w:t>技术参数响应偏离说明表（格式可自拟）</w:t>
      </w:r>
    </w:p>
    <w:p>
      <w:pPr>
        <w:pStyle w:val="90"/>
        <w:tabs>
          <w:tab w:val="left" w:pos="5580"/>
        </w:tabs>
        <w:spacing w:line="360" w:lineRule="auto"/>
        <w:jc w:val="left"/>
        <w:outlineLvl w:val="9"/>
        <w:rPr>
          <w:rFonts w:hint="eastAsia" w:ascii="仿宋" w:hAnsi="仿宋" w:eastAsia="仿宋" w:cs="仿宋"/>
          <w:b/>
          <w:kern w:val="2"/>
          <w:sz w:val="32"/>
          <w:szCs w:val="32"/>
          <w:highlight w:val="none"/>
          <w:lang w:val="en-US" w:eastAsia="zh-CN" w:bidi="ar-SA"/>
        </w:rPr>
      </w:pPr>
      <w:r>
        <w:rPr>
          <w:rFonts w:hint="eastAsia" w:ascii="仿宋" w:hAnsi="仿宋" w:eastAsia="仿宋" w:cs="仿宋"/>
          <w:b/>
          <w:kern w:val="2"/>
          <w:sz w:val="32"/>
          <w:szCs w:val="32"/>
          <w:highlight w:val="none"/>
          <w:lang w:val="en-US" w:eastAsia="zh-CN" w:bidi="ar-SA"/>
        </w:rPr>
        <w:t>技术规范偏离表</w:t>
      </w:r>
    </w:p>
    <w:p>
      <w:pPr>
        <w:pStyle w:val="91"/>
        <w:spacing w:line="360" w:lineRule="auto"/>
        <w:ind w:left="0" w:leftChars="0" w:firstLine="0" w:firstLineChars="0"/>
        <w:outlineLvl w:val="9"/>
        <w:rPr>
          <w:rFonts w:hint="eastAsia" w:ascii="宋体" w:hAnsi="宋体" w:eastAsia="宋体" w:cs="宋体"/>
          <w:highlight w:val="none"/>
        </w:rPr>
      </w:pPr>
      <w:r>
        <w:rPr>
          <w:rFonts w:hint="eastAsia" w:ascii="仿宋" w:hAnsi="仿宋" w:eastAsia="仿宋" w:cs="仿宋"/>
          <w:color w:val="auto"/>
          <w:kern w:val="0"/>
          <w:sz w:val="24"/>
          <w:szCs w:val="24"/>
          <w:highlight w:val="none"/>
          <w:lang w:val="zh-CN" w:eastAsia="zh-CN" w:bidi="zh-CN"/>
        </w:rPr>
        <w:t>项目编号、包号</w:t>
      </w:r>
      <w:r>
        <w:rPr>
          <w:rFonts w:hint="eastAsia" w:ascii="宋体" w:hAnsi="宋体" w:eastAsia="宋体" w:cs="宋体"/>
          <w:highlight w:val="none"/>
        </w:rPr>
        <w:t>：</w:t>
      </w:r>
      <w:r>
        <w:rPr>
          <w:rFonts w:hint="eastAsia" w:ascii="宋体" w:hAnsi="宋体" w:eastAsia="宋体" w:cs="宋体"/>
          <w:highlight w:val="none"/>
          <w:u w:val="single"/>
        </w:rPr>
        <w:t xml:space="preserve">                     </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2101"/>
        <w:gridCol w:w="1021"/>
        <w:gridCol w:w="1707"/>
        <w:gridCol w:w="1337"/>
        <w:gridCol w:w="1337"/>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55" w:type="dxa"/>
            <w:tcBorders>
              <w:top w:val="single" w:color="auto" w:sz="12" w:space="0"/>
              <w:left w:val="single" w:color="auto" w:sz="12" w:space="0"/>
            </w:tcBorders>
            <w:noWrap w:val="0"/>
            <w:vAlign w:val="center"/>
          </w:tcPr>
          <w:p>
            <w:pPr>
              <w:pStyle w:val="90"/>
              <w:tabs>
                <w:tab w:val="left" w:pos="1337"/>
              </w:tabs>
              <w:spacing w:line="360" w:lineRule="auto"/>
              <w:jc w:val="center"/>
              <w:outlineLvl w:val="9"/>
              <w:rPr>
                <w:rFonts w:hint="eastAsia" w:ascii="仿宋" w:hAnsi="仿宋" w:eastAsia="仿宋" w:cs="仿宋"/>
                <w:color w:val="auto"/>
                <w:kern w:val="0"/>
                <w:sz w:val="24"/>
                <w:szCs w:val="24"/>
                <w:highlight w:val="none"/>
                <w:lang w:val="zh-CN" w:eastAsia="zh-CN" w:bidi="zh-CN"/>
              </w:rPr>
            </w:pPr>
            <w:r>
              <w:rPr>
                <w:rFonts w:hint="eastAsia" w:ascii="仿宋" w:hAnsi="仿宋" w:eastAsia="仿宋" w:cs="仿宋"/>
                <w:color w:val="auto"/>
                <w:kern w:val="0"/>
                <w:sz w:val="24"/>
                <w:szCs w:val="24"/>
                <w:highlight w:val="none"/>
                <w:lang w:val="zh-CN" w:eastAsia="zh-CN" w:bidi="zh-CN"/>
              </w:rPr>
              <w:t>序号</w:t>
            </w:r>
          </w:p>
        </w:tc>
        <w:tc>
          <w:tcPr>
            <w:tcW w:w="2101" w:type="dxa"/>
            <w:tcBorders>
              <w:top w:val="single" w:color="auto" w:sz="12" w:space="0"/>
            </w:tcBorders>
            <w:noWrap w:val="0"/>
            <w:vAlign w:val="center"/>
          </w:tcPr>
          <w:p>
            <w:pPr>
              <w:pStyle w:val="90"/>
              <w:tabs>
                <w:tab w:val="left" w:pos="1337"/>
              </w:tabs>
              <w:spacing w:line="360" w:lineRule="auto"/>
              <w:jc w:val="center"/>
              <w:outlineLvl w:val="9"/>
              <w:rPr>
                <w:rFonts w:hint="eastAsia" w:ascii="仿宋" w:hAnsi="仿宋" w:eastAsia="仿宋" w:cs="仿宋"/>
                <w:color w:val="auto"/>
                <w:kern w:val="0"/>
                <w:sz w:val="24"/>
                <w:szCs w:val="24"/>
                <w:highlight w:val="none"/>
                <w:lang w:val="zh-CN" w:eastAsia="zh-CN" w:bidi="zh-CN"/>
              </w:rPr>
            </w:pPr>
            <w:r>
              <w:rPr>
                <w:rFonts w:hint="eastAsia" w:ascii="仿宋" w:hAnsi="仿宋" w:eastAsia="仿宋" w:cs="仿宋"/>
                <w:color w:val="auto"/>
                <w:kern w:val="0"/>
                <w:sz w:val="24"/>
                <w:szCs w:val="24"/>
                <w:highlight w:val="none"/>
                <w:lang w:val="zh-CN" w:eastAsia="zh-CN" w:bidi="zh-CN"/>
              </w:rPr>
              <w:t>名称及编号</w:t>
            </w:r>
          </w:p>
        </w:tc>
        <w:tc>
          <w:tcPr>
            <w:tcW w:w="1021" w:type="dxa"/>
            <w:tcBorders>
              <w:top w:val="single" w:color="auto" w:sz="12" w:space="0"/>
            </w:tcBorders>
            <w:noWrap w:val="0"/>
            <w:vAlign w:val="center"/>
          </w:tcPr>
          <w:p>
            <w:pPr>
              <w:pStyle w:val="90"/>
              <w:tabs>
                <w:tab w:val="left" w:pos="1337"/>
              </w:tabs>
              <w:spacing w:line="360" w:lineRule="auto"/>
              <w:jc w:val="center"/>
              <w:outlineLvl w:val="9"/>
              <w:rPr>
                <w:rFonts w:hint="eastAsia" w:ascii="仿宋" w:hAnsi="仿宋" w:eastAsia="仿宋" w:cs="仿宋"/>
                <w:color w:val="auto"/>
                <w:kern w:val="0"/>
                <w:sz w:val="24"/>
                <w:szCs w:val="24"/>
                <w:highlight w:val="none"/>
                <w:lang w:val="zh-CN" w:eastAsia="zh-CN" w:bidi="zh-CN"/>
              </w:rPr>
            </w:pPr>
            <w:r>
              <w:rPr>
                <w:rFonts w:hint="eastAsia" w:ascii="仿宋" w:hAnsi="仿宋" w:eastAsia="仿宋" w:cs="仿宋"/>
                <w:color w:val="auto"/>
                <w:kern w:val="0"/>
                <w:sz w:val="24"/>
                <w:szCs w:val="24"/>
                <w:highlight w:val="none"/>
                <w:lang w:val="zh-CN" w:eastAsia="zh-CN" w:bidi="zh-CN"/>
              </w:rPr>
              <w:t>数量</w:t>
            </w:r>
          </w:p>
        </w:tc>
        <w:tc>
          <w:tcPr>
            <w:tcW w:w="1707" w:type="dxa"/>
            <w:tcBorders>
              <w:top w:val="single" w:color="auto" w:sz="12" w:space="0"/>
            </w:tcBorders>
            <w:noWrap w:val="0"/>
            <w:vAlign w:val="center"/>
          </w:tcPr>
          <w:p>
            <w:pPr>
              <w:pStyle w:val="90"/>
              <w:tabs>
                <w:tab w:val="left" w:pos="1337"/>
              </w:tabs>
              <w:spacing w:line="360" w:lineRule="auto"/>
              <w:jc w:val="center"/>
              <w:outlineLvl w:val="9"/>
              <w:rPr>
                <w:rFonts w:hint="eastAsia" w:ascii="仿宋" w:hAnsi="仿宋" w:eastAsia="仿宋" w:cs="仿宋"/>
                <w:color w:val="auto"/>
                <w:kern w:val="0"/>
                <w:sz w:val="24"/>
                <w:szCs w:val="24"/>
                <w:highlight w:val="none"/>
                <w:lang w:val="zh-CN" w:eastAsia="zh-CN" w:bidi="zh-CN"/>
              </w:rPr>
            </w:pPr>
            <w:r>
              <w:rPr>
                <w:rFonts w:hint="eastAsia" w:ascii="仿宋" w:hAnsi="仿宋" w:eastAsia="仿宋" w:cs="仿宋"/>
                <w:color w:val="auto"/>
                <w:kern w:val="0"/>
                <w:sz w:val="24"/>
                <w:szCs w:val="24"/>
                <w:highlight w:val="none"/>
                <w:lang w:val="zh-CN" w:eastAsia="zh-CN" w:bidi="zh-CN"/>
              </w:rPr>
              <w:t>招标文件技术规范、要求</w:t>
            </w:r>
          </w:p>
        </w:tc>
        <w:tc>
          <w:tcPr>
            <w:tcW w:w="1337" w:type="dxa"/>
            <w:tcBorders>
              <w:top w:val="single" w:color="auto" w:sz="12" w:space="0"/>
            </w:tcBorders>
            <w:noWrap w:val="0"/>
            <w:vAlign w:val="center"/>
          </w:tcPr>
          <w:p>
            <w:pPr>
              <w:pStyle w:val="90"/>
              <w:tabs>
                <w:tab w:val="left" w:pos="1337"/>
              </w:tabs>
              <w:spacing w:line="360" w:lineRule="auto"/>
              <w:jc w:val="center"/>
              <w:outlineLvl w:val="9"/>
              <w:rPr>
                <w:rFonts w:hint="eastAsia" w:ascii="仿宋" w:hAnsi="仿宋" w:eastAsia="仿宋" w:cs="仿宋"/>
                <w:color w:val="auto"/>
                <w:kern w:val="0"/>
                <w:sz w:val="24"/>
                <w:szCs w:val="24"/>
                <w:highlight w:val="none"/>
                <w:lang w:val="zh-CN" w:eastAsia="zh-CN" w:bidi="zh-CN"/>
              </w:rPr>
            </w:pPr>
            <w:r>
              <w:rPr>
                <w:rFonts w:hint="eastAsia" w:ascii="仿宋" w:hAnsi="仿宋" w:eastAsia="仿宋" w:cs="仿宋"/>
                <w:color w:val="auto"/>
                <w:kern w:val="0"/>
                <w:sz w:val="24"/>
                <w:szCs w:val="24"/>
                <w:highlight w:val="none"/>
                <w:lang w:val="zh-CN" w:eastAsia="zh-CN" w:bidi="zh-CN"/>
              </w:rPr>
              <w:t>投标文件对应规范（</w:t>
            </w:r>
            <w:r>
              <w:rPr>
                <w:rFonts w:hint="eastAsia" w:ascii="仿宋" w:hAnsi="仿宋" w:eastAsia="仿宋" w:cs="仿宋"/>
                <w:color w:val="auto"/>
                <w:kern w:val="0"/>
                <w:sz w:val="24"/>
                <w:szCs w:val="24"/>
                <w:highlight w:val="none"/>
                <w:lang w:val="en-US" w:eastAsia="zh-CN" w:bidi="zh-CN"/>
              </w:rPr>
              <w:t>如有彩页，具有所对应页码</w:t>
            </w:r>
            <w:r>
              <w:rPr>
                <w:rFonts w:hint="eastAsia" w:ascii="仿宋" w:hAnsi="仿宋" w:eastAsia="仿宋" w:cs="仿宋"/>
                <w:color w:val="auto"/>
                <w:kern w:val="0"/>
                <w:sz w:val="24"/>
                <w:szCs w:val="24"/>
                <w:highlight w:val="none"/>
                <w:lang w:val="zh-CN" w:eastAsia="zh-CN" w:bidi="zh-CN"/>
              </w:rPr>
              <w:t>）</w:t>
            </w:r>
          </w:p>
        </w:tc>
        <w:tc>
          <w:tcPr>
            <w:tcW w:w="1337" w:type="dxa"/>
            <w:tcBorders>
              <w:top w:val="single" w:color="auto" w:sz="12" w:space="0"/>
            </w:tcBorders>
            <w:noWrap w:val="0"/>
            <w:vAlign w:val="center"/>
          </w:tcPr>
          <w:p>
            <w:pPr>
              <w:pStyle w:val="90"/>
              <w:tabs>
                <w:tab w:val="left" w:pos="1337"/>
              </w:tabs>
              <w:spacing w:line="360" w:lineRule="auto"/>
              <w:jc w:val="center"/>
              <w:outlineLvl w:val="9"/>
              <w:rPr>
                <w:rFonts w:hint="eastAsia" w:ascii="仿宋" w:hAnsi="仿宋" w:eastAsia="仿宋" w:cs="仿宋"/>
                <w:color w:val="auto"/>
                <w:kern w:val="0"/>
                <w:sz w:val="24"/>
                <w:szCs w:val="24"/>
                <w:highlight w:val="none"/>
                <w:lang w:val="zh-CN" w:eastAsia="zh-CN" w:bidi="zh-CN"/>
              </w:rPr>
            </w:pPr>
            <w:r>
              <w:rPr>
                <w:rFonts w:hint="eastAsia" w:ascii="仿宋" w:hAnsi="仿宋" w:eastAsia="仿宋" w:cs="仿宋"/>
                <w:color w:val="auto"/>
                <w:kern w:val="0"/>
                <w:sz w:val="24"/>
                <w:szCs w:val="24"/>
                <w:highlight w:val="none"/>
                <w:lang w:val="zh-CN" w:eastAsia="zh-CN" w:bidi="zh-CN"/>
              </w:rPr>
              <w:t>偏差</w:t>
            </w:r>
          </w:p>
        </w:tc>
        <w:tc>
          <w:tcPr>
            <w:tcW w:w="977" w:type="dxa"/>
            <w:tcBorders>
              <w:top w:val="single" w:color="auto" w:sz="12" w:space="0"/>
              <w:right w:val="single" w:color="auto" w:sz="12" w:space="0"/>
            </w:tcBorders>
            <w:noWrap w:val="0"/>
            <w:vAlign w:val="center"/>
          </w:tcPr>
          <w:p>
            <w:pPr>
              <w:pStyle w:val="90"/>
              <w:tabs>
                <w:tab w:val="left" w:pos="1337"/>
              </w:tabs>
              <w:spacing w:line="360" w:lineRule="auto"/>
              <w:jc w:val="center"/>
              <w:outlineLvl w:val="9"/>
              <w:rPr>
                <w:rFonts w:hint="eastAsia" w:ascii="仿宋" w:hAnsi="仿宋" w:eastAsia="仿宋" w:cs="仿宋"/>
                <w:color w:val="auto"/>
                <w:kern w:val="0"/>
                <w:sz w:val="24"/>
                <w:szCs w:val="24"/>
                <w:highlight w:val="none"/>
                <w:lang w:val="zh-CN" w:eastAsia="zh-CN" w:bidi="zh-CN"/>
              </w:rPr>
            </w:pPr>
            <w:r>
              <w:rPr>
                <w:rFonts w:hint="eastAsia" w:ascii="仿宋" w:hAnsi="仿宋" w:eastAsia="仿宋" w:cs="仿宋"/>
                <w:color w:val="auto"/>
                <w:kern w:val="0"/>
                <w:sz w:val="24"/>
                <w:szCs w:val="24"/>
                <w:highlight w:val="none"/>
                <w:lang w:val="zh-CN" w:eastAsia="zh-CN" w:bidi="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tcBorders>
              <w:left w:val="single" w:color="auto" w:sz="12" w:space="0"/>
            </w:tcBorders>
            <w:noWrap w:val="0"/>
            <w:vAlign w:val="center"/>
          </w:tcPr>
          <w:p>
            <w:pPr>
              <w:pStyle w:val="90"/>
              <w:tabs>
                <w:tab w:val="left" w:pos="1337"/>
              </w:tabs>
              <w:spacing w:line="360" w:lineRule="auto"/>
              <w:jc w:val="center"/>
              <w:outlineLvl w:val="9"/>
              <w:rPr>
                <w:rFonts w:hint="eastAsia" w:ascii="仿宋" w:hAnsi="仿宋" w:eastAsia="仿宋" w:cs="仿宋"/>
                <w:color w:val="auto"/>
                <w:kern w:val="0"/>
                <w:sz w:val="24"/>
                <w:szCs w:val="24"/>
                <w:highlight w:val="none"/>
                <w:lang w:val="zh-CN" w:eastAsia="zh-CN" w:bidi="zh-CN"/>
              </w:rPr>
            </w:pPr>
          </w:p>
        </w:tc>
        <w:tc>
          <w:tcPr>
            <w:tcW w:w="2101" w:type="dxa"/>
            <w:noWrap w:val="0"/>
            <w:vAlign w:val="center"/>
          </w:tcPr>
          <w:p>
            <w:pPr>
              <w:pStyle w:val="90"/>
              <w:tabs>
                <w:tab w:val="left" w:pos="1337"/>
              </w:tabs>
              <w:spacing w:line="360" w:lineRule="auto"/>
              <w:jc w:val="center"/>
              <w:outlineLvl w:val="9"/>
              <w:rPr>
                <w:rFonts w:hint="eastAsia" w:ascii="仿宋" w:hAnsi="仿宋" w:eastAsia="仿宋" w:cs="仿宋"/>
                <w:color w:val="auto"/>
                <w:kern w:val="0"/>
                <w:sz w:val="24"/>
                <w:szCs w:val="24"/>
                <w:highlight w:val="none"/>
                <w:lang w:val="zh-CN" w:eastAsia="zh-CN" w:bidi="zh-CN"/>
              </w:rPr>
            </w:pPr>
          </w:p>
        </w:tc>
        <w:tc>
          <w:tcPr>
            <w:tcW w:w="1021" w:type="dxa"/>
            <w:noWrap w:val="0"/>
            <w:vAlign w:val="center"/>
          </w:tcPr>
          <w:p>
            <w:pPr>
              <w:pStyle w:val="90"/>
              <w:tabs>
                <w:tab w:val="left" w:pos="1337"/>
              </w:tabs>
              <w:spacing w:line="360" w:lineRule="auto"/>
              <w:jc w:val="center"/>
              <w:outlineLvl w:val="9"/>
              <w:rPr>
                <w:rFonts w:hint="eastAsia" w:ascii="仿宋" w:hAnsi="仿宋" w:eastAsia="仿宋" w:cs="仿宋"/>
                <w:color w:val="auto"/>
                <w:kern w:val="0"/>
                <w:sz w:val="24"/>
                <w:szCs w:val="24"/>
                <w:highlight w:val="none"/>
                <w:lang w:val="zh-CN" w:eastAsia="zh-CN" w:bidi="zh-CN"/>
              </w:rPr>
            </w:pPr>
          </w:p>
        </w:tc>
        <w:tc>
          <w:tcPr>
            <w:tcW w:w="1707" w:type="dxa"/>
            <w:noWrap w:val="0"/>
            <w:vAlign w:val="center"/>
          </w:tcPr>
          <w:p>
            <w:pPr>
              <w:pStyle w:val="90"/>
              <w:tabs>
                <w:tab w:val="left" w:pos="1337"/>
              </w:tabs>
              <w:spacing w:line="360" w:lineRule="auto"/>
              <w:jc w:val="center"/>
              <w:outlineLvl w:val="9"/>
              <w:rPr>
                <w:rFonts w:hint="eastAsia" w:ascii="仿宋" w:hAnsi="仿宋" w:eastAsia="仿宋" w:cs="仿宋"/>
                <w:color w:val="auto"/>
                <w:kern w:val="0"/>
                <w:sz w:val="24"/>
                <w:szCs w:val="24"/>
                <w:highlight w:val="none"/>
                <w:lang w:val="zh-CN" w:eastAsia="zh-CN" w:bidi="zh-CN"/>
              </w:rPr>
            </w:pPr>
          </w:p>
        </w:tc>
        <w:tc>
          <w:tcPr>
            <w:tcW w:w="1337" w:type="dxa"/>
            <w:noWrap w:val="0"/>
            <w:vAlign w:val="center"/>
          </w:tcPr>
          <w:p>
            <w:pPr>
              <w:pStyle w:val="90"/>
              <w:tabs>
                <w:tab w:val="left" w:pos="1337"/>
              </w:tabs>
              <w:spacing w:line="360" w:lineRule="auto"/>
              <w:jc w:val="center"/>
              <w:outlineLvl w:val="9"/>
              <w:rPr>
                <w:rFonts w:hint="eastAsia" w:ascii="仿宋" w:hAnsi="仿宋" w:eastAsia="仿宋" w:cs="仿宋"/>
                <w:color w:val="auto"/>
                <w:kern w:val="0"/>
                <w:sz w:val="24"/>
                <w:szCs w:val="24"/>
                <w:highlight w:val="none"/>
                <w:lang w:val="zh-CN" w:eastAsia="zh-CN" w:bidi="zh-CN"/>
              </w:rPr>
            </w:pPr>
          </w:p>
        </w:tc>
        <w:tc>
          <w:tcPr>
            <w:tcW w:w="1337" w:type="dxa"/>
            <w:noWrap w:val="0"/>
            <w:vAlign w:val="center"/>
          </w:tcPr>
          <w:p>
            <w:pPr>
              <w:pStyle w:val="90"/>
              <w:tabs>
                <w:tab w:val="left" w:pos="1337"/>
              </w:tabs>
              <w:spacing w:line="360" w:lineRule="auto"/>
              <w:jc w:val="center"/>
              <w:outlineLvl w:val="9"/>
              <w:rPr>
                <w:rFonts w:hint="eastAsia" w:ascii="仿宋" w:hAnsi="仿宋" w:eastAsia="仿宋" w:cs="仿宋"/>
                <w:color w:val="auto"/>
                <w:kern w:val="0"/>
                <w:sz w:val="24"/>
                <w:szCs w:val="24"/>
                <w:highlight w:val="none"/>
                <w:lang w:val="zh-CN" w:eastAsia="zh-CN" w:bidi="zh-CN"/>
              </w:rPr>
            </w:pPr>
          </w:p>
        </w:tc>
        <w:tc>
          <w:tcPr>
            <w:tcW w:w="977" w:type="dxa"/>
            <w:tcBorders>
              <w:right w:val="single" w:color="auto" w:sz="12" w:space="0"/>
            </w:tcBorders>
            <w:noWrap w:val="0"/>
            <w:vAlign w:val="center"/>
          </w:tcPr>
          <w:p>
            <w:pPr>
              <w:pStyle w:val="90"/>
              <w:tabs>
                <w:tab w:val="left" w:pos="1337"/>
              </w:tabs>
              <w:spacing w:line="360" w:lineRule="auto"/>
              <w:jc w:val="center"/>
              <w:outlineLvl w:val="9"/>
              <w:rPr>
                <w:rFonts w:hint="eastAsia" w:ascii="仿宋" w:hAnsi="仿宋" w:eastAsia="仿宋" w:cs="仿宋"/>
                <w:color w:val="auto"/>
                <w:kern w:val="0"/>
                <w:sz w:val="24"/>
                <w:szCs w:val="24"/>
                <w:highlight w:val="no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tcBorders>
              <w:left w:val="single" w:color="auto" w:sz="12" w:space="0"/>
            </w:tcBorders>
            <w:noWrap w:val="0"/>
            <w:vAlign w:val="center"/>
          </w:tcPr>
          <w:p>
            <w:pPr>
              <w:pStyle w:val="90"/>
              <w:tabs>
                <w:tab w:val="left" w:pos="1337"/>
              </w:tabs>
              <w:spacing w:line="360" w:lineRule="auto"/>
              <w:jc w:val="center"/>
              <w:outlineLvl w:val="9"/>
              <w:rPr>
                <w:rFonts w:hint="eastAsia" w:ascii="仿宋" w:hAnsi="仿宋" w:eastAsia="仿宋" w:cs="仿宋"/>
                <w:color w:val="auto"/>
                <w:kern w:val="0"/>
                <w:sz w:val="24"/>
                <w:szCs w:val="24"/>
                <w:highlight w:val="none"/>
                <w:lang w:val="zh-CN" w:eastAsia="zh-CN" w:bidi="zh-CN"/>
              </w:rPr>
            </w:pPr>
          </w:p>
        </w:tc>
        <w:tc>
          <w:tcPr>
            <w:tcW w:w="2101" w:type="dxa"/>
            <w:noWrap w:val="0"/>
            <w:vAlign w:val="center"/>
          </w:tcPr>
          <w:p>
            <w:pPr>
              <w:pStyle w:val="90"/>
              <w:tabs>
                <w:tab w:val="left" w:pos="1337"/>
              </w:tabs>
              <w:spacing w:line="360" w:lineRule="auto"/>
              <w:jc w:val="center"/>
              <w:outlineLvl w:val="9"/>
              <w:rPr>
                <w:rFonts w:hint="eastAsia" w:ascii="仿宋" w:hAnsi="仿宋" w:eastAsia="仿宋" w:cs="仿宋"/>
                <w:color w:val="auto"/>
                <w:kern w:val="0"/>
                <w:sz w:val="24"/>
                <w:szCs w:val="24"/>
                <w:highlight w:val="none"/>
                <w:lang w:val="zh-CN" w:eastAsia="zh-CN" w:bidi="zh-CN"/>
              </w:rPr>
            </w:pPr>
          </w:p>
        </w:tc>
        <w:tc>
          <w:tcPr>
            <w:tcW w:w="1021" w:type="dxa"/>
            <w:noWrap w:val="0"/>
            <w:vAlign w:val="center"/>
          </w:tcPr>
          <w:p>
            <w:pPr>
              <w:pStyle w:val="90"/>
              <w:tabs>
                <w:tab w:val="left" w:pos="1337"/>
              </w:tabs>
              <w:spacing w:line="360" w:lineRule="auto"/>
              <w:jc w:val="center"/>
              <w:outlineLvl w:val="9"/>
              <w:rPr>
                <w:rFonts w:hint="eastAsia" w:ascii="仿宋" w:hAnsi="仿宋" w:eastAsia="仿宋" w:cs="仿宋"/>
                <w:color w:val="auto"/>
                <w:kern w:val="0"/>
                <w:sz w:val="24"/>
                <w:szCs w:val="24"/>
                <w:highlight w:val="none"/>
                <w:lang w:val="zh-CN" w:eastAsia="zh-CN" w:bidi="zh-CN"/>
              </w:rPr>
            </w:pPr>
          </w:p>
        </w:tc>
        <w:tc>
          <w:tcPr>
            <w:tcW w:w="1707" w:type="dxa"/>
            <w:noWrap w:val="0"/>
            <w:vAlign w:val="center"/>
          </w:tcPr>
          <w:p>
            <w:pPr>
              <w:pStyle w:val="90"/>
              <w:tabs>
                <w:tab w:val="left" w:pos="1337"/>
              </w:tabs>
              <w:spacing w:line="360" w:lineRule="auto"/>
              <w:jc w:val="center"/>
              <w:outlineLvl w:val="9"/>
              <w:rPr>
                <w:rFonts w:hint="eastAsia" w:ascii="仿宋" w:hAnsi="仿宋" w:eastAsia="仿宋" w:cs="仿宋"/>
                <w:color w:val="auto"/>
                <w:kern w:val="0"/>
                <w:sz w:val="24"/>
                <w:szCs w:val="24"/>
                <w:highlight w:val="none"/>
                <w:lang w:val="zh-CN" w:eastAsia="zh-CN" w:bidi="zh-CN"/>
              </w:rPr>
            </w:pPr>
          </w:p>
        </w:tc>
        <w:tc>
          <w:tcPr>
            <w:tcW w:w="1337" w:type="dxa"/>
            <w:noWrap w:val="0"/>
            <w:vAlign w:val="center"/>
          </w:tcPr>
          <w:p>
            <w:pPr>
              <w:pStyle w:val="90"/>
              <w:tabs>
                <w:tab w:val="left" w:pos="1337"/>
              </w:tabs>
              <w:spacing w:line="360" w:lineRule="auto"/>
              <w:jc w:val="center"/>
              <w:outlineLvl w:val="9"/>
              <w:rPr>
                <w:rFonts w:hint="eastAsia" w:ascii="仿宋" w:hAnsi="仿宋" w:eastAsia="仿宋" w:cs="仿宋"/>
                <w:color w:val="auto"/>
                <w:kern w:val="0"/>
                <w:sz w:val="24"/>
                <w:szCs w:val="24"/>
                <w:highlight w:val="none"/>
                <w:lang w:val="zh-CN" w:eastAsia="zh-CN" w:bidi="zh-CN"/>
              </w:rPr>
            </w:pPr>
          </w:p>
        </w:tc>
        <w:tc>
          <w:tcPr>
            <w:tcW w:w="1337" w:type="dxa"/>
            <w:noWrap w:val="0"/>
            <w:vAlign w:val="center"/>
          </w:tcPr>
          <w:p>
            <w:pPr>
              <w:pStyle w:val="90"/>
              <w:tabs>
                <w:tab w:val="left" w:pos="1337"/>
              </w:tabs>
              <w:spacing w:line="360" w:lineRule="auto"/>
              <w:jc w:val="center"/>
              <w:outlineLvl w:val="9"/>
              <w:rPr>
                <w:rFonts w:hint="eastAsia" w:ascii="仿宋" w:hAnsi="仿宋" w:eastAsia="仿宋" w:cs="仿宋"/>
                <w:color w:val="auto"/>
                <w:kern w:val="0"/>
                <w:sz w:val="24"/>
                <w:szCs w:val="24"/>
                <w:highlight w:val="none"/>
                <w:lang w:val="zh-CN" w:eastAsia="zh-CN" w:bidi="zh-CN"/>
              </w:rPr>
            </w:pPr>
          </w:p>
        </w:tc>
        <w:tc>
          <w:tcPr>
            <w:tcW w:w="977" w:type="dxa"/>
            <w:tcBorders>
              <w:right w:val="single" w:color="auto" w:sz="12" w:space="0"/>
            </w:tcBorders>
            <w:noWrap w:val="0"/>
            <w:vAlign w:val="center"/>
          </w:tcPr>
          <w:p>
            <w:pPr>
              <w:pStyle w:val="90"/>
              <w:tabs>
                <w:tab w:val="left" w:pos="1337"/>
              </w:tabs>
              <w:spacing w:line="360" w:lineRule="auto"/>
              <w:jc w:val="center"/>
              <w:outlineLvl w:val="9"/>
              <w:rPr>
                <w:rFonts w:hint="eastAsia" w:ascii="仿宋" w:hAnsi="仿宋" w:eastAsia="仿宋" w:cs="仿宋"/>
                <w:color w:val="auto"/>
                <w:kern w:val="0"/>
                <w:sz w:val="24"/>
                <w:szCs w:val="24"/>
                <w:highlight w:val="no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tcBorders>
              <w:left w:val="single" w:color="auto" w:sz="12" w:space="0"/>
            </w:tcBorders>
            <w:noWrap w:val="0"/>
            <w:vAlign w:val="center"/>
          </w:tcPr>
          <w:p>
            <w:pPr>
              <w:pStyle w:val="90"/>
              <w:tabs>
                <w:tab w:val="left" w:pos="1337"/>
              </w:tabs>
              <w:spacing w:line="360" w:lineRule="auto"/>
              <w:jc w:val="center"/>
              <w:outlineLvl w:val="9"/>
              <w:rPr>
                <w:rFonts w:hint="eastAsia" w:ascii="仿宋" w:hAnsi="仿宋" w:eastAsia="仿宋" w:cs="仿宋"/>
                <w:color w:val="auto"/>
                <w:kern w:val="0"/>
                <w:sz w:val="24"/>
                <w:szCs w:val="24"/>
                <w:highlight w:val="none"/>
                <w:lang w:val="zh-CN" w:eastAsia="zh-CN" w:bidi="zh-CN"/>
              </w:rPr>
            </w:pPr>
          </w:p>
        </w:tc>
        <w:tc>
          <w:tcPr>
            <w:tcW w:w="2101" w:type="dxa"/>
            <w:noWrap w:val="0"/>
            <w:vAlign w:val="center"/>
          </w:tcPr>
          <w:p>
            <w:pPr>
              <w:pStyle w:val="90"/>
              <w:tabs>
                <w:tab w:val="left" w:pos="1337"/>
              </w:tabs>
              <w:spacing w:line="360" w:lineRule="auto"/>
              <w:jc w:val="center"/>
              <w:outlineLvl w:val="9"/>
              <w:rPr>
                <w:rFonts w:hint="eastAsia" w:ascii="仿宋" w:hAnsi="仿宋" w:eastAsia="仿宋" w:cs="仿宋"/>
                <w:color w:val="auto"/>
                <w:kern w:val="0"/>
                <w:sz w:val="24"/>
                <w:szCs w:val="24"/>
                <w:highlight w:val="none"/>
                <w:lang w:val="zh-CN" w:eastAsia="zh-CN" w:bidi="zh-CN"/>
              </w:rPr>
            </w:pPr>
          </w:p>
        </w:tc>
        <w:tc>
          <w:tcPr>
            <w:tcW w:w="1021" w:type="dxa"/>
            <w:noWrap w:val="0"/>
            <w:vAlign w:val="center"/>
          </w:tcPr>
          <w:p>
            <w:pPr>
              <w:pStyle w:val="90"/>
              <w:tabs>
                <w:tab w:val="left" w:pos="1337"/>
              </w:tabs>
              <w:spacing w:line="360" w:lineRule="auto"/>
              <w:jc w:val="center"/>
              <w:outlineLvl w:val="9"/>
              <w:rPr>
                <w:rFonts w:hint="eastAsia" w:ascii="仿宋" w:hAnsi="仿宋" w:eastAsia="仿宋" w:cs="仿宋"/>
                <w:color w:val="auto"/>
                <w:kern w:val="0"/>
                <w:sz w:val="24"/>
                <w:szCs w:val="24"/>
                <w:highlight w:val="none"/>
                <w:lang w:val="zh-CN" w:eastAsia="zh-CN" w:bidi="zh-CN"/>
              </w:rPr>
            </w:pPr>
          </w:p>
        </w:tc>
        <w:tc>
          <w:tcPr>
            <w:tcW w:w="1707" w:type="dxa"/>
            <w:noWrap w:val="0"/>
            <w:vAlign w:val="center"/>
          </w:tcPr>
          <w:p>
            <w:pPr>
              <w:pStyle w:val="90"/>
              <w:tabs>
                <w:tab w:val="left" w:pos="1337"/>
              </w:tabs>
              <w:spacing w:line="360" w:lineRule="auto"/>
              <w:jc w:val="center"/>
              <w:outlineLvl w:val="9"/>
              <w:rPr>
                <w:rFonts w:hint="eastAsia" w:ascii="仿宋" w:hAnsi="仿宋" w:eastAsia="仿宋" w:cs="仿宋"/>
                <w:color w:val="auto"/>
                <w:kern w:val="0"/>
                <w:sz w:val="24"/>
                <w:szCs w:val="24"/>
                <w:highlight w:val="none"/>
                <w:lang w:val="zh-CN" w:eastAsia="zh-CN" w:bidi="zh-CN"/>
              </w:rPr>
            </w:pPr>
          </w:p>
        </w:tc>
        <w:tc>
          <w:tcPr>
            <w:tcW w:w="1337" w:type="dxa"/>
            <w:noWrap w:val="0"/>
            <w:vAlign w:val="center"/>
          </w:tcPr>
          <w:p>
            <w:pPr>
              <w:pStyle w:val="90"/>
              <w:tabs>
                <w:tab w:val="left" w:pos="1337"/>
              </w:tabs>
              <w:spacing w:line="360" w:lineRule="auto"/>
              <w:jc w:val="center"/>
              <w:outlineLvl w:val="9"/>
              <w:rPr>
                <w:rFonts w:hint="eastAsia" w:ascii="仿宋" w:hAnsi="仿宋" w:eastAsia="仿宋" w:cs="仿宋"/>
                <w:color w:val="auto"/>
                <w:kern w:val="0"/>
                <w:sz w:val="24"/>
                <w:szCs w:val="24"/>
                <w:highlight w:val="none"/>
                <w:lang w:val="zh-CN" w:eastAsia="zh-CN" w:bidi="zh-CN"/>
              </w:rPr>
            </w:pPr>
          </w:p>
        </w:tc>
        <w:tc>
          <w:tcPr>
            <w:tcW w:w="1337" w:type="dxa"/>
            <w:noWrap w:val="0"/>
            <w:vAlign w:val="center"/>
          </w:tcPr>
          <w:p>
            <w:pPr>
              <w:pStyle w:val="90"/>
              <w:tabs>
                <w:tab w:val="left" w:pos="1337"/>
              </w:tabs>
              <w:spacing w:line="360" w:lineRule="auto"/>
              <w:jc w:val="center"/>
              <w:outlineLvl w:val="9"/>
              <w:rPr>
                <w:rFonts w:hint="eastAsia" w:ascii="仿宋" w:hAnsi="仿宋" w:eastAsia="仿宋" w:cs="仿宋"/>
                <w:color w:val="auto"/>
                <w:kern w:val="0"/>
                <w:sz w:val="24"/>
                <w:szCs w:val="24"/>
                <w:highlight w:val="none"/>
                <w:lang w:val="zh-CN" w:eastAsia="zh-CN" w:bidi="zh-CN"/>
              </w:rPr>
            </w:pPr>
          </w:p>
        </w:tc>
        <w:tc>
          <w:tcPr>
            <w:tcW w:w="977" w:type="dxa"/>
            <w:tcBorders>
              <w:right w:val="single" w:color="auto" w:sz="12" w:space="0"/>
            </w:tcBorders>
            <w:noWrap w:val="0"/>
            <w:vAlign w:val="center"/>
          </w:tcPr>
          <w:p>
            <w:pPr>
              <w:pStyle w:val="90"/>
              <w:tabs>
                <w:tab w:val="left" w:pos="1337"/>
              </w:tabs>
              <w:spacing w:line="360" w:lineRule="auto"/>
              <w:jc w:val="center"/>
              <w:outlineLvl w:val="9"/>
              <w:rPr>
                <w:rFonts w:hint="eastAsia" w:ascii="仿宋" w:hAnsi="仿宋" w:eastAsia="仿宋" w:cs="仿宋"/>
                <w:color w:val="auto"/>
                <w:kern w:val="0"/>
                <w:sz w:val="24"/>
                <w:szCs w:val="24"/>
                <w:highlight w:val="no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55" w:type="dxa"/>
            <w:tcBorders>
              <w:left w:val="single" w:color="auto" w:sz="12" w:space="0"/>
              <w:bottom w:val="single" w:color="auto" w:sz="12" w:space="0"/>
            </w:tcBorders>
            <w:noWrap w:val="0"/>
            <w:vAlign w:val="center"/>
          </w:tcPr>
          <w:p>
            <w:pPr>
              <w:pStyle w:val="90"/>
              <w:tabs>
                <w:tab w:val="left" w:pos="1337"/>
              </w:tabs>
              <w:spacing w:line="360" w:lineRule="auto"/>
              <w:jc w:val="center"/>
              <w:outlineLvl w:val="9"/>
              <w:rPr>
                <w:rFonts w:hint="eastAsia" w:ascii="仿宋" w:hAnsi="仿宋" w:eastAsia="仿宋" w:cs="仿宋"/>
                <w:color w:val="auto"/>
                <w:kern w:val="0"/>
                <w:sz w:val="24"/>
                <w:szCs w:val="24"/>
                <w:highlight w:val="none"/>
                <w:lang w:val="zh-CN" w:eastAsia="zh-CN" w:bidi="zh-CN"/>
              </w:rPr>
            </w:pPr>
          </w:p>
        </w:tc>
        <w:tc>
          <w:tcPr>
            <w:tcW w:w="2101" w:type="dxa"/>
            <w:tcBorders>
              <w:bottom w:val="single" w:color="auto" w:sz="12" w:space="0"/>
            </w:tcBorders>
            <w:noWrap w:val="0"/>
            <w:vAlign w:val="center"/>
          </w:tcPr>
          <w:p>
            <w:pPr>
              <w:pStyle w:val="90"/>
              <w:tabs>
                <w:tab w:val="left" w:pos="1337"/>
              </w:tabs>
              <w:spacing w:line="360" w:lineRule="auto"/>
              <w:jc w:val="center"/>
              <w:outlineLvl w:val="9"/>
              <w:rPr>
                <w:rFonts w:hint="eastAsia" w:ascii="仿宋" w:hAnsi="仿宋" w:eastAsia="仿宋" w:cs="仿宋"/>
                <w:color w:val="auto"/>
                <w:kern w:val="0"/>
                <w:sz w:val="24"/>
                <w:szCs w:val="24"/>
                <w:highlight w:val="none"/>
                <w:lang w:val="zh-CN" w:eastAsia="zh-CN" w:bidi="zh-CN"/>
              </w:rPr>
            </w:pPr>
          </w:p>
        </w:tc>
        <w:tc>
          <w:tcPr>
            <w:tcW w:w="1021" w:type="dxa"/>
            <w:tcBorders>
              <w:bottom w:val="single" w:color="auto" w:sz="12" w:space="0"/>
            </w:tcBorders>
            <w:noWrap w:val="0"/>
            <w:vAlign w:val="center"/>
          </w:tcPr>
          <w:p>
            <w:pPr>
              <w:pStyle w:val="90"/>
              <w:tabs>
                <w:tab w:val="left" w:pos="1337"/>
              </w:tabs>
              <w:spacing w:line="360" w:lineRule="auto"/>
              <w:jc w:val="center"/>
              <w:outlineLvl w:val="9"/>
              <w:rPr>
                <w:rFonts w:hint="eastAsia" w:ascii="仿宋" w:hAnsi="仿宋" w:eastAsia="仿宋" w:cs="仿宋"/>
                <w:color w:val="auto"/>
                <w:kern w:val="0"/>
                <w:sz w:val="24"/>
                <w:szCs w:val="24"/>
                <w:highlight w:val="none"/>
                <w:lang w:val="zh-CN" w:eastAsia="zh-CN" w:bidi="zh-CN"/>
              </w:rPr>
            </w:pPr>
          </w:p>
        </w:tc>
        <w:tc>
          <w:tcPr>
            <w:tcW w:w="1707" w:type="dxa"/>
            <w:tcBorders>
              <w:bottom w:val="single" w:color="auto" w:sz="12" w:space="0"/>
            </w:tcBorders>
            <w:noWrap w:val="0"/>
            <w:vAlign w:val="center"/>
          </w:tcPr>
          <w:p>
            <w:pPr>
              <w:pStyle w:val="90"/>
              <w:tabs>
                <w:tab w:val="left" w:pos="1337"/>
              </w:tabs>
              <w:spacing w:line="360" w:lineRule="auto"/>
              <w:jc w:val="center"/>
              <w:outlineLvl w:val="9"/>
              <w:rPr>
                <w:rFonts w:hint="eastAsia" w:ascii="仿宋" w:hAnsi="仿宋" w:eastAsia="仿宋" w:cs="仿宋"/>
                <w:color w:val="auto"/>
                <w:kern w:val="0"/>
                <w:sz w:val="24"/>
                <w:szCs w:val="24"/>
                <w:highlight w:val="none"/>
                <w:lang w:val="zh-CN" w:eastAsia="zh-CN" w:bidi="zh-CN"/>
              </w:rPr>
            </w:pPr>
          </w:p>
        </w:tc>
        <w:tc>
          <w:tcPr>
            <w:tcW w:w="1337" w:type="dxa"/>
            <w:tcBorders>
              <w:bottom w:val="single" w:color="auto" w:sz="12" w:space="0"/>
            </w:tcBorders>
            <w:noWrap w:val="0"/>
            <w:vAlign w:val="center"/>
          </w:tcPr>
          <w:p>
            <w:pPr>
              <w:pStyle w:val="90"/>
              <w:tabs>
                <w:tab w:val="left" w:pos="1337"/>
              </w:tabs>
              <w:spacing w:line="360" w:lineRule="auto"/>
              <w:jc w:val="center"/>
              <w:outlineLvl w:val="9"/>
              <w:rPr>
                <w:rFonts w:hint="eastAsia" w:ascii="仿宋" w:hAnsi="仿宋" w:eastAsia="仿宋" w:cs="仿宋"/>
                <w:color w:val="auto"/>
                <w:kern w:val="0"/>
                <w:sz w:val="24"/>
                <w:szCs w:val="24"/>
                <w:highlight w:val="none"/>
                <w:lang w:val="zh-CN" w:eastAsia="zh-CN" w:bidi="zh-CN"/>
              </w:rPr>
            </w:pPr>
          </w:p>
        </w:tc>
        <w:tc>
          <w:tcPr>
            <w:tcW w:w="1337" w:type="dxa"/>
            <w:tcBorders>
              <w:bottom w:val="single" w:color="auto" w:sz="12" w:space="0"/>
            </w:tcBorders>
            <w:noWrap w:val="0"/>
            <w:vAlign w:val="center"/>
          </w:tcPr>
          <w:p>
            <w:pPr>
              <w:pStyle w:val="90"/>
              <w:tabs>
                <w:tab w:val="left" w:pos="1337"/>
              </w:tabs>
              <w:spacing w:line="360" w:lineRule="auto"/>
              <w:jc w:val="center"/>
              <w:outlineLvl w:val="9"/>
              <w:rPr>
                <w:rFonts w:hint="eastAsia" w:ascii="仿宋" w:hAnsi="仿宋" w:eastAsia="仿宋" w:cs="仿宋"/>
                <w:color w:val="auto"/>
                <w:kern w:val="0"/>
                <w:sz w:val="24"/>
                <w:szCs w:val="24"/>
                <w:highlight w:val="none"/>
                <w:lang w:val="zh-CN" w:eastAsia="zh-CN" w:bidi="zh-CN"/>
              </w:rPr>
            </w:pPr>
          </w:p>
        </w:tc>
        <w:tc>
          <w:tcPr>
            <w:tcW w:w="977" w:type="dxa"/>
            <w:tcBorders>
              <w:bottom w:val="single" w:color="auto" w:sz="12" w:space="0"/>
              <w:right w:val="single" w:color="auto" w:sz="12" w:space="0"/>
            </w:tcBorders>
            <w:noWrap w:val="0"/>
            <w:vAlign w:val="center"/>
          </w:tcPr>
          <w:p>
            <w:pPr>
              <w:pStyle w:val="90"/>
              <w:tabs>
                <w:tab w:val="left" w:pos="1337"/>
              </w:tabs>
              <w:spacing w:line="360" w:lineRule="auto"/>
              <w:jc w:val="center"/>
              <w:outlineLvl w:val="9"/>
              <w:rPr>
                <w:rFonts w:hint="eastAsia" w:ascii="仿宋" w:hAnsi="仿宋" w:eastAsia="仿宋" w:cs="仿宋"/>
                <w:color w:val="auto"/>
                <w:kern w:val="0"/>
                <w:sz w:val="24"/>
                <w:szCs w:val="24"/>
                <w:highlight w:val="none"/>
                <w:lang w:val="zh-CN" w:eastAsia="zh-CN" w:bidi="zh-CN"/>
              </w:rPr>
            </w:pPr>
          </w:p>
        </w:tc>
      </w:tr>
    </w:tbl>
    <w:p>
      <w:pPr>
        <w:pStyle w:val="90"/>
        <w:spacing w:line="360" w:lineRule="auto"/>
        <w:ind w:left="2"/>
        <w:outlineLvl w:val="9"/>
        <w:rPr>
          <w:rFonts w:hint="eastAsia" w:ascii="宋体" w:hAnsi="宋体" w:eastAsia="宋体" w:cs="宋体"/>
          <w:color w:val="000000"/>
          <w:sz w:val="24"/>
          <w:highlight w:val="none"/>
        </w:rPr>
      </w:pPr>
      <w:r>
        <w:rPr>
          <w:rFonts w:hint="eastAsia" w:ascii="宋体" w:hAnsi="宋体" w:eastAsia="宋体" w:cs="宋体"/>
          <w:color w:val="000000"/>
          <w:sz w:val="24"/>
          <w:highlight w:val="none"/>
        </w:rPr>
        <w:t>说明：如投标人提交的货物技术规范与招标文件的要求存在偏离，需逐项填写《货物技术规范偏离表》。</w:t>
      </w:r>
    </w:p>
    <w:p>
      <w:pPr>
        <w:pStyle w:val="93"/>
        <w:spacing w:before="0" w:after="0" w:line="360" w:lineRule="auto"/>
        <w:ind w:right="960"/>
        <w:outlineLvl w:val="9"/>
        <w:rPr>
          <w:rFonts w:hint="eastAsia" w:ascii="宋体" w:hAnsi="宋体" w:eastAsia="宋体" w:cs="宋体"/>
          <w:color w:val="000000"/>
          <w:sz w:val="24"/>
          <w:szCs w:val="24"/>
          <w:highlight w:val="none"/>
        </w:rPr>
      </w:pPr>
    </w:p>
    <w:p>
      <w:pPr>
        <w:pStyle w:val="93"/>
        <w:spacing w:before="0" w:after="0" w:line="360" w:lineRule="auto"/>
        <w:ind w:right="17"/>
        <w:jc w:val="right"/>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年  月  日</w:t>
      </w:r>
    </w:p>
    <w:p>
      <w:pPr>
        <w:pStyle w:val="76"/>
        <w:spacing w:line="500" w:lineRule="exact"/>
        <w:outlineLvl w:val="9"/>
        <w:rPr>
          <w:rFonts w:hint="eastAsia" w:ascii="仿宋" w:hAnsi="仿宋" w:eastAsia="仿宋" w:cs="仿宋"/>
          <w:b/>
          <w:color w:val="auto"/>
          <w:kern w:val="0"/>
          <w:sz w:val="32"/>
          <w:szCs w:val="24"/>
          <w:highlight w:val="none"/>
          <w:lang w:val="en-US" w:eastAsia="zh-CN"/>
        </w:rPr>
      </w:pPr>
    </w:p>
    <w:p>
      <w:pPr>
        <w:pStyle w:val="76"/>
        <w:spacing w:line="500" w:lineRule="exact"/>
        <w:outlineLvl w:val="9"/>
        <w:rPr>
          <w:rFonts w:hint="eastAsia" w:ascii="仿宋" w:hAnsi="仿宋" w:eastAsia="仿宋" w:cs="仿宋"/>
          <w:b/>
          <w:color w:val="auto"/>
          <w:kern w:val="0"/>
          <w:sz w:val="32"/>
          <w:szCs w:val="24"/>
          <w:highlight w:val="none"/>
          <w:lang w:val="en-US" w:eastAsia="zh-CN"/>
        </w:rPr>
      </w:pPr>
    </w:p>
    <w:p>
      <w:pPr>
        <w:pStyle w:val="76"/>
        <w:spacing w:line="500" w:lineRule="exact"/>
        <w:outlineLvl w:val="9"/>
        <w:rPr>
          <w:rFonts w:hint="eastAsia" w:ascii="仿宋" w:hAnsi="仿宋" w:eastAsia="仿宋" w:cs="仿宋"/>
          <w:b/>
          <w:color w:val="auto"/>
          <w:kern w:val="0"/>
          <w:sz w:val="32"/>
          <w:szCs w:val="24"/>
          <w:highlight w:val="none"/>
          <w:lang w:val="en-US" w:eastAsia="zh-CN"/>
        </w:rPr>
      </w:pPr>
    </w:p>
    <w:p>
      <w:pPr>
        <w:pStyle w:val="76"/>
        <w:spacing w:line="500" w:lineRule="exact"/>
        <w:outlineLvl w:val="9"/>
        <w:rPr>
          <w:rFonts w:hint="eastAsia" w:ascii="仿宋" w:hAnsi="仿宋" w:eastAsia="仿宋" w:cs="仿宋"/>
          <w:b/>
          <w:color w:val="auto"/>
          <w:kern w:val="0"/>
          <w:sz w:val="32"/>
          <w:szCs w:val="24"/>
          <w:highlight w:val="none"/>
          <w:lang w:val="en-US" w:eastAsia="zh-CN"/>
        </w:rPr>
      </w:pPr>
    </w:p>
    <w:p>
      <w:pPr>
        <w:pStyle w:val="76"/>
        <w:spacing w:line="500" w:lineRule="exact"/>
        <w:outlineLvl w:val="9"/>
        <w:rPr>
          <w:rFonts w:hint="eastAsia" w:ascii="仿宋" w:hAnsi="仿宋" w:eastAsia="仿宋" w:cs="仿宋"/>
          <w:b/>
          <w:color w:val="auto"/>
          <w:kern w:val="0"/>
          <w:sz w:val="32"/>
          <w:szCs w:val="24"/>
          <w:highlight w:val="none"/>
          <w:lang w:val="en-US" w:eastAsia="zh-CN"/>
        </w:rPr>
      </w:pPr>
    </w:p>
    <w:p>
      <w:pPr>
        <w:pStyle w:val="76"/>
        <w:spacing w:line="500" w:lineRule="exact"/>
        <w:outlineLvl w:val="9"/>
        <w:rPr>
          <w:rFonts w:hint="eastAsia" w:ascii="仿宋" w:hAnsi="仿宋" w:eastAsia="仿宋" w:cs="仿宋"/>
          <w:b/>
          <w:color w:val="auto"/>
          <w:kern w:val="0"/>
          <w:sz w:val="32"/>
          <w:szCs w:val="24"/>
          <w:highlight w:val="none"/>
          <w:lang w:val="en-US" w:eastAsia="zh-CN"/>
        </w:rPr>
      </w:pPr>
    </w:p>
    <w:p>
      <w:pPr>
        <w:pStyle w:val="76"/>
        <w:spacing w:line="500" w:lineRule="exact"/>
        <w:outlineLvl w:val="9"/>
        <w:rPr>
          <w:rFonts w:hint="eastAsia" w:ascii="仿宋" w:hAnsi="仿宋" w:eastAsia="仿宋" w:cs="仿宋"/>
          <w:b/>
          <w:color w:val="auto"/>
          <w:kern w:val="0"/>
          <w:sz w:val="32"/>
          <w:szCs w:val="24"/>
          <w:highlight w:val="none"/>
          <w:lang w:val="en-US" w:eastAsia="zh-CN"/>
        </w:rPr>
      </w:pPr>
    </w:p>
    <w:p>
      <w:pPr>
        <w:pStyle w:val="76"/>
        <w:spacing w:line="500" w:lineRule="exact"/>
        <w:outlineLvl w:val="9"/>
        <w:rPr>
          <w:rFonts w:hint="eastAsia" w:ascii="仿宋" w:hAnsi="仿宋" w:eastAsia="仿宋" w:cs="仿宋"/>
          <w:b/>
          <w:color w:val="auto"/>
          <w:kern w:val="0"/>
          <w:sz w:val="32"/>
          <w:szCs w:val="24"/>
          <w:highlight w:val="none"/>
          <w:lang w:val="en-US" w:eastAsia="zh-CN"/>
        </w:rPr>
      </w:pPr>
    </w:p>
    <w:p>
      <w:pPr>
        <w:pStyle w:val="76"/>
        <w:spacing w:line="500" w:lineRule="exact"/>
        <w:outlineLvl w:val="9"/>
        <w:rPr>
          <w:rFonts w:hint="eastAsia" w:ascii="仿宋" w:hAnsi="仿宋" w:eastAsia="仿宋" w:cs="仿宋"/>
          <w:b/>
          <w:color w:val="auto"/>
          <w:kern w:val="0"/>
          <w:sz w:val="32"/>
          <w:szCs w:val="24"/>
          <w:highlight w:val="none"/>
          <w:lang w:val="en-US" w:eastAsia="zh-CN"/>
        </w:rPr>
      </w:pPr>
    </w:p>
    <w:p>
      <w:pPr>
        <w:pStyle w:val="76"/>
        <w:spacing w:line="500" w:lineRule="exact"/>
        <w:outlineLvl w:val="9"/>
        <w:rPr>
          <w:rFonts w:hint="eastAsia" w:ascii="仿宋" w:hAnsi="仿宋" w:eastAsia="仿宋" w:cs="仿宋"/>
          <w:b/>
          <w:color w:val="auto"/>
          <w:kern w:val="0"/>
          <w:sz w:val="32"/>
          <w:szCs w:val="24"/>
          <w:highlight w:val="none"/>
        </w:rPr>
      </w:pPr>
      <w:bookmarkStart w:id="193" w:name="_Toc21011"/>
      <w:r>
        <w:rPr>
          <w:rFonts w:hint="eastAsia" w:ascii="仿宋" w:hAnsi="仿宋" w:eastAsia="仿宋" w:cs="仿宋"/>
          <w:b/>
          <w:color w:val="auto"/>
          <w:kern w:val="0"/>
          <w:sz w:val="32"/>
          <w:szCs w:val="24"/>
          <w:highlight w:val="none"/>
          <w:lang w:val="en-US" w:eastAsia="zh-CN"/>
        </w:rPr>
        <w:t>4.</w:t>
      </w:r>
      <w:r>
        <w:rPr>
          <w:rFonts w:hint="eastAsia" w:ascii="仿宋" w:hAnsi="仿宋" w:eastAsia="仿宋" w:cs="仿宋"/>
          <w:b/>
          <w:color w:val="auto"/>
          <w:kern w:val="0"/>
          <w:sz w:val="32"/>
          <w:szCs w:val="24"/>
          <w:highlight w:val="none"/>
          <w:lang w:eastAsia="zh-CN"/>
        </w:rPr>
        <w:t>投标人</w:t>
      </w:r>
      <w:r>
        <w:rPr>
          <w:rFonts w:hint="eastAsia" w:ascii="仿宋" w:hAnsi="仿宋" w:eastAsia="仿宋" w:cs="仿宋"/>
          <w:b/>
          <w:color w:val="auto"/>
          <w:kern w:val="0"/>
          <w:sz w:val="32"/>
          <w:szCs w:val="24"/>
          <w:highlight w:val="none"/>
        </w:rPr>
        <w:t>认为有必要提供的</w:t>
      </w:r>
      <w:r>
        <w:rPr>
          <w:rFonts w:hint="eastAsia" w:ascii="仿宋" w:hAnsi="仿宋" w:eastAsia="仿宋" w:cs="仿宋"/>
          <w:b/>
          <w:color w:val="auto"/>
          <w:kern w:val="0"/>
          <w:sz w:val="32"/>
          <w:szCs w:val="24"/>
          <w:highlight w:val="none"/>
          <w:lang w:eastAsia="zh-CN"/>
        </w:rPr>
        <w:t>其他</w:t>
      </w:r>
      <w:r>
        <w:rPr>
          <w:rFonts w:hint="eastAsia" w:ascii="仿宋" w:hAnsi="仿宋" w:eastAsia="仿宋" w:cs="仿宋"/>
          <w:b/>
          <w:color w:val="auto"/>
          <w:kern w:val="0"/>
          <w:sz w:val="32"/>
          <w:szCs w:val="24"/>
          <w:highlight w:val="none"/>
        </w:rPr>
        <w:t>声明及文件</w:t>
      </w:r>
      <w:r>
        <w:rPr>
          <w:rFonts w:hint="eastAsia" w:ascii="仿宋" w:hAnsi="仿宋" w:eastAsia="仿宋" w:cs="仿宋"/>
          <w:b/>
          <w:color w:val="auto"/>
          <w:kern w:val="0"/>
          <w:sz w:val="32"/>
          <w:szCs w:val="24"/>
          <w:highlight w:val="none"/>
          <w:lang w:eastAsia="zh-CN"/>
        </w:rPr>
        <w:t>技术</w:t>
      </w:r>
      <w:r>
        <w:rPr>
          <w:rFonts w:hint="eastAsia" w:ascii="仿宋" w:hAnsi="仿宋" w:eastAsia="仿宋" w:cs="仿宋"/>
          <w:b/>
          <w:color w:val="auto"/>
          <w:kern w:val="0"/>
          <w:sz w:val="32"/>
          <w:szCs w:val="24"/>
          <w:highlight w:val="none"/>
        </w:rPr>
        <w:t>资料</w:t>
      </w:r>
      <w:bookmarkEnd w:id="193"/>
    </w:p>
    <w:p>
      <w:pPr>
        <w:pStyle w:val="77"/>
        <w:spacing w:line="360" w:lineRule="auto"/>
        <w:ind w:right="17" w:firstLine="4320" w:firstLineChars="1800"/>
        <w:jc w:val="both"/>
        <w:outlineLvl w:val="9"/>
        <w:rPr>
          <w:rFonts w:hint="eastAsia" w:ascii="仿宋" w:hAnsi="仿宋" w:eastAsia="仿宋" w:cs="仿宋"/>
          <w:color w:val="auto"/>
          <w:sz w:val="24"/>
          <w:szCs w:val="24"/>
          <w:highlight w:val="none"/>
        </w:rPr>
        <w:sectPr>
          <w:pgSz w:w="11906" w:h="16838"/>
          <w:pgMar w:top="1440" w:right="1797" w:bottom="1440" w:left="1797" w:header="851" w:footer="992" w:gutter="0"/>
          <w:pgNumType w:fmt="decimal"/>
          <w:cols w:space="720" w:num="1"/>
          <w:titlePg/>
          <w:docGrid w:type="lines" w:linePitch="312" w:charSpace="0"/>
        </w:sectPr>
      </w:pPr>
    </w:p>
    <w:p>
      <w:pPr>
        <w:pStyle w:val="16"/>
        <w:autoSpaceDE w:val="0"/>
        <w:spacing w:before="0" w:beforeAutospacing="0" w:after="0" w:afterAutospacing="0" w:line="360" w:lineRule="auto"/>
        <w:outlineLvl w:val="9"/>
        <w:rPr>
          <w:rFonts w:hint="eastAsia" w:ascii="宋体" w:hAnsi="宋体" w:eastAsia="宋体" w:cs="宋体"/>
          <w:b/>
          <w:color w:val="auto"/>
          <w:kern w:val="2"/>
          <w:sz w:val="28"/>
          <w:szCs w:val="28"/>
          <w:highlight w:val="none"/>
          <w:lang w:val="en-US" w:eastAsia="zh-CN" w:bidi="ar-SA"/>
        </w:rPr>
      </w:pPr>
      <w:bookmarkStart w:id="194" w:name="_Toc11123"/>
      <w:bookmarkStart w:id="195" w:name="_Toc4078"/>
      <w:bookmarkStart w:id="196" w:name="_Toc6289"/>
      <w:bookmarkStart w:id="197" w:name="_Toc85987161"/>
      <w:bookmarkStart w:id="198" w:name="_Toc3573"/>
      <w:bookmarkStart w:id="199" w:name="_Toc4007"/>
      <w:bookmarkStart w:id="200" w:name="_Toc6857"/>
      <w:bookmarkStart w:id="201" w:name="_Toc21076"/>
      <w:bookmarkStart w:id="202" w:name="_Toc20891"/>
      <w:bookmarkStart w:id="203" w:name="_Toc6618"/>
      <w:bookmarkStart w:id="204" w:name="_Toc21741"/>
      <w:bookmarkStart w:id="205" w:name="_Toc32257"/>
      <w:r>
        <w:rPr>
          <w:rFonts w:hint="eastAsia" w:ascii="宋体" w:hAnsi="宋体" w:cs="宋体"/>
          <w:b/>
          <w:color w:val="auto"/>
          <w:kern w:val="2"/>
          <w:sz w:val="28"/>
          <w:szCs w:val="28"/>
          <w:highlight w:val="none"/>
          <w:lang w:val="en-US" w:eastAsia="zh-CN" w:bidi="ar-SA"/>
        </w:rPr>
        <w:t>5</w:t>
      </w:r>
      <w:r>
        <w:rPr>
          <w:rFonts w:hint="eastAsia" w:ascii="宋体" w:hAnsi="宋体" w:eastAsia="宋体" w:cs="宋体"/>
          <w:b/>
          <w:color w:val="auto"/>
          <w:kern w:val="2"/>
          <w:sz w:val="28"/>
          <w:szCs w:val="28"/>
          <w:highlight w:val="none"/>
          <w:lang w:val="en-US" w:eastAsia="zh-CN" w:bidi="ar-SA"/>
        </w:rPr>
        <w:t>.商务技术其他评分内容</w:t>
      </w:r>
      <w:bookmarkEnd w:id="194"/>
      <w:bookmarkEnd w:id="195"/>
      <w:bookmarkEnd w:id="196"/>
      <w:bookmarkEnd w:id="197"/>
      <w:bookmarkEnd w:id="198"/>
    </w:p>
    <w:p>
      <w:pPr>
        <w:pStyle w:val="16"/>
        <w:spacing w:before="0" w:beforeAutospacing="0" w:after="0" w:afterAutospacing="0" w:line="360" w:lineRule="auto"/>
        <w:ind w:left="2"/>
        <w:jc w:val="both"/>
        <w:outlineLvl w:val="9"/>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注：投标人根据“政采云投标客户端”结合招标文件第四部分 评审方法（综合评分法） 商务技术评审要求的内容，自行拟定格式。</w:t>
      </w:r>
    </w:p>
    <w:p>
      <w:pPr>
        <w:pStyle w:val="16"/>
        <w:autoSpaceDE w:val="0"/>
        <w:spacing w:before="0" w:beforeAutospacing="0" w:after="0" w:afterAutospacing="0" w:line="360" w:lineRule="auto"/>
        <w:outlineLvl w:val="9"/>
        <w:rPr>
          <w:rFonts w:hint="eastAsia" w:cs="宋体"/>
          <w:b/>
          <w:color w:val="auto"/>
          <w:sz w:val="36"/>
          <w:szCs w:val="36"/>
          <w:highlight w:val="none"/>
          <w:lang w:bidi="ar"/>
        </w:rPr>
        <w:sectPr>
          <w:pgSz w:w="11907" w:h="16840"/>
          <w:pgMar w:top="1134" w:right="1191" w:bottom="1134" w:left="1304" w:header="964" w:footer="992" w:gutter="0"/>
          <w:pgNumType w:fmt="decimal"/>
          <w:cols w:space="720" w:num="1"/>
          <w:docGrid w:linePitch="312" w:charSpace="0"/>
        </w:sectPr>
      </w:pPr>
    </w:p>
    <w:p>
      <w:pPr>
        <w:pStyle w:val="11"/>
        <w:spacing w:line="440" w:lineRule="exact"/>
        <w:jc w:val="left"/>
        <w:outlineLvl w:val="9"/>
        <w:rPr>
          <w:rFonts w:hint="eastAsia" w:ascii="仿宋" w:hAnsi="仿宋" w:eastAsia="仿宋" w:cs="仿宋"/>
          <w:b w:val="0"/>
          <w:bCs/>
          <w:color w:val="auto"/>
          <w:kern w:val="0"/>
          <w:sz w:val="32"/>
          <w:szCs w:val="24"/>
          <w:highlight w:val="none"/>
          <w:lang w:val="en-US" w:eastAsia="zh-CN" w:bidi="ar-SA"/>
        </w:rPr>
      </w:pPr>
      <w:bookmarkStart w:id="206" w:name="_Toc17113"/>
      <w:r>
        <w:rPr>
          <w:rFonts w:hint="eastAsia" w:ascii="仿宋" w:hAnsi="仿宋" w:eastAsia="仿宋" w:cs="仿宋"/>
          <w:b w:val="0"/>
          <w:bCs/>
          <w:color w:val="auto"/>
          <w:kern w:val="0"/>
          <w:sz w:val="32"/>
          <w:szCs w:val="24"/>
          <w:highlight w:val="none"/>
          <w:lang w:val="en-US" w:eastAsia="zh-CN" w:bidi="ar-SA"/>
        </w:rPr>
        <w:t>6.退还保证金申请函</w:t>
      </w:r>
      <w:bookmarkEnd w:id="199"/>
      <w:bookmarkEnd w:id="200"/>
      <w:bookmarkEnd w:id="201"/>
      <w:bookmarkEnd w:id="202"/>
      <w:bookmarkEnd w:id="203"/>
      <w:bookmarkEnd w:id="204"/>
      <w:bookmarkEnd w:id="205"/>
      <w:bookmarkEnd w:id="206"/>
    </w:p>
    <w:p>
      <w:pPr>
        <w:spacing w:line="360" w:lineRule="auto"/>
        <w:outlineLvl w:val="9"/>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lang w:eastAsia="zh-CN"/>
        </w:rPr>
        <w:t>新疆锦辰工程项目管理有限公司</w:t>
      </w:r>
    </w:p>
    <w:p>
      <w:pPr>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 xml:space="preserve">全称) </w:t>
      </w:r>
      <w:r>
        <w:rPr>
          <w:rFonts w:hint="eastAsia" w:ascii="仿宋" w:hAnsi="仿宋" w:eastAsia="仿宋" w:cs="仿宋"/>
          <w:color w:val="auto"/>
          <w:sz w:val="24"/>
          <w:szCs w:val="24"/>
          <w:highlight w:val="none"/>
        </w:rPr>
        <w:t>参加贵方组织的，</w:t>
      </w:r>
      <w:r>
        <w:rPr>
          <w:rFonts w:hint="eastAsia" w:ascii="仿宋" w:hAnsi="仿宋" w:eastAsia="仿宋" w:cs="仿宋"/>
          <w:b w:val="0"/>
          <w:bCs w:val="0"/>
          <w:color w:val="auto"/>
          <w:sz w:val="24"/>
          <w:szCs w:val="24"/>
          <w:highlight w:val="none"/>
          <w:u w:val="single"/>
          <w:lang w:val="en-US" w:eastAsia="zh-CN"/>
        </w:rPr>
        <w:t>（项目名称）（项目编号）</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采购活动。按</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文件的规定，已通过</w:t>
      </w:r>
      <w:r>
        <w:rPr>
          <w:rFonts w:hint="eastAsia" w:ascii="仿宋" w:hAnsi="仿宋" w:eastAsia="仿宋" w:cs="仿宋"/>
          <w:color w:val="auto"/>
          <w:sz w:val="24"/>
          <w:szCs w:val="24"/>
          <w:highlight w:val="none"/>
          <w:u w:val="single"/>
        </w:rPr>
        <w:t>银行转帐/银行汇款</w:t>
      </w:r>
      <w:r>
        <w:rPr>
          <w:rFonts w:hint="eastAsia" w:ascii="仿宋" w:hAnsi="仿宋" w:eastAsia="仿宋" w:cs="仿宋"/>
          <w:color w:val="auto"/>
          <w:sz w:val="24"/>
          <w:szCs w:val="24"/>
          <w:highlight w:val="none"/>
        </w:rPr>
        <w:t>形式缴纳人民币</w:t>
      </w:r>
      <w:r>
        <w:rPr>
          <w:rFonts w:hint="eastAsia" w:ascii="仿宋" w:hAnsi="仿宋" w:eastAsia="仿宋" w:cs="仿宋"/>
          <w:color w:val="auto"/>
          <w:sz w:val="24"/>
          <w:szCs w:val="24"/>
          <w:highlight w:val="none"/>
          <w:u w:val="single"/>
        </w:rPr>
        <w:t xml:space="preserve">（大写）  　　  </w:t>
      </w:r>
      <w:r>
        <w:rPr>
          <w:rFonts w:hint="eastAsia" w:ascii="仿宋" w:hAnsi="仿宋" w:eastAsia="仿宋" w:cs="仿宋"/>
          <w:color w:val="auto"/>
          <w:sz w:val="24"/>
          <w:szCs w:val="24"/>
          <w:highlight w:val="none"/>
        </w:rPr>
        <w:t>元的保证金。</w:t>
      </w:r>
    </w:p>
    <w:p>
      <w:pPr>
        <w:autoSpaceDE w:val="0"/>
        <w:autoSpaceDN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退还保证金</w:t>
      </w:r>
      <w:r>
        <w:rPr>
          <w:rFonts w:hint="eastAsia" w:ascii="仿宋" w:hAnsi="仿宋" w:eastAsia="仿宋" w:cs="仿宋"/>
          <w:color w:val="auto"/>
          <w:sz w:val="24"/>
          <w:szCs w:val="24"/>
          <w:highlight w:val="none"/>
        </w:rPr>
        <w:t>时请按以下内容划入我方帐户。若因内容不全、错误、字迹潦草模糊导致该项目保证金未能及时退还或退还过程中发生错误，我方将承担全部责任和损失。</w:t>
      </w:r>
    </w:p>
    <w:p>
      <w:pPr>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名称：</w:t>
      </w:r>
      <w:r>
        <w:rPr>
          <w:rFonts w:hint="eastAsia" w:ascii="仿宋" w:hAnsi="仿宋" w:eastAsia="仿宋" w:cs="仿宋"/>
          <w:i/>
          <w:iCs/>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pPr>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开户银行：</w:t>
      </w:r>
      <w:r>
        <w:rPr>
          <w:rFonts w:hint="eastAsia" w:ascii="仿宋" w:hAnsi="仿宋" w:eastAsia="仿宋" w:cs="仿宋"/>
          <w:color w:val="auto"/>
          <w:sz w:val="24"/>
          <w:szCs w:val="24"/>
          <w:highlight w:val="none"/>
          <w:u w:val="single"/>
        </w:rPr>
        <w:t xml:space="preserve">                             </w:t>
      </w:r>
    </w:p>
    <w:p>
      <w:pPr>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开户银行行号：</w:t>
      </w:r>
      <w:r>
        <w:rPr>
          <w:rFonts w:hint="eastAsia" w:ascii="仿宋" w:hAnsi="仿宋" w:eastAsia="仿宋" w:cs="仿宋"/>
          <w:color w:val="auto"/>
          <w:sz w:val="24"/>
          <w:szCs w:val="24"/>
          <w:highlight w:val="none"/>
          <w:u w:val="single"/>
        </w:rPr>
        <w:t xml:space="preserve">                         </w:t>
      </w:r>
    </w:p>
    <w:p>
      <w:pPr>
        <w:spacing w:line="360" w:lineRule="auto"/>
        <w:ind w:firstLine="480" w:firstLineChars="20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银行帐号：</w:t>
      </w:r>
      <w:r>
        <w:rPr>
          <w:rFonts w:hint="eastAsia" w:ascii="仿宋" w:hAnsi="仿宋" w:eastAsia="仿宋" w:cs="仿宋"/>
          <w:color w:val="auto"/>
          <w:sz w:val="24"/>
          <w:szCs w:val="24"/>
          <w:highlight w:val="none"/>
          <w:u w:val="single"/>
        </w:rPr>
        <w:t xml:space="preserve">                             </w:t>
      </w:r>
    </w:p>
    <w:p>
      <w:pPr>
        <w:spacing w:line="360" w:lineRule="auto"/>
        <w:ind w:firstLine="420" w:firstLineChars="200"/>
        <w:outlineLvl w:val="9"/>
        <w:rPr>
          <w:rFonts w:hint="eastAsia" w:ascii="仿宋" w:hAnsi="仿宋" w:eastAsia="仿宋" w:cs="仿宋"/>
          <w:color w:val="auto"/>
          <w:sz w:val="24"/>
          <w:szCs w:val="24"/>
          <w:highlight w:val="none"/>
          <w:lang w:val="en-US" w:eastAsia="zh-CN"/>
        </w:rPr>
      </w:pPr>
      <w:r>
        <w:rPr>
          <w:rFonts w:hint="eastAsia" w:eastAsia="仿宋"/>
          <w:color w:val="auto"/>
          <w:highlight w:val="none"/>
          <w:lang w:val="en-US" w:eastAsia="zh-CN"/>
        </w:rPr>
        <w:t xml:space="preserve"> </w:t>
      </w:r>
      <w:r>
        <w:rPr>
          <w:rFonts w:hint="eastAsia" w:ascii="仿宋" w:hAnsi="仿宋" w:eastAsia="仿宋" w:cs="仿宋"/>
          <w:color w:val="auto"/>
          <w:sz w:val="24"/>
          <w:szCs w:val="24"/>
          <w:highlight w:val="none"/>
          <w:lang w:val="en-US" w:eastAsia="zh-CN"/>
        </w:rPr>
        <w:t>投标人姓名：</w:t>
      </w:r>
      <w:r>
        <w:rPr>
          <w:rFonts w:hint="eastAsia" w:ascii="仿宋" w:hAnsi="仿宋" w:eastAsia="仿宋" w:cs="仿宋"/>
          <w:i/>
          <w:iCs/>
          <w:color w:val="auto"/>
          <w:sz w:val="24"/>
          <w:szCs w:val="24"/>
          <w:highlight w:val="none"/>
          <w:u w:val="single"/>
        </w:rPr>
        <w:t xml:space="preserve">                                 </w:t>
      </w:r>
    </w:p>
    <w:p>
      <w:pPr>
        <w:spacing w:line="360" w:lineRule="auto"/>
        <w:ind w:firstLine="480" w:firstLineChars="200"/>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投标人联系电话：</w:t>
      </w:r>
      <w:r>
        <w:rPr>
          <w:rFonts w:hint="eastAsia" w:ascii="仿宋" w:hAnsi="仿宋" w:eastAsia="仿宋" w:cs="仿宋"/>
          <w:color w:val="auto"/>
          <w:sz w:val="24"/>
          <w:szCs w:val="24"/>
          <w:highlight w:val="none"/>
          <w:u w:val="single"/>
        </w:rPr>
        <w:t xml:space="preserve">                             </w:t>
      </w:r>
    </w:p>
    <w:p>
      <w:pPr>
        <w:adjustRightInd w:val="0"/>
        <w:snapToGrid w:val="0"/>
        <w:spacing w:line="360" w:lineRule="auto"/>
        <w:outlineLvl w:val="9"/>
        <w:rPr>
          <w:rFonts w:hint="eastAsia" w:ascii="仿宋" w:hAnsi="仿宋" w:eastAsia="仿宋" w:cs="仿宋"/>
          <w:color w:val="auto"/>
          <w:sz w:val="24"/>
          <w:szCs w:val="24"/>
          <w:highlight w:val="none"/>
        </w:rPr>
      </w:pPr>
    </w:p>
    <w:p>
      <w:pPr>
        <w:adjustRightInd w:val="0"/>
        <w:snapToGrid w:val="0"/>
        <w:spacing w:line="360" w:lineRule="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法定代表人（或法定代表人授权代表）签字：</w:t>
      </w:r>
    </w:p>
    <w:p>
      <w:pPr>
        <w:adjustRightInd w:val="0"/>
        <w:snapToGrid w:val="0"/>
        <w:spacing w:line="360" w:lineRule="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名称（加盖公章）：</w:t>
      </w:r>
    </w:p>
    <w:p>
      <w:pPr>
        <w:adjustRightInd w:val="0"/>
        <w:snapToGrid w:val="0"/>
        <w:spacing w:line="360" w:lineRule="auto"/>
        <w:outlineLvl w:val="9"/>
        <w:rPr>
          <w:rFonts w:hint="eastAsia" w:ascii="仿宋" w:hAnsi="仿宋" w:eastAsia="仿宋" w:cs="仿宋"/>
          <w:bCs/>
          <w:color w:val="auto"/>
          <w:sz w:val="21"/>
          <w:szCs w:val="21"/>
          <w:highlight w:val="none"/>
        </w:rPr>
      </w:pPr>
      <w:r>
        <w:rPr>
          <w:rFonts w:hint="eastAsia" w:ascii="仿宋" w:hAnsi="仿宋" w:eastAsia="仿宋" w:cs="仿宋"/>
          <w:color w:val="auto"/>
          <w:sz w:val="24"/>
          <w:szCs w:val="24"/>
          <w:highlight w:val="none"/>
        </w:rPr>
        <w:t>日期：   年   月   日</w:t>
      </w:r>
    </w:p>
    <w:p>
      <w:pPr>
        <w:pStyle w:val="11"/>
        <w:spacing w:line="440" w:lineRule="exact"/>
        <w:jc w:val="both"/>
        <w:outlineLvl w:val="9"/>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lang w:eastAsia="zh-CN"/>
        </w:rPr>
        <w:t>注：中标结果公告发出后，为方便代理机构后续退款事宜，维护各方的合法权益，请投标人认真填写此函信息，并后附转帐或汇款的银行凭证复印件。</w:t>
      </w:r>
    </w:p>
    <w:tbl>
      <w:tblPr>
        <w:tblStyle w:val="19"/>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6" w:hRule="atLeast"/>
        </w:trPr>
        <w:tc>
          <w:tcPr>
            <w:tcW w:w="9220" w:type="dxa"/>
            <w:noWrap w:val="0"/>
            <w:vAlign w:val="center"/>
          </w:tcPr>
          <w:p>
            <w:pPr>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（粘贴转帐或汇款的银行凭证复印件）</w:t>
            </w:r>
          </w:p>
        </w:tc>
      </w:tr>
    </w:tbl>
    <w:p/>
    <w:sectPr>
      <w:footerReference r:id="rId10"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0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3000509000000000000"/>
    <w:charset w:val="86"/>
    <w:family w:val="script"/>
    <w:pitch w:val="default"/>
    <w:sig w:usb0="00000000" w:usb1="00000000" w:usb2="0000001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posOffset>2590165</wp:posOffset>
              </wp:positionH>
              <wp:positionV relativeFrom="paragraph">
                <wp:posOffset>0</wp:posOffset>
              </wp:positionV>
              <wp:extent cx="10604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6045" cy="1828800"/>
                      </a:xfrm>
                      <a:prstGeom prst="rect">
                        <a:avLst/>
                      </a:prstGeom>
                      <a:noFill/>
                      <a:ln>
                        <a:noFill/>
                      </a:ln>
                    </wps:spPr>
                    <wps:txbx>
                      <w:txbxContent>
                        <w:p>
                          <w:pPr>
                            <w:pStyle w:val="11"/>
                          </w:pPr>
                        </w:p>
                      </w:txbxContent>
                    </wps:txbx>
                    <wps:bodyPr lIns="0" tIns="0" rIns="0" bIns="0" upright="0">
                      <a:spAutoFit/>
                    </wps:bodyPr>
                  </wps:wsp>
                </a:graphicData>
              </a:graphic>
            </wp:anchor>
          </w:drawing>
        </mc:Choice>
        <mc:Fallback>
          <w:pict>
            <v:shape id="_x0000_s1026" o:spid="_x0000_s1026" o:spt="202" type="#_x0000_t202" style="position:absolute;left:0pt;margin-left:203.95pt;margin-top:0pt;height:144pt;width:8.35pt;mso-position-horizontal-relative:margin;z-index:251660288;mso-width-relative:page;mso-height-relative:page;" filled="f" stroked="f" coordsize="21600,21600" o:gfxdata="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EwTDTVAAAACAEAAA8AAAAAAAAAAQAgAAAAIgAAAGRycy9kb3ducmV2&#10;LnhtbFBLAQIUABQAAAAIAIdO4kCnGxBjxgEAAIwDAAAOAAAAAAAAAAEAIAAAACQBAABkcnMvZTJv&#10;RG9jLnhtbFBLBQYAAAAABgAGAFkBAABcBQAAAAA=&#10;">
              <v:fill on="f" focussize="0,0"/>
              <v:stroke on="f"/>
              <v:imagedata o:title=""/>
              <o:lock v:ext="edit" aspectratio="f"/>
              <v:textbox inset="0mm,0mm,0mm,0mm" style="mso-fit-shape-to-text:t;">
                <w:txbxContent>
                  <w:p>
                    <w:pPr>
                      <w:pStyle w:val="11"/>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86</w:t>
                    </w:r>
                    <w: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posOffset>2590165</wp:posOffset>
              </wp:positionH>
              <wp:positionV relativeFrom="paragraph">
                <wp:posOffset>0</wp:posOffset>
              </wp:positionV>
              <wp:extent cx="106045"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06045" cy="1828800"/>
                      </a:xfrm>
                      <a:prstGeom prst="rect">
                        <a:avLst/>
                      </a:prstGeom>
                      <a:noFill/>
                      <a:ln>
                        <a:noFill/>
                      </a:ln>
                    </wps:spPr>
                    <wps:txbx>
                      <w:txbxContent>
                        <w:p>
                          <w:pPr>
                            <w:pStyle w:val="11"/>
                          </w:pPr>
                        </w:p>
                      </w:txbxContent>
                    </wps:txbx>
                    <wps:bodyPr lIns="0" tIns="0" rIns="0" bIns="0" upright="0">
                      <a:spAutoFit/>
                    </wps:bodyPr>
                  </wps:wsp>
                </a:graphicData>
              </a:graphic>
            </wp:anchor>
          </w:drawing>
        </mc:Choice>
        <mc:Fallback>
          <w:pict>
            <v:shape id="_x0000_s1026" o:spid="_x0000_s1026" o:spt="202" type="#_x0000_t202" style="position:absolute;left:0pt;margin-left:203.95pt;margin-top:0pt;height:144pt;width:8.35pt;mso-position-horizontal-relative:margin;z-index:251661312;mso-width-relative:page;mso-height-relative:page;" filled="f" stroked="f" coordsize="21600,21600" o:gfxdata="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BMEw01QAAAAgBAAAPAAAAAAAAAAEAIAAAACIAAABkcnMvZG93bnJl&#10;di54bWxQSwECFAAUAAAACACHTuJA4+wuzMcBAACMAwAADgAAAAAAAAABACAAAAAkAQAAZHJzL2Uy&#10;b0RvYy54bWxQSwUGAAAAAAYABgBZAQAAXQUAAAAA&#10;">
              <v:fill on="f" focussize="0,0"/>
              <v:stroke on="f"/>
              <v:imagedata o:title=""/>
              <o:lock v:ext="edit" aspectratio="f"/>
              <v:textbox inset="0mm,0mm,0mm,0mm" style="mso-fit-shape-to-text:t;">
                <w:txbxContent>
                  <w:p>
                    <w:pPr>
                      <w:pStyle w:val="11"/>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101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101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PowerPlusWaterMarkObject923319563" o:spid="_x0000_s4097" o:spt="136" type="#_x0000_t136" style="position:absolute;left:0pt;height:34.45pt;width:551.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新疆生产建设兵团公共资源交易中心" style="font-family:宋体;font-size:8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8EFDB4"/>
    <w:multiLevelType w:val="singleLevel"/>
    <w:tmpl w:val="828EFDB4"/>
    <w:lvl w:ilvl="0" w:tentative="0">
      <w:start w:val="1"/>
      <w:numFmt w:val="decimal"/>
      <w:lvlText w:val="%1."/>
      <w:lvlJc w:val="left"/>
      <w:pPr>
        <w:tabs>
          <w:tab w:val="left" w:pos="312"/>
        </w:tabs>
      </w:pPr>
    </w:lvl>
  </w:abstractNum>
  <w:abstractNum w:abstractNumId="1">
    <w:nsid w:val="8383617C"/>
    <w:multiLevelType w:val="singleLevel"/>
    <w:tmpl w:val="8383617C"/>
    <w:lvl w:ilvl="0" w:tentative="0">
      <w:start w:val="1"/>
      <w:numFmt w:val="decimal"/>
      <w:suff w:val="space"/>
      <w:lvlText w:val="(%1)"/>
      <w:lvlJc w:val="left"/>
    </w:lvl>
  </w:abstractNum>
  <w:abstractNum w:abstractNumId="2">
    <w:nsid w:val="91A8E96D"/>
    <w:multiLevelType w:val="singleLevel"/>
    <w:tmpl w:val="91A8E96D"/>
    <w:lvl w:ilvl="0" w:tentative="0">
      <w:start w:val="7"/>
      <w:numFmt w:val="decimal"/>
      <w:lvlText w:val="%1."/>
      <w:lvlJc w:val="left"/>
      <w:pPr>
        <w:tabs>
          <w:tab w:val="left" w:pos="312"/>
        </w:tabs>
      </w:pPr>
    </w:lvl>
  </w:abstractNum>
  <w:abstractNum w:abstractNumId="3">
    <w:nsid w:val="9998EF2E"/>
    <w:multiLevelType w:val="singleLevel"/>
    <w:tmpl w:val="9998EF2E"/>
    <w:lvl w:ilvl="0" w:tentative="0">
      <w:start w:val="1"/>
      <w:numFmt w:val="decimal"/>
      <w:lvlText w:val="%1."/>
      <w:lvlJc w:val="left"/>
      <w:pPr>
        <w:ind w:left="425" w:hanging="425"/>
      </w:pPr>
      <w:rPr>
        <w:rFonts w:hint="default"/>
      </w:rPr>
    </w:lvl>
  </w:abstractNum>
  <w:abstractNum w:abstractNumId="4">
    <w:nsid w:val="C6A04E94"/>
    <w:multiLevelType w:val="singleLevel"/>
    <w:tmpl w:val="C6A04E94"/>
    <w:lvl w:ilvl="0" w:tentative="0">
      <w:start w:val="5"/>
      <w:numFmt w:val="chineseCounting"/>
      <w:suff w:val="nothing"/>
      <w:lvlText w:val="%1、"/>
      <w:lvlJc w:val="left"/>
      <w:rPr>
        <w:rFonts w:hint="eastAsia"/>
      </w:rPr>
    </w:lvl>
  </w:abstractNum>
  <w:abstractNum w:abstractNumId="5">
    <w:nsid w:val="C8C8D01F"/>
    <w:multiLevelType w:val="singleLevel"/>
    <w:tmpl w:val="C8C8D01F"/>
    <w:lvl w:ilvl="0" w:tentative="0">
      <w:start w:val="1"/>
      <w:numFmt w:val="decimal"/>
      <w:suff w:val="nothing"/>
      <w:lvlText w:val="%1、"/>
      <w:lvlJc w:val="left"/>
    </w:lvl>
  </w:abstractNum>
  <w:abstractNum w:abstractNumId="6">
    <w:nsid w:val="D1C88066"/>
    <w:multiLevelType w:val="singleLevel"/>
    <w:tmpl w:val="D1C88066"/>
    <w:lvl w:ilvl="0" w:tentative="0">
      <w:start w:val="1"/>
      <w:numFmt w:val="decimal"/>
      <w:lvlText w:val="%1."/>
      <w:lvlJc w:val="left"/>
      <w:pPr>
        <w:ind w:left="425" w:hanging="425"/>
      </w:pPr>
      <w:rPr>
        <w:rFonts w:hint="default"/>
      </w:rPr>
    </w:lvl>
  </w:abstractNum>
  <w:abstractNum w:abstractNumId="7">
    <w:nsid w:val="DD152217"/>
    <w:multiLevelType w:val="singleLevel"/>
    <w:tmpl w:val="DD152217"/>
    <w:lvl w:ilvl="0" w:tentative="0">
      <w:start w:val="1"/>
      <w:numFmt w:val="chineseCounting"/>
      <w:suff w:val="nothing"/>
      <w:lvlText w:val="%1、"/>
      <w:lvlJc w:val="left"/>
      <w:rPr>
        <w:rFonts w:hint="eastAsia"/>
      </w:rPr>
    </w:lvl>
  </w:abstractNum>
  <w:abstractNum w:abstractNumId="8">
    <w:nsid w:val="DFA783F9"/>
    <w:multiLevelType w:val="singleLevel"/>
    <w:tmpl w:val="DFA783F9"/>
    <w:lvl w:ilvl="0" w:tentative="0">
      <w:start w:val="1"/>
      <w:numFmt w:val="decimal"/>
      <w:lvlText w:val="%1."/>
      <w:lvlJc w:val="left"/>
      <w:pPr>
        <w:ind w:left="425" w:hanging="425"/>
      </w:pPr>
      <w:rPr>
        <w:rFonts w:hint="default"/>
      </w:rPr>
    </w:lvl>
  </w:abstractNum>
  <w:abstractNum w:abstractNumId="9">
    <w:nsid w:val="EC90F434"/>
    <w:multiLevelType w:val="singleLevel"/>
    <w:tmpl w:val="EC90F434"/>
    <w:lvl w:ilvl="0" w:tentative="0">
      <w:start w:val="1"/>
      <w:numFmt w:val="decimal"/>
      <w:suff w:val="nothing"/>
      <w:lvlText w:val="%1．"/>
      <w:lvlJc w:val="left"/>
      <w:pPr>
        <w:ind w:left="0" w:firstLine="400"/>
      </w:pPr>
      <w:rPr>
        <w:rFonts w:hint="default"/>
      </w:rPr>
    </w:lvl>
  </w:abstractNum>
  <w:abstractNum w:abstractNumId="10">
    <w:nsid w:val="FC50A0AE"/>
    <w:multiLevelType w:val="singleLevel"/>
    <w:tmpl w:val="FC50A0AE"/>
    <w:lvl w:ilvl="0" w:tentative="0">
      <w:start w:val="5"/>
      <w:numFmt w:val="chineseCounting"/>
      <w:suff w:val="nothing"/>
      <w:lvlText w:val="%1、"/>
      <w:lvlJc w:val="left"/>
      <w:rPr>
        <w:rFonts w:hint="eastAsia"/>
      </w:rPr>
    </w:lvl>
  </w:abstractNum>
  <w:abstractNum w:abstractNumId="11">
    <w:nsid w:val="FC6F1B1E"/>
    <w:multiLevelType w:val="singleLevel"/>
    <w:tmpl w:val="FC6F1B1E"/>
    <w:lvl w:ilvl="0" w:tentative="0">
      <w:start w:val="1"/>
      <w:numFmt w:val="decimal"/>
      <w:suff w:val="nothing"/>
      <w:lvlText w:val="（%1）"/>
      <w:lvlJc w:val="left"/>
    </w:lvl>
  </w:abstractNum>
  <w:abstractNum w:abstractNumId="12">
    <w:nsid w:val="FC719407"/>
    <w:multiLevelType w:val="singleLevel"/>
    <w:tmpl w:val="FC719407"/>
    <w:lvl w:ilvl="0" w:tentative="0">
      <w:start w:val="1"/>
      <w:numFmt w:val="decimal"/>
      <w:suff w:val="nothing"/>
      <w:lvlText w:val="%1．"/>
      <w:lvlJc w:val="left"/>
      <w:pPr>
        <w:ind w:left="17" w:firstLine="403"/>
      </w:pPr>
      <w:rPr>
        <w:rFonts w:hint="default"/>
      </w:rPr>
    </w:lvl>
  </w:abstractNum>
  <w:abstractNum w:abstractNumId="13">
    <w:nsid w:val="00000006"/>
    <w:multiLevelType w:val="multilevel"/>
    <w:tmpl w:val="00000006"/>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10" w:firstLine="0"/>
      </w:pPr>
      <w:rPr>
        <w:rFonts w:hint="eastAsia" w:ascii="宋体" w:hAnsi="宋体" w:eastAsia="宋体"/>
        <w:sz w:val="24"/>
        <w:szCs w:val="24"/>
        <w:lang w:val="en-US"/>
      </w:rPr>
    </w:lvl>
    <w:lvl w:ilvl="2" w:tentative="0">
      <w:start w:val="1"/>
      <w:numFmt w:val="chineseCountingThousand"/>
      <w:pStyle w:val="2"/>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4">
    <w:nsid w:val="0000000E"/>
    <w:multiLevelType w:val="singleLevel"/>
    <w:tmpl w:val="0000000E"/>
    <w:lvl w:ilvl="0" w:tentative="0">
      <w:start w:val="1"/>
      <w:numFmt w:val="decimal"/>
      <w:lvlText w:val="%1."/>
      <w:lvlJc w:val="left"/>
      <w:pPr>
        <w:tabs>
          <w:tab w:val="left" w:pos="312"/>
        </w:tabs>
      </w:pPr>
    </w:lvl>
  </w:abstractNum>
  <w:abstractNum w:abstractNumId="15">
    <w:nsid w:val="3B3CB3F0"/>
    <w:multiLevelType w:val="singleLevel"/>
    <w:tmpl w:val="3B3CB3F0"/>
    <w:lvl w:ilvl="0" w:tentative="0">
      <w:start w:val="4"/>
      <w:numFmt w:val="chineseCounting"/>
      <w:suff w:val="nothing"/>
      <w:lvlText w:val="%1、"/>
      <w:lvlJc w:val="left"/>
      <w:rPr>
        <w:rFonts w:hint="eastAsia"/>
      </w:rPr>
    </w:lvl>
  </w:abstractNum>
  <w:abstractNum w:abstractNumId="16">
    <w:nsid w:val="3C2316FB"/>
    <w:multiLevelType w:val="singleLevel"/>
    <w:tmpl w:val="3C2316FB"/>
    <w:lvl w:ilvl="0" w:tentative="0">
      <w:start w:val="1"/>
      <w:numFmt w:val="decimal"/>
      <w:lvlText w:val="%1."/>
      <w:lvlJc w:val="left"/>
      <w:pPr>
        <w:ind w:left="425" w:hanging="425"/>
      </w:pPr>
      <w:rPr>
        <w:rFonts w:hint="default"/>
      </w:rPr>
    </w:lvl>
  </w:abstractNum>
  <w:abstractNum w:abstractNumId="17">
    <w:nsid w:val="656D6133"/>
    <w:multiLevelType w:val="multilevel"/>
    <w:tmpl w:val="656D6133"/>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pStyle w:val="4"/>
      <w:suff w:val="nothing"/>
      <w:lvlText w:val="%2、"/>
      <w:lvlJc w:val="left"/>
      <w:pPr>
        <w:ind w:left="210" w:firstLine="0"/>
      </w:pPr>
      <w:rPr>
        <w:rFonts w:hint="eastAsia" w:ascii="宋体" w:hAnsi="宋体" w:eastAsia="宋体"/>
        <w:sz w:val="24"/>
        <w:szCs w:val="24"/>
        <w:lang w:val="en-US"/>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7"/>
  </w:num>
  <w:num w:numId="2">
    <w:abstractNumId w:val="13"/>
  </w:num>
  <w:num w:numId="3">
    <w:abstractNumId w:val="7"/>
  </w:num>
  <w:num w:numId="4">
    <w:abstractNumId w:val="15"/>
  </w:num>
  <w:num w:numId="5">
    <w:abstractNumId w:val="11"/>
  </w:num>
  <w:num w:numId="6">
    <w:abstractNumId w:val="3"/>
  </w:num>
  <w:num w:numId="7">
    <w:abstractNumId w:val="8"/>
  </w:num>
  <w:num w:numId="8">
    <w:abstractNumId w:val="6"/>
  </w:num>
  <w:num w:numId="9">
    <w:abstractNumId w:val="16"/>
  </w:num>
  <w:num w:numId="10">
    <w:abstractNumId w:val="12"/>
  </w:num>
  <w:num w:numId="11">
    <w:abstractNumId w:val="9"/>
  </w:num>
  <w:num w:numId="12">
    <w:abstractNumId w:val="4"/>
  </w:num>
  <w:num w:numId="13">
    <w:abstractNumId w:val="0"/>
  </w:num>
  <w:num w:numId="14">
    <w:abstractNumId w:val="10"/>
  </w:num>
  <w:num w:numId="15">
    <w:abstractNumId w:val="5"/>
  </w:num>
  <w:num w:numId="16">
    <w:abstractNumId w:val="1"/>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iMDYyOTE3ZTEwODc4YjNjN2VjZjA1NTY2MTk4MGIifQ=="/>
  </w:docVars>
  <w:rsids>
    <w:rsidRoot w:val="54670EF0"/>
    <w:rsid w:val="000527DC"/>
    <w:rsid w:val="00101AE9"/>
    <w:rsid w:val="003357D8"/>
    <w:rsid w:val="004F10DF"/>
    <w:rsid w:val="00612345"/>
    <w:rsid w:val="00704336"/>
    <w:rsid w:val="007A42CC"/>
    <w:rsid w:val="00D72607"/>
    <w:rsid w:val="014D629C"/>
    <w:rsid w:val="01537B4D"/>
    <w:rsid w:val="01695955"/>
    <w:rsid w:val="01761A78"/>
    <w:rsid w:val="017D31AE"/>
    <w:rsid w:val="01836DD5"/>
    <w:rsid w:val="01BF6322"/>
    <w:rsid w:val="01E16E78"/>
    <w:rsid w:val="01EE7C08"/>
    <w:rsid w:val="01F64D0F"/>
    <w:rsid w:val="01FF1E15"/>
    <w:rsid w:val="02C4662B"/>
    <w:rsid w:val="02CE3596"/>
    <w:rsid w:val="02E01C47"/>
    <w:rsid w:val="02FC1E16"/>
    <w:rsid w:val="030F6088"/>
    <w:rsid w:val="034006F5"/>
    <w:rsid w:val="03412F6A"/>
    <w:rsid w:val="035241C7"/>
    <w:rsid w:val="035C6A51"/>
    <w:rsid w:val="036B6853"/>
    <w:rsid w:val="037979A5"/>
    <w:rsid w:val="03886477"/>
    <w:rsid w:val="039E11BA"/>
    <w:rsid w:val="03A8028B"/>
    <w:rsid w:val="03F0144C"/>
    <w:rsid w:val="04216DD6"/>
    <w:rsid w:val="04441052"/>
    <w:rsid w:val="04461F7D"/>
    <w:rsid w:val="045967B2"/>
    <w:rsid w:val="047B14FB"/>
    <w:rsid w:val="04904FA7"/>
    <w:rsid w:val="04A46CA4"/>
    <w:rsid w:val="04AB3B8E"/>
    <w:rsid w:val="04BA64C7"/>
    <w:rsid w:val="04C904B8"/>
    <w:rsid w:val="04C9495C"/>
    <w:rsid w:val="04F830B8"/>
    <w:rsid w:val="04FA68C4"/>
    <w:rsid w:val="054716D1"/>
    <w:rsid w:val="05816FE5"/>
    <w:rsid w:val="059E36F3"/>
    <w:rsid w:val="05A50024"/>
    <w:rsid w:val="05B8492F"/>
    <w:rsid w:val="05BA3C15"/>
    <w:rsid w:val="05C375FE"/>
    <w:rsid w:val="05CB745D"/>
    <w:rsid w:val="05EF21A1"/>
    <w:rsid w:val="060C68AF"/>
    <w:rsid w:val="061E4834"/>
    <w:rsid w:val="06456265"/>
    <w:rsid w:val="06514C09"/>
    <w:rsid w:val="06913A7D"/>
    <w:rsid w:val="06BA3FBB"/>
    <w:rsid w:val="06C47189"/>
    <w:rsid w:val="06D01FBD"/>
    <w:rsid w:val="06E2591E"/>
    <w:rsid w:val="0708351A"/>
    <w:rsid w:val="07226DF2"/>
    <w:rsid w:val="073A744C"/>
    <w:rsid w:val="07506C6F"/>
    <w:rsid w:val="07585B24"/>
    <w:rsid w:val="076A4B5C"/>
    <w:rsid w:val="07A80520"/>
    <w:rsid w:val="080A32C2"/>
    <w:rsid w:val="080C6E8F"/>
    <w:rsid w:val="083B16CD"/>
    <w:rsid w:val="08745B19"/>
    <w:rsid w:val="08852948"/>
    <w:rsid w:val="088968DD"/>
    <w:rsid w:val="08B333B7"/>
    <w:rsid w:val="08E73DA8"/>
    <w:rsid w:val="094E5430"/>
    <w:rsid w:val="095575D7"/>
    <w:rsid w:val="09F71624"/>
    <w:rsid w:val="09F75C16"/>
    <w:rsid w:val="0A00672A"/>
    <w:rsid w:val="0A2F7010"/>
    <w:rsid w:val="0A36039E"/>
    <w:rsid w:val="0A4D7AA8"/>
    <w:rsid w:val="0A72188B"/>
    <w:rsid w:val="0A870BFA"/>
    <w:rsid w:val="0A9F23E7"/>
    <w:rsid w:val="0AAA50F0"/>
    <w:rsid w:val="0AB47515"/>
    <w:rsid w:val="0ACA6D38"/>
    <w:rsid w:val="0B2C09F5"/>
    <w:rsid w:val="0B3A3EBE"/>
    <w:rsid w:val="0B754954"/>
    <w:rsid w:val="0BC33EB3"/>
    <w:rsid w:val="0BCA5242"/>
    <w:rsid w:val="0BD5582F"/>
    <w:rsid w:val="0BE20DB9"/>
    <w:rsid w:val="0BE62F0A"/>
    <w:rsid w:val="0BF21886"/>
    <w:rsid w:val="0C3045C1"/>
    <w:rsid w:val="0C6775BD"/>
    <w:rsid w:val="0C71390F"/>
    <w:rsid w:val="0C721436"/>
    <w:rsid w:val="0C7767A9"/>
    <w:rsid w:val="0C7C1AEC"/>
    <w:rsid w:val="0CAF4438"/>
    <w:rsid w:val="0CB437FC"/>
    <w:rsid w:val="0CD8218E"/>
    <w:rsid w:val="0D026384"/>
    <w:rsid w:val="0D16129B"/>
    <w:rsid w:val="0D352A6D"/>
    <w:rsid w:val="0D49017D"/>
    <w:rsid w:val="0D501777"/>
    <w:rsid w:val="0D5037F2"/>
    <w:rsid w:val="0D6B4803"/>
    <w:rsid w:val="0D957AD2"/>
    <w:rsid w:val="0D961154"/>
    <w:rsid w:val="0DC14423"/>
    <w:rsid w:val="0DC9777B"/>
    <w:rsid w:val="0DF54FB9"/>
    <w:rsid w:val="0E06452B"/>
    <w:rsid w:val="0E0F1632"/>
    <w:rsid w:val="0E344BF5"/>
    <w:rsid w:val="0E527771"/>
    <w:rsid w:val="0E6179B4"/>
    <w:rsid w:val="0E764EAA"/>
    <w:rsid w:val="0E8042DE"/>
    <w:rsid w:val="0E8F62CF"/>
    <w:rsid w:val="0E925FDE"/>
    <w:rsid w:val="0EC00B7E"/>
    <w:rsid w:val="0EDE5159"/>
    <w:rsid w:val="0EF1082C"/>
    <w:rsid w:val="0F0660F2"/>
    <w:rsid w:val="0F142D52"/>
    <w:rsid w:val="0F156190"/>
    <w:rsid w:val="0F1C3AFD"/>
    <w:rsid w:val="0F663283"/>
    <w:rsid w:val="0F9744C9"/>
    <w:rsid w:val="0F975D58"/>
    <w:rsid w:val="0FA53AF4"/>
    <w:rsid w:val="0FB26719"/>
    <w:rsid w:val="0FD3668F"/>
    <w:rsid w:val="10042CED"/>
    <w:rsid w:val="10084372"/>
    <w:rsid w:val="1010343F"/>
    <w:rsid w:val="10151DE5"/>
    <w:rsid w:val="101747CE"/>
    <w:rsid w:val="10270349"/>
    <w:rsid w:val="10685029"/>
    <w:rsid w:val="10893213"/>
    <w:rsid w:val="109E6C9D"/>
    <w:rsid w:val="10B169D0"/>
    <w:rsid w:val="10C61D50"/>
    <w:rsid w:val="10CA7843"/>
    <w:rsid w:val="10D60D02"/>
    <w:rsid w:val="10DB1C9F"/>
    <w:rsid w:val="10E70644"/>
    <w:rsid w:val="11241C03"/>
    <w:rsid w:val="113A2365"/>
    <w:rsid w:val="115F642C"/>
    <w:rsid w:val="11963E18"/>
    <w:rsid w:val="11D52EFC"/>
    <w:rsid w:val="11DC5CCF"/>
    <w:rsid w:val="11F84496"/>
    <w:rsid w:val="12002D54"/>
    <w:rsid w:val="12293153"/>
    <w:rsid w:val="1250027F"/>
    <w:rsid w:val="129F0AAB"/>
    <w:rsid w:val="12AB389D"/>
    <w:rsid w:val="12BD7227"/>
    <w:rsid w:val="12E75305"/>
    <w:rsid w:val="130C6140"/>
    <w:rsid w:val="13370CE3"/>
    <w:rsid w:val="133833D9"/>
    <w:rsid w:val="13497394"/>
    <w:rsid w:val="13B50586"/>
    <w:rsid w:val="13BA5B9C"/>
    <w:rsid w:val="14002513"/>
    <w:rsid w:val="1426049F"/>
    <w:rsid w:val="143664D8"/>
    <w:rsid w:val="14423DE3"/>
    <w:rsid w:val="14642576"/>
    <w:rsid w:val="147E3AFC"/>
    <w:rsid w:val="14D96970"/>
    <w:rsid w:val="14F2162C"/>
    <w:rsid w:val="150B0520"/>
    <w:rsid w:val="15204125"/>
    <w:rsid w:val="155142DE"/>
    <w:rsid w:val="156F0C08"/>
    <w:rsid w:val="1585042C"/>
    <w:rsid w:val="15910B7E"/>
    <w:rsid w:val="15A63B68"/>
    <w:rsid w:val="15C40981"/>
    <w:rsid w:val="15C90E15"/>
    <w:rsid w:val="15D373E9"/>
    <w:rsid w:val="16C2562D"/>
    <w:rsid w:val="171657DF"/>
    <w:rsid w:val="17312619"/>
    <w:rsid w:val="1739327C"/>
    <w:rsid w:val="175A33FF"/>
    <w:rsid w:val="17822E75"/>
    <w:rsid w:val="17834838"/>
    <w:rsid w:val="178B7795"/>
    <w:rsid w:val="17900D32"/>
    <w:rsid w:val="179E7583"/>
    <w:rsid w:val="17AB31BB"/>
    <w:rsid w:val="17B9260F"/>
    <w:rsid w:val="17E15EFC"/>
    <w:rsid w:val="18243F2C"/>
    <w:rsid w:val="185D2F9A"/>
    <w:rsid w:val="187367CE"/>
    <w:rsid w:val="189D783A"/>
    <w:rsid w:val="18A16F02"/>
    <w:rsid w:val="18E878E8"/>
    <w:rsid w:val="192D29AF"/>
    <w:rsid w:val="193E101D"/>
    <w:rsid w:val="193E2DCB"/>
    <w:rsid w:val="19597C05"/>
    <w:rsid w:val="19783AB2"/>
    <w:rsid w:val="199B2D85"/>
    <w:rsid w:val="19B03FCD"/>
    <w:rsid w:val="19B45102"/>
    <w:rsid w:val="19B645E8"/>
    <w:rsid w:val="19C07C0D"/>
    <w:rsid w:val="19F3005A"/>
    <w:rsid w:val="19FE07AD"/>
    <w:rsid w:val="1A1E4409"/>
    <w:rsid w:val="1A2D3228"/>
    <w:rsid w:val="1A3522E5"/>
    <w:rsid w:val="1A4F0D0E"/>
    <w:rsid w:val="1A8C5DB8"/>
    <w:rsid w:val="1AC76DF0"/>
    <w:rsid w:val="1B2D7A73"/>
    <w:rsid w:val="1B590390"/>
    <w:rsid w:val="1B8371BB"/>
    <w:rsid w:val="1BFD6F6E"/>
    <w:rsid w:val="1C2269D4"/>
    <w:rsid w:val="1C3E520E"/>
    <w:rsid w:val="1C67718A"/>
    <w:rsid w:val="1C827B77"/>
    <w:rsid w:val="1CA27B15"/>
    <w:rsid w:val="1CAB69CA"/>
    <w:rsid w:val="1CB17D58"/>
    <w:rsid w:val="1CBA4E5F"/>
    <w:rsid w:val="1CE052F6"/>
    <w:rsid w:val="1CFE272D"/>
    <w:rsid w:val="1D000EB9"/>
    <w:rsid w:val="1D032244"/>
    <w:rsid w:val="1D3A6549"/>
    <w:rsid w:val="1D3E53D5"/>
    <w:rsid w:val="1D57445C"/>
    <w:rsid w:val="1D633A5D"/>
    <w:rsid w:val="1D7B7BDC"/>
    <w:rsid w:val="1DB21FDA"/>
    <w:rsid w:val="1DD261D8"/>
    <w:rsid w:val="1E330014"/>
    <w:rsid w:val="1E88067A"/>
    <w:rsid w:val="1E8F40C9"/>
    <w:rsid w:val="1F070103"/>
    <w:rsid w:val="1F470853"/>
    <w:rsid w:val="1F7A08D5"/>
    <w:rsid w:val="1FA249C0"/>
    <w:rsid w:val="1FE52C83"/>
    <w:rsid w:val="1FEA5A5B"/>
    <w:rsid w:val="200C3C23"/>
    <w:rsid w:val="20124FB2"/>
    <w:rsid w:val="20142AD8"/>
    <w:rsid w:val="201648C5"/>
    <w:rsid w:val="202E04EF"/>
    <w:rsid w:val="205674A7"/>
    <w:rsid w:val="206C2914"/>
    <w:rsid w:val="207949AF"/>
    <w:rsid w:val="2091237A"/>
    <w:rsid w:val="20A472CE"/>
    <w:rsid w:val="20BC4845"/>
    <w:rsid w:val="20D61B3B"/>
    <w:rsid w:val="210B021C"/>
    <w:rsid w:val="216058A9"/>
    <w:rsid w:val="2188160C"/>
    <w:rsid w:val="21A63C04"/>
    <w:rsid w:val="21A659B2"/>
    <w:rsid w:val="21AA1411"/>
    <w:rsid w:val="21B24142"/>
    <w:rsid w:val="21B46321"/>
    <w:rsid w:val="21D20555"/>
    <w:rsid w:val="21D50045"/>
    <w:rsid w:val="21DF308D"/>
    <w:rsid w:val="21DF3FC2"/>
    <w:rsid w:val="21EB7868"/>
    <w:rsid w:val="22251172"/>
    <w:rsid w:val="222C235B"/>
    <w:rsid w:val="2237586F"/>
    <w:rsid w:val="223D06F8"/>
    <w:rsid w:val="224D6539"/>
    <w:rsid w:val="22592A24"/>
    <w:rsid w:val="229D4A1D"/>
    <w:rsid w:val="22A561D0"/>
    <w:rsid w:val="23024E6A"/>
    <w:rsid w:val="2307535A"/>
    <w:rsid w:val="232A50B4"/>
    <w:rsid w:val="23344974"/>
    <w:rsid w:val="233D5EA2"/>
    <w:rsid w:val="23531B69"/>
    <w:rsid w:val="23E52A88"/>
    <w:rsid w:val="240A66CC"/>
    <w:rsid w:val="247955FF"/>
    <w:rsid w:val="249E5066"/>
    <w:rsid w:val="24B86128"/>
    <w:rsid w:val="24C95142"/>
    <w:rsid w:val="24EC5DD1"/>
    <w:rsid w:val="25377290"/>
    <w:rsid w:val="25537BFE"/>
    <w:rsid w:val="257A162F"/>
    <w:rsid w:val="258778A8"/>
    <w:rsid w:val="2593314B"/>
    <w:rsid w:val="25973F8F"/>
    <w:rsid w:val="25A77F4A"/>
    <w:rsid w:val="25B05051"/>
    <w:rsid w:val="25C91C6F"/>
    <w:rsid w:val="25CD5C03"/>
    <w:rsid w:val="25DD396C"/>
    <w:rsid w:val="25EB05D6"/>
    <w:rsid w:val="2609650F"/>
    <w:rsid w:val="261A1E49"/>
    <w:rsid w:val="262B0B7B"/>
    <w:rsid w:val="26673222"/>
    <w:rsid w:val="269009DE"/>
    <w:rsid w:val="26D367BA"/>
    <w:rsid w:val="26EF1BA9"/>
    <w:rsid w:val="2708093E"/>
    <w:rsid w:val="2725381D"/>
    <w:rsid w:val="27455C6D"/>
    <w:rsid w:val="27706A3C"/>
    <w:rsid w:val="27840543"/>
    <w:rsid w:val="27B05B28"/>
    <w:rsid w:val="27BD5803"/>
    <w:rsid w:val="284B18E0"/>
    <w:rsid w:val="285861CA"/>
    <w:rsid w:val="28A224DA"/>
    <w:rsid w:val="28A40771"/>
    <w:rsid w:val="28A67ADE"/>
    <w:rsid w:val="28BE1833"/>
    <w:rsid w:val="28C334D0"/>
    <w:rsid w:val="28C812FA"/>
    <w:rsid w:val="28D9666D"/>
    <w:rsid w:val="28DF17A9"/>
    <w:rsid w:val="28FE73D4"/>
    <w:rsid w:val="29131E0E"/>
    <w:rsid w:val="291970F1"/>
    <w:rsid w:val="29406336"/>
    <w:rsid w:val="296E5F43"/>
    <w:rsid w:val="298365D8"/>
    <w:rsid w:val="298C1931"/>
    <w:rsid w:val="2996630C"/>
    <w:rsid w:val="299802D6"/>
    <w:rsid w:val="29D55086"/>
    <w:rsid w:val="29FD45DD"/>
    <w:rsid w:val="2A2653AE"/>
    <w:rsid w:val="2A5A558B"/>
    <w:rsid w:val="2A5B7D43"/>
    <w:rsid w:val="2A7965DE"/>
    <w:rsid w:val="2A8419F9"/>
    <w:rsid w:val="2AB638DA"/>
    <w:rsid w:val="2AC05D36"/>
    <w:rsid w:val="2AC46EA9"/>
    <w:rsid w:val="2AEF03C9"/>
    <w:rsid w:val="2B1971F4"/>
    <w:rsid w:val="2B3C3F0D"/>
    <w:rsid w:val="2B8F5781"/>
    <w:rsid w:val="2BA32F62"/>
    <w:rsid w:val="2BBE356B"/>
    <w:rsid w:val="2BBF190D"/>
    <w:rsid w:val="2BD55811"/>
    <w:rsid w:val="2BDD46C6"/>
    <w:rsid w:val="2BE05F64"/>
    <w:rsid w:val="2BFA7026"/>
    <w:rsid w:val="2C071743"/>
    <w:rsid w:val="2C791865"/>
    <w:rsid w:val="2C9D6CDB"/>
    <w:rsid w:val="2CBF331D"/>
    <w:rsid w:val="2CC47634"/>
    <w:rsid w:val="2D0A773C"/>
    <w:rsid w:val="2D0C1E36"/>
    <w:rsid w:val="2D320A41"/>
    <w:rsid w:val="2D3B3FF4"/>
    <w:rsid w:val="2D3C4E7A"/>
    <w:rsid w:val="2D3C541C"/>
    <w:rsid w:val="2D6C14C5"/>
    <w:rsid w:val="2D99461C"/>
    <w:rsid w:val="2D996BE4"/>
    <w:rsid w:val="2DC518B5"/>
    <w:rsid w:val="2DD13DB6"/>
    <w:rsid w:val="2DF87595"/>
    <w:rsid w:val="2DFB3D84"/>
    <w:rsid w:val="2E100D83"/>
    <w:rsid w:val="2E143BAE"/>
    <w:rsid w:val="2E150147"/>
    <w:rsid w:val="2E57625B"/>
    <w:rsid w:val="2E9D1EEA"/>
    <w:rsid w:val="2EBD4EBE"/>
    <w:rsid w:val="2EC5556A"/>
    <w:rsid w:val="2F0957D2"/>
    <w:rsid w:val="2F234777"/>
    <w:rsid w:val="2F291F13"/>
    <w:rsid w:val="2F3C6083"/>
    <w:rsid w:val="2F440E7E"/>
    <w:rsid w:val="2F6804C0"/>
    <w:rsid w:val="2F9B28CE"/>
    <w:rsid w:val="302F1268"/>
    <w:rsid w:val="30406FD1"/>
    <w:rsid w:val="306C185F"/>
    <w:rsid w:val="306D65D3"/>
    <w:rsid w:val="307373A7"/>
    <w:rsid w:val="307A7B8E"/>
    <w:rsid w:val="30803872"/>
    <w:rsid w:val="308D3E7E"/>
    <w:rsid w:val="309D2676"/>
    <w:rsid w:val="30C572CC"/>
    <w:rsid w:val="30D77936"/>
    <w:rsid w:val="30D815D0"/>
    <w:rsid w:val="30FE1366"/>
    <w:rsid w:val="31630C52"/>
    <w:rsid w:val="3166515D"/>
    <w:rsid w:val="317258B0"/>
    <w:rsid w:val="317A2AFC"/>
    <w:rsid w:val="318A0E4C"/>
    <w:rsid w:val="319B4E07"/>
    <w:rsid w:val="31D71BB7"/>
    <w:rsid w:val="31DE6AA2"/>
    <w:rsid w:val="31F93BC7"/>
    <w:rsid w:val="326205EA"/>
    <w:rsid w:val="32A777DC"/>
    <w:rsid w:val="32C24615"/>
    <w:rsid w:val="330E53BF"/>
    <w:rsid w:val="332901F1"/>
    <w:rsid w:val="332F7361"/>
    <w:rsid w:val="333430E4"/>
    <w:rsid w:val="33501C21"/>
    <w:rsid w:val="33753436"/>
    <w:rsid w:val="33A81136"/>
    <w:rsid w:val="33C661C0"/>
    <w:rsid w:val="33FB1B8D"/>
    <w:rsid w:val="341B222F"/>
    <w:rsid w:val="34563267"/>
    <w:rsid w:val="346516FC"/>
    <w:rsid w:val="34667903"/>
    <w:rsid w:val="34897199"/>
    <w:rsid w:val="34BA37F6"/>
    <w:rsid w:val="34CE54F3"/>
    <w:rsid w:val="35066A3B"/>
    <w:rsid w:val="35B926C3"/>
    <w:rsid w:val="35E7527E"/>
    <w:rsid w:val="35F83386"/>
    <w:rsid w:val="362D2681"/>
    <w:rsid w:val="363D3A73"/>
    <w:rsid w:val="364A3AFF"/>
    <w:rsid w:val="366559E4"/>
    <w:rsid w:val="368B08EC"/>
    <w:rsid w:val="36934452"/>
    <w:rsid w:val="36941E25"/>
    <w:rsid w:val="36B85B13"/>
    <w:rsid w:val="36D3294D"/>
    <w:rsid w:val="36DD5106"/>
    <w:rsid w:val="36E508D2"/>
    <w:rsid w:val="36F6488E"/>
    <w:rsid w:val="36FD5C1C"/>
    <w:rsid w:val="37144D14"/>
    <w:rsid w:val="37242DFD"/>
    <w:rsid w:val="37272C99"/>
    <w:rsid w:val="37296A11"/>
    <w:rsid w:val="375C0B95"/>
    <w:rsid w:val="37991DE9"/>
    <w:rsid w:val="37B409D1"/>
    <w:rsid w:val="37B41A1F"/>
    <w:rsid w:val="382611A3"/>
    <w:rsid w:val="38316032"/>
    <w:rsid w:val="38623388"/>
    <w:rsid w:val="38726196"/>
    <w:rsid w:val="387A6840"/>
    <w:rsid w:val="388561BF"/>
    <w:rsid w:val="38FE5C7B"/>
    <w:rsid w:val="3914724D"/>
    <w:rsid w:val="39203804"/>
    <w:rsid w:val="392D7F41"/>
    <w:rsid w:val="39532B93"/>
    <w:rsid w:val="39755F3E"/>
    <w:rsid w:val="397B3A87"/>
    <w:rsid w:val="39936F85"/>
    <w:rsid w:val="399C796E"/>
    <w:rsid w:val="39AF2AD3"/>
    <w:rsid w:val="39B81552"/>
    <w:rsid w:val="3A562C5F"/>
    <w:rsid w:val="3A6164C2"/>
    <w:rsid w:val="3AA2018D"/>
    <w:rsid w:val="3AA840F1"/>
    <w:rsid w:val="3AD76784"/>
    <w:rsid w:val="3AE01ADD"/>
    <w:rsid w:val="3AE97353"/>
    <w:rsid w:val="3AF105C5"/>
    <w:rsid w:val="3AFF6407"/>
    <w:rsid w:val="3B007A89"/>
    <w:rsid w:val="3B0D73E4"/>
    <w:rsid w:val="3B225C51"/>
    <w:rsid w:val="3B8564FB"/>
    <w:rsid w:val="3BA0368D"/>
    <w:rsid w:val="3BAC0427"/>
    <w:rsid w:val="3BD827B4"/>
    <w:rsid w:val="3BE61375"/>
    <w:rsid w:val="3BEB698B"/>
    <w:rsid w:val="3BF43ABB"/>
    <w:rsid w:val="3C0641CB"/>
    <w:rsid w:val="3C0E3335"/>
    <w:rsid w:val="3C355E58"/>
    <w:rsid w:val="3C4B11D8"/>
    <w:rsid w:val="3C4E0CC8"/>
    <w:rsid w:val="3C5A4264"/>
    <w:rsid w:val="3C5E7E58"/>
    <w:rsid w:val="3C743AE4"/>
    <w:rsid w:val="3C7C75E3"/>
    <w:rsid w:val="3C885F88"/>
    <w:rsid w:val="3CD664C6"/>
    <w:rsid w:val="3CE3501D"/>
    <w:rsid w:val="3CFB2BFE"/>
    <w:rsid w:val="3D02720E"/>
    <w:rsid w:val="3D1317AD"/>
    <w:rsid w:val="3D1C4922"/>
    <w:rsid w:val="3D2739F3"/>
    <w:rsid w:val="3D7309E6"/>
    <w:rsid w:val="3DBF2E3B"/>
    <w:rsid w:val="3DD05E38"/>
    <w:rsid w:val="3DDD67A7"/>
    <w:rsid w:val="3DFA2EB5"/>
    <w:rsid w:val="3E3A062B"/>
    <w:rsid w:val="3E4D56DB"/>
    <w:rsid w:val="3E632329"/>
    <w:rsid w:val="3E834C59"/>
    <w:rsid w:val="3E9649EE"/>
    <w:rsid w:val="3EA3354D"/>
    <w:rsid w:val="3EAA17F0"/>
    <w:rsid w:val="3ED52736"/>
    <w:rsid w:val="3EE31B9B"/>
    <w:rsid w:val="3F087854"/>
    <w:rsid w:val="3F3464BF"/>
    <w:rsid w:val="3F463461"/>
    <w:rsid w:val="3F5860E5"/>
    <w:rsid w:val="3FAC25BB"/>
    <w:rsid w:val="3FAD35AC"/>
    <w:rsid w:val="3FB862D5"/>
    <w:rsid w:val="3FD82EC6"/>
    <w:rsid w:val="401F5E62"/>
    <w:rsid w:val="408250D6"/>
    <w:rsid w:val="408465EB"/>
    <w:rsid w:val="40923E8C"/>
    <w:rsid w:val="40E90FBF"/>
    <w:rsid w:val="410733E5"/>
    <w:rsid w:val="417116E0"/>
    <w:rsid w:val="4177481D"/>
    <w:rsid w:val="41962EF5"/>
    <w:rsid w:val="41C6300E"/>
    <w:rsid w:val="41E66D6B"/>
    <w:rsid w:val="420E33D3"/>
    <w:rsid w:val="42243B52"/>
    <w:rsid w:val="423A41C8"/>
    <w:rsid w:val="426052B1"/>
    <w:rsid w:val="426254CD"/>
    <w:rsid w:val="427174BE"/>
    <w:rsid w:val="42860AFA"/>
    <w:rsid w:val="428708B5"/>
    <w:rsid w:val="42C711D8"/>
    <w:rsid w:val="42EA4C96"/>
    <w:rsid w:val="42FC0536"/>
    <w:rsid w:val="430976F7"/>
    <w:rsid w:val="431E31A2"/>
    <w:rsid w:val="433B1FA6"/>
    <w:rsid w:val="437C2D76"/>
    <w:rsid w:val="43A43045"/>
    <w:rsid w:val="43A74491"/>
    <w:rsid w:val="43C4699B"/>
    <w:rsid w:val="43FB53FD"/>
    <w:rsid w:val="44114137"/>
    <w:rsid w:val="44A41EF9"/>
    <w:rsid w:val="44A616A1"/>
    <w:rsid w:val="44A61C99"/>
    <w:rsid w:val="4508235C"/>
    <w:rsid w:val="451A208F"/>
    <w:rsid w:val="455C0AF3"/>
    <w:rsid w:val="455C4456"/>
    <w:rsid w:val="456B5990"/>
    <w:rsid w:val="4574354D"/>
    <w:rsid w:val="45801800"/>
    <w:rsid w:val="459E4A6E"/>
    <w:rsid w:val="45A1630C"/>
    <w:rsid w:val="45C55BC2"/>
    <w:rsid w:val="461D4BCB"/>
    <w:rsid w:val="46337A14"/>
    <w:rsid w:val="46A866FF"/>
    <w:rsid w:val="46D324F5"/>
    <w:rsid w:val="46F661E4"/>
    <w:rsid w:val="46FE3A16"/>
    <w:rsid w:val="47097BFA"/>
    <w:rsid w:val="47141154"/>
    <w:rsid w:val="47325E66"/>
    <w:rsid w:val="47356C16"/>
    <w:rsid w:val="47522851"/>
    <w:rsid w:val="477A6E15"/>
    <w:rsid w:val="47D503F1"/>
    <w:rsid w:val="47ED61C2"/>
    <w:rsid w:val="47ED75E7"/>
    <w:rsid w:val="47F646ED"/>
    <w:rsid w:val="4812704D"/>
    <w:rsid w:val="4856518C"/>
    <w:rsid w:val="486755EB"/>
    <w:rsid w:val="489A7859"/>
    <w:rsid w:val="48BD345D"/>
    <w:rsid w:val="48D83DF3"/>
    <w:rsid w:val="48EC4F4F"/>
    <w:rsid w:val="490746D8"/>
    <w:rsid w:val="49460652"/>
    <w:rsid w:val="495A6EFE"/>
    <w:rsid w:val="49777AB0"/>
    <w:rsid w:val="49793286"/>
    <w:rsid w:val="49860758"/>
    <w:rsid w:val="49956DFC"/>
    <w:rsid w:val="49B26D3A"/>
    <w:rsid w:val="49B91E77"/>
    <w:rsid w:val="4A192915"/>
    <w:rsid w:val="4A3B3FC1"/>
    <w:rsid w:val="4A68578C"/>
    <w:rsid w:val="4A6E0EB3"/>
    <w:rsid w:val="4A7B537E"/>
    <w:rsid w:val="4AD431DF"/>
    <w:rsid w:val="4B094738"/>
    <w:rsid w:val="4B35552D"/>
    <w:rsid w:val="4B4154BA"/>
    <w:rsid w:val="4B5D2647"/>
    <w:rsid w:val="4B5D2CD5"/>
    <w:rsid w:val="4B6A633F"/>
    <w:rsid w:val="4BA001D7"/>
    <w:rsid w:val="4BA426B2"/>
    <w:rsid w:val="4BAD5A0B"/>
    <w:rsid w:val="4BAF63DD"/>
    <w:rsid w:val="4BF932EB"/>
    <w:rsid w:val="4BFB49C8"/>
    <w:rsid w:val="4C082C41"/>
    <w:rsid w:val="4C0D64AA"/>
    <w:rsid w:val="4C6C3961"/>
    <w:rsid w:val="4C7126C7"/>
    <w:rsid w:val="4CAD0BB5"/>
    <w:rsid w:val="4CBD7AE2"/>
    <w:rsid w:val="4CCC1EC1"/>
    <w:rsid w:val="4CDD7C2A"/>
    <w:rsid w:val="4CFD2F71"/>
    <w:rsid w:val="4D057DED"/>
    <w:rsid w:val="4D27065F"/>
    <w:rsid w:val="4D387556"/>
    <w:rsid w:val="4D8E1E60"/>
    <w:rsid w:val="4DD239E9"/>
    <w:rsid w:val="4DDA7116"/>
    <w:rsid w:val="4DE70602"/>
    <w:rsid w:val="4DF74D1B"/>
    <w:rsid w:val="4DFF1E22"/>
    <w:rsid w:val="4E121B55"/>
    <w:rsid w:val="4E1E0BB0"/>
    <w:rsid w:val="4E656129"/>
    <w:rsid w:val="4E772300"/>
    <w:rsid w:val="4E7E46D2"/>
    <w:rsid w:val="4E9F1793"/>
    <w:rsid w:val="4EC015B1"/>
    <w:rsid w:val="4EC05A55"/>
    <w:rsid w:val="4ED212E5"/>
    <w:rsid w:val="4F0A0B7F"/>
    <w:rsid w:val="4F1D07B2"/>
    <w:rsid w:val="4F752373"/>
    <w:rsid w:val="4F810C66"/>
    <w:rsid w:val="4F894099"/>
    <w:rsid w:val="4F8B7840"/>
    <w:rsid w:val="4FA17635"/>
    <w:rsid w:val="4FC357FD"/>
    <w:rsid w:val="50106568"/>
    <w:rsid w:val="502D2C76"/>
    <w:rsid w:val="503F548A"/>
    <w:rsid w:val="50416722"/>
    <w:rsid w:val="504A5FC6"/>
    <w:rsid w:val="50983B34"/>
    <w:rsid w:val="50B46A96"/>
    <w:rsid w:val="50BE08AE"/>
    <w:rsid w:val="50DA0CCD"/>
    <w:rsid w:val="50DB6B76"/>
    <w:rsid w:val="50EF617E"/>
    <w:rsid w:val="50F33EC0"/>
    <w:rsid w:val="51064A9D"/>
    <w:rsid w:val="511366CB"/>
    <w:rsid w:val="51167BAE"/>
    <w:rsid w:val="5139564B"/>
    <w:rsid w:val="513B7615"/>
    <w:rsid w:val="51466C7B"/>
    <w:rsid w:val="51D5415B"/>
    <w:rsid w:val="51DD247A"/>
    <w:rsid w:val="51F37EF0"/>
    <w:rsid w:val="51FA127E"/>
    <w:rsid w:val="51FC437E"/>
    <w:rsid w:val="52974D1F"/>
    <w:rsid w:val="52B179BB"/>
    <w:rsid w:val="52BD660C"/>
    <w:rsid w:val="52CC2C1B"/>
    <w:rsid w:val="52F061DD"/>
    <w:rsid w:val="53214FAA"/>
    <w:rsid w:val="536A2433"/>
    <w:rsid w:val="53733096"/>
    <w:rsid w:val="539574B0"/>
    <w:rsid w:val="53B65679"/>
    <w:rsid w:val="53E705CD"/>
    <w:rsid w:val="53EB5322"/>
    <w:rsid w:val="541B68AA"/>
    <w:rsid w:val="542720D3"/>
    <w:rsid w:val="5435659E"/>
    <w:rsid w:val="544113E6"/>
    <w:rsid w:val="544D0376"/>
    <w:rsid w:val="54670EF0"/>
    <w:rsid w:val="546A2242"/>
    <w:rsid w:val="548117E3"/>
    <w:rsid w:val="549A28A4"/>
    <w:rsid w:val="54A26E2B"/>
    <w:rsid w:val="54CD74A5"/>
    <w:rsid w:val="54D97871"/>
    <w:rsid w:val="552B72E1"/>
    <w:rsid w:val="55363F72"/>
    <w:rsid w:val="55572544"/>
    <w:rsid w:val="55E5513F"/>
    <w:rsid w:val="55E97640"/>
    <w:rsid w:val="55F12991"/>
    <w:rsid w:val="55F76E76"/>
    <w:rsid w:val="561B17C3"/>
    <w:rsid w:val="56242D6E"/>
    <w:rsid w:val="562543F0"/>
    <w:rsid w:val="564216B9"/>
    <w:rsid w:val="56677FEB"/>
    <w:rsid w:val="56752355"/>
    <w:rsid w:val="568022D3"/>
    <w:rsid w:val="56813D1C"/>
    <w:rsid w:val="56CA56C3"/>
    <w:rsid w:val="56DB668B"/>
    <w:rsid w:val="56FC7846"/>
    <w:rsid w:val="573B036F"/>
    <w:rsid w:val="579D4B86"/>
    <w:rsid w:val="57C04D23"/>
    <w:rsid w:val="57CB1486"/>
    <w:rsid w:val="57D4238E"/>
    <w:rsid w:val="57DF519E"/>
    <w:rsid w:val="57F15771"/>
    <w:rsid w:val="57FA1FD8"/>
    <w:rsid w:val="58187602"/>
    <w:rsid w:val="581F3B18"/>
    <w:rsid w:val="58670D41"/>
    <w:rsid w:val="587A7E63"/>
    <w:rsid w:val="58847AF3"/>
    <w:rsid w:val="58977827"/>
    <w:rsid w:val="593257A1"/>
    <w:rsid w:val="59833794"/>
    <w:rsid w:val="5991071A"/>
    <w:rsid w:val="59C168C9"/>
    <w:rsid w:val="59C32159"/>
    <w:rsid w:val="59C50C0E"/>
    <w:rsid w:val="59EA7E2A"/>
    <w:rsid w:val="59F1740B"/>
    <w:rsid w:val="59FD17C2"/>
    <w:rsid w:val="5A3A490E"/>
    <w:rsid w:val="5A733572"/>
    <w:rsid w:val="5A9C5B9C"/>
    <w:rsid w:val="5A9D30EE"/>
    <w:rsid w:val="5AB83673"/>
    <w:rsid w:val="5ACB7C5C"/>
    <w:rsid w:val="5AEB0ABF"/>
    <w:rsid w:val="5B0D2022"/>
    <w:rsid w:val="5B1213E7"/>
    <w:rsid w:val="5B4D0671"/>
    <w:rsid w:val="5B7008CE"/>
    <w:rsid w:val="5B923BA0"/>
    <w:rsid w:val="5C221012"/>
    <w:rsid w:val="5C50666A"/>
    <w:rsid w:val="5C7560D1"/>
    <w:rsid w:val="5C7E1853"/>
    <w:rsid w:val="5C814A76"/>
    <w:rsid w:val="5C8553CC"/>
    <w:rsid w:val="5C8E2CEF"/>
    <w:rsid w:val="5C981DBF"/>
    <w:rsid w:val="5C9D30FF"/>
    <w:rsid w:val="5CAB3F1D"/>
    <w:rsid w:val="5CE96177"/>
    <w:rsid w:val="5D13093A"/>
    <w:rsid w:val="5D276C9F"/>
    <w:rsid w:val="5D3F5111"/>
    <w:rsid w:val="5D4411D0"/>
    <w:rsid w:val="5D755F23"/>
    <w:rsid w:val="5DAA06D9"/>
    <w:rsid w:val="5DAF5613"/>
    <w:rsid w:val="5E190CDE"/>
    <w:rsid w:val="5E1C432A"/>
    <w:rsid w:val="5E755304"/>
    <w:rsid w:val="5E8728E5"/>
    <w:rsid w:val="5E9F11E3"/>
    <w:rsid w:val="5F04373C"/>
    <w:rsid w:val="5F337B7D"/>
    <w:rsid w:val="5F3E31FA"/>
    <w:rsid w:val="5F5E1FCD"/>
    <w:rsid w:val="5F6D12E1"/>
    <w:rsid w:val="5F970511"/>
    <w:rsid w:val="5FB95CC0"/>
    <w:rsid w:val="5FE873D0"/>
    <w:rsid w:val="5FEA0B84"/>
    <w:rsid w:val="5FF04EDE"/>
    <w:rsid w:val="5FF26ACB"/>
    <w:rsid w:val="5FFB4B3F"/>
    <w:rsid w:val="60067040"/>
    <w:rsid w:val="60651FB9"/>
    <w:rsid w:val="60997EB4"/>
    <w:rsid w:val="609A4358"/>
    <w:rsid w:val="60A800F7"/>
    <w:rsid w:val="60CE4002"/>
    <w:rsid w:val="60E750C3"/>
    <w:rsid w:val="61010012"/>
    <w:rsid w:val="61212990"/>
    <w:rsid w:val="61241E74"/>
    <w:rsid w:val="6133217C"/>
    <w:rsid w:val="6162163A"/>
    <w:rsid w:val="61695AD8"/>
    <w:rsid w:val="61706E67"/>
    <w:rsid w:val="61776447"/>
    <w:rsid w:val="619B27FE"/>
    <w:rsid w:val="619E2377"/>
    <w:rsid w:val="61C905EC"/>
    <w:rsid w:val="61E6537B"/>
    <w:rsid w:val="620A0731"/>
    <w:rsid w:val="6225471F"/>
    <w:rsid w:val="622639C9"/>
    <w:rsid w:val="622F6D22"/>
    <w:rsid w:val="62312F63"/>
    <w:rsid w:val="623C31ED"/>
    <w:rsid w:val="62516C98"/>
    <w:rsid w:val="62626B0C"/>
    <w:rsid w:val="628A21AA"/>
    <w:rsid w:val="62917095"/>
    <w:rsid w:val="62960B4F"/>
    <w:rsid w:val="6299063F"/>
    <w:rsid w:val="62C6265A"/>
    <w:rsid w:val="62EF025F"/>
    <w:rsid w:val="62F0676B"/>
    <w:rsid w:val="630737FB"/>
    <w:rsid w:val="637A3FCD"/>
    <w:rsid w:val="63A41C1D"/>
    <w:rsid w:val="63D57455"/>
    <w:rsid w:val="643F5868"/>
    <w:rsid w:val="644C6419"/>
    <w:rsid w:val="6455695B"/>
    <w:rsid w:val="645E569D"/>
    <w:rsid w:val="647B223A"/>
    <w:rsid w:val="64C86FBA"/>
    <w:rsid w:val="64D4441E"/>
    <w:rsid w:val="64D7650B"/>
    <w:rsid w:val="64E77440"/>
    <w:rsid w:val="64F34037"/>
    <w:rsid w:val="653A7EB8"/>
    <w:rsid w:val="655E28CF"/>
    <w:rsid w:val="658900F4"/>
    <w:rsid w:val="658D6624"/>
    <w:rsid w:val="65A6554D"/>
    <w:rsid w:val="65ED7BB1"/>
    <w:rsid w:val="65FC53A9"/>
    <w:rsid w:val="664D3C1B"/>
    <w:rsid w:val="665B6338"/>
    <w:rsid w:val="66BC7FA2"/>
    <w:rsid w:val="66C40DB3"/>
    <w:rsid w:val="66E31E89"/>
    <w:rsid w:val="67175C09"/>
    <w:rsid w:val="671E34BD"/>
    <w:rsid w:val="67464633"/>
    <w:rsid w:val="679F4002"/>
    <w:rsid w:val="67DD2D7C"/>
    <w:rsid w:val="6813679E"/>
    <w:rsid w:val="683926A8"/>
    <w:rsid w:val="68741C6C"/>
    <w:rsid w:val="68752FB5"/>
    <w:rsid w:val="687E455F"/>
    <w:rsid w:val="68E72104"/>
    <w:rsid w:val="68EF0FB9"/>
    <w:rsid w:val="68F949C9"/>
    <w:rsid w:val="69135352"/>
    <w:rsid w:val="691463AB"/>
    <w:rsid w:val="692C2495"/>
    <w:rsid w:val="6945507D"/>
    <w:rsid w:val="69461A26"/>
    <w:rsid w:val="69603E7D"/>
    <w:rsid w:val="699201A3"/>
    <w:rsid w:val="69E421A0"/>
    <w:rsid w:val="69EB1780"/>
    <w:rsid w:val="6A452950"/>
    <w:rsid w:val="6A4E7F61"/>
    <w:rsid w:val="6A4F2728"/>
    <w:rsid w:val="6A745C1A"/>
    <w:rsid w:val="6A793EE8"/>
    <w:rsid w:val="6AAA163C"/>
    <w:rsid w:val="6AF208ED"/>
    <w:rsid w:val="6AFD409F"/>
    <w:rsid w:val="6AFE54E3"/>
    <w:rsid w:val="6B021162"/>
    <w:rsid w:val="6B272FFA"/>
    <w:rsid w:val="6B4C26F3"/>
    <w:rsid w:val="6B6E6B32"/>
    <w:rsid w:val="6BAF4A30"/>
    <w:rsid w:val="6BBB1626"/>
    <w:rsid w:val="6BC756B4"/>
    <w:rsid w:val="6BE20961"/>
    <w:rsid w:val="6C117498"/>
    <w:rsid w:val="6C2C2166"/>
    <w:rsid w:val="6C3C2767"/>
    <w:rsid w:val="6C6E4D0A"/>
    <w:rsid w:val="6C70605E"/>
    <w:rsid w:val="6C755C79"/>
    <w:rsid w:val="6C9365F7"/>
    <w:rsid w:val="6CCA0197"/>
    <w:rsid w:val="6CE87F8C"/>
    <w:rsid w:val="6CF50B68"/>
    <w:rsid w:val="6D06067F"/>
    <w:rsid w:val="6D0752D9"/>
    <w:rsid w:val="6D3C22F3"/>
    <w:rsid w:val="6D667370"/>
    <w:rsid w:val="6D6F2A8E"/>
    <w:rsid w:val="6D7C36BA"/>
    <w:rsid w:val="6D8C327A"/>
    <w:rsid w:val="6D8F4B19"/>
    <w:rsid w:val="6DC36570"/>
    <w:rsid w:val="6DF2235C"/>
    <w:rsid w:val="6E470F4F"/>
    <w:rsid w:val="6E6978BE"/>
    <w:rsid w:val="6E82642B"/>
    <w:rsid w:val="6E851A78"/>
    <w:rsid w:val="6EB26D78"/>
    <w:rsid w:val="6EE20292"/>
    <w:rsid w:val="6EF015E7"/>
    <w:rsid w:val="6EF03395"/>
    <w:rsid w:val="6F375468"/>
    <w:rsid w:val="6F9D0D9D"/>
    <w:rsid w:val="6FA26D85"/>
    <w:rsid w:val="6FE3114C"/>
    <w:rsid w:val="6FF9096F"/>
    <w:rsid w:val="6FFD3FBC"/>
    <w:rsid w:val="700E2B66"/>
    <w:rsid w:val="70253512"/>
    <w:rsid w:val="708E59B8"/>
    <w:rsid w:val="708F6BDE"/>
    <w:rsid w:val="70A14980"/>
    <w:rsid w:val="70BD0596"/>
    <w:rsid w:val="70F4178D"/>
    <w:rsid w:val="71064762"/>
    <w:rsid w:val="711A6DEF"/>
    <w:rsid w:val="715E5D2B"/>
    <w:rsid w:val="715F2A54"/>
    <w:rsid w:val="71705838"/>
    <w:rsid w:val="718F3339"/>
    <w:rsid w:val="71A60683"/>
    <w:rsid w:val="71FB09CF"/>
    <w:rsid w:val="71FD0569"/>
    <w:rsid w:val="72021D5D"/>
    <w:rsid w:val="72135D18"/>
    <w:rsid w:val="72174F26"/>
    <w:rsid w:val="72681AAA"/>
    <w:rsid w:val="72850298"/>
    <w:rsid w:val="729529A1"/>
    <w:rsid w:val="729C3F60"/>
    <w:rsid w:val="72C10B36"/>
    <w:rsid w:val="72EB0A43"/>
    <w:rsid w:val="735760D9"/>
    <w:rsid w:val="737E5413"/>
    <w:rsid w:val="737F2F3A"/>
    <w:rsid w:val="738F6130"/>
    <w:rsid w:val="73FE4204"/>
    <w:rsid w:val="73FF18DA"/>
    <w:rsid w:val="74096F68"/>
    <w:rsid w:val="74884519"/>
    <w:rsid w:val="7495163A"/>
    <w:rsid w:val="74A376EF"/>
    <w:rsid w:val="74A72748"/>
    <w:rsid w:val="74F4471A"/>
    <w:rsid w:val="75091655"/>
    <w:rsid w:val="751C43A7"/>
    <w:rsid w:val="753541F8"/>
    <w:rsid w:val="75722D56"/>
    <w:rsid w:val="75967EB6"/>
    <w:rsid w:val="75AA195E"/>
    <w:rsid w:val="75B96BD7"/>
    <w:rsid w:val="75FA2D4B"/>
    <w:rsid w:val="762D4ECF"/>
    <w:rsid w:val="766528BB"/>
    <w:rsid w:val="76885FFF"/>
    <w:rsid w:val="768B78A5"/>
    <w:rsid w:val="769D2054"/>
    <w:rsid w:val="76C021E7"/>
    <w:rsid w:val="76E2215D"/>
    <w:rsid w:val="76FD6F97"/>
    <w:rsid w:val="7722255A"/>
    <w:rsid w:val="77343E56"/>
    <w:rsid w:val="773A5AF5"/>
    <w:rsid w:val="7769044F"/>
    <w:rsid w:val="77751BD4"/>
    <w:rsid w:val="777D59E2"/>
    <w:rsid w:val="77CB0E43"/>
    <w:rsid w:val="77CD0717"/>
    <w:rsid w:val="77E36674"/>
    <w:rsid w:val="77E6733D"/>
    <w:rsid w:val="780660FE"/>
    <w:rsid w:val="783469E8"/>
    <w:rsid w:val="784D3606"/>
    <w:rsid w:val="789424B4"/>
    <w:rsid w:val="78961451"/>
    <w:rsid w:val="78A42BAC"/>
    <w:rsid w:val="78AC47D1"/>
    <w:rsid w:val="78C9018C"/>
    <w:rsid w:val="78C959A2"/>
    <w:rsid w:val="78D36201"/>
    <w:rsid w:val="78F543CA"/>
    <w:rsid w:val="78FE4FD7"/>
    <w:rsid w:val="79015909"/>
    <w:rsid w:val="79627585"/>
    <w:rsid w:val="797177C8"/>
    <w:rsid w:val="79784031"/>
    <w:rsid w:val="79865022"/>
    <w:rsid w:val="798D5A6E"/>
    <w:rsid w:val="79900B91"/>
    <w:rsid w:val="7A3F40A5"/>
    <w:rsid w:val="7A4C251F"/>
    <w:rsid w:val="7A764542"/>
    <w:rsid w:val="7AC8166A"/>
    <w:rsid w:val="7AF846E1"/>
    <w:rsid w:val="7B05641A"/>
    <w:rsid w:val="7B362A78"/>
    <w:rsid w:val="7B445194"/>
    <w:rsid w:val="7B5829EE"/>
    <w:rsid w:val="7BC7487F"/>
    <w:rsid w:val="7BD32074"/>
    <w:rsid w:val="7BF24BF0"/>
    <w:rsid w:val="7BF335CE"/>
    <w:rsid w:val="7BF85F7F"/>
    <w:rsid w:val="7C18299E"/>
    <w:rsid w:val="7C390243"/>
    <w:rsid w:val="7C51712C"/>
    <w:rsid w:val="7C5C5986"/>
    <w:rsid w:val="7C720069"/>
    <w:rsid w:val="7CA26D29"/>
    <w:rsid w:val="7CC540B3"/>
    <w:rsid w:val="7CCC3693"/>
    <w:rsid w:val="7CFB7AD5"/>
    <w:rsid w:val="7D0270B5"/>
    <w:rsid w:val="7D2232B3"/>
    <w:rsid w:val="7D3A315F"/>
    <w:rsid w:val="7D3C3975"/>
    <w:rsid w:val="7D5176F5"/>
    <w:rsid w:val="7D741635"/>
    <w:rsid w:val="7D842307"/>
    <w:rsid w:val="7DBD6410"/>
    <w:rsid w:val="7DE44A0D"/>
    <w:rsid w:val="7DFD5ACF"/>
    <w:rsid w:val="7E2748F9"/>
    <w:rsid w:val="7E2968C4"/>
    <w:rsid w:val="7E3239CA"/>
    <w:rsid w:val="7E492AC2"/>
    <w:rsid w:val="7E747B3F"/>
    <w:rsid w:val="7E857F9E"/>
    <w:rsid w:val="7E95590D"/>
    <w:rsid w:val="7EAB701C"/>
    <w:rsid w:val="7EC30AC6"/>
    <w:rsid w:val="7EC565EC"/>
    <w:rsid w:val="7F0A3FFF"/>
    <w:rsid w:val="7F1440ED"/>
    <w:rsid w:val="7F89586C"/>
    <w:rsid w:val="7F8F137D"/>
    <w:rsid w:val="7FF67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4">
    <w:name w:val="heading 2"/>
    <w:basedOn w:val="1"/>
    <w:next w:val="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2">
    <w:name w:val="heading 3"/>
    <w:basedOn w:val="1"/>
    <w:next w:val="1"/>
    <w:qFormat/>
    <w:uiPriority w:val="0"/>
    <w:pPr>
      <w:keepNext/>
      <w:keepLines/>
      <w:numPr>
        <w:ilvl w:val="2"/>
        <w:numId w:val="2"/>
      </w:numPr>
      <w:adjustRightInd w:val="0"/>
      <w:spacing w:before="260" w:beforeLines="0" w:after="260" w:afterLines="0" w:line="416" w:lineRule="atLeast"/>
      <w:jc w:val="left"/>
      <w:textAlignment w:val="baseline"/>
      <w:outlineLvl w:val="2"/>
    </w:pPr>
    <w:rPr>
      <w:b/>
      <w:bCs/>
      <w:kern w:val="0"/>
      <w:sz w:val="32"/>
      <w:szCs w:val="32"/>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5">
    <w:name w:val="Normal Indent"/>
    <w:basedOn w:val="1"/>
    <w:next w:val="1"/>
    <w:unhideWhenUsed/>
    <w:qFormat/>
    <w:uiPriority w:val="0"/>
    <w:pPr>
      <w:ind w:firstLine="420" w:firstLineChars="200"/>
    </w:pPr>
    <w:rPr>
      <w:rFonts w:ascii="Calibri" w:hAnsi="Calibri"/>
      <w:szCs w:val="22"/>
    </w:rPr>
  </w:style>
  <w:style w:type="paragraph" w:styleId="6">
    <w:name w:val="Body Text"/>
    <w:basedOn w:val="1"/>
    <w:next w:val="1"/>
    <w:qFormat/>
    <w:uiPriority w:val="0"/>
    <w:pPr>
      <w:spacing w:after="120"/>
    </w:pPr>
  </w:style>
  <w:style w:type="paragraph" w:styleId="7">
    <w:name w:val="Body Text Indent"/>
    <w:basedOn w:val="1"/>
    <w:next w:val="8"/>
    <w:qFormat/>
    <w:uiPriority w:val="0"/>
    <w:pPr>
      <w:spacing w:line="500" w:lineRule="exact"/>
      <w:ind w:left="1588" w:leftChars="832" w:firstLine="433" w:firstLineChars="196"/>
    </w:pPr>
    <w:rPr>
      <w:sz w:val="24"/>
    </w:rPr>
  </w:style>
  <w:style w:type="paragraph" w:styleId="8">
    <w:name w:val="envelope return"/>
    <w:basedOn w:val="1"/>
    <w:qFormat/>
    <w:uiPriority w:val="0"/>
    <w:rPr>
      <w:rFonts w:ascii="Arial" w:hAnsi="Arial"/>
    </w:rPr>
  </w:style>
  <w:style w:type="paragraph" w:styleId="9">
    <w:name w:val="toc 3"/>
    <w:basedOn w:val="1"/>
    <w:next w:val="1"/>
    <w:qFormat/>
    <w:uiPriority w:val="39"/>
    <w:pPr>
      <w:ind w:left="840" w:leftChars="400"/>
    </w:pPr>
  </w:style>
  <w:style w:type="paragraph" w:styleId="10">
    <w:name w:val="Plain Text"/>
    <w:basedOn w:val="1"/>
    <w:qFormat/>
    <w:uiPriority w:val="0"/>
    <w:rPr>
      <w:rFonts w:ascii="宋体" w:hAnsi="Courier New"/>
      <w:szCs w:val="21"/>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style>
  <w:style w:type="paragraph" w:styleId="14">
    <w:name w:val="footnote text"/>
    <w:basedOn w:val="1"/>
    <w:qFormat/>
    <w:uiPriority w:val="99"/>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5">
    <w:name w:val="toc 2"/>
    <w:basedOn w:val="1"/>
    <w:next w:val="1"/>
    <w:qFormat/>
    <w:uiPriority w:val="39"/>
    <w:pPr>
      <w:ind w:left="420" w:leftChars="200"/>
    </w:pPr>
  </w:style>
  <w:style w:type="paragraph" w:styleId="16">
    <w:name w:val="Normal (Web)"/>
    <w:basedOn w:val="1"/>
    <w:qFormat/>
    <w:uiPriority w:val="99"/>
    <w:rPr>
      <w:sz w:val="24"/>
    </w:rPr>
  </w:style>
  <w:style w:type="paragraph" w:styleId="17">
    <w:name w:val="Body Text First Indent"/>
    <w:basedOn w:val="6"/>
    <w:next w:val="1"/>
    <w:qFormat/>
    <w:uiPriority w:val="0"/>
    <w:pPr>
      <w:ind w:firstLine="100" w:firstLineChars="100"/>
    </w:pPr>
  </w:style>
  <w:style w:type="paragraph" w:styleId="18">
    <w:name w:val="Body Text First Indent 2"/>
    <w:basedOn w:val="7"/>
    <w:next w:val="1"/>
    <w:qFormat/>
    <w:uiPriority w:val="0"/>
    <w:pPr>
      <w:ind w:firstLine="420" w:firstLineChars="200"/>
    </w:pPr>
  </w:style>
  <w:style w:type="table" w:styleId="20">
    <w:name w:val="Table Grid"/>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bCs/>
    </w:rPr>
  </w:style>
  <w:style w:type="paragraph" w:customStyle="1" w:styleId="23">
    <w:name w:val="正文_0"/>
    <w:basedOn w:val="24"/>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24">
    <w:name w:val="正文_2"/>
    <w:basedOn w:val="25"/>
    <w:next w:val="32"/>
    <w:qFormat/>
    <w:uiPriority w:val="0"/>
    <w:pPr>
      <w:widowControl w:val="0"/>
      <w:jc w:val="both"/>
    </w:pPr>
    <w:rPr>
      <w:rFonts w:ascii="Calibri" w:hAnsi="Calibri"/>
      <w:kern w:val="2"/>
      <w:sz w:val="21"/>
      <w:szCs w:val="22"/>
      <w:lang w:val="en-US" w:eastAsia="zh-CN" w:bidi="ar-SA"/>
    </w:rPr>
  </w:style>
  <w:style w:type="paragraph" w:customStyle="1" w:styleId="25">
    <w:name w:val="正文_1_0"/>
    <w:basedOn w:val="26"/>
    <w:next w:val="29"/>
    <w:qFormat/>
    <w:uiPriority w:val="0"/>
    <w:pPr>
      <w:widowControl w:val="0"/>
      <w:jc w:val="both"/>
    </w:pPr>
    <w:rPr>
      <w:rFonts w:eastAsia="仿宋_GB2312"/>
      <w:kern w:val="2"/>
      <w:sz w:val="28"/>
      <w:szCs w:val="24"/>
      <w:lang w:val="en-US" w:eastAsia="zh-CN" w:bidi="ar-SA"/>
    </w:rPr>
  </w:style>
  <w:style w:type="paragraph" w:customStyle="1" w:styleId="26">
    <w:name w:val="正文_1_1"/>
    <w:basedOn w:val="27"/>
    <w:qFormat/>
    <w:uiPriority w:val="0"/>
    <w:pPr>
      <w:widowControl w:val="0"/>
      <w:jc w:val="both"/>
    </w:pPr>
    <w:rPr>
      <w:rFonts w:ascii="Calibri" w:hAnsi="Calibri"/>
      <w:kern w:val="2"/>
      <w:sz w:val="21"/>
      <w:szCs w:val="22"/>
      <w:lang w:val="en-US" w:eastAsia="zh-CN" w:bidi="ar-SA"/>
    </w:rPr>
  </w:style>
  <w:style w:type="paragraph" w:customStyle="1" w:styleId="27">
    <w:name w:val="正文_5"/>
    <w:next w:val="28"/>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引文目录标题_0"/>
    <w:basedOn w:val="27"/>
    <w:next w:val="27"/>
    <w:qFormat/>
    <w:uiPriority w:val="0"/>
    <w:pPr>
      <w:spacing w:before="120"/>
    </w:pPr>
    <w:rPr>
      <w:rFonts w:ascii="Arial" w:hAnsi="Arial"/>
      <w:sz w:val="24"/>
    </w:rPr>
  </w:style>
  <w:style w:type="paragraph" w:customStyle="1" w:styleId="29">
    <w:name w:val="正文首行缩进1"/>
    <w:basedOn w:val="30"/>
    <w:unhideWhenUsed/>
    <w:qFormat/>
    <w:uiPriority w:val="99"/>
    <w:pPr>
      <w:ind w:firstLine="420" w:firstLineChars="100"/>
    </w:pPr>
    <w:rPr>
      <w:szCs w:val="22"/>
    </w:rPr>
  </w:style>
  <w:style w:type="paragraph" w:customStyle="1" w:styleId="30">
    <w:name w:val="正文文本_0_0"/>
    <w:basedOn w:val="31"/>
    <w:qFormat/>
    <w:uiPriority w:val="0"/>
    <w:pPr>
      <w:spacing w:after="120"/>
    </w:pPr>
    <w:rPr>
      <w:rFonts w:ascii="Times New Roman" w:hAnsi="Times New Roman" w:eastAsia="宋体"/>
      <w:szCs w:val="24"/>
    </w:rPr>
  </w:style>
  <w:style w:type="paragraph" w:customStyle="1" w:styleId="31">
    <w:name w:val="正文_1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正文文本_1"/>
    <w:basedOn w:val="33"/>
    <w:qFormat/>
    <w:uiPriority w:val="0"/>
    <w:pPr>
      <w:spacing w:after="120"/>
    </w:pPr>
    <w:rPr>
      <w:rFonts w:ascii="Times New Roman" w:hAnsi="Times New Roman" w:eastAsia="宋体"/>
      <w:szCs w:val="24"/>
    </w:rPr>
  </w:style>
  <w:style w:type="paragraph" w:customStyle="1" w:styleId="33">
    <w:name w:val="正文_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_1"/>
    <w:basedOn w:val="24"/>
    <w:next w:val="24"/>
    <w:qFormat/>
    <w:uiPriority w:val="0"/>
    <w:pPr>
      <w:widowControl w:val="0"/>
      <w:jc w:val="both"/>
    </w:pPr>
    <w:rPr>
      <w:rFonts w:ascii="Calibri" w:hAnsi="Calibri"/>
      <w:kern w:val="2"/>
      <w:sz w:val="21"/>
      <w:szCs w:val="22"/>
      <w:lang w:val="en-US" w:eastAsia="zh-CN" w:bidi="ar-SA"/>
    </w:rPr>
  </w:style>
  <w:style w:type="paragraph" w:customStyle="1" w:styleId="35">
    <w:name w:val="正文_3_0"/>
    <w:basedOn w:val="24"/>
    <w:next w:val="36"/>
    <w:qFormat/>
    <w:uiPriority w:val="0"/>
    <w:pPr>
      <w:widowControl w:val="0"/>
      <w:jc w:val="both"/>
    </w:pPr>
    <w:rPr>
      <w:rFonts w:ascii="Calibri" w:hAnsi="Calibri"/>
      <w:kern w:val="2"/>
      <w:sz w:val="21"/>
      <w:szCs w:val="22"/>
      <w:lang w:val="en-US" w:eastAsia="zh-CN" w:bidi="ar-SA"/>
    </w:rPr>
  </w:style>
  <w:style w:type="paragraph" w:customStyle="1" w:styleId="36">
    <w:name w:val="页脚_2"/>
    <w:basedOn w:val="37"/>
    <w:unhideWhenUsed/>
    <w:qFormat/>
    <w:uiPriority w:val="0"/>
    <w:pPr>
      <w:tabs>
        <w:tab w:val="center" w:pos="4153"/>
        <w:tab w:val="right" w:pos="8306"/>
      </w:tabs>
      <w:snapToGrid w:val="0"/>
      <w:jc w:val="left"/>
    </w:pPr>
    <w:rPr>
      <w:sz w:val="18"/>
      <w:szCs w:val="18"/>
    </w:rPr>
  </w:style>
  <w:style w:type="paragraph" w:customStyle="1" w:styleId="37">
    <w:name w:val="正文_4"/>
    <w:basedOn w:val="38"/>
    <w:next w:val="39"/>
    <w:qFormat/>
    <w:uiPriority w:val="0"/>
    <w:pPr>
      <w:widowControl w:val="0"/>
      <w:jc w:val="both"/>
    </w:pPr>
    <w:rPr>
      <w:rFonts w:ascii="Calibri" w:hAnsi="Calibri"/>
      <w:kern w:val="2"/>
      <w:sz w:val="21"/>
      <w:szCs w:val="22"/>
      <w:lang w:val="en-US" w:eastAsia="zh-CN" w:bidi="ar-SA"/>
    </w:rPr>
  </w:style>
  <w:style w:type="paragraph" w:customStyle="1" w:styleId="38">
    <w:name w:val="正文_3_1"/>
    <w:next w:val="36"/>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正文首行缩进_0"/>
    <w:basedOn w:val="32"/>
    <w:qFormat/>
    <w:uiPriority w:val="0"/>
    <w:pPr>
      <w:ind w:firstLine="420" w:firstLineChars="100"/>
    </w:pPr>
    <w:rPr>
      <w:rFonts w:ascii="Calibri" w:hAnsi="Calibri" w:eastAsia="宋体"/>
    </w:rPr>
  </w:style>
  <w:style w:type="paragraph" w:customStyle="1" w:styleId="40">
    <w:name w:val="正文_0_1"/>
    <w:basedOn w:val="34"/>
    <w:next w:val="34"/>
    <w:qFormat/>
    <w:uiPriority w:val="0"/>
    <w:rPr>
      <w:rFonts w:ascii="Times New Roman" w:hAnsi="Times New Roman" w:cs="Calibri"/>
      <w:szCs w:val="21"/>
      <w:lang w:bidi="ug-CN"/>
    </w:rPr>
  </w:style>
  <w:style w:type="paragraph" w:customStyle="1" w:styleId="41">
    <w:name w:val="正文_2_0"/>
    <w:basedOn w:val="26"/>
    <w:qFormat/>
    <w:uiPriority w:val="0"/>
    <w:pPr>
      <w:widowControl w:val="0"/>
      <w:jc w:val="both"/>
    </w:pPr>
    <w:rPr>
      <w:rFonts w:ascii="Calibri" w:hAnsi="Calibri"/>
      <w:kern w:val="2"/>
      <w:sz w:val="21"/>
      <w:szCs w:val="22"/>
      <w:lang w:val="en-US" w:eastAsia="zh-CN" w:bidi="ar-SA"/>
    </w:rPr>
  </w:style>
  <w:style w:type="paragraph" w:customStyle="1" w:styleId="42">
    <w:name w:val="正文_1_2"/>
    <w:next w:val="43"/>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
    <w:name w:val="正文文本缩进_0"/>
    <w:basedOn w:val="44"/>
    <w:unhideWhenUsed/>
    <w:qFormat/>
    <w:uiPriority w:val="0"/>
    <w:pPr>
      <w:spacing w:line="360" w:lineRule="auto"/>
      <w:ind w:firstLine="570"/>
    </w:pPr>
    <w:rPr>
      <w:rFonts w:ascii="宋体" w:hAnsi="宋体" w:eastAsia="宋体" w:cs="Times New Roman"/>
      <w:i/>
      <w:iCs/>
      <w:sz w:val="28"/>
      <w:szCs w:val="20"/>
    </w:rPr>
  </w:style>
  <w:style w:type="paragraph" w:customStyle="1" w:styleId="44">
    <w:name w:val="正文_5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
    <w:name w:val="Table Paragraph"/>
    <w:basedOn w:val="25"/>
    <w:qFormat/>
    <w:uiPriority w:val="1"/>
    <w:pPr>
      <w:autoSpaceDE w:val="0"/>
      <w:autoSpaceDN w:val="0"/>
      <w:jc w:val="left"/>
    </w:pPr>
    <w:rPr>
      <w:rFonts w:ascii="宋体" w:hAnsi="宋体" w:eastAsia="宋体" w:cs="宋体"/>
      <w:kern w:val="0"/>
      <w:sz w:val="22"/>
      <w:lang w:val="zh-CN" w:bidi="zh-CN"/>
    </w:rPr>
  </w:style>
  <w:style w:type="paragraph" w:customStyle="1" w:styleId="46">
    <w:name w:val="正文_0_3"/>
    <w:basedOn w:val="37"/>
    <w:qFormat/>
    <w:uiPriority w:val="0"/>
    <w:rPr>
      <w:rFonts w:ascii="Calibri" w:hAnsi="Calibri" w:cs="宋体"/>
      <w:szCs w:val="21"/>
    </w:rPr>
  </w:style>
  <w:style w:type="paragraph" w:customStyle="1" w:styleId="47">
    <w:name w:val="正文文本_0"/>
    <w:basedOn w:val="41"/>
    <w:qFormat/>
    <w:uiPriority w:val="0"/>
    <w:pPr>
      <w:spacing w:after="120"/>
    </w:pPr>
    <w:rPr>
      <w:rFonts w:ascii="Times New Roman" w:hAnsi="Times New Roman" w:eastAsia="宋体"/>
      <w:szCs w:val="24"/>
    </w:rPr>
  </w:style>
  <w:style w:type="paragraph" w:customStyle="1" w:styleId="48">
    <w:name w:val="样式 正文缩进 + 首行缩进:  2 字符"/>
    <w:basedOn w:val="5"/>
    <w:qFormat/>
    <w:uiPriority w:val="0"/>
    <w:pPr>
      <w:spacing w:after="0" w:line="360" w:lineRule="auto"/>
      <w:ind w:firstLine="200" w:firstLineChars="200"/>
    </w:pPr>
    <w:rPr>
      <w:rFonts w:cs="宋体"/>
      <w:sz w:val="24"/>
    </w:rPr>
  </w:style>
  <w:style w:type="paragraph" w:customStyle="1" w:styleId="49">
    <w:name w:val="Normal_0"/>
    <w:qFormat/>
    <w:uiPriority w:val="0"/>
    <w:rPr>
      <w:rFonts w:ascii="Times New Roman" w:hAnsi="Times New Roman" w:eastAsia="Times New Roman" w:cs="Times New Roman"/>
      <w:sz w:val="24"/>
      <w:szCs w:val="24"/>
      <w:lang w:bidi="ar-SA"/>
    </w:rPr>
  </w:style>
  <w:style w:type="paragraph" w:customStyle="1" w:styleId="50">
    <w:name w:val="LO-Normal"/>
    <w:qFormat/>
    <w:uiPriority w:val="0"/>
    <w:pPr>
      <w:suppressAutoHyphens/>
    </w:pPr>
    <w:rPr>
      <w:rFonts w:ascii="Times New Roman" w:hAnsi="Times New Roman" w:eastAsia="宋体" w:cs="Times New Roman"/>
      <w:sz w:val="24"/>
      <w:szCs w:val="24"/>
      <w:lang w:val="en-US" w:eastAsia="zh-CN" w:bidi="ar-SA"/>
    </w:rPr>
  </w:style>
  <w:style w:type="paragraph" w:customStyle="1" w:styleId="51">
    <w:name w:val="正文_3"/>
    <w:next w:val="3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正文缩进_1"/>
    <w:basedOn w:val="37"/>
    <w:unhideWhenUsed/>
    <w:qFormat/>
    <w:uiPriority w:val="0"/>
    <w:pPr>
      <w:ind w:firstLine="420" w:firstLineChars="200"/>
    </w:pPr>
    <w:rPr>
      <w:kern w:val="0"/>
      <w:sz w:val="20"/>
      <w:szCs w:val="20"/>
    </w:rPr>
  </w:style>
  <w:style w:type="paragraph" w:customStyle="1" w:styleId="53">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54">
    <w:name w:val="日期_0"/>
    <w:basedOn w:val="55"/>
    <w:next w:val="51"/>
    <w:unhideWhenUsed/>
    <w:qFormat/>
    <w:uiPriority w:val="0"/>
    <w:pPr>
      <w:adjustRightInd w:val="0"/>
      <w:spacing w:line="360" w:lineRule="atLeast"/>
    </w:pPr>
    <w:rPr>
      <w:rFonts w:ascii="宋体" w:hAnsi="Calibri" w:eastAsia="宋体" w:cs="Times New Roman"/>
      <w:kern w:val="0"/>
      <w:sz w:val="24"/>
      <w:szCs w:val="20"/>
    </w:rPr>
  </w:style>
  <w:style w:type="paragraph" w:customStyle="1" w:styleId="55">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7">
    <w:name w:val="Normal_2"/>
    <w:qFormat/>
    <w:uiPriority w:val="0"/>
    <w:rPr>
      <w:rFonts w:ascii="黑体" w:hAnsi="黑体" w:eastAsia="黑体" w:cs="Times New Roman"/>
      <w:b/>
      <w:sz w:val="32"/>
      <w:szCs w:val="24"/>
      <w:lang w:bidi="ar-SA"/>
    </w:rPr>
  </w:style>
  <w:style w:type="paragraph" w:customStyle="1" w:styleId="58">
    <w:name w:val="正文_0_0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59">
    <w:name w:val="标题 3_0_0"/>
    <w:basedOn w:val="58"/>
    <w:next w:val="58"/>
    <w:qFormat/>
    <w:uiPriority w:val="0"/>
    <w:pPr>
      <w:autoSpaceDE w:val="0"/>
      <w:autoSpaceDN w:val="0"/>
      <w:adjustRightInd w:val="0"/>
      <w:spacing w:line="500" w:lineRule="exact"/>
      <w:jc w:val="center"/>
      <w:outlineLvl w:val="2"/>
    </w:pPr>
    <w:rPr>
      <w:rFonts w:ascii="宋体" w:hAnsi="宋体" w:eastAsia="宋体"/>
      <w:b/>
      <w:szCs w:val="28"/>
    </w:rPr>
  </w:style>
  <w:style w:type="paragraph" w:customStyle="1" w:styleId="60">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61">
    <w:name w:val="Normal_8"/>
    <w:qFormat/>
    <w:uiPriority w:val="0"/>
    <w:rPr>
      <w:rFonts w:ascii="黑体" w:hAnsi="黑体" w:eastAsia="黑体" w:cs="Times New Roman"/>
      <w:b/>
      <w:sz w:val="32"/>
      <w:szCs w:val="24"/>
      <w:lang w:bidi="ar-SA"/>
    </w:rPr>
  </w:style>
  <w:style w:type="paragraph" w:customStyle="1" w:styleId="62">
    <w:name w:val="Normal_9"/>
    <w:qFormat/>
    <w:uiPriority w:val="0"/>
    <w:pPr>
      <w:widowControl w:val="0"/>
      <w:jc w:val="both"/>
    </w:pPr>
    <w:rPr>
      <w:rFonts w:ascii="Times New Roman" w:hAnsi="Times New Roman" w:eastAsia="宋体" w:cs="Times New Roman"/>
      <w:kern w:val="2"/>
      <w:sz w:val="21"/>
      <w:szCs w:val="24"/>
      <w:lang w:bidi="ar-SA"/>
    </w:rPr>
  </w:style>
  <w:style w:type="paragraph" w:customStyle="1" w:styleId="63">
    <w:name w:val="正文_4_0_0"/>
    <w:basedOn w:val="64"/>
    <w:qFormat/>
    <w:uiPriority w:val="0"/>
    <w:rPr>
      <w:rFonts w:ascii="Calibri" w:hAnsi="Calibri" w:eastAsia="宋体" w:cs="Calibri"/>
      <w:szCs w:val="21"/>
    </w:rPr>
  </w:style>
  <w:style w:type="paragraph" w:customStyle="1" w:styleId="64">
    <w:name w:val="正文_0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
    <w:name w:val="Normal_4"/>
    <w:qFormat/>
    <w:uiPriority w:val="0"/>
    <w:rPr>
      <w:rFonts w:ascii="黑体" w:hAnsi="黑体" w:eastAsia="黑体" w:cs="Times New Roman"/>
      <w:b/>
      <w:sz w:val="32"/>
      <w:szCs w:val="24"/>
      <w:lang w:bidi="ar-SA"/>
    </w:rPr>
  </w:style>
  <w:style w:type="paragraph" w:customStyle="1" w:styleId="66">
    <w:name w:val="日期_1"/>
    <w:basedOn w:val="67"/>
    <w:next w:val="67"/>
    <w:qFormat/>
    <w:uiPriority w:val="0"/>
    <w:pPr>
      <w:ind w:left="100" w:leftChars="2500"/>
    </w:pPr>
    <w:rPr>
      <w:rFonts w:ascii="Times New Roman" w:hAnsi="Times New Roman" w:eastAsia="宋体"/>
      <w:szCs w:val="24"/>
    </w:rPr>
  </w:style>
  <w:style w:type="paragraph" w:customStyle="1" w:styleId="67">
    <w:name w:val="正文_5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8">
    <w:name w:val="Plain Text"/>
    <w:basedOn w:val="1"/>
    <w:qFormat/>
    <w:uiPriority w:val="0"/>
    <w:rPr>
      <w:rFonts w:ascii="宋体" w:hAnsi="Courier New"/>
      <w:szCs w:val="21"/>
    </w:rPr>
  </w:style>
  <w:style w:type="paragraph" w:customStyle="1" w:styleId="69">
    <w:name w:val="正文文本缩进_2"/>
    <w:basedOn w:val="37"/>
    <w:unhideWhenUsed/>
    <w:qFormat/>
    <w:uiPriority w:val="99"/>
    <w:pPr>
      <w:spacing w:after="120"/>
      <w:ind w:left="420" w:leftChars="200"/>
    </w:pPr>
    <w:rPr>
      <w:rFonts w:ascii="Calibri" w:hAnsi="Calibri" w:eastAsia="宋体"/>
    </w:rPr>
  </w:style>
  <w:style w:type="paragraph" w:customStyle="1" w:styleId="70">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
    <w:name w:val="Heading 5"/>
    <w:basedOn w:val="73"/>
    <w:qFormat/>
    <w:uiPriority w:val="0"/>
    <w:pPr>
      <w:spacing w:before="26" w:after="100" w:afterAutospacing="1"/>
      <w:ind w:left="157"/>
      <w:jc w:val="left"/>
      <w:outlineLvl w:val="5"/>
    </w:pPr>
    <w:rPr>
      <w:rFonts w:ascii="宋体" w:hAnsi="宋体" w:eastAsia="宋体" w:cs="宋体"/>
      <w:b/>
      <w:bCs/>
      <w:kern w:val="0"/>
      <w:sz w:val="24"/>
      <w:szCs w:val="24"/>
    </w:rPr>
  </w:style>
  <w:style w:type="paragraph" w:customStyle="1" w:styleId="73">
    <w:name w:val="正文_4_0_0_0"/>
    <w:basedOn w:val="64"/>
    <w:qFormat/>
    <w:uiPriority w:val="0"/>
    <w:rPr>
      <w:rFonts w:ascii="Calibri" w:hAnsi="Calibri" w:eastAsia="宋体" w:cs="Calibri"/>
      <w:szCs w:val="21"/>
    </w:rPr>
  </w:style>
  <w:style w:type="paragraph" w:customStyle="1" w:styleId="74">
    <w:name w:val="Heading 7"/>
    <w:basedOn w:val="73"/>
    <w:qFormat/>
    <w:uiPriority w:val="0"/>
    <w:pPr>
      <w:spacing w:before="35" w:after="100" w:afterAutospacing="1"/>
      <w:ind w:left="157"/>
      <w:jc w:val="left"/>
      <w:outlineLvl w:val="7"/>
    </w:pPr>
    <w:rPr>
      <w:rFonts w:ascii="宋体" w:hAnsi="宋体" w:eastAsia="宋体" w:cs="宋体"/>
      <w:b/>
      <w:bCs/>
      <w:kern w:val="0"/>
    </w:rPr>
  </w:style>
  <w:style w:type="paragraph" w:customStyle="1" w:styleId="75">
    <w:name w:val="正文_0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76">
    <w:name w:val="正文_0_0_1"/>
    <w:qFormat/>
    <w:uiPriority w:val="0"/>
    <w:pPr>
      <w:widowControl w:val="0"/>
      <w:jc w:val="both"/>
    </w:pPr>
    <w:rPr>
      <w:rFonts w:ascii="Calibri" w:hAnsi="Calibri" w:eastAsia="宋体" w:cs="Times New Roman"/>
      <w:kern w:val="2"/>
      <w:sz w:val="28"/>
      <w:szCs w:val="22"/>
      <w:lang w:val="en-US" w:eastAsia="zh-CN" w:bidi="ar-SA"/>
    </w:rPr>
  </w:style>
  <w:style w:type="paragraph" w:customStyle="1" w:styleId="77">
    <w:name w:val="正文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
    <w:name w:val="正文_3_0_0"/>
    <w:next w:val="7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
    <w:name w:val="正文文本缩进_1"/>
    <w:basedOn w:val="60"/>
    <w:qFormat/>
    <w:uiPriority w:val="0"/>
    <w:pPr>
      <w:spacing w:line="500" w:lineRule="exact"/>
      <w:ind w:left="1588" w:leftChars="832" w:firstLine="433" w:firstLineChars="196"/>
    </w:pPr>
    <w:rPr>
      <w:rFonts w:ascii="Calibri" w:hAnsi="Calibri"/>
      <w:sz w:val="24"/>
    </w:rPr>
  </w:style>
  <w:style w:type="paragraph" w:customStyle="1" w:styleId="80">
    <w:name w:val="BodyText1I2"/>
    <w:basedOn w:val="81"/>
    <w:qFormat/>
    <w:uiPriority w:val="0"/>
    <w:pPr>
      <w:spacing w:after="120" w:line="240" w:lineRule="auto"/>
      <w:ind w:left="420" w:leftChars="200" w:firstLine="420" w:firstLineChars="200"/>
      <w:jc w:val="both"/>
      <w:textAlignment w:val="baseline"/>
    </w:pPr>
  </w:style>
  <w:style w:type="paragraph" w:customStyle="1" w:styleId="81">
    <w:name w:val="BodyTextIndent"/>
    <w:basedOn w:val="1"/>
    <w:qFormat/>
    <w:uiPriority w:val="0"/>
    <w:pPr>
      <w:spacing w:after="120" w:line="240" w:lineRule="auto"/>
      <w:ind w:left="420" w:leftChars="200"/>
      <w:jc w:val="both"/>
      <w:textAlignment w:val="baseline"/>
    </w:pPr>
  </w:style>
  <w:style w:type="paragraph" w:customStyle="1" w:styleId="82">
    <w:name w:val="Normal"/>
    <w:next w:val="83"/>
    <w:qFormat/>
    <w:uiPriority w:val="0"/>
    <w:pPr>
      <w:widowControl w:val="0"/>
      <w:jc w:val="both"/>
    </w:pPr>
    <w:rPr>
      <w:rFonts w:ascii="Times New Roman" w:hAnsi="Times New Roman" w:eastAsia="Times New Roman" w:cs="Times New Roman"/>
      <w:lang w:val="en-US" w:eastAsia="zh-CN" w:bidi="ar-SA"/>
    </w:rPr>
  </w:style>
  <w:style w:type="paragraph" w:customStyle="1" w:styleId="83">
    <w:name w:val="Footnote Text"/>
    <w:basedOn w:val="82"/>
    <w:qFormat/>
    <w:uiPriority w:val="0"/>
    <w:pPr>
      <w:snapToGrid w:val="0"/>
      <w:jc w:val="left"/>
    </w:pPr>
    <w:rPr>
      <w:sz w:val="18"/>
      <w:szCs w:val="18"/>
    </w:rPr>
  </w:style>
  <w:style w:type="paragraph" w:customStyle="1" w:styleId="84">
    <w:name w:val="Body Text First Indent"/>
    <w:basedOn w:val="6"/>
    <w:qFormat/>
    <w:uiPriority w:val="0"/>
  </w:style>
  <w:style w:type="character" w:customStyle="1" w:styleId="85">
    <w:name w:val="font11"/>
    <w:basedOn w:val="21"/>
    <w:qFormat/>
    <w:uiPriority w:val="0"/>
    <w:rPr>
      <w:rFonts w:hint="eastAsia" w:ascii="宋体" w:hAnsi="宋体" w:eastAsia="宋体" w:cs="宋体"/>
      <w:color w:val="000000"/>
      <w:sz w:val="24"/>
      <w:szCs w:val="24"/>
      <w:u w:val="none"/>
    </w:rPr>
  </w:style>
  <w:style w:type="character" w:customStyle="1" w:styleId="86">
    <w:name w:val="font31"/>
    <w:basedOn w:val="21"/>
    <w:qFormat/>
    <w:uiPriority w:val="0"/>
    <w:rPr>
      <w:rFonts w:hint="default" w:ascii="Times New Roman" w:hAnsi="Times New Roman" w:cs="Times New Roman"/>
      <w:color w:val="000000"/>
      <w:sz w:val="24"/>
      <w:szCs w:val="24"/>
      <w:u w:val="none"/>
    </w:rPr>
  </w:style>
  <w:style w:type="paragraph" w:customStyle="1" w:styleId="87">
    <w:name w:val="Body text|1"/>
    <w:basedOn w:val="1"/>
    <w:qFormat/>
    <w:uiPriority w:val="0"/>
    <w:pPr>
      <w:widowControl w:val="0"/>
      <w:shd w:val="clear" w:color="auto" w:fill="auto"/>
      <w:spacing w:line="382" w:lineRule="auto"/>
      <w:ind w:firstLine="400"/>
    </w:pPr>
    <w:rPr>
      <w:rFonts w:ascii="宋体" w:hAnsi="宋体" w:eastAsia="宋体" w:cs="宋体"/>
      <w:sz w:val="30"/>
      <w:szCs w:val="30"/>
      <w:u w:val="none"/>
      <w:shd w:val="clear" w:color="auto" w:fill="auto"/>
      <w:lang w:val="zh-TW" w:eastAsia="zh-TW" w:bidi="zh-TW"/>
    </w:rPr>
  </w:style>
  <w:style w:type="paragraph" w:customStyle="1" w:styleId="88">
    <w:name w:val="标题 1_2"/>
    <w:basedOn w:val="55"/>
    <w:next w:val="55"/>
    <w:qFormat/>
    <w:uiPriority w:val="9"/>
    <w:pPr>
      <w:spacing w:before="38"/>
      <w:ind w:left="1844"/>
      <w:outlineLvl w:val="0"/>
    </w:pPr>
    <w:rPr>
      <w:rFonts w:ascii="宋体" w:hAnsi="宋体" w:eastAsia="宋体" w:cs="宋体"/>
      <w:b/>
      <w:bCs/>
      <w:sz w:val="36"/>
      <w:szCs w:val="36"/>
    </w:rPr>
  </w:style>
  <w:style w:type="character" w:customStyle="1" w:styleId="89">
    <w:name w:val="font51"/>
    <w:basedOn w:val="21"/>
    <w:qFormat/>
    <w:uiPriority w:val="0"/>
    <w:rPr>
      <w:rFonts w:hint="eastAsia" w:ascii="宋体" w:hAnsi="宋体" w:eastAsia="宋体" w:cs="宋体"/>
      <w:color w:val="000000"/>
      <w:sz w:val="22"/>
      <w:szCs w:val="22"/>
      <w:u w:val="none"/>
    </w:rPr>
  </w:style>
  <w:style w:type="paragraph" w:customStyle="1" w:styleId="90">
    <w:name w:val="正文_16"/>
    <w:qFormat/>
    <w:uiPriority w:val="0"/>
    <w:pPr>
      <w:widowControl w:val="0"/>
      <w:jc w:val="both"/>
    </w:pPr>
    <w:rPr>
      <w:rFonts w:ascii="Calibri" w:hAnsi="Calibri" w:eastAsia="宋体" w:cs="Times New Roman"/>
      <w:kern w:val="2"/>
      <w:sz w:val="21"/>
      <w:szCs w:val="24"/>
      <w:lang w:val="en-US" w:eastAsia="zh-CN" w:bidi="ar-SA"/>
    </w:rPr>
  </w:style>
  <w:style w:type="paragraph" w:customStyle="1" w:styleId="91">
    <w:name w:val="正文文本缩进_4"/>
    <w:basedOn w:val="92"/>
    <w:qFormat/>
    <w:uiPriority w:val="0"/>
    <w:pPr>
      <w:spacing w:line="500" w:lineRule="exact"/>
      <w:ind w:left="1588" w:leftChars="832" w:firstLine="433" w:firstLineChars="196"/>
    </w:pPr>
    <w:rPr>
      <w:rFonts w:ascii="Calibri" w:hAnsi="Calibri" w:eastAsia="宋体"/>
      <w:sz w:val="24"/>
    </w:rPr>
  </w:style>
  <w:style w:type="paragraph" w:customStyle="1" w:styleId="92">
    <w:name w:val="正文_15"/>
    <w:qFormat/>
    <w:uiPriority w:val="0"/>
    <w:pPr>
      <w:widowControl w:val="0"/>
      <w:jc w:val="both"/>
    </w:pPr>
    <w:rPr>
      <w:rFonts w:ascii="Calibri" w:hAnsi="Calibri" w:eastAsia="宋体" w:cs="Times New Roman"/>
      <w:kern w:val="2"/>
      <w:sz w:val="21"/>
      <w:szCs w:val="24"/>
      <w:lang w:val="en-US" w:eastAsia="zh-CN" w:bidi="ar-SA"/>
    </w:rPr>
  </w:style>
  <w:style w:type="paragraph" w:customStyle="1" w:styleId="93">
    <w:name w:val="题注_0"/>
    <w:basedOn w:val="92"/>
    <w:next w:val="90"/>
    <w:qFormat/>
    <w:uiPriority w:val="0"/>
    <w:pPr>
      <w:spacing w:before="152" w:after="160"/>
    </w:pPr>
    <w:rPr>
      <w:rFonts w:ascii="Arial" w:hAnsi="Arial" w:eastAsia="黑体" w:cs="Arial"/>
      <w:sz w:val="20"/>
      <w:szCs w:val="20"/>
    </w:rPr>
  </w:style>
  <w:style w:type="paragraph" w:customStyle="1" w:styleId="94">
    <w:name w:val="Normal_5"/>
    <w:qFormat/>
    <w:uiPriority w:val="0"/>
    <w:rPr>
      <w:rFonts w:ascii="黑体" w:hAnsi="黑体" w:eastAsia="黑体" w:cs="Times New Roman"/>
      <w:b/>
      <w:sz w:val="32"/>
      <w:szCs w:val="24"/>
      <w:lang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102</Pages>
  <Words>56093</Words>
  <Characters>59760</Characters>
  <Lines>0</Lines>
  <Paragraphs>0</Paragraphs>
  <TotalTime>1</TotalTime>
  <ScaleCrop>false</ScaleCrop>
  <LinksUpToDate>false</LinksUpToDate>
  <CharactersWithSpaces>62278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2022-10-10T08:55:00Z</dcterms:created>
  <dc:creator>エイの息子✨</dc:creator>
  <cp:lastModifiedBy>姚国兵</cp:lastModifiedBy>
  <dcterms:modified xsi:type="dcterms:W3CDTF">2022-12-02T18:05:23Z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E79C92740E214E58BC8EFE3760656AA4</vt:lpwstr>
  </property>
</Properties>
</file>