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right" w:leader="dot" w:pos="9628"/>
        </w:tabs>
        <w:spacing w:line="360" w:lineRule="auto"/>
        <w:jc w:val="center"/>
        <w:rPr>
          <w:rFonts w:ascii="宋体" w:hAnsi="宋体"/>
          <w:b/>
          <w:sz w:val="36"/>
          <w:szCs w:val="36"/>
        </w:rPr>
      </w:pPr>
    </w:p>
    <w:p>
      <w:pPr>
        <w:rPr>
          <w:rFonts w:ascii="宋体" w:hAnsi="宋体"/>
        </w:rPr>
      </w:pPr>
    </w:p>
    <w:p>
      <w:pPr>
        <w:rPr>
          <w:rFonts w:ascii="宋体" w:hAnsi="宋体"/>
        </w:rPr>
      </w:pPr>
    </w:p>
    <w:p>
      <w:pPr>
        <w:rPr>
          <w:rFonts w:ascii="宋体" w:hAnsi="宋体"/>
        </w:rPr>
      </w:pPr>
    </w:p>
    <w:p>
      <w:pPr>
        <w:pStyle w:val="85"/>
        <w:jc w:val="center"/>
        <w:rPr>
          <w:rFonts w:ascii="宋体" w:hAnsi="宋体"/>
          <w:b/>
          <w:color w:val="auto"/>
          <w:sz w:val="48"/>
          <w:szCs w:val="48"/>
        </w:rPr>
      </w:pPr>
      <w:r>
        <w:rPr>
          <w:rFonts w:hint="eastAsia" w:ascii="宋体" w:hAnsi="宋体"/>
          <w:b/>
          <w:color w:val="auto"/>
          <w:sz w:val="48"/>
          <w:szCs w:val="48"/>
          <w:lang w:eastAsia="zh-CN"/>
        </w:rPr>
        <w:t>喀什大学图书馆数据库采购项目</w:t>
      </w:r>
    </w:p>
    <w:p>
      <w:pPr>
        <w:pStyle w:val="85"/>
        <w:jc w:val="center"/>
        <w:rPr>
          <w:rFonts w:ascii="宋体" w:hAnsi="宋体"/>
          <w:b/>
          <w:color w:val="auto"/>
          <w:sz w:val="48"/>
          <w:szCs w:val="48"/>
        </w:rPr>
      </w:pPr>
    </w:p>
    <w:p>
      <w:pPr>
        <w:pStyle w:val="85"/>
        <w:jc w:val="center"/>
        <w:rPr>
          <w:rFonts w:ascii="宋体" w:hAnsi="宋体"/>
          <w:b/>
          <w:color w:val="auto"/>
          <w:sz w:val="48"/>
          <w:szCs w:val="48"/>
        </w:rPr>
      </w:pPr>
    </w:p>
    <w:p>
      <w:pPr>
        <w:jc w:val="center"/>
        <w:outlineLvl w:val="0"/>
        <w:rPr>
          <w:rFonts w:ascii="宋体" w:hAnsi="宋体"/>
          <w:b/>
          <w:sz w:val="84"/>
        </w:rPr>
      </w:pPr>
      <w:bookmarkStart w:id="0" w:name="_Toc17902408"/>
      <w:r>
        <w:rPr>
          <w:rFonts w:hint="eastAsia" w:ascii="宋体" w:hAnsi="宋体"/>
          <w:b/>
          <w:sz w:val="84"/>
        </w:rPr>
        <w:t>单一来源采购文件</w:t>
      </w:r>
      <w:bookmarkEnd w:id="0"/>
    </w:p>
    <w:p>
      <w:pPr>
        <w:jc w:val="center"/>
        <w:outlineLvl w:val="0"/>
        <w:rPr>
          <w:rFonts w:hint="eastAsia" w:ascii="宋体" w:hAnsi="宋体" w:eastAsia="宋体"/>
          <w:b/>
          <w:sz w:val="44"/>
          <w:szCs w:val="44"/>
          <w:lang w:eastAsia="zh-CN"/>
        </w:rPr>
      </w:pPr>
      <w:bookmarkStart w:id="1" w:name="_Toc17902409"/>
      <w:r>
        <w:rPr>
          <w:rFonts w:hint="eastAsia" w:ascii="宋体" w:hAnsi="宋体"/>
          <w:b/>
          <w:sz w:val="44"/>
          <w:szCs w:val="44"/>
        </w:rPr>
        <w:t>项目编号</w:t>
      </w:r>
      <w:bookmarkEnd w:id="1"/>
      <w:r>
        <w:rPr>
          <w:rFonts w:hint="eastAsia" w:ascii="宋体" w:hAnsi="宋体"/>
          <w:b/>
          <w:sz w:val="44"/>
          <w:szCs w:val="44"/>
          <w:lang w:val="en-US" w:eastAsia="zh-CN"/>
        </w:rPr>
        <w:t>:</w:t>
      </w:r>
      <w:r>
        <w:rPr>
          <w:rFonts w:hint="eastAsia" w:ascii="宋体" w:hAnsi="宋体"/>
          <w:b/>
          <w:sz w:val="44"/>
          <w:szCs w:val="44"/>
          <w:lang w:eastAsia="zh-CN"/>
        </w:rPr>
        <w:t>AMJ-KSDX-DYLY[2022]025号</w:t>
      </w:r>
    </w:p>
    <w:p>
      <w:pPr>
        <w:jc w:val="center"/>
        <w:outlineLvl w:val="0"/>
        <w:rPr>
          <w:rFonts w:ascii="宋体" w:hAnsi="宋体"/>
          <w:b/>
          <w:sz w:val="44"/>
          <w:szCs w:val="44"/>
        </w:rPr>
      </w:pPr>
      <w:r>
        <w:rPr>
          <w:rFonts w:hint="eastAsia" w:ascii="宋体" w:hAnsi="宋体"/>
          <w:b/>
          <w:sz w:val="44"/>
          <w:szCs w:val="44"/>
        </w:rPr>
        <w:t xml:space="preserve">        </w:t>
      </w:r>
    </w:p>
    <w:p>
      <w:pPr>
        <w:pStyle w:val="85"/>
        <w:rPr>
          <w:rFonts w:ascii="宋体" w:hAnsi="宋体"/>
          <w:b/>
          <w:color w:val="auto"/>
          <w:spacing w:val="14"/>
          <w:kern w:val="2"/>
          <w:sz w:val="36"/>
          <w:szCs w:val="36"/>
        </w:rPr>
      </w:pPr>
    </w:p>
    <w:p>
      <w:pPr>
        <w:pStyle w:val="85"/>
        <w:rPr>
          <w:rFonts w:ascii="宋体" w:hAnsi="宋体"/>
          <w:b/>
          <w:color w:val="auto"/>
          <w:spacing w:val="14"/>
          <w:kern w:val="2"/>
          <w:sz w:val="36"/>
          <w:szCs w:val="36"/>
        </w:rPr>
      </w:pPr>
    </w:p>
    <w:p>
      <w:pPr>
        <w:pStyle w:val="85"/>
        <w:rPr>
          <w:rFonts w:ascii="宋体" w:hAnsi="宋体"/>
          <w:b/>
          <w:color w:val="auto"/>
          <w:spacing w:val="14"/>
          <w:kern w:val="2"/>
          <w:sz w:val="36"/>
          <w:szCs w:val="36"/>
        </w:rPr>
      </w:pPr>
      <w:r>
        <w:rPr>
          <w:rFonts w:hint="eastAsia" w:ascii="宋体" w:hAnsi="宋体"/>
          <w:b/>
          <w:color w:val="auto"/>
          <w:spacing w:val="14"/>
          <w:kern w:val="2"/>
          <w:sz w:val="36"/>
          <w:szCs w:val="36"/>
        </w:rPr>
        <w:t xml:space="preserve">            </w:t>
      </w:r>
    </w:p>
    <w:p>
      <w:pPr>
        <w:spacing w:line="440" w:lineRule="exact"/>
        <w:ind w:firstLine="482"/>
        <w:rPr>
          <w:rFonts w:ascii="宋体" w:hAnsi="宋体"/>
          <w:b/>
          <w:spacing w:val="14"/>
          <w:sz w:val="36"/>
          <w:szCs w:val="36"/>
        </w:rPr>
      </w:pPr>
    </w:p>
    <w:p>
      <w:pPr>
        <w:spacing w:line="440" w:lineRule="exact"/>
        <w:ind w:firstLine="482"/>
        <w:rPr>
          <w:rFonts w:ascii="宋体" w:hAnsi="宋体"/>
          <w:b/>
          <w:spacing w:val="14"/>
          <w:sz w:val="36"/>
          <w:szCs w:val="36"/>
        </w:rPr>
      </w:pPr>
    </w:p>
    <w:p>
      <w:pPr>
        <w:spacing w:line="440" w:lineRule="exact"/>
        <w:ind w:firstLine="482"/>
        <w:rPr>
          <w:rFonts w:ascii="宋体" w:hAnsi="宋体"/>
          <w:b/>
          <w:spacing w:val="14"/>
          <w:sz w:val="36"/>
          <w:szCs w:val="36"/>
        </w:rPr>
      </w:pPr>
    </w:p>
    <w:p>
      <w:pPr>
        <w:spacing w:line="440" w:lineRule="exact"/>
        <w:ind w:firstLine="389" w:firstLineChars="100"/>
        <w:rPr>
          <w:rFonts w:hint="eastAsia" w:ascii="宋体" w:hAnsi="宋体" w:eastAsia="宋体"/>
          <w:b/>
          <w:spacing w:val="14"/>
          <w:sz w:val="36"/>
          <w:szCs w:val="36"/>
          <w:lang w:eastAsia="zh-CN"/>
        </w:rPr>
      </w:pPr>
      <w:r>
        <w:rPr>
          <w:rFonts w:hint="eastAsia" w:ascii="宋体" w:hAnsi="宋体"/>
          <w:b/>
          <w:spacing w:val="14"/>
          <w:sz w:val="36"/>
          <w:szCs w:val="36"/>
        </w:rPr>
        <w:t>采购人：</w:t>
      </w:r>
      <w:r>
        <w:rPr>
          <w:rFonts w:hint="eastAsia" w:ascii="宋体" w:hAnsi="宋体"/>
          <w:b/>
          <w:spacing w:val="14"/>
          <w:sz w:val="36"/>
          <w:szCs w:val="36"/>
          <w:lang w:eastAsia="zh-CN"/>
        </w:rPr>
        <w:t xml:space="preserve">喀什大学 </w:t>
      </w:r>
    </w:p>
    <w:p>
      <w:pPr>
        <w:spacing w:line="240" w:lineRule="atLeast"/>
        <w:ind w:firstLine="389" w:firstLineChars="100"/>
        <w:jc w:val="both"/>
        <w:rPr>
          <w:rFonts w:hint="eastAsia" w:ascii="宋体" w:hAnsi="宋体" w:eastAsia="宋体"/>
          <w:b/>
          <w:spacing w:val="14"/>
          <w:sz w:val="36"/>
          <w:szCs w:val="36"/>
          <w:lang w:eastAsia="zh-CN"/>
        </w:rPr>
      </w:pPr>
      <w:r>
        <w:rPr>
          <w:rFonts w:hint="eastAsia" w:ascii="宋体" w:hAnsi="宋体"/>
          <w:b/>
          <w:spacing w:val="14"/>
          <w:sz w:val="36"/>
          <w:szCs w:val="36"/>
        </w:rPr>
        <w:t>招标代理机构：</w:t>
      </w:r>
      <w:r>
        <w:rPr>
          <w:rFonts w:hint="eastAsia" w:ascii="宋体" w:hAnsi="宋体"/>
          <w:b/>
          <w:spacing w:val="14"/>
          <w:sz w:val="36"/>
          <w:szCs w:val="36"/>
          <w:lang w:eastAsia="zh-CN"/>
        </w:rPr>
        <w:t>新疆爱满疆工程咨询有限公司</w:t>
      </w:r>
    </w:p>
    <w:p>
      <w:pPr>
        <w:pStyle w:val="29"/>
        <w:tabs>
          <w:tab w:val="right" w:leader="dot" w:pos="9628"/>
        </w:tabs>
        <w:spacing w:line="360" w:lineRule="auto"/>
        <w:jc w:val="center"/>
        <w:rPr>
          <w:rFonts w:ascii="宋体" w:hAnsi="宋体"/>
          <w:b/>
          <w:sz w:val="36"/>
          <w:szCs w:val="36"/>
        </w:rPr>
      </w:pPr>
    </w:p>
    <w:p>
      <w:pPr>
        <w:pStyle w:val="29"/>
        <w:tabs>
          <w:tab w:val="right" w:leader="dot" w:pos="9628"/>
        </w:tabs>
        <w:spacing w:line="360" w:lineRule="auto"/>
        <w:jc w:val="center"/>
        <w:rPr>
          <w:rFonts w:ascii="宋体" w:hAnsi="宋体"/>
          <w:b/>
          <w:sz w:val="36"/>
          <w:szCs w:val="36"/>
        </w:rPr>
      </w:pPr>
    </w:p>
    <w:p>
      <w:pPr>
        <w:rPr>
          <w:rFonts w:ascii="宋体" w:hAnsi="宋体"/>
        </w:rPr>
      </w:pPr>
    </w:p>
    <w:p>
      <w:pPr>
        <w:pStyle w:val="29"/>
        <w:tabs>
          <w:tab w:val="right" w:leader="dot" w:pos="9628"/>
        </w:tabs>
        <w:spacing w:line="360" w:lineRule="auto"/>
        <w:jc w:val="center"/>
        <w:rPr>
          <w:rFonts w:ascii="宋体" w:hAnsi="宋体"/>
          <w:b/>
          <w:sz w:val="36"/>
          <w:szCs w:val="36"/>
        </w:rPr>
      </w:pPr>
    </w:p>
    <w:p>
      <w:pPr>
        <w:pStyle w:val="29"/>
        <w:tabs>
          <w:tab w:val="right" w:leader="dot" w:pos="9628"/>
        </w:tabs>
        <w:spacing w:line="360" w:lineRule="auto"/>
        <w:jc w:val="center"/>
        <w:rPr>
          <w:rFonts w:hint="eastAsia" w:ascii="宋体" w:hAnsi="宋体"/>
          <w:b/>
          <w:sz w:val="36"/>
          <w:szCs w:val="36"/>
        </w:rPr>
      </w:pPr>
    </w:p>
    <w:p>
      <w:pPr>
        <w:pStyle w:val="29"/>
        <w:tabs>
          <w:tab w:val="right" w:leader="dot" w:pos="9628"/>
        </w:tabs>
        <w:spacing w:line="360" w:lineRule="auto"/>
        <w:jc w:val="center"/>
        <w:rPr>
          <w:rFonts w:hint="eastAsia" w:ascii="宋体" w:hAnsi="宋体"/>
          <w:b/>
          <w:sz w:val="36"/>
          <w:szCs w:val="36"/>
        </w:rPr>
      </w:pPr>
    </w:p>
    <w:p>
      <w:pPr>
        <w:pStyle w:val="29"/>
        <w:tabs>
          <w:tab w:val="right" w:leader="dot" w:pos="9628"/>
        </w:tabs>
        <w:spacing w:line="360" w:lineRule="auto"/>
        <w:jc w:val="center"/>
        <w:rPr>
          <w:rFonts w:ascii="宋体" w:hAnsi="宋体"/>
          <w:b/>
          <w:sz w:val="36"/>
          <w:szCs w:val="36"/>
        </w:rPr>
      </w:pPr>
      <w:r>
        <w:rPr>
          <w:rFonts w:hint="eastAsia" w:ascii="宋体" w:hAnsi="宋体"/>
          <w:b/>
          <w:sz w:val="36"/>
          <w:szCs w:val="36"/>
        </w:rPr>
        <w:t>目</w:t>
      </w:r>
      <w:r>
        <w:rPr>
          <w:rFonts w:hint="eastAsia" w:ascii="宋体" w:hAnsi="宋体"/>
          <w:sz w:val="28"/>
          <w:szCs w:val="28"/>
        </w:rPr>
        <w:t xml:space="preserve">  </w:t>
      </w:r>
      <w:r>
        <w:rPr>
          <w:rFonts w:hint="eastAsia" w:ascii="宋体" w:hAnsi="宋体"/>
          <w:b/>
          <w:sz w:val="36"/>
          <w:szCs w:val="36"/>
        </w:rPr>
        <w:t>录</w:t>
      </w:r>
    </w:p>
    <w:p>
      <w:pPr>
        <w:rPr>
          <w:rFonts w:ascii="宋体" w:hAnsi="宋体"/>
        </w:rPr>
      </w:pPr>
    </w:p>
    <w:p>
      <w:pPr>
        <w:pStyle w:val="29"/>
        <w:tabs>
          <w:tab w:val="right" w:leader="dot" w:pos="9628"/>
        </w:tabs>
        <w:spacing w:line="360" w:lineRule="auto"/>
        <w:rPr>
          <w:rFonts w:ascii="宋体" w:hAnsi="宋体" w:cstheme="minorBidi"/>
          <w:b/>
          <w:bCs/>
          <w:sz w:val="28"/>
          <w:szCs w:val="28"/>
        </w:rPr>
      </w:pPr>
      <w:r>
        <w:rPr>
          <w:rFonts w:hint="eastAsia" w:ascii="宋体" w:hAnsi="宋体"/>
          <w:b/>
          <w:sz w:val="28"/>
          <w:szCs w:val="28"/>
        </w:rPr>
        <w:fldChar w:fldCharType="begin"/>
      </w:r>
      <w:r>
        <w:rPr>
          <w:rFonts w:hint="eastAsia" w:ascii="宋体" w:hAnsi="宋体"/>
          <w:b/>
          <w:sz w:val="28"/>
          <w:szCs w:val="28"/>
        </w:rPr>
        <w:instrText xml:space="preserve"> TOC \o "1-3" \h \z \u </w:instrText>
      </w:r>
      <w:r>
        <w:rPr>
          <w:rFonts w:hint="eastAsia" w:ascii="宋体" w:hAnsi="宋体"/>
          <w:b/>
          <w:sz w:val="28"/>
          <w:szCs w:val="28"/>
        </w:rPr>
        <w:fldChar w:fldCharType="separate"/>
      </w:r>
      <w:r>
        <w:fldChar w:fldCharType="begin"/>
      </w:r>
      <w:r>
        <w:instrText xml:space="preserve"> HYPERLINK \l "_Toc17902408" </w:instrText>
      </w:r>
      <w:r>
        <w:fldChar w:fldCharType="separate"/>
      </w:r>
      <w:r>
        <w:rPr>
          <w:rStyle w:val="44"/>
          <w:rFonts w:ascii="宋体" w:hAnsi="宋体"/>
          <w:b/>
          <w:bCs/>
          <w:sz w:val="28"/>
          <w:szCs w:val="28"/>
        </w:rPr>
        <w:t>单一来源采购文件</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_Toc17902408 \h </w:instrText>
      </w:r>
      <w:r>
        <w:rPr>
          <w:rFonts w:ascii="宋体" w:hAnsi="宋体"/>
          <w:b/>
          <w:bCs/>
          <w:sz w:val="28"/>
          <w:szCs w:val="28"/>
        </w:rPr>
        <w:fldChar w:fldCharType="separate"/>
      </w:r>
      <w:r>
        <w:rPr>
          <w:rFonts w:ascii="宋体" w:hAnsi="宋体"/>
          <w:b/>
          <w:bCs/>
          <w:sz w:val="28"/>
          <w:szCs w:val="28"/>
        </w:rPr>
        <w:t>1</w:t>
      </w:r>
      <w:r>
        <w:rPr>
          <w:rFonts w:ascii="宋体" w:hAnsi="宋体"/>
          <w:b/>
          <w:bCs/>
          <w:sz w:val="28"/>
          <w:szCs w:val="28"/>
        </w:rPr>
        <w:fldChar w:fldCharType="end"/>
      </w:r>
      <w:r>
        <w:rPr>
          <w:rFonts w:ascii="宋体" w:hAnsi="宋体"/>
          <w:b/>
          <w:bCs/>
          <w:sz w:val="28"/>
          <w:szCs w:val="28"/>
        </w:rPr>
        <w:fldChar w:fldCharType="end"/>
      </w:r>
    </w:p>
    <w:p>
      <w:pPr>
        <w:pStyle w:val="29"/>
        <w:tabs>
          <w:tab w:val="right" w:leader="dot" w:pos="9628"/>
        </w:tabs>
        <w:spacing w:line="360" w:lineRule="auto"/>
        <w:rPr>
          <w:rFonts w:ascii="宋体" w:hAnsi="宋体" w:cstheme="minorBidi"/>
          <w:b/>
          <w:bCs/>
          <w:sz w:val="28"/>
          <w:szCs w:val="28"/>
        </w:rPr>
      </w:pPr>
      <w:r>
        <w:fldChar w:fldCharType="begin"/>
      </w:r>
      <w:r>
        <w:instrText xml:space="preserve"> HYPERLINK \l "_Toc17902410" </w:instrText>
      </w:r>
      <w:r>
        <w:fldChar w:fldCharType="separate"/>
      </w:r>
      <w:r>
        <w:rPr>
          <w:rStyle w:val="44"/>
          <w:rFonts w:ascii="宋体" w:hAnsi="宋体"/>
          <w:b/>
          <w:bCs/>
          <w:sz w:val="28"/>
          <w:szCs w:val="28"/>
        </w:rPr>
        <w:t>第一部分    投标须知</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_Toc17902410 \h </w:instrText>
      </w:r>
      <w:r>
        <w:rPr>
          <w:rFonts w:ascii="宋体" w:hAnsi="宋体"/>
          <w:b/>
          <w:bCs/>
          <w:sz w:val="28"/>
          <w:szCs w:val="28"/>
        </w:rPr>
        <w:fldChar w:fldCharType="separate"/>
      </w:r>
      <w:r>
        <w:rPr>
          <w:rFonts w:ascii="宋体" w:hAnsi="宋体"/>
          <w:b/>
          <w:bCs/>
          <w:sz w:val="28"/>
          <w:szCs w:val="28"/>
        </w:rPr>
        <w:t>3</w:t>
      </w:r>
      <w:r>
        <w:rPr>
          <w:rFonts w:ascii="宋体" w:hAnsi="宋体"/>
          <w:b/>
          <w:bCs/>
          <w:sz w:val="28"/>
          <w:szCs w:val="28"/>
        </w:rPr>
        <w:fldChar w:fldCharType="end"/>
      </w:r>
      <w:r>
        <w:rPr>
          <w:rFonts w:ascii="宋体" w:hAnsi="宋体"/>
          <w:b/>
          <w:bCs/>
          <w:sz w:val="28"/>
          <w:szCs w:val="28"/>
        </w:rPr>
        <w:fldChar w:fldCharType="end"/>
      </w:r>
    </w:p>
    <w:p>
      <w:pPr>
        <w:pStyle w:val="29"/>
        <w:tabs>
          <w:tab w:val="right" w:leader="dot" w:pos="9628"/>
        </w:tabs>
        <w:spacing w:line="360" w:lineRule="auto"/>
        <w:rPr>
          <w:rFonts w:ascii="宋体" w:hAnsi="宋体" w:cstheme="minorBidi"/>
          <w:b/>
          <w:bCs/>
          <w:sz w:val="28"/>
          <w:szCs w:val="28"/>
        </w:rPr>
      </w:pPr>
      <w:r>
        <w:fldChar w:fldCharType="begin"/>
      </w:r>
      <w:r>
        <w:instrText xml:space="preserve"> HYPERLINK \l "_Toc17902411" </w:instrText>
      </w:r>
      <w:r>
        <w:fldChar w:fldCharType="separate"/>
      </w:r>
      <w:r>
        <w:rPr>
          <w:rStyle w:val="44"/>
          <w:rFonts w:ascii="宋体" w:hAnsi="宋体"/>
          <w:b/>
          <w:bCs/>
          <w:sz w:val="28"/>
          <w:szCs w:val="28"/>
        </w:rPr>
        <w:t>第二部分    招标说明</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_Toc17902411 \h </w:instrText>
      </w:r>
      <w:r>
        <w:rPr>
          <w:rFonts w:ascii="宋体" w:hAnsi="宋体"/>
          <w:b/>
          <w:bCs/>
          <w:sz w:val="28"/>
          <w:szCs w:val="28"/>
        </w:rPr>
        <w:fldChar w:fldCharType="separate"/>
      </w:r>
      <w:r>
        <w:rPr>
          <w:rFonts w:ascii="宋体" w:hAnsi="宋体"/>
          <w:b/>
          <w:bCs/>
          <w:sz w:val="28"/>
          <w:szCs w:val="28"/>
        </w:rPr>
        <w:t>9</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"_Toc17902412" </w:instrText>
      </w:r>
      <w:r>
        <w:fldChar w:fldCharType="separate"/>
      </w:r>
      <w:r>
        <w:rPr>
          <w:rStyle w:val="44"/>
          <w:rFonts w:ascii="宋体" w:hAnsi="宋体"/>
          <w:b/>
          <w:bCs/>
          <w:sz w:val="28"/>
          <w:szCs w:val="28"/>
        </w:rPr>
        <w:t>第一章 总则</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_Toc17902412 \h </w:instrText>
      </w:r>
      <w:r>
        <w:rPr>
          <w:rFonts w:ascii="宋体" w:hAnsi="宋体"/>
          <w:b/>
          <w:bCs/>
          <w:sz w:val="28"/>
          <w:szCs w:val="28"/>
        </w:rPr>
        <w:fldChar w:fldCharType="separate"/>
      </w:r>
      <w:r>
        <w:rPr>
          <w:rFonts w:ascii="宋体" w:hAnsi="宋体"/>
          <w:b/>
          <w:bCs/>
          <w:sz w:val="28"/>
          <w:szCs w:val="28"/>
        </w:rPr>
        <w:t>9</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"_Toc17902413" </w:instrText>
      </w:r>
      <w:r>
        <w:fldChar w:fldCharType="separate"/>
      </w:r>
      <w:r>
        <w:rPr>
          <w:rStyle w:val="44"/>
          <w:rFonts w:ascii="宋体" w:hAnsi="宋体"/>
          <w:b/>
          <w:bCs/>
          <w:sz w:val="28"/>
          <w:szCs w:val="28"/>
        </w:rPr>
        <w:t>第二章  单一来源采购文件</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_Toc17902413 \h </w:instrText>
      </w:r>
      <w:r>
        <w:rPr>
          <w:rFonts w:ascii="宋体" w:hAnsi="宋体"/>
          <w:b/>
          <w:bCs/>
          <w:sz w:val="28"/>
          <w:szCs w:val="28"/>
        </w:rPr>
        <w:fldChar w:fldCharType="separate"/>
      </w:r>
      <w:r>
        <w:rPr>
          <w:rFonts w:ascii="宋体" w:hAnsi="宋体"/>
          <w:b/>
          <w:bCs/>
          <w:sz w:val="28"/>
          <w:szCs w:val="28"/>
        </w:rPr>
        <w:t>10</w:t>
      </w:r>
      <w:r>
        <w:rPr>
          <w:rFonts w:ascii="宋体" w:hAnsi="宋体"/>
          <w:b/>
          <w:bCs/>
          <w:sz w:val="28"/>
          <w:szCs w:val="28"/>
        </w:rPr>
        <w:fldChar w:fldCharType="end"/>
      </w:r>
      <w:r>
        <w:rPr>
          <w:rFonts w:ascii="宋体" w:hAnsi="宋体"/>
          <w:b/>
          <w:bCs/>
          <w:sz w:val="28"/>
          <w:szCs w:val="28"/>
        </w:rPr>
        <w:fldChar w:fldCharType="end"/>
      </w:r>
    </w:p>
    <w:p>
      <w:pPr>
        <w:pStyle w:val="29"/>
        <w:tabs>
          <w:tab w:val="right" w:leader="dot" w:pos="9628"/>
        </w:tabs>
        <w:spacing w:line="360" w:lineRule="auto"/>
        <w:rPr>
          <w:rFonts w:ascii="宋体" w:hAnsi="宋体" w:cstheme="minorBidi"/>
          <w:b/>
          <w:bCs/>
          <w:sz w:val="28"/>
          <w:szCs w:val="28"/>
        </w:rPr>
      </w:pPr>
      <w:r>
        <w:fldChar w:fldCharType="begin"/>
      </w:r>
      <w:r>
        <w:instrText xml:space="preserve"> HYPERLINK \l "_Toc17902414" </w:instrText>
      </w:r>
      <w:r>
        <w:fldChar w:fldCharType="separate"/>
      </w:r>
      <w:r>
        <w:rPr>
          <w:rStyle w:val="44"/>
          <w:rFonts w:ascii="宋体" w:hAnsi="宋体"/>
          <w:b/>
          <w:bCs/>
          <w:sz w:val="28"/>
          <w:szCs w:val="28"/>
        </w:rPr>
        <w:t>第三部分    投标说明</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_Toc17902414 \h </w:instrText>
      </w:r>
      <w:r>
        <w:rPr>
          <w:rFonts w:ascii="宋体" w:hAnsi="宋体"/>
          <w:b/>
          <w:bCs/>
          <w:sz w:val="28"/>
          <w:szCs w:val="28"/>
        </w:rPr>
        <w:fldChar w:fldCharType="separate"/>
      </w:r>
      <w:r>
        <w:rPr>
          <w:rFonts w:ascii="宋体" w:hAnsi="宋体"/>
          <w:b/>
          <w:bCs/>
          <w:sz w:val="28"/>
          <w:szCs w:val="28"/>
        </w:rPr>
        <w:t>12</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"_Toc17902415" </w:instrText>
      </w:r>
      <w:r>
        <w:fldChar w:fldCharType="separate"/>
      </w:r>
      <w:r>
        <w:rPr>
          <w:rStyle w:val="44"/>
          <w:rFonts w:ascii="宋体" w:hAnsi="宋体"/>
          <w:b/>
          <w:bCs/>
          <w:sz w:val="28"/>
          <w:szCs w:val="28"/>
        </w:rPr>
        <w:t>第一章  对投标人的资质要求</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_Toc17902415 \h </w:instrText>
      </w:r>
      <w:r>
        <w:rPr>
          <w:rFonts w:ascii="宋体" w:hAnsi="宋体"/>
          <w:b/>
          <w:bCs/>
          <w:sz w:val="28"/>
          <w:szCs w:val="28"/>
        </w:rPr>
        <w:fldChar w:fldCharType="separate"/>
      </w:r>
      <w:r>
        <w:rPr>
          <w:rFonts w:ascii="宋体" w:hAnsi="宋体"/>
          <w:b/>
          <w:bCs/>
          <w:sz w:val="28"/>
          <w:szCs w:val="28"/>
        </w:rPr>
        <w:t>12</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"_Toc17902416" </w:instrText>
      </w:r>
      <w:r>
        <w:fldChar w:fldCharType="separate"/>
      </w:r>
      <w:r>
        <w:rPr>
          <w:rStyle w:val="44"/>
          <w:rFonts w:ascii="宋体" w:hAnsi="宋体"/>
          <w:b/>
          <w:bCs/>
          <w:sz w:val="28"/>
          <w:szCs w:val="28"/>
        </w:rPr>
        <w:t>第二章  投标文件的编写</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_Toc17902416 \h </w:instrText>
      </w:r>
      <w:r>
        <w:rPr>
          <w:rFonts w:ascii="宋体" w:hAnsi="宋体"/>
          <w:b/>
          <w:bCs/>
          <w:sz w:val="28"/>
          <w:szCs w:val="28"/>
        </w:rPr>
        <w:fldChar w:fldCharType="separate"/>
      </w:r>
      <w:r>
        <w:rPr>
          <w:rFonts w:ascii="宋体" w:hAnsi="宋体"/>
          <w:b/>
          <w:bCs/>
          <w:sz w:val="28"/>
          <w:szCs w:val="28"/>
        </w:rPr>
        <w:t>14</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"_Toc17902417" </w:instrText>
      </w:r>
      <w:r>
        <w:fldChar w:fldCharType="separate"/>
      </w:r>
      <w:r>
        <w:rPr>
          <w:rStyle w:val="44"/>
          <w:rFonts w:ascii="宋体" w:hAnsi="宋体"/>
          <w:b/>
          <w:bCs/>
          <w:sz w:val="28"/>
          <w:szCs w:val="28"/>
        </w:rPr>
        <w:t>第三章  投标文件的递交</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_Toc17902417 \h </w:instrText>
      </w:r>
      <w:r>
        <w:rPr>
          <w:rFonts w:ascii="宋体" w:hAnsi="宋体"/>
          <w:b/>
          <w:bCs/>
          <w:sz w:val="28"/>
          <w:szCs w:val="28"/>
        </w:rPr>
        <w:fldChar w:fldCharType="separate"/>
      </w:r>
      <w:r>
        <w:rPr>
          <w:rFonts w:ascii="宋体" w:hAnsi="宋体"/>
          <w:b/>
          <w:bCs/>
          <w:sz w:val="28"/>
          <w:szCs w:val="28"/>
        </w:rPr>
        <w:t>17</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"_Toc17902418" </w:instrText>
      </w:r>
      <w:r>
        <w:fldChar w:fldCharType="separate"/>
      </w:r>
      <w:r>
        <w:rPr>
          <w:rStyle w:val="44"/>
          <w:rFonts w:ascii="宋体" w:hAnsi="宋体"/>
          <w:b/>
          <w:bCs/>
          <w:sz w:val="28"/>
          <w:szCs w:val="28"/>
        </w:rPr>
        <w:t>第四章  评标委员会</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_Toc17902418 \h </w:instrText>
      </w:r>
      <w:r>
        <w:rPr>
          <w:rFonts w:ascii="宋体" w:hAnsi="宋体"/>
          <w:b/>
          <w:bCs/>
          <w:sz w:val="28"/>
          <w:szCs w:val="28"/>
        </w:rPr>
        <w:fldChar w:fldCharType="separate"/>
      </w:r>
      <w:r>
        <w:rPr>
          <w:rFonts w:ascii="宋体" w:hAnsi="宋体"/>
          <w:b/>
          <w:bCs/>
          <w:sz w:val="28"/>
          <w:szCs w:val="28"/>
        </w:rPr>
        <w:t>18</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"_Toc17902419" </w:instrText>
      </w:r>
      <w:r>
        <w:fldChar w:fldCharType="separate"/>
      </w:r>
      <w:r>
        <w:rPr>
          <w:rStyle w:val="44"/>
          <w:rFonts w:ascii="宋体" w:hAnsi="宋体"/>
          <w:b/>
          <w:bCs/>
          <w:sz w:val="28"/>
          <w:szCs w:val="28"/>
        </w:rPr>
        <w:t>第五章  开　标</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_Toc17902419 \h </w:instrText>
      </w:r>
      <w:r>
        <w:rPr>
          <w:rFonts w:ascii="宋体" w:hAnsi="宋体"/>
          <w:b/>
          <w:bCs/>
          <w:sz w:val="28"/>
          <w:szCs w:val="28"/>
        </w:rPr>
        <w:fldChar w:fldCharType="separate"/>
      </w:r>
      <w:r>
        <w:rPr>
          <w:rFonts w:ascii="宋体" w:hAnsi="宋体"/>
          <w:b/>
          <w:bCs/>
          <w:sz w:val="28"/>
          <w:szCs w:val="28"/>
        </w:rPr>
        <w:t>20</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"_Toc17902420" </w:instrText>
      </w:r>
      <w:r>
        <w:fldChar w:fldCharType="separate"/>
      </w:r>
      <w:r>
        <w:rPr>
          <w:rStyle w:val="44"/>
          <w:rFonts w:ascii="宋体" w:hAnsi="宋体"/>
          <w:b/>
          <w:bCs/>
          <w:sz w:val="28"/>
          <w:szCs w:val="28"/>
        </w:rPr>
        <w:t>第六章  评　标</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_Toc17902420 \h </w:instrText>
      </w:r>
      <w:r>
        <w:rPr>
          <w:rFonts w:ascii="宋体" w:hAnsi="宋体"/>
          <w:b/>
          <w:bCs/>
          <w:sz w:val="28"/>
          <w:szCs w:val="28"/>
        </w:rPr>
        <w:fldChar w:fldCharType="separate"/>
      </w:r>
      <w:r>
        <w:rPr>
          <w:rFonts w:ascii="宋体" w:hAnsi="宋体"/>
          <w:b/>
          <w:bCs/>
          <w:sz w:val="28"/>
          <w:szCs w:val="28"/>
        </w:rPr>
        <w:t>20</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"_Toc17902421" </w:instrText>
      </w:r>
      <w:r>
        <w:fldChar w:fldCharType="separate"/>
      </w:r>
      <w:r>
        <w:rPr>
          <w:rStyle w:val="44"/>
          <w:rFonts w:ascii="宋体" w:hAnsi="宋体"/>
          <w:b/>
          <w:bCs/>
          <w:sz w:val="28"/>
          <w:szCs w:val="28"/>
        </w:rPr>
        <w:t>第七章  定　标</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_Toc17902421 \h </w:instrText>
      </w:r>
      <w:r>
        <w:rPr>
          <w:rFonts w:ascii="宋体" w:hAnsi="宋体"/>
          <w:b/>
          <w:bCs/>
          <w:sz w:val="28"/>
          <w:szCs w:val="28"/>
        </w:rPr>
        <w:fldChar w:fldCharType="separate"/>
      </w:r>
      <w:r>
        <w:rPr>
          <w:rFonts w:ascii="宋体" w:hAnsi="宋体"/>
          <w:b/>
          <w:bCs/>
          <w:sz w:val="28"/>
          <w:szCs w:val="28"/>
        </w:rPr>
        <w:t>21</w:t>
      </w:r>
      <w:r>
        <w:rPr>
          <w:rFonts w:ascii="宋体" w:hAnsi="宋体"/>
          <w:b/>
          <w:bCs/>
          <w:sz w:val="28"/>
          <w:szCs w:val="28"/>
        </w:rPr>
        <w:fldChar w:fldCharType="end"/>
      </w:r>
      <w:r>
        <w:rPr>
          <w:rFonts w:ascii="宋体" w:hAnsi="宋体"/>
          <w:b/>
          <w:bCs/>
          <w:sz w:val="28"/>
          <w:szCs w:val="28"/>
        </w:rPr>
        <w:fldChar w:fldCharType="end"/>
      </w:r>
    </w:p>
    <w:p>
      <w:pPr>
        <w:pStyle w:val="33"/>
        <w:tabs>
          <w:tab w:val="right" w:leader="dot" w:pos="9628"/>
        </w:tabs>
        <w:spacing w:line="360" w:lineRule="auto"/>
        <w:rPr>
          <w:rFonts w:ascii="宋体" w:hAnsi="宋体" w:cstheme="minorBidi"/>
          <w:b/>
          <w:bCs/>
          <w:sz w:val="28"/>
          <w:szCs w:val="28"/>
        </w:rPr>
      </w:pPr>
      <w:r>
        <w:fldChar w:fldCharType="begin"/>
      </w:r>
      <w:r>
        <w:instrText xml:space="preserve"> HYPERLINK \l "_Toc17902422" </w:instrText>
      </w:r>
      <w:r>
        <w:fldChar w:fldCharType="separate"/>
      </w:r>
      <w:r>
        <w:rPr>
          <w:rStyle w:val="44"/>
          <w:rFonts w:ascii="宋体" w:hAnsi="宋体"/>
          <w:b/>
          <w:bCs/>
          <w:sz w:val="28"/>
          <w:szCs w:val="28"/>
        </w:rPr>
        <w:t>第八章  授予合同</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_Toc17902422 \h </w:instrText>
      </w:r>
      <w:r>
        <w:rPr>
          <w:rFonts w:ascii="宋体" w:hAnsi="宋体"/>
          <w:b/>
          <w:bCs/>
          <w:sz w:val="28"/>
          <w:szCs w:val="28"/>
        </w:rPr>
        <w:fldChar w:fldCharType="separate"/>
      </w:r>
      <w:r>
        <w:rPr>
          <w:rFonts w:ascii="宋体" w:hAnsi="宋体"/>
          <w:b/>
          <w:bCs/>
          <w:sz w:val="28"/>
          <w:szCs w:val="28"/>
        </w:rPr>
        <w:t>21</w:t>
      </w:r>
      <w:r>
        <w:rPr>
          <w:rFonts w:ascii="宋体" w:hAnsi="宋体"/>
          <w:b/>
          <w:bCs/>
          <w:sz w:val="28"/>
          <w:szCs w:val="28"/>
        </w:rPr>
        <w:fldChar w:fldCharType="end"/>
      </w:r>
      <w:r>
        <w:rPr>
          <w:rFonts w:ascii="宋体" w:hAnsi="宋体"/>
          <w:b/>
          <w:bCs/>
          <w:sz w:val="28"/>
          <w:szCs w:val="28"/>
        </w:rPr>
        <w:fldChar w:fldCharType="end"/>
      </w:r>
    </w:p>
    <w:p>
      <w:pPr>
        <w:pStyle w:val="29"/>
        <w:tabs>
          <w:tab w:val="right" w:leader="dot" w:pos="9628"/>
        </w:tabs>
        <w:spacing w:line="360" w:lineRule="auto"/>
        <w:rPr>
          <w:rFonts w:hint="eastAsia" w:ascii="宋体" w:hAnsi="宋体" w:eastAsia="宋体" w:cstheme="minorBidi"/>
          <w:b/>
          <w:bCs/>
          <w:sz w:val="28"/>
          <w:szCs w:val="28"/>
          <w:lang w:val="en-US" w:eastAsia="zh-CN"/>
        </w:rPr>
      </w:pPr>
      <w:r>
        <w:fldChar w:fldCharType="begin"/>
      </w:r>
      <w:r>
        <w:instrText xml:space="preserve"> HYPERLINK \l "_Toc17902423" </w:instrText>
      </w:r>
      <w:r>
        <w:fldChar w:fldCharType="separate"/>
      </w:r>
      <w:r>
        <w:rPr>
          <w:rStyle w:val="44"/>
          <w:rFonts w:ascii="宋体" w:hAnsi="宋体"/>
          <w:b/>
          <w:bCs/>
          <w:sz w:val="28"/>
          <w:szCs w:val="28"/>
        </w:rPr>
        <w:t xml:space="preserve">第四部分 </w:t>
      </w:r>
      <w:r>
        <w:rPr>
          <w:rStyle w:val="44"/>
          <w:rFonts w:hint="eastAsia" w:ascii="宋体" w:hAnsi="宋体"/>
          <w:b/>
          <w:bCs/>
          <w:sz w:val="28"/>
          <w:szCs w:val="28"/>
        </w:rPr>
        <w:t>服务内容</w:t>
      </w:r>
      <w:r>
        <w:rPr>
          <w:rFonts w:ascii="宋体" w:hAnsi="宋体"/>
          <w:b/>
          <w:bCs/>
          <w:sz w:val="28"/>
          <w:szCs w:val="28"/>
        </w:rPr>
        <w:tab/>
      </w:r>
      <w:r>
        <w:rPr>
          <w:rFonts w:hint="eastAsia" w:ascii="宋体" w:hAnsi="宋体"/>
          <w:b/>
          <w:bCs/>
          <w:sz w:val="28"/>
          <w:szCs w:val="28"/>
          <w:lang w:val="en-US" w:eastAsia="zh-CN"/>
        </w:rPr>
        <w:t>2</w:t>
      </w:r>
      <w:r>
        <w:rPr>
          <w:rFonts w:ascii="宋体" w:hAnsi="宋体"/>
          <w:b/>
          <w:bCs/>
          <w:sz w:val="28"/>
          <w:szCs w:val="28"/>
        </w:rPr>
        <w:fldChar w:fldCharType="end"/>
      </w:r>
      <w:r>
        <w:rPr>
          <w:rFonts w:hint="eastAsia" w:ascii="宋体" w:hAnsi="宋体"/>
          <w:b/>
          <w:bCs/>
          <w:sz w:val="28"/>
          <w:szCs w:val="28"/>
          <w:lang w:val="en-US" w:eastAsia="zh-CN"/>
        </w:rPr>
        <w:t>3</w:t>
      </w:r>
    </w:p>
    <w:p>
      <w:pPr>
        <w:pStyle w:val="29"/>
        <w:tabs>
          <w:tab w:val="right" w:leader="dot" w:pos="9628"/>
        </w:tabs>
        <w:spacing w:line="360" w:lineRule="auto"/>
        <w:rPr>
          <w:rFonts w:ascii="宋体" w:hAnsi="宋体" w:cstheme="minorBidi"/>
          <w:b/>
          <w:bCs/>
          <w:sz w:val="28"/>
          <w:szCs w:val="28"/>
        </w:rPr>
      </w:pPr>
      <w:r>
        <w:fldChar w:fldCharType="begin"/>
      </w:r>
      <w:r>
        <w:instrText xml:space="preserve"> HYPERLINK \l "_Toc17902424" </w:instrText>
      </w:r>
      <w:r>
        <w:fldChar w:fldCharType="separate"/>
      </w:r>
      <w:r>
        <w:rPr>
          <w:rStyle w:val="44"/>
          <w:rFonts w:ascii="宋体" w:hAnsi="宋体"/>
          <w:b/>
          <w:bCs/>
          <w:sz w:val="28"/>
          <w:szCs w:val="28"/>
        </w:rPr>
        <w:t>第五部分  合同部分（模板）</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_Toc17902424 \h </w:instrText>
      </w:r>
      <w:r>
        <w:rPr>
          <w:rFonts w:ascii="宋体" w:hAnsi="宋体"/>
          <w:b/>
          <w:bCs/>
          <w:sz w:val="28"/>
          <w:szCs w:val="28"/>
        </w:rPr>
        <w:fldChar w:fldCharType="separate"/>
      </w:r>
      <w:r>
        <w:rPr>
          <w:rFonts w:ascii="宋体" w:hAnsi="宋体"/>
          <w:b/>
          <w:bCs/>
          <w:sz w:val="28"/>
          <w:szCs w:val="28"/>
        </w:rPr>
        <w:t>23</w:t>
      </w:r>
      <w:r>
        <w:rPr>
          <w:rFonts w:ascii="宋体" w:hAnsi="宋体"/>
          <w:b/>
          <w:bCs/>
          <w:sz w:val="28"/>
          <w:szCs w:val="28"/>
        </w:rPr>
        <w:fldChar w:fldCharType="end"/>
      </w:r>
      <w:r>
        <w:rPr>
          <w:rFonts w:ascii="宋体" w:hAnsi="宋体"/>
          <w:b/>
          <w:bCs/>
          <w:sz w:val="28"/>
          <w:szCs w:val="28"/>
        </w:rPr>
        <w:fldChar w:fldCharType="end"/>
      </w:r>
    </w:p>
    <w:p>
      <w:pPr>
        <w:pStyle w:val="29"/>
        <w:tabs>
          <w:tab w:val="right" w:leader="dot" w:pos="9628"/>
        </w:tabs>
        <w:spacing w:line="360" w:lineRule="auto"/>
        <w:rPr>
          <w:rFonts w:ascii="宋体" w:hAnsi="宋体" w:cstheme="minorBidi"/>
          <w:b/>
          <w:bCs/>
          <w:sz w:val="28"/>
          <w:szCs w:val="28"/>
        </w:rPr>
      </w:pPr>
      <w:r>
        <w:fldChar w:fldCharType="begin"/>
      </w:r>
      <w:r>
        <w:instrText xml:space="preserve"> HYPERLINK \l "_Toc17902425" </w:instrText>
      </w:r>
      <w:r>
        <w:fldChar w:fldCharType="separate"/>
      </w:r>
      <w:r>
        <w:rPr>
          <w:rStyle w:val="44"/>
          <w:rFonts w:ascii="宋体" w:hAnsi="宋体"/>
          <w:b/>
          <w:bCs/>
          <w:sz w:val="28"/>
          <w:szCs w:val="28"/>
        </w:rPr>
        <w:t>(此合同样本仅供参考,合同具体细则以成交双方协定为准)</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_Toc17902425 \h </w:instrText>
      </w:r>
      <w:r>
        <w:rPr>
          <w:rFonts w:ascii="宋体" w:hAnsi="宋体"/>
          <w:b/>
          <w:bCs/>
          <w:sz w:val="28"/>
          <w:szCs w:val="28"/>
        </w:rPr>
        <w:fldChar w:fldCharType="separate"/>
      </w:r>
      <w:r>
        <w:rPr>
          <w:rFonts w:ascii="宋体" w:hAnsi="宋体"/>
          <w:b/>
          <w:bCs/>
          <w:sz w:val="28"/>
          <w:szCs w:val="28"/>
        </w:rPr>
        <w:t>36</w:t>
      </w:r>
      <w:r>
        <w:rPr>
          <w:rFonts w:ascii="宋体" w:hAnsi="宋体"/>
          <w:b/>
          <w:bCs/>
          <w:sz w:val="28"/>
          <w:szCs w:val="28"/>
        </w:rPr>
        <w:fldChar w:fldCharType="end"/>
      </w:r>
      <w:r>
        <w:rPr>
          <w:rFonts w:ascii="宋体" w:hAnsi="宋体"/>
          <w:b/>
          <w:bCs/>
          <w:sz w:val="28"/>
          <w:szCs w:val="28"/>
        </w:rPr>
        <w:fldChar w:fldCharType="end"/>
      </w:r>
    </w:p>
    <w:p>
      <w:pPr>
        <w:pStyle w:val="29"/>
        <w:tabs>
          <w:tab w:val="right" w:leader="dot" w:pos="9628"/>
        </w:tabs>
        <w:spacing w:line="360" w:lineRule="auto"/>
        <w:rPr>
          <w:rFonts w:asciiTheme="minorHAnsi" w:hAnsiTheme="minorHAnsi" w:eastAsiaTheme="minorEastAsia" w:cstheme="minorBidi"/>
          <w:szCs w:val="22"/>
        </w:rPr>
      </w:pPr>
      <w:r>
        <w:fldChar w:fldCharType="begin"/>
      </w:r>
      <w:r>
        <w:instrText xml:space="preserve"> HYPERLINK \l "_Toc17902426" </w:instrText>
      </w:r>
      <w:r>
        <w:fldChar w:fldCharType="separate"/>
      </w:r>
      <w:r>
        <w:rPr>
          <w:rStyle w:val="44"/>
          <w:rFonts w:ascii="宋体" w:hAnsi="宋体"/>
          <w:b/>
          <w:bCs/>
          <w:sz w:val="28"/>
          <w:szCs w:val="28"/>
        </w:rPr>
        <w:t>第六部分    附　件</w:t>
      </w:r>
      <w:r>
        <w:rPr>
          <w:rFonts w:ascii="宋体" w:hAnsi="宋体"/>
          <w:b/>
          <w:bCs/>
          <w:sz w:val="28"/>
          <w:szCs w:val="28"/>
        </w:rPr>
        <w:tab/>
      </w:r>
      <w:r>
        <w:rPr>
          <w:rFonts w:ascii="宋体" w:hAnsi="宋体"/>
          <w:b/>
          <w:bCs/>
          <w:sz w:val="28"/>
          <w:szCs w:val="28"/>
        </w:rPr>
        <w:fldChar w:fldCharType="begin"/>
      </w:r>
      <w:r>
        <w:rPr>
          <w:rFonts w:ascii="宋体" w:hAnsi="宋体"/>
          <w:b/>
          <w:bCs/>
          <w:sz w:val="28"/>
          <w:szCs w:val="28"/>
        </w:rPr>
        <w:instrText xml:space="preserve"> PAGEREF _Toc17902426 \h </w:instrText>
      </w:r>
      <w:r>
        <w:rPr>
          <w:rFonts w:ascii="宋体" w:hAnsi="宋体"/>
          <w:b/>
          <w:bCs/>
          <w:sz w:val="28"/>
          <w:szCs w:val="28"/>
        </w:rPr>
        <w:fldChar w:fldCharType="separate"/>
      </w:r>
      <w:r>
        <w:rPr>
          <w:rFonts w:ascii="宋体" w:hAnsi="宋体"/>
          <w:b/>
          <w:bCs/>
          <w:sz w:val="28"/>
          <w:szCs w:val="28"/>
        </w:rPr>
        <w:t>42</w:t>
      </w:r>
      <w:r>
        <w:rPr>
          <w:rFonts w:ascii="宋体" w:hAnsi="宋体"/>
          <w:b/>
          <w:bCs/>
          <w:sz w:val="28"/>
          <w:szCs w:val="28"/>
        </w:rPr>
        <w:fldChar w:fldCharType="end"/>
      </w:r>
      <w:r>
        <w:rPr>
          <w:rFonts w:ascii="宋体" w:hAnsi="宋体"/>
          <w:b/>
          <w:bCs/>
          <w:sz w:val="28"/>
          <w:szCs w:val="28"/>
        </w:rPr>
        <w:fldChar w:fldCharType="end"/>
      </w:r>
    </w:p>
    <w:p>
      <w:pPr>
        <w:spacing w:line="360" w:lineRule="auto"/>
        <w:jc w:val="center"/>
        <w:outlineLvl w:val="0"/>
        <w:rPr>
          <w:rFonts w:ascii="宋体" w:hAnsi="宋体"/>
          <w:b/>
          <w:sz w:val="36"/>
        </w:rPr>
        <w:sectPr>
          <w:headerReference r:id="rId4" w:type="first"/>
          <w:headerReference r:id="rId3" w:type="default"/>
          <w:footerReference r:id="rId5" w:type="default"/>
          <w:footerReference r:id="rId6" w:type="even"/>
          <w:pgSz w:w="11906" w:h="16838"/>
          <w:pgMar w:top="1134" w:right="1134" w:bottom="1134" w:left="1134" w:header="851" w:footer="992" w:gutter="0"/>
          <w:pgNumType w:fmt="decimal" w:start="1"/>
          <w:cols w:space="720" w:num="1"/>
          <w:docGrid w:type="lines" w:linePitch="333" w:charSpace="0"/>
        </w:sectPr>
      </w:pPr>
      <w:r>
        <w:rPr>
          <w:rFonts w:hint="eastAsia" w:ascii="宋体" w:hAnsi="宋体"/>
          <w:b/>
          <w:sz w:val="28"/>
          <w:szCs w:val="28"/>
        </w:rPr>
        <w:fldChar w:fldCharType="end"/>
      </w:r>
    </w:p>
    <w:p>
      <w:pPr>
        <w:spacing w:line="440" w:lineRule="exact"/>
        <w:jc w:val="center"/>
        <w:outlineLvl w:val="0"/>
        <w:rPr>
          <w:rFonts w:ascii="宋体" w:hAnsi="宋体"/>
          <w:b/>
          <w:sz w:val="36"/>
        </w:rPr>
      </w:pPr>
      <w:bookmarkStart w:id="2" w:name="_Toc17902410"/>
      <w:r>
        <w:rPr>
          <w:rFonts w:hint="eastAsia" w:ascii="宋体" w:hAnsi="宋体"/>
          <w:b/>
          <w:sz w:val="36"/>
        </w:rPr>
        <w:t>第一部分    投标须知</w:t>
      </w:r>
      <w:bookmarkEnd w:id="2"/>
    </w:p>
    <w:p>
      <w:pPr>
        <w:spacing w:line="440" w:lineRule="exact"/>
        <w:jc w:val="center"/>
        <w:rPr>
          <w:rFonts w:ascii="宋体" w:hAnsi="宋体"/>
          <w:b/>
          <w:sz w:val="36"/>
        </w:rPr>
      </w:pPr>
    </w:p>
    <w:tbl>
      <w:tblPr>
        <w:tblStyle w:val="38"/>
        <w:tblW w:w="100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0"/>
        <w:gridCol w:w="2259"/>
        <w:gridCol w:w="6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880" w:type="dxa"/>
            <w:vAlign w:val="center"/>
          </w:tcPr>
          <w:p>
            <w:pPr>
              <w:overflowPunct w:val="0"/>
              <w:spacing w:line="440" w:lineRule="exact"/>
              <w:jc w:val="center"/>
              <w:rPr>
                <w:rFonts w:ascii="宋体" w:hAnsi="宋体"/>
                <w:szCs w:val="21"/>
              </w:rPr>
            </w:pPr>
            <w:r>
              <w:rPr>
                <w:rFonts w:hint="eastAsia" w:ascii="宋体" w:hAnsi="宋体"/>
                <w:szCs w:val="21"/>
              </w:rPr>
              <w:t>序号</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名称</w:t>
            </w:r>
          </w:p>
        </w:tc>
        <w:tc>
          <w:tcPr>
            <w:tcW w:w="6892" w:type="dxa"/>
            <w:vAlign w:val="center"/>
          </w:tcPr>
          <w:p>
            <w:pPr>
              <w:overflowPunct w:val="0"/>
              <w:spacing w:line="440" w:lineRule="exact"/>
              <w:jc w:val="center"/>
              <w:rPr>
                <w:rFonts w:ascii="宋体" w:hAnsi="宋体"/>
                <w:szCs w:val="21"/>
              </w:rPr>
            </w:pPr>
            <w:r>
              <w:rPr>
                <w:rFonts w:hint="eastAsia" w:ascii="宋体" w:hAnsi="宋体"/>
                <w:szCs w:val="21"/>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80" w:type="dxa"/>
            <w:vAlign w:val="center"/>
          </w:tcPr>
          <w:p>
            <w:pPr>
              <w:overflowPunct w:val="0"/>
              <w:spacing w:line="440" w:lineRule="exact"/>
              <w:jc w:val="center"/>
              <w:rPr>
                <w:rFonts w:ascii="宋体" w:hAnsi="宋体"/>
                <w:szCs w:val="21"/>
              </w:rPr>
            </w:pPr>
            <w:r>
              <w:rPr>
                <w:rFonts w:hint="eastAsia" w:ascii="宋体" w:hAnsi="宋体"/>
                <w:szCs w:val="21"/>
              </w:rPr>
              <w:t>1</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项目编号</w:t>
            </w:r>
          </w:p>
        </w:tc>
        <w:tc>
          <w:tcPr>
            <w:tcW w:w="6892" w:type="dxa"/>
            <w:vAlign w:val="center"/>
          </w:tcPr>
          <w:p>
            <w:pPr>
              <w:spacing w:line="440" w:lineRule="exact"/>
              <w:rPr>
                <w:rFonts w:hint="eastAsia" w:ascii="宋体" w:hAnsi="宋体" w:eastAsia="宋体"/>
                <w:szCs w:val="21"/>
                <w:lang w:eastAsia="zh-CN"/>
              </w:rPr>
            </w:pPr>
            <w:r>
              <w:rPr>
                <w:rFonts w:hint="eastAsia" w:ascii="宋体" w:hAnsi="宋体"/>
                <w:szCs w:val="21"/>
                <w:lang w:eastAsia="zh-CN"/>
              </w:rPr>
              <w:t>AMJ-KSDX-DYLY[2022]025号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880" w:type="dxa"/>
            <w:vAlign w:val="center"/>
          </w:tcPr>
          <w:p>
            <w:pPr>
              <w:overflowPunct w:val="0"/>
              <w:spacing w:line="440" w:lineRule="exact"/>
              <w:jc w:val="center"/>
              <w:rPr>
                <w:rFonts w:ascii="宋体" w:hAnsi="宋体"/>
                <w:szCs w:val="21"/>
              </w:rPr>
            </w:pPr>
            <w:r>
              <w:rPr>
                <w:rFonts w:hint="eastAsia" w:ascii="宋体" w:hAnsi="宋体"/>
                <w:szCs w:val="21"/>
              </w:rPr>
              <w:t>2</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项目名</w:t>
            </w:r>
            <w:permStart w:id="0" w:edGrp="everyone"/>
            <w:permEnd w:id="0"/>
            <w:r>
              <w:rPr>
                <w:rFonts w:hint="eastAsia" w:ascii="宋体" w:hAnsi="宋体"/>
                <w:szCs w:val="21"/>
              </w:rPr>
              <w:t>称</w:t>
            </w:r>
          </w:p>
        </w:tc>
        <w:tc>
          <w:tcPr>
            <w:tcW w:w="6892" w:type="dxa"/>
            <w:vAlign w:val="center"/>
          </w:tcPr>
          <w:p>
            <w:pPr>
              <w:spacing w:line="440" w:lineRule="exact"/>
              <w:rPr>
                <w:rFonts w:hint="eastAsia" w:ascii="宋体" w:hAnsi="宋体" w:eastAsia="宋体" w:cs="宋体"/>
                <w:kern w:val="0"/>
                <w:szCs w:val="21"/>
                <w:lang w:eastAsia="zh-CN"/>
              </w:rPr>
            </w:pPr>
            <w:r>
              <w:rPr>
                <w:rFonts w:hint="eastAsia" w:ascii="宋体" w:hAnsi="宋体" w:cs="宋体"/>
                <w:kern w:val="0"/>
                <w:szCs w:val="21"/>
                <w:lang w:eastAsia="zh-CN"/>
              </w:rPr>
              <w:t>喀什大学图书馆数据库采购项目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0" w:hRule="atLeast"/>
          <w:jc w:val="center"/>
        </w:trPr>
        <w:tc>
          <w:tcPr>
            <w:tcW w:w="880" w:type="dxa"/>
            <w:vAlign w:val="center"/>
          </w:tcPr>
          <w:p>
            <w:pPr>
              <w:overflowPunct w:val="0"/>
              <w:spacing w:line="440" w:lineRule="exact"/>
              <w:jc w:val="center"/>
              <w:rPr>
                <w:rFonts w:ascii="宋体" w:hAnsi="宋体"/>
                <w:szCs w:val="21"/>
              </w:rPr>
            </w:pPr>
            <w:r>
              <w:rPr>
                <w:rFonts w:hint="eastAsia" w:ascii="宋体" w:hAnsi="宋体"/>
                <w:szCs w:val="21"/>
              </w:rPr>
              <w:t>3</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招标代理机构</w:t>
            </w:r>
          </w:p>
        </w:tc>
        <w:tc>
          <w:tcPr>
            <w:tcW w:w="6892" w:type="dxa"/>
            <w:vAlign w:val="center"/>
          </w:tcPr>
          <w:p>
            <w:pPr>
              <w:overflowPunct w:val="0"/>
              <w:spacing w:line="440" w:lineRule="exact"/>
              <w:rPr>
                <w:rFonts w:hint="eastAsia" w:ascii="宋体" w:hAnsi="宋体" w:eastAsia="宋体"/>
                <w:szCs w:val="21"/>
                <w:lang w:eastAsia="zh-CN"/>
              </w:rPr>
            </w:pPr>
            <w:r>
              <w:rPr>
                <w:rFonts w:hint="eastAsia" w:ascii="宋体" w:hAnsi="宋体"/>
                <w:szCs w:val="21"/>
              </w:rPr>
              <w:t>采购单位：</w:t>
            </w:r>
            <w:r>
              <w:rPr>
                <w:rFonts w:hint="eastAsia" w:ascii="宋体" w:hAnsi="宋体"/>
                <w:szCs w:val="21"/>
                <w:lang w:eastAsia="zh-CN"/>
              </w:rPr>
              <w:t xml:space="preserve">喀什大学 </w:t>
            </w:r>
          </w:p>
          <w:p>
            <w:pPr>
              <w:overflowPunct w:val="0"/>
              <w:spacing w:line="440" w:lineRule="exact"/>
              <w:rPr>
                <w:rFonts w:hint="eastAsia" w:ascii="宋体" w:hAnsi="宋体" w:eastAsia="宋体"/>
                <w:szCs w:val="21"/>
                <w:lang w:eastAsia="zh-CN"/>
              </w:rPr>
            </w:pPr>
            <w:r>
              <w:rPr>
                <w:rFonts w:hint="eastAsia" w:ascii="宋体" w:hAnsi="宋体"/>
                <w:szCs w:val="21"/>
              </w:rPr>
              <w:t>采购单位地址</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喀什市学院路29号喀什师范学院 </w:t>
            </w:r>
          </w:p>
          <w:p>
            <w:pPr>
              <w:overflowPunct w:val="0"/>
              <w:spacing w:line="440" w:lineRule="exact"/>
              <w:rPr>
                <w:rFonts w:hint="default" w:ascii="宋体" w:hAnsi="宋体" w:eastAsia="宋体"/>
                <w:color w:val="FF0000"/>
                <w:szCs w:val="21"/>
                <w:lang w:val="en-US" w:eastAsia="zh-CN"/>
              </w:rPr>
            </w:pPr>
            <w:r>
              <w:rPr>
                <w:rFonts w:hint="eastAsia" w:ascii="宋体" w:hAnsi="宋体"/>
                <w:szCs w:val="21"/>
              </w:rPr>
              <w:t>联系人：</w:t>
            </w:r>
            <w:r>
              <w:rPr>
                <w:rFonts w:hint="eastAsia" w:ascii="宋体" w:hAnsi="宋体"/>
                <w:szCs w:val="21"/>
                <w:lang w:eastAsia="zh-CN"/>
              </w:rPr>
              <w:t>谭勇</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联系电话：</w:t>
            </w:r>
            <w:r>
              <w:rPr>
                <w:rFonts w:hint="eastAsia"/>
                <w:color w:val="000000" w:themeColor="text1"/>
                <w:highlight w:val="none"/>
                <w:lang w:val="en-US" w:eastAsia="zh-CN"/>
              </w:rPr>
              <w:t>13565655958</w:t>
            </w:r>
          </w:p>
          <w:p>
            <w:pPr>
              <w:overflowPunct w:val="0"/>
              <w:spacing w:line="440" w:lineRule="exact"/>
              <w:rPr>
                <w:rFonts w:hint="eastAsia" w:ascii="宋体" w:hAnsi="宋体" w:eastAsia="宋体"/>
                <w:szCs w:val="21"/>
                <w:lang w:eastAsia="zh-CN"/>
              </w:rPr>
            </w:pPr>
            <w:r>
              <w:rPr>
                <w:rFonts w:hint="eastAsia" w:ascii="宋体" w:hAnsi="宋体"/>
                <w:szCs w:val="21"/>
              </w:rPr>
              <w:t>招标代理机构：</w:t>
            </w:r>
            <w:r>
              <w:rPr>
                <w:rFonts w:hint="eastAsia" w:ascii="宋体" w:hAnsi="宋体"/>
                <w:szCs w:val="21"/>
                <w:lang w:eastAsia="zh-CN"/>
              </w:rPr>
              <w:t>新疆爱满疆工程咨询有限公司</w:t>
            </w:r>
          </w:p>
          <w:p>
            <w:pPr>
              <w:overflowPunct w:val="0"/>
              <w:spacing w:line="440" w:lineRule="exact"/>
              <w:rPr>
                <w:rFonts w:hint="eastAsia" w:ascii="宋体" w:hAnsi="宋体" w:eastAsia="宋体"/>
                <w:szCs w:val="21"/>
                <w:lang w:eastAsia="zh-CN"/>
              </w:rPr>
            </w:pPr>
            <w:r>
              <w:rPr>
                <w:rFonts w:hint="eastAsia" w:ascii="宋体" w:hAnsi="宋体"/>
                <w:szCs w:val="21"/>
              </w:rPr>
              <w:t>招标公司地址：</w:t>
            </w:r>
            <w:r>
              <w:rPr>
                <w:rFonts w:hint="eastAsia" w:ascii="宋体" w:hAnsi="宋体"/>
                <w:szCs w:val="21"/>
                <w:lang w:eastAsia="zh-CN"/>
              </w:rPr>
              <w:t xml:space="preserve">喀什市滨河南路003号亚朵大酒店后院内招商中心 </w:t>
            </w:r>
          </w:p>
          <w:p>
            <w:pPr>
              <w:overflowPunct w:val="0"/>
              <w:spacing w:line="440" w:lineRule="exact"/>
              <w:rPr>
                <w:rFonts w:hint="eastAsia" w:ascii="宋体" w:hAnsi="宋体" w:eastAsia="宋体"/>
                <w:szCs w:val="21"/>
                <w:lang w:eastAsia="zh-CN"/>
              </w:rPr>
            </w:pPr>
            <w:r>
              <w:rPr>
                <w:rFonts w:hint="eastAsia" w:ascii="宋体" w:hAnsi="宋体"/>
                <w:szCs w:val="21"/>
              </w:rPr>
              <w:t>项目联系人：</w:t>
            </w:r>
            <w:r>
              <w:rPr>
                <w:rFonts w:hint="eastAsia" w:ascii="宋体" w:hAnsi="宋体"/>
                <w:szCs w:val="21"/>
                <w:lang w:eastAsia="zh-CN"/>
              </w:rPr>
              <w:t>马玉蓉</w:t>
            </w:r>
          </w:p>
          <w:p>
            <w:pPr>
              <w:overflowPunct w:val="0"/>
              <w:spacing w:line="440" w:lineRule="exact"/>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17590356999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80" w:type="dxa"/>
            <w:vAlign w:val="center"/>
          </w:tcPr>
          <w:p>
            <w:pPr>
              <w:overflowPunct w:val="0"/>
              <w:spacing w:line="440" w:lineRule="exact"/>
              <w:jc w:val="center"/>
              <w:rPr>
                <w:rFonts w:ascii="宋体" w:hAnsi="宋体"/>
                <w:szCs w:val="21"/>
              </w:rPr>
            </w:pPr>
            <w:r>
              <w:rPr>
                <w:rFonts w:hint="eastAsia" w:ascii="宋体" w:hAnsi="宋体"/>
                <w:szCs w:val="21"/>
              </w:rPr>
              <w:t>4</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招标内容</w:t>
            </w:r>
          </w:p>
          <w:p>
            <w:pPr>
              <w:overflowPunct w:val="0"/>
              <w:spacing w:line="440" w:lineRule="exact"/>
              <w:jc w:val="center"/>
              <w:rPr>
                <w:rFonts w:ascii="宋体" w:hAnsi="宋体"/>
                <w:szCs w:val="21"/>
              </w:rPr>
            </w:pPr>
            <w:r>
              <w:rPr>
                <w:rFonts w:hint="eastAsia" w:ascii="宋体" w:hAnsi="宋体"/>
                <w:szCs w:val="21"/>
              </w:rPr>
              <w:t>（预算金额）</w:t>
            </w:r>
          </w:p>
        </w:tc>
        <w:tc>
          <w:tcPr>
            <w:tcW w:w="6892" w:type="dxa"/>
            <w:vAlign w:val="center"/>
          </w:tcPr>
          <w:p>
            <w:pPr>
              <w:overflowPunct w:val="0"/>
              <w:spacing w:line="440" w:lineRule="exact"/>
              <w:rPr>
                <w:rFonts w:hint="eastAsia" w:ascii="宋体" w:hAnsi="宋体"/>
                <w:szCs w:val="21"/>
                <w:lang w:val="en-US" w:eastAsia="zh-CN"/>
              </w:rPr>
            </w:pPr>
            <w:r>
              <w:rPr>
                <w:rFonts w:hint="eastAsia" w:ascii="宋体" w:hAnsi="宋体"/>
                <w:szCs w:val="21"/>
                <w:lang w:val="en-US" w:eastAsia="zh-CN"/>
              </w:rPr>
              <w:t>招标内容：标项一：CNKI（知网）；标项二：读秀学术搜索；标项三：维普考试资源系统；标项四：起点考研网；标项五：中华历史文献数据库</w:t>
            </w:r>
          </w:p>
          <w:p>
            <w:pPr>
              <w:overflowPunct w:val="0"/>
              <w:spacing w:line="440" w:lineRule="exact"/>
              <w:rPr>
                <w:rFonts w:ascii="宋体" w:hAnsi="宋体"/>
                <w:szCs w:val="21"/>
              </w:rPr>
            </w:pPr>
            <w:r>
              <w:rPr>
                <w:rFonts w:hint="eastAsia" w:ascii="宋体" w:hAnsi="宋体"/>
                <w:szCs w:val="21"/>
                <w:lang w:val="en-US" w:eastAsia="zh-CN"/>
              </w:rPr>
              <w:t>；标项六：万方中国学术期刊、学位论文全文数据库；标项七：worldlib人工智能在线咨询平台；标项八：维普经纶知识资源系统；标项九：中国知网研学平台；标项十：可知电子书；标项十一：汇云书舍电子图书数据库(京东读书专业版）。预算金额：标项一：</w:t>
            </w:r>
            <w:r>
              <w:rPr>
                <w:rFonts w:hint="eastAsia" w:ascii="宋体" w:hAnsi="宋体"/>
                <w:szCs w:val="21"/>
                <w:highlight w:val="none"/>
                <w:lang w:val="en-US" w:eastAsia="zh-CN"/>
              </w:rPr>
              <w:t>410000</w:t>
            </w:r>
            <w:r>
              <w:rPr>
                <w:rFonts w:hint="eastAsia" w:ascii="宋体" w:hAnsi="宋体"/>
                <w:szCs w:val="21"/>
                <w:lang w:val="en-US" w:eastAsia="zh-CN"/>
              </w:rPr>
              <w:t>元；标项二：</w:t>
            </w:r>
            <w:r>
              <w:rPr>
                <w:rFonts w:hint="eastAsia" w:ascii="宋体" w:hAnsi="宋体"/>
                <w:color w:val="auto"/>
                <w:szCs w:val="21"/>
                <w:lang w:val="en-US" w:eastAsia="zh-CN"/>
              </w:rPr>
              <w:t>12000</w:t>
            </w:r>
            <w:r>
              <w:rPr>
                <w:rFonts w:hint="eastAsia" w:ascii="宋体" w:hAnsi="宋体"/>
                <w:szCs w:val="21"/>
                <w:lang w:val="en-US" w:eastAsia="zh-CN"/>
              </w:rPr>
              <w:t>0元；标项三：71000元；标项四：59000元；标项五：31000元；标项六：</w:t>
            </w:r>
            <w:r>
              <w:rPr>
                <w:rFonts w:hint="eastAsia" w:ascii="宋体" w:hAnsi="宋体"/>
                <w:szCs w:val="21"/>
                <w:highlight w:val="none"/>
                <w:lang w:val="en-US" w:eastAsia="zh-CN"/>
              </w:rPr>
              <w:t>201000元；标项七：166000元；标项八：151000元；标项九：151000元；标项十：60000元；标项十一：80000元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880" w:type="dxa"/>
            <w:tcBorders>
              <w:bottom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5</w:t>
            </w:r>
          </w:p>
        </w:tc>
        <w:tc>
          <w:tcPr>
            <w:tcW w:w="2259" w:type="dxa"/>
            <w:tcBorders>
              <w:bottom w:val="single" w:color="auto" w:sz="4" w:space="0"/>
              <w:right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投标资格</w:t>
            </w:r>
          </w:p>
        </w:tc>
        <w:tc>
          <w:tcPr>
            <w:tcW w:w="6892" w:type="dxa"/>
            <w:tcBorders>
              <w:left w:val="single" w:color="auto" w:sz="4" w:space="0"/>
              <w:bottom w:val="single" w:color="auto" w:sz="4" w:space="0"/>
            </w:tcBorders>
            <w:vAlign w:val="center"/>
          </w:tcPr>
          <w:p>
            <w:pPr>
              <w:numPr>
                <w:ilvl w:val="0"/>
                <w:numId w:val="8"/>
              </w:numPr>
              <w:spacing w:line="400" w:lineRule="exact"/>
              <w:rPr>
                <w:rFonts w:hint="eastAsia" w:eastAsia="宋体"/>
                <w:lang w:eastAsia="zh-CN"/>
              </w:rPr>
            </w:pPr>
            <w:r>
              <w:rPr>
                <w:rFonts w:hint="eastAsia"/>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r>
              <w:rPr>
                <w:rFonts w:hint="eastAsia"/>
              </w:rPr>
              <w:t>；</w:t>
            </w:r>
          </w:p>
          <w:p>
            <w:pPr>
              <w:spacing w:line="400" w:lineRule="exact"/>
              <w:rPr>
                <w:rFonts w:hint="eastAsia"/>
                <w:lang w:eastAsia="zh-CN"/>
              </w:rPr>
            </w:pPr>
            <w:r>
              <w:rPr>
                <w:rFonts w:hint="eastAsia"/>
              </w:rPr>
              <w:t>（</w:t>
            </w:r>
            <w:r>
              <w:rPr>
                <w:rFonts w:hint="eastAsia"/>
                <w:lang w:val="en-US" w:eastAsia="zh-CN"/>
              </w:rPr>
              <w:t>2</w:t>
            </w:r>
            <w:r>
              <w:rPr>
                <w:rFonts w:hint="eastAsia"/>
              </w:rPr>
              <w:t>）</w:t>
            </w:r>
            <w:r>
              <w:rPr>
                <w:rFonts w:hint="eastAsia"/>
                <w:lang w:eastAsia="zh-CN"/>
              </w:rPr>
              <w:t>具有营业执照正本或副本；</w:t>
            </w:r>
          </w:p>
          <w:p>
            <w:pPr>
              <w:spacing w:line="480" w:lineRule="exact"/>
            </w:pPr>
            <w:r>
              <w:rPr>
                <w:rFonts w:hint="eastAsia"/>
              </w:rPr>
              <w:t>（</w:t>
            </w:r>
            <w:r>
              <w:rPr>
                <w:rFonts w:hint="eastAsia"/>
                <w:lang w:val="en-US" w:eastAsia="zh-CN"/>
              </w:rPr>
              <w:t>3</w:t>
            </w:r>
            <w:r>
              <w:rPr>
                <w:rFonts w:hint="eastAsia"/>
              </w:rPr>
              <w:t>）法人投标需提供法人身份证明</w:t>
            </w:r>
            <w:r>
              <w:rPr>
                <w:rFonts w:hint="eastAsia"/>
                <w:lang w:val="en-US" w:eastAsia="zh-CN"/>
              </w:rPr>
              <w:t>及身份证</w:t>
            </w:r>
            <w:r>
              <w:rPr>
                <w:rFonts w:hint="eastAsia"/>
              </w:rPr>
              <w:t>，授权委托人需提供法人授权委托书及身份证；</w:t>
            </w:r>
          </w:p>
          <w:p>
            <w:pPr>
              <w:spacing w:line="400" w:lineRule="exact"/>
              <w:rPr>
                <w:rFonts w:hint="eastAsia" w:eastAsia="宋体"/>
                <w:lang w:eastAsia="zh-CN"/>
              </w:rPr>
            </w:pPr>
            <w:r>
              <w:rPr>
                <w:rFonts w:hint="eastAsia"/>
              </w:rPr>
              <w:t>（</w:t>
            </w:r>
            <w:r>
              <w:rPr>
                <w:rFonts w:hint="eastAsia"/>
                <w:lang w:val="en-US" w:eastAsia="zh-CN"/>
              </w:rPr>
              <w:t>4</w:t>
            </w:r>
            <w:r>
              <w:rPr>
                <w:rFonts w:hint="eastAsia"/>
              </w:rPr>
              <w:t>）投标单位提供本单位依法缴纳近三个月</w:t>
            </w:r>
            <w:r>
              <w:rPr>
                <w:rFonts w:hint="eastAsia"/>
                <w:lang w:eastAsia="zh-CN"/>
              </w:rPr>
              <w:t>内任意一个月</w:t>
            </w:r>
            <w:r>
              <w:rPr>
                <w:rFonts w:hint="eastAsia"/>
              </w:rPr>
              <w:t>的社保证明</w:t>
            </w:r>
            <w:r>
              <w:rPr>
                <w:rFonts w:hint="eastAsia"/>
                <w:lang w:eastAsia="zh-CN"/>
              </w:rPr>
              <w:t>；</w:t>
            </w:r>
          </w:p>
          <w:p>
            <w:pPr>
              <w:spacing w:line="400" w:lineRule="exact"/>
            </w:pPr>
            <w:r>
              <w:rPr>
                <w:rFonts w:hint="eastAsia"/>
                <w:lang w:val="en-US" w:eastAsia="zh-CN"/>
              </w:rPr>
              <w:t>（5）提供税务部门出具的近六个月内任意一个月的完税证明</w:t>
            </w:r>
            <w:r>
              <w:rPr>
                <w:rFonts w:hint="eastAsia"/>
              </w:rPr>
              <w:t>；</w:t>
            </w:r>
          </w:p>
          <w:p>
            <w:pPr>
              <w:spacing w:line="400" w:lineRule="exact"/>
              <w:rPr>
                <w:rFonts w:hint="eastAsia"/>
                <w:lang w:eastAsia="zh-CN"/>
              </w:rPr>
            </w:pPr>
            <w:r>
              <w:rPr>
                <w:rFonts w:hint="eastAsia"/>
              </w:rPr>
              <w:t>（</w:t>
            </w:r>
            <w:r>
              <w:rPr>
                <w:rFonts w:hint="eastAsia"/>
                <w:lang w:val="en-US" w:eastAsia="zh-CN"/>
              </w:rPr>
              <w:t>6</w:t>
            </w:r>
            <w:r>
              <w:rPr>
                <w:rFonts w:hint="eastAsia"/>
              </w:rPr>
              <w:t>）提供202</w:t>
            </w:r>
            <w:r>
              <w:rPr>
                <w:rFonts w:hint="eastAsia"/>
                <w:lang w:val="en-US" w:eastAsia="zh-CN"/>
              </w:rPr>
              <w:t>1</w:t>
            </w:r>
            <w:r>
              <w:rPr>
                <w:rFonts w:hint="eastAsia"/>
              </w:rPr>
              <w:t>年的财务审计报告（新成立公司需提供银行资信证明）</w:t>
            </w:r>
            <w:r>
              <w:rPr>
                <w:rFonts w:hint="eastAsia"/>
                <w:lang w:eastAsia="zh-CN"/>
              </w:rPr>
              <w:t>；</w:t>
            </w:r>
          </w:p>
          <w:p>
            <w:pPr>
              <w:pStyle w:val="3"/>
              <w:ind w:left="0" w:leftChars="0" w:firstLine="0" w:firstLineChars="0"/>
              <w:rPr>
                <w:rFonts w:hint="eastAsia"/>
                <w:lang w:eastAsia="zh-CN"/>
              </w:rPr>
            </w:pPr>
            <w:r>
              <w:rPr>
                <w:rFonts w:hint="eastAsia"/>
                <w:lang w:eastAsia="zh-CN"/>
              </w:rPr>
              <w:t>（</w:t>
            </w:r>
            <w:r>
              <w:rPr>
                <w:rFonts w:hint="eastAsia"/>
                <w:lang w:val="en-US" w:eastAsia="zh-CN"/>
              </w:rPr>
              <w:t>7</w:t>
            </w:r>
            <w:r>
              <w:rPr>
                <w:rFonts w:hint="eastAsia"/>
                <w:lang w:eastAsia="zh-CN"/>
              </w:rPr>
              <w:t>）提供参加政府采购活动前3年内在经营活动中没有重大违法记录的书面声明；</w:t>
            </w:r>
          </w:p>
          <w:p>
            <w:pPr>
              <w:spacing w:line="400" w:lineRule="exact"/>
              <w:rPr>
                <w:rFonts w:hint="eastAsia"/>
                <w:lang w:eastAsia="zh-CN"/>
              </w:rPr>
            </w:pPr>
            <w:r>
              <w:rPr>
                <w:rFonts w:hint="eastAsia"/>
              </w:rPr>
              <w:t>（</w:t>
            </w:r>
            <w:r>
              <w:rPr>
                <w:rFonts w:hint="eastAsia"/>
                <w:lang w:val="en-US" w:eastAsia="zh-CN"/>
              </w:rPr>
              <w:t>8</w:t>
            </w:r>
            <w:r>
              <w:rPr>
                <w:rFonts w:hint="eastAsia"/>
              </w:rPr>
              <w:t>）提供针对本次项目的反商业贿赂承诺书</w:t>
            </w:r>
            <w:r>
              <w:rPr>
                <w:rFonts w:hint="eastAsia"/>
                <w:lang w:eastAsia="zh-CN"/>
              </w:rPr>
              <w:t>；</w:t>
            </w:r>
          </w:p>
          <w:p>
            <w:pPr>
              <w:pStyle w:val="3"/>
              <w:ind w:left="0" w:leftChars="0" w:firstLine="0" w:firstLineChars="0"/>
              <w:rPr>
                <w:rFonts w:hint="eastAsia"/>
                <w:lang w:eastAsia="zh-CN"/>
              </w:rPr>
            </w:pPr>
            <w:r>
              <w:rPr>
                <w:rFonts w:hint="eastAsia"/>
                <w:lang w:eastAsia="zh-CN"/>
              </w:rPr>
              <w:t>（</w:t>
            </w:r>
            <w:r>
              <w:rPr>
                <w:rFonts w:hint="eastAsia"/>
                <w:lang w:val="en-US" w:eastAsia="zh-CN"/>
              </w:rPr>
              <w:t>9）提供缴纳投标保证金的有效凭证。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80" w:type="dxa"/>
            <w:tcBorders>
              <w:top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6</w:t>
            </w:r>
          </w:p>
        </w:tc>
        <w:tc>
          <w:tcPr>
            <w:tcW w:w="2259" w:type="dxa"/>
            <w:tcBorders>
              <w:top w:val="single" w:color="auto" w:sz="4" w:space="0"/>
            </w:tcBorders>
            <w:vAlign w:val="center"/>
          </w:tcPr>
          <w:p>
            <w:pPr>
              <w:pStyle w:val="92"/>
              <w:ind w:left="38"/>
              <w:jc w:val="center"/>
              <w:rPr>
                <w:rFonts w:cs="Times New Roman"/>
                <w:kern w:val="2"/>
                <w:sz w:val="21"/>
                <w:szCs w:val="21"/>
              </w:rPr>
            </w:pPr>
            <w:r>
              <w:rPr>
                <w:rFonts w:hint="eastAsia" w:cs="Times New Roman"/>
                <w:kern w:val="2"/>
                <w:sz w:val="21"/>
                <w:szCs w:val="21"/>
              </w:rPr>
              <w:t>信用情况</w:t>
            </w:r>
          </w:p>
        </w:tc>
        <w:tc>
          <w:tcPr>
            <w:tcW w:w="6892" w:type="dxa"/>
            <w:tcBorders>
              <w:top w:val="single" w:color="auto" w:sz="4" w:space="0"/>
            </w:tcBorders>
            <w:vAlign w:val="center"/>
          </w:tcPr>
          <w:p>
            <w:pPr>
              <w:widowControl/>
              <w:spacing w:line="276" w:lineRule="auto"/>
              <w:jc w:val="left"/>
              <w:rPr>
                <w:rFonts w:ascii="宋体" w:hAnsi="宋体"/>
                <w:szCs w:val="21"/>
              </w:rPr>
            </w:pPr>
            <w:r>
              <w:rPr>
                <w:rFonts w:hint="eastAsia" w:ascii="宋体" w:hAnsi="宋体"/>
                <w:szCs w:val="21"/>
              </w:rPr>
              <w:t>1、信用记录查询时间及方式：</w:t>
            </w:r>
          </w:p>
          <w:p>
            <w:pPr>
              <w:widowControl/>
              <w:spacing w:line="276" w:lineRule="auto"/>
              <w:jc w:val="left"/>
              <w:rPr>
                <w:rFonts w:ascii="宋体" w:hAnsi="宋体"/>
                <w:szCs w:val="21"/>
              </w:rPr>
            </w:pPr>
            <w:r>
              <w:rPr>
                <w:rFonts w:hint="eastAsia" w:ascii="宋体" w:hAnsi="宋体"/>
                <w:szCs w:val="21"/>
              </w:rPr>
              <w:t>（1）查询时间：自招标公告发布日期起至开标日期止，超出此时间范围将被视为无效投标。</w:t>
            </w:r>
          </w:p>
          <w:p>
            <w:pPr>
              <w:widowControl/>
              <w:spacing w:line="276" w:lineRule="auto"/>
              <w:jc w:val="left"/>
              <w:rPr>
                <w:rFonts w:ascii="宋体" w:hAnsi="宋体"/>
                <w:szCs w:val="21"/>
              </w:rPr>
            </w:pPr>
            <w:r>
              <w:rPr>
                <w:rFonts w:hint="eastAsia" w:ascii="宋体" w:hAnsi="宋体"/>
                <w:szCs w:val="21"/>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pPr>
              <w:widowControl/>
              <w:spacing w:line="276" w:lineRule="auto"/>
              <w:jc w:val="left"/>
              <w:rPr>
                <w:rFonts w:ascii="宋体" w:hAnsi="宋体"/>
                <w:szCs w:val="21"/>
              </w:rPr>
            </w:pPr>
            <w:r>
              <w:rPr>
                <w:rFonts w:hint="eastAsia" w:ascii="宋体" w:hAnsi="宋体"/>
                <w:szCs w:val="21"/>
              </w:rPr>
              <w:t>（3）供应商参加政府采购活动时，应当就自己的诚信情况在响应性文件中进行承诺。</w:t>
            </w:r>
          </w:p>
          <w:p>
            <w:pPr>
              <w:widowControl/>
              <w:spacing w:line="276" w:lineRule="auto"/>
              <w:jc w:val="center"/>
              <w:rPr>
                <w:rFonts w:ascii="宋体" w:hAnsi="宋体"/>
                <w:b/>
                <w:szCs w:val="21"/>
              </w:rPr>
            </w:pPr>
            <w:r>
              <w:rPr>
                <w:rFonts w:hint="eastAsia" w:ascii="宋体" w:hAnsi="宋体"/>
                <w:b/>
                <w:szCs w:val="21"/>
              </w:rPr>
              <w:t>本项目不接受失信企业投标。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80" w:type="dxa"/>
            <w:tcBorders>
              <w:top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7</w:t>
            </w:r>
          </w:p>
        </w:tc>
        <w:tc>
          <w:tcPr>
            <w:tcW w:w="2259" w:type="dxa"/>
            <w:tcBorders>
              <w:top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响应性有效期</w:t>
            </w:r>
          </w:p>
        </w:tc>
        <w:tc>
          <w:tcPr>
            <w:tcW w:w="6892" w:type="dxa"/>
            <w:tcBorders>
              <w:top w:val="single" w:color="auto" w:sz="4" w:space="0"/>
            </w:tcBorders>
            <w:vAlign w:val="center"/>
          </w:tcPr>
          <w:p>
            <w:pPr>
              <w:overflowPunct w:val="0"/>
              <w:spacing w:line="440" w:lineRule="exact"/>
              <w:rPr>
                <w:rFonts w:ascii="宋体" w:hAnsi="宋体"/>
                <w:szCs w:val="21"/>
              </w:rPr>
            </w:pPr>
            <w:r>
              <w:rPr>
                <w:rFonts w:hint="eastAsia" w:ascii="宋体" w:hAnsi="宋体"/>
                <w:szCs w:val="21"/>
              </w:rPr>
              <w:t>九十天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80" w:type="dxa"/>
            <w:tcBorders>
              <w:top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8</w:t>
            </w:r>
          </w:p>
        </w:tc>
        <w:tc>
          <w:tcPr>
            <w:tcW w:w="2259" w:type="dxa"/>
            <w:tcBorders>
              <w:top w:val="single" w:color="auto" w:sz="4" w:space="0"/>
            </w:tcBorders>
            <w:vAlign w:val="center"/>
          </w:tcPr>
          <w:p>
            <w:pPr>
              <w:overflowPunct w:val="0"/>
              <w:spacing w:line="440" w:lineRule="exact"/>
              <w:jc w:val="center"/>
              <w:rPr>
                <w:rFonts w:ascii="宋体" w:hAnsi="宋体"/>
                <w:szCs w:val="21"/>
              </w:rPr>
            </w:pPr>
            <w:r>
              <w:rPr>
                <w:rFonts w:hint="eastAsia" w:ascii="宋体" w:hAnsi="宋体" w:cs="宋体"/>
                <w:kern w:val="0"/>
                <w:szCs w:val="21"/>
              </w:rPr>
              <w:t>是否接受联合体投标</w:t>
            </w:r>
          </w:p>
        </w:tc>
        <w:tc>
          <w:tcPr>
            <w:tcW w:w="6892" w:type="dxa"/>
            <w:tcBorders>
              <w:top w:val="single" w:color="auto" w:sz="4" w:space="0"/>
            </w:tcBorders>
            <w:vAlign w:val="center"/>
          </w:tcPr>
          <w:p>
            <w:pPr>
              <w:overflowPunct w:val="0"/>
              <w:spacing w:line="440" w:lineRule="exact"/>
              <w:rPr>
                <w:rFonts w:ascii="宋体" w:hAnsi="宋体"/>
                <w:szCs w:val="21"/>
              </w:rPr>
            </w:pPr>
            <w:r>
              <w:rPr>
                <w:rFonts w:hint="eastAsia" w:ascii="宋体" w:hAnsi="宋体"/>
                <w:szCs w:val="21"/>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80" w:type="dxa"/>
            <w:tcBorders>
              <w:top w:val="single" w:color="auto" w:sz="4" w:space="0"/>
            </w:tcBorders>
            <w:vAlign w:val="center"/>
          </w:tcPr>
          <w:p>
            <w:pPr>
              <w:overflowPunct w:val="0"/>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9</w:t>
            </w:r>
          </w:p>
        </w:tc>
        <w:tc>
          <w:tcPr>
            <w:tcW w:w="2259" w:type="dxa"/>
            <w:tcBorders>
              <w:top w:val="single" w:color="auto" w:sz="4" w:space="0"/>
            </w:tcBorders>
            <w:vAlign w:val="center"/>
          </w:tcPr>
          <w:p>
            <w:pPr>
              <w:overflowPunct w:val="0"/>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标书售价</w:t>
            </w:r>
          </w:p>
        </w:tc>
        <w:tc>
          <w:tcPr>
            <w:tcW w:w="6892" w:type="dxa"/>
            <w:tcBorders>
              <w:top w:val="single" w:color="auto" w:sz="4" w:space="0"/>
            </w:tcBorders>
            <w:vAlign w:val="center"/>
          </w:tcPr>
          <w:p>
            <w:pPr>
              <w:overflowPunct w:val="0"/>
              <w:spacing w:line="440" w:lineRule="exact"/>
              <w:rPr>
                <w:rFonts w:hint="eastAsia" w:ascii="宋体" w:hAnsi="宋体" w:eastAsia="宋体" w:cs="Times New Roman"/>
                <w:kern w:val="2"/>
                <w:sz w:val="21"/>
                <w:szCs w:val="21"/>
                <w:lang w:val="en-US" w:eastAsia="zh-CN" w:bidi="ar-SA"/>
              </w:rPr>
            </w:pPr>
            <w:r>
              <w:rPr>
                <w:rFonts w:hint="eastAsia" w:ascii="宋体" w:hAnsi="宋体"/>
                <w:szCs w:val="21"/>
              </w:rPr>
              <w:t>人民币0元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80" w:type="dxa"/>
            <w:tcBorders>
              <w:top w:val="single" w:color="auto" w:sz="4" w:space="0"/>
            </w:tcBorders>
            <w:vAlign w:val="top"/>
          </w:tcPr>
          <w:p>
            <w:pPr>
              <w:overflowPunct w:val="0"/>
              <w:spacing w:line="440" w:lineRule="exact"/>
              <w:jc w:val="center"/>
              <w:rPr>
                <w:rFonts w:hint="eastAsia" w:ascii="宋体" w:hAnsi="宋体"/>
                <w:szCs w:val="21"/>
                <w:lang w:val="en-US" w:eastAsia="zh-CN"/>
              </w:rPr>
            </w:pPr>
          </w:p>
          <w:p>
            <w:pPr>
              <w:overflowPunct w:val="0"/>
              <w:spacing w:line="440" w:lineRule="exact"/>
              <w:jc w:val="center"/>
              <w:rPr>
                <w:rFonts w:hint="eastAsia" w:ascii="宋体" w:hAnsi="宋体"/>
                <w:szCs w:val="21"/>
                <w:lang w:val="en-US" w:eastAsia="zh-CN"/>
              </w:rPr>
            </w:pPr>
          </w:p>
          <w:p>
            <w:pPr>
              <w:overflowPunct w:val="0"/>
              <w:spacing w:line="440" w:lineRule="exact"/>
              <w:jc w:val="center"/>
              <w:rPr>
                <w:rFonts w:hint="eastAsia" w:ascii="宋体" w:hAnsi="宋体"/>
                <w:szCs w:val="21"/>
                <w:lang w:val="en-US" w:eastAsia="zh-CN"/>
              </w:rPr>
            </w:pPr>
          </w:p>
          <w:p>
            <w:pPr>
              <w:overflowPunct w:val="0"/>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2259" w:type="dxa"/>
            <w:tcBorders>
              <w:top w:val="single" w:color="auto" w:sz="4" w:space="0"/>
            </w:tcBorders>
            <w:vAlign w:val="top"/>
          </w:tcPr>
          <w:p>
            <w:pPr>
              <w:overflowPunct w:val="0"/>
              <w:spacing w:line="440" w:lineRule="exact"/>
              <w:jc w:val="center"/>
              <w:rPr>
                <w:rFonts w:hint="eastAsia" w:ascii="宋体" w:hAnsi="宋体"/>
                <w:szCs w:val="21"/>
              </w:rPr>
            </w:pPr>
          </w:p>
          <w:p>
            <w:pPr>
              <w:overflowPunct w:val="0"/>
              <w:spacing w:line="440" w:lineRule="exact"/>
              <w:jc w:val="center"/>
              <w:rPr>
                <w:rFonts w:hint="eastAsia" w:ascii="宋体" w:hAnsi="宋体"/>
                <w:szCs w:val="21"/>
              </w:rPr>
            </w:pPr>
          </w:p>
          <w:p>
            <w:pPr>
              <w:overflowPunct w:val="0"/>
              <w:spacing w:line="440" w:lineRule="exact"/>
              <w:jc w:val="center"/>
              <w:rPr>
                <w:rFonts w:hint="eastAsia" w:ascii="宋体" w:hAnsi="宋体"/>
                <w:szCs w:val="21"/>
              </w:rPr>
            </w:pPr>
          </w:p>
          <w:p>
            <w:pPr>
              <w:overflowPunct w:val="0"/>
              <w:spacing w:line="44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投标保证金</w:t>
            </w:r>
          </w:p>
        </w:tc>
        <w:tc>
          <w:tcPr>
            <w:tcW w:w="6892" w:type="dxa"/>
            <w:tcBorders>
              <w:top w:val="single" w:color="auto" w:sz="4" w:space="0"/>
            </w:tcBorders>
            <w:vAlign w:val="center"/>
          </w:tcPr>
          <w:p>
            <w:pPr>
              <w:numPr>
                <w:ilvl w:val="0"/>
                <w:numId w:val="0"/>
              </w:numPr>
              <w:overflowPunct w:val="0"/>
              <w:spacing w:line="440" w:lineRule="exact"/>
              <w:ind w:leftChars="0"/>
              <w:jc w:val="both"/>
              <w:rPr>
                <w:rFonts w:hint="eastAsia" w:ascii="宋体" w:hAnsi="宋体" w:cs="Times New Roman"/>
                <w:szCs w:val="21"/>
                <w:lang w:val="en-US" w:eastAsia="zh-CN"/>
              </w:rPr>
            </w:pPr>
            <w:r>
              <w:rPr>
                <w:rFonts w:hint="eastAsia" w:ascii="宋体" w:hAnsi="宋体" w:cs="Times New Roman"/>
                <w:szCs w:val="21"/>
                <w:lang w:val="en-US" w:eastAsia="zh-CN"/>
              </w:rPr>
              <w:t xml:space="preserve">保证金形式：□保函  ☑电汇  □支票 ☑网银 （本项目允许的其他形式） </w:t>
            </w:r>
          </w:p>
          <w:p>
            <w:pPr>
              <w:numPr>
                <w:ilvl w:val="0"/>
                <w:numId w:val="0"/>
              </w:numPr>
              <w:overflowPunct w:val="0"/>
              <w:spacing w:line="440" w:lineRule="exact"/>
              <w:ind w:leftChars="0"/>
              <w:jc w:val="both"/>
              <w:rPr>
                <w:rFonts w:hint="eastAsia" w:ascii="宋体" w:hAnsi="宋体" w:cs="Times New Roman"/>
                <w:szCs w:val="21"/>
                <w:lang w:val="en-US" w:eastAsia="zh-CN"/>
              </w:rPr>
            </w:pPr>
            <w:r>
              <w:rPr>
                <w:rFonts w:hint="eastAsia" w:ascii="宋体" w:hAnsi="宋体" w:cs="Times New Roman"/>
                <w:szCs w:val="21"/>
                <w:lang w:val="en-US" w:eastAsia="zh-CN"/>
              </w:rPr>
              <w:t>投标保证金金额：标项一：8200元；标项二：2400元；标项三：1420元；标项四：1180元；标项五：620元；标项六：4020元；标项七：3320元；标项八：3020元；标项九：3020元；标项十：1200元；标项十一：1600元</w:t>
            </w:r>
          </w:p>
          <w:p>
            <w:pPr>
              <w:numPr>
                <w:ilvl w:val="0"/>
                <w:numId w:val="0"/>
              </w:numPr>
              <w:overflowPunct w:val="0"/>
              <w:spacing w:line="440" w:lineRule="exact"/>
              <w:ind w:leftChars="0"/>
              <w:jc w:val="both"/>
              <w:rPr>
                <w:rFonts w:hint="eastAsia" w:ascii="宋体" w:hAnsi="宋体" w:cs="Times New Roman"/>
                <w:szCs w:val="21"/>
                <w:lang w:val="en-US" w:eastAsia="zh-CN"/>
              </w:rPr>
            </w:pPr>
            <w:r>
              <w:rPr>
                <w:rFonts w:hint="eastAsia" w:ascii="宋体" w:hAnsi="宋体" w:cs="Times New Roman"/>
                <w:szCs w:val="21"/>
                <w:lang w:val="en-US" w:eastAsia="zh-CN"/>
              </w:rPr>
              <w:t>保证金收款人：新疆爱满疆工程咨询有限公司</w:t>
            </w:r>
          </w:p>
          <w:p>
            <w:pPr>
              <w:numPr>
                <w:ilvl w:val="0"/>
                <w:numId w:val="0"/>
              </w:numPr>
              <w:overflowPunct w:val="0"/>
              <w:spacing w:line="440" w:lineRule="exact"/>
              <w:ind w:leftChars="0"/>
              <w:jc w:val="both"/>
              <w:rPr>
                <w:rFonts w:hint="eastAsia" w:ascii="宋体" w:hAnsi="宋体" w:cs="Times New Roman"/>
                <w:szCs w:val="21"/>
                <w:lang w:val="en-US" w:eastAsia="zh-CN"/>
              </w:rPr>
            </w:pPr>
            <w:r>
              <w:rPr>
                <w:rFonts w:hint="eastAsia" w:ascii="宋体" w:hAnsi="宋体" w:cs="Times New Roman"/>
                <w:szCs w:val="21"/>
                <w:lang w:val="en-US" w:eastAsia="zh-CN"/>
              </w:rPr>
              <w:t>开  户 银 行：新疆喀什农村商业银行股份有限公司曙光商贸城支行</w:t>
            </w:r>
          </w:p>
          <w:p>
            <w:pPr>
              <w:numPr>
                <w:ilvl w:val="0"/>
                <w:numId w:val="0"/>
              </w:numPr>
              <w:overflowPunct w:val="0"/>
              <w:spacing w:line="440" w:lineRule="exact"/>
              <w:ind w:leftChars="0"/>
              <w:jc w:val="both"/>
              <w:rPr>
                <w:rFonts w:hint="eastAsia" w:ascii="宋体" w:hAnsi="宋体" w:eastAsia="宋体" w:cs="Times New Roman"/>
                <w:szCs w:val="21"/>
                <w:lang w:val="en-US" w:eastAsia="zh-CN"/>
              </w:rPr>
            </w:pPr>
            <w:r>
              <w:rPr>
                <w:rFonts w:hint="eastAsia" w:ascii="宋体" w:hAnsi="宋体" w:cs="Times New Roman"/>
                <w:szCs w:val="21"/>
                <w:lang w:val="en-US" w:eastAsia="zh-CN"/>
              </w:rPr>
              <w:t>账        号</w:t>
            </w:r>
            <w:r>
              <w:rPr>
                <w:rFonts w:hint="eastAsia" w:ascii="宋体" w:hAnsi="宋体" w:eastAsia="宋体" w:cs="Times New Roman"/>
                <w:szCs w:val="21"/>
                <w:lang w:val="en-US" w:eastAsia="zh-CN"/>
              </w:rPr>
              <w:t>：860040312010112607605</w:t>
            </w:r>
          </w:p>
          <w:p>
            <w:pPr>
              <w:pStyle w:val="4"/>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行        号：402894000157</w:t>
            </w:r>
          </w:p>
          <w:p>
            <w:pPr>
              <w:overflowPunct w:val="0"/>
              <w:spacing w:line="440" w:lineRule="exact"/>
              <w:jc w:val="both"/>
              <w:rPr>
                <w:rFonts w:hint="eastAsia" w:ascii="宋体" w:hAnsi="宋体"/>
                <w:szCs w:val="21"/>
              </w:rPr>
            </w:pPr>
            <w:r>
              <w:rPr>
                <w:rFonts w:hint="eastAsia" w:ascii="宋体" w:hAnsi="宋体"/>
                <w:szCs w:val="21"/>
                <w:lang w:eastAsia="zh-CN"/>
              </w:rPr>
              <w:t>保证金缴纳</w:t>
            </w:r>
            <w:r>
              <w:rPr>
                <w:rFonts w:hint="eastAsia" w:ascii="宋体" w:hAnsi="宋体"/>
                <w:szCs w:val="21"/>
              </w:rPr>
              <w:t>要求：保证金须在开标前从投标供应商的基本账户一次性汇入指定账户，不接受现金、支票及任何个人、分公司汇款。到账截止时间至</w:t>
            </w:r>
            <w:r>
              <w:rPr>
                <w:rFonts w:hint="eastAsia" w:ascii="宋体" w:hAnsi="宋体"/>
                <w:szCs w:val="21"/>
                <w:lang w:eastAsia="zh-CN"/>
              </w:rPr>
              <w:t>开标前一天</w:t>
            </w:r>
            <w:r>
              <w:rPr>
                <w:rFonts w:hint="eastAsia" w:ascii="宋体" w:hAnsi="宋体"/>
                <w:szCs w:val="21"/>
              </w:rPr>
              <w:t>1</w:t>
            </w:r>
            <w:r>
              <w:rPr>
                <w:rFonts w:hint="eastAsia" w:ascii="宋体" w:hAnsi="宋体"/>
                <w:szCs w:val="21"/>
                <w:lang w:val="en-US" w:eastAsia="zh-CN"/>
              </w:rPr>
              <w:t>9</w:t>
            </w:r>
            <w:r>
              <w:rPr>
                <w:rFonts w:hint="eastAsia" w:ascii="宋体" w:hAnsi="宋体"/>
                <w:szCs w:val="21"/>
              </w:rPr>
              <w:t>点</w:t>
            </w:r>
            <w:r>
              <w:rPr>
                <w:rFonts w:hint="eastAsia" w:ascii="宋体" w:hAnsi="宋体"/>
                <w:szCs w:val="21"/>
                <w:lang w:val="en-US" w:eastAsia="zh-CN"/>
              </w:rPr>
              <w:t>0</w:t>
            </w:r>
            <w:r>
              <w:rPr>
                <w:rFonts w:hint="eastAsia" w:ascii="宋体" w:hAnsi="宋体"/>
                <w:szCs w:val="21"/>
              </w:rPr>
              <w:t>0分（北京时间）</w:t>
            </w:r>
            <w:r>
              <w:rPr>
                <w:rFonts w:hint="eastAsia" w:ascii="宋体" w:hAnsi="宋体"/>
                <w:szCs w:val="21"/>
                <w:lang w:eastAsia="zh-CN"/>
              </w:rPr>
              <w:t>前，</w:t>
            </w:r>
            <w:r>
              <w:rPr>
                <w:rFonts w:hint="eastAsia" w:ascii="宋体" w:hAnsi="宋体"/>
                <w:szCs w:val="21"/>
              </w:rPr>
              <w:t>若没有在规定时间内汇入指定账户，视为自动放弃本项目投标。打款时注明投标保证金项目名称</w:t>
            </w:r>
            <w:r>
              <w:rPr>
                <w:rFonts w:hint="eastAsia" w:ascii="宋体" w:hAnsi="宋体"/>
                <w:szCs w:val="21"/>
                <w:lang w:eastAsia="zh-CN"/>
              </w:rPr>
              <w:t>、标段号</w:t>
            </w:r>
            <w:r>
              <w:rPr>
                <w:rFonts w:hint="eastAsia" w:ascii="宋体" w:hAnsi="宋体"/>
                <w:szCs w:val="21"/>
              </w:rPr>
              <w:t>。投标人未按本条规定提交投标保证金的，其投标将被认定为投标无效。</w:t>
            </w:r>
          </w:p>
          <w:p>
            <w:pPr>
              <w:overflowPunct w:val="0"/>
              <w:spacing w:line="440" w:lineRule="exact"/>
              <w:rPr>
                <w:rFonts w:hint="eastAsia" w:ascii="宋体" w:hAnsi="宋体"/>
                <w:szCs w:val="21"/>
              </w:rPr>
            </w:pPr>
            <w:r>
              <w:rPr>
                <w:rFonts w:hint="eastAsia" w:ascii="宋体" w:hAnsi="宋体" w:eastAsia="宋体" w:cs="Times New Roman"/>
                <w:szCs w:val="21"/>
              </w:rPr>
              <w:t>投标保证金的退还：中标单位投标保证金在与采购单位签订合同后，把合同扫描件和投标保证金银行转账回执单发到邮箱86968508@qq.com后，5个工作日内原账户退回。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1" w:hRule="exact"/>
          <w:jc w:val="center"/>
        </w:trPr>
        <w:tc>
          <w:tcPr>
            <w:tcW w:w="880" w:type="dxa"/>
            <w:vAlign w:val="center"/>
          </w:tcPr>
          <w:p>
            <w:pPr>
              <w:overflowPunct w:val="0"/>
              <w:spacing w:line="440" w:lineRule="exact"/>
              <w:jc w:val="center"/>
              <w:rPr>
                <w:rFonts w:hint="eastAsia" w:ascii="宋体" w:hAnsi="宋体" w:eastAsia="宋体"/>
                <w:color w:val="000000" w:themeColor="text1"/>
                <w:szCs w:val="21"/>
                <w:lang w:val="en-US" w:eastAsia="zh-CN"/>
              </w:rPr>
            </w:pPr>
            <w:r>
              <w:rPr>
                <w:rFonts w:hint="eastAsia" w:ascii="宋体" w:hAnsi="宋体"/>
                <w:color w:val="000000" w:themeColor="text1"/>
                <w:szCs w:val="21"/>
              </w:rPr>
              <w:t>1</w:t>
            </w:r>
            <w:r>
              <w:rPr>
                <w:rFonts w:hint="eastAsia" w:ascii="宋体" w:hAnsi="宋体"/>
                <w:color w:val="000000" w:themeColor="text1"/>
                <w:szCs w:val="21"/>
                <w:lang w:val="en-US" w:eastAsia="zh-CN"/>
              </w:rPr>
              <w:t>1</w:t>
            </w:r>
          </w:p>
        </w:tc>
        <w:tc>
          <w:tcPr>
            <w:tcW w:w="2259" w:type="dxa"/>
            <w:vAlign w:val="center"/>
          </w:tcPr>
          <w:p>
            <w:pPr>
              <w:overflowPunct w:val="0"/>
              <w:spacing w:line="44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开标时间及投标文件递交截止时间</w:t>
            </w:r>
          </w:p>
        </w:tc>
        <w:tc>
          <w:tcPr>
            <w:tcW w:w="6892" w:type="dxa"/>
            <w:vAlign w:val="center"/>
          </w:tcPr>
          <w:p>
            <w:pPr>
              <w:widowControl/>
              <w:spacing w:line="240" w:lineRule="atLeast"/>
              <w:jc w:val="left"/>
              <w:rPr>
                <w:rFonts w:ascii="宋体" w:hAnsi="宋体" w:cs="宋体"/>
                <w:color w:val="000000" w:themeColor="text1"/>
                <w:kern w:val="0"/>
                <w:szCs w:val="21"/>
                <w:highlight w:val="none"/>
              </w:rPr>
            </w:pPr>
            <w:r>
              <w:rPr>
                <w:rFonts w:hint="eastAsia" w:ascii="宋体" w:hAnsi="宋体" w:cs="宋体"/>
                <w:color w:val="FF0000"/>
                <w:kern w:val="0"/>
                <w:szCs w:val="21"/>
                <w:highlight w:val="none"/>
                <w:lang w:eastAsia="zh-CN"/>
              </w:rPr>
              <w:t>2022年</w:t>
            </w:r>
            <w:r>
              <w:rPr>
                <w:rFonts w:hint="eastAsia" w:ascii="宋体" w:hAnsi="宋体" w:cs="宋体"/>
                <w:color w:val="FF0000"/>
                <w:kern w:val="0"/>
                <w:szCs w:val="21"/>
                <w:highlight w:val="none"/>
                <w:lang w:val="en-US" w:eastAsia="zh-CN"/>
              </w:rPr>
              <w:t>12</w:t>
            </w:r>
            <w:r>
              <w:rPr>
                <w:rFonts w:hint="eastAsia" w:ascii="宋体" w:hAnsi="宋体" w:cs="宋体"/>
                <w:color w:val="FF0000"/>
                <w:kern w:val="0"/>
                <w:szCs w:val="21"/>
                <w:highlight w:val="none"/>
                <w:lang w:eastAsia="zh-CN"/>
              </w:rPr>
              <w:t>月</w:t>
            </w:r>
            <w:r>
              <w:rPr>
                <w:rFonts w:hint="eastAsia" w:ascii="宋体" w:hAnsi="宋体" w:cs="宋体"/>
                <w:color w:val="FF0000"/>
                <w:kern w:val="0"/>
                <w:szCs w:val="21"/>
                <w:highlight w:val="none"/>
                <w:lang w:val="en-US" w:eastAsia="zh-CN"/>
              </w:rPr>
              <w:t>16</w:t>
            </w:r>
            <w:r>
              <w:rPr>
                <w:rFonts w:hint="eastAsia" w:ascii="宋体" w:hAnsi="宋体" w:cs="宋体"/>
                <w:color w:val="FF0000"/>
                <w:kern w:val="0"/>
                <w:szCs w:val="21"/>
                <w:highlight w:val="none"/>
                <w:lang w:eastAsia="zh-CN"/>
              </w:rPr>
              <w:t xml:space="preserve">日 </w:t>
            </w:r>
            <w:r>
              <w:rPr>
                <w:rFonts w:hint="eastAsia" w:ascii="宋体" w:hAnsi="宋体" w:cs="宋体"/>
                <w:color w:val="FF0000"/>
                <w:kern w:val="0"/>
                <w:szCs w:val="21"/>
                <w:highlight w:val="none"/>
                <w:lang w:val="en-US" w:eastAsia="zh-CN"/>
              </w:rPr>
              <w:t>上</w:t>
            </w:r>
            <w:r>
              <w:rPr>
                <w:rFonts w:hint="eastAsia" w:ascii="宋体" w:hAnsi="宋体" w:cs="宋体"/>
                <w:color w:val="FF0000"/>
                <w:kern w:val="0"/>
                <w:szCs w:val="21"/>
                <w:highlight w:val="none"/>
                <w:lang w:eastAsia="zh-CN"/>
              </w:rPr>
              <w:t>午1</w:t>
            </w:r>
            <w:r>
              <w:rPr>
                <w:rFonts w:hint="eastAsia" w:ascii="宋体" w:hAnsi="宋体" w:cs="宋体"/>
                <w:color w:val="FF0000"/>
                <w:kern w:val="0"/>
                <w:szCs w:val="21"/>
                <w:highlight w:val="none"/>
                <w:lang w:val="en-US" w:eastAsia="zh-CN"/>
              </w:rPr>
              <w:t>1</w:t>
            </w:r>
            <w:r>
              <w:rPr>
                <w:rFonts w:hint="eastAsia" w:ascii="宋体" w:hAnsi="宋体" w:cs="宋体"/>
                <w:color w:val="FF0000"/>
                <w:kern w:val="0"/>
                <w:szCs w:val="21"/>
                <w:highlight w:val="none"/>
                <w:lang w:eastAsia="zh-CN"/>
              </w:rPr>
              <w:t>：00</w:t>
            </w:r>
            <w:r>
              <w:rPr>
                <w:rFonts w:hint="eastAsia" w:ascii="宋体" w:hAnsi="宋体" w:cs="宋体"/>
                <w:color w:val="FF0000"/>
                <w:kern w:val="0"/>
                <w:szCs w:val="21"/>
                <w:highlight w:val="none"/>
              </w:rPr>
              <w:t>(北京时间)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5" w:hRule="exact"/>
          <w:jc w:val="center"/>
        </w:trPr>
        <w:tc>
          <w:tcPr>
            <w:tcW w:w="880" w:type="dxa"/>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投标文件递交及开标地点</w:t>
            </w:r>
          </w:p>
        </w:tc>
        <w:tc>
          <w:tcPr>
            <w:tcW w:w="6892" w:type="dxa"/>
            <w:vAlign w:val="center"/>
          </w:tcPr>
          <w:p>
            <w:pPr>
              <w:pStyle w:val="22"/>
              <w:rPr>
                <w:rFonts w:hAnsi="宋体"/>
                <w:szCs w:val="21"/>
                <w:highlight w:val="yellow"/>
              </w:rPr>
            </w:pPr>
            <w:r>
              <w:rPr>
                <w:rFonts w:hint="eastAsia" w:hAnsi="宋体"/>
                <w:szCs w:val="21"/>
                <w:highlight w:val="none"/>
              </w:rPr>
              <w:t>开标时间：</w:t>
            </w:r>
            <w:r>
              <w:rPr>
                <w:rFonts w:hint="eastAsia" w:hAnsi="宋体" w:cs="宋体"/>
                <w:color w:val="FF0000"/>
                <w:kern w:val="0"/>
                <w:szCs w:val="21"/>
                <w:highlight w:val="none"/>
                <w:lang w:eastAsia="zh-CN"/>
              </w:rPr>
              <w:t>2022年</w:t>
            </w:r>
            <w:r>
              <w:rPr>
                <w:rFonts w:hint="eastAsia" w:hAnsi="宋体" w:cs="宋体"/>
                <w:color w:val="FF0000"/>
                <w:kern w:val="0"/>
                <w:szCs w:val="21"/>
                <w:highlight w:val="none"/>
                <w:lang w:val="en-US" w:eastAsia="zh-CN"/>
              </w:rPr>
              <w:t>12</w:t>
            </w:r>
            <w:r>
              <w:rPr>
                <w:rFonts w:hint="eastAsia" w:hAnsi="宋体" w:cs="宋体"/>
                <w:color w:val="FF0000"/>
                <w:kern w:val="0"/>
                <w:szCs w:val="21"/>
                <w:highlight w:val="none"/>
                <w:lang w:eastAsia="zh-CN"/>
              </w:rPr>
              <w:t>月</w:t>
            </w:r>
            <w:r>
              <w:rPr>
                <w:rFonts w:hint="eastAsia" w:hAnsi="宋体" w:cs="宋体"/>
                <w:color w:val="FF0000"/>
                <w:kern w:val="0"/>
                <w:szCs w:val="21"/>
                <w:highlight w:val="none"/>
                <w:lang w:val="en-US" w:eastAsia="zh-CN"/>
              </w:rPr>
              <w:t>16</w:t>
            </w:r>
            <w:r>
              <w:rPr>
                <w:rFonts w:hint="eastAsia" w:hAnsi="宋体" w:cs="宋体"/>
                <w:color w:val="FF0000"/>
                <w:kern w:val="0"/>
                <w:szCs w:val="21"/>
                <w:highlight w:val="none"/>
                <w:lang w:eastAsia="zh-CN"/>
              </w:rPr>
              <w:t xml:space="preserve">日 </w:t>
            </w:r>
            <w:r>
              <w:rPr>
                <w:rFonts w:hint="eastAsia" w:hAnsi="宋体" w:cs="宋体"/>
                <w:color w:val="FF0000"/>
                <w:kern w:val="0"/>
                <w:szCs w:val="21"/>
                <w:highlight w:val="none"/>
                <w:lang w:val="en-US" w:eastAsia="zh-CN"/>
              </w:rPr>
              <w:t>上</w:t>
            </w:r>
            <w:r>
              <w:rPr>
                <w:rFonts w:hint="eastAsia" w:hAnsi="宋体" w:cs="宋体"/>
                <w:color w:val="FF0000"/>
                <w:kern w:val="0"/>
                <w:szCs w:val="21"/>
                <w:highlight w:val="none"/>
                <w:lang w:eastAsia="zh-CN"/>
              </w:rPr>
              <w:t>午1</w:t>
            </w:r>
            <w:r>
              <w:rPr>
                <w:rFonts w:hint="eastAsia" w:hAnsi="宋体" w:cs="宋体"/>
                <w:color w:val="FF0000"/>
                <w:kern w:val="0"/>
                <w:szCs w:val="21"/>
                <w:highlight w:val="none"/>
                <w:lang w:val="en-US" w:eastAsia="zh-CN"/>
              </w:rPr>
              <w:t>1</w:t>
            </w:r>
            <w:r>
              <w:rPr>
                <w:rFonts w:hint="eastAsia" w:hAnsi="宋体" w:cs="宋体"/>
                <w:color w:val="FF0000"/>
                <w:kern w:val="0"/>
                <w:szCs w:val="21"/>
                <w:highlight w:val="none"/>
                <w:lang w:eastAsia="zh-CN"/>
              </w:rPr>
              <w:t>：00</w:t>
            </w:r>
            <w:r>
              <w:rPr>
                <w:rFonts w:hint="eastAsia" w:hAnsi="宋体" w:cs="宋体"/>
                <w:color w:val="FF0000"/>
                <w:kern w:val="0"/>
                <w:szCs w:val="21"/>
                <w:highlight w:val="none"/>
              </w:rPr>
              <w:t>(北京时间)</w:t>
            </w:r>
          </w:p>
          <w:p>
            <w:pPr>
              <w:widowControl/>
              <w:spacing w:line="400" w:lineRule="exact"/>
              <w:jc w:val="left"/>
              <w:rPr>
                <w:rFonts w:ascii="宋体" w:hAnsi="宋体"/>
                <w:color w:val="FF0000"/>
                <w:szCs w:val="21"/>
                <w:highlight w:val="none"/>
              </w:rPr>
            </w:pPr>
            <w:r>
              <w:rPr>
                <w:rFonts w:hint="eastAsia" w:ascii="宋体" w:hAnsi="宋体"/>
                <w:szCs w:val="21"/>
                <w:highlight w:val="none"/>
              </w:rPr>
              <w:t>开标地点：新疆政采云平台https://www.zcygov.cn不见面线上投标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8" w:hRule="atLeast"/>
          <w:jc w:val="center"/>
        </w:trPr>
        <w:tc>
          <w:tcPr>
            <w:tcW w:w="880" w:type="dxa"/>
            <w:tcBorders>
              <w:top w:val="single" w:color="auto" w:sz="4" w:space="0"/>
              <w:bottom w:val="single" w:color="auto" w:sz="4" w:space="0"/>
            </w:tcBorders>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c>
          <w:tcPr>
            <w:tcW w:w="2259" w:type="dxa"/>
            <w:tcBorders>
              <w:top w:val="single" w:color="auto" w:sz="4" w:space="0"/>
              <w:bottom w:val="single" w:color="auto" w:sz="4" w:space="0"/>
            </w:tcBorders>
            <w:vAlign w:val="center"/>
          </w:tcPr>
          <w:p>
            <w:pPr>
              <w:overflowPunct w:val="0"/>
              <w:spacing w:line="440" w:lineRule="exact"/>
              <w:jc w:val="center"/>
              <w:rPr>
                <w:rFonts w:hint="default" w:ascii="宋体" w:hAnsi="宋体" w:eastAsia="宋体"/>
                <w:szCs w:val="21"/>
                <w:lang w:val="en-US" w:eastAsia="zh-CN"/>
              </w:rPr>
            </w:pPr>
            <w:r>
              <w:rPr>
                <w:rFonts w:hint="eastAsia" w:ascii="宋体" w:hAnsi="宋体"/>
                <w:szCs w:val="21"/>
                <w:lang w:val="en-US" w:eastAsia="zh-CN"/>
              </w:rPr>
              <w:t>电子标流程</w:t>
            </w:r>
          </w:p>
        </w:tc>
        <w:tc>
          <w:tcPr>
            <w:tcW w:w="6892" w:type="dxa"/>
            <w:tcBorders>
              <w:top w:val="single" w:color="auto" w:sz="4" w:space="0"/>
              <w:bottom w:val="single" w:color="auto" w:sz="4" w:space="0"/>
            </w:tcBorders>
            <w:vAlign w:val="center"/>
          </w:tcPr>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（2）本项目实行网上投标，采用电子投标文件(供应商须使用 CA 加密设备通过政采云电子投标客户端制作投标文件)。若供应商参与投标，自行承担投标一切费用。</w:t>
            </w:r>
          </w:p>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（4）供应商将政采云电子交易客户端下载、安装完成后，可通过账号密码或CA 登录客户端进行投标文件制作。在使用政采云投标客户端时，建议使用 WIN7及以上操作系统 。 客户端请至新疆政府采购网 400-881-7190 进行咨询。</w:t>
            </w:r>
          </w:p>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（5）供应商在开标时须使用制作加密电子投标文件所使用的 CA 锁及电脑，电脑须提前配置好浏览器（建议使用谷歌浏览器），以便开标时解锁。</w:t>
            </w:r>
          </w:p>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overflowPunct w:val="0"/>
              <w:spacing w:line="4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pPr>
              <w:overflowPunct w:val="0"/>
              <w:spacing w:line="440" w:lineRule="exact"/>
              <w:rPr>
                <w:rFonts w:hint="eastAsia" w:ascii="宋体" w:hAnsi="宋体" w:eastAsia="宋体" w:cs="Times New Roman"/>
                <w:szCs w:val="21"/>
              </w:rPr>
            </w:pPr>
            <w:r>
              <w:rPr>
                <w:rFonts w:hint="eastAsia" w:ascii="宋体" w:hAnsi="宋体" w:eastAsia="宋体" w:cs="Times New Roman"/>
                <w:szCs w:val="21"/>
              </w:rPr>
              <w:t>（8）各供应商须在投标截止时间前完成在系统上递交电子</w:t>
            </w:r>
            <w:r>
              <w:rPr>
                <w:rFonts w:hint="eastAsia" w:ascii="宋体" w:hAnsi="宋体" w:eastAsia="宋体" w:cs="Times New Roman"/>
                <w:szCs w:val="21"/>
                <w:lang w:eastAsia="zh-CN"/>
              </w:rPr>
              <w:t>招标文件</w:t>
            </w:r>
            <w:r>
              <w:rPr>
                <w:rFonts w:hint="eastAsia" w:ascii="宋体" w:hAnsi="宋体" w:eastAsia="宋体" w:cs="Times New Roman"/>
                <w:szCs w:val="21"/>
              </w:rPr>
              <w:t>。供应商的电子</w:t>
            </w:r>
            <w:r>
              <w:rPr>
                <w:rFonts w:hint="eastAsia" w:ascii="宋体" w:hAnsi="宋体" w:eastAsia="宋体" w:cs="Times New Roman"/>
                <w:szCs w:val="21"/>
                <w:lang w:eastAsia="zh-CN"/>
              </w:rPr>
              <w:t>投标文件</w:t>
            </w:r>
            <w:r>
              <w:rPr>
                <w:rFonts w:hint="eastAsia" w:ascii="宋体" w:hAnsi="宋体" w:eastAsia="宋体" w:cs="Times New Roman"/>
                <w:szCs w:val="21"/>
              </w:rPr>
              <w:t>是经过CA证书加密后上传提交的，任何单位或个人均无法在投标截止时间(即开标时间)之前查看或篡改，不存在泄密风险。（严格按照政采云电子投标流程制作并上传电子</w:t>
            </w:r>
            <w:r>
              <w:rPr>
                <w:rFonts w:hint="eastAsia" w:ascii="宋体" w:hAnsi="宋体" w:eastAsia="宋体" w:cs="Times New Roman"/>
                <w:szCs w:val="21"/>
                <w:lang w:eastAsia="zh-CN"/>
              </w:rPr>
              <w:t>投标文件</w:t>
            </w:r>
            <w:r>
              <w:rPr>
                <w:rFonts w:hint="eastAsia" w:ascii="宋体" w:hAnsi="宋体" w:eastAsia="宋体" w:cs="Times New Roman"/>
                <w:szCs w:val="21"/>
              </w:rPr>
              <w:t>）</w:t>
            </w:r>
          </w:p>
          <w:p>
            <w:pPr>
              <w:overflowPunct w:val="0"/>
              <w:spacing w:line="440" w:lineRule="exact"/>
              <w:rPr>
                <w:rFonts w:hint="eastAsia" w:ascii="宋体" w:hAnsi="宋体" w:eastAsia="宋体" w:cs="Times New Roman"/>
                <w:szCs w:val="21"/>
              </w:rPr>
            </w:pPr>
            <w:r>
              <w:rPr>
                <w:rFonts w:hint="eastAsia" w:ascii="宋体" w:hAnsi="宋体" w:eastAsia="宋体" w:cs="Times New Roman"/>
                <w:szCs w:val="21"/>
              </w:rPr>
              <w:t>（9）各供应商在投标截止时间前将“</w:t>
            </w:r>
            <w:r>
              <w:rPr>
                <w:rFonts w:hint="eastAsia" w:ascii="宋体" w:hAnsi="宋体" w:eastAsia="宋体" w:cs="Times New Roman"/>
                <w:szCs w:val="21"/>
                <w:lang w:eastAsia="zh-CN"/>
              </w:rPr>
              <w:t>投标文件</w:t>
            </w:r>
            <w:r>
              <w:rPr>
                <w:rFonts w:hint="eastAsia" w:ascii="宋体" w:hAnsi="宋体" w:eastAsia="宋体" w:cs="Times New Roman"/>
                <w:szCs w:val="21"/>
              </w:rPr>
              <w:t>”上传至政采云平台。</w:t>
            </w:r>
            <w:r>
              <w:rPr>
                <w:rFonts w:hint="eastAsia" w:ascii="宋体" w:hAnsi="宋体" w:eastAsia="宋体" w:cs="Times New Roman"/>
                <w:szCs w:val="21"/>
                <w:lang w:eastAsia="zh-CN"/>
              </w:rPr>
              <w:t>投标文件</w:t>
            </w:r>
            <w:r>
              <w:rPr>
                <w:rFonts w:hint="eastAsia" w:ascii="宋体" w:hAnsi="宋体" w:eastAsia="宋体" w:cs="Times New Roman"/>
                <w:szCs w:val="21"/>
              </w:rPr>
              <w:t>应按照</w:t>
            </w:r>
            <w:r>
              <w:rPr>
                <w:rFonts w:hint="eastAsia" w:ascii="宋体" w:hAnsi="宋体" w:eastAsia="宋体" w:cs="Times New Roman"/>
                <w:szCs w:val="21"/>
                <w:lang w:eastAsia="zh-CN"/>
              </w:rPr>
              <w:t>招标文件</w:t>
            </w:r>
            <w:r>
              <w:rPr>
                <w:rFonts w:hint="eastAsia" w:ascii="宋体" w:hAnsi="宋体" w:eastAsia="宋体" w:cs="Times New Roman"/>
                <w:szCs w:val="21"/>
              </w:rPr>
              <w:t>规定的格式填写、签署和盖章，并以.jmbs格式上传至政采云开评标平台（</w:t>
            </w:r>
            <w:r>
              <w:rPr>
                <w:rFonts w:hint="eastAsia" w:ascii="宋体" w:hAnsi="宋体" w:eastAsia="宋体" w:cs="Times New Roman"/>
                <w:szCs w:val="21"/>
                <w:lang w:eastAsia="zh-CN"/>
              </w:rPr>
              <w:t>投标文件</w:t>
            </w:r>
            <w:r>
              <w:rPr>
                <w:rFonts w:hint="eastAsia" w:ascii="宋体" w:hAnsi="宋体" w:eastAsia="宋体" w:cs="Times New Roman"/>
                <w:szCs w:val="21"/>
              </w:rPr>
              <w:t>为正本扫描件）。</w:t>
            </w:r>
          </w:p>
          <w:p>
            <w:pPr>
              <w:overflowPunct w:val="0"/>
              <w:spacing w:line="440" w:lineRule="exact"/>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10</w:t>
            </w:r>
            <w:r>
              <w:rPr>
                <w:rFonts w:hint="eastAsia" w:ascii="宋体" w:hAnsi="宋体" w:eastAsia="宋体" w:cs="Times New Roman"/>
                <w:szCs w:val="21"/>
              </w:rPr>
              <w:t>）所有供应商应在</w:t>
            </w:r>
            <w:r>
              <w:rPr>
                <w:rFonts w:hint="eastAsia" w:ascii="宋体" w:hAnsi="宋体" w:eastAsia="宋体" w:cs="Times New Roman"/>
                <w:szCs w:val="21"/>
                <w:lang w:eastAsia="zh-CN"/>
              </w:rPr>
              <w:t>中标</w:t>
            </w:r>
            <w:r>
              <w:rPr>
                <w:rFonts w:hint="eastAsia" w:ascii="宋体" w:hAnsi="宋体" w:eastAsia="宋体" w:cs="Times New Roman"/>
                <w:szCs w:val="21"/>
              </w:rPr>
              <w:t>公告公示期结束后2个工作日内将纸质版</w:t>
            </w:r>
            <w:r>
              <w:rPr>
                <w:rFonts w:hint="eastAsia" w:ascii="宋体" w:hAnsi="宋体" w:eastAsia="宋体" w:cs="Times New Roman"/>
                <w:szCs w:val="21"/>
                <w:lang w:eastAsia="zh-CN"/>
              </w:rPr>
              <w:t>投标文件</w:t>
            </w:r>
            <w:r>
              <w:rPr>
                <w:rFonts w:hint="eastAsia" w:ascii="宋体" w:hAnsi="宋体" w:eastAsia="宋体" w:cs="Times New Roman"/>
                <w:szCs w:val="21"/>
              </w:rPr>
              <w:t>邮寄至代理机构备案(邮寄标书事项会影响退还</w:t>
            </w:r>
            <w:r>
              <w:rPr>
                <w:rFonts w:hint="eastAsia" w:ascii="宋体" w:hAnsi="宋体" w:eastAsia="宋体" w:cs="Times New Roman"/>
                <w:szCs w:val="21"/>
                <w:lang w:eastAsia="zh-CN"/>
              </w:rPr>
              <w:t>投标保证金</w:t>
            </w:r>
            <w:r>
              <w:rPr>
                <w:rFonts w:hint="eastAsia" w:ascii="宋体" w:hAnsi="宋体" w:eastAsia="宋体" w:cs="Times New Roman"/>
                <w:szCs w:val="21"/>
              </w:rPr>
              <w:t>)</w:t>
            </w:r>
          </w:p>
          <w:p>
            <w:pPr>
              <w:overflowPunct w:val="0"/>
              <w:spacing w:line="440" w:lineRule="exac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11</w:t>
            </w:r>
            <w:r>
              <w:rPr>
                <w:rFonts w:hint="eastAsia" w:ascii="宋体" w:hAnsi="宋体" w:eastAsia="宋体" w:cs="Times New Roman"/>
                <w:szCs w:val="21"/>
                <w:lang w:eastAsia="zh-CN"/>
              </w:rPr>
              <w:t>）</w:t>
            </w:r>
            <w:r>
              <w:rPr>
                <w:rFonts w:hint="eastAsia" w:ascii="宋体" w:hAnsi="宋体" w:eastAsia="宋体" w:cs="Times New Roman"/>
                <w:szCs w:val="21"/>
              </w:rPr>
              <w:t>递交数量：正本：壹份、副本：</w:t>
            </w:r>
            <w:r>
              <w:rPr>
                <w:rFonts w:hint="eastAsia" w:ascii="宋体" w:hAnsi="宋体" w:eastAsia="宋体" w:cs="Times New Roman"/>
                <w:szCs w:val="21"/>
                <w:lang w:val="en-US" w:eastAsia="zh-CN"/>
              </w:rPr>
              <w:t>贰</w:t>
            </w:r>
            <w:r>
              <w:rPr>
                <w:rFonts w:hint="eastAsia" w:ascii="宋体" w:hAnsi="宋体" w:eastAsia="宋体" w:cs="Times New Roman"/>
                <w:szCs w:val="21"/>
              </w:rPr>
              <w:t>份；电子文档1份（以正本为准，副本可以是正本的复印件）</w:t>
            </w:r>
          </w:p>
          <w:p>
            <w:pPr>
              <w:overflowPunct w:val="0"/>
              <w:spacing w:line="440" w:lineRule="exact"/>
              <w:rPr>
                <w:rFonts w:hint="eastAsia" w:ascii="宋体" w:hAnsi="宋体" w:eastAsia="宋体" w:cs="Times New Roman"/>
                <w:szCs w:val="21"/>
              </w:rPr>
            </w:pPr>
            <w:bookmarkStart w:id="3" w:name="_Toc14647"/>
            <w:r>
              <w:rPr>
                <w:rFonts w:hint="eastAsia" w:ascii="宋体" w:hAnsi="宋体" w:eastAsia="宋体" w:cs="Times New Roman"/>
                <w:szCs w:val="21"/>
              </w:rPr>
              <w:t>纸质</w:t>
            </w:r>
            <w:r>
              <w:rPr>
                <w:rFonts w:hint="eastAsia" w:ascii="宋体" w:hAnsi="宋体" w:eastAsia="宋体" w:cs="Times New Roman"/>
                <w:szCs w:val="21"/>
                <w:lang w:eastAsia="zh-CN"/>
              </w:rPr>
              <w:t>投标文件</w:t>
            </w:r>
            <w:r>
              <w:rPr>
                <w:rFonts w:hint="eastAsia" w:ascii="宋体" w:hAnsi="宋体" w:eastAsia="宋体" w:cs="Times New Roman"/>
                <w:szCs w:val="21"/>
              </w:rPr>
              <w:t>的签署及规定：</w:t>
            </w:r>
            <w:bookmarkEnd w:id="3"/>
            <w:r>
              <w:rPr>
                <w:rFonts w:hint="eastAsia" w:ascii="宋体" w:hAnsi="宋体" w:eastAsia="宋体" w:cs="Times New Roman"/>
                <w:szCs w:val="21"/>
                <w:lang w:eastAsia="zh-CN"/>
              </w:rPr>
              <w:t>投标文件</w:t>
            </w:r>
            <w:r>
              <w:rPr>
                <w:rFonts w:hint="eastAsia" w:ascii="宋体" w:hAnsi="宋体" w:eastAsia="宋体" w:cs="Times New Roman"/>
                <w:szCs w:val="21"/>
              </w:rPr>
              <w:t>的正副本需打印或用不褪色墨水书写，并由供应商的法定代表人或经其正式委托代理人按</w:t>
            </w:r>
            <w:r>
              <w:rPr>
                <w:rFonts w:hint="eastAsia" w:ascii="宋体" w:hAnsi="宋体" w:eastAsia="宋体" w:cs="Times New Roman"/>
                <w:szCs w:val="21"/>
                <w:lang w:eastAsia="zh-CN"/>
              </w:rPr>
              <w:t>招标文件</w:t>
            </w:r>
            <w:r>
              <w:rPr>
                <w:rFonts w:hint="eastAsia" w:ascii="宋体" w:hAnsi="宋体" w:eastAsia="宋体" w:cs="Times New Roman"/>
                <w:szCs w:val="21"/>
              </w:rPr>
              <w:t>规定在</w:t>
            </w:r>
            <w:r>
              <w:rPr>
                <w:rFonts w:hint="eastAsia" w:ascii="宋体" w:hAnsi="宋体" w:eastAsia="宋体" w:cs="Times New Roman"/>
                <w:szCs w:val="21"/>
                <w:lang w:eastAsia="zh-CN"/>
              </w:rPr>
              <w:t>投标文件</w:t>
            </w:r>
            <w:r>
              <w:rPr>
                <w:rFonts w:hint="eastAsia" w:ascii="宋体" w:hAnsi="宋体" w:eastAsia="宋体" w:cs="Times New Roman"/>
                <w:szCs w:val="21"/>
              </w:rPr>
              <w:t>上签字或盖章，并加盖单位印章。</w:t>
            </w:r>
          </w:p>
          <w:p>
            <w:pPr>
              <w:overflowPunct w:val="0"/>
              <w:spacing w:line="440" w:lineRule="exact"/>
              <w:rPr>
                <w:rFonts w:ascii="宋体" w:hAnsi="宋体"/>
                <w:szCs w:val="21"/>
              </w:rPr>
            </w:pPr>
            <w:r>
              <w:rPr>
                <w:rFonts w:hint="eastAsia" w:ascii="宋体" w:hAnsi="宋体" w:eastAsia="宋体" w:cs="Times New Roman"/>
                <w:szCs w:val="21"/>
              </w:rPr>
              <w:t>（12）投标文件解密时长（分钟）为30分钟。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880" w:type="dxa"/>
            <w:vAlign w:val="center"/>
          </w:tcPr>
          <w:p>
            <w:pPr>
              <w:overflowPunct w:val="0"/>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4</w:t>
            </w:r>
          </w:p>
        </w:tc>
        <w:tc>
          <w:tcPr>
            <w:tcW w:w="2259" w:type="dxa"/>
            <w:vAlign w:val="center"/>
          </w:tcPr>
          <w:p>
            <w:pPr>
              <w:overflowPunct w:val="0"/>
              <w:spacing w:line="440" w:lineRule="exact"/>
              <w:jc w:val="center"/>
              <w:rPr>
                <w:rFonts w:ascii="宋体" w:hAnsi="宋体" w:cs="宋体"/>
                <w:kern w:val="0"/>
                <w:szCs w:val="21"/>
              </w:rPr>
            </w:pPr>
            <w:r>
              <w:rPr>
                <w:rFonts w:hint="eastAsia" w:ascii="宋体" w:hAnsi="宋体" w:cs="宋体"/>
                <w:kern w:val="0"/>
                <w:szCs w:val="21"/>
              </w:rPr>
              <w:t>招标代理服务费</w:t>
            </w:r>
          </w:p>
        </w:tc>
        <w:tc>
          <w:tcPr>
            <w:tcW w:w="6892" w:type="dxa"/>
            <w:vAlign w:val="center"/>
          </w:tcPr>
          <w:p>
            <w:pPr>
              <w:overflowPunct w:val="0"/>
              <w:spacing w:line="440" w:lineRule="exact"/>
              <w:rPr>
                <w:rFonts w:ascii="宋体" w:hAnsi="宋体"/>
                <w:szCs w:val="21"/>
              </w:rPr>
            </w:pPr>
            <w:r>
              <w:rPr>
                <w:rFonts w:hint="eastAsia" w:ascii="宋体" w:hAnsi="宋体"/>
                <w:szCs w:val="21"/>
              </w:rPr>
              <w:t>根据（发改价格[2015]299号文件），代理服务费按成交金额的1.5%收取。（由成交单位支付）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880" w:type="dxa"/>
            <w:vAlign w:val="center"/>
          </w:tcPr>
          <w:p>
            <w:pPr>
              <w:overflowPunct w:val="0"/>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投标文件格式</w:t>
            </w:r>
          </w:p>
        </w:tc>
        <w:tc>
          <w:tcPr>
            <w:tcW w:w="6892" w:type="dxa"/>
            <w:vAlign w:val="center"/>
          </w:tcPr>
          <w:p>
            <w:pPr>
              <w:widowControl/>
              <w:spacing w:line="460" w:lineRule="atLeast"/>
              <w:jc w:val="left"/>
              <w:rPr>
                <w:rFonts w:ascii="宋体" w:hAnsi="宋体"/>
                <w:szCs w:val="21"/>
              </w:rPr>
            </w:pPr>
            <w:r>
              <w:rPr>
                <w:rFonts w:hint="eastAsia" w:ascii="宋体" w:hAnsi="宋体"/>
                <w:szCs w:val="21"/>
                <w:highlight w:val="none"/>
              </w:rPr>
              <w:t>详见第三部分第二章第5款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880" w:type="dxa"/>
            <w:tcBorders>
              <w:top w:val="single" w:color="auto" w:sz="4" w:space="0"/>
            </w:tcBorders>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6</w:t>
            </w:r>
          </w:p>
        </w:tc>
        <w:tc>
          <w:tcPr>
            <w:tcW w:w="2259" w:type="dxa"/>
            <w:tcBorders>
              <w:top w:val="single" w:color="auto" w:sz="4" w:space="0"/>
              <w:bottom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付款方式及币种</w:t>
            </w:r>
          </w:p>
        </w:tc>
        <w:tc>
          <w:tcPr>
            <w:tcW w:w="6892" w:type="dxa"/>
            <w:tcBorders>
              <w:top w:val="single" w:color="auto" w:sz="4" w:space="0"/>
            </w:tcBorders>
            <w:vAlign w:val="center"/>
          </w:tcPr>
          <w:p>
            <w:pPr>
              <w:overflowPunct w:val="0"/>
              <w:spacing w:line="440" w:lineRule="exact"/>
              <w:rPr>
                <w:rFonts w:ascii="宋体" w:hAnsi="宋体"/>
                <w:color w:val="000000" w:themeColor="text1"/>
                <w:szCs w:val="21"/>
              </w:rPr>
            </w:pPr>
            <w:r>
              <w:rPr>
                <w:rFonts w:hint="eastAsia" w:ascii="宋体" w:hAnsi="宋体"/>
                <w:color w:val="000000" w:themeColor="text1"/>
                <w:szCs w:val="21"/>
              </w:rPr>
              <w:t>1、付款币种</w:t>
            </w:r>
            <w:r>
              <w:rPr>
                <w:rFonts w:hint="eastAsia" w:ascii="宋体" w:hAnsi="宋体"/>
                <w:color w:val="000000" w:themeColor="text1"/>
                <w:szCs w:val="21"/>
                <w:lang w:eastAsia="zh-CN"/>
              </w:rPr>
              <w:t>：</w:t>
            </w:r>
            <w:r>
              <w:rPr>
                <w:rFonts w:hint="eastAsia" w:ascii="宋体" w:hAnsi="宋体"/>
                <w:color w:val="000000" w:themeColor="text1"/>
                <w:szCs w:val="21"/>
              </w:rPr>
              <w:t>本次招标所述的项目资金均以人民币支付。</w:t>
            </w:r>
          </w:p>
          <w:p>
            <w:pPr>
              <w:overflowPunct w:val="0"/>
              <w:spacing w:line="440" w:lineRule="exact"/>
              <w:rPr>
                <w:rFonts w:ascii="宋体" w:hAnsi="宋体"/>
                <w:szCs w:val="21"/>
              </w:rPr>
            </w:pPr>
            <w:r>
              <w:rPr>
                <w:rFonts w:hint="eastAsia" w:ascii="宋体" w:hAnsi="宋体"/>
                <w:color w:val="000000" w:themeColor="text1"/>
                <w:szCs w:val="21"/>
              </w:rPr>
              <w:t>2、付款方式：中标人与采购单位合同中具体约定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80" w:type="dxa"/>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2259" w:type="dxa"/>
            <w:tcBorders>
              <w:top w:val="single" w:color="auto" w:sz="4" w:space="0"/>
            </w:tcBorders>
            <w:vAlign w:val="center"/>
          </w:tcPr>
          <w:p>
            <w:pPr>
              <w:overflowPunct w:val="0"/>
              <w:spacing w:line="440" w:lineRule="exact"/>
              <w:jc w:val="center"/>
              <w:rPr>
                <w:rFonts w:ascii="宋体" w:hAnsi="宋体"/>
                <w:szCs w:val="21"/>
              </w:rPr>
            </w:pPr>
            <w:r>
              <w:rPr>
                <w:rFonts w:hint="eastAsia" w:ascii="宋体" w:hAnsi="宋体"/>
                <w:szCs w:val="21"/>
              </w:rPr>
              <w:t>投标费用</w:t>
            </w:r>
          </w:p>
        </w:tc>
        <w:tc>
          <w:tcPr>
            <w:tcW w:w="6892" w:type="dxa"/>
            <w:vAlign w:val="center"/>
          </w:tcPr>
          <w:p>
            <w:pPr>
              <w:spacing w:line="400" w:lineRule="exact"/>
              <w:rPr>
                <w:rFonts w:ascii="宋体" w:hAnsi="宋体"/>
                <w:szCs w:val="21"/>
              </w:rPr>
            </w:pPr>
            <w:r>
              <w:rPr>
                <w:rFonts w:hint="eastAsia" w:ascii="宋体" w:hAnsi="宋体"/>
                <w:szCs w:val="21"/>
              </w:rPr>
              <w:t>不论投标的结果如何，投标人均应自行承担所有与参加投标有关的全部费用。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80" w:type="dxa"/>
            <w:vAlign w:val="center"/>
          </w:tcPr>
          <w:p>
            <w:pPr>
              <w:overflowPunct w:val="0"/>
              <w:spacing w:line="440" w:lineRule="exact"/>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18</w:t>
            </w:r>
          </w:p>
        </w:tc>
        <w:tc>
          <w:tcPr>
            <w:tcW w:w="2259" w:type="dxa"/>
            <w:tcBorders>
              <w:top w:val="single" w:color="auto" w:sz="4" w:space="0"/>
            </w:tcBorders>
            <w:vAlign w:val="center"/>
          </w:tcPr>
          <w:p>
            <w:pPr>
              <w:overflowPunct w:val="0"/>
              <w:spacing w:line="44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履约期限</w:t>
            </w:r>
          </w:p>
        </w:tc>
        <w:tc>
          <w:tcPr>
            <w:tcW w:w="6892" w:type="dxa"/>
            <w:vAlign w:val="center"/>
          </w:tcPr>
          <w:p>
            <w:pPr>
              <w:spacing w:line="440" w:lineRule="exact"/>
              <w:rPr>
                <w:rFonts w:hint="eastAsia" w:ascii="宋体" w:hAnsi="宋体" w:eastAsia="宋体"/>
                <w:color w:val="000000" w:themeColor="text1"/>
                <w:szCs w:val="21"/>
                <w:highlight w:val="none"/>
                <w:lang w:eastAsia="zh-CN"/>
              </w:rPr>
            </w:pPr>
            <w:r>
              <w:rPr>
                <w:rFonts w:hint="eastAsia" w:ascii="宋体" w:hAnsi="宋体" w:eastAsia="宋体"/>
                <w:color w:val="000000" w:themeColor="text1"/>
                <w:szCs w:val="21"/>
                <w:highlight w:val="none"/>
                <w:lang w:eastAsia="zh-CN"/>
              </w:rPr>
              <w:t>签订合同之日起5个工作日内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0" w:type="dxa"/>
            <w:vAlign w:val="center"/>
          </w:tcPr>
          <w:p>
            <w:pPr>
              <w:overflowPunct w:val="0"/>
              <w:spacing w:line="44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259" w:type="dxa"/>
            <w:vAlign w:val="center"/>
          </w:tcPr>
          <w:p>
            <w:pPr>
              <w:overflowPunct w:val="0"/>
              <w:spacing w:line="4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履约地点</w:t>
            </w:r>
          </w:p>
        </w:tc>
        <w:tc>
          <w:tcPr>
            <w:tcW w:w="6892" w:type="dxa"/>
            <w:vAlign w:val="center"/>
          </w:tcPr>
          <w:p>
            <w:pPr>
              <w:spacing w:line="440" w:lineRule="exact"/>
              <w:rPr>
                <w:rFonts w:ascii="宋体" w:hAnsi="宋体"/>
                <w:szCs w:val="21"/>
                <w:highlight w:val="none"/>
              </w:rPr>
            </w:pPr>
            <w:r>
              <w:rPr>
                <w:rFonts w:hint="eastAsia" w:ascii="宋体" w:hAnsi="宋体"/>
                <w:szCs w:val="21"/>
                <w:highlight w:val="none"/>
              </w:rPr>
              <w:t>供货至喀什大学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0" w:type="dxa"/>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0</w:t>
            </w:r>
          </w:p>
        </w:tc>
        <w:tc>
          <w:tcPr>
            <w:tcW w:w="2259" w:type="dxa"/>
            <w:vAlign w:val="center"/>
          </w:tcPr>
          <w:p>
            <w:pPr>
              <w:jc w:val="center"/>
              <w:rPr>
                <w:rFonts w:ascii="宋体" w:hAnsi="宋体"/>
                <w:szCs w:val="21"/>
              </w:rPr>
            </w:pPr>
            <w:r>
              <w:rPr>
                <w:rFonts w:hint="eastAsia" w:ascii="宋体" w:hAnsi="宋体"/>
                <w:szCs w:val="21"/>
              </w:rPr>
              <w:t>政府采购政策支持</w:t>
            </w:r>
          </w:p>
        </w:tc>
        <w:tc>
          <w:tcPr>
            <w:tcW w:w="6892" w:type="dxa"/>
          </w:tcPr>
          <w:p>
            <w:pPr>
              <w:spacing w:line="276" w:lineRule="auto"/>
              <w:rPr>
                <w:rFonts w:ascii="宋体" w:hAnsi="宋体"/>
                <w:szCs w:val="21"/>
              </w:rPr>
            </w:pPr>
            <w:r>
              <w:rPr>
                <w:rFonts w:ascii="宋体" w:hAnsi="宋体"/>
                <w:szCs w:val="21"/>
              </w:rPr>
              <w:t>1</w:t>
            </w:r>
            <w:r>
              <w:rPr>
                <w:rFonts w:hint="eastAsia" w:ascii="宋体" w:hAnsi="宋体"/>
                <w:szCs w:val="21"/>
              </w:rPr>
              <w:t>、本项目为非专门面向中小企业（含中型、小型、微型企业）采购项目，根据《政府采购促进中小企业发展暂行办法》（财库</w:t>
            </w:r>
            <w:r>
              <w:rPr>
                <w:rFonts w:ascii="宋体" w:hAnsi="宋体"/>
                <w:szCs w:val="21"/>
              </w:rPr>
              <w:t>[2011]181</w:t>
            </w:r>
            <w:r>
              <w:rPr>
                <w:rFonts w:hint="eastAsia" w:ascii="宋体" w:hAnsi="宋体"/>
                <w:szCs w:val="21"/>
              </w:rPr>
              <w:t>号）的规定，评标时将给予此类企业进行价格</w:t>
            </w:r>
            <w:r>
              <w:rPr>
                <w:rFonts w:ascii="宋体" w:hAnsi="宋体"/>
                <w:szCs w:val="21"/>
              </w:rPr>
              <w:t>6%</w:t>
            </w:r>
            <w:r>
              <w:rPr>
                <w:rFonts w:hint="eastAsia" w:ascii="宋体" w:hAnsi="宋体"/>
                <w:szCs w:val="21"/>
              </w:rPr>
              <w:t>的优惠，监狱企业、残疾人福利性单位视同为小微企业，用优 惠后的价格参与评审。</w:t>
            </w:r>
          </w:p>
          <w:p>
            <w:pPr>
              <w:spacing w:line="276" w:lineRule="auto"/>
              <w:rPr>
                <w:rFonts w:ascii="宋体" w:hAnsi="宋体"/>
                <w:szCs w:val="21"/>
              </w:rPr>
            </w:pPr>
            <w:r>
              <w:rPr>
                <w:rFonts w:ascii="宋体" w:hAnsi="宋体"/>
                <w:szCs w:val="21"/>
              </w:rPr>
              <w:t>2</w:t>
            </w:r>
            <w:r>
              <w:rPr>
                <w:rFonts w:hint="eastAsia" w:ascii="宋体" w:hAnsi="宋体"/>
                <w:szCs w:val="21"/>
              </w:rPr>
              <w:t>、政府采购强制采购：标记★符号的节能产品：</w:t>
            </w:r>
          </w:p>
          <w:p>
            <w:pPr>
              <w:spacing w:line="276" w:lineRule="auto"/>
              <w:rPr>
                <w:rFonts w:ascii="宋体" w:hAnsi="宋体"/>
                <w:szCs w:val="21"/>
              </w:rPr>
            </w:pPr>
            <w:r>
              <w:rPr>
                <w:rFonts w:hint="eastAsia" w:ascii="宋体" w:hAnsi="宋体"/>
                <w:szCs w:val="21"/>
              </w:rPr>
              <w:t>符合《节能产品政府采购清单》</w:t>
            </w:r>
            <w:r>
              <w:rPr>
                <w:rFonts w:ascii="宋体" w:hAnsi="宋体"/>
                <w:szCs w:val="21"/>
              </w:rPr>
              <w:t>(</w:t>
            </w:r>
            <w:r>
              <w:rPr>
                <w:rFonts w:hint="eastAsia" w:ascii="宋体" w:hAnsi="宋体"/>
                <w:szCs w:val="21"/>
              </w:rPr>
              <w:t>最新一期</w:t>
            </w:r>
            <w:r>
              <w:rPr>
                <w:rFonts w:ascii="宋体" w:hAnsi="宋体"/>
                <w:szCs w:val="21"/>
              </w:rPr>
              <w:t>)</w:t>
            </w:r>
            <w:r>
              <w:rPr>
                <w:rFonts w:hint="eastAsia" w:ascii="宋体" w:hAnsi="宋体"/>
                <w:szCs w:val="21"/>
              </w:rPr>
              <w:t>目录内的强制采购节能产品。</w:t>
            </w:r>
          </w:p>
          <w:p>
            <w:pPr>
              <w:spacing w:line="276" w:lineRule="auto"/>
              <w:rPr>
                <w:rFonts w:ascii="宋体" w:hAnsi="宋体"/>
                <w:szCs w:val="21"/>
              </w:rPr>
            </w:pPr>
            <w:r>
              <w:rPr>
                <w:rFonts w:ascii="宋体" w:hAnsi="宋体"/>
                <w:szCs w:val="21"/>
              </w:rPr>
              <w:t>3</w:t>
            </w:r>
            <w:r>
              <w:rPr>
                <w:rFonts w:hint="eastAsia" w:ascii="宋体" w:hAnsi="宋体"/>
                <w:szCs w:val="21"/>
              </w:rPr>
              <w:t>、政府采购优先采购：</w:t>
            </w:r>
            <w:r>
              <w:rPr>
                <w:rFonts w:ascii="宋体" w:hAnsi="宋体"/>
                <w:szCs w:val="21"/>
              </w:rPr>
              <w:t>(1)</w:t>
            </w:r>
            <w:r>
              <w:rPr>
                <w:rFonts w:hint="eastAsia" w:ascii="宋体" w:hAnsi="宋体"/>
                <w:szCs w:val="21"/>
              </w:rPr>
              <w:t>非标记★符号的节能产品；</w:t>
            </w:r>
            <w:r>
              <w:rPr>
                <w:rFonts w:ascii="宋体" w:hAnsi="宋体"/>
                <w:szCs w:val="21"/>
              </w:rPr>
              <w:t>(2)</w:t>
            </w:r>
            <w:r>
              <w:rPr>
                <w:rFonts w:hint="eastAsia" w:ascii="宋体" w:hAnsi="宋体"/>
                <w:szCs w:val="21"/>
              </w:rPr>
              <w:t>环境标志产品；</w:t>
            </w:r>
          </w:p>
          <w:p>
            <w:pPr>
              <w:spacing w:line="276" w:lineRule="auto"/>
              <w:rPr>
                <w:rFonts w:ascii="宋体" w:hAnsi="宋体"/>
                <w:szCs w:val="21"/>
              </w:rPr>
            </w:pPr>
            <w:r>
              <w:rPr>
                <w:rFonts w:hint="eastAsia" w:ascii="宋体" w:hAnsi="宋体"/>
                <w:szCs w:val="21"/>
              </w:rPr>
              <w:t>采购产品为《节能产品政府采购清单》(最新一期)</w:t>
            </w:r>
            <w:r>
              <w:rPr>
                <w:rFonts w:ascii="宋体" w:hAnsi="宋体"/>
                <w:szCs w:val="21"/>
              </w:rPr>
              <w:t xml:space="preserve"> </w:t>
            </w:r>
            <w:r>
              <w:rPr>
                <w:rFonts w:hint="eastAsia" w:ascii="宋体" w:hAnsi="宋体"/>
                <w:szCs w:val="21"/>
              </w:rPr>
              <w:t>内非标记★符号的节能产品及《环境标志产品政府采购清单》(最新一期)内的产品：</w:t>
            </w:r>
          </w:p>
          <w:p>
            <w:pPr>
              <w:spacing w:line="276" w:lineRule="auto"/>
              <w:rPr>
                <w:rFonts w:ascii="宋体" w:hAnsi="宋体"/>
                <w:szCs w:val="21"/>
              </w:rPr>
            </w:pPr>
            <w:r>
              <w:rPr>
                <w:rFonts w:ascii="宋体" w:hAnsi="宋体"/>
                <w:szCs w:val="21"/>
              </w:rPr>
              <w:t>1</w:t>
            </w:r>
            <w:r>
              <w:rPr>
                <w:rFonts w:hint="eastAsia" w:ascii="宋体" w:hAnsi="宋体"/>
                <w:szCs w:val="21"/>
              </w:rPr>
              <w:t>、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w:t>
            </w:r>
            <w:r>
              <w:rPr>
                <w:rFonts w:hint="eastAsia" w:ascii="宋体" w:hAnsi="宋体"/>
                <w:b/>
                <w:szCs w:val="21"/>
              </w:rPr>
              <w:t>未单独分项报价且未提供属于清单内产品的证明资料的不给予折扣优惠。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0" w:type="dxa"/>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1</w:t>
            </w:r>
          </w:p>
        </w:tc>
        <w:tc>
          <w:tcPr>
            <w:tcW w:w="2259" w:type="dxa"/>
            <w:vAlign w:val="center"/>
          </w:tcPr>
          <w:p>
            <w:pPr>
              <w:overflowPunct w:val="0"/>
              <w:spacing w:line="440" w:lineRule="exact"/>
              <w:jc w:val="center"/>
              <w:rPr>
                <w:rFonts w:ascii="宋体" w:hAnsi="宋体"/>
                <w:szCs w:val="21"/>
              </w:rPr>
            </w:pPr>
            <w:r>
              <w:rPr>
                <w:rFonts w:hint="eastAsia" w:ascii="宋体" w:hAnsi="宋体"/>
                <w:szCs w:val="21"/>
              </w:rPr>
              <w:t>质疑须知</w:t>
            </w:r>
          </w:p>
        </w:tc>
        <w:tc>
          <w:tcPr>
            <w:tcW w:w="6892" w:type="dxa"/>
            <w:vAlign w:val="center"/>
          </w:tcPr>
          <w:p>
            <w:pPr>
              <w:overflowPunct w:val="0"/>
              <w:spacing w:line="440" w:lineRule="exact"/>
              <w:rPr>
                <w:rFonts w:ascii="宋体" w:hAnsi="宋体"/>
                <w:szCs w:val="21"/>
              </w:rPr>
            </w:pPr>
            <w:r>
              <w:rPr>
                <w:rFonts w:hint="eastAsia" w:ascii="宋体" w:hAnsi="宋体"/>
                <w:szCs w:val="21"/>
              </w:rPr>
              <w:t>接收质疑函的方式：现场递交纸质版及Word格式电子版质疑文件至接受单位</w:t>
            </w:r>
          </w:p>
          <w:p>
            <w:pPr>
              <w:overflowPunct w:val="0"/>
              <w:spacing w:line="440" w:lineRule="exact"/>
              <w:rPr>
                <w:rFonts w:hint="eastAsia" w:ascii="宋体" w:hAnsi="宋体" w:eastAsia="宋体"/>
                <w:szCs w:val="21"/>
                <w:lang w:eastAsia="zh-CN"/>
              </w:rPr>
            </w:pPr>
            <w:r>
              <w:rPr>
                <w:rFonts w:hint="eastAsia" w:ascii="宋体" w:hAnsi="宋体"/>
                <w:szCs w:val="21"/>
              </w:rPr>
              <w:t>接受质疑的单位：</w:t>
            </w:r>
            <w:r>
              <w:rPr>
                <w:rFonts w:hint="eastAsia" w:ascii="宋体" w:hAnsi="宋体"/>
                <w:szCs w:val="21"/>
                <w:lang w:eastAsia="zh-CN"/>
              </w:rPr>
              <w:t>新疆爱满疆工程咨询有限公司</w:t>
            </w:r>
          </w:p>
          <w:p>
            <w:pPr>
              <w:overflowPunct w:val="0"/>
              <w:spacing w:line="440" w:lineRule="exact"/>
              <w:rPr>
                <w:rFonts w:hint="default" w:ascii="宋体" w:hAnsi="宋体" w:eastAsia="宋体"/>
                <w:szCs w:val="21"/>
                <w:lang w:val="en-US" w:eastAsia="zh-CN"/>
              </w:rPr>
            </w:pPr>
            <w:r>
              <w:rPr>
                <w:rFonts w:hint="eastAsia" w:ascii="宋体" w:hAnsi="宋体"/>
                <w:szCs w:val="21"/>
              </w:rPr>
              <w:t>联系电话：</w:t>
            </w:r>
            <w:r>
              <w:rPr>
                <w:rFonts w:hint="eastAsia" w:ascii="宋体" w:hAnsi="宋体"/>
                <w:szCs w:val="21"/>
                <w:lang w:val="en-US" w:eastAsia="zh-CN"/>
              </w:rPr>
              <w:t>17590356999</w:t>
            </w:r>
          </w:p>
          <w:p>
            <w:pPr>
              <w:overflowPunct w:val="0"/>
              <w:spacing w:line="440" w:lineRule="exact"/>
              <w:rPr>
                <w:rFonts w:ascii="宋体" w:hAnsi="宋体"/>
                <w:szCs w:val="21"/>
              </w:rPr>
            </w:pPr>
            <w:r>
              <w:rPr>
                <w:rFonts w:hint="eastAsia" w:ascii="宋体" w:hAnsi="宋体"/>
                <w:szCs w:val="21"/>
              </w:rPr>
              <w:t>地址：</w:t>
            </w:r>
            <w:r>
              <w:rPr>
                <w:rFonts w:hint="eastAsia" w:ascii="宋体" w:hAnsi="宋体"/>
                <w:szCs w:val="21"/>
                <w:lang w:eastAsia="zh-CN"/>
              </w:rPr>
              <w:t>喀什市滨河南路003号亚朵酒店院内新疆招商引资中心二楼</w:t>
            </w:r>
            <w:r>
              <w:rPr>
                <w:rFonts w:hint="eastAsia" w:ascii="宋体" w:hAnsi="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0" w:type="dxa"/>
            <w:vAlign w:val="center"/>
          </w:tcPr>
          <w:p>
            <w:pPr>
              <w:overflowPunct w:val="0"/>
              <w:spacing w:line="44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2</w:t>
            </w:r>
          </w:p>
        </w:tc>
        <w:tc>
          <w:tcPr>
            <w:tcW w:w="2259" w:type="dxa"/>
            <w:vAlign w:val="center"/>
          </w:tcPr>
          <w:p>
            <w:pPr>
              <w:pStyle w:val="92"/>
              <w:spacing w:line="440" w:lineRule="exact"/>
              <w:jc w:val="center"/>
              <w:rPr>
                <w:rFonts w:cs="Times New Roman"/>
                <w:kern w:val="2"/>
                <w:sz w:val="21"/>
                <w:szCs w:val="21"/>
              </w:rPr>
            </w:pPr>
            <w:r>
              <w:rPr>
                <w:rFonts w:hint="eastAsia" w:cs="Times New Roman"/>
                <w:kern w:val="2"/>
                <w:sz w:val="21"/>
                <w:szCs w:val="21"/>
              </w:rPr>
              <w:t>诚信承诺</w:t>
            </w:r>
          </w:p>
        </w:tc>
        <w:tc>
          <w:tcPr>
            <w:tcW w:w="6892" w:type="dxa"/>
            <w:vAlign w:val="center"/>
          </w:tcPr>
          <w:p>
            <w:pPr>
              <w:widowControl/>
              <w:spacing w:line="440" w:lineRule="exact"/>
              <w:jc w:val="left"/>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本项目不接受失信企业投标；</w:t>
            </w:r>
          </w:p>
          <w:p>
            <w:pPr>
              <w:pStyle w:val="92"/>
              <w:spacing w:line="440" w:lineRule="exact"/>
              <w:rPr>
                <w:rFonts w:cs="Times New Roman"/>
                <w:kern w:val="2"/>
                <w:sz w:val="21"/>
                <w:szCs w:val="21"/>
              </w:rPr>
            </w:pPr>
            <w:r>
              <w:rPr>
                <w:rFonts w:hint="eastAsia" w:cs="Times New Roman"/>
                <w:kern w:val="2"/>
                <w:sz w:val="21"/>
                <w:szCs w:val="21"/>
              </w:rPr>
              <w:t>2、供应商参加政府采购活动时，应当就自己的诚信情况在投标文件中进行承诺。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880" w:type="dxa"/>
            <w:vAlign w:val="center"/>
          </w:tcPr>
          <w:p>
            <w:pPr>
              <w:overflowPunct w:val="0"/>
              <w:spacing w:line="440" w:lineRule="exact"/>
              <w:jc w:val="center"/>
              <w:rPr>
                <w:rFonts w:ascii="宋体" w:hAnsi="宋体"/>
                <w:b/>
                <w:szCs w:val="21"/>
              </w:rPr>
            </w:pPr>
            <w:r>
              <w:rPr>
                <w:rFonts w:hint="eastAsia" w:ascii="宋体" w:hAnsi="宋体"/>
                <w:b/>
                <w:szCs w:val="21"/>
              </w:rPr>
              <w:t>备注</w:t>
            </w:r>
          </w:p>
        </w:tc>
        <w:tc>
          <w:tcPr>
            <w:tcW w:w="9151" w:type="dxa"/>
            <w:gridSpan w:val="2"/>
            <w:vAlign w:val="center"/>
          </w:tcPr>
          <w:p>
            <w:pPr>
              <w:spacing w:line="440" w:lineRule="exact"/>
              <w:ind w:firstLine="413" w:firstLineChars="196"/>
              <w:rPr>
                <w:rFonts w:ascii="宋体" w:hAnsi="宋体"/>
                <w:b/>
                <w:szCs w:val="21"/>
              </w:rPr>
            </w:pPr>
            <w:r>
              <w:rPr>
                <w:rFonts w:hint="eastAsia" w:ascii="宋体" w:hAnsi="宋体"/>
                <w:b/>
                <w:szCs w:val="21"/>
              </w:rPr>
              <w:t>1、单一来源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spacing w:line="360" w:lineRule="auto"/>
              <w:ind w:firstLine="413" w:firstLineChars="196"/>
              <w:rPr>
                <w:rFonts w:ascii="宋体" w:hAnsi="宋体"/>
                <w:b/>
                <w:szCs w:val="21"/>
              </w:rPr>
            </w:pPr>
            <w:r>
              <w:rPr>
                <w:rFonts w:hint="eastAsia" w:ascii="宋体" w:hAnsi="宋体"/>
                <w:b/>
                <w:szCs w:val="21"/>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5" w:hRule="atLeast"/>
          <w:jc w:val="center"/>
        </w:trPr>
        <w:tc>
          <w:tcPr>
            <w:tcW w:w="10031" w:type="dxa"/>
            <w:gridSpan w:val="3"/>
            <w:vAlign w:val="center"/>
          </w:tcPr>
          <w:p>
            <w:pPr>
              <w:spacing w:line="360" w:lineRule="auto"/>
              <w:ind w:firstLine="413" w:firstLineChars="196"/>
              <w:rPr>
                <w:rFonts w:ascii="宋体" w:hAnsi="宋体"/>
                <w:b/>
                <w:szCs w:val="21"/>
              </w:rPr>
            </w:pPr>
            <w:r>
              <w:rPr>
                <w:rFonts w:hint="eastAsia" w:ascii="宋体" w:hAnsi="宋体"/>
                <w:b/>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360" w:lineRule="auto"/>
        <w:ind w:firstLine="3837" w:firstLineChars="1274"/>
        <w:rPr>
          <w:rFonts w:ascii="宋体" w:hAnsi="宋体"/>
          <w:b/>
          <w:color w:val="000000"/>
          <w:sz w:val="30"/>
          <w:szCs w:val="30"/>
        </w:rPr>
      </w:pPr>
    </w:p>
    <w:p>
      <w:pPr>
        <w:spacing w:line="360" w:lineRule="auto"/>
        <w:ind w:left="630"/>
        <w:rPr>
          <w:rFonts w:ascii="宋体" w:hAnsi="宋体"/>
          <w:b/>
          <w:color w:val="000000"/>
          <w:szCs w:val="28"/>
        </w:rPr>
      </w:pPr>
    </w:p>
    <w:p>
      <w:pPr>
        <w:spacing w:line="440" w:lineRule="exact"/>
        <w:ind w:firstLine="1293" w:firstLineChars="539"/>
        <w:jc w:val="left"/>
        <w:rPr>
          <w:rFonts w:ascii="宋体" w:hAnsi="宋体"/>
          <w:sz w:val="24"/>
          <w:szCs w:val="24"/>
        </w:rPr>
        <w:sectPr>
          <w:pgSz w:w="11906" w:h="16838"/>
          <w:pgMar w:top="1134" w:right="1134" w:bottom="1134" w:left="1134" w:header="851" w:footer="992" w:gutter="0"/>
          <w:pgNumType w:fmt="decimal"/>
          <w:cols w:space="720" w:num="1"/>
          <w:docGrid w:type="lines" w:linePitch="333" w:charSpace="0"/>
        </w:sectPr>
      </w:pPr>
    </w:p>
    <w:p>
      <w:pPr>
        <w:pStyle w:val="85"/>
        <w:spacing w:line="440" w:lineRule="exact"/>
        <w:jc w:val="center"/>
        <w:outlineLvl w:val="0"/>
        <w:rPr>
          <w:rFonts w:ascii="宋体" w:hAnsi="宋体"/>
          <w:b/>
          <w:color w:val="auto"/>
          <w:kern w:val="2"/>
          <w:sz w:val="36"/>
          <w:szCs w:val="20"/>
        </w:rPr>
      </w:pPr>
      <w:bookmarkStart w:id="4" w:name="_Toc17902411"/>
      <w:r>
        <w:rPr>
          <w:rFonts w:hint="eastAsia" w:ascii="宋体" w:hAnsi="宋体"/>
          <w:b/>
          <w:color w:val="auto"/>
          <w:kern w:val="2"/>
          <w:sz w:val="36"/>
          <w:szCs w:val="20"/>
        </w:rPr>
        <w:t>第二部分    招标说明</w:t>
      </w:r>
      <w:bookmarkEnd w:id="4"/>
    </w:p>
    <w:p>
      <w:pPr>
        <w:pStyle w:val="85"/>
        <w:spacing w:beforeLines="50" w:line="440" w:lineRule="exact"/>
        <w:jc w:val="center"/>
        <w:outlineLvl w:val="1"/>
        <w:rPr>
          <w:rFonts w:ascii="宋体" w:hAnsi="宋体"/>
          <w:b/>
          <w:color w:val="auto"/>
          <w:kern w:val="2"/>
          <w:sz w:val="32"/>
          <w:szCs w:val="32"/>
        </w:rPr>
      </w:pPr>
      <w:bookmarkStart w:id="5" w:name="_Toc17902412"/>
      <w:r>
        <w:rPr>
          <w:rFonts w:hint="eastAsia" w:ascii="宋体" w:hAnsi="宋体"/>
          <w:b/>
          <w:color w:val="auto"/>
          <w:kern w:val="2"/>
          <w:sz w:val="32"/>
          <w:szCs w:val="32"/>
        </w:rPr>
        <w:t>第一章 总则</w:t>
      </w:r>
      <w:bookmarkEnd w:id="5"/>
    </w:p>
    <w:p>
      <w:pPr>
        <w:spacing w:line="440" w:lineRule="exact"/>
        <w:ind w:firstLine="472" w:firstLineChars="196"/>
        <w:rPr>
          <w:rFonts w:ascii="宋体" w:hAnsi="宋体"/>
          <w:b/>
          <w:sz w:val="24"/>
        </w:rPr>
      </w:pPr>
      <w:r>
        <w:rPr>
          <w:rFonts w:hint="eastAsia" w:ascii="宋体" w:hAnsi="宋体"/>
          <w:b/>
          <w:sz w:val="24"/>
        </w:rPr>
        <w:t>1. 适用范围</w:t>
      </w:r>
    </w:p>
    <w:p>
      <w:pPr>
        <w:spacing w:line="440" w:lineRule="exact"/>
        <w:ind w:firstLine="480" w:firstLineChars="200"/>
        <w:rPr>
          <w:rFonts w:ascii="宋体" w:hAnsi="宋体"/>
          <w:sz w:val="24"/>
        </w:rPr>
      </w:pPr>
      <w:r>
        <w:rPr>
          <w:rFonts w:hint="eastAsia" w:ascii="宋体" w:hAnsi="宋体"/>
          <w:sz w:val="24"/>
        </w:rPr>
        <w:t>1.1  本单一来源采购文件仅适用于本次招标活动。</w:t>
      </w:r>
    </w:p>
    <w:p>
      <w:pPr>
        <w:tabs>
          <w:tab w:val="left" w:pos="1185"/>
        </w:tabs>
        <w:spacing w:line="440" w:lineRule="exact"/>
        <w:ind w:firstLine="482" w:firstLineChars="200"/>
        <w:rPr>
          <w:rFonts w:ascii="宋体" w:hAnsi="宋体"/>
          <w:b/>
          <w:sz w:val="24"/>
        </w:rPr>
      </w:pPr>
      <w:r>
        <w:rPr>
          <w:rFonts w:hint="eastAsia" w:ascii="宋体" w:hAnsi="宋体"/>
          <w:b/>
          <w:sz w:val="24"/>
        </w:rPr>
        <w:t>2. 投标资格</w:t>
      </w:r>
    </w:p>
    <w:p>
      <w:pPr>
        <w:spacing w:line="440" w:lineRule="exact"/>
        <w:ind w:firstLine="480" w:firstLineChars="200"/>
        <w:rPr>
          <w:rFonts w:ascii="宋体" w:hAnsi="宋体"/>
          <w:sz w:val="24"/>
        </w:rPr>
      </w:pPr>
      <w:r>
        <w:rPr>
          <w:rFonts w:hint="eastAsia" w:ascii="宋体" w:hAnsi="宋体"/>
          <w:sz w:val="24"/>
        </w:rPr>
        <w:t>2.1　具有承担本项目的能力以及符合下述条件的供应商（制造商、代理商）均为合格的投标人：</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w:t>
      </w:r>
      <w:r>
        <w:rPr>
          <w:rFonts w:hint="eastAsia" w:ascii="宋体" w:hAnsi="宋体" w:cs="宋体"/>
          <w:kern w:val="0"/>
          <w:sz w:val="24"/>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r>
        <w:rPr>
          <w:rFonts w:hint="eastAsia" w:ascii="宋体" w:hAnsi="宋体" w:cs="宋体"/>
          <w:kern w:val="0"/>
          <w:sz w:val="24"/>
          <w:highlight w:val="none"/>
        </w:rPr>
        <w:t>；</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eastAsia="zh-CN"/>
        </w:rPr>
        <w:t>具有营业执照正本或副本；</w:t>
      </w:r>
    </w:p>
    <w:p>
      <w:pPr>
        <w:pStyle w:val="3"/>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）法人投标需提供法人身份证明</w:t>
      </w:r>
      <w:r>
        <w:rPr>
          <w:rFonts w:hint="eastAsia" w:hAnsi="宋体" w:cs="宋体"/>
          <w:kern w:val="0"/>
          <w:sz w:val="24"/>
          <w:highlight w:val="none"/>
          <w:lang w:val="en-US" w:eastAsia="zh-CN"/>
        </w:rPr>
        <w:t>及身份证</w:t>
      </w:r>
      <w:r>
        <w:rPr>
          <w:rFonts w:hint="eastAsia" w:ascii="宋体" w:hAnsi="宋体" w:cs="宋体"/>
          <w:kern w:val="0"/>
          <w:sz w:val="24"/>
          <w:highlight w:val="none"/>
        </w:rPr>
        <w:t>，授权委托人需提供法人授权委托书及身份证；</w:t>
      </w:r>
    </w:p>
    <w:p>
      <w:pPr>
        <w:pStyle w:val="3"/>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）投标单位提供本单位依法缴纳近三个月</w:t>
      </w:r>
      <w:r>
        <w:rPr>
          <w:rFonts w:hint="eastAsia" w:ascii="宋体" w:hAnsi="宋体" w:cs="宋体"/>
          <w:kern w:val="0"/>
          <w:sz w:val="24"/>
          <w:highlight w:val="none"/>
          <w:lang w:eastAsia="zh-CN"/>
        </w:rPr>
        <w:t>内任意一个月</w:t>
      </w:r>
      <w:r>
        <w:rPr>
          <w:rFonts w:hint="eastAsia" w:ascii="宋体" w:hAnsi="宋体" w:cs="宋体"/>
          <w:kern w:val="0"/>
          <w:sz w:val="24"/>
          <w:highlight w:val="none"/>
        </w:rPr>
        <w:t>的社保证明；</w:t>
      </w:r>
    </w:p>
    <w:p>
      <w:pPr>
        <w:pStyle w:val="3"/>
        <w:rPr>
          <w:rFonts w:hint="eastAsia" w:ascii="宋体" w:hAnsi="宋体" w:cs="宋体"/>
          <w:kern w:val="0"/>
          <w:sz w:val="24"/>
          <w:highlight w:val="none"/>
        </w:rPr>
      </w:pPr>
      <w:r>
        <w:rPr>
          <w:rFonts w:hint="eastAsia" w:ascii="宋体" w:hAnsi="宋体" w:cs="宋体"/>
          <w:kern w:val="0"/>
          <w:sz w:val="24"/>
          <w:highlight w:val="none"/>
          <w:lang w:val="en-US" w:eastAsia="zh-CN"/>
        </w:rPr>
        <w:t>（5）</w:t>
      </w:r>
      <w:r>
        <w:rPr>
          <w:rFonts w:hint="eastAsia" w:hAnsi="宋体" w:cs="宋体"/>
          <w:kern w:val="0"/>
          <w:sz w:val="24"/>
          <w:highlight w:val="none"/>
          <w:lang w:val="en-US" w:eastAsia="zh-CN"/>
        </w:rPr>
        <w:t>提供税务部门出具的近六个月内任意一个月的完税证明</w:t>
      </w:r>
      <w:r>
        <w:rPr>
          <w:rFonts w:hint="eastAsia" w:ascii="宋体" w:hAnsi="宋体" w:cs="宋体"/>
          <w:kern w:val="0"/>
          <w:sz w:val="24"/>
          <w:highlight w:val="none"/>
        </w:rPr>
        <w:t>；</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6</w:t>
      </w:r>
      <w:r>
        <w:rPr>
          <w:rFonts w:hint="eastAsia" w:ascii="宋体" w:hAnsi="宋体" w:cs="宋体"/>
          <w:kern w:val="0"/>
          <w:sz w:val="24"/>
          <w:highlight w:val="none"/>
        </w:rPr>
        <w:t>）提供202</w:t>
      </w:r>
      <w:r>
        <w:rPr>
          <w:rFonts w:hint="eastAsia" w:hAnsi="宋体" w:cs="宋体"/>
          <w:kern w:val="0"/>
          <w:sz w:val="24"/>
          <w:highlight w:val="none"/>
          <w:lang w:val="en-US" w:eastAsia="zh-CN"/>
        </w:rPr>
        <w:t>1</w:t>
      </w:r>
      <w:r>
        <w:rPr>
          <w:rFonts w:hint="eastAsia" w:ascii="宋体" w:hAnsi="宋体" w:cs="宋体"/>
          <w:kern w:val="0"/>
          <w:sz w:val="24"/>
          <w:highlight w:val="none"/>
        </w:rPr>
        <w:t>年的财务审计报告（新成立公司需提供银行资信证明）</w:t>
      </w:r>
      <w:r>
        <w:rPr>
          <w:rFonts w:hint="eastAsia" w:ascii="宋体" w:hAnsi="宋体" w:cs="宋体"/>
          <w:kern w:val="0"/>
          <w:sz w:val="24"/>
          <w:highlight w:val="none"/>
          <w:lang w:eastAsia="zh-CN"/>
        </w:rPr>
        <w:t>；</w:t>
      </w:r>
    </w:p>
    <w:p>
      <w:pPr>
        <w:pStyle w:val="3"/>
        <w:rPr>
          <w:rFonts w:hint="eastAsia" w:ascii="宋体" w:hAnsi="宋体" w:cs="宋体"/>
          <w:kern w:val="0"/>
          <w:sz w:val="24"/>
          <w:highlight w:val="none"/>
          <w:lang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7</w:t>
      </w:r>
      <w:r>
        <w:rPr>
          <w:rFonts w:hint="eastAsia" w:ascii="宋体" w:hAnsi="宋体" w:cs="宋体"/>
          <w:kern w:val="0"/>
          <w:sz w:val="24"/>
          <w:highlight w:val="none"/>
          <w:lang w:eastAsia="zh-CN"/>
        </w:rPr>
        <w:t>）提供参加政府采购活动前3年内在经营活动中没有重大违法记录的书面声明；</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8</w:t>
      </w:r>
      <w:r>
        <w:rPr>
          <w:rFonts w:hint="eastAsia" w:ascii="宋体" w:hAnsi="宋体" w:cs="宋体"/>
          <w:kern w:val="0"/>
          <w:sz w:val="24"/>
          <w:highlight w:val="none"/>
        </w:rPr>
        <w:t>）提供针对本次项目的反商业贿赂承诺书</w:t>
      </w:r>
      <w:r>
        <w:rPr>
          <w:rFonts w:hint="eastAsia" w:ascii="宋体" w:hAnsi="宋体" w:cs="宋体"/>
          <w:kern w:val="0"/>
          <w:sz w:val="24"/>
          <w:highlight w:val="none"/>
          <w:lang w:eastAsia="zh-CN"/>
        </w:rPr>
        <w:t>；</w:t>
      </w:r>
    </w:p>
    <w:p>
      <w:pPr>
        <w:pStyle w:val="3"/>
        <w:rPr>
          <w:rFonts w:hint="eastAsia" w:ascii="宋体" w:hAnsi="宋体" w:eastAsia="宋体" w:cs="宋体"/>
          <w:kern w:val="0"/>
          <w:sz w:val="24"/>
          <w:highlight w:val="none"/>
          <w:lang w:val="en-US" w:eastAsia="zh-CN" w:bidi="ar-SA"/>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9）提供缴纳投标保证金的有效凭证</w:t>
      </w:r>
      <w:r>
        <w:rPr>
          <w:rFonts w:hint="eastAsia" w:ascii="宋体" w:hAnsi="宋体" w:eastAsia="宋体" w:cs="宋体"/>
          <w:kern w:val="0"/>
          <w:sz w:val="24"/>
          <w:highlight w:val="none"/>
          <w:lang w:val="en-US" w:eastAsia="zh-CN" w:bidi="ar-SA"/>
        </w:rPr>
        <w:t>。</w:t>
      </w:r>
    </w:p>
    <w:p>
      <w:pPr>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10</w:t>
      </w:r>
      <w:r>
        <w:rPr>
          <w:rFonts w:hint="eastAsia" w:ascii="宋体" w:hAnsi="宋体" w:cs="宋体"/>
          <w:kern w:val="0"/>
          <w:sz w:val="24"/>
          <w:highlight w:val="none"/>
        </w:rPr>
        <w:t>）本项目不接受联合体投标。</w:t>
      </w:r>
    </w:p>
    <w:p>
      <w:pPr>
        <w:spacing w:line="440" w:lineRule="exact"/>
        <w:ind w:firstLine="482" w:firstLineChars="200"/>
        <w:rPr>
          <w:rFonts w:ascii="宋体" w:hAnsi="宋体"/>
          <w:b/>
          <w:sz w:val="24"/>
        </w:rPr>
      </w:pPr>
      <w:r>
        <w:rPr>
          <w:rFonts w:hint="eastAsia" w:ascii="宋体" w:hAnsi="宋体"/>
          <w:b/>
          <w:sz w:val="24"/>
        </w:rPr>
        <w:t>3. 定义</w:t>
      </w:r>
    </w:p>
    <w:p>
      <w:pPr>
        <w:spacing w:line="440" w:lineRule="exact"/>
        <w:ind w:firstLine="482"/>
        <w:rPr>
          <w:rFonts w:ascii="宋体" w:hAnsi="宋体"/>
          <w:sz w:val="24"/>
        </w:rPr>
      </w:pPr>
      <w:r>
        <w:rPr>
          <w:rFonts w:hint="eastAsia" w:ascii="宋体" w:hAnsi="宋体"/>
          <w:sz w:val="24"/>
        </w:rPr>
        <w:t>下列术语和缩写的定义为：</w:t>
      </w:r>
    </w:p>
    <w:p>
      <w:pPr>
        <w:spacing w:line="440" w:lineRule="exact"/>
        <w:ind w:firstLine="482"/>
        <w:rPr>
          <w:rFonts w:ascii="宋体" w:hAnsi="宋体"/>
          <w:sz w:val="24"/>
        </w:rPr>
      </w:pPr>
      <w:r>
        <w:rPr>
          <w:rFonts w:hint="eastAsia" w:ascii="宋体" w:hAnsi="宋体"/>
          <w:sz w:val="24"/>
        </w:rPr>
        <w:t>3.1  “采购人”系指</w:t>
      </w:r>
      <w:r>
        <w:rPr>
          <w:rFonts w:hint="eastAsia" w:ascii="宋体" w:hAnsi="宋体"/>
          <w:sz w:val="24"/>
          <w:lang w:eastAsia="zh-CN"/>
        </w:rPr>
        <w:t xml:space="preserve">喀什大学 </w:t>
      </w:r>
      <w:r>
        <w:rPr>
          <w:rFonts w:hint="eastAsia" w:ascii="宋体" w:hAnsi="宋体"/>
          <w:sz w:val="24"/>
        </w:rPr>
        <w:t>。</w:t>
      </w:r>
    </w:p>
    <w:p>
      <w:pPr>
        <w:tabs>
          <w:tab w:val="left" w:pos="1185"/>
        </w:tabs>
        <w:spacing w:line="440" w:lineRule="exact"/>
        <w:ind w:left="480"/>
        <w:rPr>
          <w:rFonts w:ascii="宋体" w:hAnsi="宋体"/>
          <w:sz w:val="24"/>
        </w:rPr>
      </w:pPr>
      <w:r>
        <w:rPr>
          <w:rFonts w:hint="eastAsia" w:ascii="宋体" w:hAnsi="宋体"/>
          <w:sz w:val="24"/>
        </w:rPr>
        <w:t>3.2  “招标代理机构”系指</w:t>
      </w:r>
      <w:r>
        <w:rPr>
          <w:rFonts w:hint="eastAsia" w:ascii="宋体" w:hAnsi="宋体"/>
          <w:sz w:val="24"/>
          <w:lang w:eastAsia="zh-CN"/>
        </w:rPr>
        <w:t>新疆爱满疆工程咨询有限公司</w:t>
      </w:r>
      <w:r>
        <w:rPr>
          <w:rFonts w:hint="eastAsia" w:ascii="宋体" w:hAnsi="宋体"/>
          <w:sz w:val="24"/>
        </w:rPr>
        <w:t>。</w:t>
      </w:r>
    </w:p>
    <w:p>
      <w:pPr>
        <w:tabs>
          <w:tab w:val="left" w:pos="900"/>
        </w:tabs>
        <w:spacing w:line="440" w:lineRule="exact"/>
        <w:ind w:left="480"/>
        <w:rPr>
          <w:rFonts w:ascii="宋体" w:hAnsi="宋体"/>
          <w:sz w:val="24"/>
        </w:rPr>
      </w:pPr>
      <w:r>
        <w:rPr>
          <w:rFonts w:hint="eastAsia" w:ascii="宋体" w:hAnsi="宋体"/>
          <w:sz w:val="24"/>
        </w:rPr>
        <w:t>3.3  “招标方”系指采购人和招标代理机构的统称。</w:t>
      </w:r>
    </w:p>
    <w:p>
      <w:pPr>
        <w:tabs>
          <w:tab w:val="left" w:pos="1185"/>
        </w:tabs>
        <w:spacing w:line="440" w:lineRule="exact"/>
        <w:ind w:firstLine="480" w:firstLineChars="200"/>
        <w:rPr>
          <w:rFonts w:ascii="宋体" w:hAnsi="宋体"/>
          <w:sz w:val="24"/>
        </w:rPr>
      </w:pPr>
      <w:r>
        <w:rPr>
          <w:rFonts w:hint="eastAsia" w:ascii="宋体" w:hAnsi="宋体"/>
          <w:sz w:val="24"/>
        </w:rPr>
        <w:t>3.4  “投标人”系指有资格的</w:t>
      </w:r>
      <w:r>
        <w:rPr>
          <w:rFonts w:hint="eastAsia" w:ascii="宋体" w:hAnsi="宋体"/>
          <w:sz w:val="24"/>
          <w:szCs w:val="24"/>
        </w:rPr>
        <w:t>供应商（制造商、代理商）</w:t>
      </w:r>
      <w:r>
        <w:rPr>
          <w:rFonts w:hint="eastAsia" w:ascii="宋体" w:hAnsi="宋体"/>
          <w:sz w:val="24"/>
        </w:rPr>
        <w:t>。</w:t>
      </w:r>
    </w:p>
    <w:p>
      <w:pPr>
        <w:spacing w:line="440" w:lineRule="exact"/>
        <w:ind w:firstLine="482"/>
        <w:rPr>
          <w:rFonts w:ascii="宋体" w:hAnsi="宋体"/>
          <w:sz w:val="24"/>
        </w:rPr>
      </w:pPr>
      <w:r>
        <w:rPr>
          <w:rFonts w:hint="eastAsia" w:ascii="宋体" w:hAnsi="宋体"/>
          <w:sz w:val="24"/>
        </w:rPr>
        <w:t>3.5  “中标方”系指经评标委员会评定后得分最高并由评标委员会推荐的投标人。</w:t>
      </w:r>
    </w:p>
    <w:p>
      <w:pPr>
        <w:spacing w:line="440" w:lineRule="exact"/>
        <w:ind w:firstLine="482"/>
        <w:rPr>
          <w:rFonts w:ascii="宋体" w:hAnsi="宋体"/>
          <w:sz w:val="24"/>
        </w:rPr>
      </w:pPr>
      <w:r>
        <w:rPr>
          <w:rFonts w:hint="eastAsia" w:ascii="宋体" w:hAnsi="宋体"/>
          <w:sz w:val="24"/>
        </w:rPr>
        <w:t>3.6  “货物”、“产品”指本单一来源采购文件中第四部分《需求清单及技术参数》所述所有货物及相关服务。</w:t>
      </w:r>
    </w:p>
    <w:p>
      <w:pPr>
        <w:spacing w:line="440" w:lineRule="exact"/>
        <w:ind w:firstLine="482"/>
        <w:rPr>
          <w:rFonts w:ascii="宋体" w:hAnsi="宋体"/>
          <w:sz w:val="24"/>
          <w:szCs w:val="24"/>
        </w:rPr>
      </w:pPr>
      <w:r>
        <w:rPr>
          <w:rFonts w:hint="eastAsia" w:ascii="宋体" w:hAnsi="宋体"/>
          <w:sz w:val="24"/>
        </w:rPr>
        <w:t>3.7  “服务”系指单一来源采购文件</w:t>
      </w:r>
      <w:r>
        <w:rPr>
          <w:rFonts w:hint="eastAsia" w:ascii="宋体" w:hAnsi="宋体"/>
          <w:sz w:val="24"/>
          <w:szCs w:val="24"/>
        </w:rPr>
        <w:t>中规定投标人须承担的质保、技术协助、培训及其他类似的责任。</w:t>
      </w:r>
    </w:p>
    <w:p>
      <w:pPr>
        <w:spacing w:line="440" w:lineRule="exact"/>
        <w:ind w:firstLine="480" w:firstLineChars="200"/>
        <w:rPr>
          <w:rFonts w:ascii="宋体" w:hAnsi="宋体"/>
          <w:sz w:val="24"/>
        </w:rPr>
      </w:pPr>
      <w:r>
        <w:rPr>
          <w:rFonts w:hint="eastAsia" w:ascii="宋体" w:hAnsi="宋体"/>
          <w:sz w:val="24"/>
        </w:rPr>
        <w:t>3.8  “响应”系指投标人根据招标代理机构发布的单一来源采购文件，编制投标文件并按规定投标的行为。</w:t>
      </w:r>
    </w:p>
    <w:p>
      <w:pPr>
        <w:spacing w:line="440" w:lineRule="exact"/>
        <w:ind w:firstLine="480" w:firstLineChars="200"/>
        <w:rPr>
          <w:rFonts w:ascii="宋体" w:hAnsi="宋体"/>
          <w:sz w:val="24"/>
        </w:rPr>
      </w:pPr>
      <w:r>
        <w:rPr>
          <w:rFonts w:hint="eastAsia" w:ascii="宋体" w:hAnsi="宋体"/>
          <w:sz w:val="24"/>
        </w:rPr>
        <w:t>3.9  “标段（包）”系指一个完整独立的投标项目。</w:t>
      </w:r>
    </w:p>
    <w:p>
      <w:pPr>
        <w:spacing w:line="440" w:lineRule="exact"/>
        <w:ind w:firstLine="482" w:firstLineChars="200"/>
        <w:rPr>
          <w:rFonts w:ascii="宋体" w:hAnsi="宋体"/>
          <w:b/>
          <w:sz w:val="24"/>
        </w:rPr>
      </w:pPr>
      <w:r>
        <w:rPr>
          <w:rFonts w:hint="eastAsia" w:ascii="宋体" w:hAnsi="宋体"/>
          <w:b/>
          <w:sz w:val="24"/>
        </w:rPr>
        <w:t>4. 投标费用</w:t>
      </w:r>
    </w:p>
    <w:p>
      <w:pPr>
        <w:spacing w:line="440" w:lineRule="exact"/>
        <w:ind w:firstLine="482"/>
        <w:rPr>
          <w:rFonts w:ascii="宋体" w:hAnsi="宋体"/>
          <w:sz w:val="24"/>
        </w:rPr>
      </w:pPr>
      <w:r>
        <w:rPr>
          <w:rFonts w:hint="eastAsia" w:ascii="宋体" w:hAnsi="宋体"/>
          <w:sz w:val="24"/>
        </w:rPr>
        <w:t>4.1  无论投标结果如何，凡参与招标、投标活动有关的所有费用将由投标人自行承担。</w:t>
      </w:r>
    </w:p>
    <w:p>
      <w:pPr>
        <w:tabs>
          <w:tab w:val="left" w:pos="1185"/>
        </w:tabs>
        <w:spacing w:line="440" w:lineRule="exact"/>
        <w:ind w:firstLine="480" w:firstLineChars="200"/>
        <w:rPr>
          <w:rFonts w:ascii="宋体" w:hAnsi="宋体"/>
          <w:sz w:val="24"/>
        </w:rPr>
      </w:pPr>
      <w:r>
        <w:rPr>
          <w:rFonts w:hint="eastAsia" w:ascii="宋体" w:hAnsi="宋体"/>
          <w:sz w:val="24"/>
        </w:rPr>
        <w:t>4.2  投标人被视为熟悉本招标项目的各种情况以及与履行合同有关的一切情况。</w:t>
      </w:r>
    </w:p>
    <w:p>
      <w:pPr>
        <w:tabs>
          <w:tab w:val="left" w:pos="1185"/>
        </w:tabs>
        <w:spacing w:line="440" w:lineRule="exact"/>
        <w:rPr>
          <w:rFonts w:ascii="宋体" w:hAnsi="宋体"/>
          <w:sz w:val="24"/>
        </w:rPr>
      </w:pPr>
    </w:p>
    <w:p>
      <w:pPr>
        <w:tabs>
          <w:tab w:val="left" w:pos="1185"/>
        </w:tabs>
        <w:spacing w:beforeLines="50" w:line="440" w:lineRule="exact"/>
        <w:ind w:firstLine="643" w:firstLineChars="200"/>
        <w:jc w:val="center"/>
        <w:outlineLvl w:val="1"/>
        <w:rPr>
          <w:rFonts w:ascii="宋体" w:hAnsi="宋体"/>
          <w:b/>
          <w:sz w:val="32"/>
          <w:szCs w:val="32"/>
        </w:rPr>
      </w:pPr>
      <w:bookmarkStart w:id="6" w:name="_Toc17902413"/>
      <w:r>
        <w:rPr>
          <w:rFonts w:hint="eastAsia" w:ascii="宋体" w:hAnsi="宋体"/>
          <w:b/>
          <w:sz w:val="32"/>
          <w:szCs w:val="32"/>
        </w:rPr>
        <w:t>第二章  单一来源采购文件</w:t>
      </w:r>
      <w:bookmarkEnd w:id="6"/>
    </w:p>
    <w:p>
      <w:pPr>
        <w:spacing w:line="440" w:lineRule="exact"/>
        <w:ind w:firstLine="482" w:firstLineChars="200"/>
        <w:rPr>
          <w:rFonts w:ascii="宋体" w:hAnsi="宋体"/>
          <w:b/>
          <w:sz w:val="24"/>
        </w:rPr>
      </w:pPr>
      <w:r>
        <w:rPr>
          <w:rFonts w:hint="eastAsia" w:ascii="宋体" w:hAnsi="宋体"/>
          <w:b/>
          <w:sz w:val="24"/>
        </w:rPr>
        <w:t>5. 单一来源采购文件说明</w:t>
      </w:r>
    </w:p>
    <w:p>
      <w:pPr>
        <w:spacing w:line="440" w:lineRule="exact"/>
        <w:ind w:firstLine="480" w:firstLineChars="200"/>
        <w:rPr>
          <w:rFonts w:ascii="宋体" w:hAnsi="宋体"/>
          <w:sz w:val="24"/>
        </w:rPr>
      </w:pPr>
      <w:r>
        <w:rPr>
          <w:rFonts w:hint="eastAsia" w:ascii="宋体" w:hAnsi="宋体"/>
          <w:sz w:val="24"/>
        </w:rPr>
        <w:t>5.1  本单一来源采购文件由以下部分组成：</w:t>
      </w:r>
    </w:p>
    <w:p>
      <w:pPr>
        <w:spacing w:line="440" w:lineRule="exact"/>
        <w:ind w:firstLine="720" w:firstLineChars="300"/>
        <w:rPr>
          <w:rFonts w:ascii="宋体" w:hAnsi="宋体"/>
          <w:sz w:val="24"/>
        </w:rPr>
      </w:pPr>
      <w:r>
        <w:rPr>
          <w:rFonts w:hint="eastAsia" w:ascii="宋体" w:hAnsi="宋体"/>
          <w:sz w:val="24"/>
        </w:rPr>
        <w:t>第一部分 投标须知</w:t>
      </w:r>
    </w:p>
    <w:p>
      <w:pPr>
        <w:spacing w:line="440" w:lineRule="exact"/>
        <w:ind w:firstLine="720" w:firstLineChars="300"/>
        <w:rPr>
          <w:rFonts w:ascii="宋体" w:hAnsi="宋体"/>
          <w:sz w:val="24"/>
        </w:rPr>
      </w:pPr>
      <w:r>
        <w:rPr>
          <w:rFonts w:hint="eastAsia" w:ascii="宋体" w:hAnsi="宋体"/>
          <w:sz w:val="24"/>
        </w:rPr>
        <w:t>第二部分 招标说明</w:t>
      </w:r>
    </w:p>
    <w:p>
      <w:pPr>
        <w:spacing w:line="440" w:lineRule="exact"/>
        <w:ind w:firstLine="720" w:firstLineChars="300"/>
        <w:rPr>
          <w:rFonts w:ascii="宋体" w:hAnsi="宋体"/>
          <w:sz w:val="24"/>
        </w:rPr>
      </w:pPr>
      <w:r>
        <w:rPr>
          <w:rFonts w:hint="eastAsia" w:ascii="宋体" w:hAnsi="宋体"/>
          <w:sz w:val="24"/>
        </w:rPr>
        <w:t>第三部分 投标说明</w:t>
      </w:r>
    </w:p>
    <w:p>
      <w:pPr>
        <w:spacing w:line="440" w:lineRule="exact"/>
        <w:ind w:firstLine="720" w:firstLineChars="300"/>
        <w:rPr>
          <w:rFonts w:ascii="宋体" w:hAnsi="宋体"/>
          <w:sz w:val="24"/>
        </w:rPr>
      </w:pPr>
      <w:r>
        <w:rPr>
          <w:rFonts w:hint="eastAsia" w:ascii="宋体" w:hAnsi="宋体"/>
          <w:sz w:val="24"/>
        </w:rPr>
        <w:t xml:space="preserve">第四部分 </w:t>
      </w:r>
      <w:r>
        <w:rPr>
          <w:rFonts w:hint="eastAsia"/>
          <w:sz w:val="24"/>
        </w:rPr>
        <w:t>服务内容</w:t>
      </w:r>
    </w:p>
    <w:p>
      <w:pPr>
        <w:spacing w:line="440" w:lineRule="exact"/>
        <w:ind w:firstLine="720" w:firstLineChars="300"/>
        <w:rPr>
          <w:rFonts w:ascii="宋体" w:hAnsi="宋体"/>
          <w:sz w:val="24"/>
        </w:rPr>
      </w:pPr>
      <w:r>
        <w:rPr>
          <w:rFonts w:hint="eastAsia" w:ascii="宋体" w:hAnsi="宋体"/>
          <w:sz w:val="24"/>
        </w:rPr>
        <w:t>第五部分 合同部分</w:t>
      </w:r>
    </w:p>
    <w:p>
      <w:pPr>
        <w:spacing w:line="440" w:lineRule="exact"/>
        <w:ind w:firstLine="720" w:firstLineChars="300"/>
        <w:rPr>
          <w:rFonts w:ascii="宋体" w:hAnsi="宋体"/>
          <w:sz w:val="24"/>
        </w:rPr>
      </w:pPr>
      <w:r>
        <w:rPr>
          <w:rFonts w:hint="eastAsia" w:ascii="宋体" w:hAnsi="宋体"/>
          <w:sz w:val="24"/>
        </w:rPr>
        <w:t>第六部分 附件（范本格式）</w:t>
      </w:r>
    </w:p>
    <w:p>
      <w:pPr>
        <w:tabs>
          <w:tab w:val="left" w:pos="1185"/>
        </w:tabs>
        <w:spacing w:line="440" w:lineRule="exact"/>
        <w:ind w:firstLine="480" w:firstLineChars="200"/>
        <w:rPr>
          <w:rFonts w:ascii="宋体" w:hAnsi="宋体"/>
          <w:sz w:val="24"/>
        </w:rPr>
      </w:pPr>
      <w:r>
        <w:rPr>
          <w:rFonts w:hint="eastAsia" w:ascii="宋体" w:hAnsi="宋体"/>
          <w:sz w:val="24"/>
        </w:rPr>
        <w:t>5.2  投标人应详细阅读单一来源采购文件的全部内容。如果投标人未按照单一来源采购文件要求提交全部资料或者投标文件没有对单一来源采购文件在各方面的要求做出实质性响应，将导致其投标被拒绝。</w:t>
      </w:r>
    </w:p>
    <w:p>
      <w:pPr>
        <w:spacing w:line="440" w:lineRule="exact"/>
        <w:ind w:firstLine="482" w:firstLineChars="200"/>
        <w:rPr>
          <w:rFonts w:ascii="宋体" w:hAnsi="宋体"/>
          <w:b/>
          <w:sz w:val="24"/>
        </w:rPr>
      </w:pPr>
      <w:r>
        <w:rPr>
          <w:rFonts w:hint="eastAsia" w:ascii="宋体" w:hAnsi="宋体"/>
          <w:b/>
          <w:sz w:val="24"/>
        </w:rPr>
        <w:t>6. 单一来源采购文件的澄清</w:t>
      </w:r>
    </w:p>
    <w:p>
      <w:pPr>
        <w:spacing w:line="440" w:lineRule="exact"/>
        <w:ind w:firstLine="480" w:firstLineChars="200"/>
        <w:rPr>
          <w:rFonts w:ascii="宋体" w:hAnsi="宋体"/>
          <w:sz w:val="24"/>
        </w:rPr>
      </w:pPr>
      <w:r>
        <w:rPr>
          <w:rFonts w:hint="eastAsia" w:ascii="宋体" w:hAnsi="宋体"/>
          <w:sz w:val="24"/>
        </w:rPr>
        <w:t>6.1　投标人对单一来源采购文件如有疑点，可在投标截止期的</w:t>
      </w:r>
      <w:r>
        <w:rPr>
          <w:rFonts w:hint="eastAsia" w:ascii="宋体" w:hAnsi="宋体"/>
          <w:sz w:val="24"/>
          <w:u w:val="single"/>
        </w:rPr>
        <w:t>　五日前　</w:t>
      </w:r>
      <w:r>
        <w:rPr>
          <w:rFonts w:hint="eastAsia" w:ascii="宋体" w:hAnsi="宋体"/>
          <w:sz w:val="24"/>
        </w:rPr>
        <w:t>按单一来源采购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pPr>
        <w:spacing w:line="440" w:lineRule="exact"/>
        <w:ind w:firstLine="482" w:firstLineChars="200"/>
        <w:rPr>
          <w:rFonts w:ascii="宋体" w:hAnsi="宋体"/>
          <w:b/>
          <w:sz w:val="24"/>
        </w:rPr>
      </w:pPr>
      <w:r>
        <w:rPr>
          <w:rFonts w:hint="eastAsia" w:ascii="宋体" w:hAnsi="宋体"/>
          <w:b/>
          <w:sz w:val="24"/>
        </w:rPr>
        <w:t>7. 单一来源采购文件的修改或补充</w:t>
      </w:r>
    </w:p>
    <w:p>
      <w:pPr>
        <w:spacing w:line="440" w:lineRule="exact"/>
        <w:ind w:firstLine="480" w:firstLineChars="200"/>
        <w:rPr>
          <w:rFonts w:ascii="宋体" w:hAnsi="宋体"/>
          <w:sz w:val="24"/>
        </w:rPr>
      </w:pPr>
      <w:r>
        <w:rPr>
          <w:rFonts w:hint="eastAsia" w:ascii="宋体" w:hAnsi="宋体"/>
          <w:sz w:val="24"/>
        </w:rPr>
        <w:t>7.1　在投标截止期</w:t>
      </w:r>
      <w:r>
        <w:rPr>
          <w:rFonts w:hint="eastAsia" w:ascii="宋体" w:hAnsi="宋体"/>
          <w:sz w:val="24"/>
          <w:u w:val="single"/>
        </w:rPr>
        <w:t xml:space="preserve"> 三日前  </w:t>
      </w:r>
      <w:r>
        <w:rPr>
          <w:rFonts w:hint="eastAsia" w:ascii="宋体" w:hAnsi="宋体"/>
          <w:sz w:val="24"/>
        </w:rPr>
        <w:t>的任何时间，招标方可主动或依据投标人要求澄清的问题而修改或补充单一来源采购文件，并以书面形式或网上公告通知投标人，投标人在收到该通知后应立即以电报或传真的形式予以确认。</w:t>
      </w:r>
    </w:p>
    <w:p>
      <w:pPr>
        <w:spacing w:line="440" w:lineRule="exact"/>
        <w:ind w:firstLine="480" w:firstLineChars="200"/>
        <w:rPr>
          <w:rFonts w:ascii="宋体" w:hAnsi="宋体"/>
          <w:sz w:val="24"/>
        </w:rPr>
      </w:pPr>
      <w:r>
        <w:rPr>
          <w:rFonts w:hint="eastAsia" w:ascii="宋体" w:hAnsi="宋体"/>
          <w:sz w:val="24"/>
        </w:rPr>
        <w:t>7.2　为使投标人在准备投标时有适当的时间考虑投标文件的修改，招标方有权决定推迟投标截止时间和开标时间，并将此变更通知所有的投标人。</w:t>
      </w:r>
    </w:p>
    <w:p>
      <w:pPr>
        <w:spacing w:line="440" w:lineRule="exact"/>
        <w:ind w:firstLine="480" w:firstLineChars="200"/>
        <w:rPr>
          <w:rFonts w:ascii="宋体" w:hAnsi="宋体"/>
          <w:b/>
          <w:sz w:val="36"/>
        </w:rPr>
      </w:pPr>
      <w:r>
        <w:rPr>
          <w:rFonts w:hint="eastAsia" w:ascii="宋体" w:hAnsi="宋体"/>
          <w:sz w:val="24"/>
        </w:rPr>
        <w:t>7.3　单一来源采购文件的修改和补充文件将构成单一来源采购文件的一部分，并且对投标人具有优先约束力。</w:t>
      </w:r>
      <w:bookmarkStart w:id="7" w:name="_Toc17902414"/>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hint="eastAsia" w:ascii="宋体" w:hAnsi="宋体"/>
          <w:b/>
          <w:color w:val="auto"/>
          <w:kern w:val="2"/>
          <w:sz w:val="36"/>
          <w:szCs w:val="20"/>
        </w:rPr>
      </w:pPr>
    </w:p>
    <w:p>
      <w:pPr>
        <w:pStyle w:val="85"/>
        <w:spacing w:line="440" w:lineRule="exact"/>
        <w:jc w:val="center"/>
        <w:outlineLvl w:val="0"/>
        <w:rPr>
          <w:rFonts w:ascii="宋体" w:hAnsi="宋体"/>
          <w:b/>
          <w:color w:val="auto"/>
          <w:kern w:val="2"/>
          <w:sz w:val="36"/>
          <w:szCs w:val="20"/>
        </w:rPr>
      </w:pPr>
      <w:r>
        <w:rPr>
          <w:rFonts w:hint="eastAsia" w:ascii="宋体" w:hAnsi="宋体"/>
          <w:b/>
          <w:color w:val="auto"/>
          <w:kern w:val="2"/>
          <w:sz w:val="36"/>
          <w:szCs w:val="20"/>
        </w:rPr>
        <w:t>第三部分    投标说明</w:t>
      </w:r>
      <w:bookmarkEnd w:id="7"/>
    </w:p>
    <w:p>
      <w:pPr>
        <w:spacing w:beforeLines="50" w:line="440" w:lineRule="exact"/>
        <w:ind w:firstLine="2891" w:firstLineChars="900"/>
        <w:outlineLvl w:val="1"/>
        <w:rPr>
          <w:rFonts w:ascii="宋体" w:hAnsi="宋体"/>
          <w:b/>
          <w:sz w:val="32"/>
        </w:rPr>
      </w:pPr>
      <w:bookmarkStart w:id="8" w:name="_Toc17902415"/>
      <w:r>
        <w:rPr>
          <w:rFonts w:hint="eastAsia" w:ascii="宋体" w:hAnsi="宋体"/>
          <w:b/>
          <w:sz w:val="32"/>
        </w:rPr>
        <w:t>第一章  对投标人的资质要求</w:t>
      </w:r>
      <w:bookmarkEnd w:id="8"/>
    </w:p>
    <w:p>
      <w:pPr>
        <w:spacing w:line="440" w:lineRule="exact"/>
        <w:ind w:firstLine="482" w:firstLineChars="200"/>
        <w:rPr>
          <w:rFonts w:ascii="宋体" w:hAnsi="宋体"/>
          <w:b/>
          <w:sz w:val="24"/>
        </w:rPr>
      </w:pPr>
      <w:r>
        <w:rPr>
          <w:rFonts w:hint="eastAsia" w:ascii="宋体" w:hAnsi="宋体"/>
          <w:b/>
          <w:sz w:val="24"/>
        </w:rPr>
        <w:t>1、开标会的资质要求、开标时间及地点</w:t>
      </w:r>
    </w:p>
    <w:p>
      <w:pPr>
        <w:spacing w:line="440" w:lineRule="exact"/>
        <w:ind w:firstLine="480" w:firstLineChars="200"/>
        <w:rPr>
          <w:rFonts w:ascii="宋体" w:hAnsi="宋体"/>
          <w:sz w:val="24"/>
        </w:rPr>
      </w:pPr>
      <w:r>
        <w:rPr>
          <w:rFonts w:hint="eastAsia" w:ascii="宋体" w:hAnsi="宋体"/>
          <w:sz w:val="24"/>
        </w:rPr>
        <w:t>1.1、本项目开标的时间、地点已在投标人须知前附表列清。</w:t>
      </w:r>
    </w:p>
    <w:p>
      <w:pPr>
        <w:spacing w:line="440" w:lineRule="exact"/>
        <w:ind w:firstLine="480" w:firstLineChars="200"/>
        <w:rPr>
          <w:rFonts w:ascii="宋体" w:hAnsi="宋体"/>
          <w:sz w:val="24"/>
        </w:rPr>
      </w:pPr>
      <w:r>
        <w:rPr>
          <w:rFonts w:hint="eastAsia" w:ascii="宋体" w:hAnsi="宋体"/>
          <w:sz w:val="24"/>
        </w:rPr>
        <w:t>1.2、招标人将邀请所有投标人派代表参加开标会，投标人必须提交能够证明其具有履行本招标项目合同能力的资质证明文件，作为响应性文件的一部分，具体要求如下：</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w:t>
      </w:r>
      <w:r>
        <w:rPr>
          <w:rFonts w:hint="eastAsia" w:ascii="宋体" w:hAnsi="宋体" w:cs="宋体"/>
          <w:kern w:val="0"/>
          <w:sz w:val="24"/>
          <w:highlight w:val="none"/>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r>
        <w:rPr>
          <w:rFonts w:hint="eastAsia" w:ascii="宋体" w:hAnsi="宋体" w:cs="宋体"/>
          <w:kern w:val="0"/>
          <w:sz w:val="24"/>
          <w:highlight w:val="none"/>
        </w:rPr>
        <w:t>；</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2</w:t>
      </w:r>
      <w:r>
        <w:rPr>
          <w:rFonts w:hint="eastAsia" w:ascii="宋体" w:hAnsi="宋体" w:cs="宋体"/>
          <w:kern w:val="0"/>
          <w:sz w:val="24"/>
          <w:highlight w:val="none"/>
        </w:rPr>
        <w:t>）</w:t>
      </w:r>
      <w:r>
        <w:rPr>
          <w:rFonts w:hint="eastAsia" w:ascii="宋体" w:hAnsi="宋体" w:cs="宋体"/>
          <w:kern w:val="0"/>
          <w:sz w:val="24"/>
          <w:highlight w:val="none"/>
          <w:lang w:eastAsia="zh-CN"/>
        </w:rPr>
        <w:t>具有营业执照正本或副本；</w:t>
      </w:r>
    </w:p>
    <w:p>
      <w:pPr>
        <w:pStyle w:val="3"/>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）法人投标需提供法人身份证明</w:t>
      </w:r>
      <w:r>
        <w:rPr>
          <w:rFonts w:hint="eastAsia" w:hAnsi="宋体" w:cs="宋体"/>
          <w:kern w:val="0"/>
          <w:sz w:val="24"/>
          <w:highlight w:val="none"/>
          <w:lang w:val="en-US" w:eastAsia="zh-CN"/>
        </w:rPr>
        <w:t>及身份证</w:t>
      </w:r>
      <w:r>
        <w:rPr>
          <w:rFonts w:hint="eastAsia" w:ascii="宋体" w:hAnsi="宋体" w:cs="宋体"/>
          <w:kern w:val="0"/>
          <w:sz w:val="24"/>
          <w:highlight w:val="none"/>
        </w:rPr>
        <w:t>，授权委托人需提供法人授权委托书及身份证；</w:t>
      </w:r>
    </w:p>
    <w:p>
      <w:pPr>
        <w:pStyle w:val="3"/>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）投标单位提供本单位依法缴纳近三个月</w:t>
      </w:r>
      <w:r>
        <w:rPr>
          <w:rFonts w:hint="eastAsia" w:ascii="宋体" w:hAnsi="宋体" w:cs="宋体"/>
          <w:kern w:val="0"/>
          <w:sz w:val="24"/>
          <w:highlight w:val="none"/>
          <w:lang w:eastAsia="zh-CN"/>
        </w:rPr>
        <w:t>内任意一个月</w:t>
      </w:r>
      <w:r>
        <w:rPr>
          <w:rFonts w:hint="eastAsia" w:ascii="宋体" w:hAnsi="宋体" w:cs="宋体"/>
          <w:kern w:val="0"/>
          <w:sz w:val="24"/>
          <w:highlight w:val="none"/>
        </w:rPr>
        <w:t>的社保证明；</w:t>
      </w:r>
    </w:p>
    <w:p>
      <w:pPr>
        <w:pStyle w:val="3"/>
        <w:rPr>
          <w:rFonts w:hint="eastAsia" w:ascii="宋体" w:hAnsi="宋体" w:cs="宋体"/>
          <w:kern w:val="0"/>
          <w:sz w:val="24"/>
          <w:highlight w:val="none"/>
        </w:rPr>
      </w:pPr>
      <w:r>
        <w:rPr>
          <w:rFonts w:hint="eastAsia" w:ascii="宋体" w:hAnsi="宋体" w:cs="宋体"/>
          <w:kern w:val="0"/>
          <w:sz w:val="24"/>
          <w:highlight w:val="none"/>
          <w:lang w:val="en-US" w:eastAsia="zh-CN"/>
        </w:rPr>
        <w:t>（5）</w:t>
      </w:r>
      <w:r>
        <w:rPr>
          <w:rFonts w:hint="eastAsia" w:hAnsi="宋体" w:cs="宋体"/>
          <w:kern w:val="0"/>
          <w:sz w:val="24"/>
          <w:highlight w:val="none"/>
          <w:lang w:val="en-US" w:eastAsia="zh-CN"/>
        </w:rPr>
        <w:t>提供税务部门出具的近六个月内任意一个月的完税证明</w:t>
      </w:r>
      <w:r>
        <w:rPr>
          <w:rFonts w:hint="eastAsia" w:ascii="宋体" w:hAnsi="宋体" w:cs="宋体"/>
          <w:kern w:val="0"/>
          <w:sz w:val="24"/>
          <w:highlight w:val="none"/>
        </w:rPr>
        <w:t>；</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6</w:t>
      </w:r>
      <w:r>
        <w:rPr>
          <w:rFonts w:hint="eastAsia" w:ascii="宋体" w:hAnsi="宋体" w:cs="宋体"/>
          <w:kern w:val="0"/>
          <w:sz w:val="24"/>
          <w:highlight w:val="none"/>
        </w:rPr>
        <w:t>）提供202</w:t>
      </w:r>
      <w:r>
        <w:rPr>
          <w:rFonts w:hint="eastAsia" w:hAnsi="宋体" w:cs="宋体"/>
          <w:kern w:val="0"/>
          <w:sz w:val="24"/>
          <w:highlight w:val="none"/>
          <w:lang w:val="en-US" w:eastAsia="zh-CN"/>
        </w:rPr>
        <w:t>1</w:t>
      </w:r>
      <w:r>
        <w:rPr>
          <w:rFonts w:hint="eastAsia" w:ascii="宋体" w:hAnsi="宋体" w:cs="宋体"/>
          <w:kern w:val="0"/>
          <w:sz w:val="24"/>
          <w:highlight w:val="none"/>
        </w:rPr>
        <w:t>年的财务审计报告（新成立公司需提供银行资信证明）</w:t>
      </w:r>
      <w:r>
        <w:rPr>
          <w:rFonts w:hint="eastAsia" w:ascii="宋体" w:hAnsi="宋体" w:cs="宋体"/>
          <w:kern w:val="0"/>
          <w:sz w:val="24"/>
          <w:highlight w:val="none"/>
          <w:lang w:eastAsia="zh-CN"/>
        </w:rPr>
        <w:t>；</w:t>
      </w:r>
    </w:p>
    <w:p>
      <w:pPr>
        <w:pStyle w:val="3"/>
        <w:rPr>
          <w:rFonts w:hint="eastAsia" w:ascii="宋体" w:hAnsi="宋体" w:cs="宋体"/>
          <w:kern w:val="0"/>
          <w:sz w:val="24"/>
          <w:highlight w:val="none"/>
          <w:lang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7</w:t>
      </w:r>
      <w:r>
        <w:rPr>
          <w:rFonts w:hint="eastAsia" w:ascii="宋体" w:hAnsi="宋体" w:cs="宋体"/>
          <w:kern w:val="0"/>
          <w:sz w:val="24"/>
          <w:highlight w:val="none"/>
          <w:lang w:eastAsia="zh-CN"/>
        </w:rPr>
        <w:t>）提供参加政府采购活动前3年内在经营活动中没有重大违法记录的书面声明；</w:t>
      </w:r>
    </w:p>
    <w:p>
      <w:pPr>
        <w:pStyle w:val="3"/>
        <w:rPr>
          <w:rFonts w:hint="eastAsia" w:ascii="宋体" w:hAnsi="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8</w:t>
      </w:r>
      <w:r>
        <w:rPr>
          <w:rFonts w:hint="eastAsia" w:ascii="宋体" w:hAnsi="宋体" w:cs="宋体"/>
          <w:kern w:val="0"/>
          <w:sz w:val="24"/>
          <w:highlight w:val="none"/>
        </w:rPr>
        <w:t>）提供针对本次项目的反商业贿赂承诺书</w:t>
      </w:r>
      <w:r>
        <w:rPr>
          <w:rFonts w:hint="eastAsia" w:ascii="宋体" w:hAnsi="宋体" w:cs="宋体"/>
          <w:kern w:val="0"/>
          <w:sz w:val="24"/>
          <w:highlight w:val="none"/>
          <w:lang w:eastAsia="zh-CN"/>
        </w:rPr>
        <w:t>；</w:t>
      </w:r>
    </w:p>
    <w:p>
      <w:pPr>
        <w:pStyle w:val="3"/>
        <w:rPr>
          <w:rFonts w:hint="eastAsia" w:ascii="宋体" w:hAnsi="宋体" w:eastAsia="宋体" w:cs="Times New Roman"/>
          <w:kern w:val="2"/>
          <w:sz w:val="24"/>
          <w:lang w:val="en-US" w:eastAsia="zh-CN" w:bidi="ar-SA"/>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9）提供缴纳投标保证金的有效凭证</w:t>
      </w:r>
      <w:r>
        <w:rPr>
          <w:rFonts w:hint="eastAsia" w:ascii="宋体" w:hAnsi="宋体" w:eastAsia="宋体" w:cs="宋体"/>
          <w:kern w:val="0"/>
          <w:sz w:val="24"/>
          <w:highlight w:val="none"/>
          <w:lang w:val="en-US" w:eastAsia="zh-CN" w:bidi="ar-SA"/>
        </w:rPr>
        <w:t>。</w:t>
      </w:r>
    </w:p>
    <w:p>
      <w:pPr>
        <w:spacing w:line="440" w:lineRule="exact"/>
        <w:ind w:firstLine="482" w:firstLineChars="200"/>
        <w:rPr>
          <w:rFonts w:hint="eastAsia" w:ascii="宋体" w:hAnsi="宋体" w:eastAsia="宋体"/>
          <w:b/>
          <w:bCs/>
          <w:sz w:val="24"/>
          <w:szCs w:val="24"/>
          <w:lang w:eastAsia="zh-CN"/>
        </w:rPr>
      </w:pPr>
      <w:r>
        <w:rPr>
          <w:rFonts w:hint="eastAsia" w:ascii="宋体" w:hAnsi="宋体"/>
          <w:b/>
          <w:bCs/>
          <w:sz w:val="24"/>
          <w:szCs w:val="24"/>
        </w:rPr>
        <w:t>说明：</w:t>
      </w:r>
      <w:r>
        <w:rPr>
          <w:rFonts w:hint="eastAsia" w:ascii="宋体" w:hAnsi="宋体"/>
          <w:b/>
          <w:bCs/>
          <w:sz w:val="24"/>
          <w:szCs w:val="24"/>
          <w:lang w:eastAsia="zh-CN"/>
        </w:rPr>
        <w:t>以上</w:t>
      </w:r>
      <w:r>
        <w:rPr>
          <w:rFonts w:hint="eastAsia" w:ascii="宋体" w:hAnsi="宋体"/>
          <w:b/>
          <w:bCs/>
          <w:sz w:val="24"/>
          <w:szCs w:val="24"/>
        </w:rPr>
        <w:t>项为投标时资格审查的必备条件，以上资料必须单独提交，如果缺项则视为对招标文件资格审查内容的不响应，投标将被拒绝；</w:t>
      </w:r>
      <w:r>
        <w:rPr>
          <w:rFonts w:hint="eastAsia" w:ascii="宋体" w:hAnsi="宋体" w:cs="宋体"/>
          <w:b/>
          <w:color w:val="auto"/>
          <w:sz w:val="24"/>
          <w:highlight w:val="none"/>
          <w:lang w:eastAsia="zh-CN"/>
        </w:rPr>
        <w:t>原件</w:t>
      </w:r>
      <w:r>
        <w:rPr>
          <w:rFonts w:hint="eastAsia" w:ascii="宋体" w:hAnsi="宋体" w:cs="宋体"/>
          <w:b/>
          <w:color w:val="auto"/>
          <w:sz w:val="24"/>
          <w:highlight w:val="none"/>
          <w:lang w:val="en-US" w:eastAsia="zh-CN"/>
        </w:rPr>
        <w:t>或可扫描二维码的复印件并加盖投标人公章，</w:t>
      </w:r>
      <w:r>
        <w:rPr>
          <w:rFonts w:hint="eastAsia" w:ascii="宋体" w:hAnsi="宋体" w:cs="宋体"/>
          <w:b/>
          <w:color w:val="auto"/>
          <w:sz w:val="24"/>
          <w:highlight w:val="none"/>
        </w:rPr>
        <w:t>未按要求提供资格审查资料的投标人或其中一项未通过的投标人，将视为资格审查不合格，未能通过资格审查的投标人不进入评标；通过资格审查的投标人少于不足三家的，不得评标</w:t>
      </w:r>
      <w:r>
        <w:rPr>
          <w:rFonts w:hint="eastAsia" w:ascii="宋体" w:hAnsi="宋体" w:cs="宋体"/>
          <w:b/>
          <w:color w:val="auto"/>
          <w:sz w:val="24"/>
          <w:highlight w:val="none"/>
          <w:lang w:eastAsia="zh-CN"/>
        </w:rPr>
        <w:t>。</w:t>
      </w:r>
    </w:p>
    <w:p>
      <w:pPr>
        <w:pStyle w:val="3"/>
      </w:pPr>
      <w:r>
        <w:rPr>
          <w:rFonts w:hint="eastAsia" w:hAnsi="宋体"/>
          <w:bCs/>
          <w:sz w:val="24"/>
        </w:rPr>
        <w:t>1.</w:t>
      </w:r>
      <w:r>
        <w:rPr>
          <w:rFonts w:hint="eastAsia" w:hAnsi="宋体"/>
          <w:bCs/>
          <w:sz w:val="24"/>
          <w:lang w:val="en-US" w:eastAsia="zh-CN"/>
        </w:rPr>
        <w:t>3</w:t>
      </w:r>
      <w:r>
        <w:rPr>
          <w:rFonts w:hint="eastAsia" w:hAnsi="宋体"/>
          <w:bCs/>
          <w:sz w:val="24"/>
        </w:rPr>
        <w:t>初步评审—符合性审查表</w:t>
      </w:r>
    </w:p>
    <w:p>
      <w:pPr>
        <w:pStyle w:val="3"/>
        <w:ind w:firstLine="3376" w:firstLineChars="1401"/>
        <w:rPr>
          <w:rFonts w:hint="eastAsia"/>
          <w:b/>
          <w:bCs/>
          <w:sz w:val="24"/>
          <w:szCs w:val="22"/>
        </w:rPr>
      </w:pPr>
    </w:p>
    <w:p>
      <w:pPr>
        <w:pStyle w:val="3"/>
        <w:ind w:firstLine="3376" w:firstLineChars="1401"/>
        <w:rPr>
          <w:rFonts w:hint="eastAsia"/>
          <w:b/>
          <w:bCs/>
          <w:sz w:val="24"/>
          <w:szCs w:val="22"/>
        </w:rPr>
      </w:pPr>
    </w:p>
    <w:p>
      <w:pPr>
        <w:pStyle w:val="3"/>
        <w:ind w:firstLine="3376" w:firstLineChars="1401"/>
        <w:rPr>
          <w:rFonts w:hint="eastAsia"/>
          <w:b/>
          <w:bCs/>
          <w:sz w:val="24"/>
          <w:szCs w:val="22"/>
        </w:rPr>
      </w:pPr>
    </w:p>
    <w:p>
      <w:pPr>
        <w:pStyle w:val="3"/>
        <w:ind w:firstLine="3376" w:firstLineChars="1401"/>
        <w:rPr>
          <w:b/>
          <w:bCs/>
          <w:sz w:val="24"/>
          <w:szCs w:val="22"/>
        </w:rPr>
      </w:pPr>
      <w:r>
        <w:rPr>
          <w:rFonts w:hint="eastAsia"/>
          <w:b/>
          <w:bCs/>
          <w:sz w:val="24"/>
          <w:szCs w:val="22"/>
        </w:rPr>
        <w:t>初步评审—符合性审查表</w:t>
      </w:r>
    </w:p>
    <w:tbl>
      <w:tblPr>
        <w:tblStyle w:val="38"/>
        <w:tblW w:w="9525" w:type="dxa"/>
        <w:tblInd w:w="0" w:type="dxa"/>
        <w:tblLayout w:type="autofit"/>
        <w:tblCellMar>
          <w:top w:w="0" w:type="dxa"/>
          <w:left w:w="0" w:type="dxa"/>
          <w:bottom w:w="0" w:type="dxa"/>
          <w:right w:w="0" w:type="dxa"/>
        </w:tblCellMar>
      </w:tblPr>
      <w:tblGrid>
        <w:gridCol w:w="660"/>
        <w:gridCol w:w="6015"/>
        <w:gridCol w:w="1425"/>
        <w:gridCol w:w="1425"/>
      </w:tblGrid>
      <w:tr>
        <w:tblPrEx>
          <w:tblCellMar>
            <w:top w:w="0" w:type="dxa"/>
            <w:left w:w="0" w:type="dxa"/>
            <w:bottom w:w="0" w:type="dxa"/>
            <w:right w:w="0" w:type="dxa"/>
          </w:tblCellMar>
        </w:tblPrEx>
        <w:trPr>
          <w:trHeight w:val="66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3619500" cy="673100"/>
                  <wp:effectExtent l="0" t="0" r="0" b="12700"/>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8" cstate="print"/>
                          <a:stretch>
                            <a:fillRect/>
                          </a:stretch>
                        </pic:blipFill>
                        <pic:spPr>
                          <a:xfrm>
                            <a:off x="0" y="0"/>
                            <a:ext cx="3619500" cy="673100"/>
                          </a:xfrm>
                          <a:prstGeom prst="rect">
                            <a:avLst/>
                          </a:prstGeom>
                          <a:noFill/>
                          <a:ln>
                            <a:noFill/>
                          </a:ln>
                        </pic:spPr>
                      </pic:pic>
                    </a:graphicData>
                  </a:graphic>
                </wp:anchor>
              </w:drawing>
            </w:r>
            <w:r>
              <w:rPr>
                <w:rFonts w:hint="eastAsia" w:ascii="宋体" w:hAnsi="宋体" w:cs="宋体"/>
                <w:color w:val="000000"/>
                <w:kern w:val="0"/>
                <w:sz w:val="24"/>
                <w:szCs w:val="24"/>
              </w:rPr>
              <w:t>序号</w:t>
            </w:r>
          </w:p>
        </w:tc>
        <w:tc>
          <w:tcPr>
            <w:tcW w:w="6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评审内容                      投标单位</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6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否</w:t>
            </w:r>
          </w:p>
        </w:tc>
      </w:tr>
      <w:tr>
        <w:tblPrEx>
          <w:tblCellMar>
            <w:top w:w="0" w:type="dxa"/>
            <w:left w:w="0" w:type="dxa"/>
            <w:bottom w:w="0" w:type="dxa"/>
            <w:right w:w="0" w:type="dxa"/>
          </w:tblCellMar>
        </w:tblPrEx>
        <w:trPr>
          <w:trHeight w:val="66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投标报价未高于预算金额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6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按招标文件规定的格式填写，</w:t>
            </w:r>
            <w:r>
              <w:rPr>
                <w:rFonts w:hint="eastAsia" w:ascii="宋体" w:hAnsi="宋体" w:cs="宋体"/>
                <w:color w:val="000000"/>
                <w:kern w:val="0"/>
                <w:sz w:val="24"/>
                <w:szCs w:val="24"/>
                <w:lang w:eastAsia="zh-CN"/>
              </w:rPr>
              <w:t>无</w:t>
            </w:r>
            <w:r>
              <w:rPr>
                <w:rFonts w:hint="eastAsia" w:ascii="宋体" w:hAnsi="宋体" w:cs="宋体"/>
                <w:color w:val="000000"/>
                <w:kern w:val="0"/>
                <w:sz w:val="24"/>
                <w:szCs w:val="24"/>
              </w:rPr>
              <w:t>内容不全或关键字迹模糊、无法辨认的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投标书制作、签署和盖章是否符合本招标文件要求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评标委员会共同确定</w:t>
            </w:r>
            <w:r>
              <w:rPr>
                <w:rFonts w:hint="eastAsia" w:ascii="宋体" w:hAnsi="宋体" w:cs="宋体"/>
                <w:color w:val="000000"/>
                <w:kern w:val="0"/>
                <w:sz w:val="24"/>
                <w:szCs w:val="24"/>
                <w:lang w:eastAsia="zh-CN"/>
              </w:rPr>
              <w:t>无</w:t>
            </w:r>
            <w:r>
              <w:rPr>
                <w:rFonts w:hint="eastAsia" w:ascii="宋体" w:hAnsi="宋体" w:cs="宋体"/>
                <w:color w:val="000000"/>
                <w:kern w:val="0"/>
                <w:sz w:val="24"/>
                <w:szCs w:val="24"/>
              </w:rPr>
              <w:t>实质上不响应招标文件</w:t>
            </w:r>
            <w:r>
              <w:rPr>
                <w:rFonts w:hint="eastAsia" w:ascii="宋体" w:hAnsi="宋体" w:cs="宋体"/>
                <w:color w:val="000000"/>
                <w:kern w:val="0"/>
                <w:sz w:val="24"/>
                <w:szCs w:val="24"/>
                <w:lang w:eastAsia="zh-CN"/>
              </w:rPr>
              <w:t>的</w:t>
            </w:r>
            <w:r>
              <w:rPr>
                <w:rFonts w:hint="eastAsia" w:ascii="宋体" w:hAnsi="宋体" w:cs="宋体"/>
                <w:color w:val="000000"/>
                <w:kern w:val="0"/>
                <w:sz w:val="24"/>
                <w:szCs w:val="24"/>
              </w:rPr>
              <w:t>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没有采购人不能接受的附加条件的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highlight w:val="none"/>
              </w:rPr>
            </w:pPr>
            <w:r>
              <w:rPr>
                <w:rFonts w:hint="eastAsia" w:ascii="宋体" w:hAnsi="宋体" w:eastAsia="宋体" w:cs="宋体"/>
                <w:color w:val="000000"/>
                <w:sz w:val="24"/>
                <w:szCs w:val="24"/>
                <w:highlight w:val="none"/>
              </w:rPr>
              <w:t>履约地点及履约期限符合招标文件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7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投标有效期符合招标文件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6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供应商附有详细地址、联系人、电话标明的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33" w:hRule="atLeast"/>
        </w:trPr>
        <w:tc>
          <w:tcPr>
            <w:tcW w:w="6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hint="eastAsia" w:ascii="宋体" w:hAnsi="宋体" w:cs="宋体"/>
                <w:color w:val="000000"/>
                <w:kern w:val="0"/>
                <w:sz w:val="24"/>
                <w:szCs w:val="24"/>
              </w:rPr>
            </w:pPr>
          </w:p>
          <w:p>
            <w:pPr>
              <w:widowControl/>
              <w:jc w:val="left"/>
              <w:textAlignment w:val="top"/>
              <w:rPr>
                <w:rFonts w:ascii="宋体" w:hAnsi="宋体" w:cs="宋体"/>
                <w:color w:val="000000"/>
                <w:sz w:val="24"/>
                <w:szCs w:val="24"/>
              </w:rPr>
            </w:pPr>
            <w:r>
              <w:rPr>
                <w:rFonts w:hint="eastAsia" w:ascii="宋体" w:hAnsi="宋体" w:cs="宋体"/>
                <w:color w:val="000000"/>
                <w:kern w:val="0"/>
                <w:sz w:val="24"/>
                <w:szCs w:val="24"/>
              </w:rPr>
              <w:t>结论：是否通过评审（须填写通过或不通过）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注：如有一项不合格，作废标处理。</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888" w:hRule="atLeast"/>
        </w:trPr>
        <w:tc>
          <w:tcPr>
            <w:tcW w:w="6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24"/>
                <w:szCs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000000"/>
                <w:sz w:val="24"/>
                <w:szCs w:val="24"/>
              </w:rPr>
            </w:pPr>
          </w:p>
        </w:tc>
      </w:tr>
    </w:tbl>
    <w:p>
      <w:pPr>
        <w:pStyle w:val="3"/>
      </w:pPr>
    </w:p>
    <w:p>
      <w:pPr>
        <w:spacing w:line="440" w:lineRule="exact"/>
        <w:ind w:firstLine="480"/>
        <w:rPr>
          <w:rFonts w:ascii="宋体" w:hAnsi="宋体"/>
          <w:bCs/>
          <w:sz w:val="24"/>
        </w:rPr>
      </w:pPr>
      <w:r>
        <w:rPr>
          <w:rFonts w:hint="eastAsia" w:ascii="宋体" w:hAnsi="宋体"/>
          <w:bCs/>
          <w:sz w:val="24"/>
        </w:rPr>
        <w:t>1.</w:t>
      </w:r>
      <w:r>
        <w:rPr>
          <w:rFonts w:hint="eastAsia" w:ascii="宋体" w:hAnsi="宋体"/>
          <w:bCs/>
          <w:sz w:val="24"/>
          <w:lang w:val="en-US" w:eastAsia="zh-CN"/>
        </w:rPr>
        <w:t>4</w:t>
      </w:r>
      <w:r>
        <w:rPr>
          <w:rFonts w:hint="eastAsia" w:ascii="宋体" w:hAnsi="宋体"/>
          <w:bCs/>
          <w:sz w:val="24"/>
        </w:rPr>
        <w:t>　所有资格证明文件必须满足单一来源文件的要求，否则将视为</w:t>
      </w:r>
      <w:r>
        <w:rPr>
          <w:rFonts w:hint="eastAsia" w:ascii="宋体" w:hAnsi="宋体"/>
          <w:b/>
          <w:bCs/>
          <w:sz w:val="24"/>
        </w:rPr>
        <w:t>无效标。</w:t>
      </w:r>
    </w:p>
    <w:p>
      <w:pPr>
        <w:widowControl/>
        <w:spacing w:line="440" w:lineRule="exact"/>
        <w:ind w:firstLine="468" w:firstLineChars="195"/>
        <w:jc w:val="left"/>
        <w:rPr>
          <w:rFonts w:ascii="宋体" w:hAnsi="宋体"/>
          <w:kern w:val="0"/>
          <w:sz w:val="24"/>
        </w:rPr>
      </w:pPr>
      <w:r>
        <w:rPr>
          <w:rFonts w:hint="eastAsia" w:ascii="宋体" w:hAnsi="宋体"/>
          <w:bCs/>
          <w:kern w:val="0"/>
          <w:sz w:val="24"/>
        </w:rPr>
        <w:t>1.</w:t>
      </w:r>
      <w:r>
        <w:rPr>
          <w:rFonts w:hint="eastAsia" w:ascii="宋体" w:hAnsi="宋体"/>
          <w:bCs/>
          <w:kern w:val="0"/>
          <w:sz w:val="24"/>
          <w:lang w:val="en-US" w:eastAsia="zh-CN"/>
        </w:rPr>
        <w:t>5</w:t>
      </w:r>
      <w:r>
        <w:rPr>
          <w:rFonts w:hint="eastAsia" w:ascii="宋体" w:hAnsi="宋体"/>
          <w:bCs/>
          <w:kern w:val="0"/>
          <w:sz w:val="24"/>
        </w:rPr>
        <w:t>　投标人在投标中违反国家有关法律法规的强制性规定的，其投标</w:t>
      </w:r>
      <w:r>
        <w:rPr>
          <w:rFonts w:hint="eastAsia" w:ascii="宋体" w:hAnsi="宋体"/>
          <w:b/>
          <w:bCs/>
          <w:kern w:val="0"/>
          <w:sz w:val="24"/>
        </w:rPr>
        <w:t>将被拒绝。</w:t>
      </w:r>
    </w:p>
    <w:p>
      <w:pPr>
        <w:spacing w:line="440" w:lineRule="exact"/>
        <w:ind w:left="840" w:hanging="360"/>
        <w:rPr>
          <w:rFonts w:ascii="宋体" w:hAnsi="宋体"/>
          <w:bCs/>
          <w:sz w:val="24"/>
          <w:szCs w:val="24"/>
        </w:rPr>
      </w:pPr>
    </w:p>
    <w:p>
      <w:pPr>
        <w:spacing w:beforeLines="50" w:line="440" w:lineRule="exact"/>
        <w:ind w:firstLine="3213" w:firstLineChars="1000"/>
        <w:outlineLvl w:val="1"/>
        <w:rPr>
          <w:rFonts w:hint="eastAsia" w:ascii="宋体" w:hAnsi="宋体"/>
          <w:b/>
          <w:sz w:val="32"/>
          <w:szCs w:val="32"/>
        </w:rPr>
      </w:pPr>
      <w:bookmarkStart w:id="9" w:name="_Toc17902416"/>
    </w:p>
    <w:p>
      <w:pPr>
        <w:spacing w:beforeLines="50" w:line="440" w:lineRule="exact"/>
        <w:ind w:firstLine="3213" w:firstLineChars="1000"/>
        <w:outlineLvl w:val="1"/>
        <w:rPr>
          <w:rFonts w:hint="eastAsia" w:ascii="宋体" w:hAnsi="宋体"/>
          <w:b/>
          <w:sz w:val="32"/>
          <w:szCs w:val="32"/>
        </w:rPr>
      </w:pPr>
    </w:p>
    <w:p>
      <w:pPr>
        <w:pStyle w:val="2"/>
        <w:rPr>
          <w:rFonts w:hint="eastAsia"/>
        </w:rPr>
      </w:pPr>
    </w:p>
    <w:p>
      <w:pPr>
        <w:pStyle w:val="3"/>
        <w:rPr>
          <w:rFonts w:hint="eastAsia"/>
        </w:rPr>
      </w:pPr>
    </w:p>
    <w:p>
      <w:pPr>
        <w:pStyle w:val="4"/>
        <w:rPr>
          <w:rFonts w:hint="eastAsia"/>
        </w:rPr>
      </w:pPr>
    </w:p>
    <w:p>
      <w:pPr>
        <w:spacing w:beforeLines="50" w:line="440" w:lineRule="exact"/>
        <w:ind w:firstLine="3213" w:firstLineChars="1000"/>
        <w:outlineLvl w:val="1"/>
        <w:rPr>
          <w:rFonts w:ascii="宋体" w:hAnsi="宋体"/>
          <w:b/>
          <w:sz w:val="32"/>
          <w:szCs w:val="32"/>
        </w:rPr>
      </w:pPr>
      <w:r>
        <w:rPr>
          <w:rFonts w:hint="eastAsia" w:ascii="宋体" w:hAnsi="宋体"/>
          <w:b/>
          <w:sz w:val="32"/>
          <w:szCs w:val="32"/>
        </w:rPr>
        <w:t>第二章  投标文件的编写</w:t>
      </w:r>
      <w:bookmarkEnd w:id="9"/>
    </w:p>
    <w:p>
      <w:pPr>
        <w:spacing w:line="440" w:lineRule="exact"/>
        <w:ind w:firstLine="482" w:firstLineChars="200"/>
        <w:rPr>
          <w:rFonts w:ascii="宋体" w:hAnsi="宋体"/>
          <w:b/>
          <w:sz w:val="24"/>
          <w:szCs w:val="24"/>
        </w:rPr>
      </w:pPr>
      <w:r>
        <w:rPr>
          <w:rFonts w:hint="eastAsia" w:ascii="宋体" w:hAnsi="宋体"/>
          <w:b/>
          <w:sz w:val="24"/>
          <w:szCs w:val="24"/>
        </w:rPr>
        <w:t>2. 要求</w:t>
      </w:r>
    </w:p>
    <w:p>
      <w:pPr>
        <w:spacing w:line="440" w:lineRule="exact"/>
        <w:ind w:firstLine="480" w:firstLineChars="200"/>
        <w:rPr>
          <w:rFonts w:ascii="宋体" w:hAnsi="宋体"/>
          <w:sz w:val="24"/>
          <w:szCs w:val="24"/>
        </w:rPr>
      </w:pPr>
      <w:r>
        <w:rPr>
          <w:rFonts w:hint="eastAsia" w:ascii="宋体" w:hAnsi="宋体"/>
          <w:sz w:val="24"/>
          <w:szCs w:val="24"/>
        </w:rPr>
        <w:t>2.1  投标人应详细阅读单一来源采购文件中的条款、规范、表示、条件和格式等所有内容，</w:t>
      </w:r>
      <w:r>
        <w:rPr>
          <w:rFonts w:hint="eastAsia" w:ascii="宋体" w:hAnsi="宋体"/>
          <w:sz w:val="24"/>
          <w:szCs w:val="24"/>
          <w:highlight w:val="none"/>
        </w:rPr>
        <w:t>按单一来源采购文件的要求提供投标文件，</w:t>
      </w:r>
      <w:r>
        <w:rPr>
          <w:rFonts w:hint="eastAsia" w:ascii="宋体" w:hAnsi="宋体"/>
          <w:sz w:val="24"/>
          <w:szCs w:val="24"/>
        </w:rPr>
        <w:t>并保证所提供全部材料的真实性，使其投标对单一来源采购文件做出实质性响应。否则，其投标视为无效。</w:t>
      </w:r>
    </w:p>
    <w:p>
      <w:pPr>
        <w:spacing w:line="440" w:lineRule="exact"/>
        <w:ind w:firstLine="482" w:firstLineChars="200"/>
        <w:rPr>
          <w:rFonts w:ascii="宋体" w:hAnsi="宋体"/>
          <w:b/>
          <w:sz w:val="24"/>
          <w:szCs w:val="24"/>
        </w:rPr>
      </w:pPr>
      <w:r>
        <w:rPr>
          <w:rFonts w:hint="eastAsia" w:ascii="宋体" w:hAnsi="宋体"/>
          <w:b/>
          <w:sz w:val="24"/>
          <w:szCs w:val="24"/>
        </w:rPr>
        <w:t>3. 投标文件语言和度量单位</w:t>
      </w:r>
    </w:p>
    <w:p>
      <w:pPr>
        <w:spacing w:line="440" w:lineRule="exact"/>
        <w:ind w:firstLine="480" w:firstLineChars="200"/>
        <w:rPr>
          <w:rFonts w:ascii="宋体" w:hAnsi="宋体"/>
          <w:sz w:val="24"/>
          <w:szCs w:val="24"/>
        </w:rPr>
      </w:pPr>
      <w:r>
        <w:rPr>
          <w:rFonts w:hint="eastAsia" w:ascii="宋体" w:hAnsi="宋体"/>
          <w:sz w:val="24"/>
          <w:szCs w:val="24"/>
        </w:rPr>
        <w:t>3.1  投标文件及投标人和招标方就招标、投标交换的文件和往来信件，须以中文书写。</w:t>
      </w:r>
    </w:p>
    <w:p>
      <w:pPr>
        <w:spacing w:line="440" w:lineRule="exact"/>
        <w:ind w:firstLine="480" w:firstLineChars="200"/>
        <w:rPr>
          <w:rFonts w:ascii="宋体" w:hAnsi="宋体"/>
          <w:sz w:val="24"/>
          <w:szCs w:val="24"/>
        </w:rPr>
      </w:pPr>
      <w:r>
        <w:rPr>
          <w:rFonts w:hint="eastAsia" w:ascii="宋体" w:hAnsi="宋体"/>
          <w:sz w:val="24"/>
          <w:szCs w:val="24"/>
        </w:rPr>
        <w:t>3.2  除在单一来源采购文件的技术规格中另有规定外，计量单位应使用中华人民共和国法定计量单位。</w:t>
      </w:r>
    </w:p>
    <w:p>
      <w:pPr>
        <w:spacing w:line="440" w:lineRule="exact"/>
        <w:ind w:firstLine="482" w:firstLineChars="200"/>
        <w:rPr>
          <w:rFonts w:ascii="宋体" w:hAnsi="宋体"/>
          <w:b/>
          <w:sz w:val="24"/>
          <w:szCs w:val="24"/>
        </w:rPr>
      </w:pPr>
      <w:r>
        <w:rPr>
          <w:rFonts w:hint="eastAsia" w:ascii="宋体" w:hAnsi="宋体"/>
          <w:b/>
          <w:sz w:val="24"/>
          <w:szCs w:val="24"/>
        </w:rPr>
        <w:t>4. 投标文件的组成</w:t>
      </w:r>
    </w:p>
    <w:p>
      <w:pPr>
        <w:spacing w:line="440" w:lineRule="exact"/>
        <w:ind w:firstLine="480" w:firstLineChars="200"/>
        <w:rPr>
          <w:rFonts w:ascii="宋体" w:hAnsi="宋体"/>
          <w:sz w:val="24"/>
          <w:szCs w:val="24"/>
        </w:rPr>
      </w:pPr>
      <w:r>
        <w:rPr>
          <w:rFonts w:hint="eastAsia" w:ascii="宋体" w:hAnsi="宋体"/>
          <w:sz w:val="24"/>
          <w:szCs w:val="24"/>
        </w:rPr>
        <w:t>4.1　投标人编写的投标文件应包括下列内容：</w:t>
      </w:r>
    </w:p>
    <w:p>
      <w:pPr>
        <w:spacing w:line="440" w:lineRule="exact"/>
        <w:ind w:firstLine="480" w:firstLineChars="200"/>
        <w:rPr>
          <w:rFonts w:ascii="宋体" w:hAnsi="宋体"/>
          <w:sz w:val="24"/>
          <w:szCs w:val="24"/>
        </w:rPr>
      </w:pPr>
      <w:r>
        <w:rPr>
          <w:rFonts w:hint="eastAsia" w:ascii="宋体" w:hAnsi="宋体"/>
          <w:sz w:val="24"/>
          <w:szCs w:val="24"/>
        </w:rPr>
        <w:t>（1）开标一览表；</w:t>
      </w:r>
    </w:p>
    <w:p>
      <w:pPr>
        <w:spacing w:line="440" w:lineRule="exact"/>
        <w:ind w:firstLine="480" w:firstLineChars="200"/>
        <w:rPr>
          <w:rFonts w:ascii="宋体" w:hAnsi="宋体"/>
          <w:sz w:val="24"/>
          <w:szCs w:val="24"/>
        </w:rPr>
      </w:pPr>
      <w:r>
        <w:rPr>
          <w:rFonts w:hint="eastAsia" w:ascii="宋体" w:hAnsi="宋体"/>
          <w:sz w:val="24"/>
          <w:szCs w:val="24"/>
        </w:rPr>
        <w:t>（2）投标资格证明文件；</w:t>
      </w:r>
    </w:p>
    <w:p>
      <w:pPr>
        <w:spacing w:line="440" w:lineRule="exact"/>
        <w:ind w:firstLine="480" w:firstLineChars="200"/>
        <w:rPr>
          <w:rFonts w:ascii="宋体" w:hAnsi="宋体"/>
          <w:sz w:val="24"/>
          <w:szCs w:val="24"/>
        </w:rPr>
      </w:pPr>
      <w:r>
        <w:rPr>
          <w:rFonts w:hint="eastAsia" w:ascii="宋体" w:hAnsi="宋体"/>
          <w:sz w:val="24"/>
          <w:szCs w:val="24"/>
        </w:rPr>
        <w:t>（3）所投产品的相关技术证明资料；</w:t>
      </w:r>
    </w:p>
    <w:p>
      <w:pPr>
        <w:spacing w:line="440" w:lineRule="exact"/>
        <w:ind w:firstLine="480" w:firstLineChars="200"/>
        <w:rPr>
          <w:rFonts w:ascii="宋体" w:hAnsi="宋体"/>
          <w:sz w:val="24"/>
          <w:szCs w:val="24"/>
        </w:rPr>
      </w:pPr>
      <w:r>
        <w:rPr>
          <w:rFonts w:hint="eastAsia" w:ascii="宋体" w:hAnsi="宋体"/>
          <w:sz w:val="24"/>
          <w:szCs w:val="24"/>
        </w:rPr>
        <w:t>（4）技术部分所要求的需求及技术规格、合同特殊条款中要求提交的文件、资料等。</w:t>
      </w:r>
    </w:p>
    <w:p>
      <w:pPr>
        <w:spacing w:line="440" w:lineRule="exact"/>
        <w:ind w:firstLine="482" w:firstLineChars="200"/>
        <w:rPr>
          <w:rFonts w:ascii="宋体" w:hAnsi="宋体"/>
          <w:b/>
          <w:sz w:val="24"/>
          <w:szCs w:val="24"/>
        </w:rPr>
      </w:pPr>
      <w:r>
        <w:rPr>
          <w:rFonts w:hint="eastAsia" w:ascii="宋体" w:hAnsi="宋体"/>
          <w:b/>
          <w:sz w:val="24"/>
          <w:szCs w:val="24"/>
        </w:rPr>
        <w:t>4.2  投标人应按下列顺序排列和</w:t>
      </w:r>
      <w:r>
        <w:rPr>
          <w:rFonts w:hint="eastAsia" w:ascii="宋体" w:hAnsi="宋体"/>
          <w:b/>
          <w:sz w:val="24"/>
          <w:szCs w:val="24"/>
          <w:lang w:val="en-US" w:eastAsia="zh-CN"/>
        </w:rPr>
        <w:t>制作</w:t>
      </w:r>
      <w:r>
        <w:rPr>
          <w:rFonts w:hint="eastAsia" w:ascii="宋体" w:hAnsi="宋体"/>
          <w:b/>
          <w:sz w:val="24"/>
          <w:szCs w:val="24"/>
        </w:rPr>
        <w:t>投标文件：</w:t>
      </w:r>
    </w:p>
    <w:tbl>
      <w:tblPr>
        <w:tblStyle w:val="38"/>
        <w:tblW w:w="962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251"/>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095" w:type="dxa"/>
            <w:vAlign w:val="center"/>
          </w:tcPr>
          <w:p>
            <w:pPr>
              <w:widowControl/>
              <w:spacing w:line="460" w:lineRule="atLeast"/>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251" w:type="dxa"/>
            <w:vAlign w:val="center"/>
          </w:tcPr>
          <w:p>
            <w:pPr>
              <w:widowControl/>
              <w:spacing w:line="460" w:lineRule="atLeast"/>
              <w:jc w:val="center"/>
              <w:rPr>
                <w:rFonts w:ascii="宋体" w:hAnsi="宋体" w:cs="宋体"/>
                <w:b/>
                <w:bCs/>
                <w:kern w:val="0"/>
                <w:sz w:val="24"/>
                <w:highlight w:val="none"/>
              </w:rPr>
            </w:pPr>
            <w:r>
              <w:rPr>
                <w:rFonts w:hint="eastAsia" w:ascii="宋体" w:hAnsi="宋体" w:cs="宋体"/>
                <w:b/>
                <w:bCs/>
                <w:kern w:val="0"/>
                <w:sz w:val="24"/>
                <w:highlight w:val="none"/>
              </w:rPr>
              <w:t>编制文件名称</w:t>
            </w:r>
          </w:p>
        </w:tc>
        <w:tc>
          <w:tcPr>
            <w:tcW w:w="5278" w:type="dxa"/>
            <w:vAlign w:val="center"/>
          </w:tcPr>
          <w:p>
            <w:pPr>
              <w:widowControl/>
              <w:spacing w:line="460" w:lineRule="atLeast"/>
              <w:jc w:val="center"/>
              <w:rPr>
                <w:rFonts w:ascii="宋体" w:hAnsi="宋体" w:cs="宋体"/>
                <w:b/>
                <w:bCs/>
                <w:kern w:val="0"/>
                <w:sz w:val="24"/>
                <w:highlight w:val="none"/>
              </w:rPr>
            </w:pPr>
            <w:r>
              <w:rPr>
                <w:rFonts w:hint="eastAsia" w:ascii="宋体" w:hAnsi="宋体" w:cs="宋体"/>
                <w:b/>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封面</w:t>
            </w:r>
          </w:p>
        </w:tc>
        <w:tc>
          <w:tcPr>
            <w:tcW w:w="5278" w:type="dxa"/>
            <w:vAlign w:val="center"/>
          </w:tcPr>
          <w:p>
            <w:pPr>
              <w:spacing w:line="440" w:lineRule="exact"/>
              <w:jc w:val="center"/>
              <w:rPr>
                <w:rFonts w:ascii="宋体" w:hAnsi="宋体"/>
                <w:b/>
                <w:sz w:val="24"/>
                <w:highlight w:val="none"/>
              </w:rPr>
            </w:pPr>
            <w:r>
              <w:rPr>
                <w:rFonts w:hint="eastAsia" w:ascii="宋体" w:hAnsi="宋体"/>
                <w:sz w:val="24"/>
                <w:highlight w:val="none"/>
              </w:rPr>
              <w:t>格式自定（注明：正本或副本、投标项目信息、投标单位信息）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目录</w:t>
            </w:r>
          </w:p>
        </w:tc>
        <w:tc>
          <w:tcPr>
            <w:tcW w:w="5278" w:type="dxa"/>
            <w:vAlign w:val="center"/>
          </w:tcPr>
          <w:p>
            <w:pPr>
              <w:spacing w:line="440" w:lineRule="exact"/>
              <w:jc w:val="center"/>
              <w:rPr>
                <w:rFonts w:ascii="宋体" w:hAnsi="宋体"/>
                <w:b/>
                <w:sz w:val="24"/>
                <w:highlight w:val="none"/>
              </w:rPr>
            </w:pPr>
            <w:r>
              <w:rPr>
                <w:rFonts w:hint="eastAsia" w:ascii="宋体" w:hAnsi="宋体"/>
                <w:sz w:val="24"/>
                <w:highlight w:val="none"/>
              </w:rPr>
              <w:t>格式自定并注明页码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3251" w:type="dxa"/>
            <w:vAlign w:val="center"/>
          </w:tcPr>
          <w:p>
            <w:pPr>
              <w:spacing w:line="440" w:lineRule="exact"/>
              <w:jc w:val="center"/>
              <w:rPr>
                <w:rFonts w:ascii="宋体" w:hAnsi="宋体"/>
                <w:sz w:val="24"/>
                <w:highlight w:val="none"/>
              </w:rPr>
            </w:pPr>
            <w:r>
              <w:rPr>
                <w:rFonts w:hint="eastAsia" w:ascii="宋体" w:hAnsi="宋体" w:cs="宋体"/>
                <w:kern w:val="0"/>
                <w:sz w:val="24"/>
                <w:highlight w:val="none"/>
                <w:lang w:eastAsia="zh-CN"/>
              </w:rPr>
              <w:t>营业执照正本或副本</w:t>
            </w:r>
          </w:p>
        </w:tc>
        <w:tc>
          <w:tcPr>
            <w:tcW w:w="5278"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关于资格的声明函</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法人授权委托书</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开标一览表</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原件需另外密封后单独提交一份（附件四）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投标函</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明细报价表</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95" w:type="dxa"/>
            <w:vAlign w:val="center"/>
          </w:tcPr>
          <w:p>
            <w:pPr>
              <w:spacing w:line="44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9</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商务条款偏离表</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0</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服务方案</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根据投标企业自行提供，格式自定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1</w:t>
            </w:r>
          </w:p>
        </w:tc>
        <w:tc>
          <w:tcPr>
            <w:tcW w:w="3251" w:type="dxa"/>
            <w:vAlign w:val="center"/>
          </w:tcPr>
          <w:p>
            <w:pPr>
              <w:spacing w:line="440" w:lineRule="exact"/>
              <w:jc w:val="center"/>
              <w:rPr>
                <w:rFonts w:hint="eastAsia" w:ascii="宋体" w:hAnsi="宋体" w:eastAsia="宋体"/>
                <w:sz w:val="24"/>
                <w:highlight w:val="none"/>
                <w:lang w:eastAsia="zh-CN"/>
              </w:rPr>
            </w:pPr>
            <w:r>
              <w:rPr>
                <w:rFonts w:hint="eastAsia" w:ascii="宋体" w:hAnsi="宋体"/>
                <w:sz w:val="24"/>
                <w:highlight w:val="none"/>
              </w:rPr>
              <w:t>缴纳</w:t>
            </w:r>
            <w:r>
              <w:rPr>
                <w:rFonts w:hint="eastAsia" w:ascii="宋体" w:hAnsi="宋体"/>
                <w:sz w:val="24"/>
                <w:highlight w:val="none"/>
                <w:lang w:eastAsia="zh-CN"/>
              </w:rPr>
              <w:t>社保</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社会保障资金证明材料主要是指社会保险登记证和参加政府采购活动前一段时间内缴纳社会保险的凭据（专用收据或社会保险缴纳清单），其他组织和自然人也需要提供缴纳税收的凭据和缴纳社会保险的凭据。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5" w:type="dxa"/>
            <w:vAlign w:val="center"/>
          </w:tcPr>
          <w:p>
            <w:pPr>
              <w:spacing w:line="440" w:lineRule="exact"/>
              <w:jc w:val="center"/>
              <w:rPr>
                <w:rFonts w:hint="eastAsia" w:ascii="宋体" w:hAnsi="宋体" w:eastAsia="宋体"/>
                <w:color w:val="FF0000"/>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2</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2021</w:t>
            </w:r>
            <w:r>
              <w:rPr>
                <w:rFonts w:hint="eastAsia" w:ascii="宋体" w:hAnsi="宋体"/>
                <w:sz w:val="24"/>
                <w:highlight w:val="none"/>
              </w:rPr>
              <w:t>年度）财务审计报告或银行资信证明</w:t>
            </w:r>
          </w:p>
        </w:tc>
        <w:tc>
          <w:tcPr>
            <w:tcW w:w="5278" w:type="dxa"/>
            <w:vAlign w:val="center"/>
          </w:tcPr>
          <w:p>
            <w:pPr>
              <w:spacing w:line="440" w:lineRule="exact"/>
              <w:jc w:val="left"/>
              <w:rPr>
                <w:rFonts w:ascii="宋体" w:hAnsi="宋体"/>
                <w:sz w:val="24"/>
                <w:highlight w:val="none"/>
              </w:rPr>
            </w:pPr>
            <w:r>
              <w:rPr>
                <w:rFonts w:hint="eastAsia" w:ascii="宋体" w:hAnsi="宋体"/>
                <w:sz w:val="24"/>
                <w:highlight w:val="none"/>
              </w:rPr>
              <w:t>新成立公司提供银行</w:t>
            </w:r>
            <w:r>
              <w:rPr>
                <w:rFonts w:hint="eastAsia" w:ascii="宋体" w:hAnsi="宋体"/>
                <w:sz w:val="24"/>
                <w:highlight w:val="none"/>
                <w:lang w:eastAsia="zh-CN"/>
              </w:rPr>
              <w:t>资信</w:t>
            </w:r>
            <w:r>
              <w:rPr>
                <w:rFonts w:hint="eastAsia" w:ascii="宋体" w:hAnsi="宋体"/>
                <w:sz w:val="24"/>
                <w:highlight w:val="none"/>
              </w:rPr>
              <w:t>证明</w:t>
            </w:r>
          </w:p>
          <w:p>
            <w:pPr>
              <w:spacing w:line="44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5" w:type="dxa"/>
            <w:vAlign w:val="center"/>
          </w:tcPr>
          <w:p>
            <w:pPr>
              <w:spacing w:line="440" w:lineRule="exact"/>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经营业绩表</w:t>
            </w:r>
          </w:p>
        </w:tc>
        <w:tc>
          <w:tcPr>
            <w:tcW w:w="5278" w:type="dxa"/>
            <w:vAlign w:val="center"/>
          </w:tcPr>
          <w:p>
            <w:pPr>
              <w:spacing w:line="440" w:lineRule="exact"/>
              <w:jc w:val="center"/>
              <w:rPr>
                <w:rFonts w:ascii="宋体" w:hAnsi="宋体"/>
                <w:color w:val="000000" w:themeColor="text1"/>
                <w:sz w:val="24"/>
                <w:highlight w:val="none"/>
              </w:rPr>
            </w:pPr>
            <w:r>
              <w:rPr>
                <w:rFonts w:hint="eastAsia" w:ascii="宋体" w:hAnsi="宋体"/>
                <w:color w:val="000000" w:themeColor="text1"/>
                <w:sz w:val="24"/>
                <w:highlight w:val="none"/>
              </w:rPr>
              <w:t>请提供成交通知书或合同的复印件加盖公章。</w:t>
            </w:r>
            <w:r>
              <w:rPr>
                <w:rFonts w:hint="eastAsia" w:ascii="宋体" w:hAnsi="宋体"/>
                <w:color w:val="000000" w:themeColor="text1"/>
                <w:sz w:val="24"/>
                <w:highlight w:val="none"/>
                <w:lang w:val="en-US" w:eastAsia="zh-CN"/>
              </w:rPr>
              <w:t xml:space="preserve"> </w:t>
            </w:r>
            <w:r>
              <w:rPr>
                <w:rFonts w:hint="eastAsia" w:ascii="宋体" w:hAnsi="宋体"/>
                <w:color w:val="000000" w:themeColor="text1"/>
                <w:sz w:val="24"/>
                <w:highlight w:val="none"/>
              </w:rPr>
              <w:t>（附件</w:t>
            </w:r>
            <w:r>
              <w:rPr>
                <w:rFonts w:hint="eastAsia" w:ascii="宋体" w:hAnsi="宋体"/>
                <w:color w:val="000000" w:themeColor="text1"/>
                <w:sz w:val="24"/>
                <w:highlight w:val="none"/>
                <w:lang w:eastAsia="zh-CN"/>
              </w:rPr>
              <w:t>八</w:t>
            </w:r>
            <w:r>
              <w:rPr>
                <w:rFonts w:hint="eastAsia" w:ascii="宋体" w:hAnsi="宋体"/>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5" w:type="dxa"/>
            <w:vAlign w:val="center"/>
          </w:tcPr>
          <w:p>
            <w:pPr>
              <w:spacing w:line="440" w:lineRule="exact"/>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4</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《反商业贿赂承诺书》</w:t>
            </w:r>
          </w:p>
        </w:tc>
        <w:tc>
          <w:tcPr>
            <w:tcW w:w="5278" w:type="dxa"/>
            <w:vAlign w:val="center"/>
          </w:tcPr>
          <w:p>
            <w:pPr>
              <w:spacing w:line="440" w:lineRule="exact"/>
              <w:jc w:val="center"/>
              <w:rPr>
                <w:rFonts w:ascii="宋体" w:hAnsi="宋体"/>
                <w:color w:val="000000" w:themeColor="text1"/>
                <w:sz w:val="24"/>
                <w:highlight w:val="none"/>
              </w:rPr>
            </w:pPr>
            <w:r>
              <w:rPr>
                <w:rFonts w:hint="eastAsia" w:ascii="宋体" w:hAnsi="宋体"/>
                <w:color w:val="000000" w:themeColor="text1"/>
                <w:sz w:val="24"/>
                <w:highlight w:val="none"/>
              </w:rPr>
              <w:t>（附件</w:t>
            </w:r>
            <w:r>
              <w:rPr>
                <w:rFonts w:hint="eastAsia" w:ascii="宋体" w:hAnsi="宋体"/>
                <w:color w:val="000000" w:themeColor="text1"/>
                <w:sz w:val="24"/>
                <w:highlight w:val="none"/>
                <w:lang w:eastAsia="zh-CN"/>
              </w:rPr>
              <w:t>九</w:t>
            </w:r>
            <w:r>
              <w:rPr>
                <w:rFonts w:hint="eastAsia" w:ascii="宋体" w:hAnsi="宋体"/>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5" w:type="dxa"/>
            <w:vAlign w:val="center"/>
          </w:tcPr>
          <w:p>
            <w:pPr>
              <w:spacing w:line="440" w:lineRule="exact"/>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5</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信用记录</w:t>
            </w:r>
          </w:p>
        </w:tc>
        <w:tc>
          <w:tcPr>
            <w:tcW w:w="5278" w:type="dxa"/>
            <w:vAlign w:val="center"/>
          </w:tcPr>
          <w:p>
            <w:pPr>
              <w:spacing w:line="440" w:lineRule="exact"/>
              <w:jc w:val="center"/>
              <w:rPr>
                <w:rFonts w:ascii="宋体" w:hAnsi="宋体"/>
                <w:color w:val="000000" w:themeColor="text1"/>
                <w:sz w:val="24"/>
                <w:highlight w:val="none"/>
              </w:rPr>
            </w:pPr>
            <w:r>
              <w:rPr>
                <w:rFonts w:hint="eastAsia" w:ascii="宋体" w:hAnsi="宋体"/>
                <w:color w:val="000000" w:themeColor="text1"/>
                <w:sz w:val="24"/>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5" w:type="dxa"/>
            <w:vAlign w:val="center"/>
          </w:tcPr>
          <w:p>
            <w:pPr>
              <w:spacing w:line="440" w:lineRule="exact"/>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6</w:t>
            </w:r>
          </w:p>
        </w:tc>
        <w:tc>
          <w:tcPr>
            <w:tcW w:w="3251" w:type="dxa"/>
            <w:vAlign w:val="center"/>
          </w:tcPr>
          <w:p>
            <w:pPr>
              <w:spacing w:line="440" w:lineRule="exact"/>
              <w:jc w:val="center"/>
              <w:rPr>
                <w:rFonts w:ascii="宋体" w:hAnsi="宋体"/>
                <w:sz w:val="24"/>
                <w:highlight w:val="none"/>
              </w:rPr>
            </w:pPr>
            <w:r>
              <w:rPr>
                <w:rFonts w:hint="eastAsia" w:ascii="宋体" w:hAnsi="宋体"/>
                <w:sz w:val="24"/>
                <w:highlight w:val="none"/>
              </w:rPr>
              <w:t>单一来源文件中要求提交的和投标人认为需要提供的其它说明和资料。</w:t>
            </w:r>
          </w:p>
        </w:tc>
        <w:tc>
          <w:tcPr>
            <w:tcW w:w="5278" w:type="dxa"/>
            <w:vAlign w:val="center"/>
          </w:tcPr>
          <w:p>
            <w:pPr>
              <w:spacing w:line="440" w:lineRule="exact"/>
              <w:jc w:val="center"/>
              <w:rPr>
                <w:rFonts w:ascii="宋体" w:hAnsi="宋体"/>
                <w:sz w:val="24"/>
                <w:highlight w:val="none"/>
              </w:rPr>
            </w:pPr>
            <w:r>
              <w:rPr>
                <w:rFonts w:hint="eastAsia" w:ascii="宋体" w:hAnsi="宋体"/>
                <w:sz w:val="24"/>
                <w:highlight w:val="none"/>
              </w:rPr>
              <w:t>格式自定</w:t>
            </w:r>
          </w:p>
        </w:tc>
      </w:tr>
    </w:tbl>
    <w:p>
      <w:pPr>
        <w:spacing w:line="440" w:lineRule="exact"/>
        <w:ind w:firstLine="360" w:firstLineChars="150"/>
        <w:rPr>
          <w:rFonts w:ascii="宋体" w:hAnsi="宋体"/>
          <w:sz w:val="24"/>
          <w:szCs w:val="24"/>
        </w:rPr>
      </w:pPr>
      <w:r>
        <w:rPr>
          <w:rFonts w:hint="eastAsia" w:ascii="宋体" w:hAnsi="宋体"/>
          <w:sz w:val="24"/>
          <w:szCs w:val="24"/>
        </w:rPr>
        <w:t>4.3 开标一览表</w:t>
      </w:r>
    </w:p>
    <w:p>
      <w:pPr>
        <w:spacing w:line="440" w:lineRule="exact"/>
        <w:ind w:firstLine="480" w:firstLineChars="200"/>
        <w:rPr>
          <w:rFonts w:ascii="宋体" w:hAnsi="宋体"/>
          <w:sz w:val="24"/>
          <w:szCs w:val="24"/>
        </w:rPr>
      </w:pPr>
      <w:r>
        <w:rPr>
          <w:rFonts w:hint="eastAsia" w:ascii="宋体" w:hAnsi="宋体"/>
          <w:sz w:val="24"/>
          <w:szCs w:val="24"/>
        </w:rPr>
        <w:t>提交开标一览表是为了便于开标时唱标，投标人必须按本单一来源采购文件所附的格式填写，签字并加盖公章，开标一览表中小写和大写不符，以大写为准。</w:t>
      </w:r>
    </w:p>
    <w:p>
      <w:pPr>
        <w:spacing w:line="360" w:lineRule="auto"/>
        <w:ind w:firstLine="360" w:firstLineChars="150"/>
        <w:rPr>
          <w:rFonts w:ascii="宋体" w:hAnsi="宋体"/>
          <w:sz w:val="24"/>
          <w:szCs w:val="24"/>
        </w:rPr>
      </w:pPr>
      <w:r>
        <w:rPr>
          <w:rFonts w:hint="eastAsia" w:ascii="宋体" w:hAnsi="宋体"/>
          <w:sz w:val="24"/>
          <w:szCs w:val="24"/>
        </w:rPr>
        <w:t>4.4 投标人须提交证明拟供服务符合单一来源采购文件规定的文件资料，作为投标文件的一部分。</w:t>
      </w:r>
    </w:p>
    <w:p>
      <w:pPr>
        <w:spacing w:line="440" w:lineRule="exact"/>
        <w:ind w:firstLine="360" w:firstLineChars="150"/>
        <w:rPr>
          <w:rFonts w:ascii="宋体" w:hAnsi="宋体"/>
          <w:sz w:val="24"/>
          <w:szCs w:val="24"/>
        </w:rPr>
      </w:pPr>
      <w:r>
        <w:rPr>
          <w:rFonts w:hint="eastAsia" w:ascii="宋体" w:hAnsi="宋体"/>
          <w:sz w:val="24"/>
          <w:szCs w:val="24"/>
        </w:rPr>
        <w:t>4.5 产品资料和检测报告所反映的技术参数和性能指标将作为验收产品实物的依据。</w:t>
      </w:r>
    </w:p>
    <w:p>
      <w:pPr>
        <w:spacing w:line="360" w:lineRule="auto"/>
        <w:ind w:firstLine="360" w:firstLineChars="150"/>
        <w:rPr>
          <w:rFonts w:ascii="宋体" w:hAnsi="宋体"/>
          <w:sz w:val="24"/>
          <w:szCs w:val="24"/>
        </w:rPr>
      </w:pPr>
      <w:r>
        <w:rPr>
          <w:rFonts w:hint="eastAsia" w:ascii="宋体" w:hAnsi="宋体"/>
          <w:sz w:val="24"/>
          <w:szCs w:val="24"/>
        </w:rPr>
        <w:t>4.6 上述文件可以是文字资料、图纸和数据，并提供：</w:t>
      </w:r>
    </w:p>
    <w:p>
      <w:pPr>
        <w:spacing w:line="360" w:lineRule="auto"/>
        <w:ind w:firstLine="360" w:firstLineChars="150"/>
        <w:rPr>
          <w:rFonts w:ascii="宋体" w:hAnsi="宋体"/>
          <w:sz w:val="24"/>
          <w:szCs w:val="24"/>
        </w:rPr>
      </w:pPr>
      <w:r>
        <w:rPr>
          <w:rFonts w:hint="eastAsia" w:ascii="宋体" w:hAnsi="宋体"/>
          <w:sz w:val="24"/>
          <w:szCs w:val="24"/>
        </w:rPr>
        <w:t>（1） 服务主要涉及的技术及特点的详细描述；</w:t>
      </w:r>
    </w:p>
    <w:p>
      <w:pPr>
        <w:spacing w:line="360" w:lineRule="auto"/>
        <w:ind w:firstLine="360" w:firstLineChars="150"/>
        <w:rPr>
          <w:rFonts w:ascii="宋体" w:hAnsi="宋体"/>
          <w:sz w:val="24"/>
          <w:szCs w:val="24"/>
        </w:rPr>
      </w:pPr>
      <w:r>
        <w:rPr>
          <w:rFonts w:hint="eastAsia" w:ascii="宋体" w:hAnsi="宋体"/>
          <w:sz w:val="24"/>
          <w:szCs w:val="24"/>
        </w:rPr>
        <w:t>（2） 一份在技术规格中规定的服务正常和连续运转期间所需要的所有备件详细清单（包括价格及供货来源信息）。</w:t>
      </w:r>
    </w:p>
    <w:p>
      <w:pPr>
        <w:spacing w:line="360" w:lineRule="auto"/>
        <w:ind w:firstLine="360" w:firstLineChars="150"/>
        <w:rPr>
          <w:rFonts w:ascii="宋体" w:hAnsi="宋体"/>
          <w:sz w:val="24"/>
          <w:szCs w:val="24"/>
        </w:rPr>
      </w:pPr>
      <w:r>
        <w:rPr>
          <w:rFonts w:hint="eastAsia" w:ascii="宋体" w:hAnsi="宋体"/>
          <w:sz w:val="24"/>
          <w:szCs w:val="24"/>
        </w:rPr>
        <w:t>4.7 没有按要求提供资料或提供资料不完全的，将被视为对单一来源采购文件没有做出实质性响应，其风险由投标人自行承担。</w:t>
      </w:r>
    </w:p>
    <w:p>
      <w:pPr>
        <w:spacing w:line="360" w:lineRule="auto"/>
        <w:ind w:firstLine="360" w:firstLineChars="150"/>
        <w:rPr>
          <w:rFonts w:ascii="宋体" w:hAnsi="宋体"/>
          <w:sz w:val="24"/>
          <w:szCs w:val="24"/>
        </w:rPr>
      </w:pPr>
      <w:r>
        <w:rPr>
          <w:rFonts w:hint="eastAsia" w:ascii="宋体" w:hAnsi="宋体"/>
          <w:sz w:val="24"/>
          <w:szCs w:val="24"/>
        </w:rPr>
        <w:t>4.8如果投标人提供的服务不是投标人自己生产或拥有的，则必须得到技术拥有者或货物制造商向招标人提供该种货物/服务的正式授权及价格授权。</w:t>
      </w:r>
    </w:p>
    <w:p>
      <w:pPr>
        <w:spacing w:line="360" w:lineRule="auto"/>
        <w:ind w:firstLine="360" w:firstLineChars="150"/>
        <w:rPr>
          <w:rFonts w:ascii="宋体" w:hAnsi="宋体"/>
          <w:sz w:val="24"/>
          <w:szCs w:val="24"/>
        </w:rPr>
      </w:pPr>
      <w:r>
        <w:rPr>
          <w:rFonts w:hint="eastAsia" w:ascii="宋体" w:hAnsi="宋体"/>
          <w:sz w:val="24"/>
          <w:szCs w:val="24"/>
        </w:rPr>
        <w:t>4.9 领取了单一来源采购文件的投标人应认真阅读单一来源采购文件的所有内容，按照单一来源采购文件的要求编制投标文件，投标文件正本中所提供资料需加盖公章。</w:t>
      </w:r>
    </w:p>
    <w:p>
      <w:pPr>
        <w:spacing w:line="440" w:lineRule="exact"/>
        <w:ind w:firstLine="352" w:firstLineChars="147"/>
        <w:rPr>
          <w:rFonts w:ascii="宋体" w:hAnsi="宋体"/>
          <w:sz w:val="24"/>
          <w:szCs w:val="24"/>
        </w:rPr>
      </w:pPr>
      <w:r>
        <w:rPr>
          <w:rFonts w:hint="eastAsia" w:ascii="宋体" w:hAnsi="宋体"/>
          <w:sz w:val="24"/>
          <w:szCs w:val="24"/>
        </w:rPr>
        <w:t>4.10 投标人提供的设备必须是正规厂家生产的高质量产品，不能提供劣质三无产品（无厂址,无商标,无合格证）。</w:t>
      </w:r>
    </w:p>
    <w:p>
      <w:pPr>
        <w:spacing w:line="440" w:lineRule="exact"/>
        <w:ind w:firstLine="482" w:firstLineChars="200"/>
        <w:rPr>
          <w:rFonts w:ascii="宋体" w:hAnsi="宋体"/>
          <w:b/>
          <w:sz w:val="24"/>
          <w:szCs w:val="24"/>
        </w:rPr>
      </w:pPr>
      <w:r>
        <w:rPr>
          <w:rFonts w:hint="eastAsia" w:ascii="宋体" w:hAnsi="宋体"/>
          <w:b/>
          <w:sz w:val="24"/>
          <w:szCs w:val="24"/>
        </w:rPr>
        <w:t>5. 投标文件格式</w:t>
      </w:r>
    </w:p>
    <w:p>
      <w:pPr>
        <w:spacing w:line="360" w:lineRule="auto"/>
        <w:ind w:firstLine="360" w:firstLineChars="150"/>
        <w:rPr>
          <w:rFonts w:ascii="宋体" w:hAnsi="宋体"/>
          <w:sz w:val="24"/>
          <w:szCs w:val="24"/>
        </w:rPr>
      </w:pPr>
      <w:r>
        <w:rPr>
          <w:rFonts w:hint="eastAsia" w:ascii="宋体" w:hAnsi="宋体"/>
          <w:sz w:val="24"/>
          <w:szCs w:val="24"/>
        </w:rPr>
        <w:t>5.1　投标人应按单一来源采购文件提供的范本格式认真填写投标文件、开标一览表。</w:t>
      </w:r>
    </w:p>
    <w:p>
      <w:pPr>
        <w:spacing w:line="360" w:lineRule="auto"/>
        <w:ind w:firstLine="360" w:firstLineChars="150"/>
        <w:rPr>
          <w:rFonts w:ascii="宋体" w:hAnsi="宋体"/>
          <w:sz w:val="24"/>
          <w:szCs w:val="24"/>
          <w:highlight w:val="yellow"/>
        </w:rPr>
      </w:pPr>
      <w:r>
        <w:rPr>
          <w:rFonts w:hint="eastAsia" w:ascii="宋体" w:hAnsi="宋体"/>
          <w:sz w:val="24"/>
          <w:szCs w:val="24"/>
        </w:rPr>
        <w:t>5.2  投标人应将投标文件按规定的顺序编排、并应编制目录、逐页标注连续页</w:t>
      </w:r>
      <w:r>
        <w:rPr>
          <w:rFonts w:hint="eastAsia" w:ascii="宋体" w:hAnsi="宋体"/>
          <w:sz w:val="24"/>
          <w:szCs w:val="24"/>
          <w:highlight w:val="none"/>
        </w:rPr>
        <w:t>码。</w:t>
      </w:r>
    </w:p>
    <w:p>
      <w:pPr>
        <w:spacing w:line="440" w:lineRule="exact"/>
        <w:ind w:firstLine="482" w:firstLineChars="200"/>
        <w:rPr>
          <w:rFonts w:ascii="宋体" w:hAnsi="宋体"/>
          <w:b/>
          <w:sz w:val="24"/>
          <w:szCs w:val="24"/>
        </w:rPr>
      </w:pPr>
      <w:r>
        <w:rPr>
          <w:rFonts w:hint="eastAsia" w:ascii="宋体" w:hAnsi="宋体"/>
          <w:b/>
          <w:sz w:val="24"/>
          <w:szCs w:val="24"/>
        </w:rPr>
        <w:t>6. 投标报价</w:t>
      </w:r>
    </w:p>
    <w:p>
      <w:pPr>
        <w:spacing w:line="440" w:lineRule="exact"/>
        <w:ind w:firstLine="480" w:firstLineChars="200"/>
        <w:rPr>
          <w:rFonts w:ascii="宋体" w:hAnsi="宋体"/>
          <w:sz w:val="24"/>
          <w:szCs w:val="24"/>
        </w:rPr>
      </w:pPr>
      <w:r>
        <w:rPr>
          <w:rFonts w:hint="eastAsia" w:ascii="宋体" w:hAnsi="宋体"/>
          <w:sz w:val="24"/>
          <w:szCs w:val="24"/>
        </w:rPr>
        <w:t>6.1  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ind w:left="480"/>
        <w:rPr>
          <w:rFonts w:ascii="宋体" w:hAnsi="宋体"/>
          <w:b/>
          <w:sz w:val="24"/>
          <w:szCs w:val="24"/>
        </w:rPr>
      </w:pPr>
      <w:r>
        <w:rPr>
          <w:rFonts w:hint="eastAsia" w:ascii="宋体" w:hAnsi="宋体"/>
          <w:b/>
          <w:sz w:val="24"/>
          <w:szCs w:val="24"/>
        </w:rPr>
        <w:t>7. 投标报价的货币单位</w:t>
      </w:r>
    </w:p>
    <w:p>
      <w:pPr>
        <w:adjustRightInd w:val="0"/>
        <w:snapToGrid w:val="0"/>
        <w:spacing w:line="440" w:lineRule="exact"/>
        <w:ind w:firstLine="480" w:firstLineChars="200"/>
        <w:rPr>
          <w:rFonts w:ascii="宋体" w:hAnsi="宋体"/>
          <w:sz w:val="24"/>
          <w:szCs w:val="24"/>
        </w:rPr>
      </w:pPr>
      <w:r>
        <w:rPr>
          <w:rFonts w:hint="eastAsia" w:ascii="宋体" w:hAnsi="宋体"/>
          <w:sz w:val="24"/>
          <w:szCs w:val="24"/>
        </w:rPr>
        <w:t>7.1　投标报价单位为人民币。各项价格必须清楚、准确、详细。</w:t>
      </w:r>
    </w:p>
    <w:p>
      <w:pPr>
        <w:spacing w:line="440" w:lineRule="exact"/>
        <w:ind w:firstLine="482" w:firstLineChars="200"/>
        <w:rPr>
          <w:rFonts w:ascii="宋体" w:hAnsi="宋体"/>
          <w:b/>
          <w:sz w:val="24"/>
          <w:szCs w:val="24"/>
        </w:rPr>
      </w:pPr>
      <w:r>
        <w:rPr>
          <w:rFonts w:hint="eastAsia" w:ascii="宋体" w:hAnsi="宋体"/>
          <w:b/>
          <w:sz w:val="24"/>
          <w:szCs w:val="24"/>
        </w:rPr>
        <w:t>8. 投标有效期</w:t>
      </w:r>
    </w:p>
    <w:p>
      <w:pPr>
        <w:spacing w:line="440" w:lineRule="exact"/>
        <w:ind w:firstLine="480" w:firstLineChars="200"/>
        <w:rPr>
          <w:rFonts w:ascii="宋体" w:hAnsi="宋体"/>
          <w:sz w:val="24"/>
          <w:szCs w:val="24"/>
        </w:rPr>
      </w:pPr>
      <w:r>
        <w:rPr>
          <w:rFonts w:hint="eastAsia" w:ascii="宋体" w:hAnsi="宋体"/>
          <w:sz w:val="24"/>
          <w:szCs w:val="24"/>
        </w:rPr>
        <w:t>8.1　投标文件从开标之日起，投标有效期为</w:t>
      </w:r>
      <w:r>
        <w:rPr>
          <w:rFonts w:hint="eastAsia" w:ascii="宋体" w:hAnsi="宋体"/>
          <w:sz w:val="24"/>
          <w:szCs w:val="24"/>
          <w:u w:val="single"/>
        </w:rPr>
        <w:t xml:space="preserve">  九十 </w:t>
      </w:r>
      <w:r>
        <w:rPr>
          <w:rFonts w:hint="eastAsia" w:ascii="宋体" w:hAnsi="宋体"/>
          <w:sz w:val="24"/>
          <w:szCs w:val="24"/>
        </w:rPr>
        <w:t>天（如不满足将导致废标）。</w:t>
      </w:r>
    </w:p>
    <w:p>
      <w:pPr>
        <w:spacing w:line="440" w:lineRule="exact"/>
        <w:ind w:firstLine="480" w:firstLineChars="200"/>
        <w:rPr>
          <w:rFonts w:ascii="宋体" w:hAnsi="宋体"/>
          <w:sz w:val="24"/>
          <w:szCs w:val="24"/>
        </w:rPr>
      </w:pPr>
      <w:r>
        <w:rPr>
          <w:rFonts w:hint="eastAsia" w:ascii="宋体" w:hAnsi="宋体"/>
          <w:sz w:val="24"/>
          <w:szCs w:val="24"/>
        </w:rPr>
        <w:t>8.2　在特殊情况下，招标方可与投标人协商延长投标文件的有效期。</w:t>
      </w:r>
    </w:p>
    <w:p>
      <w:pPr>
        <w:spacing w:line="440" w:lineRule="exact"/>
        <w:ind w:firstLine="482" w:firstLineChars="200"/>
        <w:rPr>
          <w:rFonts w:ascii="宋体" w:hAnsi="宋体"/>
          <w:b/>
          <w:sz w:val="24"/>
          <w:szCs w:val="24"/>
        </w:rPr>
      </w:pPr>
      <w:r>
        <w:rPr>
          <w:rFonts w:hint="eastAsia" w:ascii="宋体" w:hAnsi="宋体"/>
          <w:b/>
          <w:sz w:val="24"/>
          <w:szCs w:val="24"/>
        </w:rPr>
        <w:t>9. 投标文件的签署规定</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9.</w:t>
      </w:r>
      <w:r>
        <w:rPr>
          <w:rFonts w:hint="eastAsia" w:ascii="宋体" w:hAnsi="宋体"/>
          <w:sz w:val="24"/>
          <w:szCs w:val="24"/>
          <w:highlight w:val="none"/>
          <w:lang w:val="en-US" w:eastAsia="zh-CN"/>
        </w:rPr>
        <w:t>1</w:t>
      </w:r>
      <w:r>
        <w:rPr>
          <w:rFonts w:hint="eastAsia" w:ascii="宋体" w:hAnsi="宋体"/>
          <w:sz w:val="24"/>
          <w:szCs w:val="24"/>
          <w:highlight w:val="none"/>
        </w:rPr>
        <w:t>　投标文件应清楚工整，一般不准修改。个别非实质性修改之处应由投标人的被授权人或法人代表签章。</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9.</w:t>
      </w:r>
      <w:r>
        <w:rPr>
          <w:rFonts w:hint="eastAsia" w:ascii="宋体" w:hAnsi="宋体"/>
          <w:sz w:val="24"/>
          <w:szCs w:val="24"/>
          <w:highlight w:val="none"/>
          <w:lang w:val="en-US" w:eastAsia="zh-CN"/>
        </w:rPr>
        <w:t>2</w:t>
      </w:r>
      <w:r>
        <w:rPr>
          <w:rFonts w:hint="eastAsia" w:ascii="宋体" w:hAnsi="宋体"/>
          <w:sz w:val="24"/>
          <w:szCs w:val="24"/>
          <w:highlight w:val="none"/>
        </w:rPr>
        <w:t>　投标文件应由法人代表或法人授权代表在规定的签章处逐一签署或加盖单位公章</w:t>
      </w:r>
      <w:r>
        <w:rPr>
          <w:rFonts w:hint="eastAsia" w:ascii="宋体" w:hAnsi="宋体"/>
          <w:bCs/>
          <w:sz w:val="24"/>
          <w:szCs w:val="24"/>
          <w:highlight w:val="none"/>
        </w:rPr>
        <w:t>，投标文件方为有效。</w:t>
      </w:r>
    </w:p>
    <w:p>
      <w:pPr>
        <w:spacing w:line="460" w:lineRule="atLeast"/>
        <w:ind w:firstLine="482" w:firstLineChars="200"/>
        <w:rPr>
          <w:rFonts w:ascii="宋体" w:hAnsi="宋体"/>
          <w:b/>
          <w:sz w:val="24"/>
        </w:rPr>
      </w:pPr>
      <w:r>
        <w:rPr>
          <w:rFonts w:hint="eastAsia" w:ascii="宋体" w:hAnsi="宋体"/>
          <w:b/>
          <w:sz w:val="24"/>
        </w:rPr>
        <w:t>10、投标保证金</w:t>
      </w:r>
    </w:p>
    <w:p>
      <w:pPr>
        <w:spacing w:line="460" w:lineRule="atLeast"/>
        <w:ind w:firstLine="480" w:firstLineChars="200"/>
        <w:rPr>
          <w:rFonts w:ascii="宋体" w:hAnsi="宋体"/>
          <w:sz w:val="24"/>
        </w:rPr>
      </w:pPr>
      <w:r>
        <w:rPr>
          <w:rFonts w:hint="eastAsia" w:ascii="宋体" w:hAnsi="宋体"/>
          <w:sz w:val="24"/>
        </w:rPr>
        <w:t>10.1 招标方因投标人的违规行为而受到损害时将不予退还投标人的投标保证金作为所受损害的补偿。</w:t>
      </w:r>
    </w:p>
    <w:p>
      <w:pPr>
        <w:spacing w:line="460" w:lineRule="atLeast"/>
        <w:ind w:firstLine="480" w:firstLineChars="200"/>
        <w:rPr>
          <w:rFonts w:ascii="宋体" w:hAnsi="宋体"/>
          <w:sz w:val="24"/>
          <w:highlight w:val="none"/>
        </w:rPr>
      </w:pPr>
      <w:r>
        <w:rPr>
          <w:rFonts w:hint="eastAsia" w:ascii="宋体" w:hAnsi="宋体"/>
          <w:sz w:val="24"/>
        </w:rPr>
        <w:t xml:space="preserve">10.2 </w:t>
      </w:r>
      <w:r>
        <w:rPr>
          <w:rFonts w:hint="eastAsia" w:ascii="宋体" w:hAnsi="宋体"/>
          <w:sz w:val="24"/>
          <w:highlight w:val="none"/>
        </w:rPr>
        <w:t xml:space="preserve"> 投标人应提交投标保证金，并于投标截止时间前向招标代理机构送达（人民币）。如是本地转账支票需于投标截止期三个工作日前向招标代理机构送达，如投标保证金为汇款形式的，须在开标前汇到招标代理机构指定的帐户。</w:t>
      </w:r>
    </w:p>
    <w:p>
      <w:pPr>
        <w:spacing w:line="460" w:lineRule="atLeast"/>
        <w:ind w:firstLine="480" w:firstLineChars="200"/>
        <w:rPr>
          <w:rFonts w:ascii="宋体" w:hAnsi="宋体"/>
          <w:sz w:val="24"/>
        </w:rPr>
      </w:pPr>
      <w:r>
        <w:rPr>
          <w:rFonts w:hint="eastAsia" w:ascii="宋体" w:hAnsi="宋体"/>
          <w:sz w:val="24"/>
        </w:rPr>
        <w:t>10.3　投标保证金可采取银行电汇形式缴纳，其有效期应不低于投标有效期。</w:t>
      </w:r>
    </w:p>
    <w:p>
      <w:pPr>
        <w:spacing w:line="460" w:lineRule="atLeast"/>
        <w:ind w:firstLine="480" w:firstLineChars="200"/>
        <w:rPr>
          <w:rFonts w:ascii="宋体" w:hAnsi="宋体"/>
          <w:sz w:val="24"/>
        </w:rPr>
      </w:pPr>
      <w:r>
        <w:rPr>
          <w:rFonts w:hint="eastAsia" w:ascii="宋体" w:hAnsi="宋体"/>
          <w:sz w:val="24"/>
        </w:rPr>
        <w:t>10.4  中标方的投标保证金，将在领取成交通知书，缴纳履约保证金并签订合同后</w:t>
      </w:r>
      <w:r>
        <w:rPr>
          <w:rFonts w:hint="eastAsia" w:ascii="宋体" w:hAnsi="宋体"/>
          <w:sz w:val="24"/>
          <w:lang w:val="en-US" w:eastAsia="zh-CN"/>
        </w:rPr>
        <w:t>5</w:t>
      </w:r>
      <w:r>
        <w:rPr>
          <w:rFonts w:hint="eastAsia" w:ascii="宋体" w:hAnsi="宋体"/>
          <w:sz w:val="24"/>
        </w:rPr>
        <w:t>个工作日内无息退还。</w:t>
      </w:r>
      <w:r>
        <w:rPr>
          <w:rFonts w:hint="eastAsia" w:ascii="宋体" w:hAnsi="宋体"/>
          <w:bCs/>
          <w:sz w:val="24"/>
        </w:rPr>
        <w:t>中标企业退还保证金时，还需提供采购合同复印件。</w:t>
      </w:r>
    </w:p>
    <w:p>
      <w:pPr>
        <w:spacing w:line="460" w:lineRule="atLeast"/>
        <w:ind w:firstLine="480" w:firstLineChars="200"/>
        <w:rPr>
          <w:rFonts w:ascii="宋体" w:hAnsi="宋体"/>
          <w:sz w:val="24"/>
        </w:rPr>
      </w:pPr>
      <w:r>
        <w:rPr>
          <w:rFonts w:hint="eastAsia" w:ascii="宋体" w:hAnsi="宋体"/>
          <w:sz w:val="24"/>
        </w:rPr>
        <w:t>10.5 退还投标保证金时，请携带投标单位收到退还保证金收据一份：同时携带财务专用章，以便在我单位支票头上盖章；退还投标保证金也可办理电汇业务（请提供单位名称、账号、行号、退还保证金收据等相关资料，并承担电汇手续费）我单位不退还现金。</w:t>
      </w:r>
    </w:p>
    <w:p>
      <w:pPr>
        <w:spacing w:line="440" w:lineRule="exact"/>
        <w:ind w:firstLine="480" w:firstLineChars="200"/>
        <w:rPr>
          <w:rFonts w:ascii="宋体" w:hAnsi="宋体"/>
          <w:sz w:val="24"/>
          <w:szCs w:val="24"/>
        </w:rPr>
      </w:pPr>
      <w:r>
        <w:rPr>
          <w:rFonts w:hint="eastAsia" w:ascii="宋体" w:hAnsi="宋体"/>
          <w:sz w:val="24"/>
          <w:szCs w:val="24"/>
        </w:rPr>
        <w:t>10.6　未按规定提交</w:t>
      </w:r>
      <w:r>
        <w:rPr>
          <w:rFonts w:hint="eastAsia" w:ascii="宋体" w:hAnsi="宋体"/>
          <w:sz w:val="24"/>
        </w:rPr>
        <w:t>投标</w:t>
      </w:r>
      <w:r>
        <w:rPr>
          <w:rFonts w:hint="eastAsia" w:ascii="宋体" w:hAnsi="宋体"/>
          <w:sz w:val="24"/>
          <w:szCs w:val="24"/>
        </w:rPr>
        <w:t>保证金的投标，将被视为投标无效。</w:t>
      </w:r>
    </w:p>
    <w:p>
      <w:pPr>
        <w:spacing w:line="440" w:lineRule="exact"/>
        <w:ind w:firstLine="480" w:firstLineChars="200"/>
        <w:rPr>
          <w:rFonts w:ascii="宋体" w:hAnsi="宋体"/>
          <w:sz w:val="24"/>
          <w:szCs w:val="24"/>
        </w:rPr>
      </w:pPr>
      <w:r>
        <w:rPr>
          <w:rFonts w:hint="eastAsia" w:ascii="宋体" w:hAnsi="宋体"/>
          <w:sz w:val="24"/>
          <w:szCs w:val="24"/>
        </w:rPr>
        <w:t>（1）未按规定提交投标保证金的投标；</w:t>
      </w:r>
    </w:p>
    <w:p>
      <w:pPr>
        <w:spacing w:line="440" w:lineRule="exact"/>
        <w:ind w:firstLine="480" w:firstLineChars="200"/>
        <w:rPr>
          <w:rFonts w:ascii="宋体" w:hAnsi="宋体"/>
          <w:sz w:val="24"/>
          <w:szCs w:val="24"/>
        </w:rPr>
      </w:pPr>
      <w:r>
        <w:rPr>
          <w:rFonts w:hint="eastAsia" w:ascii="宋体" w:hAnsi="宋体"/>
          <w:sz w:val="24"/>
          <w:szCs w:val="24"/>
        </w:rPr>
        <w:t>（2）投标文件与招标文件有重大负偏离的；</w:t>
      </w:r>
    </w:p>
    <w:p>
      <w:pPr>
        <w:spacing w:line="440" w:lineRule="exact"/>
        <w:ind w:firstLine="480" w:firstLineChars="200"/>
        <w:rPr>
          <w:rFonts w:ascii="宋体" w:hAnsi="宋体"/>
          <w:sz w:val="24"/>
          <w:szCs w:val="24"/>
        </w:rPr>
      </w:pPr>
      <w:r>
        <w:rPr>
          <w:rFonts w:hint="eastAsia" w:ascii="宋体" w:hAnsi="宋体"/>
          <w:sz w:val="24"/>
          <w:szCs w:val="24"/>
        </w:rPr>
        <w:t>（3）投标人拒绝修正错误的；</w:t>
      </w:r>
    </w:p>
    <w:p>
      <w:pPr>
        <w:spacing w:line="440" w:lineRule="exact"/>
        <w:ind w:firstLine="480" w:firstLineChars="200"/>
        <w:rPr>
          <w:rFonts w:ascii="宋体" w:hAnsi="宋体"/>
          <w:sz w:val="24"/>
          <w:szCs w:val="24"/>
        </w:rPr>
      </w:pPr>
      <w:r>
        <w:rPr>
          <w:rFonts w:hint="eastAsia" w:ascii="宋体" w:hAnsi="宋体"/>
          <w:sz w:val="24"/>
          <w:szCs w:val="24"/>
        </w:rPr>
        <w:t>（4）投标文件的关键内容字迹模糊，无法辨认的；</w:t>
      </w:r>
    </w:p>
    <w:p>
      <w:pPr>
        <w:spacing w:line="440" w:lineRule="exact"/>
        <w:ind w:firstLine="480" w:firstLineChars="200"/>
        <w:rPr>
          <w:rFonts w:ascii="宋体" w:hAnsi="宋体"/>
          <w:sz w:val="24"/>
          <w:szCs w:val="24"/>
        </w:rPr>
      </w:pPr>
      <w:r>
        <w:rPr>
          <w:rFonts w:hint="eastAsia" w:ascii="宋体" w:hAnsi="宋体"/>
          <w:sz w:val="24"/>
          <w:szCs w:val="24"/>
        </w:rPr>
        <w:t>（5）投标有效期不足的；</w:t>
      </w:r>
    </w:p>
    <w:p>
      <w:pPr>
        <w:spacing w:line="440" w:lineRule="exact"/>
        <w:ind w:firstLine="480" w:firstLineChars="200"/>
        <w:rPr>
          <w:rFonts w:ascii="宋体" w:hAnsi="宋体"/>
          <w:sz w:val="24"/>
          <w:szCs w:val="24"/>
        </w:rPr>
      </w:pPr>
      <w:r>
        <w:rPr>
          <w:rFonts w:hint="eastAsia" w:ascii="宋体" w:hAnsi="宋体"/>
          <w:sz w:val="24"/>
          <w:szCs w:val="24"/>
        </w:rPr>
        <w:t>（6）投标人的报价超出预算金额（或最高限价）的；</w:t>
      </w:r>
    </w:p>
    <w:p>
      <w:pPr>
        <w:spacing w:line="440" w:lineRule="exact"/>
        <w:ind w:firstLine="480" w:firstLineChars="200"/>
        <w:rPr>
          <w:rFonts w:ascii="宋体" w:hAnsi="宋体"/>
          <w:sz w:val="24"/>
          <w:szCs w:val="24"/>
        </w:rPr>
      </w:pPr>
      <w:r>
        <w:rPr>
          <w:rFonts w:hint="eastAsia" w:ascii="宋体" w:hAnsi="宋体"/>
          <w:sz w:val="24"/>
          <w:szCs w:val="24"/>
        </w:rPr>
        <w:t>（7）其他违反相关法律法规规定的行为的；</w:t>
      </w:r>
    </w:p>
    <w:p>
      <w:pPr>
        <w:spacing w:line="440" w:lineRule="exact"/>
        <w:ind w:firstLine="480" w:firstLineChars="200"/>
        <w:rPr>
          <w:rFonts w:ascii="宋体" w:hAnsi="宋体"/>
          <w:sz w:val="24"/>
          <w:szCs w:val="24"/>
        </w:rPr>
      </w:pPr>
      <w:r>
        <w:rPr>
          <w:rFonts w:hint="eastAsia" w:ascii="宋体" w:hAnsi="宋体"/>
          <w:sz w:val="24"/>
          <w:szCs w:val="24"/>
        </w:rPr>
        <w:t>（8）评标委员会认为是其他应当否决的投标。</w:t>
      </w:r>
    </w:p>
    <w:p>
      <w:pPr>
        <w:spacing w:line="440" w:lineRule="exact"/>
        <w:ind w:firstLine="480" w:firstLineChars="200"/>
        <w:rPr>
          <w:rFonts w:ascii="宋体" w:hAnsi="宋体"/>
          <w:sz w:val="24"/>
          <w:szCs w:val="24"/>
        </w:rPr>
      </w:pPr>
      <w:r>
        <w:rPr>
          <w:rFonts w:hint="eastAsia" w:ascii="宋体" w:hAnsi="宋体"/>
          <w:sz w:val="24"/>
          <w:szCs w:val="24"/>
        </w:rPr>
        <w:t>10.7 下列任何情况发生时，</w:t>
      </w:r>
      <w:r>
        <w:rPr>
          <w:rFonts w:hint="eastAsia" w:ascii="宋体" w:hAnsi="宋体"/>
          <w:sz w:val="24"/>
        </w:rPr>
        <w:t>投标</w:t>
      </w:r>
      <w:r>
        <w:rPr>
          <w:rFonts w:hint="eastAsia" w:ascii="宋体" w:hAnsi="宋体"/>
          <w:sz w:val="24"/>
          <w:szCs w:val="24"/>
        </w:rPr>
        <w:t>保证金将不予退还，转为违约金：</w:t>
      </w:r>
    </w:p>
    <w:p>
      <w:pPr>
        <w:spacing w:line="440" w:lineRule="exact"/>
        <w:ind w:firstLine="480" w:firstLineChars="200"/>
        <w:rPr>
          <w:rFonts w:ascii="宋体" w:hAnsi="宋体"/>
          <w:sz w:val="24"/>
          <w:szCs w:val="24"/>
        </w:rPr>
      </w:pPr>
      <w:r>
        <w:rPr>
          <w:rFonts w:hint="eastAsia" w:ascii="宋体" w:hAnsi="宋体"/>
          <w:sz w:val="24"/>
          <w:szCs w:val="24"/>
        </w:rPr>
        <w:t>（1） 投标人在投标截止期后，投标有效期内撤回投标；</w:t>
      </w:r>
    </w:p>
    <w:p>
      <w:pPr>
        <w:spacing w:line="440" w:lineRule="exact"/>
        <w:ind w:firstLine="480" w:firstLineChars="200"/>
        <w:rPr>
          <w:rFonts w:ascii="宋体" w:hAnsi="宋体"/>
          <w:sz w:val="24"/>
          <w:szCs w:val="24"/>
        </w:rPr>
      </w:pPr>
      <w:r>
        <w:rPr>
          <w:rFonts w:hint="eastAsia" w:ascii="宋体" w:hAnsi="宋体"/>
          <w:sz w:val="24"/>
          <w:szCs w:val="24"/>
        </w:rPr>
        <w:t>（2） 投标人在规定期限内未按规定向采购人缴纳履约保证金；</w:t>
      </w:r>
    </w:p>
    <w:p>
      <w:pPr>
        <w:spacing w:line="440" w:lineRule="exact"/>
        <w:ind w:firstLine="480" w:firstLineChars="200"/>
        <w:rPr>
          <w:rFonts w:ascii="宋体" w:hAnsi="宋体"/>
          <w:sz w:val="24"/>
          <w:szCs w:val="24"/>
        </w:rPr>
      </w:pPr>
      <w:r>
        <w:rPr>
          <w:rFonts w:hint="eastAsia" w:ascii="宋体" w:hAnsi="宋体"/>
          <w:sz w:val="24"/>
          <w:szCs w:val="24"/>
        </w:rPr>
        <w:t>（3） 已方未按投标人须知规定缴纳招标代理费；</w:t>
      </w:r>
    </w:p>
    <w:p>
      <w:pPr>
        <w:spacing w:line="440" w:lineRule="exact"/>
        <w:ind w:firstLine="480" w:firstLineChars="200"/>
        <w:rPr>
          <w:rFonts w:ascii="宋体" w:hAnsi="宋体"/>
          <w:sz w:val="24"/>
          <w:szCs w:val="24"/>
        </w:rPr>
      </w:pPr>
      <w:r>
        <w:rPr>
          <w:rFonts w:hint="eastAsia" w:ascii="宋体" w:hAnsi="宋体"/>
          <w:sz w:val="24"/>
          <w:szCs w:val="24"/>
        </w:rPr>
        <w:t>（4） 以他人名义投标或者以其他方式弄虚作假，骗取中标；</w:t>
      </w:r>
    </w:p>
    <w:p>
      <w:pPr>
        <w:spacing w:line="440" w:lineRule="exact"/>
        <w:ind w:firstLine="480" w:firstLineChars="200"/>
        <w:rPr>
          <w:rFonts w:ascii="宋体" w:hAnsi="宋体"/>
          <w:sz w:val="24"/>
          <w:szCs w:val="24"/>
        </w:rPr>
      </w:pPr>
      <w:r>
        <w:rPr>
          <w:rFonts w:hint="eastAsia" w:ascii="宋体" w:hAnsi="宋体"/>
          <w:sz w:val="24"/>
          <w:szCs w:val="24"/>
        </w:rPr>
        <w:t>（5） 打架斗殴，扰乱开标会场秩序；</w:t>
      </w:r>
    </w:p>
    <w:p>
      <w:pPr>
        <w:spacing w:line="440" w:lineRule="exact"/>
        <w:ind w:firstLine="480" w:firstLineChars="200"/>
        <w:rPr>
          <w:rFonts w:ascii="宋体" w:hAnsi="宋体"/>
          <w:sz w:val="24"/>
          <w:szCs w:val="24"/>
        </w:rPr>
      </w:pPr>
      <w:r>
        <w:rPr>
          <w:rFonts w:hint="eastAsia" w:ascii="宋体" w:hAnsi="宋体"/>
          <w:sz w:val="24"/>
          <w:szCs w:val="24"/>
        </w:rPr>
        <w:t>（6） 本单一来源采购文件中或《政府采购货物和服务招标投标管理办法》第七十五条规定的其他不予退还投标保证金的情形。</w:t>
      </w:r>
    </w:p>
    <w:p>
      <w:pPr>
        <w:spacing w:line="440" w:lineRule="exact"/>
        <w:ind w:firstLine="480" w:firstLineChars="200"/>
        <w:rPr>
          <w:rFonts w:ascii="宋体" w:hAnsi="宋体"/>
          <w:sz w:val="24"/>
          <w:szCs w:val="24"/>
        </w:rPr>
      </w:pPr>
      <w:r>
        <w:rPr>
          <w:rFonts w:hint="eastAsia" w:ascii="宋体" w:hAnsi="宋体"/>
          <w:sz w:val="24"/>
          <w:szCs w:val="24"/>
        </w:rPr>
        <w:t>上述不予退还投标保证金的情况并给招标代理机构造成损失的，还要承担赔偿责任。</w:t>
      </w:r>
    </w:p>
    <w:p>
      <w:pPr>
        <w:spacing w:line="440" w:lineRule="exact"/>
        <w:ind w:firstLine="480" w:firstLineChars="200"/>
        <w:rPr>
          <w:rFonts w:ascii="宋体" w:hAnsi="宋体"/>
          <w:sz w:val="24"/>
          <w:szCs w:val="24"/>
        </w:rPr>
      </w:pPr>
    </w:p>
    <w:p>
      <w:pPr>
        <w:spacing w:beforeLines="50" w:line="440" w:lineRule="exact"/>
        <w:ind w:firstLine="482"/>
        <w:jc w:val="center"/>
        <w:outlineLvl w:val="1"/>
        <w:rPr>
          <w:rFonts w:ascii="宋体" w:hAnsi="宋体"/>
          <w:b/>
          <w:sz w:val="32"/>
          <w:szCs w:val="32"/>
        </w:rPr>
      </w:pPr>
      <w:bookmarkStart w:id="10" w:name="_Toc17902417"/>
      <w:r>
        <w:rPr>
          <w:rFonts w:hint="eastAsia" w:ascii="宋体" w:hAnsi="宋体"/>
          <w:b/>
          <w:sz w:val="32"/>
          <w:szCs w:val="32"/>
        </w:rPr>
        <w:t>第三章  投标文件的递交</w:t>
      </w:r>
      <w:bookmarkEnd w:id="10"/>
    </w:p>
    <w:p>
      <w:pPr>
        <w:spacing w:line="440" w:lineRule="exact"/>
        <w:ind w:left="-2" w:leftChars="-1" w:firstLine="482" w:firstLineChars="200"/>
        <w:rPr>
          <w:rFonts w:ascii="宋体" w:hAnsi="宋体"/>
          <w:b/>
          <w:sz w:val="24"/>
          <w:szCs w:val="24"/>
        </w:rPr>
      </w:pPr>
      <w:r>
        <w:rPr>
          <w:rFonts w:hint="eastAsia" w:ascii="宋体" w:hAnsi="宋体"/>
          <w:b/>
          <w:sz w:val="24"/>
          <w:szCs w:val="24"/>
        </w:rPr>
        <w:t>11、投标文件的密封与标记</w:t>
      </w:r>
    </w:p>
    <w:p>
      <w:pPr>
        <w:spacing w:line="440" w:lineRule="exact"/>
        <w:ind w:left="-2" w:leftChars="-1" w:firstLine="482" w:firstLineChars="200"/>
        <w:rPr>
          <w:rFonts w:ascii="宋体" w:hAnsi="宋体"/>
          <w:sz w:val="24"/>
          <w:szCs w:val="24"/>
        </w:rPr>
      </w:pPr>
      <w:r>
        <w:rPr>
          <w:rFonts w:hint="eastAsia" w:ascii="宋体" w:hAnsi="宋体"/>
          <w:b/>
          <w:sz w:val="24"/>
          <w:szCs w:val="24"/>
        </w:rPr>
        <w:t>11.1</w:t>
      </w:r>
      <w:r>
        <w:rPr>
          <w:rFonts w:hint="eastAsia" w:ascii="宋体" w:hAnsi="宋体" w:eastAsia="宋体" w:cs="Times New Roman"/>
          <w:color w:val="000000" w:themeColor="text1"/>
          <w:sz w:val="24"/>
          <w:szCs w:val="24"/>
        </w:rPr>
        <w:t>　为方便</w:t>
      </w:r>
      <w:r>
        <w:rPr>
          <w:rFonts w:hint="eastAsia" w:ascii="宋体" w:hAnsi="宋体" w:eastAsia="宋体" w:cs="Times New Roman"/>
          <w:color w:val="000000" w:themeColor="text1"/>
          <w:sz w:val="24"/>
          <w:szCs w:val="24"/>
          <w:lang w:val="en-US" w:eastAsia="zh-CN"/>
        </w:rPr>
        <w:t>评审</w:t>
      </w:r>
      <w:r>
        <w:rPr>
          <w:rFonts w:hint="eastAsia" w:ascii="宋体" w:hAnsi="宋体" w:eastAsia="宋体" w:cs="Times New Roman"/>
          <w:color w:val="000000" w:themeColor="text1"/>
          <w:sz w:val="24"/>
          <w:szCs w:val="24"/>
        </w:rPr>
        <w:t>及进行资格审查，</w:t>
      </w:r>
      <w:r>
        <w:rPr>
          <w:rFonts w:hint="eastAsia" w:ascii="宋体" w:hAnsi="宋体" w:eastAsia="宋体" w:cs="Times New Roman"/>
          <w:color w:val="000000" w:themeColor="text1"/>
          <w:sz w:val="24"/>
          <w:szCs w:val="24"/>
          <w:lang w:val="en-US" w:eastAsia="zh-CN"/>
        </w:rPr>
        <w:t>投标单位</w:t>
      </w:r>
      <w:r>
        <w:rPr>
          <w:rFonts w:hint="eastAsia" w:ascii="宋体" w:hAnsi="宋体" w:eastAsia="宋体" w:cs="Times New Roman"/>
          <w:color w:val="000000" w:themeColor="text1"/>
          <w:sz w:val="24"/>
          <w:szCs w:val="24"/>
        </w:rPr>
        <w:t>应完整地按</w:t>
      </w:r>
      <w:r>
        <w:rPr>
          <w:rFonts w:hint="eastAsia" w:ascii="宋体" w:hAnsi="宋体" w:eastAsia="宋体" w:cs="Times New Roman"/>
          <w:color w:val="000000" w:themeColor="text1"/>
          <w:sz w:val="24"/>
          <w:szCs w:val="24"/>
          <w:lang w:eastAsia="zh-CN"/>
        </w:rPr>
        <w:t>招标文件</w:t>
      </w:r>
      <w:r>
        <w:rPr>
          <w:rFonts w:hint="eastAsia" w:ascii="宋体" w:hAnsi="宋体" w:eastAsia="宋体" w:cs="Times New Roman"/>
          <w:color w:val="000000" w:themeColor="text1"/>
          <w:sz w:val="24"/>
          <w:szCs w:val="24"/>
        </w:rPr>
        <w:t>提供的</w:t>
      </w:r>
      <w:r>
        <w:rPr>
          <w:rFonts w:hint="eastAsia" w:ascii="宋体" w:hAnsi="宋体" w:eastAsia="宋体" w:cs="Times New Roman"/>
          <w:color w:val="000000" w:themeColor="text1"/>
          <w:sz w:val="24"/>
          <w:szCs w:val="24"/>
          <w:lang w:eastAsia="zh-CN"/>
        </w:rPr>
        <w:t>投标文件</w:t>
      </w:r>
      <w:r>
        <w:rPr>
          <w:rFonts w:hint="eastAsia" w:ascii="宋体" w:hAnsi="宋体" w:eastAsia="宋体" w:cs="Times New Roman"/>
          <w:color w:val="000000" w:themeColor="text1"/>
          <w:sz w:val="24"/>
          <w:szCs w:val="24"/>
        </w:rPr>
        <w:t>格式及要求编写</w:t>
      </w:r>
      <w:r>
        <w:rPr>
          <w:rFonts w:hint="eastAsia" w:ascii="宋体" w:hAnsi="宋体" w:eastAsia="宋体" w:cs="Times New Roman"/>
          <w:color w:val="000000" w:themeColor="text1"/>
          <w:sz w:val="24"/>
          <w:szCs w:val="24"/>
          <w:lang w:eastAsia="zh-CN"/>
        </w:rPr>
        <w:t>投标文件，</w:t>
      </w:r>
      <w:r>
        <w:rPr>
          <w:rFonts w:hint="eastAsia" w:ascii="宋体" w:hAnsi="宋体" w:eastAsia="宋体" w:cs="Times New Roman"/>
          <w:color w:val="000000" w:themeColor="text1"/>
          <w:sz w:val="24"/>
          <w:szCs w:val="24"/>
          <w:lang w:val="en-US" w:eastAsia="zh-CN"/>
        </w:rPr>
        <w:t xml:space="preserve">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spacing w:line="440" w:lineRule="exact"/>
        <w:ind w:firstLine="482" w:firstLineChars="200"/>
        <w:rPr>
          <w:rFonts w:ascii="宋体" w:hAnsi="宋体"/>
          <w:b/>
          <w:sz w:val="24"/>
          <w:szCs w:val="24"/>
        </w:rPr>
      </w:pPr>
      <w:r>
        <w:rPr>
          <w:rFonts w:hint="eastAsia" w:ascii="宋体" w:hAnsi="宋体"/>
          <w:b/>
          <w:sz w:val="24"/>
          <w:szCs w:val="24"/>
        </w:rPr>
        <w:t>12. 投标截止时间</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szCs w:val="24"/>
        </w:rPr>
        <w:t>12.1  投标人应在投标人须知资料表中规定的截止时间前，将投标文件递交到招标公告中规定的地点。</w:t>
      </w:r>
    </w:p>
    <w:p>
      <w:pPr>
        <w:spacing w:line="440" w:lineRule="exact"/>
        <w:ind w:firstLine="480" w:firstLineChars="200"/>
        <w:rPr>
          <w:rFonts w:ascii="宋体" w:hAnsi="宋体"/>
          <w:sz w:val="24"/>
          <w:szCs w:val="24"/>
        </w:rPr>
      </w:pPr>
      <w:r>
        <w:rPr>
          <w:rFonts w:hint="eastAsia" w:ascii="宋体" w:hAnsi="宋体"/>
          <w:sz w:val="24"/>
          <w:szCs w:val="24"/>
        </w:rPr>
        <w:t>12.2　所有投标文件都必须在招标方规定的投标截止时间之前送达单一来源采购文件指定地点，在此之后送达的投标文件，为无效投标，投标文件将一律被拒绝。</w:t>
      </w:r>
    </w:p>
    <w:p>
      <w:pPr>
        <w:spacing w:line="440" w:lineRule="exact"/>
        <w:ind w:firstLine="480" w:firstLineChars="200"/>
        <w:rPr>
          <w:rFonts w:ascii="宋体" w:hAnsi="宋体"/>
          <w:sz w:val="24"/>
          <w:szCs w:val="24"/>
        </w:rPr>
      </w:pPr>
      <w:r>
        <w:rPr>
          <w:rFonts w:hint="eastAsia" w:ascii="宋体" w:hAnsi="宋体"/>
          <w:sz w:val="24"/>
          <w:szCs w:val="24"/>
        </w:rPr>
        <w:t>12.3  出现因单一来源采购文件的修改而推迟投标截止时间的情况时，投标人则需按招标方的书面修改通知重新规定的投标时间递交。</w:t>
      </w:r>
    </w:p>
    <w:p>
      <w:pPr>
        <w:spacing w:line="440" w:lineRule="exact"/>
        <w:ind w:firstLine="482" w:firstLineChars="200"/>
        <w:rPr>
          <w:rFonts w:ascii="宋体" w:hAnsi="宋体"/>
          <w:b/>
          <w:sz w:val="24"/>
          <w:szCs w:val="24"/>
        </w:rPr>
      </w:pPr>
      <w:r>
        <w:rPr>
          <w:rFonts w:hint="eastAsia" w:ascii="宋体" w:hAnsi="宋体"/>
          <w:b/>
          <w:sz w:val="24"/>
          <w:szCs w:val="24"/>
        </w:rPr>
        <w:t>13. 投标文件的修改和撤销</w:t>
      </w:r>
    </w:p>
    <w:p>
      <w:pPr>
        <w:spacing w:line="440" w:lineRule="exact"/>
        <w:ind w:firstLine="480" w:firstLineChars="200"/>
        <w:rPr>
          <w:rFonts w:ascii="宋体" w:hAnsi="宋体"/>
          <w:sz w:val="24"/>
          <w:szCs w:val="24"/>
        </w:rPr>
      </w:pPr>
      <w:r>
        <w:rPr>
          <w:rFonts w:hint="eastAsia" w:ascii="宋体" w:hAnsi="宋体"/>
          <w:sz w:val="24"/>
          <w:szCs w:val="24"/>
        </w:rPr>
        <w:t>13.1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rPr>
          <w:rFonts w:ascii="宋体" w:hAnsi="宋体"/>
          <w:sz w:val="24"/>
          <w:szCs w:val="24"/>
        </w:rPr>
      </w:pPr>
      <w:r>
        <w:rPr>
          <w:rFonts w:hint="eastAsia" w:ascii="宋体" w:hAnsi="宋体"/>
          <w:sz w:val="24"/>
          <w:szCs w:val="24"/>
        </w:rPr>
        <w:t>13.2  投标人对投标文件修改的书面材料或撤消通知应按单一来源采购文件要求进行密封、标注和递交，并注明“修改投标文件”或“撤消投标”字样，修改或撤销的内容须按单一来源采购文件的要求签署、盖章，并作为投标文件的组成部分。</w:t>
      </w:r>
    </w:p>
    <w:p>
      <w:pPr>
        <w:spacing w:line="440" w:lineRule="exact"/>
        <w:ind w:firstLine="480" w:firstLineChars="200"/>
        <w:rPr>
          <w:rFonts w:ascii="宋体" w:hAnsi="宋体"/>
          <w:sz w:val="24"/>
          <w:szCs w:val="24"/>
        </w:rPr>
      </w:pPr>
      <w:r>
        <w:rPr>
          <w:rFonts w:hint="eastAsia" w:ascii="宋体" w:hAnsi="宋体"/>
          <w:sz w:val="24"/>
          <w:szCs w:val="24"/>
        </w:rPr>
        <w:t>13.3　对投标文件修改的书面材料应于投标截止日前送达招标方，投标截止时间以后不得修改投标文件。</w:t>
      </w:r>
    </w:p>
    <w:p>
      <w:pPr>
        <w:spacing w:line="440" w:lineRule="exact"/>
        <w:ind w:firstLine="480" w:firstLineChars="200"/>
        <w:rPr>
          <w:rFonts w:ascii="宋体" w:hAnsi="宋体"/>
          <w:sz w:val="24"/>
          <w:szCs w:val="24"/>
        </w:rPr>
      </w:pPr>
      <w:r>
        <w:rPr>
          <w:rFonts w:hint="eastAsia" w:ascii="宋体" w:hAnsi="宋体"/>
          <w:sz w:val="24"/>
          <w:szCs w:val="24"/>
        </w:rPr>
        <w:t>13.4  投标人不得在开标后至投标有效期期满前撤销投标文件，否则招标方将不予退还其投标保证金。</w:t>
      </w:r>
    </w:p>
    <w:p>
      <w:pPr>
        <w:spacing w:line="440" w:lineRule="exact"/>
        <w:ind w:firstLine="480" w:firstLineChars="200"/>
        <w:rPr>
          <w:rFonts w:ascii="宋体" w:hAnsi="宋体"/>
          <w:sz w:val="24"/>
          <w:szCs w:val="24"/>
        </w:rPr>
      </w:pPr>
      <w:r>
        <w:rPr>
          <w:rFonts w:hint="eastAsia" w:ascii="宋体" w:hAnsi="宋体"/>
          <w:sz w:val="24"/>
          <w:szCs w:val="24"/>
        </w:rPr>
        <w:t>13.5　发生下列情况之一的投标文件被视为无效：</w:t>
      </w:r>
    </w:p>
    <w:p>
      <w:pPr>
        <w:spacing w:line="440" w:lineRule="exact"/>
        <w:ind w:firstLine="480" w:firstLineChars="200"/>
        <w:rPr>
          <w:rFonts w:ascii="宋体" w:hAnsi="宋体"/>
          <w:sz w:val="24"/>
        </w:rPr>
      </w:pPr>
      <w:r>
        <w:rPr>
          <w:rFonts w:hint="eastAsia" w:ascii="宋体" w:hAnsi="宋体"/>
          <w:sz w:val="24"/>
        </w:rPr>
        <w:t>（1） 投标截止时间以后送达的投标文件；</w:t>
      </w:r>
    </w:p>
    <w:p>
      <w:pPr>
        <w:spacing w:line="440" w:lineRule="exact"/>
        <w:ind w:firstLine="480" w:firstLineChars="200"/>
        <w:rPr>
          <w:rFonts w:ascii="宋体" w:hAnsi="宋体"/>
          <w:sz w:val="24"/>
        </w:rPr>
      </w:pPr>
      <w:r>
        <w:rPr>
          <w:rFonts w:hint="eastAsia" w:ascii="宋体" w:hAnsi="宋体"/>
          <w:sz w:val="24"/>
        </w:rPr>
        <w:t>（2） 由于包装不妥，在送交途中严重破损或失散的投标文件；</w:t>
      </w:r>
    </w:p>
    <w:p>
      <w:pPr>
        <w:spacing w:line="440" w:lineRule="exact"/>
        <w:ind w:firstLine="480" w:firstLineChars="200"/>
        <w:rPr>
          <w:rFonts w:ascii="宋体" w:hAnsi="宋体"/>
          <w:sz w:val="24"/>
        </w:rPr>
      </w:pPr>
      <w:r>
        <w:rPr>
          <w:rFonts w:hint="eastAsia" w:ascii="宋体" w:hAnsi="宋体"/>
          <w:sz w:val="24"/>
        </w:rPr>
        <w:t>（3） 以电讯形式投标的投标文件；</w:t>
      </w:r>
    </w:p>
    <w:p>
      <w:pPr>
        <w:spacing w:line="440" w:lineRule="exact"/>
        <w:ind w:firstLine="480" w:firstLineChars="200"/>
        <w:rPr>
          <w:rFonts w:ascii="宋体" w:hAnsi="宋体"/>
          <w:sz w:val="24"/>
        </w:rPr>
      </w:pPr>
      <w:r>
        <w:rPr>
          <w:rFonts w:hint="eastAsia" w:ascii="宋体" w:hAnsi="宋体"/>
          <w:sz w:val="24"/>
        </w:rPr>
        <w:t>（4） 与单一来源采购文件有重大偏离的投标文件；</w:t>
      </w:r>
    </w:p>
    <w:p>
      <w:pPr>
        <w:spacing w:line="440" w:lineRule="exact"/>
        <w:ind w:firstLine="480" w:firstLineChars="200"/>
        <w:rPr>
          <w:rFonts w:ascii="宋体" w:hAnsi="宋体"/>
          <w:sz w:val="24"/>
        </w:rPr>
      </w:pPr>
      <w:r>
        <w:rPr>
          <w:rFonts w:hint="eastAsia" w:ascii="宋体" w:hAnsi="宋体"/>
          <w:sz w:val="24"/>
        </w:rPr>
        <w:t>（5） 投标文件应盖而未盖公章或非本公司公章的、不按正确位置盖章的；未装订、未密封、注册资金不符的；投标文件、法定代表人授权书、资</w:t>
      </w:r>
      <w:permStart w:id="1" w:edGrp="everyone"/>
      <w:permEnd w:id="1"/>
      <w:r>
        <w:rPr>
          <w:rFonts w:hint="eastAsia" w:ascii="宋体" w:hAnsi="宋体"/>
          <w:sz w:val="24"/>
        </w:rPr>
        <w:t>格声明函等填写不完整或有涂改未加盖公章的；</w:t>
      </w:r>
    </w:p>
    <w:p>
      <w:pPr>
        <w:spacing w:line="440" w:lineRule="exact"/>
        <w:ind w:firstLine="480" w:firstLineChars="200"/>
        <w:rPr>
          <w:rFonts w:ascii="宋体" w:hAnsi="宋体"/>
          <w:sz w:val="24"/>
        </w:rPr>
      </w:pPr>
      <w:r>
        <w:rPr>
          <w:rFonts w:hint="eastAsia" w:ascii="宋体" w:hAnsi="宋体"/>
          <w:sz w:val="24"/>
        </w:rPr>
        <w:t>（6） 无“开标一览表”的投标文件；</w:t>
      </w:r>
    </w:p>
    <w:p>
      <w:pPr>
        <w:spacing w:line="440" w:lineRule="exact"/>
        <w:ind w:firstLine="480" w:firstLineChars="200"/>
        <w:rPr>
          <w:rFonts w:ascii="宋体" w:hAnsi="宋体"/>
          <w:sz w:val="24"/>
        </w:rPr>
      </w:pPr>
      <w:r>
        <w:rPr>
          <w:rFonts w:hint="eastAsia" w:ascii="宋体" w:hAnsi="宋体"/>
          <w:sz w:val="24"/>
        </w:rPr>
        <w:t>（7） “开标一览表”与正本中内容有重大差异的投标文件；</w:t>
      </w:r>
    </w:p>
    <w:p>
      <w:pPr>
        <w:spacing w:line="440" w:lineRule="exact"/>
        <w:ind w:firstLine="480" w:firstLineChars="200"/>
        <w:rPr>
          <w:rFonts w:ascii="宋体" w:hAnsi="宋体"/>
          <w:sz w:val="24"/>
        </w:rPr>
      </w:pPr>
      <w:r>
        <w:rPr>
          <w:rFonts w:hint="eastAsia" w:ascii="宋体" w:hAnsi="宋体"/>
          <w:sz w:val="24"/>
        </w:rPr>
        <w:t>（8） “开标一览表”没有加盖公章的；</w:t>
      </w:r>
    </w:p>
    <w:p>
      <w:pPr>
        <w:spacing w:line="440" w:lineRule="exact"/>
        <w:ind w:firstLine="480" w:firstLineChars="200"/>
        <w:rPr>
          <w:rFonts w:ascii="宋体" w:hAnsi="宋体"/>
          <w:sz w:val="24"/>
        </w:rPr>
      </w:pPr>
      <w:r>
        <w:rPr>
          <w:rFonts w:hint="eastAsia" w:ascii="宋体" w:hAnsi="宋体"/>
          <w:sz w:val="24"/>
        </w:rPr>
        <w:t>（9）  未含按规定交纳投标保证金的投标文件；</w:t>
      </w:r>
    </w:p>
    <w:p>
      <w:pPr>
        <w:spacing w:line="440" w:lineRule="exact"/>
        <w:ind w:firstLine="480" w:firstLineChars="200"/>
        <w:rPr>
          <w:rFonts w:ascii="宋体" w:hAnsi="宋体"/>
          <w:sz w:val="24"/>
        </w:rPr>
      </w:pPr>
      <w:r>
        <w:rPr>
          <w:rFonts w:hint="eastAsia" w:ascii="宋体" w:hAnsi="宋体"/>
          <w:sz w:val="24"/>
        </w:rPr>
        <w:t>（10） 出现影响采购公正的违法违规行为的投标文件；</w:t>
      </w:r>
    </w:p>
    <w:p>
      <w:pPr>
        <w:spacing w:line="440" w:lineRule="exact"/>
        <w:ind w:firstLine="480" w:firstLineChars="200"/>
        <w:rPr>
          <w:rFonts w:ascii="宋体" w:hAnsi="宋体"/>
          <w:sz w:val="24"/>
        </w:rPr>
      </w:pPr>
      <w:r>
        <w:rPr>
          <w:rFonts w:hint="eastAsia" w:ascii="宋体" w:hAnsi="宋体"/>
          <w:sz w:val="24"/>
        </w:rPr>
        <w:t>（11） 评标委员会认为其他不合理的情况的投标文件。</w:t>
      </w:r>
    </w:p>
    <w:p/>
    <w:p>
      <w:pPr>
        <w:spacing w:beforeLines="50" w:line="440" w:lineRule="exact"/>
        <w:ind w:firstLine="482" w:firstLineChars="150"/>
        <w:jc w:val="center"/>
        <w:outlineLvl w:val="1"/>
        <w:rPr>
          <w:rFonts w:ascii="宋体" w:hAnsi="宋体"/>
          <w:sz w:val="24"/>
        </w:rPr>
      </w:pPr>
      <w:bookmarkStart w:id="11" w:name="_Toc17902418"/>
      <w:r>
        <w:rPr>
          <w:rFonts w:hint="eastAsia" w:ascii="宋体" w:hAnsi="宋体"/>
          <w:b/>
          <w:sz w:val="32"/>
          <w:szCs w:val="32"/>
        </w:rPr>
        <w:t>第四章  评标委员会</w:t>
      </w:r>
      <w:bookmarkEnd w:id="11"/>
    </w:p>
    <w:p>
      <w:pPr>
        <w:spacing w:line="440" w:lineRule="exact"/>
        <w:ind w:left="481" w:leftChars="229"/>
        <w:rPr>
          <w:rFonts w:ascii="宋体" w:hAnsi="宋体"/>
          <w:b/>
          <w:sz w:val="24"/>
        </w:rPr>
      </w:pPr>
      <w:r>
        <w:rPr>
          <w:rFonts w:hint="eastAsia" w:ascii="宋体" w:hAnsi="宋体"/>
          <w:b/>
          <w:sz w:val="24"/>
        </w:rPr>
        <w:t>15． 评标委员会</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15.1  招标方将根据《中华人民共和国政府采购法》的规定，依法组建本次招标的评标委员会，负责本次招标的评标活动。评标委员会负责向招标方推荐中标候选人或者根据招标方的授权直接确定中标人。</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15.2　评标委员会人选于开标前确定。评标委员会成员名单在中标结果确定前保密。</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15.3  评标委员会由有关技术、经济等方面的专家和采购人熟悉相关业务的代表人员组成，成员为三人以上的单数，其中技术、经济等方面的成员人数不少于成员总数的三分之二。</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15.5　评标专家的条件和回避规定。</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15.5.1  评标专家应符合下列条件：</w:t>
      </w:r>
    </w:p>
    <w:p>
      <w:pPr>
        <w:spacing w:line="440" w:lineRule="exact"/>
        <w:ind w:firstLine="480" w:firstLineChars="200"/>
        <w:rPr>
          <w:rFonts w:ascii="宋体" w:hAnsi="宋体"/>
          <w:spacing w:val="-2"/>
          <w:sz w:val="24"/>
          <w:szCs w:val="24"/>
        </w:rPr>
      </w:pPr>
      <w:r>
        <w:rPr>
          <w:rFonts w:hint="eastAsia" w:ascii="宋体" w:hAnsi="宋体"/>
          <w:sz w:val="24"/>
        </w:rPr>
        <w:t xml:space="preserve">（1） </w:t>
      </w:r>
      <w:r>
        <w:rPr>
          <w:rFonts w:hint="eastAsia" w:ascii="宋体" w:hAnsi="宋体"/>
          <w:spacing w:val="-2"/>
          <w:sz w:val="24"/>
          <w:szCs w:val="24"/>
        </w:rPr>
        <w:t>熟悉有关政府采购和招标投标的法律法规；</w:t>
      </w:r>
    </w:p>
    <w:p>
      <w:pPr>
        <w:spacing w:line="440" w:lineRule="exact"/>
        <w:ind w:firstLine="480" w:firstLineChars="200"/>
        <w:rPr>
          <w:rFonts w:ascii="宋体" w:hAnsi="宋体"/>
          <w:spacing w:val="-2"/>
          <w:sz w:val="24"/>
          <w:szCs w:val="24"/>
        </w:rPr>
      </w:pPr>
      <w:r>
        <w:rPr>
          <w:rFonts w:hint="eastAsia" w:ascii="宋体" w:hAnsi="宋体"/>
          <w:sz w:val="24"/>
        </w:rPr>
        <w:t xml:space="preserve">（2） </w:t>
      </w:r>
      <w:r>
        <w:rPr>
          <w:rFonts w:hint="eastAsia" w:ascii="宋体" w:hAnsi="宋体"/>
          <w:spacing w:val="-2"/>
          <w:sz w:val="24"/>
          <w:szCs w:val="24"/>
        </w:rPr>
        <w:t>在相关专业领域工作满八年并具有高级职称或者同等专业水平；</w:t>
      </w:r>
    </w:p>
    <w:p>
      <w:pPr>
        <w:spacing w:line="440" w:lineRule="exact"/>
        <w:ind w:firstLine="480" w:firstLineChars="200"/>
        <w:rPr>
          <w:rFonts w:ascii="宋体" w:hAnsi="宋体"/>
          <w:spacing w:val="-2"/>
          <w:sz w:val="24"/>
          <w:szCs w:val="24"/>
        </w:rPr>
      </w:pPr>
      <w:r>
        <w:rPr>
          <w:rFonts w:hint="eastAsia" w:ascii="宋体" w:hAnsi="宋体"/>
          <w:sz w:val="24"/>
        </w:rPr>
        <w:t xml:space="preserve">（3） </w:t>
      </w:r>
      <w:r>
        <w:rPr>
          <w:rFonts w:hint="eastAsia" w:ascii="宋体" w:hAnsi="宋体"/>
          <w:spacing w:val="-2"/>
          <w:sz w:val="24"/>
          <w:szCs w:val="24"/>
        </w:rPr>
        <w:t>具有与招标项目相关的实践经验；</w:t>
      </w:r>
    </w:p>
    <w:p>
      <w:pPr>
        <w:spacing w:line="440" w:lineRule="exact"/>
        <w:ind w:firstLine="480" w:firstLineChars="200"/>
        <w:rPr>
          <w:rFonts w:ascii="宋体" w:hAnsi="宋体"/>
          <w:spacing w:val="-2"/>
          <w:sz w:val="24"/>
          <w:szCs w:val="24"/>
        </w:rPr>
      </w:pPr>
      <w:r>
        <w:rPr>
          <w:rFonts w:hint="eastAsia" w:ascii="宋体" w:hAnsi="宋体"/>
          <w:sz w:val="24"/>
        </w:rPr>
        <w:t xml:space="preserve">（4） </w:t>
      </w:r>
      <w:r>
        <w:rPr>
          <w:rFonts w:hint="eastAsia" w:ascii="宋体" w:hAnsi="宋体"/>
          <w:spacing w:val="-2"/>
          <w:sz w:val="24"/>
          <w:szCs w:val="24"/>
        </w:rPr>
        <w:t>能够认真、公正、诚实、廉洁的履行职责。</w:t>
      </w:r>
    </w:p>
    <w:p>
      <w:pPr>
        <w:spacing w:line="440" w:lineRule="exact"/>
        <w:ind w:left="474" w:leftChars="224" w:hanging="4" w:hangingChars="2"/>
        <w:rPr>
          <w:rFonts w:ascii="宋体" w:hAnsi="宋体"/>
          <w:spacing w:val="-2"/>
          <w:sz w:val="24"/>
          <w:szCs w:val="24"/>
        </w:rPr>
      </w:pPr>
      <w:r>
        <w:rPr>
          <w:rFonts w:hint="eastAsia" w:ascii="宋体" w:hAnsi="宋体"/>
          <w:spacing w:val="-2"/>
          <w:sz w:val="24"/>
          <w:szCs w:val="24"/>
        </w:rPr>
        <w:t>15.5.2  有下列情形之一的，不得担任评标委员会成员：</w:t>
      </w:r>
    </w:p>
    <w:p>
      <w:pPr>
        <w:spacing w:line="440" w:lineRule="exact"/>
        <w:ind w:firstLine="480" w:firstLineChars="200"/>
        <w:rPr>
          <w:rFonts w:ascii="宋体" w:hAnsi="宋体"/>
          <w:spacing w:val="-2"/>
          <w:sz w:val="24"/>
          <w:szCs w:val="24"/>
        </w:rPr>
      </w:pPr>
      <w:r>
        <w:rPr>
          <w:rFonts w:hint="eastAsia" w:ascii="宋体" w:hAnsi="宋体"/>
          <w:sz w:val="24"/>
        </w:rPr>
        <w:t>（1）</w:t>
      </w:r>
      <w:r>
        <w:rPr>
          <w:rFonts w:hint="eastAsia" w:ascii="宋体" w:hAnsi="宋体"/>
          <w:spacing w:val="-2"/>
          <w:sz w:val="24"/>
          <w:szCs w:val="24"/>
        </w:rPr>
        <w:t xml:space="preserve"> 与投标人或者投标人主要负责人有近亲关系的；</w:t>
      </w:r>
    </w:p>
    <w:p>
      <w:pPr>
        <w:spacing w:line="440" w:lineRule="exact"/>
        <w:ind w:firstLine="480" w:firstLineChars="200"/>
        <w:rPr>
          <w:rFonts w:ascii="宋体" w:hAnsi="宋体"/>
          <w:spacing w:val="-2"/>
          <w:sz w:val="24"/>
          <w:szCs w:val="24"/>
        </w:rPr>
      </w:pPr>
      <w:r>
        <w:rPr>
          <w:rFonts w:hint="eastAsia" w:ascii="宋体" w:hAnsi="宋体"/>
          <w:sz w:val="24"/>
        </w:rPr>
        <w:t>（2）</w:t>
      </w:r>
      <w:r>
        <w:rPr>
          <w:rFonts w:hint="eastAsia" w:ascii="宋体" w:hAnsi="宋体"/>
          <w:spacing w:val="-2"/>
          <w:sz w:val="24"/>
          <w:szCs w:val="24"/>
        </w:rPr>
        <w:t xml:space="preserve"> 与项目主管部门或者行政监督部门的人员有近亲关系的；</w:t>
      </w:r>
    </w:p>
    <w:p>
      <w:pPr>
        <w:spacing w:line="440" w:lineRule="exact"/>
        <w:ind w:firstLine="480" w:firstLineChars="200"/>
        <w:rPr>
          <w:rFonts w:ascii="宋体" w:hAnsi="宋体"/>
          <w:spacing w:val="-2"/>
          <w:sz w:val="24"/>
          <w:szCs w:val="24"/>
        </w:rPr>
      </w:pPr>
      <w:r>
        <w:rPr>
          <w:rFonts w:hint="eastAsia" w:ascii="宋体" w:hAnsi="宋体"/>
          <w:sz w:val="24"/>
        </w:rPr>
        <w:t>（3）</w:t>
      </w:r>
      <w:r>
        <w:rPr>
          <w:rFonts w:hint="eastAsia" w:ascii="宋体" w:hAnsi="宋体"/>
          <w:spacing w:val="-2"/>
          <w:sz w:val="24"/>
          <w:szCs w:val="24"/>
        </w:rPr>
        <w:t xml:space="preserve"> 与投标人有经济利益关系，可能影响投标公正评审的；</w:t>
      </w:r>
    </w:p>
    <w:p>
      <w:pPr>
        <w:spacing w:line="440" w:lineRule="exact"/>
        <w:ind w:firstLine="480" w:firstLineChars="200"/>
        <w:rPr>
          <w:rFonts w:ascii="宋体" w:hAnsi="宋体"/>
          <w:spacing w:val="-2"/>
          <w:sz w:val="24"/>
          <w:szCs w:val="24"/>
        </w:rPr>
      </w:pPr>
      <w:r>
        <w:rPr>
          <w:rFonts w:hint="eastAsia" w:ascii="宋体" w:hAnsi="宋体"/>
          <w:sz w:val="24"/>
        </w:rPr>
        <w:t xml:space="preserve">（4） </w:t>
      </w:r>
      <w:r>
        <w:rPr>
          <w:rFonts w:hint="eastAsia" w:ascii="宋体" w:hAnsi="宋体"/>
          <w:spacing w:val="-2"/>
          <w:sz w:val="24"/>
          <w:szCs w:val="24"/>
        </w:rPr>
        <w:t>曾因在招标、评标以及其他与招标投标有关活动中从事违法行为而受过行政处罚或刑事处罚的。</w:t>
      </w:r>
    </w:p>
    <w:p>
      <w:pPr>
        <w:spacing w:line="440" w:lineRule="exact"/>
        <w:ind w:firstLine="472" w:firstLineChars="200"/>
        <w:rPr>
          <w:rFonts w:ascii="宋体" w:hAnsi="宋体"/>
          <w:spacing w:val="-2"/>
          <w:sz w:val="24"/>
          <w:szCs w:val="24"/>
        </w:rPr>
      </w:pPr>
      <w:r>
        <w:rPr>
          <w:rFonts w:hint="eastAsia" w:ascii="宋体" w:hAnsi="宋体"/>
          <w:spacing w:val="-2"/>
          <w:sz w:val="24"/>
          <w:szCs w:val="24"/>
        </w:rPr>
        <w:t>评标委员会成员有前款规定情形之一的，应当主动提出回避。</w:t>
      </w:r>
    </w:p>
    <w:p>
      <w:pPr>
        <w:spacing w:line="440" w:lineRule="exact"/>
        <w:ind w:firstLine="480" w:firstLineChars="200"/>
        <w:rPr>
          <w:rFonts w:ascii="宋体" w:hAnsi="宋体"/>
          <w:spacing w:val="-2"/>
          <w:sz w:val="24"/>
          <w:szCs w:val="24"/>
        </w:rPr>
      </w:pPr>
      <w:r>
        <w:rPr>
          <w:rFonts w:hint="eastAsia" w:ascii="宋体" w:hAnsi="宋体"/>
          <w:bCs/>
          <w:sz w:val="24"/>
        </w:rPr>
        <w:t xml:space="preserve">15.6  </w:t>
      </w:r>
      <w:r>
        <w:rPr>
          <w:rFonts w:hint="eastAsia" w:ascii="宋体" w:hAnsi="宋体"/>
          <w:spacing w:val="-2"/>
          <w:sz w:val="24"/>
          <w:szCs w:val="24"/>
        </w:rPr>
        <w:t>评标委员会成员应当熟悉并认真研究单一来源采购文件，至少应了解和熟悉以下内容：</w:t>
      </w:r>
    </w:p>
    <w:p>
      <w:pPr>
        <w:spacing w:line="440" w:lineRule="exact"/>
        <w:ind w:firstLine="480" w:firstLineChars="200"/>
        <w:rPr>
          <w:rFonts w:ascii="宋体" w:hAnsi="宋体"/>
          <w:spacing w:val="-2"/>
          <w:sz w:val="24"/>
          <w:szCs w:val="24"/>
        </w:rPr>
      </w:pPr>
      <w:r>
        <w:rPr>
          <w:rFonts w:hint="eastAsia" w:ascii="宋体" w:hAnsi="宋体"/>
          <w:sz w:val="24"/>
        </w:rPr>
        <w:t xml:space="preserve">（1） </w:t>
      </w:r>
      <w:r>
        <w:rPr>
          <w:rFonts w:hint="eastAsia" w:ascii="宋体" w:hAnsi="宋体"/>
          <w:spacing w:val="-2"/>
          <w:sz w:val="24"/>
          <w:szCs w:val="24"/>
        </w:rPr>
        <w:t>招标目的；</w:t>
      </w:r>
    </w:p>
    <w:p>
      <w:pPr>
        <w:spacing w:line="440" w:lineRule="exact"/>
        <w:ind w:firstLine="480" w:firstLineChars="200"/>
        <w:rPr>
          <w:rFonts w:ascii="宋体" w:hAnsi="宋体"/>
          <w:spacing w:val="-2"/>
          <w:sz w:val="24"/>
          <w:szCs w:val="24"/>
        </w:rPr>
      </w:pPr>
      <w:r>
        <w:rPr>
          <w:rFonts w:hint="eastAsia" w:ascii="宋体" w:hAnsi="宋体"/>
          <w:sz w:val="24"/>
        </w:rPr>
        <w:t>（2）</w:t>
      </w:r>
      <w:r>
        <w:rPr>
          <w:rFonts w:hint="eastAsia" w:ascii="宋体" w:hAnsi="宋体"/>
          <w:spacing w:val="-2"/>
          <w:sz w:val="24"/>
          <w:szCs w:val="24"/>
        </w:rPr>
        <w:t xml:space="preserve"> 招标项目的范围、性质；</w:t>
      </w:r>
    </w:p>
    <w:p>
      <w:pPr>
        <w:spacing w:line="440" w:lineRule="exact"/>
        <w:ind w:firstLine="480" w:firstLineChars="200"/>
        <w:rPr>
          <w:rFonts w:ascii="宋体" w:hAnsi="宋体"/>
          <w:spacing w:val="-2"/>
          <w:sz w:val="24"/>
          <w:szCs w:val="24"/>
        </w:rPr>
      </w:pPr>
      <w:r>
        <w:rPr>
          <w:rFonts w:hint="eastAsia" w:ascii="宋体" w:hAnsi="宋体"/>
          <w:sz w:val="24"/>
        </w:rPr>
        <w:t>（3）</w:t>
      </w:r>
      <w:r>
        <w:rPr>
          <w:rFonts w:hint="eastAsia" w:ascii="宋体" w:hAnsi="宋体"/>
          <w:spacing w:val="-2"/>
          <w:sz w:val="24"/>
          <w:szCs w:val="24"/>
        </w:rPr>
        <w:t xml:space="preserve"> 单一来源采购文件中规定的主要技术要求、标准和商务条款；</w:t>
      </w:r>
    </w:p>
    <w:p>
      <w:pPr>
        <w:spacing w:line="440" w:lineRule="exact"/>
        <w:ind w:firstLine="480" w:firstLineChars="200"/>
        <w:rPr>
          <w:rFonts w:ascii="宋体" w:hAnsi="宋体"/>
          <w:spacing w:val="-2"/>
          <w:sz w:val="24"/>
          <w:szCs w:val="24"/>
        </w:rPr>
      </w:pPr>
      <w:r>
        <w:rPr>
          <w:rFonts w:hint="eastAsia" w:ascii="宋体" w:hAnsi="宋体"/>
          <w:sz w:val="24"/>
        </w:rPr>
        <w:t>（4）</w:t>
      </w:r>
      <w:r>
        <w:rPr>
          <w:rFonts w:hint="eastAsia" w:ascii="宋体" w:hAnsi="宋体"/>
          <w:spacing w:val="-2"/>
          <w:sz w:val="24"/>
          <w:szCs w:val="24"/>
        </w:rPr>
        <w:t xml:space="preserve"> 单一来源采购文件规定的评标标准、评标方法和在评标过程中应考虑的相关因素。</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15.7  招标方应当向评标委员会提供评标所需的重要信息和数据。</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15.8  评标委员会应当根据单一来源采购文件规定的评标标准和方法，对投标文件进行系统地评审和比较。单一来源采购文件中没有规定的标准和方法不得作为评标的依据。</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15.10  评标委员会成员和与本次评标活动有关的工作人员，不得透露对投标文件的评审和比较、中标候选人的推荐情况以及与评标有关的其他情况。</w:t>
      </w:r>
    </w:p>
    <w:p>
      <w:pPr>
        <w:spacing w:line="440" w:lineRule="exact"/>
        <w:ind w:firstLine="472" w:firstLineChars="200"/>
        <w:rPr>
          <w:rFonts w:ascii="宋体" w:hAnsi="宋体"/>
          <w:spacing w:val="-2"/>
          <w:sz w:val="24"/>
          <w:szCs w:val="24"/>
        </w:rPr>
      </w:pPr>
      <w:r>
        <w:rPr>
          <w:rFonts w:hint="eastAsia" w:ascii="宋体" w:hAnsi="宋体"/>
          <w:spacing w:val="-2"/>
          <w:sz w:val="24"/>
          <w:szCs w:val="24"/>
        </w:rPr>
        <w:t>15.11　与评标活动有关的工作人员，是指评标委员会成员以外的、因参与评标监督工作或者事务性工作而知悉有关评标情况的所有人员。</w:t>
      </w:r>
    </w:p>
    <w:p>
      <w:pPr>
        <w:spacing w:beforeLines="50" w:line="440" w:lineRule="exact"/>
        <w:jc w:val="both"/>
        <w:outlineLvl w:val="1"/>
        <w:rPr>
          <w:rFonts w:hint="eastAsia" w:ascii="宋体" w:hAnsi="宋体"/>
          <w:b/>
          <w:sz w:val="32"/>
          <w:szCs w:val="32"/>
        </w:rPr>
      </w:pPr>
      <w:bookmarkStart w:id="44" w:name="_GoBack"/>
      <w:bookmarkEnd w:id="44"/>
      <w:bookmarkStart w:id="12" w:name="_Toc17902419"/>
    </w:p>
    <w:p>
      <w:pPr>
        <w:spacing w:beforeLines="50" w:line="440" w:lineRule="exact"/>
        <w:jc w:val="center"/>
        <w:outlineLvl w:val="1"/>
        <w:rPr>
          <w:rFonts w:hint="eastAsia" w:ascii="宋体" w:hAnsi="宋体"/>
          <w:b/>
          <w:sz w:val="32"/>
          <w:szCs w:val="32"/>
        </w:rPr>
      </w:pPr>
    </w:p>
    <w:p>
      <w:pPr>
        <w:spacing w:beforeLines="50" w:line="440" w:lineRule="exact"/>
        <w:jc w:val="center"/>
        <w:outlineLvl w:val="1"/>
        <w:rPr>
          <w:rFonts w:ascii="宋体" w:hAnsi="宋体"/>
          <w:b/>
          <w:sz w:val="32"/>
          <w:szCs w:val="32"/>
        </w:rPr>
      </w:pPr>
      <w:r>
        <w:rPr>
          <w:rFonts w:hint="eastAsia" w:ascii="宋体" w:hAnsi="宋体"/>
          <w:b/>
          <w:sz w:val="32"/>
          <w:szCs w:val="32"/>
        </w:rPr>
        <w:t>第五章  开　标</w:t>
      </w:r>
      <w:bookmarkEnd w:id="12"/>
    </w:p>
    <w:p>
      <w:pPr>
        <w:spacing w:line="440" w:lineRule="exact"/>
        <w:ind w:firstLine="482" w:firstLineChars="200"/>
        <w:rPr>
          <w:rFonts w:ascii="宋体" w:hAnsi="宋体"/>
          <w:b/>
          <w:sz w:val="24"/>
        </w:rPr>
      </w:pPr>
      <w:r>
        <w:rPr>
          <w:rFonts w:hint="eastAsia" w:ascii="宋体" w:hAnsi="宋体"/>
          <w:b/>
          <w:sz w:val="24"/>
        </w:rPr>
        <w:t>16． 开标</w:t>
      </w:r>
    </w:p>
    <w:p>
      <w:pPr>
        <w:spacing w:line="440" w:lineRule="exact"/>
        <w:ind w:firstLine="480" w:firstLineChars="200"/>
        <w:rPr>
          <w:rFonts w:ascii="宋体" w:hAnsi="宋体"/>
          <w:sz w:val="24"/>
        </w:rPr>
      </w:pPr>
      <w:r>
        <w:rPr>
          <w:rFonts w:hint="eastAsia" w:ascii="宋体" w:hAnsi="宋体"/>
          <w:sz w:val="24"/>
        </w:rPr>
        <w:t>16.1  本次招标按单一来源采购文件的投标须知中规定的时间和地点进行公开开标，允许投标人的法定代表人或其授权人参加开标会。</w:t>
      </w:r>
    </w:p>
    <w:p>
      <w:pPr>
        <w:spacing w:line="440" w:lineRule="exact"/>
        <w:ind w:firstLine="480" w:firstLineChars="200"/>
        <w:rPr>
          <w:rFonts w:ascii="宋体" w:hAnsi="宋体"/>
          <w:sz w:val="24"/>
        </w:rPr>
      </w:pPr>
      <w:r>
        <w:rPr>
          <w:rFonts w:hint="eastAsia" w:ascii="宋体" w:hAnsi="宋体"/>
          <w:sz w:val="24"/>
        </w:rPr>
        <w:t>16.2　供应商按照须知资料表中规定的开标时间和地点，在规定时间内上传投标文件。</w:t>
      </w:r>
    </w:p>
    <w:p>
      <w:pPr>
        <w:tabs>
          <w:tab w:val="left" w:pos="1155"/>
        </w:tabs>
        <w:spacing w:line="440" w:lineRule="exact"/>
        <w:ind w:firstLine="480" w:firstLineChars="200"/>
        <w:rPr>
          <w:rFonts w:hint="eastAsia" w:ascii="宋体" w:hAnsi="宋体"/>
          <w:sz w:val="24"/>
        </w:rPr>
      </w:pPr>
      <w:r>
        <w:rPr>
          <w:rFonts w:hint="eastAsia" w:ascii="宋体" w:hAnsi="宋体"/>
          <w:sz w:val="24"/>
        </w:rPr>
        <w:t>16.3　</w:t>
      </w:r>
      <w:r>
        <w:rPr>
          <w:rFonts w:hint="eastAsia" w:ascii="宋体" w:hAnsi="宋体"/>
          <w:sz w:val="24"/>
          <w:lang w:val="en-US" w:eastAsia="zh-CN"/>
        </w:rPr>
        <w:t>采</w:t>
      </w:r>
      <w:r>
        <w:rPr>
          <w:rFonts w:hint="eastAsia" w:ascii="宋体" w:hAnsi="宋体"/>
          <w:sz w:val="24"/>
        </w:rPr>
        <w:t>购代理机构在规定时间内</w:t>
      </w:r>
      <w:r>
        <w:rPr>
          <w:rFonts w:hint="eastAsia" w:ascii="宋体" w:hAnsi="宋体"/>
          <w:sz w:val="24"/>
          <w:lang w:val="en-US" w:eastAsia="zh-CN"/>
        </w:rPr>
        <w:t>对</w:t>
      </w:r>
      <w:r>
        <w:rPr>
          <w:rFonts w:hint="eastAsia" w:ascii="宋体" w:hAnsi="宋体"/>
          <w:sz w:val="24"/>
        </w:rPr>
        <w:t>投标文件进行解密，时长为 30 分钟。</w:t>
      </w:r>
    </w:p>
    <w:p>
      <w:pPr>
        <w:tabs>
          <w:tab w:val="left" w:pos="1155"/>
        </w:tabs>
        <w:spacing w:line="440" w:lineRule="exact"/>
        <w:ind w:firstLine="480" w:firstLineChars="200"/>
        <w:rPr>
          <w:rFonts w:hint="default"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16.4  由采购代理机构开启开标记录，须供应商在政采云平台对报价进行签字确认。</w:t>
      </w:r>
    </w:p>
    <w:p>
      <w:pPr>
        <w:tabs>
          <w:tab w:val="left" w:pos="1155"/>
        </w:tabs>
        <w:spacing w:line="440" w:lineRule="exact"/>
        <w:ind w:firstLine="480" w:firstLineChars="200"/>
        <w:rPr>
          <w:rFonts w:ascii="宋体" w:hAnsi="宋体"/>
          <w:sz w:val="24"/>
        </w:rPr>
      </w:pPr>
    </w:p>
    <w:p>
      <w:pPr>
        <w:spacing w:beforeLines="50" w:line="440" w:lineRule="exact"/>
        <w:jc w:val="center"/>
        <w:outlineLvl w:val="1"/>
        <w:rPr>
          <w:rFonts w:ascii="宋体" w:hAnsi="宋体"/>
          <w:b/>
          <w:bCs/>
          <w:sz w:val="32"/>
        </w:rPr>
      </w:pPr>
      <w:bookmarkStart w:id="13" w:name="_Toc17902420"/>
      <w:r>
        <w:rPr>
          <w:rFonts w:hint="eastAsia" w:ascii="宋体" w:hAnsi="宋体"/>
          <w:b/>
          <w:bCs/>
          <w:sz w:val="32"/>
        </w:rPr>
        <w:t>第六章  评　标</w:t>
      </w:r>
      <w:bookmarkEnd w:id="13"/>
    </w:p>
    <w:p>
      <w:pPr>
        <w:spacing w:line="440" w:lineRule="exact"/>
        <w:ind w:firstLine="482" w:firstLineChars="200"/>
        <w:rPr>
          <w:rFonts w:ascii="宋体" w:hAnsi="宋体"/>
          <w:b/>
          <w:sz w:val="24"/>
        </w:rPr>
      </w:pPr>
      <w:r>
        <w:rPr>
          <w:rFonts w:hint="eastAsia" w:ascii="宋体" w:hAnsi="宋体"/>
          <w:b/>
          <w:sz w:val="24"/>
        </w:rPr>
        <w:t>17． 评标依据</w:t>
      </w:r>
    </w:p>
    <w:p>
      <w:pPr>
        <w:spacing w:line="440" w:lineRule="exact"/>
        <w:ind w:firstLine="480"/>
        <w:rPr>
          <w:rFonts w:ascii="宋体" w:hAnsi="宋体"/>
          <w:sz w:val="24"/>
        </w:rPr>
      </w:pPr>
      <w:r>
        <w:rPr>
          <w:rFonts w:hint="eastAsia" w:ascii="宋体" w:hAnsi="宋体"/>
          <w:sz w:val="24"/>
        </w:rPr>
        <w:t>17.1 实质性响应审查。评标小组依据单一来源采购文件的规定，从供应商递交的投标文件的有效性、完整性和对单一来源采购文件的响应程度进行审查，以确定是否对单一来源采购文件的实质性要求作出响应。</w:t>
      </w:r>
    </w:p>
    <w:p>
      <w:pPr>
        <w:spacing w:line="440" w:lineRule="exact"/>
        <w:ind w:firstLine="480"/>
        <w:rPr>
          <w:rFonts w:ascii="宋体" w:hAnsi="宋体"/>
          <w:b/>
          <w:sz w:val="24"/>
        </w:rPr>
      </w:pPr>
      <w:r>
        <w:rPr>
          <w:rFonts w:hint="eastAsia" w:ascii="宋体" w:hAnsi="宋体"/>
          <w:b/>
          <w:sz w:val="24"/>
        </w:rPr>
        <w:t>18．评标程序</w:t>
      </w:r>
    </w:p>
    <w:p>
      <w:pPr>
        <w:spacing w:line="440" w:lineRule="exact"/>
        <w:ind w:firstLine="480"/>
        <w:rPr>
          <w:rFonts w:ascii="宋体" w:hAnsi="宋体"/>
          <w:sz w:val="24"/>
        </w:rPr>
      </w:pPr>
      <w:r>
        <w:rPr>
          <w:rFonts w:hint="eastAsia" w:ascii="宋体" w:hAnsi="宋体"/>
          <w:sz w:val="24"/>
        </w:rPr>
        <w:t>18.1 评标委员会按照递交投标文件应就采购项目的技术要求、市场价格、</w:t>
      </w:r>
      <w:r>
        <w:rPr>
          <w:rFonts w:hint="eastAsia" w:ascii="宋体" w:hAnsi="宋体"/>
          <w:sz w:val="24"/>
          <w:lang w:eastAsia="zh-CN"/>
        </w:rPr>
        <w:t>服务</w:t>
      </w:r>
      <w:r>
        <w:rPr>
          <w:rFonts w:hint="eastAsia" w:ascii="宋体" w:hAnsi="宋体"/>
          <w:sz w:val="24"/>
        </w:rPr>
        <w:t>期等与供应商进行谈判。单一来源采购，经过商务谈判一时不能达成谈判目标时，应暂停谈判，评标委员会分析具体原因，然后再择时进行下一轮谈判。必要时，进行多</w:t>
      </w:r>
      <w:r>
        <w:rPr>
          <w:rFonts w:hint="eastAsia" w:ascii="宋体" w:hAnsi="宋体"/>
          <w:sz w:val="24"/>
          <w:lang w:val="en-US" w:eastAsia="zh-CN"/>
        </w:rPr>
        <w:t>轮</w:t>
      </w:r>
      <w:r>
        <w:rPr>
          <w:rFonts w:hint="eastAsia" w:ascii="宋体" w:hAnsi="宋体"/>
          <w:sz w:val="24"/>
        </w:rPr>
        <w:t>谈判。</w:t>
      </w:r>
    </w:p>
    <w:p>
      <w:pPr>
        <w:spacing w:line="440" w:lineRule="exact"/>
        <w:ind w:firstLine="480"/>
        <w:rPr>
          <w:rFonts w:ascii="宋体" w:hAnsi="宋体"/>
          <w:b/>
          <w:sz w:val="24"/>
        </w:rPr>
      </w:pPr>
      <w:r>
        <w:rPr>
          <w:rFonts w:hint="eastAsia" w:ascii="宋体" w:hAnsi="宋体"/>
          <w:sz w:val="24"/>
        </w:rPr>
        <w:t>18.2 评标委员会经过谈判后，根据符合采购需求、质量和服务满足要求且报价合理的原则确定与供应商成交。单一来源采购文件如有实质性变动的，评标委员会将以书面形式通知参加谈判的供应商；</w:t>
      </w:r>
    </w:p>
    <w:p>
      <w:pPr>
        <w:spacing w:line="440" w:lineRule="exact"/>
        <w:rPr>
          <w:rFonts w:ascii="宋体" w:hAnsi="宋体"/>
          <w:sz w:val="24"/>
        </w:rPr>
      </w:pPr>
      <w:r>
        <w:rPr>
          <w:rFonts w:hint="eastAsia" w:ascii="宋体" w:hAnsi="宋体"/>
          <w:sz w:val="24"/>
        </w:rPr>
        <w:t xml:space="preserve">   18.3 评标结束后，参加谈判的供应商应当对投标文件的承诺和最后报价以书面形式确认，并由法定代表人或其授权人签署；</w:t>
      </w:r>
    </w:p>
    <w:p>
      <w:pPr>
        <w:spacing w:line="440" w:lineRule="exact"/>
        <w:ind w:firstLine="360" w:firstLineChars="150"/>
        <w:rPr>
          <w:rFonts w:ascii="宋体" w:hAnsi="宋体"/>
          <w:sz w:val="24"/>
        </w:rPr>
      </w:pPr>
      <w:r>
        <w:rPr>
          <w:rFonts w:hint="eastAsia" w:ascii="宋体" w:hAnsi="宋体"/>
          <w:sz w:val="24"/>
        </w:rPr>
        <w:t>18.4 评标委员会将根据符合采购需求、服务等且报价合理的原则确定成交供应商，并由法定代表人或其授权人签署；</w:t>
      </w:r>
    </w:p>
    <w:p>
      <w:pPr>
        <w:spacing w:line="440" w:lineRule="exact"/>
        <w:ind w:firstLine="360" w:firstLineChars="150"/>
        <w:rPr>
          <w:rFonts w:ascii="宋体" w:hAnsi="宋体"/>
          <w:sz w:val="24"/>
        </w:rPr>
      </w:pPr>
      <w:r>
        <w:rPr>
          <w:rFonts w:hint="eastAsia" w:ascii="宋体" w:hAnsi="宋体"/>
          <w:sz w:val="24"/>
        </w:rPr>
        <w:t>18.5 谈判的任何一方在未征得另一方同意的情况下，不得向第三方透露与谈判有关的一切技术资料、价格或其他信息。</w:t>
      </w:r>
    </w:p>
    <w:p>
      <w:pPr>
        <w:spacing w:line="460" w:lineRule="atLeast"/>
        <w:ind w:firstLine="480" w:firstLineChars="200"/>
        <w:rPr>
          <w:rFonts w:ascii="宋体" w:hAnsi="宋体"/>
          <w:sz w:val="24"/>
        </w:rPr>
      </w:pPr>
      <w:r>
        <w:rPr>
          <w:rFonts w:hint="eastAsia" w:ascii="宋体" w:hAnsi="宋体"/>
          <w:sz w:val="24"/>
        </w:rPr>
        <w:t>18.6谈判的依据为单一来源采购文件（包括招标方的单一来源采购文件和投标人的投标文件）。谈判的因素主要包括下列内容：</w:t>
      </w:r>
    </w:p>
    <w:p>
      <w:pPr>
        <w:spacing w:line="460" w:lineRule="atLeast"/>
        <w:ind w:firstLine="480" w:firstLineChars="200"/>
        <w:rPr>
          <w:rFonts w:ascii="宋体" w:hAnsi="宋体"/>
          <w:sz w:val="24"/>
        </w:rPr>
      </w:pPr>
      <w:r>
        <w:rPr>
          <w:rFonts w:hint="eastAsia" w:ascii="宋体" w:hAnsi="宋体"/>
          <w:sz w:val="24"/>
        </w:rPr>
        <w:t>(1)   对投标人投标文件的审查和响应性的确定；</w:t>
      </w:r>
    </w:p>
    <w:p>
      <w:pPr>
        <w:spacing w:line="460" w:lineRule="atLeast"/>
        <w:ind w:firstLine="480" w:firstLineChars="200"/>
        <w:rPr>
          <w:rFonts w:ascii="宋体" w:hAnsi="宋体"/>
          <w:sz w:val="24"/>
        </w:rPr>
      </w:pPr>
      <w:r>
        <w:rPr>
          <w:rFonts w:hint="eastAsia" w:ascii="宋体" w:hAnsi="宋体"/>
          <w:sz w:val="24"/>
        </w:rPr>
        <w:t>(2)   对投标人投标文件中财务、技术和生产能力的确定；</w:t>
      </w:r>
    </w:p>
    <w:p>
      <w:pPr>
        <w:spacing w:line="460" w:lineRule="atLeast"/>
        <w:ind w:firstLine="480" w:firstLineChars="200"/>
        <w:rPr>
          <w:rFonts w:ascii="宋体" w:hAnsi="宋体"/>
          <w:sz w:val="24"/>
        </w:rPr>
      </w:pPr>
      <w:r>
        <w:rPr>
          <w:rFonts w:hint="eastAsia" w:ascii="宋体" w:hAnsi="宋体"/>
          <w:sz w:val="24"/>
        </w:rPr>
        <w:t>(3)   对服务方案的评估确定；</w:t>
      </w:r>
    </w:p>
    <w:p>
      <w:pPr>
        <w:spacing w:line="460" w:lineRule="atLeast"/>
        <w:ind w:firstLine="480" w:firstLineChars="200"/>
        <w:rPr>
          <w:rFonts w:ascii="宋体" w:hAnsi="宋体"/>
          <w:sz w:val="24"/>
        </w:rPr>
      </w:pPr>
      <w:r>
        <w:rPr>
          <w:rFonts w:hint="eastAsia" w:ascii="宋体" w:hAnsi="宋体"/>
          <w:sz w:val="24"/>
        </w:rPr>
        <w:t>(4)   对投标人投标报价的确定；</w:t>
      </w:r>
    </w:p>
    <w:p>
      <w:pPr>
        <w:spacing w:line="460" w:lineRule="atLeast"/>
        <w:ind w:firstLine="480" w:firstLineChars="200"/>
        <w:rPr>
          <w:rFonts w:ascii="宋体" w:hAnsi="宋体"/>
          <w:sz w:val="24"/>
        </w:rPr>
      </w:pPr>
      <w:r>
        <w:rPr>
          <w:rFonts w:hint="eastAsia" w:ascii="宋体" w:hAnsi="宋体"/>
          <w:sz w:val="24"/>
        </w:rPr>
        <w:t>(5)   对投标人售后服务机构设置和能力的确定；</w:t>
      </w:r>
    </w:p>
    <w:p>
      <w:pPr>
        <w:spacing w:line="460" w:lineRule="atLeast"/>
        <w:ind w:firstLine="480" w:firstLineChars="200"/>
        <w:rPr>
          <w:rFonts w:ascii="宋体" w:hAnsi="宋体"/>
          <w:sz w:val="24"/>
        </w:rPr>
      </w:pPr>
      <w:r>
        <w:rPr>
          <w:rFonts w:hint="eastAsia" w:ascii="宋体" w:hAnsi="宋体"/>
          <w:sz w:val="24"/>
        </w:rPr>
        <w:t>(6)   对投标人投标文件</w:t>
      </w:r>
      <w:r>
        <w:rPr>
          <w:rFonts w:hint="eastAsia" w:ascii="宋体" w:hAnsi="宋体"/>
          <w:sz w:val="24"/>
          <w:lang w:eastAsia="zh-CN"/>
        </w:rPr>
        <w:t>服务内容</w:t>
      </w:r>
      <w:r>
        <w:rPr>
          <w:rFonts w:hint="eastAsia" w:ascii="宋体" w:hAnsi="宋体"/>
          <w:sz w:val="24"/>
        </w:rPr>
        <w:t>偏差的确定；</w:t>
      </w:r>
    </w:p>
    <w:p>
      <w:pPr>
        <w:spacing w:line="460" w:lineRule="atLeast"/>
        <w:ind w:firstLine="480" w:firstLineChars="200"/>
        <w:rPr>
          <w:rFonts w:ascii="宋体" w:hAnsi="宋体"/>
          <w:sz w:val="24"/>
        </w:rPr>
      </w:pPr>
      <w:r>
        <w:rPr>
          <w:rFonts w:hint="eastAsia" w:ascii="宋体" w:hAnsi="宋体"/>
          <w:sz w:val="24"/>
        </w:rPr>
        <w:t>(7)   对投标人递交文件商务偏差的调整确定；</w:t>
      </w:r>
    </w:p>
    <w:p>
      <w:pPr>
        <w:spacing w:line="460" w:lineRule="atLeast"/>
        <w:ind w:firstLine="480" w:firstLineChars="200"/>
        <w:rPr>
          <w:rFonts w:ascii="宋体" w:hAnsi="宋体"/>
          <w:sz w:val="24"/>
        </w:rPr>
      </w:pPr>
      <w:r>
        <w:rPr>
          <w:rFonts w:hint="eastAsia" w:ascii="宋体" w:hAnsi="宋体"/>
          <w:sz w:val="24"/>
        </w:rPr>
        <w:t>(8)   对投标人的</w:t>
      </w:r>
      <w:r>
        <w:rPr>
          <w:rFonts w:hint="eastAsia" w:ascii="宋体" w:hAnsi="宋体"/>
          <w:sz w:val="24"/>
          <w:lang w:eastAsia="zh-CN"/>
        </w:rPr>
        <w:t>服务</w:t>
      </w:r>
      <w:r>
        <w:rPr>
          <w:rFonts w:hint="eastAsia" w:ascii="宋体" w:hAnsi="宋体"/>
          <w:sz w:val="24"/>
        </w:rPr>
        <w:t>、商务澄清内容答复的确定；</w:t>
      </w:r>
    </w:p>
    <w:p>
      <w:pPr>
        <w:spacing w:line="460" w:lineRule="atLeast"/>
        <w:ind w:firstLine="480" w:firstLineChars="200"/>
        <w:rPr>
          <w:rFonts w:ascii="宋体" w:hAnsi="宋体"/>
          <w:sz w:val="24"/>
        </w:rPr>
      </w:pPr>
      <w:r>
        <w:rPr>
          <w:rFonts w:hint="eastAsia" w:ascii="宋体" w:hAnsi="宋体"/>
          <w:sz w:val="24"/>
        </w:rPr>
        <w:t>(9)   对投标人近三年的销售业绩评估确定。</w:t>
      </w:r>
    </w:p>
    <w:p>
      <w:pPr>
        <w:spacing w:line="460" w:lineRule="atLeast"/>
        <w:ind w:firstLine="480" w:firstLineChars="200"/>
        <w:rPr>
          <w:rFonts w:ascii="宋体" w:hAnsi="宋体"/>
          <w:sz w:val="24"/>
        </w:rPr>
      </w:pPr>
      <w:r>
        <w:rPr>
          <w:rFonts w:hint="eastAsia" w:ascii="宋体" w:hAnsi="宋体"/>
          <w:sz w:val="24"/>
        </w:rPr>
        <w:t xml:space="preserve">(10)  </w:t>
      </w:r>
      <w:r>
        <w:rPr>
          <w:rFonts w:hint="eastAsia" w:ascii="宋体" w:hAnsi="宋体"/>
          <w:sz w:val="24"/>
          <w:szCs w:val="24"/>
        </w:rPr>
        <w:t>其他特殊要求因素（如节能、安全和环保等）。</w:t>
      </w:r>
    </w:p>
    <w:p>
      <w:pPr>
        <w:spacing w:beforeLines="50" w:line="440" w:lineRule="exact"/>
        <w:jc w:val="center"/>
        <w:outlineLvl w:val="1"/>
        <w:rPr>
          <w:rFonts w:ascii="宋体" w:hAnsi="宋体"/>
          <w:b/>
          <w:sz w:val="32"/>
          <w:szCs w:val="32"/>
        </w:rPr>
      </w:pPr>
    </w:p>
    <w:p>
      <w:pPr>
        <w:spacing w:beforeLines="50" w:line="440" w:lineRule="exact"/>
        <w:jc w:val="center"/>
        <w:outlineLvl w:val="1"/>
        <w:rPr>
          <w:rFonts w:ascii="宋体" w:hAnsi="宋体"/>
          <w:b/>
          <w:sz w:val="32"/>
          <w:szCs w:val="32"/>
        </w:rPr>
      </w:pPr>
      <w:bookmarkStart w:id="14" w:name="_Toc17902421"/>
      <w:r>
        <w:rPr>
          <w:rFonts w:hint="eastAsia" w:ascii="宋体" w:hAnsi="宋体"/>
          <w:b/>
          <w:sz w:val="32"/>
          <w:szCs w:val="32"/>
        </w:rPr>
        <w:t>第七章  定　标</w:t>
      </w:r>
      <w:bookmarkEnd w:id="14"/>
    </w:p>
    <w:p>
      <w:pPr>
        <w:spacing w:line="440" w:lineRule="exact"/>
        <w:ind w:firstLine="482" w:firstLineChars="200"/>
        <w:rPr>
          <w:rFonts w:ascii="宋体" w:hAnsi="宋体"/>
          <w:b/>
          <w:sz w:val="24"/>
        </w:rPr>
      </w:pPr>
      <w:r>
        <w:rPr>
          <w:rFonts w:hint="eastAsia" w:ascii="宋体" w:hAnsi="宋体"/>
          <w:b/>
          <w:sz w:val="24"/>
        </w:rPr>
        <w:t>19． 定标标准</w:t>
      </w:r>
    </w:p>
    <w:p>
      <w:pPr>
        <w:spacing w:line="440" w:lineRule="exact"/>
        <w:ind w:firstLine="472" w:firstLineChars="200"/>
        <w:rPr>
          <w:rFonts w:ascii="宋体" w:hAnsi="宋体"/>
          <w:spacing w:val="-2"/>
          <w:sz w:val="24"/>
          <w:szCs w:val="24"/>
        </w:rPr>
      </w:pPr>
      <w:r>
        <w:rPr>
          <w:rFonts w:hint="eastAsia" w:ascii="宋体" w:hAnsi="宋体"/>
          <w:spacing w:val="-2"/>
          <w:sz w:val="24"/>
          <w:szCs w:val="24"/>
        </w:rPr>
        <w:t>19.1  合同将授予被确定为实质性响应单一来源采购文件要求，经评定认为具备履行合同能力、报价合理、技术和商务条件都符合单一来源采购文件要求的投标人。</w:t>
      </w:r>
    </w:p>
    <w:p>
      <w:pPr>
        <w:spacing w:line="440" w:lineRule="exact"/>
        <w:ind w:firstLine="482" w:firstLineChars="200"/>
        <w:rPr>
          <w:rFonts w:ascii="宋体" w:hAnsi="宋体"/>
          <w:b/>
          <w:sz w:val="24"/>
        </w:rPr>
      </w:pPr>
      <w:r>
        <w:rPr>
          <w:rFonts w:hint="eastAsia" w:ascii="宋体" w:hAnsi="宋体"/>
          <w:b/>
          <w:sz w:val="24"/>
        </w:rPr>
        <w:t>20． 接受和拒绝任何或所有投标的权力</w:t>
      </w:r>
    </w:p>
    <w:p>
      <w:pPr>
        <w:spacing w:line="440" w:lineRule="exact"/>
        <w:ind w:firstLine="472" w:firstLineChars="200"/>
        <w:rPr>
          <w:rFonts w:ascii="宋体" w:hAnsi="宋体"/>
          <w:spacing w:val="-2"/>
          <w:sz w:val="24"/>
          <w:szCs w:val="24"/>
        </w:rPr>
      </w:pPr>
      <w:r>
        <w:rPr>
          <w:rFonts w:hint="eastAsia" w:ascii="宋体" w:hAnsi="宋体"/>
          <w:spacing w:val="-2"/>
          <w:sz w:val="24"/>
          <w:szCs w:val="24"/>
        </w:rPr>
        <w:t>20.1  为维护国家利益，招标方在授予合同之前仍有选择或拒绝任何全部投标的权力。</w:t>
      </w:r>
    </w:p>
    <w:p>
      <w:pPr>
        <w:spacing w:line="440" w:lineRule="exact"/>
        <w:ind w:firstLine="482" w:firstLineChars="200"/>
        <w:rPr>
          <w:rFonts w:ascii="宋体" w:hAnsi="宋体"/>
          <w:b/>
          <w:sz w:val="24"/>
        </w:rPr>
      </w:pPr>
      <w:r>
        <w:rPr>
          <w:rFonts w:hint="eastAsia" w:ascii="宋体" w:hAnsi="宋体"/>
          <w:b/>
          <w:sz w:val="24"/>
        </w:rPr>
        <w:t>21． 成交通知书</w:t>
      </w:r>
    </w:p>
    <w:p>
      <w:pPr>
        <w:spacing w:line="440" w:lineRule="exact"/>
        <w:ind w:firstLine="472" w:firstLineChars="200"/>
        <w:rPr>
          <w:rFonts w:ascii="宋体" w:hAnsi="宋体"/>
          <w:spacing w:val="-2"/>
          <w:sz w:val="24"/>
          <w:szCs w:val="24"/>
        </w:rPr>
      </w:pPr>
      <w:r>
        <w:rPr>
          <w:rFonts w:hint="eastAsia" w:ascii="宋体" w:hAnsi="宋体"/>
          <w:spacing w:val="-2"/>
          <w:sz w:val="24"/>
          <w:szCs w:val="24"/>
        </w:rPr>
        <w:t>21.1  评标结束后七个工作日内，招标方将以书面形式发出《成交通知书》，但发出时间不超过投标有效期，《成交通知书》一经发出即发生法律效力。</w:t>
      </w:r>
    </w:p>
    <w:p>
      <w:pPr>
        <w:spacing w:line="440" w:lineRule="exact"/>
        <w:ind w:firstLine="472" w:firstLineChars="200"/>
        <w:rPr>
          <w:rFonts w:ascii="宋体" w:hAnsi="宋体"/>
          <w:spacing w:val="-2"/>
          <w:sz w:val="24"/>
          <w:szCs w:val="24"/>
        </w:rPr>
      </w:pPr>
      <w:r>
        <w:rPr>
          <w:rFonts w:hint="eastAsia" w:ascii="宋体" w:hAnsi="宋体"/>
          <w:spacing w:val="-2"/>
          <w:sz w:val="24"/>
          <w:szCs w:val="24"/>
        </w:rPr>
        <w:t>21.2 《成交通知书》将作为签订合同的依据。</w:t>
      </w:r>
    </w:p>
    <w:p>
      <w:pPr>
        <w:spacing w:line="440" w:lineRule="exact"/>
        <w:ind w:firstLine="472" w:firstLineChars="200"/>
        <w:rPr>
          <w:rFonts w:ascii="宋体" w:hAnsi="宋体"/>
          <w:b/>
          <w:sz w:val="32"/>
          <w:szCs w:val="32"/>
        </w:rPr>
      </w:pPr>
      <w:r>
        <w:rPr>
          <w:rFonts w:hint="eastAsia" w:ascii="宋体" w:hAnsi="宋体"/>
          <w:spacing w:val="-2"/>
          <w:sz w:val="24"/>
          <w:szCs w:val="24"/>
        </w:rPr>
        <w:t>21.3  乙方领取《成交通知书》时，需向招标代理机构出示向采购人缴纳的履约保证金收据原件和复印件。</w:t>
      </w:r>
    </w:p>
    <w:p>
      <w:pPr>
        <w:spacing w:line="440" w:lineRule="exact"/>
        <w:ind w:firstLine="643" w:firstLineChars="200"/>
        <w:jc w:val="center"/>
        <w:outlineLvl w:val="1"/>
        <w:rPr>
          <w:rFonts w:hint="eastAsia" w:ascii="宋体" w:hAnsi="宋体"/>
          <w:b/>
          <w:sz w:val="32"/>
          <w:szCs w:val="32"/>
        </w:rPr>
      </w:pPr>
      <w:bookmarkStart w:id="15" w:name="_Toc17902422"/>
    </w:p>
    <w:p>
      <w:pPr>
        <w:spacing w:line="440" w:lineRule="exact"/>
        <w:ind w:firstLine="643" w:firstLineChars="200"/>
        <w:jc w:val="center"/>
        <w:outlineLvl w:val="1"/>
        <w:rPr>
          <w:rFonts w:hint="eastAsia" w:ascii="宋体" w:hAnsi="宋体"/>
          <w:b/>
          <w:sz w:val="32"/>
          <w:szCs w:val="32"/>
        </w:rPr>
      </w:pPr>
    </w:p>
    <w:p>
      <w:pPr>
        <w:spacing w:line="440" w:lineRule="exact"/>
        <w:ind w:firstLine="643" w:firstLineChars="200"/>
        <w:jc w:val="center"/>
        <w:outlineLvl w:val="1"/>
        <w:rPr>
          <w:rFonts w:ascii="宋体" w:hAnsi="宋体"/>
          <w:b/>
          <w:sz w:val="32"/>
          <w:szCs w:val="32"/>
        </w:rPr>
      </w:pPr>
      <w:r>
        <w:rPr>
          <w:rFonts w:hint="eastAsia" w:ascii="宋体" w:hAnsi="宋体"/>
          <w:b/>
          <w:sz w:val="32"/>
          <w:szCs w:val="32"/>
        </w:rPr>
        <w:t>第八章  授予合同</w:t>
      </w:r>
      <w:bookmarkEnd w:id="15"/>
    </w:p>
    <w:p>
      <w:pPr>
        <w:spacing w:line="440" w:lineRule="exact"/>
        <w:ind w:firstLine="482" w:firstLineChars="200"/>
        <w:rPr>
          <w:rFonts w:ascii="宋体" w:hAnsi="宋体"/>
          <w:b/>
          <w:sz w:val="24"/>
        </w:rPr>
      </w:pPr>
      <w:r>
        <w:rPr>
          <w:rFonts w:hint="eastAsia" w:ascii="宋体" w:hAnsi="宋体"/>
          <w:b/>
          <w:sz w:val="24"/>
        </w:rPr>
        <w:t>22． 签订合同</w:t>
      </w:r>
    </w:p>
    <w:p>
      <w:pPr>
        <w:spacing w:line="440" w:lineRule="exact"/>
        <w:ind w:firstLine="472" w:firstLineChars="200"/>
        <w:rPr>
          <w:rFonts w:ascii="宋体" w:hAnsi="宋体"/>
          <w:spacing w:val="-2"/>
          <w:sz w:val="24"/>
          <w:szCs w:val="24"/>
        </w:rPr>
      </w:pPr>
      <w:r>
        <w:rPr>
          <w:rFonts w:hint="eastAsia" w:ascii="宋体" w:hAnsi="宋体"/>
          <w:spacing w:val="-2"/>
          <w:sz w:val="24"/>
          <w:szCs w:val="24"/>
        </w:rPr>
        <w:t>22.1  乙方收到招标方的《成交通知书》后三十日内，按照单一来源采购文件和乙方投标文件中的约定与采购人签订书面合同，所签订的合同不得对单一来源采购文件和乙方的投标文件作实质性修改。</w:t>
      </w:r>
    </w:p>
    <w:p>
      <w:pPr>
        <w:spacing w:line="440" w:lineRule="exact"/>
        <w:ind w:firstLine="472" w:firstLineChars="200"/>
        <w:rPr>
          <w:rFonts w:ascii="宋体" w:hAnsi="宋体"/>
          <w:spacing w:val="-2"/>
          <w:sz w:val="24"/>
          <w:szCs w:val="24"/>
        </w:rPr>
      </w:pPr>
      <w:r>
        <w:rPr>
          <w:rFonts w:hint="eastAsia" w:ascii="宋体" w:hAnsi="宋体"/>
          <w:spacing w:val="-2"/>
          <w:sz w:val="24"/>
          <w:szCs w:val="24"/>
        </w:rPr>
        <w:t>22.2  招标方在授予合同时，有权对单一来源采购文件中规定的货物和服务的数量在10%的幅度内于以增加或减少。</w:t>
      </w:r>
    </w:p>
    <w:p>
      <w:pPr>
        <w:spacing w:line="440" w:lineRule="exact"/>
        <w:ind w:firstLine="472" w:firstLineChars="200"/>
        <w:rPr>
          <w:rFonts w:ascii="宋体" w:hAnsi="宋体"/>
          <w:spacing w:val="-2"/>
          <w:sz w:val="24"/>
          <w:szCs w:val="24"/>
        </w:rPr>
      </w:pPr>
      <w:r>
        <w:rPr>
          <w:rFonts w:hint="eastAsia" w:ascii="宋体" w:hAnsi="宋体"/>
          <w:spacing w:val="-2"/>
          <w:sz w:val="24"/>
          <w:szCs w:val="24"/>
        </w:rPr>
        <w:t>22.3  如乙方拒签合同，则按违约处理。招标方将不予退还其履约保证金。</w:t>
      </w:r>
    </w:p>
    <w:p>
      <w:pPr>
        <w:spacing w:line="440" w:lineRule="exact"/>
        <w:ind w:firstLine="472" w:firstLineChars="200"/>
        <w:rPr>
          <w:rFonts w:ascii="宋体" w:hAnsi="宋体"/>
          <w:spacing w:val="-2"/>
          <w:sz w:val="24"/>
          <w:szCs w:val="24"/>
        </w:rPr>
      </w:pPr>
      <w:r>
        <w:rPr>
          <w:rFonts w:hint="eastAsia" w:ascii="宋体" w:hAnsi="宋体"/>
          <w:spacing w:val="-2"/>
          <w:sz w:val="24"/>
          <w:szCs w:val="24"/>
        </w:rPr>
        <w:t>22.4  单一来源采购文件、乙方的投标文件及其澄清文件等，均为签订经济合同的依据。</w:t>
      </w:r>
    </w:p>
    <w:p>
      <w:pPr>
        <w:spacing w:line="440" w:lineRule="exact"/>
        <w:ind w:firstLine="480" w:firstLineChars="200"/>
        <w:rPr>
          <w:rFonts w:hint="eastAsia" w:ascii="宋体" w:hAnsi="宋体"/>
          <w:sz w:val="24"/>
          <w:szCs w:val="24"/>
        </w:rPr>
      </w:pPr>
      <w:r>
        <w:rPr>
          <w:rFonts w:hint="eastAsia" w:ascii="宋体" w:hAnsi="宋体"/>
          <w:sz w:val="24"/>
          <w:szCs w:val="24"/>
        </w:rPr>
        <w:t>22.5  不允许</w:t>
      </w:r>
      <w:r>
        <w:rPr>
          <w:rFonts w:hint="eastAsia" w:ascii="宋体" w:hAnsi="宋体"/>
          <w:spacing w:val="-2"/>
          <w:sz w:val="24"/>
          <w:szCs w:val="24"/>
        </w:rPr>
        <w:t>乙方</w:t>
      </w:r>
      <w:r>
        <w:rPr>
          <w:rFonts w:hint="eastAsia" w:ascii="宋体" w:hAnsi="宋体"/>
          <w:sz w:val="24"/>
          <w:szCs w:val="24"/>
        </w:rPr>
        <w:t>将中标项目分包或转交他人承担。</w:t>
      </w: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pStyle w:val="3"/>
      </w:pPr>
    </w:p>
    <w:p>
      <w:pPr>
        <w:numPr>
          <w:ilvl w:val="0"/>
          <w:numId w:val="9"/>
        </w:numPr>
        <w:spacing w:beforeLines="50" w:line="440" w:lineRule="exact"/>
        <w:jc w:val="center"/>
        <w:outlineLvl w:val="0"/>
        <w:rPr>
          <w:rFonts w:ascii="宋体" w:hAnsi="宋体"/>
          <w:b/>
          <w:sz w:val="36"/>
        </w:rPr>
      </w:pPr>
      <w:r>
        <w:rPr>
          <w:rFonts w:hint="eastAsia" w:ascii="宋体" w:hAnsi="宋体"/>
          <w:b/>
          <w:sz w:val="36"/>
        </w:rPr>
        <w:t xml:space="preserve"> </w:t>
      </w:r>
      <w:r>
        <w:rPr>
          <w:rFonts w:hint="eastAsia" w:ascii="宋体" w:hAnsi="宋体"/>
          <w:b/>
          <w:sz w:val="36"/>
          <w:lang w:eastAsia="zh-CN"/>
        </w:rPr>
        <w:t>服务内容</w:t>
      </w:r>
    </w:p>
    <w:p>
      <w:pPr>
        <w:spacing w:line="440" w:lineRule="exact"/>
        <w:jc w:val="both"/>
        <w:outlineLvl w:val="0"/>
        <w:rPr>
          <w:rFonts w:hint="eastAsia" w:ascii="宋体" w:hAnsi="宋体" w:eastAsia="宋体"/>
          <w:b/>
          <w:sz w:val="24"/>
          <w:szCs w:val="15"/>
          <w:lang w:val="en-US" w:eastAsia="zh-CN"/>
        </w:rPr>
      </w:pPr>
      <w:bookmarkStart w:id="16" w:name="_Toc17902424"/>
      <w:r>
        <w:rPr>
          <w:rFonts w:hint="eastAsia" w:ascii="宋体" w:hAnsi="宋体"/>
          <w:b/>
          <w:sz w:val="24"/>
          <w:szCs w:val="15"/>
          <w:lang w:val="en-US" w:eastAsia="zh-CN"/>
        </w:rPr>
        <w:t>标项一：</w:t>
      </w:r>
    </w:p>
    <w:tbl>
      <w:tblPr>
        <w:tblStyle w:val="38"/>
        <w:tblW w:w="9948" w:type="dxa"/>
        <w:tblInd w:w="-20" w:type="dxa"/>
        <w:tblLayout w:type="autofit"/>
        <w:tblCellMar>
          <w:top w:w="0" w:type="dxa"/>
          <w:left w:w="108" w:type="dxa"/>
          <w:bottom w:w="0" w:type="dxa"/>
          <w:right w:w="108" w:type="dxa"/>
        </w:tblCellMar>
      </w:tblPr>
      <w:tblGrid>
        <w:gridCol w:w="600"/>
        <w:gridCol w:w="1194"/>
        <w:gridCol w:w="6321"/>
        <w:gridCol w:w="720"/>
        <w:gridCol w:w="1113"/>
      </w:tblGrid>
      <w:tr>
        <w:tblPrEx>
          <w:tblCellMar>
            <w:top w:w="0" w:type="dxa"/>
            <w:left w:w="108" w:type="dxa"/>
            <w:bottom w:w="0" w:type="dxa"/>
            <w:right w:w="108" w:type="dxa"/>
          </w:tblCellMar>
        </w:tblPrEx>
        <w:trPr>
          <w:trHeight w:val="240" w:hRule="atLeas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63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参数</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仿宋" w:hAnsi="仿宋" w:eastAsia="仿宋"/>
                <w:sz w:val="24"/>
              </w:rPr>
              <w:t>使用模式</w:t>
            </w:r>
          </w:p>
        </w:tc>
        <w:tc>
          <w:tcPr>
            <w:tcW w:w="11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使用时间</w:t>
            </w:r>
          </w:p>
        </w:tc>
      </w:tr>
      <w:tr>
        <w:tblPrEx>
          <w:tblCellMar>
            <w:top w:w="0" w:type="dxa"/>
            <w:left w:w="108" w:type="dxa"/>
            <w:bottom w:w="0" w:type="dxa"/>
            <w:right w:w="108" w:type="dxa"/>
          </w:tblCellMar>
        </w:tblPrEx>
        <w:trPr>
          <w:trHeight w:val="2158" w:hRule="atLeast"/>
        </w:trPr>
        <w:tc>
          <w:tcPr>
            <w:tcW w:w="600" w:type="dxa"/>
            <w:vMerge w:val="restart"/>
            <w:tcBorders>
              <w:top w:val="nil"/>
              <w:left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194" w:type="dxa"/>
            <w:tcBorders>
              <w:top w:val="nil"/>
              <w:left w:val="nil"/>
              <w:bottom w:val="single" w:color="auto" w:sz="4" w:space="0"/>
              <w:right w:val="single" w:color="auto" w:sz="4" w:space="0"/>
            </w:tcBorders>
            <w:vAlign w:val="center"/>
          </w:tcPr>
          <w:p>
            <w:pPr>
              <w:rPr>
                <w:rFonts w:hint="eastAsia" w:ascii="宋体" w:hAnsi="宋体" w:cs="仿宋"/>
                <w:bCs/>
                <w:sz w:val="20"/>
                <w:szCs w:val="20"/>
              </w:rPr>
            </w:pPr>
            <w:r>
              <w:rPr>
                <w:rFonts w:ascii="宋体" w:hAnsi="宋体" w:cs="仿宋"/>
                <w:bCs/>
                <w:sz w:val="20"/>
                <w:szCs w:val="20"/>
              </w:rPr>
              <w:t>(</w:t>
            </w:r>
            <w:r>
              <w:rPr>
                <w:rFonts w:hint="eastAsia" w:ascii="宋体" w:hAnsi="宋体" w:cs="仿宋"/>
                <w:bCs/>
                <w:sz w:val="20"/>
                <w:szCs w:val="20"/>
              </w:rPr>
              <w:t>知网)中国学术期刊（网络版）</w:t>
            </w:r>
          </w:p>
          <w:p>
            <w:pPr>
              <w:widowControl/>
              <w:jc w:val="left"/>
              <w:rPr>
                <w:rFonts w:ascii="宋体" w:hAnsi="宋体" w:cs="宋体"/>
                <w:kern w:val="0"/>
                <w:sz w:val="20"/>
                <w:szCs w:val="20"/>
              </w:rPr>
            </w:pPr>
            <w:r>
              <w:rPr>
                <w:rFonts w:hint="eastAsia" w:ascii="Arial Narrow" w:hAnsi="Arial Narrow" w:eastAsia="仿宋_GB2312" w:cs="仿宋_GB2312"/>
                <w:sz w:val="20"/>
                <w:szCs w:val="20"/>
              </w:rPr>
              <w:t>（</w:t>
            </w:r>
            <w:r>
              <w:rPr>
                <w:rFonts w:ascii="Arial Narrow" w:hAnsi="Arial Narrow" w:eastAsia="仿宋_GB2312" w:cs="仿宋_GB2312"/>
                <w:sz w:val="20"/>
                <w:szCs w:val="20"/>
              </w:rPr>
              <w:t>CAJD</w:t>
            </w:r>
            <w:r>
              <w:rPr>
                <w:rFonts w:hint="eastAsia" w:ascii="Arial Narrow" w:hAnsi="Arial Narrow" w:eastAsia="仿宋_GB2312" w:cs="仿宋_GB2312"/>
                <w:sz w:val="20"/>
                <w:szCs w:val="20"/>
              </w:rPr>
              <w:t>）</w:t>
            </w:r>
          </w:p>
        </w:tc>
        <w:tc>
          <w:tcPr>
            <w:tcW w:w="6321" w:type="dxa"/>
            <w:vMerge w:val="restart"/>
            <w:tcBorders>
              <w:top w:val="nil"/>
              <w:left w:val="nil"/>
              <w:right w:val="single" w:color="auto" w:sz="4" w:space="0"/>
            </w:tcBorders>
            <w:vAlign w:val="center"/>
          </w:tcPr>
          <w:p>
            <w:pPr>
              <w:rPr>
                <w:rFonts w:hint="eastAsia" w:ascii="宋体" w:hAnsi="宋体" w:cs="仿宋"/>
                <w:b/>
                <w:bCs/>
                <w:sz w:val="20"/>
                <w:szCs w:val="20"/>
              </w:rPr>
            </w:pPr>
            <w:bookmarkStart w:id="17" w:name="_Toc16597"/>
            <w:r>
              <w:rPr>
                <w:rFonts w:hint="eastAsia" w:ascii="宋体" w:hAnsi="宋体" w:cs="仿宋"/>
                <w:b/>
                <w:bCs/>
                <w:sz w:val="20"/>
                <w:szCs w:val="20"/>
              </w:rPr>
              <w:t>1.中国学术期刊（网络版）</w:t>
            </w:r>
            <w:bookmarkEnd w:id="17"/>
          </w:p>
          <w:p>
            <w:pPr>
              <w:rPr>
                <w:rFonts w:hint="eastAsia" w:ascii="宋体" w:hAnsi="宋体" w:cs="仿宋"/>
                <w:bCs/>
                <w:sz w:val="20"/>
                <w:szCs w:val="20"/>
              </w:rPr>
            </w:pPr>
            <w:r>
              <w:rPr>
                <w:rFonts w:hint="eastAsia" w:ascii="宋体" w:hAnsi="宋体" w:cs="仿宋"/>
                <w:bCs/>
                <w:sz w:val="20"/>
                <w:szCs w:val="20"/>
              </w:rPr>
              <w:t>收录范围：我国公开出版发行的学术期刊（含英文版）全文文献</w:t>
            </w:r>
          </w:p>
          <w:p>
            <w:pPr>
              <w:rPr>
                <w:rFonts w:hint="eastAsia" w:ascii="宋体" w:hAnsi="宋体" w:cs="仿宋"/>
                <w:bCs/>
                <w:sz w:val="20"/>
                <w:szCs w:val="20"/>
              </w:rPr>
            </w:pPr>
            <w:r>
              <w:rPr>
                <w:rFonts w:hint="eastAsia" w:ascii="宋体" w:hAnsi="宋体" w:cs="仿宋"/>
                <w:bCs/>
                <w:sz w:val="20"/>
                <w:szCs w:val="20"/>
              </w:rPr>
              <w:t>文献总量：截至202</w:t>
            </w:r>
            <w:r>
              <w:rPr>
                <w:rFonts w:ascii="宋体" w:hAnsi="宋体" w:cs="仿宋"/>
                <w:bCs/>
                <w:sz w:val="20"/>
                <w:szCs w:val="20"/>
              </w:rPr>
              <w:t>1</w:t>
            </w:r>
            <w:r>
              <w:rPr>
                <w:rFonts w:hint="eastAsia" w:ascii="宋体" w:hAnsi="宋体" w:cs="仿宋"/>
                <w:bCs/>
                <w:sz w:val="20"/>
                <w:szCs w:val="20"/>
              </w:rPr>
              <w:t>年</w:t>
            </w:r>
            <w:r>
              <w:rPr>
                <w:rFonts w:ascii="宋体" w:hAnsi="宋体" w:cs="仿宋"/>
                <w:bCs/>
                <w:sz w:val="20"/>
                <w:szCs w:val="20"/>
              </w:rPr>
              <w:t>5</w:t>
            </w:r>
            <w:r>
              <w:rPr>
                <w:rFonts w:hint="eastAsia" w:ascii="宋体" w:hAnsi="宋体" w:cs="仿宋"/>
                <w:bCs/>
                <w:sz w:val="20"/>
                <w:szCs w:val="20"/>
              </w:rPr>
              <w:t>月30日，累计收录8</w:t>
            </w:r>
            <w:r>
              <w:rPr>
                <w:rFonts w:ascii="宋体" w:hAnsi="宋体" w:cs="仿宋"/>
                <w:bCs/>
                <w:sz w:val="20"/>
                <w:szCs w:val="20"/>
              </w:rPr>
              <w:t>52</w:t>
            </w:r>
            <w:r>
              <w:rPr>
                <w:rFonts w:hint="eastAsia" w:ascii="宋体" w:hAnsi="宋体" w:cs="仿宋"/>
                <w:bCs/>
                <w:sz w:val="20"/>
                <w:szCs w:val="20"/>
              </w:rPr>
              <w:t>0种期刊，文献量达5191万余篇。其中，核心收录期刊1584种。</w:t>
            </w:r>
          </w:p>
          <w:p>
            <w:pPr>
              <w:rPr>
                <w:rFonts w:hint="eastAsia" w:ascii="宋体" w:hAnsi="宋体" w:cs="仿宋"/>
                <w:bCs/>
                <w:sz w:val="20"/>
                <w:szCs w:val="20"/>
              </w:rPr>
            </w:pPr>
            <w:r>
              <w:rPr>
                <w:rFonts w:hint="eastAsia" w:ascii="宋体" w:hAnsi="宋体" w:cs="仿宋"/>
                <w:bCs/>
                <w:sz w:val="20"/>
                <w:szCs w:val="20"/>
              </w:rPr>
              <w:t>收录年限：1915年至今</w:t>
            </w:r>
          </w:p>
          <w:p>
            <w:pPr>
              <w:rPr>
                <w:rFonts w:hint="eastAsia" w:ascii="宋体" w:hAnsi="宋体" w:cs="仿宋"/>
                <w:bCs/>
                <w:sz w:val="20"/>
                <w:szCs w:val="20"/>
              </w:rPr>
            </w:pPr>
            <w:r>
              <w:rPr>
                <w:rFonts w:hint="eastAsia" w:ascii="宋体" w:hAnsi="宋体" w:cs="仿宋"/>
                <w:bCs/>
                <w:sz w:val="20"/>
                <w:szCs w:val="20"/>
              </w:rPr>
              <w:t>更新频率：中心网站版每日更新，网络镜像版、光盘版每月更新。</w:t>
            </w:r>
          </w:p>
          <w:p>
            <w:pPr>
              <w:rPr>
                <w:rFonts w:hint="eastAsia" w:ascii="宋体" w:hAnsi="宋体" w:cs="仿宋"/>
                <w:bCs/>
                <w:sz w:val="20"/>
                <w:szCs w:val="20"/>
              </w:rPr>
            </w:pPr>
            <w:r>
              <w:rPr>
                <w:rFonts w:hint="eastAsia" w:ascii="宋体" w:hAnsi="宋体" w:cs="仿宋"/>
                <w:bCs/>
                <w:sz w:val="20"/>
                <w:szCs w:val="20"/>
              </w:rPr>
              <w:t>导航体系：学科导航、期刊导航。</w:t>
            </w:r>
          </w:p>
          <w:p>
            <w:pPr>
              <w:rPr>
                <w:rFonts w:hint="eastAsia" w:ascii="宋体" w:hAnsi="宋体" w:cs="仿宋"/>
                <w:bCs/>
                <w:sz w:val="20"/>
                <w:szCs w:val="20"/>
              </w:rPr>
            </w:pPr>
            <w:r>
              <w:rPr>
                <w:rFonts w:hint="eastAsia" w:ascii="宋体" w:hAnsi="宋体" w:cs="仿宋"/>
                <w:bCs/>
                <w:sz w:val="20"/>
                <w:szCs w:val="20"/>
              </w:rPr>
              <w:t>检索字段：主题、篇名、关键词、摘要、全文、被引文献、中图分类号、DOI、栏目信息、支持基金、作者、第一作者、通讯作者、作者单位、期刊名称、年、期、ISSN、CN、来源类别。</w:t>
            </w:r>
          </w:p>
          <w:p>
            <w:pPr>
              <w:rPr>
                <w:rFonts w:ascii="宋体" w:hAnsi="宋体" w:cs="仿宋"/>
                <w:bCs/>
                <w:sz w:val="20"/>
                <w:szCs w:val="20"/>
              </w:rPr>
            </w:pPr>
            <w:r>
              <w:rPr>
                <w:rFonts w:hint="eastAsia" w:ascii="宋体" w:hAnsi="宋体" w:cs="仿宋"/>
                <w:bCs/>
                <w:sz w:val="20"/>
                <w:szCs w:val="20"/>
              </w:rPr>
              <w:t>专辑名称：</w:t>
            </w:r>
          </w:p>
          <w:p>
            <w:pPr>
              <w:rPr>
                <w:rFonts w:hint="eastAsia" w:ascii="宋体" w:hAnsi="宋体" w:cs="仿宋"/>
                <w:bCs/>
                <w:sz w:val="20"/>
                <w:szCs w:val="20"/>
              </w:rPr>
            </w:pPr>
            <w:r>
              <w:rPr>
                <w:rFonts w:hint="eastAsia" w:ascii="宋体" w:hAnsi="宋体" w:cs="仿宋"/>
                <w:bCs/>
                <w:sz w:val="20"/>
                <w:szCs w:val="20"/>
              </w:rPr>
              <w:t>基础科学、工程科技Ⅰ辑、工程科技Ⅱ辑、农业科技、中药学、基础医学、药学、生物医学工程、信息科技、哲学与人文科学、社会科学Ⅰ辑、社会科学Ⅱ辑、经济与管理科学</w:t>
            </w:r>
          </w:p>
          <w:p>
            <w:pPr>
              <w:rPr>
                <w:rFonts w:ascii="宋体" w:hAnsi="宋体" w:cs="仿宋"/>
                <w:b/>
                <w:bCs/>
                <w:sz w:val="20"/>
                <w:szCs w:val="20"/>
              </w:rPr>
            </w:pPr>
            <w:bookmarkStart w:id="18" w:name="_Toc18726"/>
            <w:bookmarkStart w:id="19" w:name="_Toc474769661"/>
            <w:bookmarkStart w:id="20" w:name="_Toc4657685"/>
            <w:r>
              <w:rPr>
                <w:rFonts w:hint="eastAsia" w:ascii="宋体" w:hAnsi="宋体" w:cs="仿宋"/>
                <w:b/>
                <w:bCs/>
                <w:sz w:val="20"/>
                <w:szCs w:val="20"/>
              </w:rPr>
              <w:t>2.中国博士学位论文全文数据库</w:t>
            </w:r>
            <w:bookmarkEnd w:id="18"/>
            <w:bookmarkEnd w:id="19"/>
            <w:bookmarkEnd w:id="20"/>
            <w:bookmarkStart w:id="21" w:name="博士论文"/>
            <w:bookmarkEnd w:id="21"/>
          </w:p>
          <w:p>
            <w:pPr>
              <w:rPr>
                <w:rFonts w:hint="eastAsia" w:ascii="宋体" w:hAnsi="宋体" w:cs="仿宋"/>
                <w:bCs/>
                <w:sz w:val="20"/>
                <w:szCs w:val="20"/>
              </w:rPr>
            </w:pPr>
            <w:r>
              <w:rPr>
                <w:rFonts w:hint="eastAsia" w:ascii="宋体" w:hAnsi="宋体" w:cs="仿宋"/>
                <w:bCs/>
                <w:sz w:val="20"/>
                <w:szCs w:val="20"/>
              </w:rPr>
              <w:t>收录范围：具有博士学位授予权的博士培养单位的已被授予学位的博士学位论文（涉及国家保密的论文除外）。</w:t>
            </w:r>
          </w:p>
          <w:p>
            <w:pPr>
              <w:rPr>
                <w:rFonts w:hint="eastAsia" w:ascii="宋体" w:hAnsi="宋体" w:cs="仿宋"/>
                <w:bCs/>
                <w:sz w:val="20"/>
                <w:szCs w:val="20"/>
              </w:rPr>
            </w:pPr>
            <w:r>
              <w:rPr>
                <w:rFonts w:hint="eastAsia" w:ascii="宋体" w:hAnsi="宋体" w:cs="仿宋"/>
                <w:bCs/>
                <w:sz w:val="20"/>
                <w:szCs w:val="20"/>
              </w:rPr>
              <w:t>文献总量：收录博士学位论文4</w:t>
            </w:r>
            <w:r>
              <w:rPr>
                <w:rFonts w:ascii="宋体" w:hAnsi="宋体" w:cs="仿宋"/>
                <w:bCs/>
                <w:sz w:val="20"/>
                <w:szCs w:val="20"/>
              </w:rPr>
              <w:t>5.6</w:t>
            </w:r>
            <w:r>
              <w:rPr>
                <w:rFonts w:hint="eastAsia" w:ascii="宋体" w:hAnsi="宋体" w:cs="仿宋"/>
                <w:bCs/>
                <w:sz w:val="20"/>
                <w:szCs w:val="20"/>
              </w:rPr>
              <w:t>万余篇。包括“985工程”院校</w:t>
            </w:r>
            <w:r>
              <w:fldChar w:fldCharType="begin"/>
            </w:r>
            <w:r>
              <w:instrText xml:space="preserve"> HYPERLINK "file:///E:\\qulihua\\培训\\2011年初培训\\学位论文培训\\链接\\独家名单.xls" \t "_parent" </w:instrText>
            </w:r>
            <w:r>
              <w:fldChar w:fldCharType="separate"/>
            </w:r>
            <w:r>
              <w:rPr>
                <w:rStyle w:val="44"/>
                <w:rFonts w:hint="eastAsia" w:ascii="宋体" w:hAnsi="宋体" w:cs="仿宋"/>
                <w:bCs/>
                <w:sz w:val="20"/>
                <w:szCs w:val="20"/>
              </w:rPr>
              <w:t>，</w:t>
            </w:r>
            <w:r>
              <w:rPr>
                <w:rStyle w:val="44"/>
                <w:rFonts w:hint="eastAsia" w:ascii="宋体" w:hAnsi="宋体" w:cs="仿宋"/>
                <w:bCs/>
                <w:sz w:val="20"/>
                <w:szCs w:val="20"/>
              </w:rPr>
              <w:fldChar w:fldCharType="end"/>
            </w:r>
            <w:r>
              <w:fldChar w:fldCharType="begin"/>
            </w:r>
            <w:r>
              <w:instrText xml:space="preserve"> HYPERLINK "file:///E:\\qulihua\\培训\\2011年初培训\\学位论文培训\\链接\\独家名单.xls" \t "_parent" </w:instrText>
            </w:r>
            <w:r>
              <w:fldChar w:fldCharType="separate"/>
            </w:r>
            <w:r>
              <w:rPr>
                <w:rStyle w:val="44"/>
                <w:rFonts w:hint="eastAsia" w:ascii="宋体" w:hAnsi="宋体" w:cs="仿宋"/>
                <w:bCs/>
                <w:sz w:val="20"/>
                <w:szCs w:val="20"/>
              </w:rPr>
              <w:t>“</w:t>
            </w:r>
            <w:r>
              <w:rPr>
                <w:rStyle w:val="44"/>
                <w:rFonts w:hint="eastAsia" w:ascii="宋体" w:hAnsi="宋体" w:cs="仿宋"/>
                <w:bCs/>
                <w:sz w:val="20"/>
                <w:szCs w:val="20"/>
              </w:rPr>
              <w:fldChar w:fldCharType="end"/>
            </w:r>
            <w:r>
              <w:fldChar w:fldCharType="begin"/>
            </w:r>
            <w:r>
              <w:instrText xml:space="preserve"> HYPERLINK "file:///E:\\qulihua\\培训\\2011年初培训\\学位论文培训\\链接\\独家名单.xls" \t "_parent" </w:instrText>
            </w:r>
            <w:r>
              <w:fldChar w:fldCharType="separate"/>
            </w:r>
            <w:r>
              <w:rPr>
                <w:rStyle w:val="44"/>
                <w:rFonts w:hint="eastAsia" w:ascii="宋体" w:hAnsi="宋体" w:cs="仿宋"/>
                <w:bCs/>
                <w:sz w:val="20"/>
                <w:szCs w:val="20"/>
              </w:rPr>
              <w:t>211</w:t>
            </w:r>
            <w:r>
              <w:rPr>
                <w:rStyle w:val="44"/>
                <w:rFonts w:hint="eastAsia" w:ascii="宋体" w:hAnsi="宋体" w:cs="仿宋"/>
                <w:bCs/>
                <w:sz w:val="20"/>
                <w:szCs w:val="20"/>
              </w:rPr>
              <w:fldChar w:fldCharType="end"/>
            </w:r>
            <w:r>
              <w:fldChar w:fldCharType="begin"/>
            </w:r>
            <w:r>
              <w:instrText xml:space="preserve"> HYPERLINK "file:///E:\\qulihua\\培训\\2011年初培训\\学位论文培训\\链接\\独家名单.xls" \t "_parent" </w:instrText>
            </w:r>
            <w:r>
              <w:fldChar w:fldCharType="separate"/>
            </w:r>
            <w:r>
              <w:rPr>
                <w:rStyle w:val="44"/>
                <w:rFonts w:hint="eastAsia" w:ascii="宋体" w:hAnsi="宋体" w:cs="仿宋"/>
                <w:bCs/>
                <w:sz w:val="20"/>
                <w:szCs w:val="20"/>
              </w:rPr>
              <w:t>工程</w:t>
            </w:r>
            <w:r>
              <w:rPr>
                <w:rStyle w:val="44"/>
                <w:rFonts w:hint="eastAsia" w:ascii="宋体" w:hAnsi="宋体" w:cs="仿宋"/>
                <w:bCs/>
                <w:sz w:val="20"/>
                <w:szCs w:val="20"/>
              </w:rPr>
              <w:fldChar w:fldCharType="end"/>
            </w:r>
            <w:r>
              <w:rPr>
                <w:rFonts w:hint="eastAsia" w:ascii="宋体" w:hAnsi="宋体" w:cs="仿宋"/>
                <w:bCs/>
                <w:sz w:val="20"/>
                <w:szCs w:val="20"/>
              </w:rPr>
              <w:t>”</w:t>
            </w:r>
            <w:r>
              <w:fldChar w:fldCharType="begin"/>
            </w:r>
            <w:r>
              <w:instrText xml:space="preserve"> HYPERLINK "file:///E:\\qulihua\\培训\\2011年初培训\\学位论文培训\\链接\\独家名单.xls" \t "_parent" </w:instrText>
            </w:r>
            <w:r>
              <w:fldChar w:fldCharType="separate"/>
            </w:r>
            <w:r>
              <w:rPr>
                <w:rStyle w:val="44"/>
                <w:rFonts w:hint="eastAsia" w:ascii="宋体" w:hAnsi="宋体" w:cs="仿宋"/>
                <w:bCs/>
                <w:sz w:val="20"/>
                <w:szCs w:val="20"/>
              </w:rPr>
              <w:t>院校</w:t>
            </w:r>
            <w:r>
              <w:rPr>
                <w:rStyle w:val="44"/>
                <w:rFonts w:hint="eastAsia" w:ascii="宋体" w:hAnsi="宋体" w:cs="仿宋"/>
                <w:bCs/>
                <w:sz w:val="20"/>
                <w:szCs w:val="20"/>
              </w:rPr>
              <w:fldChar w:fldCharType="end"/>
            </w:r>
            <w:r>
              <w:rPr>
                <w:rFonts w:hint="eastAsia" w:ascii="宋体" w:hAnsi="宋体" w:cs="仿宋"/>
                <w:bCs/>
                <w:sz w:val="20"/>
                <w:szCs w:val="20"/>
              </w:rPr>
              <w:t>。</w:t>
            </w:r>
          </w:p>
          <w:p>
            <w:pPr>
              <w:rPr>
                <w:rFonts w:hint="eastAsia" w:ascii="宋体" w:hAnsi="宋体" w:cs="仿宋"/>
                <w:bCs/>
                <w:sz w:val="20"/>
                <w:szCs w:val="20"/>
              </w:rPr>
            </w:pPr>
            <w:r>
              <w:rPr>
                <w:rFonts w:hint="eastAsia" w:ascii="宋体" w:hAnsi="宋体" w:cs="仿宋"/>
                <w:bCs/>
                <w:sz w:val="20"/>
                <w:szCs w:val="20"/>
              </w:rPr>
              <w:t>收录年限：2000年至今（部分回溯收录至1984年）。</w:t>
            </w:r>
          </w:p>
          <w:p>
            <w:pPr>
              <w:rPr>
                <w:rFonts w:hint="eastAsia" w:ascii="宋体" w:hAnsi="宋体" w:cs="仿宋"/>
                <w:bCs/>
                <w:sz w:val="20"/>
                <w:szCs w:val="20"/>
              </w:rPr>
            </w:pPr>
            <w:r>
              <w:rPr>
                <w:rFonts w:hint="eastAsia" w:ascii="宋体" w:hAnsi="宋体" w:cs="仿宋"/>
                <w:bCs/>
                <w:sz w:val="20"/>
                <w:szCs w:val="20"/>
              </w:rPr>
              <w:t>文献来源完整率：收录470家博士培养单位（涉及国家保密的单位除外）的博士学位论文，占我国博士学位培养单位的99％。985、211院校学位论文覆盖率达到100%。</w:t>
            </w:r>
          </w:p>
          <w:p>
            <w:pPr>
              <w:rPr>
                <w:rFonts w:hint="eastAsia" w:ascii="宋体" w:hAnsi="宋体" w:cs="仿宋"/>
                <w:bCs/>
                <w:sz w:val="20"/>
                <w:szCs w:val="20"/>
              </w:rPr>
            </w:pPr>
            <w:r>
              <w:rPr>
                <w:rFonts w:hint="eastAsia" w:ascii="宋体" w:hAnsi="宋体" w:cs="仿宋"/>
                <w:bCs/>
                <w:sz w:val="20"/>
                <w:szCs w:val="20"/>
              </w:rPr>
              <w:t>导航体系：学科专业导航、学位授予单位导航、地域导航，学科导航。</w:t>
            </w:r>
          </w:p>
          <w:p>
            <w:pPr>
              <w:rPr>
                <w:rFonts w:hint="eastAsia" w:ascii="宋体" w:hAnsi="宋体" w:cs="仿宋"/>
                <w:bCs/>
                <w:sz w:val="20"/>
                <w:szCs w:val="20"/>
              </w:rPr>
            </w:pPr>
            <w:r>
              <w:rPr>
                <w:rFonts w:hint="eastAsia" w:ascii="宋体" w:hAnsi="宋体" w:cs="仿宋"/>
                <w:bCs/>
                <w:sz w:val="20"/>
                <w:szCs w:val="20"/>
              </w:rPr>
              <w:t>检索字段：主题、篇关摘、题名、关键词、摘要、作者、作者单位、学位授予单位、导师、第一导师、全文、参考文献、优秀论文级别、学科专业名称、目录、中图分类号、学位年度、更新时间、支持基金、DOI。</w:t>
            </w:r>
          </w:p>
          <w:p>
            <w:pPr>
              <w:rPr>
                <w:rFonts w:hint="eastAsia" w:ascii="宋体" w:hAnsi="宋体" w:cs="仿宋"/>
                <w:bCs/>
                <w:sz w:val="20"/>
                <w:szCs w:val="20"/>
              </w:rPr>
            </w:pPr>
            <w:r>
              <w:rPr>
                <w:rFonts w:hint="eastAsia" w:ascii="宋体" w:hAnsi="宋体" w:cs="仿宋"/>
                <w:bCs/>
                <w:sz w:val="20"/>
                <w:szCs w:val="20"/>
              </w:rPr>
              <w:t>下载方式： 整本下载、分页下载、分章下载、在线阅读。</w:t>
            </w:r>
          </w:p>
          <w:p>
            <w:pPr>
              <w:rPr>
                <w:rFonts w:ascii="宋体" w:hAnsi="宋体" w:cs="仿宋"/>
                <w:b/>
                <w:bCs/>
                <w:sz w:val="20"/>
                <w:szCs w:val="20"/>
              </w:rPr>
            </w:pPr>
            <w:bookmarkStart w:id="22" w:name="_Toc445798368"/>
            <w:bookmarkStart w:id="23" w:name="_Toc443740165"/>
            <w:bookmarkStart w:id="24" w:name="_Toc445110663"/>
            <w:bookmarkStart w:id="25" w:name="_Toc474769662"/>
            <w:bookmarkStart w:id="26" w:name="_Toc25328"/>
            <w:bookmarkStart w:id="27" w:name="_Toc4657686"/>
            <w:r>
              <w:rPr>
                <w:rFonts w:hint="eastAsia" w:ascii="宋体" w:hAnsi="宋体" w:cs="仿宋"/>
                <w:b/>
                <w:bCs/>
                <w:sz w:val="20"/>
                <w:szCs w:val="20"/>
              </w:rPr>
              <w:t>3.中国优秀硕士学位论文全文数据库</w:t>
            </w:r>
            <w:bookmarkEnd w:id="22"/>
            <w:bookmarkEnd w:id="23"/>
            <w:bookmarkEnd w:id="24"/>
            <w:bookmarkEnd w:id="25"/>
            <w:bookmarkEnd w:id="26"/>
            <w:bookmarkEnd w:id="27"/>
            <w:bookmarkStart w:id="28" w:name="硕士论文"/>
            <w:bookmarkEnd w:id="28"/>
          </w:p>
          <w:p>
            <w:pPr>
              <w:rPr>
                <w:rFonts w:hint="eastAsia" w:ascii="宋体" w:hAnsi="宋体" w:cs="仿宋"/>
                <w:bCs/>
                <w:sz w:val="20"/>
                <w:szCs w:val="20"/>
              </w:rPr>
            </w:pPr>
            <w:r>
              <w:rPr>
                <w:rFonts w:hint="eastAsia" w:ascii="宋体" w:hAnsi="宋体" w:cs="仿宋"/>
                <w:bCs/>
                <w:sz w:val="20"/>
                <w:szCs w:val="20"/>
              </w:rPr>
              <w:t>收录范围：具有博士学位授予权单位的硕士学位论文以及全国无博士学位授予权单位的优秀硕士学位论文。</w:t>
            </w:r>
          </w:p>
          <w:p>
            <w:pPr>
              <w:rPr>
                <w:rFonts w:hint="eastAsia" w:ascii="宋体" w:hAnsi="宋体" w:cs="仿宋"/>
                <w:bCs/>
                <w:sz w:val="20"/>
                <w:szCs w:val="20"/>
              </w:rPr>
            </w:pPr>
            <w:r>
              <w:rPr>
                <w:rFonts w:hint="eastAsia" w:ascii="宋体" w:hAnsi="宋体" w:cs="仿宋"/>
                <w:bCs/>
                <w:sz w:val="20"/>
                <w:szCs w:val="20"/>
              </w:rPr>
              <w:t>文献总量：收录硕士学位论文</w:t>
            </w:r>
            <w:r>
              <w:rPr>
                <w:rFonts w:ascii="宋体" w:hAnsi="宋体" w:cs="仿宋"/>
                <w:bCs/>
                <w:sz w:val="20"/>
                <w:szCs w:val="20"/>
              </w:rPr>
              <w:t>451.18</w:t>
            </w:r>
            <w:r>
              <w:rPr>
                <w:rFonts w:hint="eastAsia" w:ascii="宋体" w:hAnsi="宋体" w:cs="仿宋"/>
                <w:bCs/>
                <w:sz w:val="20"/>
                <w:szCs w:val="20"/>
              </w:rPr>
              <w:t>万篇。包括“985工程”院校12家</w:t>
            </w:r>
            <w:r>
              <w:fldChar w:fldCharType="begin"/>
            </w:r>
            <w:r>
              <w:instrText xml:space="preserve"> HYPERLINK "file:///E:\\qlh\\AppData\\Local\\Microsoft\\Windows\\Temporary%20Internet%20Files\\qulihua\\培训\\2011年初培训\\学位论文培训\\链接\\独家名单.xls" \t "_parent" </w:instrText>
            </w:r>
            <w:r>
              <w:fldChar w:fldCharType="separate"/>
            </w:r>
            <w:r>
              <w:rPr>
                <w:rStyle w:val="44"/>
                <w:rFonts w:hint="eastAsia" w:ascii="宋体" w:hAnsi="宋体" w:cs="仿宋"/>
                <w:bCs/>
                <w:sz w:val="20"/>
                <w:szCs w:val="20"/>
              </w:rPr>
              <w:t>，</w:t>
            </w:r>
            <w:r>
              <w:rPr>
                <w:rStyle w:val="44"/>
                <w:rFonts w:hint="eastAsia" w:ascii="宋体" w:hAnsi="宋体" w:cs="仿宋"/>
                <w:bCs/>
                <w:sz w:val="20"/>
                <w:szCs w:val="20"/>
              </w:rPr>
              <w:fldChar w:fldCharType="end"/>
            </w:r>
            <w:r>
              <w:fldChar w:fldCharType="begin"/>
            </w:r>
            <w:r>
              <w:instrText xml:space="preserve"> HYPERLINK "file:///E:\\qlh\\AppData\\Local\\Microsoft\\Windows\\Temporary%20Internet%20Files\\qulihua\\培训\\2011年初培训\\学位论文培训\\链接\\独家名单.xls" \t "_parent" </w:instrText>
            </w:r>
            <w:r>
              <w:fldChar w:fldCharType="separate"/>
            </w:r>
            <w:r>
              <w:rPr>
                <w:rStyle w:val="44"/>
                <w:rFonts w:hint="eastAsia" w:ascii="宋体" w:hAnsi="宋体" w:cs="仿宋"/>
                <w:bCs/>
                <w:sz w:val="20"/>
                <w:szCs w:val="20"/>
              </w:rPr>
              <w:t>“</w:t>
            </w:r>
            <w:r>
              <w:rPr>
                <w:rStyle w:val="44"/>
                <w:rFonts w:hint="eastAsia" w:ascii="宋体" w:hAnsi="宋体" w:cs="仿宋"/>
                <w:bCs/>
                <w:sz w:val="20"/>
                <w:szCs w:val="20"/>
              </w:rPr>
              <w:fldChar w:fldCharType="end"/>
            </w:r>
            <w:r>
              <w:fldChar w:fldCharType="begin"/>
            </w:r>
            <w:r>
              <w:instrText xml:space="preserve"> HYPERLINK "file:///E:\\qlh\\AppData\\Local\\Microsoft\\Windows\\Temporary%20Internet%20Files\\qulihua\\培训\\2011年初培训\\学位论文培训\\链接\\独家名单.xls" \t "_parent" </w:instrText>
            </w:r>
            <w:r>
              <w:fldChar w:fldCharType="separate"/>
            </w:r>
            <w:r>
              <w:rPr>
                <w:rStyle w:val="44"/>
                <w:rFonts w:hint="eastAsia" w:ascii="宋体" w:hAnsi="宋体" w:cs="仿宋"/>
                <w:bCs/>
                <w:sz w:val="20"/>
                <w:szCs w:val="20"/>
              </w:rPr>
              <w:t>211</w:t>
            </w:r>
            <w:r>
              <w:rPr>
                <w:rStyle w:val="44"/>
                <w:rFonts w:hint="eastAsia" w:ascii="宋体" w:hAnsi="宋体" w:cs="仿宋"/>
                <w:bCs/>
                <w:sz w:val="20"/>
                <w:szCs w:val="20"/>
              </w:rPr>
              <w:fldChar w:fldCharType="end"/>
            </w:r>
            <w:r>
              <w:fldChar w:fldCharType="begin"/>
            </w:r>
            <w:r>
              <w:instrText xml:space="preserve"> HYPERLINK "file:///E:\\qlh\\AppData\\Local\\Microsoft\\Windows\\Temporary%20Internet%20Files\\qulihua\\培训\\2011年初培训\\学位论文培训\\链接\\独家名单.xls" \t "_parent" </w:instrText>
            </w:r>
            <w:r>
              <w:fldChar w:fldCharType="separate"/>
            </w:r>
            <w:r>
              <w:rPr>
                <w:rStyle w:val="44"/>
                <w:rFonts w:hint="eastAsia" w:ascii="宋体" w:hAnsi="宋体" w:cs="仿宋"/>
                <w:bCs/>
                <w:sz w:val="20"/>
                <w:szCs w:val="20"/>
              </w:rPr>
              <w:t>工程</w:t>
            </w:r>
            <w:r>
              <w:rPr>
                <w:rStyle w:val="44"/>
                <w:rFonts w:hint="eastAsia" w:ascii="宋体" w:hAnsi="宋体" w:cs="仿宋"/>
                <w:bCs/>
                <w:sz w:val="20"/>
                <w:szCs w:val="20"/>
              </w:rPr>
              <w:fldChar w:fldCharType="end"/>
            </w:r>
            <w:r>
              <w:rPr>
                <w:rFonts w:hint="eastAsia" w:ascii="宋体" w:hAnsi="宋体" w:cs="仿宋"/>
                <w:bCs/>
                <w:sz w:val="20"/>
                <w:szCs w:val="20"/>
              </w:rPr>
              <w:t>”</w:t>
            </w:r>
            <w:r>
              <w:fldChar w:fldCharType="begin"/>
            </w:r>
            <w:r>
              <w:instrText xml:space="preserve"> HYPERLINK "file:///E:\\qlh\\AppData\\Local\\Microsoft\\Windows\\Temporary%20Internet%20Files\\qulihua\\培训\\2011年初培训\\学位论文培训\\链接\\独家名单.xls" \t "_parent" </w:instrText>
            </w:r>
            <w:r>
              <w:fldChar w:fldCharType="separate"/>
            </w:r>
            <w:r>
              <w:rPr>
                <w:rStyle w:val="44"/>
                <w:rFonts w:hint="eastAsia" w:ascii="宋体" w:hAnsi="宋体" w:cs="仿宋"/>
                <w:bCs/>
                <w:sz w:val="20"/>
                <w:szCs w:val="20"/>
              </w:rPr>
              <w:t>院校38家</w:t>
            </w:r>
            <w:r>
              <w:rPr>
                <w:rStyle w:val="44"/>
                <w:rFonts w:hint="eastAsia" w:ascii="宋体" w:hAnsi="宋体" w:cs="仿宋"/>
                <w:bCs/>
                <w:sz w:val="20"/>
                <w:szCs w:val="20"/>
              </w:rPr>
              <w:fldChar w:fldCharType="end"/>
            </w:r>
            <w:r>
              <w:rPr>
                <w:rFonts w:hint="eastAsia" w:ascii="宋体" w:hAnsi="宋体" w:cs="仿宋"/>
                <w:bCs/>
                <w:sz w:val="20"/>
                <w:szCs w:val="20"/>
              </w:rPr>
              <w:t>。</w:t>
            </w:r>
          </w:p>
          <w:p>
            <w:pPr>
              <w:rPr>
                <w:rFonts w:hint="eastAsia" w:ascii="宋体" w:hAnsi="宋体" w:cs="仿宋"/>
                <w:bCs/>
                <w:sz w:val="20"/>
                <w:szCs w:val="20"/>
              </w:rPr>
            </w:pPr>
            <w:r>
              <w:rPr>
                <w:rFonts w:hint="eastAsia" w:ascii="宋体" w:hAnsi="宋体" w:cs="仿宋"/>
                <w:bCs/>
                <w:sz w:val="20"/>
                <w:szCs w:val="20"/>
              </w:rPr>
              <w:t>文献来源完整率：收录753家硕士培养单位（涉及国家保密的单位除外）的硕士学位论文。985、211院校学位论文覆盖率达到100%。</w:t>
            </w:r>
          </w:p>
          <w:p>
            <w:pPr>
              <w:rPr>
                <w:rFonts w:hint="eastAsia" w:ascii="宋体" w:hAnsi="宋体" w:cs="仿宋"/>
                <w:bCs/>
                <w:sz w:val="20"/>
                <w:szCs w:val="20"/>
              </w:rPr>
            </w:pPr>
            <w:r>
              <w:rPr>
                <w:rFonts w:hint="eastAsia" w:ascii="宋体" w:hAnsi="宋体" w:cs="仿宋"/>
                <w:bCs/>
                <w:sz w:val="20"/>
                <w:szCs w:val="20"/>
              </w:rPr>
              <w:t>收录年限：2000年至今（部分回溯收录至1984年）。</w:t>
            </w:r>
          </w:p>
          <w:p>
            <w:pPr>
              <w:rPr>
                <w:rFonts w:hint="eastAsia" w:ascii="宋体" w:hAnsi="宋体" w:cs="仿宋"/>
                <w:bCs/>
                <w:sz w:val="20"/>
                <w:szCs w:val="20"/>
              </w:rPr>
            </w:pPr>
            <w:r>
              <w:rPr>
                <w:rFonts w:hint="eastAsia" w:ascii="宋体" w:hAnsi="宋体" w:cs="仿宋"/>
                <w:bCs/>
                <w:sz w:val="20"/>
                <w:szCs w:val="20"/>
              </w:rPr>
              <w:t>下载方式：整本下载、分页下载、分章下载、在线阅读。</w:t>
            </w:r>
          </w:p>
          <w:p>
            <w:pPr>
              <w:rPr>
                <w:rFonts w:ascii="宋体" w:hAnsi="宋体" w:cs="仿宋"/>
                <w:b/>
                <w:bCs/>
                <w:sz w:val="20"/>
                <w:szCs w:val="20"/>
              </w:rPr>
            </w:pPr>
            <w:bookmarkStart w:id="29" w:name="_Toc508005974"/>
            <w:bookmarkStart w:id="30" w:name="_Toc4657687"/>
            <w:bookmarkStart w:id="31" w:name="_Toc474769663"/>
            <w:bookmarkStart w:id="32" w:name="_Toc8371"/>
            <w:r>
              <w:rPr>
                <w:rFonts w:hint="eastAsia" w:ascii="宋体" w:hAnsi="宋体" w:cs="仿宋"/>
                <w:b/>
                <w:bCs/>
                <w:sz w:val="20"/>
                <w:szCs w:val="20"/>
              </w:rPr>
              <w:t>4.国际会议论文全文数据库</w:t>
            </w:r>
            <w:bookmarkEnd w:id="29"/>
            <w:bookmarkEnd w:id="30"/>
            <w:bookmarkEnd w:id="31"/>
            <w:bookmarkEnd w:id="32"/>
            <w:bookmarkStart w:id="33" w:name="国际会议论文"/>
            <w:bookmarkEnd w:id="33"/>
          </w:p>
          <w:p>
            <w:pPr>
              <w:rPr>
                <w:rFonts w:hint="eastAsia" w:ascii="宋体" w:hAnsi="宋体" w:cs="仿宋"/>
                <w:bCs/>
                <w:sz w:val="20"/>
                <w:szCs w:val="20"/>
              </w:rPr>
            </w:pPr>
            <w:r>
              <w:rPr>
                <w:rFonts w:hint="eastAsia" w:ascii="宋体" w:hAnsi="宋体" w:cs="仿宋"/>
                <w:bCs/>
                <w:sz w:val="20"/>
                <w:szCs w:val="20"/>
              </w:rPr>
              <w:t>文献来源：国际组织在中国境内外主办的学术性会议。高校重点实验室、研究中心及院系主办的国际会议。全国学会及其分会、专业委员会主办的国际会议。</w:t>
            </w:r>
          </w:p>
          <w:p>
            <w:pPr>
              <w:rPr>
                <w:rFonts w:hint="eastAsia" w:ascii="宋体" w:hAnsi="宋体" w:cs="仿宋"/>
                <w:bCs/>
                <w:sz w:val="20"/>
                <w:szCs w:val="20"/>
              </w:rPr>
            </w:pPr>
            <w:r>
              <w:rPr>
                <w:rFonts w:hint="eastAsia" w:ascii="宋体" w:hAnsi="宋体" w:cs="仿宋"/>
                <w:bCs/>
                <w:sz w:val="20"/>
                <w:szCs w:val="20"/>
              </w:rPr>
              <w:t>知识关联：通过跨库检索、知网节功能与其他文献结合，实现与不同类型文献重新整合。</w:t>
            </w:r>
          </w:p>
          <w:p>
            <w:pPr>
              <w:rPr>
                <w:rFonts w:hint="eastAsia" w:ascii="宋体" w:hAnsi="宋体" w:cs="仿宋"/>
                <w:bCs/>
                <w:sz w:val="20"/>
                <w:szCs w:val="20"/>
              </w:rPr>
            </w:pPr>
            <w:r>
              <w:rPr>
                <w:rFonts w:hint="eastAsia" w:ascii="宋体" w:hAnsi="宋体" w:cs="仿宋"/>
                <w:bCs/>
                <w:sz w:val="20"/>
                <w:szCs w:val="20"/>
              </w:rPr>
              <w:t>出版授权：签定会议论文出版授权协议书，取得会议主办方或汇编方及论文作者出版授权。</w:t>
            </w:r>
          </w:p>
          <w:p>
            <w:pPr>
              <w:rPr>
                <w:rFonts w:hint="eastAsia" w:ascii="宋体" w:hAnsi="宋体" w:cs="仿宋"/>
                <w:bCs/>
                <w:sz w:val="20"/>
                <w:szCs w:val="20"/>
              </w:rPr>
            </w:pPr>
            <w:r>
              <w:rPr>
                <w:rFonts w:hint="eastAsia" w:ascii="宋体" w:hAnsi="宋体" w:cs="仿宋"/>
                <w:bCs/>
                <w:sz w:val="20"/>
                <w:szCs w:val="20"/>
              </w:rPr>
              <w:t>收录范围：收录了由国内外3500余家授权单位推荐的9600多次国际学术会议的论文。</w:t>
            </w:r>
          </w:p>
          <w:p>
            <w:pPr>
              <w:rPr>
                <w:rFonts w:hint="eastAsia" w:ascii="宋体" w:hAnsi="宋体" w:cs="仿宋"/>
                <w:bCs/>
                <w:sz w:val="20"/>
                <w:szCs w:val="20"/>
              </w:rPr>
            </w:pPr>
            <w:r>
              <w:rPr>
                <w:rFonts w:hint="eastAsia" w:ascii="宋体" w:hAnsi="宋体" w:cs="仿宋"/>
                <w:bCs/>
                <w:sz w:val="20"/>
                <w:szCs w:val="20"/>
              </w:rPr>
              <w:t>文献总量：截至202</w:t>
            </w:r>
            <w:r>
              <w:rPr>
                <w:rFonts w:ascii="宋体" w:hAnsi="宋体" w:cs="仿宋"/>
                <w:bCs/>
                <w:sz w:val="20"/>
                <w:szCs w:val="20"/>
              </w:rPr>
              <w:t>1</w:t>
            </w:r>
            <w:r>
              <w:rPr>
                <w:rFonts w:hint="eastAsia" w:ascii="宋体" w:hAnsi="宋体" w:cs="仿宋"/>
                <w:bCs/>
                <w:sz w:val="20"/>
                <w:szCs w:val="20"/>
              </w:rPr>
              <w:t>年3月末收录国际会议论文86万余篇。</w:t>
            </w:r>
          </w:p>
          <w:p>
            <w:pPr>
              <w:rPr>
                <w:rFonts w:hint="eastAsia" w:ascii="宋体" w:hAnsi="宋体" w:cs="仿宋"/>
                <w:bCs/>
                <w:sz w:val="20"/>
                <w:szCs w:val="20"/>
              </w:rPr>
            </w:pPr>
            <w:r>
              <w:rPr>
                <w:rFonts w:hint="eastAsia" w:ascii="宋体" w:hAnsi="宋体" w:cs="仿宋"/>
                <w:bCs/>
                <w:sz w:val="20"/>
                <w:szCs w:val="20"/>
              </w:rPr>
              <w:t>收录年限：1981年至今。</w:t>
            </w:r>
          </w:p>
          <w:p>
            <w:pPr>
              <w:rPr>
                <w:rFonts w:hint="eastAsia" w:ascii="宋体" w:hAnsi="宋体" w:cs="仿宋"/>
                <w:bCs/>
                <w:sz w:val="20"/>
                <w:szCs w:val="20"/>
              </w:rPr>
            </w:pPr>
            <w:r>
              <w:rPr>
                <w:rFonts w:hint="eastAsia" w:ascii="宋体" w:hAnsi="宋体" w:cs="仿宋"/>
                <w:bCs/>
                <w:sz w:val="20"/>
                <w:szCs w:val="20"/>
              </w:rPr>
              <w:t>收录完整率：国内机构主办的国际会议收录完整率达80%。</w:t>
            </w:r>
          </w:p>
          <w:p>
            <w:pPr>
              <w:rPr>
                <w:rFonts w:hint="eastAsia" w:ascii="宋体" w:hAnsi="宋体" w:cs="仿宋"/>
                <w:bCs/>
                <w:sz w:val="20"/>
                <w:szCs w:val="20"/>
              </w:rPr>
            </w:pPr>
            <w:r>
              <w:rPr>
                <w:rFonts w:hint="eastAsia" w:ascii="宋体" w:hAnsi="宋体" w:cs="仿宋"/>
                <w:bCs/>
                <w:sz w:val="20"/>
                <w:szCs w:val="20"/>
              </w:rPr>
              <w:t>导航体系：学科导航、会议导航、论文集导航、主办单位导航、视频集导航。</w:t>
            </w:r>
          </w:p>
          <w:p>
            <w:pPr>
              <w:rPr>
                <w:rFonts w:ascii="宋体" w:hAnsi="宋体" w:cs="仿宋"/>
                <w:bCs/>
                <w:sz w:val="20"/>
                <w:szCs w:val="20"/>
              </w:rPr>
            </w:pPr>
            <w:bookmarkStart w:id="34" w:name="_Toc446315148"/>
            <w:bookmarkStart w:id="35" w:name="_Toc443740167"/>
            <w:bookmarkStart w:id="36" w:name="_Toc23733"/>
            <w:bookmarkStart w:id="37" w:name="_Toc474769664"/>
            <w:bookmarkStart w:id="38" w:name="_Toc4657688"/>
            <w:r>
              <w:rPr>
                <w:rFonts w:hint="eastAsia" w:ascii="宋体" w:hAnsi="宋体" w:cs="仿宋"/>
                <w:bCs/>
                <w:sz w:val="20"/>
                <w:szCs w:val="20"/>
              </w:rPr>
              <w:t>【中国重要会议论文全文数据库（</w:t>
            </w:r>
            <w:r>
              <w:rPr>
                <w:rFonts w:ascii="宋体" w:hAnsi="宋体" w:cs="仿宋"/>
                <w:bCs/>
                <w:sz w:val="20"/>
                <w:szCs w:val="20"/>
              </w:rPr>
              <w:t>CPCD</w:t>
            </w:r>
            <w:r>
              <w:rPr>
                <w:rFonts w:hint="eastAsia" w:ascii="宋体" w:hAnsi="宋体" w:cs="仿宋"/>
                <w:bCs/>
                <w:sz w:val="20"/>
                <w:szCs w:val="20"/>
              </w:rPr>
              <w:t>）】</w:t>
            </w:r>
            <w:bookmarkEnd w:id="34"/>
            <w:bookmarkEnd w:id="35"/>
            <w:bookmarkEnd w:id="36"/>
            <w:bookmarkEnd w:id="37"/>
            <w:bookmarkEnd w:id="38"/>
            <w:bookmarkStart w:id="39" w:name="中国重要会议论文"/>
            <w:bookmarkEnd w:id="39"/>
          </w:p>
          <w:p>
            <w:pPr>
              <w:rPr>
                <w:rFonts w:hint="eastAsia" w:ascii="宋体" w:hAnsi="宋体" w:cs="仿宋"/>
                <w:bCs/>
                <w:sz w:val="20"/>
                <w:szCs w:val="20"/>
              </w:rPr>
            </w:pPr>
            <w:r>
              <w:rPr>
                <w:rFonts w:hint="eastAsia" w:ascii="宋体" w:hAnsi="宋体" w:cs="仿宋"/>
                <w:bCs/>
                <w:sz w:val="20"/>
                <w:szCs w:val="20"/>
              </w:rPr>
              <w:t>文献来源： 高校重点实验室、研究中心及院系主办的学术会议。</w:t>
            </w:r>
          </w:p>
          <w:p>
            <w:pPr>
              <w:rPr>
                <w:rFonts w:hint="eastAsia" w:ascii="宋体" w:hAnsi="宋体" w:cs="仿宋"/>
                <w:bCs/>
                <w:sz w:val="20"/>
                <w:szCs w:val="20"/>
              </w:rPr>
            </w:pPr>
            <w:r>
              <w:rPr>
                <w:rFonts w:hint="eastAsia" w:ascii="宋体" w:hAnsi="宋体" w:cs="仿宋"/>
                <w:bCs/>
                <w:sz w:val="20"/>
                <w:szCs w:val="20"/>
              </w:rPr>
              <w:t>全国性学会及其分会、专业委员会主办的学术会议或论文评选。</w:t>
            </w:r>
          </w:p>
          <w:p>
            <w:pPr>
              <w:rPr>
                <w:rFonts w:hint="eastAsia" w:ascii="宋体" w:hAnsi="宋体" w:cs="仿宋"/>
                <w:bCs/>
                <w:sz w:val="20"/>
                <w:szCs w:val="20"/>
              </w:rPr>
            </w:pPr>
            <w:r>
              <w:rPr>
                <w:rFonts w:hint="eastAsia" w:ascii="宋体" w:hAnsi="宋体" w:cs="仿宋"/>
                <w:bCs/>
                <w:sz w:val="20"/>
                <w:szCs w:val="20"/>
              </w:rPr>
              <w:t>全国性行业协会及其分会主办的行业活动或发布的行业报告。</w:t>
            </w:r>
          </w:p>
          <w:p>
            <w:pPr>
              <w:rPr>
                <w:rFonts w:hint="eastAsia" w:ascii="宋体" w:hAnsi="宋体" w:cs="仿宋"/>
                <w:bCs/>
                <w:sz w:val="20"/>
                <w:szCs w:val="20"/>
              </w:rPr>
            </w:pPr>
            <w:r>
              <w:rPr>
                <w:rFonts w:hint="eastAsia" w:ascii="宋体" w:hAnsi="宋体" w:cs="仿宋"/>
                <w:bCs/>
                <w:sz w:val="20"/>
                <w:szCs w:val="20"/>
              </w:rPr>
              <w:t>地方性学会/协会主办的特色会议（选择性收录）。</w:t>
            </w:r>
          </w:p>
          <w:p>
            <w:pPr>
              <w:rPr>
                <w:rFonts w:hint="eastAsia" w:ascii="宋体" w:hAnsi="宋体" w:cs="仿宋"/>
                <w:bCs/>
                <w:sz w:val="20"/>
                <w:szCs w:val="20"/>
              </w:rPr>
            </w:pPr>
            <w:r>
              <w:rPr>
                <w:rFonts w:hint="eastAsia" w:ascii="宋体" w:hAnsi="宋体" w:cs="仿宋"/>
                <w:bCs/>
                <w:sz w:val="20"/>
                <w:szCs w:val="20"/>
              </w:rPr>
              <w:t>出版特点 系列化：学术组织举办的重要会议具有固定的周期且连续性召开的特点，系列化出版完整体现了该学科领域不同阶段的热点问题，同时便于读者进行追溯研究。到目前为止，60% 的重要会议文献已实现系列化收录，可以为读者提供完整的系列化调研资料。</w:t>
            </w:r>
          </w:p>
          <w:p>
            <w:pPr>
              <w:rPr>
                <w:rFonts w:hint="eastAsia" w:ascii="宋体" w:hAnsi="宋体" w:cs="仿宋"/>
                <w:bCs/>
                <w:sz w:val="20"/>
                <w:szCs w:val="20"/>
              </w:rPr>
            </w:pPr>
            <w:r>
              <w:rPr>
                <w:rFonts w:hint="eastAsia" w:ascii="宋体" w:hAnsi="宋体" w:cs="仿宋"/>
                <w:bCs/>
                <w:sz w:val="20"/>
                <w:szCs w:val="20"/>
              </w:rPr>
              <w:t>收录范围 ： 收录了由国内外近4000家授权单位推荐的 29000多个国内重要学术会议的论文，收录完整率达85％以上。</w:t>
            </w:r>
          </w:p>
          <w:p>
            <w:pPr>
              <w:rPr>
                <w:rFonts w:ascii="宋体" w:hAnsi="宋体" w:cs="仿宋"/>
                <w:bCs/>
                <w:sz w:val="20"/>
                <w:szCs w:val="20"/>
              </w:rPr>
            </w:pPr>
            <w:r>
              <w:rPr>
                <w:rFonts w:hint="eastAsia" w:ascii="宋体" w:hAnsi="宋体" w:cs="仿宋"/>
                <w:bCs/>
                <w:sz w:val="20"/>
                <w:szCs w:val="20"/>
              </w:rPr>
              <w:t>文献总量： 截至202</w:t>
            </w:r>
            <w:r>
              <w:rPr>
                <w:rFonts w:ascii="宋体" w:hAnsi="宋体" w:cs="仿宋"/>
                <w:bCs/>
                <w:sz w:val="20"/>
                <w:szCs w:val="20"/>
              </w:rPr>
              <w:t>1</w:t>
            </w:r>
            <w:r>
              <w:rPr>
                <w:rFonts w:hint="eastAsia" w:ascii="宋体" w:hAnsi="宋体" w:cs="仿宋"/>
                <w:bCs/>
                <w:sz w:val="20"/>
                <w:szCs w:val="20"/>
              </w:rPr>
              <w:t>年3月末收录论文247万余篇。</w:t>
            </w:r>
          </w:p>
          <w:p>
            <w:pPr>
              <w:rPr>
                <w:rFonts w:hint="eastAsia" w:ascii="宋体" w:hAnsi="宋体" w:cs="仿宋"/>
                <w:bCs/>
                <w:sz w:val="20"/>
                <w:szCs w:val="20"/>
              </w:rPr>
            </w:pPr>
            <w:r>
              <w:rPr>
                <w:rFonts w:hint="eastAsia" w:ascii="宋体" w:hAnsi="宋体" w:cs="仿宋"/>
                <w:bCs/>
                <w:sz w:val="20"/>
                <w:szCs w:val="20"/>
              </w:rPr>
              <w:t>收录年限：1953年至今。</w:t>
            </w:r>
          </w:p>
          <w:p>
            <w:pPr>
              <w:rPr>
                <w:rFonts w:hint="eastAsia" w:ascii="宋体" w:hAnsi="宋体" w:cs="仿宋"/>
                <w:bCs/>
                <w:sz w:val="20"/>
                <w:szCs w:val="20"/>
              </w:rPr>
            </w:pPr>
            <w:r>
              <w:rPr>
                <w:rFonts w:hint="eastAsia" w:ascii="宋体" w:hAnsi="宋体" w:cs="仿宋"/>
                <w:bCs/>
                <w:sz w:val="20"/>
                <w:szCs w:val="20"/>
              </w:rPr>
              <w:t>收录完整率：国家一级学会、协会召开的会议产出的论文收全率占95%以上。</w:t>
            </w:r>
          </w:p>
          <w:p>
            <w:pPr>
              <w:rPr>
                <w:rFonts w:ascii="宋体" w:hAnsi="宋体" w:cs="仿宋"/>
                <w:b/>
                <w:bCs/>
                <w:sz w:val="20"/>
                <w:szCs w:val="20"/>
              </w:rPr>
            </w:pPr>
            <w:bookmarkStart w:id="40" w:name="_Toc31434"/>
            <w:bookmarkStart w:id="41" w:name="_Toc3192959"/>
            <w:r>
              <w:rPr>
                <w:rFonts w:hint="eastAsia" w:ascii="宋体" w:hAnsi="宋体" w:cs="仿宋"/>
                <w:b/>
                <w:bCs/>
                <w:sz w:val="20"/>
                <w:szCs w:val="20"/>
              </w:rPr>
              <w:t>5.中国重要报纸全文数据库</w:t>
            </w:r>
            <w:bookmarkEnd w:id="40"/>
            <w:bookmarkEnd w:id="41"/>
          </w:p>
          <w:p>
            <w:pPr>
              <w:rPr>
                <w:rFonts w:hint="eastAsia" w:ascii="宋体" w:hAnsi="宋体" w:cs="仿宋"/>
                <w:bCs/>
                <w:sz w:val="20"/>
                <w:szCs w:val="20"/>
              </w:rPr>
            </w:pPr>
            <w:r>
              <w:rPr>
                <w:rFonts w:hint="eastAsia" w:ascii="宋体" w:hAnsi="宋体" w:cs="仿宋"/>
                <w:bCs/>
                <w:sz w:val="20"/>
                <w:szCs w:val="20"/>
              </w:rPr>
              <w:t>收录范围：中央级各类报纸，各省、自治区、直辖市及其他地市级城市党报，以及面向全国公开发行的具有一定影响力的特色重要行业性报纸。</w:t>
            </w:r>
          </w:p>
          <w:p>
            <w:pPr>
              <w:rPr>
                <w:rFonts w:hint="eastAsia" w:ascii="宋体" w:hAnsi="宋体" w:cs="仿宋"/>
                <w:bCs/>
                <w:sz w:val="20"/>
                <w:szCs w:val="20"/>
              </w:rPr>
            </w:pPr>
            <w:r>
              <w:rPr>
                <w:rFonts w:hint="eastAsia" w:ascii="宋体" w:hAnsi="宋体" w:cs="仿宋"/>
                <w:bCs/>
                <w:sz w:val="20"/>
                <w:szCs w:val="20"/>
              </w:rPr>
              <w:t>文献总量：202</w:t>
            </w:r>
            <w:r>
              <w:rPr>
                <w:rFonts w:ascii="宋体" w:hAnsi="宋体" w:cs="仿宋"/>
                <w:bCs/>
                <w:sz w:val="20"/>
                <w:szCs w:val="20"/>
              </w:rPr>
              <w:t>1</w:t>
            </w:r>
            <w:r>
              <w:rPr>
                <w:rFonts w:hint="eastAsia" w:ascii="宋体" w:hAnsi="宋体" w:cs="仿宋"/>
                <w:bCs/>
                <w:sz w:val="20"/>
                <w:szCs w:val="20"/>
              </w:rPr>
              <w:t>年度共收录各级党报及特色行业报等重要报纸500余种；出版文献约100万篇，出版文献总量达1800余万篇。</w:t>
            </w:r>
          </w:p>
          <w:p>
            <w:pPr>
              <w:rPr>
                <w:rFonts w:hint="eastAsia" w:ascii="宋体" w:hAnsi="宋体" w:cs="仿宋"/>
                <w:bCs/>
                <w:sz w:val="20"/>
                <w:szCs w:val="20"/>
              </w:rPr>
            </w:pPr>
            <w:r>
              <w:rPr>
                <w:rFonts w:hint="eastAsia" w:ascii="宋体" w:hAnsi="宋体" w:cs="仿宋"/>
                <w:bCs/>
                <w:sz w:val="20"/>
                <w:szCs w:val="20"/>
              </w:rPr>
              <w:t>收录内容：重要新闻和学术文献资料。</w:t>
            </w:r>
          </w:p>
          <w:p>
            <w:pPr>
              <w:rPr>
                <w:rFonts w:hint="eastAsia" w:ascii="宋体" w:hAnsi="宋体" w:cs="仿宋"/>
                <w:bCs/>
                <w:sz w:val="20"/>
                <w:szCs w:val="20"/>
              </w:rPr>
            </w:pPr>
            <w:r>
              <w:rPr>
                <w:rFonts w:hint="eastAsia" w:ascii="宋体" w:hAnsi="宋体" w:cs="仿宋"/>
                <w:bCs/>
                <w:sz w:val="20"/>
                <w:szCs w:val="20"/>
              </w:rPr>
              <w:t>收录方式：摘录全文。</w:t>
            </w:r>
          </w:p>
          <w:p>
            <w:pPr>
              <w:rPr>
                <w:rFonts w:hint="eastAsia" w:ascii="宋体" w:hAnsi="宋体" w:cs="仿宋"/>
                <w:bCs/>
                <w:sz w:val="20"/>
                <w:szCs w:val="20"/>
              </w:rPr>
            </w:pPr>
            <w:r>
              <w:rPr>
                <w:rFonts w:hint="eastAsia" w:ascii="宋体" w:hAnsi="宋体" w:cs="仿宋"/>
                <w:bCs/>
                <w:sz w:val="20"/>
                <w:szCs w:val="20"/>
              </w:rPr>
              <w:t>收录年限：2000年以来。</w:t>
            </w:r>
          </w:p>
          <w:p>
            <w:pPr>
              <w:rPr>
                <w:rFonts w:hint="eastAsia" w:ascii="宋体" w:hAnsi="宋体" w:cs="仿宋"/>
                <w:bCs/>
                <w:sz w:val="20"/>
                <w:szCs w:val="20"/>
              </w:rPr>
            </w:pPr>
            <w:r>
              <w:rPr>
                <w:rFonts w:hint="eastAsia" w:ascii="宋体" w:hAnsi="宋体" w:cs="仿宋"/>
                <w:bCs/>
                <w:sz w:val="20"/>
                <w:szCs w:val="20"/>
              </w:rPr>
              <w:t>导航体系：学科导航、报纸导航（级别、地区）。</w:t>
            </w:r>
          </w:p>
          <w:p>
            <w:pPr>
              <w:rPr>
                <w:rFonts w:hint="eastAsia" w:ascii="宋体" w:hAnsi="宋体" w:cs="仿宋"/>
                <w:bCs/>
                <w:sz w:val="20"/>
                <w:szCs w:val="20"/>
              </w:rPr>
            </w:pPr>
            <w:r>
              <w:rPr>
                <w:rFonts w:hint="eastAsia" w:ascii="宋体" w:hAnsi="宋体" w:cs="仿宋"/>
                <w:bCs/>
                <w:sz w:val="20"/>
                <w:szCs w:val="20"/>
              </w:rPr>
              <w:t>要求。</w:t>
            </w:r>
          </w:p>
        </w:tc>
        <w:tc>
          <w:tcPr>
            <w:tcW w:w="720" w:type="dxa"/>
            <w:vMerge w:val="restart"/>
            <w:tcBorders>
              <w:top w:val="nil"/>
              <w:left w:val="nil"/>
              <w:right w:val="single" w:color="auto" w:sz="4" w:space="0"/>
            </w:tcBorders>
            <w:noWrap/>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jc w:val="center"/>
              <w:rPr>
                <w:rFonts w:hint="eastAsia" w:ascii="仿宋" w:hAnsi="仿宋" w:eastAsia="仿宋"/>
                <w:sz w:val="20"/>
                <w:szCs w:val="20"/>
              </w:rPr>
            </w:pPr>
          </w:p>
        </w:tc>
        <w:tc>
          <w:tcPr>
            <w:tcW w:w="1113" w:type="dxa"/>
            <w:vMerge w:val="restart"/>
            <w:tcBorders>
              <w:top w:val="nil"/>
              <w:left w:val="nil"/>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highlight w:val="none"/>
              </w:rPr>
              <w:t>20</w:t>
            </w:r>
            <w:r>
              <w:rPr>
                <w:rFonts w:ascii="宋体" w:hAnsi="宋体" w:cs="宋体"/>
                <w:kern w:val="0"/>
                <w:sz w:val="20"/>
                <w:szCs w:val="20"/>
                <w:highlight w:val="none"/>
              </w:rPr>
              <w:t>2</w:t>
            </w:r>
            <w:r>
              <w:rPr>
                <w:rFonts w:hint="eastAsia" w:ascii="宋体" w:hAnsi="宋体" w:cs="宋体"/>
                <w:kern w:val="0"/>
                <w:sz w:val="20"/>
                <w:szCs w:val="20"/>
                <w:highlight w:val="none"/>
              </w:rPr>
              <w:t>2年11月1日</w:t>
            </w:r>
            <w:r>
              <w:rPr>
                <w:rFonts w:hint="eastAsia" w:ascii="宋体" w:hAnsi="宋体" w:cs="宋体"/>
                <w:kern w:val="0"/>
                <w:sz w:val="20"/>
                <w:szCs w:val="20"/>
              </w:rPr>
              <w:t>至20</w:t>
            </w:r>
            <w:r>
              <w:rPr>
                <w:rFonts w:ascii="宋体" w:hAnsi="宋体" w:cs="宋体"/>
                <w:kern w:val="0"/>
                <w:sz w:val="20"/>
                <w:szCs w:val="20"/>
              </w:rPr>
              <w:t>2</w:t>
            </w:r>
            <w:r>
              <w:rPr>
                <w:rFonts w:hint="eastAsia" w:ascii="宋体" w:hAnsi="宋体" w:cs="宋体"/>
                <w:kern w:val="0"/>
                <w:sz w:val="20"/>
                <w:szCs w:val="20"/>
              </w:rPr>
              <w:t>3年10月31日</w:t>
            </w:r>
          </w:p>
        </w:tc>
      </w:tr>
      <w:tr>
        <w:tblPrEx>
          <w:tblCellMar>
            <w:top w:w="0" w:type="dxa"/>
            <w:left w:w="108" w:type="dxa"/>
            <w:bottom w:w="0" w:type="dxa"/>
            <w:right w:w="108" w:type="dxa"/>
          </w:tblCellMar>
        </w:tblPrEx>
        <w:trPr>
          <w:trHeight w:val="3109" w:hRule="atLeast"/>
        </w:trPr>
        <w:tc>
          <w:tcPr>
            <w:tcW w:w="600" w:type="dxa"/>
            <w:vMerge w:val="continue"/>
            <w:tcBorders>
              <w:left w:val="single" w:color="auto" w:sz="4" w:space="0"/>
              <w:right w:val="single" w:color="auto" w:sz="4" w:space="0"/>
            </w:tcBorders>
            <w:noWrap/>
            <w:vAlign w:val="center"/>
          </w:tcPr>
          <w:p>
            <w:pPr>
              <w:jc w:val="center"/>
              <w:rPr>
                <w:rFonts w:ascii="宋体" w:hAnsi="宋体" w:cs="宋体"/>
                <w:kern w:val="0"/>
                <w:sz w:val="20"/>
                <w:szCs w:val="20"/>
              </w:rPr>
            </w:pPr>
          </w:p>
        </w:tc>
        <w:tc>
          <w:tcPr>
            <w:tcW w:w="1194" w:type="dxa"/>
            <w:tcBorders>
              <w:top w:val="nil"/>
              <w:left w:val="nil"/>
              <w:bottom w:val="single" w:color="auto" w:sz="4" w:space="0"/>
              <w:right w:val="single" w:color="auto" w:sz="4" w:space="0"/>
            </w:tcBorders>
            <w:vAlign w:val="center"/>
          </w:tcPr>
          <w:p>
            <w:pPr>
              <w:pStyle w:val="91"/>
              <w:spacing w:line="360" w:lineRule="auto"/>
              <w:ind w:firstLine="0" w:firstLineChars="0"/>
              <w:jc w:val="center"/>
              <w:rPr>
                <w:rFonts w:hint="eastAsia" w:ascii="Arial Narrow" w:hAnsi="Arial Narrow" w:eastAsia="仿宋_GB2312" w:cs="仿宋_GB2312"/>
                <w:sz w:val="20"/>
                <w:szCs w:val="20"/>
              </w:rPr>
            </w:pPr>
            <w:r>
              <w:rPr>
                <w:rFonts w:hint="eastAsia" w:ascii="Arial Narrow" w:hAnsi="Arial Narrow" w:eastAsia="仿宋_GB2312" w:cs="仿宋_GB2312"/>
                <w:sz w:val="20"/>
                <w:szCs w:val="20"/>
              </w:rPr>
              <w:t>中国博士学位论文全文数据库（</w:t>
            </w:r>
            <w:r>
              <w:rPr>
                <w:rFonts w:ascii="Arial Narrow" w:hAnsi="Arial Narrow" w:eastAsia="仿宋_GB2312" w:cs="仿宋_GB2312"/>
                <w:sz w:val="20"/>
                <w:szCs w:val="20"/>
              </w:rPr>
              <w:t>CDFD</w:t>
            </w:r>
            <w:r>
              <w:rPr>
                <w:rFonts w:hint="eastAsia" w:ascii="Arial Narrow" w:hAnsi="Arial Narrow" w:eastAsia="仿宋_GB2312" w:cs="仿宋_GB2312"/>
                <w:sz w:val="20"/>
                <w:szCs w:val="20"/>
              </w:rPr>
              <w:t>）</w:t>
            </w:r>
          </w:p>
        </w:tc>
        <w:tc>
          <w:tcPr>
            <w:tcW w:w="6321" w:type="dxa"/>
            <w:vMerge w:val="continue"/>
            <w:tcBorders>
              <w:left w:val="nil"/>
              <w:right w:val="single" w:color="auto" w:sz="4" w:space="0"/>
            </w:tcBorders>
            <w:vAlign w:val="center"/>
          </w:tcPr>
          <w:p>
            <w:pPr>
              <w:jc w:val="center"/>
              <w:rPr>
                <w:rFonts w:ascii="宋体" w:hAnsi="宋体" w:cs="宋体"/>
                <w:kern w:val="0"/>
                <w:sz w:val="20"/>
                <w:szCs w:val="20"/>
              </w:rPr>
            </w:pPr>
          </w:p>
        </w:tc>
        <w:tc>
          <w:tcPr>
            <w:tcW w:w="720" w:type="dxa"/>
            <w:vMerge w:val="continue"/>
            <w:tcBorders>
              <w:left w:val="nil"/>
              <w:right w:val="single" w:color="auto" w:sz="4" w:space="0"/>
            </w:tcBorders>
            <w:noWrap/>
            <w:vAlign w:val="center"/>
          </w:tcPr>
          <w:p>
            <w:pPr>
              <w:jc w:val="center"/>
              <w:rPr>
                <w:rFonts w:hint="eastAsia" w:ascii="仿宋" w:hAnsi="仿宋" w:eastAsia="仿宋"/>
                <w:sz w:val="20"/>
                <w:szCs w:val="20"/>
              </w:rPr>
            </w:pPr>
          </w:p>
        </w:tc>
        <w:tc>
          <w:tcPr>
            <w:tcW w:w="1113" w:type="dxa"/>
            <w:vMerge w:val="continue"/>
            <w:tcBorders>
              <w:left w:val="nil"/>
              <w:right w:val="single" w:color="auto" w:sz="4" w:space="0"/>
            </w:tcBorders>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309" w:hRule="atLeast"/>
        </w:trPr>
        <w:tc>
          <w:tcPr>
            <w:tcW w:w="600" w:type="dxa"/>
            <w:vMerge w:val="continue"/>
            <w:tcBorders>
              <w:left w:val="single" w:color="auto" w:sz="4" w:space="0"/>
              <w:right w:val="single" w:color="auto" w:sz="4" w:space="0"/>
            </w:tcBorders>
            <w:noWrap/>
            <w:vAlign w:val="center"/>
          </w:tcPr>
          <w:p>
            <w:pPr>
              <w:jc w:val="center"/>
              <w:rPr>
                <w:rFonts w:ascii="宋体" w:hAnsi="宋体" w:cs="宋体"/>
                <w:kern w:val="0"/>
                <w:sz w:val="20"/>
                <w:szCs w:val="20"/>
              </w:rPr>
            </w:pPr>
          </w:p>
        </w:tc>
        <w:tc>
          <w:tcPr>
            <w:tcW w:w="1194" w:type="dxa"/>
            <w:tcBorders>
              <w:top w:val="nil"/>
              <w:left w:val="nil"/>
              <w:bottom w:val="single" w:color="auto" w:sz="4" w:space="0"/>
              <w:right w:val="single" w:color="auto" w:sz="4" w:space="0"/>
            </w:tcBorders>
            <w:vAlign w:val="center"/>
          </w:tcPr>
          <w:p>
            <w:pPr>
              <w:pStyle w:val="91"/>
              <w:spacing w:line="360" w:lineRule="auto"/>
              <w:ind w:firstLine="0" w:firstLineChars="0"/>
              <w:jc w:val="center"/>
              <w:rPr>
                <w:rFonts w:hint="eastAsia" w:ascii="Arial Narrow" w:hAnsi="Arial Narrow" w:eastAsia="仿宋_GB2312" w:cs="仿宋_GB2312"/>
                <w:sz w:val="20"/>
                <w:szCs w:val="20"/>
              </w:rPr>
            </w:pPr>
            <w:r>
              <w:rPr>
                <w:rFonts w:hint="eastAsia" w:ascii="Arial Narrow" w:hAnsi="Arial Narrow" w:eastAsia="仿宋_GB2312" w:cs="仿宋_GB2312"/>
                <w:sz w:val="20"/>
                <w:szCs w:val="20"/>
              </w:rPr>
              <w:t>中国优秀硕士学位论文全文数据库（</w:t>
            </w:r>
            <w:r>
              <w:rPr>
                <w:rFonts w:ascii="Arial Narrow" w:hAnsi="Arial Narrow" w:eastAsia="仿宋_GB2312" w:cs="仿宋_GB2312"/>
                <w:sz w:val="20"/>
                <w:szCs w:val="20"/>
              </w:rPr>
              <w:t>CMFD</w:t>
            </w:r>
            <w:r>
              <w:rPr>
                <w:rFonts w:hint="eastAsia" w:ascii="Arial Narrow" w:hAnsi="Arial Narrow" w:eastAsia="仿宋_GB2312" w:cs="仿宋_GB2312"/>
                <w:sz w:val="20"/>
                <w:szCs w:val="20"/>
              </w:rPr>
              <w:t>）</w:t>
            </w:r>
          </w:p>
        </w:tc>
        <w:tc>
          <w:tcPr>
            <w:tcW w:w="6321" w:type="dxa"/>
            <w:vMerge w:val="continue"/>
            <w:tcBorders>
              <w:left w:val="nil"/>
              <w:right w:val="single" w:color="auto" w:sz="4" w:space="0"/>
            </w:tcBorders>
            <w:vAlign w:val="center"/>
          </w:tcPr>
          <w:p>
            <w:pPr>
              <w:jc w:val="center"/>
              <w:rPr>
                <w:rFonts w:ascii="宋体" w:hAnsi="宋体" w:cs="宋体"/>
                <w:kern w:val="0"/>
                <w:sz w:val="20"/>
                <w:szCs w:val="20"/>
              </w:rPr>
            </w:pPr>
          </w:p>
        </w:tc>
        <w:tc>
          <w:tcPr>
            <w:tcW w:w="720" w:type="dxa"/>
            <w:vMerge w:val="continue"/>
            <w:tcBorders>
              <w:left w:val="nil"/>
              <w:right w:val="single" w:color="auto" w:sz="4" w:space="0"/>
            </w:tcBorders>
            <w:noWrap/>
            <w:vAlign w:val="center"/>
          </w:tcPr>
          <w:p>
            <w:pPr>
              <w:jc w:val="center"/>
              <w:rPr>
                <w:rFonts w:hint="eastAsia" w:ascii="仿宋" w:hAnsi="仿宋" w:eastAsia="仿宋"/>
                <w:sz w:val="20"/>
                <w:szCs w:val="20"/>
              </w:rPr>
            </w:pPr>
          </w:p>
        </w:tc>
        <w:tc>
          <w:tcPr>
            <w:tcW w:w="1113" w:type="dxa"/>
            <w:vMerge w:val="continue"/>
            <w:tcBorders>
              <w:left w:val="nil"/>
              <w:right w:val="single" w:color="auto" w:sz="4" w:space="0"/>
            </w:tcBorders>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768" w:hRule="atLeast"/>
        </w:trPr>
        <w:tc>
          <w:tcPr>
            <w:tcW w:w="600" w:type="dxa"/>
            <w:vMerge w:val="continue"/>
            <w:tcBorders>
              <w:left w:val="single" w:color="auto" w:sz="4" w:space="0"/>
              <w:right w:val="single" w:color="auto" w:sz="4" w:space="0"/>
            </w:tcBorders>
            <w:noWrap/>
            <w:vAlign w:val="center"/>
          </w:tcPr>
          <w:p>
            <w:pPr>
              <w:jc w:val="center"/>
              <w:rPr>
                <w:rFonts w:ascii="宋体" w:hAnsi="宋体" w:cs="宋体"/>
                <w:kern w:val="0"/>
                <w:sz w:val="20"/>
                <w:szCs w:val="20"/>
              </w:rPr>
            </w:pPr>
          </w:p>
        </w:tc>
        <w:tc>
          <w:tcPr>
            <w:tcW w:w="1194" w:type="dxa"/>
            <w:tcBorders>
              <w:top w:val="nil"/>
              <w:left w:val="nil"/>
              <w:bottom w:val="single" w:color="auto" w:sz="4" w:space="0"/>
              <w:right w:val="single" w:color="auto" w:sz="4" w:space="0"/>
            </w:tcBorders>
            <w:vAlign w:val="center"/>
          </w:tcPr>
          <w:p>
            <w:pPr>
              <w:pStyle w:val="91"/>
              <w:spacing w:line="360" w:lineRule="auto"/>
              <w:ind w:firstLine="0" w:firstLineChars="0"/>
              <w:jc w:val="center"/>
              <w:rPr>
                <w:rFonts w:hint="eastAsia" w:ascii="Arial Narrow" w:hAnsi="Arial Narrow" w:eastAsia="仿宋_GB2312" w:cs="仿宋_GB2312"/>
                <w:sz w:val="20"/>
                <w:szCs w:val="20"/>
              </w:rPr>
            </w:pPr>
            <w:r>
              <w:rPr>
                <w:rFonts w:hint="eastAsia" w:ascii="Arial Narrow" w:hAnsi="Arial Narrow" w:eastAsia="仿宋_GB2312" w:cs="仿宋_GB2312"/>
                <w:sz w:val="20"/>
                <w:szCs w:val="20"/>
              </w:rPr>
              <w:t>会议论文</w:t>
            </w:r>
          </w:p>
        </w:tc>
        <w:tc>
          <w:tcPr>
            <w:tcW w:w="6321" w:type="dxa"/>
            <w:vMerge w:val="continue"/>
            <w:tcBorders>
              <w:left w:val="nil"/>
              <w:right w:val="single" w:color="auto" w:sz="4" w:space="0"/>
            </w:tcBorders>
            <w:vAlign w:val="center"/>
          </w:tcPr>
          <w:p>
            <w:pPr>
              <w:jc w:val="center"/>
              <w:rPr>
                <w:rFonts w:ascii="宋体" w:hAnsi="宋体" w:cs="宋体"/>
                <w:kern w:val="0"/>
                <w:sz w:val="20"/>
                <w:szCs w:val="20"/>
              </w:rPr>
            </w:pPr>
          </w:p>
        </w:tc>
        <w:tc>
          <w:tcPr>
            <w:tcW w:w="720" w:type="dxa"/>
            <w:vMerge w:val="continue"/>
            <w:tcBorders>
              <w:left w:val="nil"/>
              <w:right w:val="single" w:color="auto" w:sz="4" w:space="0"/>
            </w:tcBorders>
            <w:noWrap/>
          </w:tcPr>
          <w:p>
            <w:pPr>
              <w:jc w:val="center"/>
              <w:rPr>
                <w:sz w:val="20"/>
                <w:szCs w:val="20"/>
              </w:rPr>
            </w:pPr>
          </w:p>
        </w:tc>
        <w:tc>
          <w:tcPr>
            <w:tcW w:w="1113" w:type="dxa"/>
            <w:vMerge w:val="continue"/>
            <w:tcBorders>
              <w:left w:val="nil"/>
              <w:right w:val="single" w:color="auto" w:sz="4" w:space="0"/>
            </w:tcBorders>
            <w:noWrap/>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90" w:hRule="atLeast"/>
        </w:trPr>
        <w:tc>
          <w:tcPr>
            <w:tcW w:w="600"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1194" w:type="dxa"/>
            <w:tcBorders>
              <w:top w:val="nil"/>
              <w:left w:val="nil"/>
              <w:bottom w:val="single" w:color="auto" w:sz="4" w:space="0"/>
              <w:right w:val="single" w:color="auto" w:sz="4" w:space="0"/>
            </w:tcBorders>
            <w:vAlign w:val="center"/>
          </w:tcPr>
          <w:p>
            <w:pPr>
              <w:pStyle w:val="91"/>
              <w:spacing w:line="360" w:lineRule="auto"/>
              <w:ind w:firstLine="0" w:firstLineChars="0"/>
              <w:jc w:val="center"/>
              <w:rPr>
                <w:rStyle w:val="41"/>
                <w:rFonts w:hint="eastAsia"/>
              </w:rPr>
            </w:pPr>
            <w:r>
              <w:rPr>
                <w:rStyle w:val="41"/>
                <w:rFonts w:hint="eastAsia"/>
              </w:rPr>
              <w:t>中国重要报纸全文数据库</w:t>
            </w:r>
          </w:p>
        </w:tc>
        <w:tc>
          <w:tcPr>
            <w:tcW w:w="632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720" w:type="dxa"/>
            <w:vMerge w:val="continue"/>
            <w:tcBorders>
              <w:left w:val="nil"/>
              <w:bottom w:val="single" w:color="auto" w:sz="4" w:space="0"/>
              <w:right w:val="single" w:color="auto" w:sz="4" w:space="0"/>
            </w:tcBorders>
            <w:noWrap/>
          </w:tcPr>
          <w:p>
            <w:pPr>
              <w:jc w:val="center"/>
              <w:rPr>
                <w:sz w:val="20"/>
                <w:szCs w:val="20"/>
              </w:rPr>
            </w:pPr>
          </w:p>
        </w:tc>
        <w:tc>
          <w:tcPr>
            <w:tcW w:w="1113"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r>
    </w:tbl>
    <w:p>
      <w:pPr>
        <w:spacing w:line="440" w:lineRule="exact"/>
        <w:jc w:val="both"/>
        <w:outlineLvl w:val="0"/>
        <w:rPr>
          <w:rFonts w:hint="eastAsia" w:ascii="宋体" w:hAnsi="宋体"/>
          <w:b/>
          <w:sz w:val="36"/>
        </w:rPr>
      </w:pPr>
    </w:p>
    <w:p>
      <w:pPr>
        <w:spacing w:line="440" w:lineRule="exact"/>
        <w:jc w:val="center"/>
        <w:outlineLvl w:val="0"/>
        <w:rPr>
          <w:rFonts w:hint="eastAsia" w:ascii="宋体" w:hAnsi="宋体"/>
          <w:b/>
          <w:sz w:val="36"/>
        </w:rPr>
      </w:pPr>
    </w:p>
    <w:p>
      <w:pPr>
        <w:pStyle w:val="2"/>
        <w:rPr>
          <w:rFonts w:hint="eastAsia" w:ascii="宋体" w:hAnsi="宋体"/>
          <w:b/>
          <w:sz w:val="24"/>
          <w:szCs w:val="22"/>
          <w:lang w:val="en-US" w:eastAsia="zh-CN"/>
        </w:rPr>
      </w:pPr>
      <w:r>
        <w:rPr>
          <w:rFonts w:hint="eastAsia" w:ascii="宋体" w:hAnsi="宋体"/>
          <w:b/>
          <w:sz w:val="24"/>
          <w:szCs w:val="22"/>
          <w:lang w:val="en-US" w:eastAsia="zh-CN"/>
        </w:rPr>
        <w:t>标项二：</w:t>
      </w:r>
    </w:p>
    <w:tbl>
      <w:tblPr>
        <w:tblStyle w:val="38"/>
        <w:tblW w:w="9933"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476"/>
        <w:gridCol w:w="6378"/>
        <w:gridCol w:w="72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6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476"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637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参数</w:t>
            </w:r>
          </w:p>
        </w:tc>
        <w:tc>
          <w:tcPr>
            <w:tcW w:w="720" w:type="dxa"/>
            <w:noWrap/>
            <w:vAlign w:val="center"/>
          </w:tcPr>
          <w:p>
            <w:pPr>
              <w:widowControl/>
              <w:jc w:val="center"/>
              <w:rPr>
                <w:rFonts w:ascii="宋体" w:hAnsi="宋体" w:cs="宋体"/>
                <w:b/>
                <w:bCs/>
                <w:kern w:val="0"/>
                <w:sz w:val="20"/>
                <w:szCs w:val="20"/>
              </w:rPr>
            </w:pPr>
            <w:r>
              <w:rPr>
                <w:rFonts w:hint="eastAsia" w:ascii="仿宋" w:hAnsi="仿宋" w:eastAsia="仿宋"/>
                <w:sz w:val="24"/>
              </w:rPr>
              <w:t>使用模式</w:t>
            </w:r>
          </w:p>
        </w:tc>
        <w:tc>
          <w:tcPr>
            <w:tcW w:w="79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61" w:type="dxa"/>
            <w:noWrap/>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476" w:type="dxa"/>
            <w:vAlign w:val="center"/>
          </w:tcPr>
          <w:p>
            <w:pPr>
              <w:pStyle w:val="91"/>
              <w:spacing w:line="360" w:lineRule="auto"/>
              <w:ind w:firstLine="0" w:firstLineChars="0"/>
              <w:rPr>
                <w:rFonts w:ascii="宋体" w:hAnsi="宋体" w:cs="宋体"/>
                <w:kern w:val="0"/>
                <w:sz w:val="20"/>
                <w:szCs w:val="20"/>
              </w:rPr>
            </w:pPr>
            <w:r>
              <w:rPr>
                <w:rFonts w:hint="eastAsia" w:ascii="宋体" w:hAnsi="宋体"/>
                <w:sz w:val="20"/>
                <w:szCs w:val="20"/>
              </w:rPr>
              <w:t>读秀学术搜索</w:t>
            </w:r>
          </w:p>
        </w:tc>
        <w:tc>
          <w:tcPr>
            <w:tcW w:w="6378" w:type="dxa"/>
            <w:vAlign w:val="center"/>
          </w:tcPr>
          <w:p>
            <w:pPr>
              <w:rPr>
                <w:rFonts w:ascii="宋体" w:hAnsi="宋体" w:cs="仿宋"/>
                <w:bCs/>
                <w:kern w:val="0"/>
                <w:sz w:val="20"/>
                <w:szCs w:val="20"/>
              </w:rPr>
            </w:pPr>
            <w:r>
              <w:rPr>
                <w:rFonts w:hint="eastAsia" w:ascii="宋体" w:hAnsi="宋体" w:cs="仿宋"/>
                <w:bCs/>
                <w:kern w:val="0"/>
                <w:sz w:val="20"/>
                <w:szCs w:val="20"/>
              </w:rPr>
              <w:t>1.数据库中至少包含540万种中文图书信息以及370万种图书原文2.将图书馆馆藏纸质图书与电子图书资源整合在此数据库中，实现馆藏纸质图书与电子图书的统一检索。3.数据库中需具有推荐区域，在本馆没有纸制图书及电子图书的情况下，可建议管理员购买该书的纸制版本或电子版本。4.根据读者输入的检索词，可在图书全文内容及目录中进行检索，显示该检索词出现处的原文内容，并支持文字提取、查看来源。5.在检索结果中可按类型、年代、学科、作者进行聚类功能，缩小检索结果范围。6.在图书频道检索中显示图书的馆藏纸书信息的同时，能自动显示国内都有哪些高校图书馆有此藏书，并能直接链接至有此藏书的图书馆查看关于此书的状态信息，满足不低于全国1000家图书馆联合纸本馆藏的查询。7.可以显示图书若干页原文（封面页、前言页、目次页、版权页、正文部分页等）8.根据读者输入的检索词，在检索图书时，同时检索并显示与该检索词相关的期刊、报纸、学位论文、会议论文、视频、词条、人物、文档等信息，并通过链接能直接打开这些信息供读者阅读使用。9.数据库能通过Email的方式向读者进行文献资源的传递服务，通过文献搜索及参考咨询服务平台提供全面快捷的服务。10.检索提供二次检索、高级检索、专业检索等功能。11.提供中外文、同义词、相关词的提示。12.提供我的咨询、RSS订阅等服务。13.数据库使用形式为远程访问模式，至少按周自动更新所有相关内容。14.供应商负责向采购方提供网络、电话及E-MAIL支持服务，响应时间不超过1小时，以保证数据库产品的正常使用。15.数据库因版权、著作权问题所引发的纠纷，均与招标方无关，招标方可以保留其追究供应商相关法律责任的权利。16.服务方式：包库17.需要能查询到图书的被引用情况。提供100年来中文图书被引用情况的分析，尤其可对每种中文图书是否有被引用及具体的被引用情况进行查询，从而作为评价中文图书学术影响力的重要指标和依据。18.提供按主题对馆藏结构进行分析，提供全国图书馆纸本和电子本图书的收藏排行。19.可以和馆藏纸书借阅系统、随书光盘、期刊、论文、百万册电子图书包库、名师讲坛视频包库、区域图书馆等资源进行无缝挂接。20.采用《中国图书馆分类法》、《普通图书著录规则》(GB/T 3792.2-2006)等著录标准。21.采用自主研发的海量文献全文搜索引擎技术，提供B/S模式的网络服务，支持OPENURL等协议，提供相关图书数据库的链接服务。</w:t>
            </w:r>
          </w:p>
        </w:tc>
        <w:tc>
          <w:tcPr>
            <w:tcW w:w="720" w:type="dxa"/>
            <w:noWrap/>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远程</w:t>
            </w:r>
          </w:p>
          <w:p>
            <w:pPr>
              <w:jc w:val="center"/>
              <w:rPr>
                <w:rFonts w:hint="eastAsia" w:ascii="仿宋" w:hAnsi="仿宋" w:eastAsia="仿宋"/>
                <w:sz w:val="20"/>
                <w:szCs w:val="20"/>
              </w:rPr>
            </w:pPr>
            <w:r>
              <w:rPr>
                <w:rFonts w:hint="eastAsia" w:ascii="仿宋" w:hAnsi="仿宋" w:eastAsia="仿宋"/>
                <w:sz w:val="20"/>
                <w:szCs w:val="20"/>
              </w:rPr>
              <w:t>访问</w:t>
            </w:r>
          </w:p>
        </w:tc>
        <w:tc>
          <w:tcPr>
            <w:tcW w:w="798" w:type="dxa"/>
            <w:noWrap/>
            <w:vAlign w:val="center"/>
          </w:tcPr>
          <w:p>
            <w:pPr>
              <w:widowControl/>
              <w:jc w:val="center"/>
              <w:rPr>
                <w:rFonts w:ascii="宋体" w:hAnsi="宋体" w:cs="宋体"/>
                <w:kern w:val="0"/>
                <w:sz w:val="20"/>
                <w:szCs w:val="20"/>
              </w:rPr>
            </w:pPr>
            <w:r>
              <w:rPr>
                <w:rFonts w:hint="eastAsia" w:ascii="宋体" w:hAnsi="宋体" w:cs="宋体"/>
                <w:kern w:val="0"/>
                <w:sz w:val="20"/>
                <w:szCs w:val="20"/>
                <w:highlight w:val="none"/>
              </w:rPr>
              <w:t>20</w:t>
            </w:r>
            <w:r>
              <w:rPr>
                <w:rFonts w:ascii="宋体" w:hAnsi="宋体" w:cs="宋体"/>
                <w:kern w:val="0"/>
                <w:sz w:val="20"/>
                <w:szCs w:val="20"/>
                <w:highlight w:val="none"/>
              </w:rPr>
              <w:t>2</w:t>
            </w:r>
            <w:r>
              <w:rPr>
                <w:rFonts w:hint="eastAsia" w:ascii="宋体" w:hAnsi="宋体" w:cs="宋体"/>
                <w:kern w:val="0"/>
                <w:sz w:val="20"/>
                <w:szCs w:val="20"/>
                <w:highlight w:val="none"/>
              </w:rPr>
              <w:t>2年9月1日</w:t>
            </w:r>
            <w:r>
              <w:rPr>
                <w:rFonts w:hint="eastAsia" w:ascii="宋体" w:hAnsi="宋体" w:cs="宋体"/>
                <w:kern w:val="0"/>
                <w:sz w:val="20"/>
                <w:szCs w:val="20"/>
              </w:rPr>
              <w:t>至20</w:t>
            </w:r>
            <w:r>
              <w:rPr>
                <w:rFonts w:ascii="宋体" w:hAnsi="宋体" w:cs="宋体"/>
                <w:kern w:val="0"/>
                <w:sz w:val="20"/>
                <w:szCs w:val="20"/>
              </w:rPr>
              <w:t>2</w:t>
            </w:r>
            <w:r>
              <w:rPr>
                <w:rFonts w:hint="eastAsia" w:ascii="宋体" w:hAnsi="宋体" w:cs="宋体"/>
                <w:kern w:val="0"/>
                <w:sz w:val="20"/>
                <w:szCs w:val="20"/>
              </w:rPr>
              <w:t>3年8月31日</w:t>
            </w:r>
          </w:p>
        </w:tc>
      </w:tr>
    </w:tbl>
    <w:p>
      <w:pPr>
        <w:pStyle w:val="2"/>
        <w:rPr>
          <w:rFonts w:hint="eastAsia" w:ascii="宋体" w:hAnsi="宋体"/>
          <w:b/>
          <w:sz w:val="24"/>
          <w:szCs w:val="22"/>
          <w:lang w:val="en-US" w:eastAsia="zh-CN"/>
        </w:rPr>
      </w:pPr>
      <w:r>
        <w:rPr>
          <w:rFonts w:hint="eastAsia" w:ascii="宋体" w:hAnsi="宋体"/>
          <w:b/>
          <w:sz w:val="24"/>
          <w:szCs w:val="22"/>
          <w:lang w:val="en-US" w:eastAsia="zh-CN"/>
        </w:rPr>
        <w:t>标项三：</w:t>
      </w:r>
    </w:p>
    <w:tbl>
      <w:tblPr>
        <w:tblStyle w:val="39"/>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298"/>
        <w:gridCol w:w="6647"/>
        <w:gridCol w:w="68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50" w:type="dxa"/>
            <w:vAlign w:val="center"/>
          </w:tcPr>
          <w:p>
            <w:pPr>
              <w:widowControl/>
              <w:jc w:val="center"/>
              <w:rPr>
                <w:rFonts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9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47"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89"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33"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ascii="宋体" w:hAnsi="宋体" w:cs="宋体"/>
                <w:kern w:val="0"/>
                <w:sz w:val="20"/>
                <w:szCs w:val="20"/>
              </w:rPr>
            </w:pPr>
          </w:p>
          <w:p>
            <w:pPr>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w:t>
            </w:r>
          </w:p>
        </w:tc>
        <w:tc>
          <w:tcPr>
            <w:tcW w:w="1298" w:type="dxa"/>
            <w:vAlign w:val="center"/>
          </w:tcPr>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sz w:val="20"/>
                <w:szCs w:val="20"/>
              </w:rPr>
            </w:pPr>
          </w:p>
          <w:p>
            <w:pPr>
              <w:pStyle w:val="91"/>
              <w:spacing w:line="360" w:lineRule="auto"/>
              <w:ind w:firstLine="0" w:firstLineChars="0"/>
              <w:rPr>
                <w:rFonts w:hint="eastAsia" w:ascii="宋体" w:hAnsi="宋体" w:eastAsia="宋体" w:cs="宋体"/>
                <w:kern w:val="0"/>
                <w:sz w:val="20"/>
                <w:szCs w:val="20"/>
                <w:lang w:val="en-US" w:eastAsia="zh-CN" w:bidi="ar-SA"/>
              </w:rPr>
            </w:pPr>
            <w:r>
              <w:rPr>
                <w:rFonts w:hint="eastAsia" w:ascii="宋体" w:hAnsi="宋体"/>
                <w:sz w:val="20"/>
                <w:szCs w:val="20"/>
              </w:rPr>
              <w:t>维普考试资源系统</w:t>
            </w:r>
          </w:p>
        </w:tc>
        <w:tc>
          <w:tcPr>
            <w:tcW w:w="6647" w:type="dxa"/>
            <w:vAlign w:val="center"/>
          </w:tcPr>
          <w:p>
            <w:pPr>
              <w:rPr>
                <w:rFonts w:hint="eastAsia" w:ascii="宋体" w:hAnsi="宋体" w:cs="仿宋"/>
                <w:bCs/>
                <w:kern w:val="0"/>
                <w:sz w:val="20"/>
                <w:szCs w:val="20"/>
              </w:rPr>
            </w:pPr>
            <w:r>
              <w:rPr>
                <w:rFonts w:hint="eastAsia" w:ascii="宋体" w:hAnsi="宋体" w:cs="仿宋"/>
                <w:b/>
                <w:bCs/>
                <w:sz w:val="20"/>
                <w:szCs w:val="20"/>
              </w:rPr>
              <w:t>1</w:t>
            </w:r>
            <w:r>
              <w:rPr>
                <w:rFonts w:hint="eastAsia" w:ascii="宋体" w:hAnsi="宋体" w:cs="仿宋"/>
                <w:bCs/>
                <w:kern w:val="0"/>
                <w:sz w:val="20"/>
                <w:szCs w:val="20"/>
              </w:rPr>
              <w:t>、职业资格模块</w:t>
            </w:r>
          </w:p>
          <w:p>
            <w:pPr>
              <w:rPr>
                <w:rFonts w:hint="eastAsia" w:ascii="宋体" w:hAnsi="宋体" w:cs="仿宋"/>
                <w:bCs/>
                <w:kern w:val="0"/>
                <w:sz w:val="20"/>
                <w:szCs w:val="20"/>
              </w:rPr>
            </w:pPr>
            <w:r>
              <w:rPr>
                <w:rFonts w:hint="eastAsia" w:ascii="宋体" w:hAnsi="宋体" w:cs="仿宋"/>
                <w:bCs/>
                <w:kern w:val="0"/>
                <w:sz w:val="20"/>
                <w:szCs w:val="20"/>
              </w:rPr>
              <w:t>包含公务员、工程、语言、金融会计、计算机、医学、研究生、专业技术资格、职业技能资格、学历共十一大分类，共28万套试卷，其中真题试卷4.9万套，总试题量超过1150万道。</w:t>
            </w:r>
          </w:p>
          <w:p>
            <w:pPr>
              <w:rPr>
                <w:rFonts w:hint="eastAsia" w:ascii="宋体" w:hAnsi="宋体" w:cs="仿宋"/>
                <w:bCs/>
                <w:kern w:val="0"/>
                <w:sz w:val="20"/>
                <w:szCs w:val="20"/>
              </w:rPr>
            </w:pPr>
            <w:r>
              <w:rPr>
                <w:rFonts w:hint="eastAsia" w:ascii="宋体" w:hAnsi="宋体" w:cs="仿宋"/>
                <w:bCs/>
                <w:kern w:val="0"/>
                <w:sz w:val="20"/>
                <w:szCs w:val="20"/>
              </w:rPr>
              <w:t>2、高教题库</w:t>
            </w:r>
          </w:p>
          <w:p>
            <w:pPr>
              <w:rPr>
                <w:rFonts w:hint="eastAsia" w:ascii="宋体" w:hAnsi="宋体" w:cs="仿宋"/>
                <w:bCs/>
                <w:kern w:val="0"/>
                <w:sz w:val="20"/>
                <w:szCs w:val="20"/>
              </w:rPr>
            </w:pPr>
            <w:r>
              <w:rPr>
                <w:rFonts w:hint="eastAsia" w:ascii="宋体" w:hAnsi="宋体" w:cs="仿宋"/>
                <w:bCs/>
                <w:kern w:val="0"/>
                <w:sz w:val="20"/>
                <w:szCs w:val="20"/>
              </w:rPr>
              <w:t>包含哲学、经济学、法学、教育学、文学、历史学、理学、工学、农学、医学、管理学、艺术学共十二个学科大类，4.1万套试卷，180万道试题；</w:t>
            </w:r>
          </w:p>
          <w:p>
            <w:pPr>
              <w:rPr>
                <w:rFonts w:hint="eastAsia" w:ascii="宋体" w:hAnsi="宋体" w:cs="仿宋"/>
                <w:bCs/>
                <w:kern w:val="0"/>
                <w:sz w:val="20"/>
                <w:szCs w:val="20"/>
              </w:rPr>
            </w:pPr>
            <w:r>
              <w:rPr>
                <w:rFonts w:hint="eastAsia" w:ascii="宋体" w:hAnsi="宋体" w:cs="仿宋"/>
                <w:bCs/>
                <w:kern w:val="0"/>
                <w:sz w:val="20"/>
                <w:szCs w:val="20"/>
              </w:rPr>
              <w:t>二、技术性能参数</w:t>
            </w:r>
          </w:p>
          <w:p>
            <w:pPr>
              <w:rPr>
                <w:rFonts w:hint="eastAsia" w:ascii="宋体" w:hAnsi="宋体" w:cs="仿宋"/>
                <w:bCs/>
                <w:kern w:val="0"/>
                <w:sz w:val="20"/>
                <w:szCs w:val="20"/>
              </w:rPr>
            </w:pPr>
            <w:r>
              <w:rPr>
                <w:rFonts w:hint="eastAsia" w:ascii="宋体" w:hAnsi="宋体" w:cs="仿宋"/>
                <w:bCs/>
                <w:kern w:val="0"/>
                <w:sz w:val="20"/>
                <w:szCs w:val="20"/>
              </w:rPr>
              <w:t>1、数据更新说明</w:t>
            </w:r>
          </w:p>
          <w:p>
            <w:pPr>
              <w:rPr>
                <w:rFonts w:hint="eastAsia" w:ascii="宋体" w:hAnsi="宋体" w:cs="仿宋"/>
                <w:bCs/>
                <w:kern w:val="0"/>
                <w:sz w:val="20"/>
                <w:szCs w:val="20"/>
              </w:rPr>
            </w:pPr>
            <w:r>
              <w:rPr>
                <w:rFonts w:hint="eastAsia" w:ascii="宋体" w:hAnsi="宋体" w:cs="仿宋"/>
                <w:bCs/>
                <w:kern w:val="0"/>
                <w:sz w:val="20"/>
                <w:szCs w:val="20"/>
              </w:rPr>
              <w:t>数据月更新。</w:t>
            </w:r>
          </w:p>
          <w:p>
            <w:pPr>
              <w:rPr>
                <w:rFonts w:hint="eastAsia" w:ascii="宋体" w:hAnsi="宋体" w:cs="仿宋"/>
                <w:bCs/>
                <w:kern w:val="0"/>
                <w:sz w:val="20"/>
                <w:szCs w:val="20"/>
              </w:rPr>
            </w:pPr>
            <w:r>
              <w:rPr>
                <w:rFonts w:hint="eastAsia" w:ascii="宋体" w:hAnsi="宋体" w:cs="仿宋"/>
                <w:bCs/>
                <w:kern w:val="0"/>
                <w:sz w:val="20"/>
                <w:szCs w:val="20"/>
              </w:rPr>
              <w:t>全年更新数据量：职业资格模块不低于3万套试卷，高教题库模块不低于5万道试题；</w:t>
            </w:r>
          </w:p>
          <w:p>
            <w:pPr>
              <w:rPr>
                <w:rFonts w:hint="eastAsia" w:ascii="宋体" w:hAnsi="宋体" w:cs="仿宋"/>
                <w:bCs/>
                <w:kern w:val="0"/>
                <w:sz w:val="20"/>
                <w:szCs w:val="20"/>
              </w:rPr>
            </w:pPr>
            <w:r>
              <w:rPr>
                <w:rFonts w:hint="eastAsia" w:ascii="宋体" w:hAnsi="宋体" w:cs="仿宋"/>
                <w:bCs/>
                <w:kern w:val="0"/>
                <w:sz w:val="20"/>
                <w:szCs w:val="20"/>
              </w:rPr>
              <w:t>2、平台功能说明——职业资格模块</w:t>
            </w:r>
          </w:p>
          <w:p>
            <w:pPr>
              <w:rPr>
                <w:rFonts w:hint="eastAsia" w:ascii="宋体" w:hAnsi="宋体" w:cs="仿宋"/>
                <w:bCs/>
                <w:kern w:val="0"/>
                <w:sz w:val="20"/>
                <w:szCs w:val="20"/>
              </w:rPr>
            </w:pPr>
            <w:r>
              <w:rPr>
                <w:rFonts w:hint="eastAsia" w:ascii="宋体" w:hAnsi="宋体" w:cs="仿宋"/>
                <w:bCs/>
                <w:kern w:val="0"/>
                <w:sz w:val="20"/>
                <w:szCs w:val="20"/>
              </w:rPr>
              <w:t>（1）分类浏览</w:t>
            </w:r>
          </w:p>
          <w:p>
            <w:pPr>
              <w:rPr>
                <w:rFonts w:hint="eastAsia" w:ascii="宋体" w:hAnsi="宋体" w:cs="仿宋"/>
                <w:bCs/>
                <w:kern w:val="0"/>
                <w:sz w:val="20"/>
                <w:szCs w:val="20"/>
              </w:rPr>
            </w:pPr>
            <w:r>
              <w:rPr>
                <w:rFonts w:hint="eastAsia" w:ascii="宋体" w:hAnsi="宋体" w:cs="仿宋"/>
                <w:bCs/>
                <w:kern w:val="0"/>
                <w:sz w:val="20"/>
                <w:szCs w:val="20"/>
              </w:rPr>
              <w:t>可按照考试大类、细化分类和考试科目分别浏览试题、试卷，并进入单题训练和做卷练习；</w:t>
            </w:r>
          </w:p>
          <w:p>
            <w:pPr>
              <w:rPr>
                <w:rFonts w:hint="eastAsia" w:ascii="宋体" w:hAnsi="宋体" w:cs="仿宋"/>
                <w:bCs/>
                <w:kern w:val="0"/>
                <w:sz w:val="20"/>
                <w:szCs w:val="20"/>
              </w:rPr>
            </w:pPr>
            <w:r>
              <w:rPr>
                <w:rFonts w:hint="eastAsia" w:ascii="宋体" w:hAnsi="宋体" w:cs="仿宋"/>
                <w:bCs/>
                <w:kern w:val="0"/>
                <w:sz w:val="20"/>
                <w:szCs w:val="20"/>
              </w:rPr>
              <w:t>（2）试题试卷检索</w:t>
            </w:r>
          </w:p>
          <w:p>
            <w:pPr>
              <w:rPr>
                <w:rFonts w:hint="eastAsia" w:ascii="宋体" w:hAnsi="宋体" w:cs="仿宋"/>
                <w:bCs/>
                <w:kern w:val="0"/>
                <w:sz w:val="20"/>
                <w:szCs w:val="20"/>
              </w:rPr>
            </w:pPr>
            <w:r>
              <w:rPr>
                <w:rFonts w:hint="eastAsia" w:ascii="宋体" w:hAnsi="宋体" w:cs="仿宋"/>
                <w:bCs/>
                <w:kern w:val="0"/>
                <w:sz w:val="20"/>
                <w:szCs w:val="20"/>
              </w:rPr>
              <w:t>提供针对模块下的所有试题、试卷内容进行关键词查询的功能；</w:t>
            </w:r>
          </w:p>
          <w:p>
            <w:pPr>
              <w:rPr>
                <w:rFonts w:hint="eastAsia" w:ascii="宋体" w:hAnsi="宋体" w:cs="仿宋"/>
                <w:bCs/>
                <w:kern w:val="0"/>
                <w:sz w:val="20"/>
                <w:szCs w:val="20"/>
              </w:rPr>
            </w:pPr>
            <w:r>
              <w:rPr>
                <w:rFonts w:hint="eastAsia" w:ascii="宋体" w:hAnsi="宋体" w:cs="仿宋"/>
                <w:bCs/>
                <w:kern w:val="0"/>
                <w:sz w:val="20"/>
                <w:szCs w:val="20"/>
              </w:rPr>
              <w:t>（3）章节练习</w:t>
            </w:r>
          </w:p>
          <w:p>
            <w:pPr>
              <w:rPr>
                <w:rFonts w:hint="eastAsia" w:ascii="宋体" w:hAnsi="宋体" w:cs="仿宋"/>
                <w:bCs/>
                <w:kern w:val="0"/>
                <w:sz w:val="20"/>
                <w:szCs w:val="20"/>
              </w:rPr>
            </w:pPr>
            <w:r>
              <w:rPr>
                <w:rFonts w:hint="eastAsia" w:ascii="宋体" w:hAnsi="宋体" w:cs="仿宋"/>
                <w:bCs/>
                <w:kern w:val="0"/>
                <w:sz w:val="20"/>
                <w:szCs w:val="20"/>
              </w:rPr>
              <w:t>支持查看某一考试分类下更细的考试科目或知识点相关试题，然后进行细化练习；</w:t>
            </w:r>
          </w:p>
          <w:p>
            <w:pPr>
              <w:rPr>
                <w:rFonts w:hint="eastAsia" w:ascii="宋体" w:hAnsi="宋体" w:cs="仿宋"/>
                <w:bCs/>
                <w:kern w:val="0"/>
                <w:sz w:val="20"/>
                <w:szCs w:val="20"/>
              </w:rPr>
            </w:pPr>
            <w:r>
              <w:rPr>
                <w:rFonts w:hint="eastAsia" w:ascii="宋体" w:hAnsi="宋体" w:cs="仿宋"/>
                <w:bCs/>
                <w:kern w:val="0"/>
                <w:sz w:val="20"/>
                <w:szCs w:val="20"/>
              </w:rPr>
              <w:t>（4）每日一练</w:t>
            </w:r>
          </w:p>
          <w:p>
            <w:pPr>
              <w:rPr>
                <w:rFonts w:hint="eastAsia" w:ascii="宋体" w:hAnsi="宋体" w:cs="仿宋"/>
                <w:bCs/>
                <w:kern w:val="0"/>
                <w:sz w:val="20"/>
                <w:szCs w:val="20"/>
              </w:rPr>
            </w:pPr>
            <w:r>
              <w:rPr>
                <w:rFonts w:hint="eastAsia" w:ascii="宋体" w:hAnsi="宋体" w:cs="仿宋"/>
                <w:bCs/>
                <w:kern w:val="0"/>
                <w:sz w:val="20"/>
                <w:szCs w:val="20"/>
              </w:rPr>
              <w:t>任一考试类目或科目，系统每天会随机生成十道试题，供使用者反复训练；</w:t>
            </w:r>
          </w:p>
          <w:p>
            <w:pPr>
              <w:rPr>
                <w:rFonts w:hint="eastAsia" w:ascii="宋体" w:hAnsi="宋体" w:cs="仿宋"/>
                <w:bCs/>
                <w:kern w:val="0"/>
                <w:sz w:val="20"/>
                <w:szCs w:val="20"/>
              </w:rPr>
            </w:pPr>
            <w:r>
              <w:rPr>
                <w:rFonts w:hint="eastAsia" w:ascii="宋体" w:hAnsi="宋体" w:cs="仿宋"/>
                <w:bCs/>
                <w:kern w:val="0"/>
                <w:sz w:val="20"/>
                <w:szCs w:val="20"/>
              </w:rPr>
              <w:t>（5）在线模考</w:t>
            </w:r>
          </w:p>
          <w:p>
            <w:pPr>
              <w:rPr>
                <w:rFonts w:hint="eastAsia" w:ascii="宋体" w:hAnsi="宋体" w:cs="仿宋"/>
                <w:bCs/>
                <w:kern w:val="0"/>
                <w:sz w:val="20"/>
                <w:szCs w:val="20"/>
              </w:rPr>
            </w:pPr>
            <w:r>
              <w:rPr>
                <w:rFonts w:hint="eastAsia" w:ascii="宋体" w:hAnsi="宋体" w:cs="仿宋"/>
                <w:bCs/>
                <w:kern w:val="0"/>
                <w:sz w:val="20"/>
                <w:szCs w:val="20"/>
              </w:rPr>
              <w:t>分类导航查看试卷列表，限定条件进一步筛选试卷后，可进入计时考试训练模式；</w:t>
            </w:r>
          </w:p>
          <w:p>
            <w:pPr>
              <w:rPr>
                <w:rFonts w:hint="eastAsia" w:ascii="宋体" w:hAnsi="宋体" w:cs="仿宋"/>
                <w:bCs/>
                <w:kern w:val="0"/>
                <w:sz w:val="20"/>
                <w:szCs w:val="20"/>
              </w:rPr>
            </w:pPr>
            <w:r>
              <w:rPr>
                <w:rFonts w:hint="eastAsia" w:ascii="宋体" w:hAnsi="宋体" w:cs="仿宋"/>
                <w:bCs/>
                <w:kern w:val="0"/>
                <w:sz w:val="20"/>
                <w:szCs w:val="20"/>
              </w:rPr>
              <w:t>（6）专项训练</w:t>
            </w:r>
          </w:p>
          <w:p>
            <w:pPr>
              <w:rPr>
                <w:rFonts w:hint="eastAsia" w:ascii="宋体" w:hAnsi="宋体" w:cs="仿宋"/>
                <w:bCs/>
                <w:kern w:val="0"/>
                <w:sz w:val="20"/>
                <w:szCs w:val="20"/>
              </w:rPr>
            </w:pPr>
            <w:r>
              <w:rPr>
                <w:rFonts w:hint="eastAsia" w:ascii="宋体" w:hAnsi="宋体" w:cs="仿宋"/>
                <w:bCs/>
                <w:kern w:val="0"/>
                <w:sz w:val="20"/>
                <w:szCs w:val="20"/>
              </w:rPr>
              <w:t>支持使用者就某一分类或科目下的所有试题，按照题型或者题样式进行集中刷题训练；</w:t>
            </w:r>
          </w:p>
          <w:p>
            <w:pPr>
              <w:rPr>
                <w:rFonts w:hint="eastAsia" w:ascii="宋体" w:hAnsi="宋体" w:cs="仿宋"/>
                <w:bCs/>
                <w:kern w:val="0"/>
                <w:sz w:val="20"/>
                <w:szCs w:val="20"/>
              </w:rPr>
            </w:pPr>
            <w:r>
              <w:rPr>
                <w:rFonts w:hint="eastAsia" w:ascii="宋体" w:hAnsi="宋体" w:cs="仿宋"/>
                <w:bCs/>
                <w:kern w:val="0"/>
                <w:sz w:val="20"/>
                <w:szCs w:val="20"/>
              </w:rPr>
              <w:t>（7）随机组卷</w:t>
            </w:r>
          </w:p>
          <w:p>
            <w:pPr>
              <w:rPr>
                <w:rFonts w:hint="eastAsia" w:ascii="宋体" w:hAnsi="宋体" w:cs="仿宋"/>
                <w:bCs/>
                <w:kern w:val="0"/>
                <w:sz w:val="20"/>
                <w:szCs w:val="20"/>
              </w:rPr>
            </w:pPr>
            <w:r>
              <w:rPr>
                <w:rFonts w:hint="eastAsia" w:ascii="宋体" w:hAnsi="宋体" w:cs="仿宋"/>
                <w:bCs/>
                <w:kern w:val="0"/>
                <w:sz w:val="20"/>
                <w:szCs w:val="20"/>
              </w:rPr>
              <w:t>提供使用者就某一考试科目，按照标准考试模板随机抽题组卷自测的功能；</w:t>
            </w:r>
          </w:p>
          <w:p>
            <w:pPr>
              <w:rPr>
                <w:rFonts w:hint="eastAsia" w:ascii="宋体" w:hAnsi="宋体" w:cs="仿宋"/>
                <w:bCs/>
                <w:kern w:val="0"/>
                <w:sz w:val="20"/>
                <w:szCs w:val="20"/>
              </w:rPr>
            </w:pPr>
            <w:r>
              <w:rPr>
                <w:rFonts w:hint="eastAsia" w:ascii="宋体" w:hAnsi="宋体" w:cs="仿宋"/>
                <w:bCs/>
                <w:kern w:val="0"/>
                <w:sz w:val="20"/>
                <w:szCs w:val="20"/>
              </w:rPr>
              <w:t>（8）单题练习</w:t>
            </w:r>
          </w:p>
          <w:p>
            <w:pPr>
              <w:rPr>
                <w:rFonts w:hint="eastAsia" w:ascii="宋体" w:hAnsi="宋体" w:cs="仿宋"/>
                <w:bCs/>
                <w:kern w:val="0"/>
                <w:sz w:val="20"/>
                <w:szCs w:val="20"/>
              </w:rPr>
            </w:pPr>
            <w:r>
              <w:rPr>
                <w:rFonts w:hint="eastAsia" w:ascii="宋体" w:hAnsi="宋体" w:cs="仿宋"/>
                <w:bCs/>
                <w:kern w:val="0"/>
                <w:sz w:val="20"/>
                <w:szCs w:val="20"/>
              </w:rPr>
              <w:t>提供使用者针对某一分类或科目下的单道试题进行做题、查看答案、收藏、自动记入错题库功能；</w:t>
            </w:r>
          </w:p>
          <w:p>
            <w:pPr>
              <w:rPr>
                <w:rFonts w:hint="eastAsia" w:ascii="宋体" w:hAnsi="宋体" w:cs="仿宋"/>
                <w:bCs/>
                <w:kern w:val="0"/>
                <w:sz w:val="20"/>
                <w:szCs w:val="20"/>
              </w:rPr>
            </w:pPr>
            <w:r>
              <w:rPr>
                <w:rFonts w:hint="eastAsia" w:ascii="宋体" w:hAnsi="宋体" w:cs="仿宋"/>
                <w:bCs/>
                <w:kern w:val="0"/>
                <w:sz w:val="20"/>
                <w:szCs w:val="20"/>
              </w:rPr>
              <w:t>3、平台功能说明——高教题库模块</w:t>
            </w:r>
          </w:p>
          <w:p>
            <w:pPr>
              <w:rPr>
                <w:rFonts w:hint="eastAsia" w:ascii="宋体" w:hAnsi="宋体" w:cs="仿宋"/>
                <w:bCs/>
                <w:kern w:val="0"/>
                <w:sz w:val="20"/>
                <w:szCs w:val="20"/>
              </w:rPr>
            </w:pPr>
            <w:r>
              <w:rPr>
                <w:rFonts w:hint="eastAsia" w:ascii="宋体" w:hAnsi="宋体" w:cs="仿宋"/>
                <w:bCs/>
                <w:kern w:val="0"/>
                <w:sz w:val="20"/>
                <w:szCs w:val="20"/>
              </w:rPr>
              <w:t>（1）分类浏览</w:t>
            </w:r>
          </w:p>
          <w:p>
            <w:pPr>
              <w:rPr>
                <w:rFonts w:hint="eastAsia" w:ascii="宋体" w:hAnsi="宋体" w:cs="仿宋"/>
                <w:bCs/>
                <w:kern w:val="0"/>
                <w:sz w:val="20"/>
                <w:szCs w:val="20"/>
              </w:rPr>
            </w:pPr>
            <w:r>
              <w:rPr>
                <w:rFonts w:hint="eastAsia" w:ascii="宋体" w:hAnsi="宋体" w:cs="仿宋"/>
                <w:bCs/>
                <w:kern w:val="0"/>
                <w:sz w:val="20"/>
                <w:szCs w:val="20"/>
              </w:rPr>
              <w:t>可按照教育部学科分类（三级）查看浏览试题、试卷，进入单题训练和做卷练习；</w:t>
            </w:r>
          </w:p>
          <w:p>
            <w:pPr>
              <w:rPr>
                <w:rFonts w:hint="eastAsia" w:ascii="宋体" w:hAnsi="宋体" w:cs="仿宋"/>
                <w:bCs/>
                <w:kern w:val="0"/>
                <w:sz w:val="20"/>
                <w:szCs w:val="20"/>
              </w:rPr>
            </w:pPr>
            <w:r>
              <w:rPr>
                <w:rFonts w:hint="eastAsia" w:ascii="宋体" w:hAnsi="宋体" w:cs="仿宋"/>
                <w:bCs/>
                <w:kern w:val="0"/>
                <w:sz w:val="20"/>
                <w:szCs w:val="20"/>
              </w:rPr>
              <w:t>（2）试题试卷检索</w:t>
            </w:r>
          </w:p>
          <w:p>
            <w:pPr>
              <w:rPr>
                <w:rFonts w:hint="eastAsia" w:ascii="宋体" w:hAnsi="宋体" w:cs="仿宋"/>
                <w:bCs/>
                <w:kern w:val="0"/>
                <w:sz w:val="20"/>
                <w:szCs w:val="20"/>
              </w:rPr>
            </w:pPr>
            <w:r>
              <w:rPr>
                <w:rFonts w:hint="eastAsia" w:ascii="宋体" w:hAnsi="宋体" w:cs="仿宋"/>
                <w:bCs/>
                <w:kern w:val="0"/>
                <w:sz w:val="20"/>
                <w:szCs w:val="20"/>
              </w:rPr>
              <w:t>提供针对模块下的所有试题、试卷内容进行关键词查询的功能；</w:t>
            </w:r>
          </w:p>
          <w:p>
            <w:pPr>
              <w:rPr>
                <w:rFonts w:hint="eastAsia" w:ascii="宋体" w:hAnsi="宋体" w:cs="仿宋"/>
                <w:bCs/>
                <w:kern w:val="0"/>
                <w:sz w:val="20"/>
                <w:szCs w:val="20"/>
              </w:rPr>
            </w:pPr>
            <w:r>
              <w:rPr>
                <w:rFonts w:hint="eastAsia" w:ascii="宋体" w:hAnsi="宋体" w:cs="仿宋"/>
                <w:bCs/>
                <w:kern w:val="0"/>
                <w:sz w:val="20"/>
                <w:szCs w:val="20"/>
              </w:rPr>
              <w:t>（3）章节练习</w:t>
            </w:r>
          </w:p>
          <w:p>
            <w:pPr>
              <w:rPr>
                <w:rFonts w:hint="eastAsia" w:ascii="宋体" w:hAnsi="宋体" w:cs="仿宋"/>
                <w:bCs/>
                <w:kern w:val="0"/>
                <w:sz w:val="20"/>
                <w:szCs w:val="20"/>
              </w:rPr>
            </w:pPr>
            <w:r>
              <w:rPr>
                <w:rFonts w:hint="eastAsia" w:ascii="宋体" w:hAnsi="宋体" w:cs="仿宋"/>
                <w:bCs/>
                <w:kern w:val="0"/>
                <w:sz w:val="20"/>
                <w:szCs w:val="20"/>
              </w:rPr>
              <w:t>展示所选学科类目下更细知识点的试题汇总，以供使用者有针对性的做题练习；</w:t>
            </w:r>
          </w:p>
          <w:p>
            <w:pPr>
              <w:rPr>
                <w:rFonts w:hint="eastAsia" w:ascii="宋体" w:hAnsi="宋体" w:cs="仿宋"/>
                <w:bCs/>
                <w:kern w:val="0"/>
                <w:sz w:val="20"/>
                <w:szCs w:val="20"/>
              </w:rPr>
            </w:pPr>
            <w:r>
              <w:rPr>
                <w:rFonts w:hint="eastAsia" w:ascii="宋体" w:hAnsi="宋体" w:cs="仿宋"/>
                <w:bCs/>
                <w:kern w:val="0"/>
                <w:sz w:val="20"/>
                <w:szCs w:val="20"/>
              </w:rPr>
              <w:t>（4）专项训练</w:t>
            </w:r>
          </w:p>
          <w:p>
            <w:pPr>
              <w:rPr>
                <w:rFonts w:hint="eastAsia" w:ascii="宋体" w:hAnsi="宋体" w:cs="仿宋"/>
                <w:bCs/>
                <w:kern w:val="0"/>
                <w:sz w:val="20"/>
                <w:szCs w:val="20"/>
              </w:rPr>
            </w:pPr>
            <w:r>
              <w:rPr>
                <w:rFonts w:hint="eastAsia" w:ascii="宋体" w:hAnsi="宋体" w:cs="仿宋"/>
                <w:bCs/>
                <w:kern w:val="0"/>
                <w:sz w:val="20"/>
                <w:szCs w:val="20"/>
              </w:rPr>
              <w:t>提供使用者按照教育部学科类目（三级）选择合适的题型进行集中刷题训练；</w:t>
            </w:r>
          </w:p>
          <w:p>
            <w:pPr>
              <w:rPr>
                <w:rFonts w:hint="eastAsia" w:ascii="宋体" w:hAnsi="宋体" w:cs="仿宋"/>
                <w:bCs/>
                <w:kern w:val="0"/>
                <w:sz w:val="20"/>
                <w:szCs w:val="20"/>
              </w:rPr>
            </w:pPr>
            <w:r>
              <w:rPr>
                <w:rFonts w:hint="eastAsia" w:ascii="宋体" w:hAnsi="宋体" w:cs="仿宋"/>
                <w:bCs/>
                <w:kern w:val="0"/>
                <w:sz w:val="20"/>
                <w:szCs w:val="20"/>
              </w:rPr>
              <w:t>（5）单题练习</w:t>
            </w:r>
          </w:p>
          <w:p>
            <w:pPr>
              <w:rPr>
                <w:rFonts w:hint="eastAsia" w:ascii="宋体" w:hAnsi="宋体" w:cs="仿宋"/>
                <w:bCs/>
                <w:kern w:val="0"/>
                <w:sz w:val="20"/>
                <w:szCs w:val="20"/>
              </w:rPr>
            </w:pPr>
            <w:r>
              <w:rPr>
                <w:rFonts w:hint="eastAsia" w:ascii="宋体" w:hAnsi="宋体" w:cs="仿宋"/>
                <w:bCs/>
                <w:kern w:val="0"/>
                <w:sz w:val="20"/>
                <w:szCs w:val="20"/>
              </w:rPr>
              <w:t>支持单道试题进行做题、查看答案、收藏、自动记入错题库功能；</w:t>
            </w:r>
          </w:p>
          <w:p>
            <w:pPr>
              <w:rPr>
                <w:rFonts w:hint="eastAsia" w:ascii="宋体" w:hAnsi="宋体" w:cs="仿宋"/>
                <w:bCs/>
                <w:kern w:val="0"/>
                <w:sz w:val="20"/>
                <w:szCs w:val="20"/>
              </w:rPr>
            </w:pPr>
            <w:r>
              <w:rPr>
                <w:rFonts w:hint="eastAsia" w:ascii="宋体" w:hAnsi="宋体" w:cs="仿宋"/>
                <w:bCs/>
                <w:kern w:val="0"/>
                <w:sz w:val="20"/>
                <w:szCs w:val="20"/>
              </w:rPr>
              <w:t>（6）做卷练习</w:t>
            </w:r>
          </w:p>
          <w:p>
            <w:pPr>
              <w:rPr>
                <w:rFonts w:hint="eastAsia" w:ascii="宋体" w:hAnsi="宋体" w:cs="仿宋"/>
                <w:bCs/>
                <w:kern w:val="0"/>
                <w:sz w:val="20"/>
                <w:szCs w:val="20"/>
              </w:rPr>
            </w:pPr>
            <w:r>
              <w:rPr>
                <w:rFonts w:hint="eastAsia" w:ascii="宋体" w:hAnsi="宋体" w:cs="仿宋"/>
                <w:bCs/>
                <w:kern w:val="0"/>
                <w:sz w:val="20"/>
                <w:szCs w:val="20"/>
              </w:rPr>
              <w:t>分类导航查看试卷列表，选择试卷后，可进入计时考试训练模式；</w:t>
            </w:r>
          </w:p>
          <w:p>
            <w:pPr>
              <w:rPr>
                <w:rFonts w:hint="eastAsia" w:ascii="宋体" w:hAnsi="宋体" w:cs="仿宋"/>
                <w:bCs/>
                <w:kern w:val="0"/>
                <w:sz w:val="20"/>
                <w:szCs w:val="20"/>
              </w:rPr>
            </w:pPr>
            <w:r>
              <w:rPr>
                <w:rFonts w:hint="eastAsia" w:ascii="宋体" w:hAnsi="宋体" w:cs="仿宋"/>
                <w:bCs/>
                <w:kern w:val="0"/>
                <w:sz w:val="20"/>
                <w:szCs w:val="20"/>
              </w:rPr>
              <w:t>4、平台功能说明——移动应用模块</w:t>
            </w:r>
          </w:p>
          <w:p>
            <w:pPr>
              <w:rPr>
                <w:rFonts w:hint="eastAsia" w:ascii="宋体" w:hAnsi="宋体" w:cs="仿宋"/>
                <w:bCs/>
                <w:kern w:val="0"/>
                <w:sz w:val="20"/>
                <w:szCs w:val="20"/>
              </w:rPr>
            </w:pPr>
            <w:r>
              <w:rPr>
                <w:rFonts w:hint="eastAsia" w:ascii="宋体" w:hAnsi="宋体" w:cs="仿宋"/>
                <w:bCs/>
                <w:kern w:val="0"/>
                <w:sz w:val="20"/>
                <w:szCs w:val="20"/>
              </w:rPr>
              <w:t>（1）维普考试APP</w:t>
            </w:r>
          </w:p>
          <w:p>
            <w:pPr>
              <w:rPr>
                <w:rFonts w:hint="eastAsia" w:ascii="宋体" w:hAnsi="宋体" w:cs="仿宋"/>
                <w:bCs/>
                <w:kern w:val="0"/>
                <w:sz w:val="20"/>
                <w:szCs w:val="20"/>
              </w:rPr>
            </w:pPr>
            <w:r>
              <w:rPr>
                <w:rFonts w:hint="eastAsia" w:ascii="宋体" w:hAnsi="宋体" w:cs="仿宋"/>
                <w:bCs/>
                <w:kern w:val="0"/>
                <w:sz w:val="20"/>
                <w:szCs w:val="20"/>
              </w:rPr>
              <w:t>面向使用者提供职业资格模块内容的考试练习功能，包括每日闯关、备战模考、专项练习、随机组卷、我的错题等；</w:t>
            </w:r>
          </w:p>
          <w:p>
            <w:pPr>
              <w:rPr>
                <w:rFonts w:hint="eastAsia" w:ascii="宋体" w:hAnsi="宋体" w:cs="仿宋"/>
                <w:bCs/>
                <w:kern w:val="0"/>
                <w:sz w:val="20"/>
                <w:szCs w:val="20"/>
              </w:rPr>
            </w:pPr>
            <w:r>
              <w:rPr>
                <w:rFonts w:hint="eastAsia" w:ascii="宋体" w:hAnsi="宋体" w:cs="仿宋"/>
                <w:bCs/>
                <w:kern w:val="0"/>
                <w:sz w:val="20"/>
                <w:szCs w:val="20"/>
              </w:rPr>
              <w:t>（2）维普掌上题库</w:t>
            </w:r>
          </w:p>
          <w:p>
            <w:pPr>
              <w:rPr>
                <w:rFonts w:hint="eastAsia" w:ascii="宋体" w:hAnsi="宋体" w:cs="仿宋"/>
                <w:bCs/>
                <w:kern w:val="0"/>
                <w:sz w:val="20"/>
                <w:szCs w:val="20"/>
              </w:rPr>
            </w:pPr>
            <w:r>
              <w:rPr>
                <w:rFonts w:hint="eastAsia" w:ascii="宋体" w:hAnsi="宋体" w:cs="仿宋"/>
                <w:bCs/>
                <w:kern w:val="0"/>
                <w:sz w:val="20"/>
                <w:szCs w:val="20"/>
              </w:rPr>
              <w:t>为机构APP应用或机构微信公众号嵌入本项目服务提供解决方案，同时支持用户微信扫码直接使用，不需要下载安装应用；</w:t>
            </w:r>
          </w:p>
          <w:p>
            <w:pPr>
              <w:rPr>
                <w:rFonts w:hint="eastAsia" w:ascii="宋体" w:hAnsi="宋体" w:cs="仿宋"/>
                <w:bCs/>
                <w:kern w:val="0"/>
                <w:sz w:val="20"/>
                <w:szCs w:val="20"/>
              </w:rPr>
            </w:pPr>
            <w:r>
              <w:rPr>
                <w:rFonts w:hint="eastAsia" w:ascii="宋体" w:hAnsi="宋体" w:cs="仿宋"/>
                <w:bCs/>
                <w:kern w:val="0"/>
                <w:sz w:val="20"/>
                <w:szCs w:val="20"/>
              </w:rPr>
              <w:t>5、平台服务说明——个人中心</w:t>
            </w:r>
          </w:p>
          <w:p>
            <w:pPr>
              <w:rPr>
                <w:rFonts w:hint="eastAsia" w:ascii="宋体" w:hAnsi="宋体" w:cs="仿宋"/>
                <w:bCs/>
                <w:kern w:val="0"/>
                <w:sz w:val="20"/>
                <w:szCs w:val="20"/>
              </w:rPr>
            </w:pPr>
            <w:r>
              <w:rPr>
                <w:rFonts w:hint="eastAsia" w:ascii="宋体" w:hAnsi="宋体" w:cs="仿宋"/>
                <w:bCs/>
                <w:kern w:val="0"/>
                <w:sz w:val="20"/>
                <w:szCs w:val="20"/>
              </w:rPr>
              <w:t>（1）做卷记录</w:t>
            </w:r>
          </w:p>
          <w:p>
            <w:pPr>
              <w:rPr>
                <w:rFonts w:hint="eastAsia" w:ascii="宋体" w:hAnsi="宋体" w:cs="仿宋"/>
                <w:bCs/>
                <w:kern w:val="0"/>
                <w:sz w:val="20"/>
                <w:szCs w:val="20"/>
              </w:rPr>
            </w:pPr>
            <w:r>
              <w:rPr>
                <w:rFonts w:hint="eastAsia" w:ascii="宋体" w:hAnsi="宋体" w:cs="仿宋"/>
                <w:bCs/>
                <w:kern w:val="0"/>
                <w:sz w:val="20"/>
                <w:szCs w:val="20"/>
              </w:rPr>
              <w:t>系统自动记录使用者做过的系统试卷，用于使用者查看自己在本系统的训练情况（必须个人账号登录使用）；</w:t>
            </w:r>
          </w:p>
          <w:p>
            <w:pPr>
              <w:rPr>
                <w:rFonts w:hint="eastAsia" w:ascii="宋体" w:hAnsi="宋体" w:cs="仿宋"/>
                <w:bCs/>
                <w:kern w:val="0"/>
                <w:sz w:val="20"/>
                <w:szCs w:val="20"/>
              </w:rPr>
            </w:pPr>
            <w:r>
              <w:rPr>
                <w:rFonts w:hint="eastAsia" w:ascii="宋体" w:hAnsi="宋体" w:cs="仿宋"/>
                <w:bCs/>
                <w:kern w:val="0"/>
                <w:sz w:val="20"/>
                <w:szCs w:val="20"/>
              </w:rPr>
              <w:t>（2）错题库</w:t>
            </w:r>
          </w:p>
          <w:p>
            <w:pPr>
              <w:rPr>
                <w:rFonts w:hint="eastAsia" w:ascii="宋体" w:hAnsi="宋体" w:cs="仿宋"/>
                <w:bCs/>
                <w:kern w:val="0"/>
                <w:sz w:val="20"/>
                <w:szCs w:val="20"/>
              </w:rPr>
            </w:pPr>
            <w:r>
              <w:rPr>
                <w:rFonts w:hint="eastAsia" w:ascii="宋体" w:hAnsi="宋体" w:cs="仿宋"/>
                <w:bCs/>
                <w:kern w:val="0"/>
                <w:sz w:val="20"/>
                <w:szCs w:val="20"/>
              </w:rPr>
              <w:t>系统自动记录使用者答错的客观题内容，并支持错题组卷功能；</w:t>
            </w:r>
          </w:p>
          <w:p>
            <w:pPr>
              <w:rPr>
                <w:rFonts w:hint="eastAsia" w:ascii="宋体" w:hAnsi="宋体" w:cs="仿宋"/>
                <w:bCs/>
                <w:kern w:val="0"/>
                <w:sz w:val="20"/>
                <w:szCs w:val="20"/>
              </w:rPr>
            </w:pPr>
            <w:r>
              <w:rPr>
                <w:rFonts w:hint="eastAsia" w:ascii="宋体" w:hAnsi="宋体" w:cs="仿宋"/>
                <w:bCs/>
                <w:kern w:val="0"/>
                <w:sz w:val="20"/>
                <w:szCs w:val="20"/>
              </w:rPr>
              <w:t>（3）收藏试卷</w:t>
            </w:r>
          </w:p>
          <w:p>
            <w:pPr>
              <w:rPr>
                <w:rFonts w:hint="eastAsia" w:ascii="宋体" w:hAnsi="宋体" w:cs="仿宋"/>
                <w:bCs/>
                <w:kern w:val="0"/>
                <w:sz w:val="20"/>
                <w:szCs w:val="20"/>
              </w:rPr>
            </w:pPr>
            <w:r>
              <w:rPr>
                <w:rFonts w:hint="eastAsia" w:ascii="宋体" w:hAnsi="宋体" w:cs="仿宋"/>
                <w:bCs/>
                <w:kern w:val="0"/>
                <w:sz w:val="20"/>
                <w:szCs w:val="20"/>
              </w:rPr>
              <w:t>支持使用者收藏试卷，并在“个人中心”随时调用再练习；</w:t>
            </w:r>
          </w:p>
          <w:p>
            <w:pPr>
              <w:rPr>
                <w:rFonts w:hint="eastAsia" w:ascii="宋体" w:hAnsi="宋体" w:cs="仿宋"/>
                <w:bCs/>
                <w:kern w:val="0"/>
                <w:sz w:val="20"/>
                <w:szCs w:val="20"/>
              </w:rPr>
            </w:pPr>
            <w:r>
              <w:rPr>
                <w:rFonts w:hint="eastAsia" w:ascii="宋体" w:hAnsi="宋体" w:cs="仿宋"/>
                <w:bCs/>
                <w:kern w:val="0"/>
                <w:sz w:val="20"/>
                <w:szCs w:val="20"/>
              </w:rPr>
              <w:t>（4）收藏试题</w:t>
            </w:r>
          </w:p>
          <w:p>
            <w:pPr>
              <w:rPr>
                <w:rFonts w:hint="eastAsia" w:ascii="宋体" w:hAnsi="宋体" w:eastAsia="宋体" w:cs="仿宋"/>
                <w:bCs/>
                <w:kern w:val="0"/>
                <w:sz w:val="20"/>
                <w:szCs w:val="20"/>
                <w:lang w:val="en-US" w:eastAsia="zh-CN" w:bidi="ar-SA"/>
              </w:rPr>
            </w:pPr>
            <w:r>
              <w:rPr>
                <w:rFonts w:hint="eastAsia" w:ascii="宋体" w:hAnsi="宋体" w:cs="仿宋"/>
                <w:bCs/>
                <w:kern w:val="0"/>
                <w:sz w:val="20"/>
                <w:szCs w:val="20"/>
              </w:rPr>
              <w:t>支持使用者收藏试题，并在“个人中心”随时调用再练习</w:t>
            </w:r>
            <w:r>
              <w:rPr>
                <w:rFonts w:hint="eastAsia" w:ascii="宋体" w:hAnsi="宋体" w:cs="仿宋"/>
                <w:b/>
                <w:bCs/>
                <w:sz w:val="20"/>
                <w:szCs w:val="20"/>
              </w:rPr>
              <w:t>；</w:t>
            </w:r>
            <w:r>
              <w:rPr>
                <w:rFonts w:ascii="宋体" w:hAnsi="宋体" w:cs="仿宋"/>
                <w:bCs/>
                <w:kern w:val="0"/>
                <w:sz w:val="20"/>
                <w:szCs w:val="20"/>
              </w:rPr>
              <w:t xml:space="preserve"> </w:t>
            </w:r>
          </w:p>
        </w:tc>
        <w:tc>
          <w:tcPr>
            <w:tcW w:w="689" w:type="dxa"/>
            <w:vAlign w:val="center"/>
          </w:tcPr>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远程</w:t>
            </w:r>
          </w:p>
          <w:p>
            <w:pPr>
              <w:jc w:val="center"/>
              <w:rPr>
                <w:rFonts w:hint="eastAsia" w:ascii="仿宋" w:hAnsi="仿宋" w:eastAsia="仿宋" w:cs="Times New Roman"/>
                <w:kern w:val="2"/>
                <w:sz w:val="20"/>
                <w:szCs w:val="20"/>
                <w:lang w:val="en-US" w:eastAsia="zh-CN" w:bidi="ar-SA"/>
              </w:rPr>
            </w:pPr>
            <w:r>
              <w:rPr>
                <w:rFonts w:hint="eastAsia" w:ascii="仿宋" w:hAnsi="仿宋" w:eastAsia="仿宋"/>
                <w:sz w:val="20"/>
                <w:szCs w:val="20"/>
              </w:rPr>
              <w:t>访问</w:t>
            </w:r>
          </w:p>
        </w:tc>
        <w:tc>
          <w:tcPr>
            <w:tcW w:w="833"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20</w:t>
            </w:r>
            <w:r>
              <w:rPr>
                <w:rFonts w:ascii="宋体" w:hAnsi="宋体" w:cs="宋体"/>
                <w:kern w:val="0"/>
                <w:sz w:val="20"/>
                <w:szCs w:val="20"/>
              </w:rPr>
              <w:t>2</w:t>
            </w:r>
            <w:r>
              <w:rPr>
                <w:rFonts w:hint="eastAsia" w:ascii="宋体" w:hAnsi="宋体" w:cs="宋体"/>
                <w:kern w:val="0"/>
                <w:sz w:val="20"/>
                <w:szCs w:val="20"/>
              </w:rPr>
              <w:t>3年1月1日至20</w:t>
            </w:r>
            <w:r>
              <w:rPr>
                <w:rFonts w:ascii="宋体" w:hAnsi="宋体" w:cs="宋体"/>
                <w:kern w:val="0"/>
                <w:sz w:val="20"/>
                <w:szCs w:val="20"/>
              </w:rPr>
              <w:t>2</w:t>
            </w:r>
            <w:r>
              <w:rPr>
                <w:rFonts w:hint="eastAsia" w:ascii="宋体" w:hAnsi="宋体" w:cs="宋体"/>
                <w:kern w:val="0"/>
                <w:sz w:val="20"/>
                <w:szCs w:val="20"/>
              </w:rPr>
              <w:t>3年12月31日</w:t>
            </w:r>
          </w:p>
        </w:tc>
      </w:tr>
    </w:tbl>
    <w:p>
      <w:pPr>
        <w:pStyle w:val="2"/>
        <w:rPr>
          <w:rFonts w:hint="eastAsia" w:ascii="宋体" w:hAnsi="宋体"/>
          <w:b/>
          <w:sz w:val="24"/>
          <w:szCs w:val="22"/>
          <w:lang w:val="en-US" w:eastAsia="zh-CN"/>
        </w:rPr>
      </w:pPr>
      <w:r>
        <w:rPr>
          <w:rFonts w:hint="eastAsia" w:ascii="宋体" w:hAnsi="宋体"/>
          <w:b/>
          <w:sz w:val="24"/>
          <w:szCs w:val="22"/>
          <w:lang w:val="en-US" w:eastAsia="zh-CN"/>
        </w:rPr>
        <w:t>标项四：</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eastAsia" w:ascii="宋体" w:hAnsi="宋体" w:cs="宋体"/>
                <w:kern w:val="0"/>
                <w:sz w:val="20"/>
                <w:szCs w:val="20"/>
                <w:lang w:val="en-US" w:eastAsia="zh-CN" w:bidi="ar-SA"/>
              </w:rPr>
            </w:pPr>
          </w:p>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w:t>
            </w:r>
          </w:p>
        </w:tc>
        <w:tc>
          <w:tcPr>
            <w:tcW w:w="1288" w:type="dxa"/>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起点考研网</w:t>
            </w:r>
          </w:p>
        </w:tc>
        <w:tc>
          <w:tcPr>
            <w:tcW w:w="6656" w:type="dxa"/>
            <w:vAlign w:val="center"/>
          </w:tcPr>
          <w:p>
            <w:pPr>
              <w:tabs>
                <w:tab w:val="left" w:pos="0"/>
              </w:tabs>
              <w:adjustRightInd w:val="0"/>
              <w:spacing w:line="360" w:lineRule="exact"/>
              <w:ind w:firstLine="400" w:firstLineChars="200"/>
              <w:rPr>
                <w:rFonts w:hint="eastAsia" w:ascii="宋体" w:hAnsi="宋体" w:cs="仿宋"/>
                <w:bCs/>
                <w:sz w:val="20"/>
                <w:szCs w:val="20"/>
              </w:rPr>
            </w:pPr>
            <w:r>
              <w:rPr>
                <w:rFonts w:hint="eastAsia" w:ascii="宋体" w:hAnsi="宋体" w:cs="仿宋"/>
                <w:bCs/>
                <w:sz w:val="20"/>
                <w:szCs w:val="20"/>
              </w:rPr>
              <w:t>1.服务平台应包含最新的视频课程、讲义、配套的历年真题、模拟题试卷、名师讲堂、考研资讯等内容，学、考、练在同一平台进行；2.应包括17大类考研类视频课件，所有视频资源来源于跨考教育集团，包括公共课程考研政治、考研数学、英语一、英语二、经济类综合、管理类综合，以及考研专业课：计算机、教育学、心理学、法律硕士、金融硕士、管理硕士、经济硕士等。视频资源总量不少于8000课时</w:t>
            </w:r>
            <w:r>
              <w:rPr>
                <w:rFonts w:ascii="宋体" w:hAnsi="宋体" w:cs="仿宋"/>
                <w:bCs/>
                <w:sz w:val="20"/>
                <w:szCs w:val="20"/>
              </w:rPr>
              <w:t>;3.</w:t>
            </w:r>
            <w:r>
              <w:rPr>
                <w:rFonts w:hint="eastAsia" w:ascii="宋体" w:hAnsi="宋体" w:cs="仿宋"/>
                <w:bCs/>
                <w:sz w:val="20"/>
                <w:szCs w:val="20"/>
              </w:rPr>
              <w:t>视频课程收录时间要求：视频需包含2013年至2020年的考研课程及历年真题模拟题近8年时间跨度;4</w:t>
            </w:r>
            <w:r>
              <w:rPr>
                <w:rFonts w:ascii="宋体" w:hAnsi="宋体" w:cs="仿宋"/>
                <w:bCs/>
                <w:sz w:val="20"/>
                <w:szCs w:val="20"/>
              </w:rPr>
              <w:t>.</w:t>
            </w:r>
            <w:r>
              <w:rPr>
                <w:rFonts w:hint="eastAsia" w:ascii="宋体" w:hAnsi="宋体" w:cs="仿宋"/>
                <w:bCs/>
                <w:sz w:val="20"/>
                <w:szCs w:val="20"/>
              </w:rPr>
              <w:t>视频更新模式要求：按课程学习进度安排，设置有真题解析班、导学班、基础班、强化班、冲刺班课程。依据跨考考研独特的学习辅导体系即五轮四阶课程体系，按照基础班、强化班、和冲刺班划分,并按阶梯分批次更新;5.视频个人管理要求：可对每个视频课程记录随堂笔记，记录有笔记的视频会一同保存进个人中心，方便读者下次使用;6.支持PC版、微信移动版多种使用方式，满足不同读者对数据库不同的使用习惯，同时保证PC版和微信移动版的资源完成同步更新;7.微信版校内注册后，可实现在校外的登陆访问，使读者不受时间、空间限制，随时可利用碎片化时间登陆数据库进行学习;8.微信移动版可实现与我馆微信公众号对接，与我馆微信公众号做嵌入使用，通过我馆微信客户端移动图书馆直接访问移动版，无需另外下载APP.</w:t>
            </w:r>
          </w:p>
          <w:p>
            <w:pPr>
              <w:rPr>
                <w:rFonts w:hint="eastAsia" w:ascii="宋体" w:hAnsi="宋体" w:eastAsia="宋体" w:cs="宋体"/>
                <w:kern w:val="0"/>
                <w:sz w:val="20"/>
                <w:szCs w:val="20"/>
                <w:lang w:val="en-US" w:eastAsia="zh-CN" w:bidi="ar-SA"/>
              </w:rPr>
            </w:pPr>
          </w:p>
        </w:tc>
        <w:tc>
          <w:tcPr>
            <w:tcW w:w="678" w:type="dxa"/>
            <w:vAlign w:val="center"/>
          </w:tcPr>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20</w:t>
            </w:r>
            <w:r>
              <w:rPr>
                <w:rFonts w:ascii="宋体" w:hAnsi="宋体" w:cs="宋体"/>
                <w:kern w:val="0"/>
                <w:sz w:val="20"/>
                <w:szCs w:val="20"/>
              </w:rPr>
              <w:t>2</w:t>
            </w:r>
            <w:r>
              <w:rPr>
                <w:rFonts w:hint="eastAsia" w:ascii="宋体" w:hAnsi="宋体" w:cs="宋体"/>
                <w:kern w:val="0"/>
                <w:sz w:val="20"/>
                <w:szCs w:val="20"/>
              </w:rPr>
              <w:t>3年</w:t>
            </w:r>
            <w:r>
              <w:rPr>
                <w:rFonts w:ascii="宋体" w:hAnsi="宋体" w:cs="宋体"/>
                <w:kern w:val="0"/>
                <w:sz w:val="20"/>
                <w:szCs w:val="20"/>
              </w:rPr>
              <w:t>1</w:t>
            </w:r>
            <w:r>
              <w:rPr>
                <w:rFonts w:hint="eastAsia" w:ascii="宋体" w:hAnsi="宋体" w:cs="宋体"/>
                <w:kern w:val="0"/>
                <w:sz w:val="20"/>
                <w:szCs w:val="20"/>
              </w:rPr>
              <w:t>月1日至20</w:t>
            </w:r>
            <w:r>
              <w:rPr>
                <w:rFonts w:ascii="宋体" w:hAnsi="宋体" w:cs="宋体"/>
                <w:kern w:val="0"/>
                <w:sz w:val="20"/>
                <w:szCs w:val="20"/>
              </w:rPr>
              <w:t>2</w:t>
            </w:r>
            <w:r>
              <w:rPr>
                <w:rFonts w:hint="eastAsia" w:ascii="宋体" w:hAnsi="宋体" w:cs="宋体"/>
                <w:kern w:val="0"/>
                <w:sz w:val="20"/>
                <w:szCs w:val="20"/>
              </w:rPr>
              <w:t>3年</w:t>
            </w:r>
            <w:r>
              <w:rPr>
                <w:rFonts w:ascii="宋体" w:hAnsi="宋体" w:cs="宋体"/>
                <w:kern w:val="0"/>
                <w:sz w:val="20"/>
                <w:szCs w:val="20"/>
              </w:rPr>
              <w:t>12</w:t>
            </w:r>
            <w:r>
              <w:rPr>
                <w:rFonts w:hint="eastAsia" w:ascii="宋体" w:hAnsi="宋体" w:cs="宋体"/>
                <w:kern w:val="0"/>
                <w:sz w:val="20"/>
                <w:szCs w:val="20"/>
              </w:rPr>
              <w:t>月31日</w:t>
            </w:r>
          </w:p>
        </w:tc>
      </w:tr>
    </w:tbl>
    <w:p>
      <w:pPr>
        <w:pStyle w:val="2"/>
        <w:rPr>
          <w:rFonts w:hint="eastAsia" w:ascii="宋体" w:hAnsi="宋体"/>
          <w:b/>
          <w:sz w:val="24"/>
          <w:szCs w:val="22"/>
          <w:lang w:val="en-US" w:eastAsia="zh-CN"/>
        </w:rPr>
      </w:pPr>
      <w:r>
        <w:rPr>
          <w:rFonts w:hint="eastAsia" w:ascii="宋体" w:hAnsi="宋体"/>
          <w:b/>
          <w:sz w:val="24"/>
          <w:szCs w:val="22"/>
          <w:lang w:val="en-US" w:eastAsia="zh-CN"/>
        </w:rPr>
        <w:t>标项五：</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w:t>
            </w:r>
          </w:p>
        </w:tc>
        <w:tc>
          <w:tcPr>
            <w:tcW w:w="1288" w:type="dxa"/>
            <w:vAlign w:val="center"/>
          </w:tcPr>
          <w:p>
            <w:pPr>
              <w:widowControl/>
              <w:jc w:val="left"/>
              <w:rPr>
                <w:rFonts w:hint="eastAsia" w:ascii="宋体" w:hAnsi="宋体" w:eastAsia="宋体" w:cs="宋体"/>
                <w:kern w:val="0"/>
                <w:sz w:val="21"/>
                <w:szCs w:val="21"/>
                <w:lang w:val="en-US" w:eastAsia="zh-CN" w:bidi="ar-SA"/>
              </w:rPr>
            </w:pPr>
            <w:r>
              <w:rPr>
                <w:rFonts w:hint="eastAsia" w:ascii="仿宋_GB2312" w:eastAsia="仿宋_GB2312"/>
                <w:szCs w:val="21"/>
              </w:rPr>
              <w:t>中华历史文献数据库</w:t>
            </w:r>
          </w:p>
        </w:tc>
        <w:tc>
          <w:tcPr>
            <w:tcW w:w="6656" w:type="dxa"/>
            <w:vAlign w:val="center"/>
          </w:tcPr>
          <w:p>
            <w:pPr>
              <w:ind w:firstLine="400" w:firstLineChars="200"/>
              <w:rPr>
                <w:rFonts w:hint="eastAsia" w:ascii="宋体" w:hAnsi="宋体"/>
                <w:sz w:val="20"/>
                <w:szCs w:val="20"/>
              </w:rPr>
            </w:pPr>
            <w:r>
              <w:rPr>
                <w:rFonts w:hint="eastAsia" w:ascii="宋体" w:hAnsi="宋体"/>
                <w:sz w:val="20"/>
                <w:szCs w:val="20"/>
              </w:rPr>
              <w:t>四库全书及丛书集成、申报、大公报、新华日报和时报1年的远程访问权，四库全书及丛书集成、申报、大公报、新华日报和时报需集成到一个平台上，实现跨库统一检索，四库全书和丛书集成能够按照卷名进行检索。</w:t>
            </w:r>
          </w:p>
          <w:p>
            <w:pPr>
              <w:rPr>
                <w:rFonts w:hint="eastAsia" w:ascii="宋体" w:hAnsi="宋体"/>
                <w:b/>
                <w:bCs/>
                <w:sz w:val="20"/>
                <w:szCs w:val="20"/>
              </w:rPr>
            </w:pPr>
            <w:r>
              <w:rPr>
                <w:rFonts w:hint="eastAsia" w:ascii="宋体" w:hAnsi="宋体"/>
                <w:b/>
                <w:bCs/>
                <w:sz w:val="20"/>
                <w:szCs w:val="20"/>
              </w:rPr>
              <w:t>技术要求：</w:t>
            </w:r>
          </w:p>
          <w:p>
            <w:pPr>
              <w:rPr>
                <w:rFonts w:hint="eastAsia" w:ascii="宋体" w:hAnsi="宋体" w:cs="宋体"/>
                <w:sz w:val="20"/>
                <w:szCs w:val="20"/>
              </w:rPr>
            </w:pPr>
            <w:r>
              <w:rPr>
                <w:rFonts w:hint="eastAsia" w:ascii="宋体" w:hAnsi="宋体" w:cs="宋体"/>
                <w:sz w:val="20"/>
                <w:szCs w:val="20"/>
              </w:rPr>
              <w:t>（1）能够实现不同文献类型的一站式检索、检索千万条数据速度在毫秒级，系统词表不低于8000万，且不重复；</w:t>
            </w:r>
          </w:p>
          <w:p>
            <w:pPr>
              <w:rPr>
                <w:rFonts w:hint="eastAsia" w:ascii="宋体" w:hAnsi="宋体" w:cs="宋体"/>
                <w:sz w:val="20"/>
                <w:szCs w:val="20"/>
              </w:rPr>
            </w:pPr>
            <w:r>
              <w:rPr>
                <w:rFonts w:hint="eastAsia" w:ascii="宋体" w:hAnsi="宋体" w:cs="宋体"/>
                <w:sz w:val="20"/>
                <w:szCs w:val="20"/>
              </w:rPr>
              <w:t>（2）做好安全加密工作，镜像系统必须网站和数据库都进行全方位加密，做好信息安全防护；</w:t>
            </w:r>
          </w:p>
          <w:p>
            <w:pPr>
              <w:rPr>
                <w:rFonts w:hint="eastAsia" w:ascii="宋体" w:hAnsi="宋体" w:cs="宋体"/>
                <w:sz w:val="20"/>
                <w:szCs w:val="20"/>
              </w:rPr>
            </w:pPr>
            <w:r>
              <w:rPr>
                <w:rFonts w:hint="eastAsia" w:ascii="宋体" w:hAnsi="宋体" w:cs="宋体"/>
                <w:sz w:val="20"/>
                <w:szCs w:val="20"/>
              </w:rPr>
              <w:t>（3）提供方便快捷的安装维护，内置数据库,自带Web服务器功能；</w:t>
            </w:r>
          </w:p>
          <w:p>
            <w:pPr>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4</w:t>
            </w:r>
            <w:r>
              <w:rPr>
                <w:rFonts w:hint="eastAsia" w:ascii="宋体" w:hAnsi="宋体" w:cs="宋体"/>
                <w:sz w:val="20"/>
                <w:szCs w:val="20"/>
              </w:rPr>
              <w:t>）可部署到windows、linux等系统；</w:t>
            </w:r>
          </w:p>
          <w:p>
            <w:pPr>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5</w:t>
            </w:r>
            <w:r>
              <w:rPr>
                <w:rFonts w:hint="eastAsia" w:ascii="宋体" w:hAnsi="宋体" w:cs="宋体"/>
                <w:sz w:val="20"/>
                <w:szCs w:val="20"/>
              </w:rPr>
              <w:t>）可以实现多服务器集群服务；</w:t>
            </w:r>
          </w:p>
          <w:p>
            <w:pPr>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6</w:t>
            </w:r>
            <w:r>
              <w:rPr>
                <w:rFonts w:hint="eastAsia" w:ascii="宋体" w:hAnsi="宋体" w:cs="宋体"/>
                <w:sz w:val="20"/>
                <w:szCs w:val="20"/>
              </w:rPr>
              <w:t>）系统提供图片在线和整本下载功能；</w:t>
            </w:r>
          </w:p>
          <w:p>
            <w:pPr>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7</w:t>
            </w:r>
            <w:r>
              <w:rPr>
                <w:rFonts w:hint="eastAsia" w:ascii="宋体" w:hAnsi="宋体" w:cs="宋体"/>
                <w:sz w:val="20"/>
                <w:szCs w:val="20"/>
              </w:rPr>
              <w:t>）系统具备完善的日志统计功能；</w:t>
            </w:r>
          </w:p>
          <w:p>
            <w:pPr>
              <w:rPr>
                <w:rFonts w:hint="eastAsia" w:ascii="宋体" w:hAnsi="宋体" w:eastAsia="宋体" w:cs="仿宋"/>
                <w:bCs/>
                <w:kern w:val="2"/>
                <w:sz w:val="20"/>
                <w:szCs w:val="20"/>
                <w:lang w:val="en-US" w:eastAsia="zh-CN" w:bidi="ar-SA"/>
              </w:rPr>
            </w:pPr>
            <w:r>
              <w:rPr>
                <w:rFonts w:hint="eastAsia" w:ascii="宋体" w:hAnsi="宋体" w:cs="宋体"/>
                <w:sz w:val="20"/>
                <w:szCs w:val="20"/>
              </w:rPr>
              <w:t>（</w:t>
            </w:r>
            <w:r>
              <w:rPr>
                <w:rFonts w:hint="eastAsia" w:ascii="宋体" w:hAnsi="宋体" w:cs="宋体"/>
                <w:sz w:val="20"/>
                <w:szCs w:val="20"/>
                <w:lang w:val="en-US" w:eastAsia="zh-CN"/>
              </w:rPr>
              <w:t>8</w:t>
            </w:r>
            <w:r>
              <w:rPr>
                <w:rFonts w:hint="eastAsia" w:ascii="宋体" w:hAnsi="宋体" w:cs="宋体"/>
                <w:sz w:val="20"/>
                <w:szCs w:val="20"/>
              </w:rPr>
              <w:t>）系统具备可视化录入审核功能。</w:t>
            </w:r>
          </w:p>
        </w:tc>
        <w:tc>
          <w:tcPr>
            <w:tcW w:w="678" w:type="dxa"/>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20</w:t>
            </w:r>
            <w:r>
              <w:rPr>
                <w:rFonts w:ascii="宋体" w:hAnsi="宋体" w:cs="宋体"/>
                <w:kern w:val="0"/>
                <w:sz w:val="20"/>
                <w:szCs w:val="20"/>
              </w:rPr>
              <w:t>2</w:t>
            </w:r>
            <w:r>
              <w:rPr>
                <w:rFonts w:hint="eastAsia" w:ascii="宋体" w:hAnsi="宋体" w:cs="宋体"/>
                <w:kern w:val="0"/>
                <w:sz w:val="20"/>
                <w:szCs w:val="20"/>
              </w:rPr>
              <w:t>3年1月1日至20</w:t>
            </w:r>
            <w:r>
              <w:rPr>
                <w:rFonts w:ascii="宋体" w:hAnsi="宋体" w:cs="宋体"/>
                <w:kern w:val="0"/>
                <w:sz w:val="20"/>
                <w:szCs w:val="20"/>
              </w:rPr>
              <w:t>2</w:t>
            </w:r>
            <w:r>
              <w:rPr>
                <w:rFonts w:hint="eastAsia" w:ascii="宋体" w:hAnsi="宋体" w:cs="宋体"/>
                <w:kern w:val="0"/>
                <w:sz w:val="20"/>
                <w:szCs w:val="20"/>
              </w:rPr>
              <w:t>3年12月31日</w:t>
            </w:r>
          </w:p>
        </w:tc>
      </w:tr>
    </w:tbl>
    <w:p>
      <w:pPr>
        <w:pStyle w:val="2"/>
        <w:rPr>
          <w:rFonts w:hint="eastAsia" w:ascii="宋体" w:hAnsi="宋体" w:eastAsia="宋体"/>
          <w:b/>
          <w:sz w:val="24"/>
          <w:szCs w:val="22"/>
          <w:lang w:val="en-US" w:eastAsia="zh-CN"/>
        </w:rPr>
      </w:pPr>
      <w:r>
        <w:rPr>
          <w:rFonts w:hint="eastAsia" w:ascii="宋体" w:hAnsi="宋体"/>
          <w:b/>
          <w:sz w:val="24"/>
          <w:szCs w:val="22"/>
          <w:lang w:val="en-US" w:eastAsia="zh-CN"/>
        </w:rPr>
        <w:t>标项六：</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cs="宋体"/>
                <w:kern w:val="0"/>
                <w:sz w:val="20"/>
                <w:szCs w:val="20"/>
                <w:lang w:val="en-US" w:eastAsia="zh-CN"/>
              </w:rPr>
            </w:pPr>
          </w:p>
          <w:p>
            <w:pPr>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1288" w:type="dxa"/>
            <w:vAlign w:val="center"/>
          </w:tcPr>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仿宋_GB2312" w:eastAsia="仿宋_GB2312"/>
                <w:szCs w:val="21"/>
              </w:rPr>
            </w:pPr>
          </w:p>
          <w:p>
            <w:pPr>
              <w:pStyle w:val="91"/>
              <w:spacing w:line="360" w:lineRule="auto"/>
              <w:ind w:firstLine="0" w:firstLineChars="0"/>
              <w:rPr>
                <w:rFonts w:hint="eastAsia" w:ascii="宋体" w:hAnsi="宋体" w:eastAsia="宋体" w:cs="宋体"/>
                <w:kern w:val="0"/>
                <w:sz w:val="21"/>
                <w:szCs w:val="21"/>
                <w:lang w:val="en-US" w:eastAsia="zh-CN" w:bidi="ar-SA"/>
              </w:rPr>
            </w:pPr>
            <w:r>
              <w:rPr>
                <w:rFonts w:hint="eastAsia" w:ascii="仿宋_GB2312" w:eastAsia="仿宋_GB2312"/>
                <w:szCs w:val="21"/>
              </w:rPr>
              <w:t>万方中国学术期刊、学位论文全文数据库。</w:t>
            </w:r>
          </w:p>
        </w:tc>
        <w:tc>
          <w:tcPr>
            <w:tcW w:w="6656" w:type="dxa"/>
            <w:vAlign w:val="center"/>
          </w:tcPr>
          <w:p>
            <w:pPr>
              <w:rPr>
                <w:rFonts w:ascii="宋体" w:hAnsi="宋体" w:cs="仿宋"/>
                <w:bCs/>
                <w:sz w:val="20"/>
                <w:szCs w:val="20"/>
              </w:rPr>
            </w:pPr>
            <w:r>
              <w:rPr>
                <w:rFonts w:hint="eastAsia" w:ascii="宋体" w:hAnsi="宋体" w:cs="仿宋"/>
                <w:bCs/>
                <w:sz w:val="20"/>
                <w:szCs w:val="20"/>
              </w:rPr>
              <w:t>1.</w:t>
            </w:r>
            <w:r>
              <w:rPr>
                <w:rFonts w:hint="eastAsia" w:ascii="仿宋_GB2312" w:eastAsia="仿宋_GB2312"/>
                <w:szCs w:val="21"/>
              </w:rPr>
              <w:t xml:space="preserve"> 万方中国学术期刊全文数据库</w:t>
            </w:r>
          </w:p>
          <w:p>
            <w:pPr>
              <w:rPr>
                <w:rFonts w:hint="eastAsia" w:ascii="宋体" w:hAnsi="宋体" w:cs="仿宋"/>
                <w:bCs/>
                <w:sz w:val="20"/>
                <w:szCs w:val="20"/>
              </w:rPr>
            </w:pPr>
            <w:r>
              <w:rPr>
                <w:rFonts w:hint="eastAsia"/>
              </w:rPr>
              <w:t xml:space="preserve"> </w:t>
            </w:r>
            <w:r>
              <w:rPr>
                <w:rFonts w:hint="eastAsia" w:ascii="宋体" w:hAnsi="宋体" w:cs="仿宋"/>
                <w:bCs/>
                <w:sz w:val="20"/>
                <w:szCs w:val="20"/>
              </w:rPr>
              <w:t>1)</w:t>
            </w:r>
            <w:r>
              <w:rPr>
                <w:rFonts w:hint="eastAsia" w:ascii="宋体" w:hAnsi="宋体" w:cs="仿宋"/>
                <w:bCs/>
                <w:sz w:val="20"/>
                <w:szCs w:val="20"/>
              </w:rPr>
              <w:tab/>
            </w:r>
            <w:r>
              <w:rPr>
                <w:rFonts w:hint="eastAsia" w:ascii="宋体" w:hAnsi="宋体" w:cs="仿宋"/>
                <w:bCs/>
                <w:sz w:val="20"/>
                <w:szCs w:val="20"/>
              </w:rPr>
              <w:t>全库数量：8230余种的期刊，核心期刊3200种，年增300万篇。2)</w:t>
            </w:r>
            <w:r>
              <w:rPr>
                <w:rFonts w:hint="eastAsia" w:ascii="宋体" w:hAnsi="宋体" w:cs="仿宋"/>
                <w:bCs/>
                <w:sz w:val="20"/>
                <w:szCs w:val="20"/>
              </w:rPr>
              <w:tab/>
            </w:r>
            <w:r>
              <w:rPr>
                <w:rFonts w:hint="eastAsia" w:ascii="宋体" w:hAnsi="宋体" w:cs="仿宋"/>
                <w:bCs/>
                <w:sz w:val="20"/>
                <w:szCs w:val="20"/>
              </w:rPr>
              <w:t>学科覆盖范围：按中图分类法进行分类，覆盖各个学科领域。3)</w:t>
            </w:r>
            <w:r>
              <w:rPr>
                <w:rFonts w:hint="eastAsia" w:ascii="宋体" w:hAnsi="宋体" w:cs="仿宋"/>
                <w:bCs/>
                <w:sz w:val="20"/>
                <w:szCs w:val="20"/>
              </w:rPr>
              <w:tab/>
            </w:r>
            <w:r>
              <w:rPr>
                <w:rFonts w:hint="eastAsia" w:ascii="宋体" w:hAnsi="宋体" w:cs="仿宋"/>
                <w:bCs/>
                <w:sz w:val="20"/>
                <w:szCs w:val="20"/>
              </w:rPr>
              <w:t>更新频率：周更新2次。4)</w:t>
            </w:r>
            <w:r>
              <w:rPr>
                <w:rFonts w:hint="eastAsia" w:ascii="宋体" w:hAnsi="宋体" w:cs="仿宋"/>
                <w:bCs/>
                <w:sz w:val="20"/>
                <w:szCs w:val="20"/>
              </w:rPr>
              <w:tab/>
            </w:r>
            <w:r>
              <w:rPr>
                <w:rFonts w:hint="eastAsia" w:ascii="宋体" w:hAnsi="宋体" w:cs="仿宋"/>
                <w:bCs/>
                <w:sz w:val="20"/>
                <w:szCs w:val="20"/>
              </w:rPr>
              <w:t>检索字段：提供期刊论文的检索和期刊的检索。期刊论文提供题名、作者、作者单位、关键词、摘要、刊名、基金、论文年份的检索，期刊提供刊名、ISSN、CN、期刊主办单位的检索。5)</w:t>
            </w:r>
            <w:r>
              <w:rPr>
                <w:rFonts w:hint="eastAsia" w:ascii="宋体" w:hAnsi="宋体" w:cs="仿宋"/>
                <w:bCs/>
                <w:sz w:val="20"/>
                <w:szCs w:val="20"/>
              </w:rPr>
              <w:tab/>
            </w:r>
            <w:r>
              <w:rPr>
                <w:rFonts w:hint="eastAsia" w:ascii="宋体" w:hAnsi="宋体" w:cs="仿宋"/>
                <w:bCs/>
                <w:sz w:val="20"/>
                <w:szCs w:val="20"/>
              </w:rPr>
              <w:t>二次检索：提供三种形式的二次检索：直接修改检索表达式、聚类、缩小检索范围重新检索。期刊论文提供核心收录、发表年份、语种、刊名、出版状态、学科、作者、机构聚类，缩小检索范围提供标题、作者、关键词、刊名、年份范围检索。期刊检索提供学科、核心收录、出版周期聚类，缩小检索范围提供期刊刊名、ISSN、CN、期刊主办单位检索。6)</w:t>
            </w:r>
            <w:r>
              <w:rPr>
                <w:rFonts w:hint="eastAsia" w:ascii="宋体" w:hAnsi="宋体" w:cs="仿宋"/>
                <w:bCs/>
                <w:sz w:val="20"/>
                <w:szCs w:val="20"/>
              </w:rPr>
              <w:tab/>
            </w:r>
            <w:r>
              <w:rPr>
                <w:rFonts w:hint="eastAsia" w:ascii="宋体" w:hAnsi="宋体" w:cs="仿宋"/>
                <w:bCs/>
                <w:sz w:val="20"/>
                <w:szCs w:val="20"/>
              </w:rPr>
              <w:t>检索结果标记：展示文献类型、刊名、作者、摘要、关键词以及论文的核心收录情况。展示期刊的核心收录情况、主办单位、ISSN号、CN号、期刊的影响因子、文献量、被引量、下载量。</w:t>
            </w:r>
          </w:p>
          <w:p>
            <w:pPr>
              <w:rPr>
                <w:rFonts w:ascii="宋体" w:hAnsi="宋体" w:cs="仿宋"/>
                <w:bCs/>
                <w:sz w:val="20"/>
                <w:szCs w:val="20"/>
              </w:rPr>
            </w:pPr>
            <w:r>
              <w:rPr>
                <w:rFonts w:hint="eastAsia" w:ascii="宋体" w:hAnsi="宋体" w:cs="仿宋"/>
                <w:bCs/>
                <w:sz w:val="20"/>
                <w:szCs w:val="20"/>
              </w:rPr>
              <w:t>7)</w:t>
            </w:r>
            <w:r>
              <w:rPr>
                <w:rFonts w:hint="eastAsia" w:ascii="宋体" w:hAnsi="宋体" w:cs="仿宋"/>
                <w:bCs/>
                <w:sz w:val="20"/>
                <w:szCs w:val="20"/>
              </w:rPr>
              <w:tab/>
            </w:r>
            <w:r>
              <w:rPr>
                <w:rFonts w:hint="eastAsia" w:ascii="宋体" w:hAnsi="宋体" w:cs="仿宋"/>
                <w:bCs/>
                <w:sz w:val="20"/>
                <w:szCs w:val="20"/>
              </w:rPr>
              <w:t>检索策略：简单检索+逐步限定+推荐。用户输入简单检索词开始，在得到的检索结果中通过聚类、排序以及综合系统推荐的检索词，逐步限定，得到结果。这种方法符合使用者行为，检索效果好。8)</w:t>
            </w:r>
            <w:r>
              <w:rPr>
                <w:rFonts w:hint="eastAsia" w:ascii="宋体" w:hAnsi="宋体" w:cs="仿宋"/>
                <w:bCs/>
                <w:sz w:val="20"/>
                <w:szCs w:val="20"/>
              </w:rPr>
              <w:tab/>
            </w:r>
            <w:r>
              <w:rPr>
                <w:rFonts w:hint="eastAsia" w:ascii="宋体" w:hAnsi="宋体" w:cs="仿宋"/>
                <w:bCs/>
                <w:sz w:val="20"/>
                <w:szCs w:val="20"/>
              </w:rPr>
              <w:t>检索结果排序：相关度、出版时间、被引量、下载量、热度、经典论文优先这六种排序方式。这些排序方式综合考虑了相关度、核心刊收录情况、被引次数、发表时间、用户下载量、文摘阅读量等指标，排序效果较好，满足大多数人群需要。9)</w:t>
            </w:r>
            <w:r>
              <w:rPr>
                <w:rFonts w:hint="eastAsia" w:ascii="宋体" w:hAnsi="宋体" w:cs="仿宋"/>
                <w:bCs/>
                <w:sz w:val="20"/>
                <w:szCs w:val="20"/>
              </w:rPr>
              <w:tab/>
            </w:r>
            <w:r>
              <w:rPr>
                <w:rFonts w:hint="eastAsia" w:ascii="宋体" w:hAnsi="宋体" w:cs="仿宋"/>
                <w:bCs/>
                <w:sz w:val="20"/>
                <w:szCs w:val="20"/>
              </w:rPr>
              <w:t>保存题录：提供参考文献、文本、XML、NoteExpress、Refworks、EndNote等多种格式以及自定义格式。10)</w:t>
            </w:r>
            <w:r>
              <w:rPr>
                <w:rFonts w:hint="eastAsia" w:ascii="宋体" w:hAnsi="宋体" w:cs="仿宋"/>
                <w:bCs/>
                <w:sz w:val="20"/>
                <w:szCs w:val="20"/>
              </w:rPr>
              <w:tab/>
            </w:r>
            <w:r>
              <w:rPr>
                <w:rFonts w:hint="eastAsia" w:ascii="宋体" w:hAnsi="宋体" w:cs="仿宋"/>
                <w:bCs/>
                <w:sz w:val="20"/>
                <w:szCs w:val="20"/>
              </w:rPr>
              <w:t>导航体系：语种、学科、刊名首字母、核心收录、收录地区、出版周期、优先出版、来源数据库。11)</w:t>
            </w:r>
            <w:r>
              <w:rPr>
                <w:rFonts w:hint="eastAsia" w:ascii="宋体" w:hAnsi="宋体" w:cs="仿宋"/>
                <w:bCs/>
                <w:sz w:val="20"/>
                <w:szCs w:val="20"/>
              </w:rPr>
              <w:tab/>
            </w:r>
            <w:r>
              <w:rPr>
                <w:rFonts w:hint="eastAsia" w:ascii="宋体" w:hAnsi="宋体" w:cs="仿宋"/>
                <w:bCs/>
                <w:sz w:val="20"/>
                <w:szCs w:val="20"/>
              </w:rPr>
              <w:t>知识关联：提供“相关论文”、“相关图书”、“相关学者”、“相关主题”、“相关机构”、“相关学者”等服务。</w:t>
            </w:r>
          </w:p>
          <w:p>
            <w:pPr>
              <w:rPr>
                <w:rFonts w:ascii="仿宋_GB2312" w:eastAsia="仿宋_GB2312"/>
                <w:szCs w:val="21"/>
              </w:rPr>
            </w:pPr>
            <w:r>
              <w:rPr>
                <w:rFonts w:hint="eastAsia" w:ascii="宋体" w:hAnsi="宋体" w:cs="仿宋"/>
                <w:bCs/>
                <w:sz w:val="20"/>
                <w:szCs w:val="20"/>
              </w:rPr>
              <w:t>2.</w:t>
            </w:r>
            <w:r>
              <w:rPr>
                <w:rFonts w:hint="eastAsia" w:ascii="仿宋_GB2312" w:eastAsia="仿宋_GB2312"/>
                <w:szCs w:val="21"/>
              </w:rPr>
              <w:t xml:space="preserve"> 万方中国学位论文全文数据库。</w:t>
            </w:r>
          </w:p>
          <w:p>
            <w:pPr>
              <w:rPr>
                <w:rFonts w:hint="eastAsia" w:ascii="宋体" w:hAnsi="宋体" w:cs="仿宋"/>
                <w:bCs/>
                <w:sz w:val="20"/>
                <w:szCs w:val="20"/>
              </w:rPr>
            </w:pPr>
            <w:r>
              <w:rPr>
                <w:rFonts w:hint="eastAsia" w:ascii="宋体" w:hAnsi="宋体" w:cs="仿宋"/>
                <w:bCs/>
                <w:sz w:val="20"/>
                <w:szCs w:val="20"/>
              </w:rPr>
              <w:t>1)</w:t>
            </w:r>
            <w:r>
              <w:rPr>
                <w:rFonts w:hint="eastAsia" w:ascii="宋体" w:hAnsi="宋体" w:cs="仿宋"/>
                <w:bCs/>
                <w:sz w:val="20"/>
                <w:szCs w:val="20"/>
              </w:rPr>
              <w:tab/>
            </w:r>
            <w:r>
              <w:rPr>
                <w:rFonts w:hint="eastAsia" w:ascii="宋体" w:hAnsi="宋体" w:cs="仿宋"/>
                <w:bCs/>
                <w:sz w:val="20"/>
                <w:szCs w:val="20"/>
              </w:rPr>
              <w:t>全文数量：360多万篇。与国内900余所高校、科研院所合作，占研究生学位授予单位90%以上2)</w:t>
            </w:r>
            <w:r>
              <w:rPr>
                <w:rFonts w:hint="eastAsia" w:ascii="宋体" w:hAnsi="宋体" w:cs="仿宋"/>
                <w:bCs/>
                <w:sz w:val="20"/>
                <w:szCs w:val="20"/>
              </w:rPr>
              <w:tab/>
            </w:r>
            <w:r>
              <w:rPr>
                <w:rFonts w:hint="eastAsia" w:ascii="宋体" w:hAnsi="宋体" w:cs="仿宋"/>
                <w:bCs/>
                <w:sz w:val="20"/>
                <w:szCs w:val="20"/>
              </w:rPr>
              <w:t>收录时间：1980年-至今，逐年回溯。3)</w:t>
            </w:r>
            <w:r>
              <w:rPr>
                <w:rFonts w:hint="eastAsia" w:ascii="宋体" w:hAnsi="宋体" w:cs="仿宋"/>
                <w:bCs/>
                <w:sz w:val="20"/>
                <w:szCs w:val="20"/>
              </w:rPr>
              <w:tab/>
            </w:r>
            <w:r>
              <w:rPr>
                <w:rFonts w:hint="eastAsia" w:ascii="宋体" w:hAnsi="宋体" w:cs="仿宋"/>
                <w:bCs/>
                <w:sz w:val="20"/>
                <w:szCs w:val="20"/>
              </w:rPr>
              <w:t>学科覆盖：按中图法进行学科分类、教育部公布的专业目录进行专业分类，覆盖各个学科领域。</w:t>
            </w:r>
          </w:p>
          <w:p>
            <w:pPr>
              <w:rPr>
                <w:rFonts w:hint="eastAsia" w:ascii="宋体" w:hAnsi="宋体" w:cs="仿宋"/>
                <w:bCs/>
                <w:sz w:val="20"/>
                <w:szCs w:val="20"/>
              </w:rPr>
            </w:pPr>
            <w:r>
              <w:rPr>
                <w:rFonts w:hint="eastAsia" w:ascii="宋体" w:hAnsi="宋体" w:cs="仿宋"/>
                <w:bCs/>
                <w:sz w:val="20"/>
                <w:szCs w:val="20"/>
              </w:rPr>
              <w:t>4)</w:t>
            </w:r>
            <w:r>
              <w:rPr>
                <w:rFonts w:hint="eastAsia" w:ascii="宋体" w:hAnsi="宋体" w:cs="仿宋"/>
                <w:bCs/>
                <w:sz w:val="20"/>
                <w:szCs w:val="20"/>
              </w:rPr>
              <w:tab/>
            </w:r>
            <w:r>
              <w:rPr>
                <w:rFonts w:hint="eastAsia" w:ascii="宋体" w:hAnsi="宋体" w:cs="仿宋"/>
                <w:bCs/>
                <w:sz w:val="20"/>
                <w:szCs w:val="20"/>
              </w:rPr>
              <w:t>检索字段：题名、关键词、摘要、作者、学科专业、导师、学位授予单位。</w:t>
            </w:r>
          </w:p>
          <w:p>
            <w:pPr>
              <w:rPr>
                <w:rFonts w:hint="eastAsia" w:ascii="宋体" w:hAnsi="宋体" w:eastAsia="宋体" w:cs="仿宋"/>
                <w:bCs/>
                <w:kern w:val="2"/>
                <w:sz w:val="20"/>
                <w:szCs w:val="20"/>
                <w:lang w:val="en-US" w:eastAsia="zh-CN" w:bidi="ar-SA"/>
              </w:rPr>
            </w:pPr>
            <w:r>
              <w:rPr>
                <w:rFonts w:hint="eastAsia" w:ascii="宋体" w:hAnsi="宋体" w:cs="仿宋"/>
                <w:bCs/>
                <w:sz w:val="20"/>
                <w:szCs w:val="20"/>
              </w:rPr>
              <w:t>5)</w:t>
            </w:r>
            <w:r>
              <w:rPr>
                <w:rFonts w:hint="eastAsia" w:ascii="宋体" w:hAnsi="宋体" w:cs="仿宋"/>
                <w:bCs/>
                <w:sz w:val="20"/>
                <w:szCs w:val="20"/>
              </w:rPr>
              <w:tab/>
            </w:r>
            <w:r>
              <w:rPr>
                <w:rFonts w:hint="eastAsia" w:ascii="宋体" w:hAnsi="宋体" w:cs="仿宋"/>
                <w:bCs/>
                <w:sz w:val="20"/>
                <w:szCs w:val="20"/>
              </w:rPr>
              <w:t>二次检索：提供三种形式的二次检索：直接修改检索表达式、聚类、缩小检索范围重新检索。学位论文提供授予学位、论文年份、语种、学科、导师、学位授予单位聚类。缩小检索范围提供标题、作者、关键词、专业、学校、导师、年份范围检索。6)</w:t>
            </w:r>
            <w:r>
              <w:rPr>
                <w:rFonts w:hint="eastAsia" w:ascii="宋体" w:hAnsi="宋体" w:cs="仿宋"/>
                <w:bCs/>
                <w:sz w:val="20"/>
                <w:szCs w:val="20"/>
              </w:rPr>
              <w:tab/>
            </w:r>
            <w:r>
              <w:rPr>
                <w:rFonts w:hint="eastAsia" w:ascii="宋体" w:hAnsi="宋体" w:cs="仿宋"/>
                <w:bCs/>
                <w:sz w:val="20"/>
                <w:szCs w:val="20"/>
              </w:rPr>
              <w:t>检索结果标记：展示文献类型、作者、专业、学位授予单位、学位授予时间、摘要、关键词。7)</w:t>
            </w:r>
            <w:r>
              <w:rPr>
                <w:rFonts w:hint="eastAsia" w:ascii="宋体" w:hAnsi="宋体" w:cs="仿宋"/>
                <w:bCs/>
                <w:sz w:val="20"/>
                <w:szCs w:val="20"/>
              </w:rPr>
              <w:tab/>
            </w:r>
            <w:r>
              <w:rPr>
                <w:rFonts w:hint="eastAsia" w:ascii="宋体" w:hAnsi="宋体" w:cs="仿宋"/>
                <w:bCs/>
                <w:sz w:val="20"/>
                <w:szCs w:val="20"/>
              </w:rPr>
              <w:t>检索策略：简单检索+逐步限定+推荐。用户输入简单检索词开始，在得到的检索结果中通过聚类、排序以及综合系统推荐的检索词，逐步限定，得到结果。这种方法符合使用者行为，检索效果好。8)</w:t>
            </w:r>
            <w:r>
              <w:rPr>
                <w:rFonts w:hint="eastAsia" w:ascii="宋体" w:hAnsi="宋体" w:cs="仿宋"/>
                <w:bCs/>
                <w:sz w:val="20"/>
                <w:szCs w:val="20"/>
              </w:rPr>
              <w:tab/>
            </w:r>
            <w:r>
              <w:rPr>
                <w:rFonts w:hint="eastAsia" w:ascii="宋体" w:hAnsi="宋体" w:cs="仿宋"/>
                <w:bCs/>
                <w:sz w:val="20"/>
                <w:szCs w:val="20"/>
              </w:rPr>
              <w:t>检索结果排序：相关度、学位授予时间、被引量、下载量、热度、经典论文优先这六种排序方式。这些排序方式综合考虑了相关度、被引次数、学位授予时间、用户下载量、文摘阅读量等指标，排序效果较好，满足大多数人群需要。9)</w:t>
            </w:r>
            <w:r>
              <w:rPr>
                <w:rFonts w:hint="eastAsia" w:ascii="宋体" w:hAnsi="宋体" w:cs="仿宋"/>
                <w:bCs/>
                <w:sz w:val="20"/>
                <w:szCs w:val="20"/>
              </w:rPr>
              <w:tab/>
            </w:r>
            <w:r>
              <w:rPr>
                <w:rFonts w:hint="eastAsia" w:ascii="宋体" w:hAnsi="宋体" w:cs="仿宋"/>
                <w:bCs/>
                <w:sz w:val="20"/>
                <w:szCs w:val="20"/>
              </w:rPr>
              <w:t>保存题录：提供参考文献、文本、XML、NoteExpress、Refworks、EndNote等多种格式以及自定义格式。10)</w:t>
            </w:r>
            <w:r>
              <w:rPr>
                <w:rFonts w:hint="eastAsia" w:ascii="宋体" w:hAnsi="宋体" w:cs="仿宋"/>
                <w:bCs/>
                <w:sz w:val="20"/>
                <w:szCs w:val="20"/>
              </w:rPr>
              <w:tab/>
            </w:r>
            <w:r>
              <w:rPr>
                <w:rFonts w:hint="eastAsia" w:ascii="宋体" w:hAnsi="宋体" w:cs="仿宋"/>
                <w:bCs/>
                <w:sz w:val="20"/>
                <w:szCs w:val="20"/>
              </w:rPr>
              <w:t>导航体系：学科目录、专业目录、学位授予单位。11)</w:t>
            </w:r>
            <w:r>
              <w:rPr>
                <w:rFonts w:hint="eastAsia" w:ascii="宋体" w:hAnsi="宋体" w:cs="仿宋"/>
                <w:bCs/>
                <w:sz w:val="20"/>
                <w:szCs w:val="20"/>
              </w:rPr>
              <w:tab/>
            </w:r>
            <w:r>
              <w:rPr>
                <w:rFonts w:hint="eastAsia" w:ascii="宋体" w:hAnsi="宋体" w:cs="仿宋"/>
                <w:bCs/>
                <w:sz w:val="20"/>
                <w:szCs w:val="20"/>
              </w:rPr>
              <w:t>知识关联：提供“相关论文”、“相关图书”、“相关学者”、“相关主题”、“相关机构”、“相关学者”等服务。</w:t>
            </w:r>
          </w:p>
        </w:tc>
        <w:tc>
          <w:tcPr>
            <w:tcW w:w="678" w:type="dxa"/>
            <w:vAlign w:val="center"/>
          </w:tcPr>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hint="eastAsia" w:ascii="仿宋" w:hAnsi="仿宋" w:eastAsia="仿宋"/>
                <w:sz w:val="20"/>
                <w:szCs w:val="20"/>
              </w:rPr>
            </w:pPr>
          </w:p>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pStyle w:val="91"/>
              <w:spacing w:line="360" w:lineRule="auto"/>
              <w:ind w:firstLine="0" w:firstLineChars="0"/>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highlight w:val="none"/>
              </w:rPr>
              <w:t>20</w:t>
            </w:r>
            <w:r>
              <w:rPr>
                <w:rFonts w:ascii="宋体" w:hAnsi="宋体" w:cs="宋体"/>
                <w:kern w:val="0"/>
                <w:sz w:val="20"/>
                <w:szCs w:val="20"/>
                <w:highlight w:val="none"/>
              </w:rPr>
              <w:t>2</w:t>
            </w:r>
            <w:r>
              <w:rPr>
                <w:rFonts w:hint="eastAsia" w:ascii="宋体" w:hAnsi="宋体" w:cs="宋体"/>
                <w:kern w:val="0"/>
                <w:sz w:val="20"/>
                <w:szCs w:val="20"/>
                <w:highlight w:val="none"/>
              </w:rPr>
              <w:t>2年1</w:t>
            </w:r>
            <w:r>
              <w:rPr>
                <w:rFonts w:ascii="宋体" w:hAnsi="宋体" w:cs="宋体"/>
                <w:kern w:val="0"/>
                <w:sz w:val="20"/>
                <w:szCs w:val="20"/>
                <w:highlight w:val="none"/>
              </w:rPr>
              <w:t>0</w:t>
            </w:r>
            <w:r>
              <w:rPr>
                <w:rFonts w:hint="eastAsia" w:ascii="宋体" w:hAnsi="宋体" w:cs="宋体"/>
                <w:kern w:val="0"/>
                <w:sz w:val="20"/>
                <w:szCs w:val="20"/>
                <w:highlight w:val="none"/>
              </w:rPr>
              <w:t>月1日</w:t>
            </w:r>
            <w:r>
              <w:rPr>
                <w:rFonts w:hint="eastAsia" w:ascii="宋体" w:hAnsi="宋体" w:cs="宋体"/>
                <w:kern w:val="0"/>
                <w:sz w:val="20"/>
                <w:szCs w:val="20"/>
              </w:rPr>
              <w:t>至20</w:t>
            </w:r>
            <w:r>
              <w:rPr>
                <w:rFonts w:ascii="宋体" w:hAnsi="宋体" w:cs="宋体"/>
                <w:kern w:val="0"/>
                <w:sz w:val="20"/>
                <w:szCs w:val="20"/>
              </w:rPr>
              <w:t>2</w:t>
            </w:r>
            <w:r>
              <w:rPr>
                <w:rFonts w:hint="eastAsia" w:ascii="宋体" w:hAnsi="宋体" w:cs="宋体"/>
                <w:kern w:val="0"/>
                <w:sz w:val="20"/>
                <w:szCs w:val="20"/>
              </w:rPr>
              <w:t>3年</w:t>
            </w:r>
            <w:r>
              <w:rPr>
                <w:rFonts w:ascii="宋体" w:hAnsi="宋体" w:cs="宋体"/>
                <w:kern w:val="0"/>
                <w:sz w:val="20"/>
                <w:szCs w:val="20"/>
              </w:rPr>
              <w:t>9</w:t>
            </w:r>
            <w:r>
              <w:rPr>
                <w:rFonts w:hint="eastAsia" w:ascii="宋体" w:hAnsi="宋体" w:cs="宋体"/>
                <w:kern w:val="0"/>
                <w:sz w:val="20"/>
                <w:szCs w:val="20"/>
              </w:rPr>
              <w:t>月3</w:t>
            </w:r>
            <w:r>
              <w:rPr>
                <w:rFonts w:ascii="宋体" w:hAnsi="宋体" w:cs="宋体"/>
                <w:kern w:val="0"/>
                <w:sz w:val="20"/>
                <w:szCs w:val="20"/>
              </w:rPr>
              <w:t>0</w:t>
            </w:r>
            <w:r>
              <w:rPr>
                <w:rFonts w:hint="eastAsia" w:ascii="宋体" w:hAnsi="宋体" w:cs="宋体"/>
                <w:kern w:val="0"/>
                <w:sz w:val="20"/>
                <w:szCs w:val="20"/>
              </w:rPr>
              <w:t>日</w:t>
            </w:r>
          </w:p>
        </w:tc>
      </w:tr>
    </w:tbl>
    <w:p>
      <w:pPr>
        <w:pStyle w:val="2"/>
        <w:rPr>
          <w:rFonts w:hint="eastAsia" w:ascii="宋体" w:hAnsi="宋体" w:eastAsia="宋体"/>
          <w:b/>
          <w:sz w:val="24"/>
          <w:szCs w:val="22"/>
          <w:lang w:val="en-US" w:eastAsia="zh-CN"/>
        </w:rPr>
      </w:pPr>
    </w:p>
    <w:p>
      <w:pPr>
        <w:pStyle w:val="2"/>
        <w:rPr>
          <w:rFonts w:hint="eastAsia" w:ascii="宋体" w:hAnsi="宋体"/>
          <w:b/>
          <w:sz w:val="24"/>
          <w:szCs w:val="22"/>
          <w:lang w:val="en-US" w:eastAsia="zh-CN"/>
        </w:rPr>
      </w:pPr>
      <w:r>
        <w:rPr>
          <w:rFonts w:hint="eastAsia" w:ascii="宋体" w:hAnsi="宋体"/>
          <w:b/>
          <w:sz w:val="24"/>
          <w:szCs w:val="22"/>
          <w:lang w:val="en-US" w:eastAsia="zh-CN"/>
        </w:rPr>
        <w:t>标项七：</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w:t>
            </w:r>
          </w:p>
        </w:tc>
        <w:tc>
          <w:tcPr>
            <w:tcW w:w="1288" w:type="dxa"/>
            <w:vAlign w:val="center"/>
          </w:tcPr>
          <w:p>
            <w:pPr>
              <w:pStyle w:val="91"/>
              <w:spacing w:line="360" w:lineRule="auto"/>
              <w:ind w:firstLine="0" w:firstLineChars="0"/>
              <w:rPr>
                <w:rFonts w:hint="eastAsia" w:ascii="宋体" w:hAnsi="宋体" w:eastAsia="宋体" w:cs="宋体"/>
                <w:kern w:val="0"/>
                <w:sz w:val="21"/>
                <w:szCs w:val="21"/>
                <w:lang w:val="en-US" w:eastAsia="zh-CN" w:bidi="ar-SA"/>
              </w:rPr>
            </w:pPr>
            <w:r>
              <w:rPr>
                <w:rFonts w:hint="eastAsia" w:ascii="仿宋_GB2312" w:hAnsi="Times New Roman" w:eastAsia="仿宋_GB2312"/>
                <w:szCs w:val="21"/>
              </w:rPr>
              <w:t>worldlib人工智能在线咨询平台</w:t>
            </w:r>
          </w:p>
        </w:tc>
        <w:tc>
          <w:tcPr>
            <w:tcW w:w="6656" w:type="dxa"/>
            <w:vAlign w:val="center"/>
          </w:tcPr>
          <w:p>
            <w:pPr>
              <w:ind w:firstLine="402" w:firstLineChars="200"/>
              <w:outlineLvl w:val="0"/>
              <w:rPr>
                <w:rFonts w:ascii="宋体" w:hAnsi="宋体" w:cs="宋体"/>
                <w:b/>
                <w:sz w:val="20"/>
                <w:szCs w:val="20"/>
              </w:rPr>
            </w:pPr>
            <w:r>
              <w:rPr>
                <w:rFonts w:ascii="宋体" w:hAnsi="宋体" w:cs="宋体"/>
                <w:b/>
                <w:sz w:val="20"/>
                <w:szCs w:val="20"/>
              </w:rPr>
              <w:t>产品内容：</w:t>
            </w:r>
          </w:p>
          <w:p>
            <w:pPr>
              <w:ind w:firstLine="400" w:firstLineChars="200"/>
              <w:outlineLvl w:val="0"/>
              <w:rPr>
                <w:rFonts w:hint="eastAsia" w:ascii="宋体" w:hAnsi="宋体" w:cs="宋体"/>
                <w:sz w:val="20"/>
                <w:szCs w:val="20"/>
              </w:rPr>
            </w:pPr>
            <w:r>
              <w:rPr>
                <w:rFonts w:hint="eastAsia" w:ascii="宋体" w:hAnsi="宋体" w:cs="宋体"/>
                <w:sz w:val="20"/>
                <w:szCs w:val="20"/>
              </w:rPr>
              <w:t>worldlib人工智能在线咨询平台是一款以微信公众号（服务号、非小程序）和网页端为载体，运用最新网络技术接入多个搜索引擎（百度学术、微软学术、pubmed等），为广大师生提供文献获取的互联网在线服务平台。</w:t>
            </w:r>
          </w:p>
          <w:p>
            <w:pPr>
              <w:ind w:firstLine="400" w:firstLineChars="200"/>
              <w:outlineLvl w:val="0"/>
              <w:rPr>
                <w:rFonts w:hint="eastAsia" w:ascii="宋体" w:hAnsi="宋体" w:cs="宋体"/>
                <w:sz w:val="20"/>
                <w:szCs w:val="20"/>
              </w:rPr>
            </w:pPr>
            <w:r>
              <w:rPr>
                <w:rFonts w:hint="eastAsia" w:ascii="宋体" w:hAnsi="宋体" w:cs="宋体"/>
                <w:sz w:val="20"/>
                <w:szCs w:val="20"/>
              </w:rPr>
              <w:t>微信公众号可以随时随地满足用户对外文文献的需求，支持外文文献的关键词、作者、题名、DOI号、PMID号及图片查询，所查询的文献会在10秒左右以第三方链接的方式发送给用户，用户直接点击链接即可下载全文。同时支持中文文献查找，校内打开WIFI,查找的中文文献（中文期刊为主）如果本馆已订购，可以通过提供的来源链接（知网、万方、维普等）直接下载全文，未订购的文献可以尝试通过推送的其他来源链接进行获取。</w:t>
            </w:r>
          </w:p>
          <w:p>
            <w:pPr>
              <w:ind w:firstLine="400" w:firstLineChars="200"/>
              <w:jc w:val="left"/>
              <w:rPr>
                <w:rFonts w:hint="eastAsia" w:ascii="宋体" w:hAnsi="宋体" w:cs="宋体"/>
                <w:bCs/>
                <w:sz w:val="20"/>
                <w:szCs w:val="20"/>
              </w:rPr>
            </w:pPr>
            <w:r>
              <w:rPr>
                <w:rFonts w:hint="eastAsia" w:ascii="宋体" w:hAnsi="宋体" w:cs="宋体"/>
                <w:sz w:val="20"/>
                <w:szCs w:val="20"/>
              </w:rPr>
              <w:t>网页端接入多个搜索引擎（百度学术、微软学术、pubmed等），所查询的文献如果本馆购买了访问权，则可直接下载全文，可提高已购数据库的使用率；无法获取全文的文献，则可通过网页端首页集成的文献查找工具进行获取（使用方法同微信公众号）。</w:t>
            </w:r>
          </w:p>
          <w:p>
            <w:pPr>
              <w:spacing w:before="240"/>
              <w:ind w:firstLine="201" w:firstLineChars="100"/>
              <w:jc w:val="left"/>
              <w:rPr>
                <w:rFonts w:hint="eastAsia" w:ascii="宋体" w:hAnsi="宋体" w:cs="宋体"/>
                <w:sz w:val="20"/>
                <w:szCs w:val="20"/>
              </w:rPr>
            </w:pPr>
            <w:r>
              <w:rPr>
                <w:rFonts w:hint="eastAsia" w:ascii="宋体" w:hAnsi="宋体" w:cs="宋体"/>
                <w:b/>
                <w:sz w:val="20"/>
                <w:szCs w:val="20"/>
              </w:rPr>
              <w:t>主要技术指标</w:t>
            </w:r>
          </w:p>
          <w:p>
            <w:pPr>
              <w:outlineLvl w:val="0"/>
              <w:rPr>
                <w:rFonts w:hint="eastAsia" w:ascii="宋体" w:hAnsi="宋体" w:cs="宋体"/>
                <w:sz w:val="20"/>
                <w:szCs w:val="20"/>
              </w:rPr>
            </w:pPr>
            <w:r>
              <w:rPr>
                <w:rFonts w:hint="eastAsia" w:ascii="宋体" w:hAnsi="宋体" w:cs="宋体"/>
                <w:sz w:val="20"/>
                <w:szCs w:val="20"/>
              </w:rPr>
              <w:t>1．可以通过微信公众号（服务号、非小程序）、网页端和嵌入到图书馆公众号向用户提供在线查询服务；</w:t>
            </w:r>
          </w:p>
          <w:p>
            <w:pPr>
              <w:outlineLvl w:val="0"/>
              <w:rPr>
                <w:rFonts w:hint="eastAsia" w:ascii="宋体" w:hAnsi="宋体" w:cs="宋体"/>
                <w:sz w:val="20"/>
                <w:szCs w:val="20"/>
              </w:rPr>
            </w:pPr>
            <w:r>
              <w:rPr>
                <w:rFonts w:hint="eastAsia" w:ascii="宋体" w:hAnsi="宋体" w:cs="宋体"/>
                <w:sz w:val="20"/>
                <w:szCs w:val="20"/>
              </w:rPr>
              <w:t>2．微信公众号采用地理位置控制，网页端采用IP地址控制；</w:t>
            </w:r>
          </w:p>
          <w:p>
            <w:pPr>
              <w:outlineLvl w:val="0"/>
              <w:rPr>
                <w:rFonts w:hint="eastAsia" w:ascii="宋体" w:hAnsi="宋体" w:cs="宋体"/>
                <w:sz w:val="20"/>
                <w:szCs w:val="20"/>
              </w:rPr>
            </w:pPr>
            <w:r>
              <w:rPr>
                <w:rFonts w:hint="eastAsia" w:ascii="宋体" w:hAnsi="宋体" w:cs="宋体"/>
                <w:sz w:val="20"/>
                <w:szCs w:val="20"/>
              </w:rPr>
              <w:t>3．支持文献关键词、作者、题名、DOI号、PMID号查询；</w:t>
            </w:r>
          </w:p>
          <w:p>
            <w:pPr>
              <w:outlineLvl w:val="0"/>
              <w:rPr>
                <w:rFonts w:hint="eastAsia" w:ascii="宋体" w:hAnsi="宋体" w:cs="宋体"/>
                <w:sz w:val="20"/>
                <w:szCs w:val="20"/>
              </w:rPr>
            </w:pPr>
            <w:r>
              <w:rPr>
                <w:rFonts w:hint="eastAsia" w:ascii="宋体" w:hAnsi="宋体" w:cs="宋体"/>
                <w:sz w:val="20"/>
                <w:szCs w:val="20"/>
              </w:rPr>
              <w:t>4．在微信公众号和网页端集成的文献查询模块查询文献时，平台会在10秒左右将文献全文所在链接发送给用户，用户可以通过链接从第三方直接下载全文数据，不直接提供全文数据；</w:t>
            </w:r>
          </w:p>
          <w:p>
            <w:pPr>
              <w:rPr>
                <w:rFonts w:hint="eastAsia" w:ascii="宋体" w:hAnsi="宋体" w:cs="宋体"/>
                <w:sz w:val="20"/>
                <w:szCs w:val="20"/>
              </w:rPr>
            </w:pPr>
            <w:r>
              <w:rPr>
                <w:rFonts w:hint="eastAsia" w:ascii="宋体" w:hAnsi="宋体" w:cs="宋体"/>
                <w:sz w:val="20"/>
                <w:szCs w:val="20"/>
              </w:rPr>
              <w:t>5．平台具备不低于8000万的系统词表做支撑，且词表不得重复。</w:t>
            </w:r>
          </w:p>
          <w:p>
            <w:pPr>
              <w:outlineLvl w:val="0"/>
              <w:rPr>
                <w:rFonts w:hint="eastAsia" w:ascii="宋体" w:hAnsi="宋体" w:cs="宋体"/>
                <w:sz w:val="20"/>
                <w:szCs w:val="20"/>
              </w:rPr>
            </w:pPr>
            <w:r>
              <w:rPr>
                <w:rFonts w:hint="eastAsia" w:ascii="宋体" w:hAnsi="宋体" w:cs="宋体"/>
                <w:sz w:val="20"/>
                <w:szCs w:val="20"/>
                <w:shd w:val="clear" w:color="auto" w:fill="FFFFFF"/>
              </w:rPr>
              <w:t>6．</w:t>
            </w:r>
            <w:r>
              <w:rPr>
                <w:rFonts w:hint="eastAsia" w:ascii="宋体" w:hAnsi="宋体" w:cs="宋体"/>
                <w:sz w:val="20"/>
                <w:szCs w:val="20"/>
              </w:rPr>
              <w:t>微信公众号提供22个学科的全球高被引期刊论文排行榜（每个学科提供前10篇），定期更新；</w:t>
            </w:r>
          </w:p>
          <w:p>
            <w:pPr>
              <w:outlineLvl w:val="0"/>
              <w:rPr>
                <w:rFonts w:hint="eastAsia" w:ascii="宋体" w:hAnsi="宋体" w:cs="宋体"/>
                <w:sz w:val="20"/>
                <w:szCs w:val="20"/>
              </w:rPr>
            </w:pPr>
            <w:r>
              <w:rPr>
                <w:rFonts w:hint="eastAsia" w:ascii="宋体" w:hAnsi="宋体" w:cs="宋体"/>
                <w:sz w:val="20"/>
                <w:szCs w:val="20"/>
              </w:rPr>
              <w:t>7．微信公众号关注人数达到</w:t>
            </w:r>
            <w:r>
              <w:rPr>
                <w:rFonts w:hint="eastAsia" w:ascii="宋体" w:hAnsi="宋体" w:cs="宋体"/>
                <w:sz w:val="20"/>
                <w:szCs w:val="20"/>
                <w:lang w:val="en-US" w:eastAsia="zh-CN"/>
              </w:rPr>
              <w:t>10</w:t>
            </w:r>
            <w:r>
              <w:rPr>
                <w:rFonts w:hint="eastAsia" w:ascii="宋体" w:hAnsi="宋体" w:cs="宋体"/>
                <w:sz w:val="20"/>
                <w:szCs w:val="20"/>
              </w:rPr>
              <w:t>万人以上，提供证明材料；</w:t>
            </w:r>
          </w:p>
          <w:p>
            <w:pPr>
              <w:jc w:val="left"/>
              <w:rPr>
                <w:rFonts w:hint="eastAsia" w:ascii="宋体" w:hAnsi="宋体" w:cs="宋体"/>
                <w:sz w:val="20"/>
                <w:szCs w:val="20"/>
              </w:rPr>
            </w:pPr>
            <w:r>
              <w:rPr>
                <w:rFonts w:hint="eastAsia" w:ascii="宋体" w:hAnsi="宋体" w:cs="宋体"/>
                <w:sz w:val="20"/>
                <w:szCs w:val="20"/>
                <w:shd w:val="clear" w:color="auto" w:fill="FFFFFF"/>
              </w:rPr>
              <w:t>8．网页端平台接入的是第三方搜索引擎，网页端平台上不得存储未经</w:t>
            </w:r>
            <w:r>
              <w:rPr>
                <w:rFonts w:hint="eastAsia" w:ascii="宋体" w:hAnsi="宋体" w:cs="宋体"/>
                <w:sz w:val="20"/>
                <w:szCs w:val="20"/>
              </w:rPr>
              <w:t>数据商授权的商业元数据和全文数据，无版权风险和隐患。</w:t>
            </w:r>
          </w:p>
          <w:p>
            <w:pPr>
              <w:outlineLvl w:val="0"/>
              <w:rPr>
                <w:rFonts w:hint="eastAsia" w:ascii="宋体" w:hAnsi="宋体" w:cs="宋体"/>
                <w:sz w:val="20"/>
                <w:szCs w:val="20"/>
                <w:shd w:val="clear" w:color="auto" w:fill="FFFFFF"/>
              </w:rPr>
            </w:pPr>
            <w:r>
              <w:rPr>
                <w:rFonts w:hint="eastAsia" w:ascii="宋体" w:hAnsi="宋体" w:cs="宋体"/>
                <w:sz w:val="20"/>
                <w:szCs w:val="20"/>
                <w:shd w:val="clear" w:color="auto" w:fill="FFFFFF"/>
              </w:rPr>
              <w:t>9．网页端平台上需具有同微信公众号一样功能的文献实时查找和获取模块。</w:t>
            </w:r>
          </w:p>
          <w:p>
            <w:pPr>
              <w:outlineLvl w:val="0"/>
              <w:rPr>
                <w:rFonts w:hint="eastAsia" w:ascii="宋体" w:hAnsi="宋体" w:eastAsia="宋体" w:cs="宋体"/>
                <w:kern w:val="2"/>
                <w:sz w:val="24"/>
                <w:szCs w:val="22"/>
                <w:lang w:val="en-US" w:eastAsia="zh-CN" w:bidi="ar-SA"/>
              </w:rPr>
            </w:pPr>
            <w:r>
              <w:rPr>
                <w:rFonts w:hint="eastAsia" w:ascii="宋体" w:hAnsi="宋体" w:cs="宋体"/>
                <w:sz w:val="20"/>
                <w:szCs w:val="20"/>
              </w:rPr>
              <w:t>10．产品取得了国家版权局颁发的计算机软件著作权证书。</w:t>
            </w:r>
          </w:p>
        </w:tc>
        <w:tc>
          <w:tcPr>
            <w:tcW w:w="678" w:type="dxa"/>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远程</w:t>
            </w:r>
          </w:p>
          <w:p>
            <w:pPr>
              <w:pStyle w:val="91"/>
              <w:spacing w:line="360" w:lineRule="auto"/>
              <w:ind w:firstLine="0" w:firstLineChars="0"/>
              <w:jc w:val="center"/>
              <w:rPr>
                <w:rFonts w:hint="eastAsia" w:ascii="仿宋" w:hAnsi="仿宋" w:eastAsia="仿宋" w:cs="Times New Roman"/>
                <w:kern w:val="2"/>
                <w:sz w:val="20"/>
                <w:szCs w:val="20"/>
                <w:lang w:val="en-US" w:eastAsia="zh-CN" w:bidi="ar-SA"/>
              </w:rPr>
            </w:pPr>
            <w:r>
              <w:rPr>
                <w:rFonts w:hint="eastAsia" w:ascii="仿宋" w:hAnsi="仿宋" w:eastAsia="仿宋"/>
                <w:sz w:val="20"/>
                <w:szCs w:val="20"/>
              </w:rPr>
              <w:t>访问</w:t>
            </w:r>
          </w:p>
        </w:tc>
        <w:tc>
          <w:tcPr>
            <w:tcW w:w="86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highlight w:val="none"/>
              </w:rPr>
              <w:t>2022年</w:t>
            </w:r>
            <w:r>
              <w:rPr>
                <w:rFonts w:ascii="宋体" w:hAnsi="宋体" w:cs="宋体"/>
                <w:kern w:val="0"/>
                <w:sz w:val="20"/>
                <w:szCs w:val="20"/>
                <w:highlight w:val="none"/>
              </w:rPr>
              <w:t>9</w:t>
            </w:r>
            <w:r>
              <w:rPr>
                <w:rFonts w:hint="eastAsia" w:ascii="宋体" w:hAnsi="宋体" w:cs="宋体"/>
                <w:kern w:val="0"/>
                <w:sz w:val="20"/>
                <w:szCs w:val="20"/>
                <w:highlight w:val="none"/>
              </w:rPr>
              <w:t>月1日</w:t>
            </w:r>
            <w:r>
              <w:rPr>
                <w:rFonts w:hint="eastAsia" w:ascii="宋体" w:hAnsi="宋体" w:cs="宋体"/>
                <w:kern w:val="0"/>
                <w:sz w:val="20"/>
                <w:szCs w:val="20"/>
              </w:rPr>
              <w:t>至2023年</w:t>
            </w:r>
            <w:r>
              <w:rPr>
                <w:rFonts w:ascii="宋体" w:hAnsi="宋体" w:cs="宋体"/>
                <w:kern w:val="0"/>
                <w:sz w:val="20"/>
                <w:szCs w:val="20"/>
              </w:rPr>
              <w:t>8</w:t>
            </w:r>
            <w:r>
              <w:rPr>
                <w:rFonts w:hint="eastAsia" w:ascii="宋体" w:hAnsi="宋体" w:cs="宋体"/>
                <w:kern w:val="0"/>
                <w:sz w:val="20"/>
                <w:szCs w:val="20"/>
              </w:rPr>
              <w:t>月3</w:t>
            </w:r>
            <w:r>
              <w:rPr>
                <w:rFonts w:ascii="宋体" w:hAnsi="宋体" w:cs="宋体"/>
                <w:kern w:val="0"/>
                <w:sz w:val="20"/>
                <w:szCs w:val="20"/>
              </w:rPr>
              <w:t>1</w:t>
            </w:r>
            <w:r>
              <w:rPr>
                <w:rFonts w:hint="eastAsia" w:ascii="宋体" w:hAnsi="宋体" w:cs="宋体"/>
                <w:kern w:val="0"/>
                <w:sz w:val="20"/>
                <w:szCs w:val="20"/>
              </w:rPr>
              <w:t>日</w:t>
            </w:r>
          </w:p>
        </w:tc>
      </w:tr>
    </w:tbl>
    <w:p>
      <w:pPr>
        <w:pStyle w:val="3"/>
        <w:rPr>
          <w:rFonts w:hint="eastAsia"/>
          <w:lang w:val="en-US" w:eastAsia="zh-CN"/>
        </w:rPr>
      </w:pPr>
    </w:p>
    <w:p>
      <w:pPr>
        <w:pStyle w:val="2"/>
        <w:rPr>
          <w:rFonts w:hint="eastAsia" w:ascii="宋体" w:hAnsi="宋体"/>
          <w:b/>
          <w:sz w:val="24"/>
          <w:szCs w:val="22"/>
          <w:lang w:val="en-US" w:eastAsia="zh-CN"/>
        </w:rPr>
      </w:pPr>
      <w:r>
        <w:rPr>
          <w:rFonts w:hint="eastAsia" w:ascii="宋体" w:hAnsi="宋体"/>
          <w:b/>
          <w:sz w:val="24"/>
          <w:szCs w:val="22"/>
          <w:lang w:val="en-US" w:eastAsia="zh-CN"/>
        </w:rPr>
        <w:t>标项八：</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w:t>
            </w:r>
          </w:p>
        </w:tc>
        <w:tc>
          <w:tcPr>
            <w:tcW w:w="1288" w:type="dxa"/>
            <w:vAlign w:val="center"/>
          </w:tcPr>
          <w:p>
            <w:pPr>
              <w:pStyle w:val="91"/>
              <w:spacing w:line="360" w:lineRule="auto"/>
              <w:ind w:firstLine="0" w:firstLineChars="0"/>
              <w:rPr>
                <w:rFonts w:hint="eastAsia" w:ascii="宋体" w:hAnsi="宋体" w:eastAsia="宋体" w:cs="宋体"/>
                <w:kern w:val="0"/>
                <w:sz w:val="20"/>
                <w:szCs w:val="20"/>
                <w:lang w:val="en-US" w:eastAsia="zh-CN" w:bidi="ar-SA"/>
              </w:rPr>
            </w:pPr>
            <w:r>
              <w:rPr>
                <w:rFonts w:hint="eastAsia" w:ascii="仿宋_GB2312" w:eastAsia="仿宋_GB2312"/>
                <w:sz w:val="20"/>
                <w:szCs w:val="20"/>
              </w:rPr>
              <w:t>维普经纶知识资源系统</w:t>
            </w:r>
          </w:p>
        </w:tc>
        <w:tc>
          <w:tcPr>
            <w:tcW w:w="6656" w:type="dxa"/>
            <w:vAlign w:val="center"/>
          </w:tcPr>
          <w:p>
            <w:pPr>
              <w:rPr>
                <w:rFonts w:hint="eastAsia" w:ascii="宋体" w:hAnsi="宋体" w:cs="仿宋"/>
                <w:bCs/>
                <w:sz w:val="20"/>
                <w:szCs w:val="20"/>
              </w:rPr>
            </w:pPr>
            <w:r>
              <w:rPr>
                <w:rFonts w:ascii="宋体" w:hAnsi="宋体" w:cs="仿宋"/>
                <w:bCs/>
                <w:sz w:val="20"/>
                <w:szCs w:val="20"/>
              </w:rPr>
              <w:t>1</w:t>
            </w:r>
            <w:r>
              <w:rPr>
                <w:rFonts w:hint="eastAsia" w:ascii="宋体" w:hAnsi="宋体" w:cs="仿宋"/>
                <w:bCs/>
                <w:sz w:val="20"/>
                <w:szCs w:val="20"/>
              </w:rPr>
              <w:t>．提供全球文献知识检索服务，对中外文文献资源一站式检索。用户在检索结果页面中，可查看包含多种文献类型、多个文献来源的电子与纸本文献内容。</w:t>
            </w:r>
          </w:p>
          <w:p>
            <w:pPr>
              <w:rPr>
                <w:rFonts w:hint="eastAsia" w:ascii="宋体" w:hAnsi="宋体" w:cs="仿宋"/>
                <w:bCs/>
                <w:sz w:val="20"/>
                <w:szCs w:val="20"/>
              </w:rPr>
            </w:pPr>
            <w:r>
              <w:rPr>
                <w:rFonts w:hint="eastAsia" w:ascii="宋体" w:hAnsi="宋体" w:cs="仿宋"/>
                <w:bCs/>
                <w:sz w:val="20"/>
                <w:szCs w:val="20"/>
              </w:rPr>
              <w:t>2.检索结果应按照检索条件的相关度进行综合排序，并支持按出版日期、学术相关性等方式进行排序。在检索结果中对与检索条件相匹配的内容进行标红显示。3.平台检索覆盖的文献数据规模不低于10亿条数据，类型包括中外文的期刊论文、图书、学位论文、会议论文、专利、标准、法规、资讯、视频、科技报告。</w:t>
            </w:r>
          </w:p>
          <w:p>
            <w:pPr>
              <w:rPr>
                <w:rFonts w:hint="eastAsia" w:ascii="宋体" w:hAnsi="宋体" w:cs="仿宋"/>
                <w:bCs/>
                <w:sz w:val="20"/>
                <w:szCs w:val="20"/>
              </w:rPr>
            </w:pPr>
            <w:r>
              <w:rPr>
                <w:rFonts w:hint="eastAsia" w:ascii="宋体" w:hAnsi="宋体" w:cs="仿宋"/>
                <w:bCs/>
                <w:sz w:val="20"/>
                <w:szCs w:val="20"/>
              </w:rPr>
              <w:t>4.所有类型文献数据都同时标引中图分类号与教育部学科分类号。</w:t>
            </w:r>
          </w:p>
          <w:p>
            <w:pPr>
              <w:rPr>
                <w:rFonts w:hint="eastAsia" w:ascii="宋体" w:hAnsi="宋体" w:cs="仿宋"/>
                <w:bCs/>
                <w:sz w:val="20"/>
                <w:szCs w:val="20"/>
              </w:rPr>
            </w:pPr>
            <w:r>
              <w:rPr>
                <w:rFonts w:hint="eastAsia" w:ascii="宋体" w:hAnsi="宋体" w:cs="仿宋"/>
                <w:bCs/>
                <w:sz w:val="20"/>
                <w:szCs w:val="20"/>
              </w:rPr>
              <w:t>5.知识资源平台覆盖的元数据定期持续更新，与来源数据保持一致。更新周期延迟应该在合理范围内，期刊论文更新延迟不超过1周。全年更新元数据不低于1000万条。</w:t>
            </w:r>
          </w:p>
          <w:p>
            <w:pPr>
              <w:rPr>
                <w:rFonts w:hint="eastAsia" w:ascii="宋体" w:hAnsi="宋体" w:cs="仿宋"/>
                <w:bCs/>
                <w:sz w:val="20"/>
                <w:szCs w:val="20"/>
              </w:rPr>
            </w:pPr>
            <w:r>
              <w:rPr>
                <w:rFonts w:hint="eastAsia" w:ascii="宋体" w:hAnsi="宋体" w:cs="仿宋"/>
                <w:bCs/>
                <w:sz w:val="20"/>
                <w:szCs w:val="20"/>
              </w:rPr>
              <w:t>6.文献检索结果中如果有来源多个数据库中的同一篇文献符合读者的检索要求，应在检索结果中的对相同内容合并显示，只保留一条结果记录，但要完整显示该文献的多个来源连接，允许读者选择获取全文的途径。</w:t>
            </w:r>
          </w:p>
          <w:p>
            <w:pPr>
              <w:rPr>
                <w:rFonts w:hint="eastAsia" w:ascii="宋体" w:hAnsi="宋体" w:cs="仿宋"/>
                <w:bCs/>
                <w:sz w:val="20"/>
                <w:szCs w:val="20"/>
              </w:rPr>
            </w:pPr>
            <w:r>
              <w:rPr>
                <w:rFonts w:hint="eastAsia" w:ascii="宋体" w:hAnsi="宋体" w:cs="仿宋"/>
                <w:bCs/>
                <w:sz w:val="20"/>
                <w:szCs w:val="20"/>
              </w:rPr>
              <w:t>7.支持切换不同的文献类型选择相应的检索入口，不限于图书、期刊、学位论文。不同的文献类型检索入口划分不同检索条件。提供高级检索与二次检索，高级检索可以根据元数据字段进行组合检索，包括标题、关键词、作者、isbn、issn、出版物名称、出版社、分类号、摘要、基金等。</w:t>
            </w:r>
          </w:p>
          <w:p>
            <w:pPr>
              <w:rPr>
                <w:rFonts w:hint="eastAsia" w:ascii="宋体" w:hAnsi="宋体" w:cs="仿宋"/>
                <w:bCs/>
                <w:sz w:val="20"/>
                <w:szCs w:val="20"/>
              </w:rPr>
            </w:pPr>
            <w:r>
              <w:rPr>
                <w:rFonts w:hint="eastAsia" w:ascii="宋体" w:hAnsi="宋体" w:cs="仿宋"/>
                <w:bCs/>
                <w:sz w:val="20"/>
                <w:szCs w:val="20"/>
              </w:rPr>
              <w:t>8.平台可支持任意字段的精确匹配、模糊匹配、前置匹配等多种方式检索。支持读者输入复杂检索表达式进行检索。在检索结果中标识核心期刊</w:t>
            </w:r>
          </w:p>
          <w:p>
            <w:pPr>
              <w:rPr>
                <w:rFonts w:hint="eastAsia" w:ascii="宋体" w:hAnsi="宋体" w:cs="仿宋"/>
                <w:bCs/>
                <w:sz w:val="20"/>
                <w:szCs w:val="20"/>
              </w:rPr>
            </w:pPr>
            <w:r>
              <w:rPr>
                <w:rFonts w:hint="eastAsia" w:ascii="宋体" w:hAnsi="宋体" w:cs="仿宋"/>
                <w:bCs/>
                <w:sz w:val="20"/>
                <w:szCs w:val="20"/>
              </w:rPr>
              <w:t>9.可整合纸本系统OPAC内容，通过元数据整合的方式，将图书馆纸本文献数据融合到知识发现结果中。检索纸本图书内容结果与OPAC的检索结果一致。结果详情中显示与OPAC中相同文献的详细信息，包括标题、丛书名、封面、作者、主题词、摘要、出版社、出版年、ISBN；馆藏状态，包括藏书位置、索书号、可借阅状态等。</w:t>
            </w:r>
          </w:p>
          <w:p>
            <w:pPr>
              <w:rPr>
                <w:rFonts w:hint="eastAsia" w:ascii="宋体" w:hAnsi="宋体" w:cs="仿宋"/>
                <w:bCs/>
                <w:sz w:val="20"/>
                <w:szCs w:val="20"/>
              </w:rPr>
            </w:pPr>
            <w:r>
              <w:rPr>
                <w:rFonts w:hint="eastAsia" w:ascii="宋体" w:hAnsi="宋体" w:cs="仿宋"/>
                <w:bCs/>
                <w:sz w:val="20"/>
                <w:szCs w:val="20"/>
              </w:rPr>
              <w:t>10.检索结果提供分面聚类的筛选，包括文献类型、出版年份、主题词、作者、学科分类、语言；支持将结果按引文、endnote、noteexpress等格式导出。</w:t>
            </w:r>
          </w:p>
          <w:p>
            <w:pPr>
              <w:rPr>
                <w:rFonts w:hint="eastAsia" w:ascii="宋体" w:hAnsi="宋体" w:cs="仿宋"/>
                <w:bCs/>
                <w:sz w:val="20"/>
                <w:szCs w:val="20"/>
              </w:rPr>
            </w:pPr>
            <w:r>
              <w:rPr>
                <w:rFonts w:hint="eastAsia" w:ascii="宋体" w:hAnsi="宋体" w:cs="仿宋"/>
                <w:bCs/>
                <w:sz w:val="20"/>
                <w:szCs w:val="20"/>
              </w:rPr>
              <w:t>11.文献的详细页面显示内容按不同文献类型显示元数据信息，在详情页提供来源链接，读者须点击该链接可直达文献原始访问位置。</w:t>
            </w:r>
          </w:p>
          <w:p>
            <w:pPr>
              <w:rPr>
                <w:rFonts w:hint="eastAsia" w:ascii="宋体" w:hAnsi="宋体" w:cs="仿宋"/>
                <w:bCs/>
                <w:sz w:val="20"/>
                <w:szCs w:val="20"/>
              </w:rPr>
            </w:pPr>
            <w:r>
              <w:rPr>
                <w:rFonts w:hint="eastAsia" w:ascii="宋体" w:hAnsi="宋体" w:cs="仿宋"/>
                <w:bCs/>
                <w:sz w:val="20"/>
                <w:szCs w:val="20"/>
              </w:rPr>
              <w:t>12.支持文献传递服务，如果检索结果中期刊与论文无法直接获取全文，读者可以提交该文献传递申请，通过智慧图书馆服务联盟协同以邮件的方式获取全文。</w:t>
            </w:r>
          </w:p>
          <w:p>
            <w:pPr>
              <w:rPr>
                <w:rFonts w:hint="eastAsia" w:ascii="宋体" w:hAnsi="宋体" w:cs="仿宋"/>
                <w:bCs/>
                <w:sz w:val="20"/>
                <w:szCs w:val="20"/>
              </w:rPr>
            </w:pPr>
            <w:r>
              <w:rPr>
                <w:rFonts w:hint="eastAsia" w:ascii="宋体" w:hAnsi="宋体" w:cs="仿宋"/>
                <w:bCs/>
                <w:sz w:val="20"/>
                <w:szCs w:val="20"/>
              </w:rPr>
              <w:t>13.系统提供读者行为日志统计功能，能支持按日期、资源、学科统计不限于文献点击量、学科访问量、文献类型访问量等。并提供统计报表和导出报表。统计结果能根据时间范围筛选，至少支持对近2年运行数据统计。</w:t>
            </w:r>
          </w:p>
          <w:p>
            <w:pPr>
              <w:rPr>
                <w:rFonts w:hint="eastAsia" w:ascii="宋体" w:hAnsi="宋体" w:cs="仿宋"/>
                <w:bCs/>
                <w:sz w:val="20"/>
                <w:szCs w:val="20"/>
              </w:rPr>
            </w:pPr>
            <w:r>
              <w:rPr>
                <w:rFonts w:hint="eastAsia" w:ascii="宋体" w:hAnsi="宋体" w:cs="仿宋"/>
                <w:bCs/>
                <w:sz w:val="20"/>
                <w:szCs w:val="20"/>
              </w:rPr>
              <w:t>14.系统提供读者行为日志分析功能，能支持按热门文献、热门检索、热点时段进行分析。热门文献需按借阅量和下载量分别统计。</w:t>
            </w:r>
          </w:p>
          <w:p>
            <w:pPr>
              <w:rPr>
                <w:rFonts w:hint="eastAsia" w:ascii="宋体" w:hAnsi="宋体" w:cs="仿宋"/>
                <w:bCs/>
                <w:sz w:val="20"/>
                <w:szCs w:val="20"/>
              </w:rPr>
            </w:pPr>
            <w:r>
              <w:rPr>
                <w:rFonts w:hint="eastAsia" w:ascii="宋体" w:hAnsi="宋体" w:cs="仿宋"/>
                <w:bCs/>
                <w:sz w:val="20"/>
                <w:szCs w:val="20"/>
              </w:rPr>
              <w:t>15.提供标准化的数据接口，符合http或https通信标准，使用json或者xml格式进行数据传递。接口池中提供不限于：文献检索接口、文献详细信息提取接口、读者查询接口、读者详细信息提取接口、资源访问统计接口、资源推荐接口。</w:t>
            </w:r>
          </w:p>
          <w:p>
            <w:pPr>
              <w:rPr>
                <w:rFonts w:hint="eastAsia" w:ascii="宋体" w:hAnsi="宋体" w:cs="仿宋"/>
                <w:bCs/>
                <w:sz w:val="20"/>
                <w:szCs w:val="20"/>
              </w:rPr>
            </w:pPr>
            <w:r>
              <w:rPr>
                <w:rFonts w:hint="eastAsia" w:ascii="宋体" w:hAnsi="宋体" w:cs="仿宋"/>
                <w:bCs/>
                <w:sz w:val="20"/>
                <w:szCs w:val="20"/>
              </w:rPr>
              <w:t>16.采用web访问服务模式，判断用户IP登陆或者使用机构账号登陆。</w:t>
            </w:r>
          </w:p>
          <w:p>
            <w:pPr>
              <w:rPr>
                <w:rFonts w:hint="eastAsia" w:ascii="宋体" w:hAnsi="宋体" w:cs="仿宋"/>
                <w:bCs/>
                <w:sz w:val="20"/>
                <w:szCs w:val="20"/>
              </w:rPr>
            </w:pPr>
            <w:r>
              <w:rPr>
                <w:rFonts w:hint="eastAsia" w:ascii="宋体" w:hAnsi="宋体" w:cs="仿宋"/>
                <w:bCs/>
                <w:sz w:val="20"/>
                <w:szCs w:val="20"/>
              </w:rPr>
              <w:t>17.支持个人漫游账号注册，读者可以在校外使用个人账号登陆使用文献。</w:t>
            </w:r>
          </w:p>
          <w:p>
            <w:pPr>
              <w:rPr>
                <w:rFonts w:hint="eastAsia" w:ascii="宋体" w:hAnsi="宋体" w:eastAsia="宋体" w:cs="仿宋"/>
                <w:bCs/>
                <w:kern w:val="2"/>
                <w:sz w:val="20"/>
                <w:szCs w:val="20"/>
                <w:lang w:val="en-US" w:eastAsia="zh-CN" w:bidi="ar-SA"/>
              </w:rPr>
            </w:pPr>
            <w:r>
              <w:rPr>
                <w:rFonts w:hint="eastAsia" w:ascii="宋体" w:hAnsi="宋体" w:cs="仿宋"/>
                <w:bCs/>
                <w:sz w:val="20"/>
                <w:szCs w:val="20"/>
              </w:rPr>
              <w:t>18.支持与图书馆现有门户网站平台整合，直接在图书馆首页进行检索，从结果中扩展全球文献资源。</w:t>
            </w:r>
          </w:p>
        </w:tc>
        <w:tc>
          <w:tcPr>
            <w:tcW w:w="678" w:type="dxa"/>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pStyle w:val="91"/>
              <w:spacing w:line="360" w:lineRule="auto"/>
              <w:ind w:firstLine="0" w:firstLineChars="0"/>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20</w:t>
            </w:r>
            <w:r>
              <w:rPr>
                <w:rFonts w:ascii="宋体" w:hAnsi="宋体" w:cs="宋体"/>
                <w:kern w:val="0"/>
                <w:sz w:val="20"/>
                <w:szCs w:val="20"/>
              </w:rPr>
              <w:t>2</w:t>
            </w:r>
            <w:r>
              <w:rPr>
                <w:rFonts w:hint="eastAsia" w:ascii="宋体" w:hAnsi="宋体" w:cs="宋体"/>
                <w:kern w:val="0"/>
                <w:sz w:val="20"/>
                <w:szCs w:val="20"/>
              </w:rPr>
              <w:t>3年1月1日至20</w:t>
            </w:r>
            <w:r>
              <w:rPr>
                <w:rFonts w:ascii="宋体" w:hAnsi="宋体" w:cs="宋体"/>
                <w:kern w:val="0"/>
                <w:sz w:val="20"/>
                <w:szCs w:val="20"/>
              </w:rPr>
              <w:t>2</w:t>
            </w:r>
            <w:r>
              <w:rPr>
                <w:rFonts w:hint="eastAsia" w:ascii="宋体" w:hAnsi="宋体" w:cs="宋体"/>
                <w:kern w:val="0"/>
                <w:sz w:val="20"/>
                <w:szCs w:val="20"/>
              </w:rPr>
              <w:t>3年12月31日</w:t>
            </w:r>
          </w:p>
        </w:tc>
      </w:tr>
    </w:tbl>
    <w:p>
      <w:pPr>
        <w:pStyle w:val="2"/>
        <w:rPr>
          <w:rFonts w:hint="eastAsia" w:ascii="宋体" w:hAnsi="宋体"/>
          <w:b/>
          <w:sz w:val="24"/>
          <w:szCs w:val="22"/>
          <w:lang w:val="en-US" w:eastAsia="zh-CN"/>
        </w:rPr>
      </w:pPr>
      <w:r>
        <w:rPr>
          <w:rFonts w:hint="eastAsia" w:ascii="宋体" w:hAnsi="宋体"/>
          <w:b/>
          <w:sz w:val="24"/>
          <w:szCs w:val="22"/>
          <w:lang w:val="en-US" w:eastAsia="zh-CN"/>
        </w:rPr>
        <w:t>标项九：</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w:t>
            </w:r>
          </w:p>
        </w:tc>
        <w:tc>
          <w:tcPr>
            <w:tcW w:w="1288" w:type="dxa"/>
            <w:vAlign w:val="center"/>
          </w:tcPr>
          <w:p>
            <w:pPr>
              <w:pStyle w:val="91"/>
              <w:spacing w:line="360" w:lineRule="auto"/>
              <w:ind w:firstLine="0" w:firstLineChars="0"/>
              <w:rPr>
                <w:rFonts w:ascii="仿宋_GB2312" w:eastAsia="仿宋_GB2312"/>
                <w:sz w:val="20"/>
                <w:szCs w:val="20"/>
              </w:rPr>
            </w:pPr>
            <w:r>
              <w:rPr>
                <w:rFonts w:hint="eastAsia" w:ascii="仿宋_GB2312" w:eastAsia="仿宋_GB2312"/>
                <w:sz w:val="20"/>
                <w:szCs w:val="20"/>
              </w:rPr>
              <w:t>中国知网研学平台</w:t>
            </w:r>
          </w:p>
          <w:p>
            <w:pPr>
              <w:pStyle w:val="91"/>
              <w:spacing w:line="360" w:lineRule="auto"/>
              <w:ind w:firstLine="0" w:firstLineChars="0"/>
              <w:rPr>
                <w:rFonts w:hint="eastAsia" w:ascii="仿宋_GB2312" w:hAnsi="Calibri" w:eastAsia="仿宋_GB2312" w:cs="Times New Roman"/>
                <w:kern w:val="2"/>
                <w:sz w:val="20"/>
                <w:szCs w:val="20"/>
                <w:lang w:val="en-US" w:eastAsia="zh-CN" w:bidi="ar-SA"/>
              </w:rPr>
            </w:pPr>
          </w:p>
        </w:tc>
        <w:tc>
          <w:tcPr>
            <w:tcW w:w="6656" w:type="dxa"/>
            <w:vAlign w:val="center"/>
          </w:tcPr>
          <w:p>
            <w:pPr>
              <w:rPr>
                <w:rFonts w:hint="eastAsia" w:ascii="宋体" w:hAnsi="宋体" w:eastAsia="宋体" w:cs="仿宋"/>
                <w:bCs/>
                <w:kern w:val="2"/>
                <w:sz w:val="20"/>
                <w:szCs w:val="20"/>
                <w:lang w:val="en-US" w:eastAsia="zh-CN" w:bidi="ar-SA"/>
              </w:rPr>
            </w:pPr>
            <w:r>
              <w:rPr>
                <w:rFonts w:hint="eastAsia" w:ascii="宋体" w:hAnsi="宋体" w:cs="仿宋"/>
                <w:bCs/>
                <w:sz w:val="20"/>
                <w:szCs w:val="20"/>
              </w:rPr>
              <w:t>1、数据部分。1.1可对接已购买知网总库的学术期刊、博硕、会议、报纸、年鉴数据库所有文献资源，包含XML碎片化资源和PDF资源，数据量与机构已购买的数据库资源保持一致；提供XML、PDF文献全文在线阅读；支持本地上传WORD、PDF、CAJ等多种类型资源，提供云租用服务模式；（数据方面销售可参考用户购买的专辑、专题进行补充）。2、服务方式。2.1产品服务端口。提供Web端、PC端（可兼容Windows/Mac系统）和移动端（可兼容Android/iOS系统，APP和PAD）三端应用服务。2.2同一账号，多端同步，单个用户可同步桌面端、移动端的5台设备数据。2.3可支持使用有漫游权限的个人账号在IP范围外使用。3、功能部分。3.1提供一框式检索、高级检索、专业检索、作者发文检索、句子检索等多种检索方式，可对检索结果进一步进行筛选分析，检索文献结果一键收藏管理，支持导出引文参考文献题录，支持可视化分析。3.2提供XML数据阅读，提供文献大纲阅读功能；提供笔记、划线、摘录以及相关标签和管理等操作；提供参考文献、引证文献一键链接，提供作者、关键词、机构等知网节链接功能；提供一键查询专业词汇释义功能；提供多项在线翻译功能；提供单篇、专题、引文文献三种类型的文献矩阵功能；提供手机扫码阅读，在线打印文献，查看PDF格式原文等功能。3.3提供在线创作功能，提供思维导图功能，提供思维导图生成创作大纲功能；可一键添加摘录、笔记、个人素材、收藏文献、知网在线文献等，并可自动生成参考文献；支持创作内容以Word、PDF格式导出到本地；支持个人创作上传至创作模板库中；提供版本对比功能。3.4提供多种期刊官方投稿网址；可根据学科导航筛选，根据核心期刊、官方期刊、CBPT筛选期刊；提供投稿分析功能；针对文章的题目、摘要、关键词等信息，查找适合文章发表的期刊，提供匹配度，具备CBPT投稿网址和官网投稿网址的刊物，提供直接的投稿入口。3.5提供学科资源包，基于学术大数据，发挥网络协同、聚合效应，实现知识服务。学科专家、学科编辑、研学用户对学科文献进行汇编、点评、导读，经专家审核后，推荐给由大数据技术画像的学习者，优化学习路径与资源，提供知识服务。3.6提供个人知识管理功能；支持文献多终端管理，多条件筛选文献，个人各类学习资料、研究成果的终身管理；提供多种订阅功能，包含期刊订阅、学科订阅、主题订阅、RSS订阅模式。3.7具备管理员管理账号，并提供相关管理功能，实现账号的管理和权限设定；提供后台统计分析功能，可统计用户的使用情况，包括登录、文献阅读、笔记摘录、创作文档数量等；提供用户管理功能。3.8提供个人存储空间10G。4、系统保障。4.1误删的数据在回收站保留30天；4.2要求系统采用B/S模式；系统提供云服务，无需提供服务器等硬件设备；支持谷歌、火狐等兼容性好的浏览器。5、其他要求5.1平台采购后提供一次现场培训，提供产品使用说明手册等资料。5.2提供在线客服和用户群答疑服务，相关问题及时回复。</w:t>
            </w:r>
          </w:p>
        </w:tc>
        <w:tc>
          <w:tcPr>
            <w:tcW w:w="678" w:type="dxa"/>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pStyle w:val="91"/>
              <w:spacing w:line="360" w:lineRule="auto"/>
              <w:ind w:firstLine="0" w:firstLineChars="0"/>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highlight w:val="none"/>
              </w:rPr>
              <w:t>20</w:t>
            </w:r>
            <w:r>
              <w:rPr>
                <w:rFonts w:ascii="宋体" w:hAnsi="宋体" w:cs="宋体"/>
                <w:kern w:val="0"/>
                <w:sz w:val="20"/>
                <w:szCs w:val="20"/>
                <w:highlight w:val="none"/>
              </w:rPr>
              <w:t>2</w:t>
            </w:r>
            <w:r>
              <w:rPr>
                <w:rFonts w:hint="eastAsia" w:ascii="宋体" w:hAnsi="宋体" w:cs="宋体"/>
                <w:kern w:val="0"/>
                <w:sz w:val="20"/>
                <w:szCs w:val="20"/>
                <w:highlight w:val="none"/>
              </w:rPr>
              <w:t>2年11月1日</w:t>
            </w:r>
            <w:r>
              <w:rPr>
                <w:rFonts w:hint="eastAsia" w:ascii="宋体" w:hAnsi="宋体" w:cs="宋体"/>
                <w:kern w:val="0"/>
                <w:sz w:val="20"/>
                <w:szCs w:val="20"/>
              </w:rPr>
              <w:t>至20</w:t>
            </w:r>
            <w:r>
              <w:rPr>
                <w:rFonts w:ascii="宋体" w:hAnsi="宋体" w:cs="宋体"/>
                <w:kern w:val="0"/>
                <w:sz w:val="20"/>
                <w:szCs w:val="20"/>
              </w:rPr>
              <w:t>2</w:t>
            </w:r>
            <w:r>
              <w:rPr>
                <w:rFonts w:hint="eastAsia" w:ascii="宋体" w:hAnsi="宋体" w:cs="宋体"/>
                <w:kern w:val="0"/>
                <w:sz w:val="20"/>
                <w:szCs w:val="20"/>
              </w:rPr>
              <w:t>3年10月31日</w:t>
            </w:r>
          </w:p>
        </w:tc>
      </w:tr>
    </w:tbl>
    <w:p>
      <w:pPr>
        <w:pStyle w:val="2"/>
        <w:rPr>
          <w:rFonts w:hint="eastAsia" w:ascii="宋体" w:hAnsi="宋体"/>
          <w:b/>
          <w:sz w:val="24"/>
          <w:szCs w:val="22"/>
          <w:lang w:val="en-US" w:eastAsia="zh-CN"/>
        </w:rPr>
      </w:pPr>
      <w:r>
        <w:rPr>
          <w:rFonts w:hint="eastAsia" w:ascii="宋体" w:hAnsi="宋体"/>
          <w:b/>
          <w:sz w:val="24"/>
          <w:szCs w:val="22"/>
          <w:lang w:val="en-US" w:eastAsia="zh-CN"/>
        </w:rPr>
        <w:t>标项十：</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p>
        </w:tc>
        <w:tc>
          <w:tcPr>
            <w:tcW w:w="1288" w:type="dxa"/>
            <w:vAlign w:val="center"/>
          </w:tcPr>
          <w:p>
            <w:pPr>
              <w:pStyle w:val="91"/>
              <w:spacing w:line="360" w:lineRule="auto"/>
              <w:ind w:firstLine="0" w:firstLineChars="0"/>
              <w:rPr>
                <w:rFonts w:hint="eastAsia" w:ascii="仿宋_GB2312" w:hAnsi="Calibri" w:eastAsia="仿宋_GB2312" w:cs="Times New Roman"/>
                <w:kern w:val="2"/>
                <w:sz w:val="20"/>
                <w:szCs w:val="20"/>
                <w:lang w:val="en-US" w:eastAsia="zh-CN" w:bidi="ar-SA"/>
              </w:rPr>
            </w:pPr>
            <w:r>
              <w:rPr>
                <w:rFonts w:hint="eastAsia" w:ascii="仿宋_GB2312" w:eastAsia="仿宋_GB2312"/>
                <w:sz w:val="20"/>
                <w:szCs w:val="20"/>
              </w:rPr>
              <w:t>可知电子书</w:t>
            </w:r>
          </w:p>
        </w:tc>
        <w:tc>
          <w:tcPr>
            <w:tcW w:w="6656" w:type="dxa"/>
            <w:vAlign w:val="center"/>
          </w:tcPr>
          <w:p>
            <w:pPr>
              <w:rPr>
                <w:rFonts w:hint="eastAsia" w:ascii="宋体" w:hAnsi="宋体" w:eastAsia="宋体" w:cs="仿宋"/>
                <w:bCs/>
                <w:kern w:val="2"/>
                <w:sz w:val="20"/>
                <w:szCs w:val="20"/>
                <w:lang w:val="en-US" w:eastAsia="zh-CN" w:bidi="ar-SA"/>
              </w:rPr>
            </w:pPr>
            <w:r>
              <w:rPr>
                <w:rFonts w:hint="eastAsia" w:ascii="宋体" w:hAnsi="宋体" w:cs="仿宋"/>
                <w:bCs/>
                <w:sz w:val="20"/>
                <w:szCs w:val="20"/>
              </w:rPr>
              <w:t>1.资源内容。1.1投标人的电子书平台有不少于120家出版社提供电子图书。提供电子工业出版社、人民邮电出版社、化学工业出版社、石油工业出版社、中国建筑工业出版、人民交通出版社、社会科学文献出版社、高等教育出版社、中信出版社、教育科学出版社、冶金工业出版社、中国电力出版社、复旦大学出版社、浙江大学出版社、商务印书馆、北京体育大学出版社、学苑出版社、中国林业出版社、中国法制出版社、人民法院出版社、气象出版社、中国计划出版社、中国财经出版传媒集团、北京出版集团、世界知识出版社的有效内容合作协议复印件。1.2投标人承诺其电子书平台是出版社入驻平台并直供电子图书的模式，出版社可通过内容发布系统进行自主上/下架内容、自主定价、直接授权等操作。提供以上25家出版社支持此种合作模式的证明文件及联系人和电话信息。1.3投标人的电子书平台能够提供以上必须提供合作协议的25家出版社2020年至2022年出版的可选电子图书数量不少于1.5万品种。1.4投标人的电子书平台提供的可选电子书不少20万个品种，其中2019年（含）之后出版的图书占比不低于25%。1.5投标人的提供的电子书内容必须覆盖中图法22个大类。能够依据教育部公布的13大门类，110个一级学科及300多个专业，对电子书进行标引分类。1.6投标人提供的电子书格式为标准PDF或EPUB格式。电子书PDF文件由出版社排版文件转换生成矢量文件，非扫描的PDF文件。电子书Epub文件必须基于排版文件制作，不可用扫描识别加工的Epub文件。 2.平台应用。2.1平台提供中图分类和院系导航功能，同时可实现自动推送重点学科专业相关的资源。2.2平台提供资源检索（书名、作者、出版单位、ISBN、分类、摘要和出版日期等检索条件）、全文检索、问答检索三种检索方式。2.3平台提供试读、荐购、试读全本功能，读者在试读过程中对相关电子书有需求，可向机构管理人员进行荐购，支持荐购后可试读全本服务。2.4平台需提供在阅读时插入书签、更换字体/字号/背景色设置、进度跳转、全文检索、评论、PDF横屏阅读、复制、评论、分享、有声书播放等基础功能。2.5平台需支持深入学习的需求，提供知识学习、知识体系、深度阅读及相关资源等功能。2.6平台需要让读者对阅读的内容、过程、结果实现整体管理。包括个人的阅读轨迹、阅读文章评论、收藏书、书架管理等功能，允许用户添加、删除、阅读图书并对图书进行排序和分类。2.7平台需要提供个性化的针对性的读者阅读信息统计及智能推荐功能。读者进入阅读中心后可以查阅自己阅读的相关信息，平台对阅读信息进行大数据分析，并根据读者阅读习惯向读者推送相关资源。2.8平台需要支持PC Web、Android、IOS及H5、小程序等多终端设备的使用。2.9平台支持与CARSI平台用户实现无缝对接，支持与图书馆馆藏系统、借阅系统、单点登录系统等应用系统的对接。2.10平台需要具备多种认证模式。可通过学校机构IP范围内注册并认证后，可在机构IP范围之外一定期限内通过互联网登录使用平台，无需使用VPN等第三方系统，或提供其他认证方式。3.后台管理。3.1平台需提供采购方相对应的后台管理系统，提供必需包括基本的统计分析、选书管理、书单管理、订单管理、寻品管理等功能模块。3.2后台管理系统提供内容统计、用户统计和订单统计功能。3.3后台管理系统支持按中图法、出版社、学科、学院、推荐等5种选书模式，并可根据各种模式分别设置采选条件。3.4后台管理必须支持书单管理功能，提供创建书单、导入书单、编辑资源、修改书单，删除书单，导出书单、提交书单等功能。3.5后台管理提供支持订单管理功能。可展示机构的订单信息，可查看订单的详情以及资源详情，并可通过时间和订单状态进行查询操作。3.6后台管理系统应支持管理员与出版社相互沟通供需要求。可以由采购方通过平台直接向出版社提出需求并满足需求。 4.其他要求。4.1投标人平台必须提供7×24小时在线稳定服务；平台遇到故障时，投标人须在24小时(工作日)内响应并解决。4.2投标人平台需提供远程诊断的维护和维修，远程诊断不能修复时，在24小时内到达现场维修。4.3投标人所提供电子图书服务的质保期为3年，终身免费维护。4.4投标人提供的电子书不应出现版权纠纷问题。如出现因版权问题导致已购买电子书无法使用的情况，投标人应赔偿相应损失。4.5投标人须支持已经购买的电子书本地部署（本地镜像）和远程中心访问（托管）两种模式。4.6投标人需提供电子书的完整MRAC编目数据，可整合到OPAC系统上。4.7投标人需提供完备的售后服务和使用人员培训。</w:t>
            </w:r>
          </w:p>
        </w:tc>
        <w:tc>
          <w:tcPr>
            <w:tcW w:w="678" w:type="dxa"/>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pStyle w:val="91"/>
              <w:spacing w:line="360" w:lineRule="auto"/>
              <w:ind w:firstLine="0" w:firstLineChars="0"/>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highlight w:val="none"/>
              </w:rPr>
              <w:t>20</w:t>
            </w:r>
            <w:r>
              <w:rPr>
                <w:rFonts w:ascii="宋体" w:hAnsi="宋体" w:cs="宋体"/>
                <w:kern w:val="0"/>
                <w:sz w:val="20"/>
                <w:szCs w:val="20"/>
                <w:highlight w:val="none"/>
              </w:rPr>
              <w:t>2</w:t>
            </w:r>
            <w:r>
              <w:rPr>
                <w:rFonts w:hint="eastAsia" w:ascii="宋体" w:hAnsi="宋体" w:cs="宋体"/>
                <w:kern w:val="0"/>
                <w:sz w:val="20"/>
                <w:szCs w:val="20"/>
                <w:highlight w:val="none"/>
              </w:rPr>
              <w:t>2年11月1日</w:t>
            </w:r>
            <w:r>
              <w:rPr>
                <w:rFonts w:hint="eastAsia" w:ascii="宋体" w:hAnsi="宋体" w:cs="宋体"/>
                <w:kern w:val="0"/>
                <w:sz w:val="20"/>
                <w:szCs w:val="20"/>
              </w:rPr>
              <w:t>至20</w:t>
            </w:r>
            <w:r>
              <w:rPr>
                <w:rFonts w:ascii="宋体" w:hAnsi="宋体" w:cs="宋体"/>
                <w:kern w:val="0"/>
                <w:sz w:val="20"/>
                <w:szCs w:val="20"/>
              </w:rPr>
              <w:t>2</w:t>
            </w:r>
            <w:r>
              <w:rPr>
                <w:rFonts w:hint="eastAsia" w:ascii="宋体" w:hAnsi="宋体" w:cs="宋体"/>
                <w:kern w:val="0"/>
                <w:sz w:val="20"/>
                <w:szCs w:val="20"/>
              </w:rPr>
              <w:t>3年10月31日</w:t>
            </w:r>
          </w:p>
        </w:tc>
      </w:tr>
    </w:tbl>
    <w:p>
      <w:pPr>
        <w:pStyle w:val="2"/>
        <w:rPr>
          <w:rFonts w:hint="eastAsia" w:ascii="宋体" w:hAnsi="宋体"/>
          <w:b/>
          <w:sz w:val="24"/>
          <w:szCs w:val="22"/>
          <w:lang w:val="en-US" w:eastAsia="zh-CN"/>
        </w:rPr>
      </w:pPr>
      <w:r>
        <w:rPr>
          <w:rFonts w:hint="eastAsia" w:ascii="宋体" w:hAnsi="宋体"/>
          <w:b/>
          <w:sz w:val="24"/>
          <w:szCs w:val="22"/>
          <w:lang w:val="en-US" w:eastAsia="zh-CN"/>
        </w:rPr>
        <w:t>标项十一：</w:t>
      </w:r>
    </w:p>
    <w:tbl>
      <w:tblPr>
        <w:tblStyle w:val="39"/>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288"/>
        <w:gridCol w:w="6656"/>
        <w:gridCol w:w="67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序号</w:t>
            </w:r>
          </w:p>
        </w:tc>
        <w:tc>
          <w:tcPr>
            <w:tcW w:w="128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名称</w:t>
            </w:r>
          </w:p>
        </w:tc>
        <w:tc>
          <w:tcPr>
            <w:tcW w:w="6656"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参数</w:t>
            </w:r>
          </w:p>
        </w:tc>
        <w:tc>
          <w:tcPr>
            <w:tcW w:w="678" w:type="dxa"/>
            <w:vAlign w:val="center"/>
          </w:tcPr>
          <w:p>
            <w:pPr>
              <w:widowControl/>
              <w:jc w:val="center"/>
              <w:rPr>
                <w:rFonts w:hint="eastAsia" w:ascii="宋体" w:hAnsi="宋体" w:eastAsia="宋体" w:cs="宋体"/>
                <w:b/>
                <w:bCs/>
                <w:kern w:val="0"/>
                <w:sz w:val="20"/>
                <w:szCs w:val="20"/>
                <w:lang w:val="en-US" w:eastAsia="zh-CN" w:bidi="ar-SA"/>
              </w:rPr>
            </w:pPr>
            <w:r>
              <w:rPr>
                <w:rFonts w:hint="eastAsia" w:ascii="仿宋" w:hAnsi="仿宋" w:eastAsia="仿宋"/>
                <w:sz w:val="22"/>
                <w:szCs w:val="18"/>
              </w:rPr>
              <w:t>使用模</w:t>
            </w:r>
            <w:r>
              <w:rPr>
                <w:rFonts w:hint="eastAsia" w:ascii="仿宋" w:hAnsi="仿宋" w:eastAsia="仿宋"/>
                <w:sz w:val="24"/>
              </w:rPr>
              <w:t>式</w:t>
            </w:r>
          </w:p>
        </w:tc>
        <w:tc>
          <w:tcPr>
            <w:tcW w:w="866"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使用</w:t>
            </w:r>
          </w:p>
          <w:p>
            <w:pPr>
              <w:widowControl/>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center"/>
          </w:tcPr>
          <w:p>
            <w:pPr>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1</w:t>
            </w:r>
          </w:p>
        </w:tc>
        <w:tc>
          <w:tcPr>
            <w:tcW w:w="1288" w:type="dxa"/>
            <w:vAlign w:val="center"/>
          </w:tcPr>
          <w:p>
            <w:pPr>
              <w:pStyle w:val="91"/>
              <w:spacing w:line="360" w:lineRule="auto"/>
              <w:ind w:firstLine="0" w:firstLineChars="0"/>
              <w:rPr>
                <w:rFonts w:hint="eastAsia" w:ascii="仿宋_GB2312" w:hAnsi="Calibri" w:eastAsia="仿宋_GB2312" w:cs="Times New Roman"/>
                <w:kern w:val="2"/>
                <w:sz w:val="20"/>
                <w:szCs w:val="20"/>
                <w:lang w:val="en-US" w:eastAsia="zh-CN" w:bidi="ar-SA"/>
              </w:rPr>
            </w:pPr>
            <w:r>
              <w:rPr>
                <w:rFonts w:hint="eastAsia" w:ascii="仿宋_GB2312" w:eastAsia="仿宋_GB2312"/>
                <w:sz w:val="20"/>
                <w:szCs w:val="20"/>
              </w:rPr>
              <w:t>汇云书舍电子图书数据库(京东读书专业版）</w:t>
            </w:r>
          </w:p>
        </w:tc>
        <w:tc>
          <w:tcPr>
            <w:tcW w:w="6656" w:type="dxa"/>
            <w:vAlign w:val="center"/>
          </w:tcPr>
          <w:p>
            <w:pPr>
              <w:rPr>
                <w:rFonts w:hint="eastAsia" w:ascii="宋体" w:hAnsi="宋体" w:eastAsia="宋体" w:cs="仿宋"/>
                <w:bCs/>
                <w:kern w:val="2"/>
                <w:sz w:val="20"/>
                <w:szCs w:val="20"/>
                <w:lang w:val="en-US" w:eastAsia="zh-CN" w:bidi="ar-SA"/>
              </w:rPr>
            </w:pPr>
            <w:r>
              <w:rPr>
                <w:rFonts w:hint="eastAsia" w:ascii="宋体" w:hAnsi="宋体" w:cs="仿宋"/>
                <w:bCs/>
                <w:sz w:val="20"/>
                <w:szCs w:val="20"/>
              </w:rPr>
              <w:t>1、资源要求。1.1包含中文电子图书20万种；1.2全部版权合法，提供5份以上出版社授权协议复印件，其中以下出版社至少包含3家（中国经济出版社、社会科学文献出版社、人民邮电出版社、中信出版社、北京大学出版社）；1.3资源要求为pdf\epub格式，epub格式占比85%以上；1.4、图书更新速度快，每月要有新书更新，年更新数量3-5万种；1.5近3年出版图书占比不低于25%。2、平台要求。2.1提供多种阅读方式：包括IOS\Android端APP，微网页、WEB网页；并支持电子墨水屏阅读器；2.2支持账号授权阅读模式，校内校外均可阅读，不受IP限制；2.3支持馆内自助推荐阅读书单、支持馆内刊物上传发布；2.4界面大方美观，检索方便快捷，可按分类、关键字进行快速检索图书；2.5提供本馆读者阅读分析统计，包括阅读时间、阅读兴趣；2.6软件功能应包括阅览室、我的书架、猜你喜欢、阅读圈、个人阅历等；2.7通过阅读数据，可针对读者的行为进行分析，为当前读者推荐喜欢阅读的书籍；2.8提供图书检索和下载服务，支持部分章节内容复制；2.9个人书架可以对图书进行自定义分组管理，书架信息在不同的设备上登录后自动同步更新，书籍云端保存，实现多终端同步；2.10支持阅读分享，可分享到微信、微博，也可以分享在系统自带的校友阅读圈；阅读平台支持在线笔记和笔记导出到邮件、印象笔记等；2.11阅读格式支持 PDF 和EPUB 格式；2.12提供电子图书语音朗读功能；2.13阅读模式下可自由调整字体大小，背景颜色、亮度、夜间模式等个性化设置；2.14提供馆内读者线上交流功能，读者可以在圈子里发布读后感、分享书籍等，还可以就书评进行点赞、评论、回复等互动交流，加强图书馆与读者之间的联系；2.15阅读环境下，读者可以自由增加书签、自由记录阅读笔记，并自动同步到云端，数据永不丢失。3、服务要求。3.1在订购有效期限内，保证经身份认证的本校读者无限制阅读平台内所有电子图书。3.2订购期内应免费产品升级平台，提供7×8小时电话支持，7×24小时网络支持，解决出现的问题。3.3阅读平台应7×24小时无间断运行，出现故障应在2小时内响应，4小时内恢复。3.4供应商应每年一次免费为用户相关人员及读者提供有关技术及使用培训。</w:t>
            </w:r>
          </w:p>
        </w:tc>
        <w:tc>
          <w:tcPr>
            <w:tcW w:w="678" w:type="dxa"/>
            <w:vAlign w:val="center"/>
          </w:tcPr>
          <w:p>
            <w:pPr>
              <w:pStyle w:val="91"/>
              <w:spacing w:line="360" w:lineRule="auto"/>
              <w:ind w:firstLine="0" w:firstLineChars="0"/>
              <w:jc w:val="center"/>
              <w:rPr>
                <w:rFonts w:ascii="仿宋" w:hAnsi="仿宋" w:eastAsia="仿宋"/>
                <w:sz w:val="20"/>
                <w:szCs w:val="20"/>
              </w:rPr>
            </w:pPr>
            <w:r>
              <w:rPr>
                <w:rFonts w:hint="eastAsia" w:ascii="仿宋" w:hAnsi="仿宋" w:eastAsia="仿宋"/>
                <w:sz w:val="20"/>
                <w:szCs w:val="20"/>
              </w:rPr>
              <w:t>托管</w:t>
            </w:r>
          </w:p>
          <w:p>
            <w:pPr>
              <w:pStyle w:val="91"/>
              <w:spacing w:line="360" w:lineRule="auto"/>
              <w:ind w:firstLine="0" w:firstLineChars="0"/>
              <w:jc w:val="center"/>
              <w:rPr>
                <w:rFonts w:hint="eastAsia" w:ascii="仿宋" w:hAnsi="仿宋" w:eastAsia="仿宋" w:cs="Times New Roman"/>
                <w:kern w:val="2"/>
                <w:sz w:val="20"/>
                <w:szCs w:val="20"/>
                <w:lang w:val="en-US" w:eastAsia="zh-CN" w:bidi="ar-SA"/>
              </w:rPr>
            </w:pPr>
          </w:p>
        </w:tc>
        <w:tc>
          <w:tcPr>
            <w:tcW w:w="86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highlight w:val="none"/>
              </w:rPr>
              <w:t>20</w:t>
            </w:r>
            <w:r>
              <w:rPr>
                <w:rFonts w:ascii="宋体" w:hAnsi="宋体" w:cs="宋体"/>
                <w:kern w:val="0"/>
                <w:sz w:val="20"/>
                <w:szCs w:val="20"/>
                <w:highlight w:val="none"/>
              </w:rPr>
              <w:t>2</w:t>
            </w:r>
            <w:r>
              <w:rPr>
                <w:rFonts w:hint="eastAsia" w:ascii="宋体" w:hAnsi="宋体" w:cs="宋体"/>
                <w:kern w:val="0"/>
                <w:sz w:val="20"/>
                <w:szCs w:val="20"/>
                <w:highlight w:val="none"/>
              </w:rPr>
              <w:t>2年11月1日</w:t>
            </w:r>
            <w:r>
              <w:rPr>
                <w:rFonts w:hint="eastAsia" w:ascii="宋体" w:hAnsi="宋体" w:cs="宋体"/>
                <w:kern w:val="0"/>
                <w:sz w:val="20"/>
                <w:szCs w:val="20"/>
              </w:rPr>
              <w:t>至20</w:t>
            </w:r>
            <w:r>
              <w:rPr>
                <w:rFonts w:ascii="宋体" w:hAnsi="宋体" w:cs="宋体"/>
                <w:kern w:val="0"/>
                <w:sz w:val="20"/>
                <w:szCs w:val="20"/>
              </w:rPr>
              <w:t>2</w:t>
            </w:r>
            <w:r>
              <w:rPr>
                <w:rFonts w:hint="eastAsia" w:ascii="宋体" w:hAnsi="宋体" w:cs="宋体"/>
                <w:kern w:val="0"/>
                <w:sz w:val="20"/>
                <w:szCs w:val="20"/>
              </w:rPr>
              <w:t>3年10月31日</w:t>
            </w:r>
          </w:p>
        </w:tc>
      </w:tr>
    </w:tbl>
    <w:p>
      <w:pPr>
        <w:spacing w:line="460" w:lineRule="exact"/>
        <w:ind w:firstLine="562" w:firstLineChars="200"/>
        <w:jc w:val="left"/>
        <w:rPr>
          <w:rFonts w:ascii="宋体" w:hAnsi="宋体" w:cs="Arial"/>
          <w:b/>
          <w:kern w:val="0"/>
          <w:sz w:val="28"/>
          <w:szCs w:val="28"/>
        </w:rPr>
      </w:pPr>
      <w:r>
        <w:rPr>
          <w:rFonts w:hint="eastAsia" w:ascii="宋体" w:hAnsi="宋体" w:cs="Arial"/>
          <w:b/>
          <w:kern w:val="0"/>
          <w:sz w:val="28"/>
          <w:szCs w:val="28"/>
        </w:rPr>
        <w:t>服务方式、付款方式及履约期限：</w:t>
      </w:r>
    </w:p>
    <w:p>
      <w:pPr>
        <w:spacing w:line="460" w:lineRule="exact"/>
        <w:ind w:firstLine="560" w:firstLineChars="200"/>
        <w:jc w:val="left"/>
        <w:rPr>
          <w:rFonts w:ascii="宋体" w:hAnsi="宋体" w:cs="Arial"/>
          <w:kern w:val="0"/>
          <w:sz w:val="28"/>
          <w:szCs w:val="28"/>
        </w:rPr>
      </w:pPr>
      <w:r>
        <w:rPr>
          <w:rFonts w:hint="eastAsia" w:ascii="宋体" w:hAnsi="宋体" w:cs="Arial"/>
          <w:kern w:val="0"/>
          <w:sz w:val="28"/>
          <w:szCs w:val="28"/>
        </w:rPr>
        <w:t>1.履约地点：供货至喀什大学。</w:t>
      </w:r>
    </w:p>
    <w:p>
      <w:pPr>
        <w:spacing w:line="460" w:lineRule="exact"/>
        <w:ind w:firstLine="560" w:firstLineChars="200"/>
        <w:jc w:val="left"/>
        <w:rPr>
          <w:rFonts w:ascii="宋体" w:hAnsi="宋体" w:cs="Arial"/>
          <w:kern w:val="0"/>
          <w:sz w:val="28"/>
          <w:szCs w:val="28"/>
        </w:rPr>
      </w:pPr>
      <w:r>
        <w:rPr>
          <w:rFonts w:hint="eastAsia" w:ascii="宋体" w:hAnsi="宋体" w:cs="Arial"/>
          <w:kern w:val="0"/>
          <w:sz w:val="28"/>
          <w:szCs w:val="28"/>
        </w:rPr>
        <w:t>2.履约期限：签订合同之日起5个工作日内。</w:t>
      </w:r>
    </w:p>
    <w:p>
      <w:pPr>
        <w:spacing w:line="460" w:lineRule="exact"/>
        <w:ind w:firstLine="560" w:firstLineChars="200"/>
        <w:jc w:val="left"/>
        <w:rPr>
          <w:rFonts w:hint="eastAsia" w:ascii="宋体" w:hAnsi="宋体" w:cs="Arial"/>
          <w:kern w:val="0"/>
          <w:sz w:val="28"/>
          <w:szCs w:val="28"/>
        </w:rPr>
      </w:pPr>
      <w:r>
        <w:rPr>
          <w:rFonts w:hint="eastAsia" w:ascii="宋体" w:hAnsi="宋体" w:cs="Arial"/>
          <w:kern w:val="0"/>
          <w:sz w:val="28"/>
          <w:szCs w:val="28"/>
        </w:rPr>
        <w:t>3.付款方式要求：验收合格后5个工作日内一次付清。</w:t>
      </w:r>
    </w:p>
    <w:p>
      <w:pPr>
        <w:pStyle w:val="3"/>
        <w:rPr>
          <w:rFonts w:hint="eastAsia"/>
        </w:rPr>
      </w:pPr>
    </w:p>
    <w:p>
      <w:pPr>
        <w:pStyle w:val="4"/>
        <w:rPr>
          <w:rFonts w:hint="eastAsia" w:ascii="宋体" w:hAnsi="宋体"/>
          <w:b/>
          <w:sz w:val="36"/>
        </w:rPr>
      </w:pPr>
    </w:p>
    <w:p>
      <w:pPr>
        <w:rPr>
          <w:rFonts w:hint="eastAsia" w:ascii="宋体" w:hAnsi="宋体"/>
          <w:b/>
          <w:sz w:val="36"/>
        </w:rPr>
      </w:pPr>
    </w:p>
    <w:p>
      <w:pPr>
        <w:pStyle w:val="2"/>
        <w:rPr>
          <w:rFonts w:hint="eastAsia" w:ascii="宋体" w:hAnsi="宋体"/>
          <w:b/>
          <w:sz w:val="36"/>
        </w:rPr>
      </w:pPr>
    </w:p>
    <w:p>
      <w:pPr>
        <w:pStyle w:val="3"/>
        <w:rPr>
          <w:rFonts w:hint="eastAsia" w:ascii="宋体" w:hAnsi="宋体"/>
          <w:b/>
          <w:sz w:val="36"/>
        </w:rPr>
      </w:pPr>
    </w:p>
    <w:p>
      <w:pPr>
        <w:pStyle w:val="4"/>
        <w:rPr>
          <w:rFonts w:hint="eastAsia" w:ascii="宋体" w:hAnsi="宋体"/>
          <w:b/>
          <w:sz w:val="36"/>
        </w:rPr>
      </w:pPr>
    </w:p>
    <w:p>
      <w:pPr>
        <w:rPr>
          <w:rFonts w:hint="eastAsia"/>
        </w:rPr>
      </w:pPr>
    </w:p>
    <w:p>
      <w:pPr>
        <w:pStyle w:val="2"/>
        <w:rPr>
          <w:rFonts w:hint="eastAsia"/>
        </w:rPr>
      </w:pPr>
    </w:p>
    <w:p>
      <w:pPr>
        <w:spacing w:line="440" w:lineRule="exact"/>
        <w:jc w:val="center"/>
        <w:outlineLvl w:val="0"/>
        <w:rPr>
          <w:rFonts w:hint="eastAsia" w:ascii="宋体" w:hAnsi="宋体"/>
          <w:b/>
          <w:sz w:val="36"/>
        </w:rPr>
      </w:pPr>
    </w:p>
    <w:p>
      <w:pPr>
        <w:spacing w:line="440" w:lineRule="exact"/>
        <w:jc w:val="center"/>
        <w:outlineLvl w:val="0"/>
        <w:rPr>
          <w:rFonts w:ascii="宋体" w:hAnsi="宋体"/>
          <w:b/>
          <w:sz w:val="36"/>
        </w:rPr>
      </w:pPr>
      <w:r>
        <w:rPr>
          <w:rFonts w:hint="eastAsia" w:ascii="宋体" w:hAnsi="宋体"/>
          <w:b/>
          <w:sz w:val="36"/>
        </w:rPr>
        <w:t>第五部分</w:t>
      </w:r>
      <w:r>
        <w:rPr>
          <w:rFonts w:ascii="宋体" w:hAnsi="宋体"/>
          <w:b/>
          <w:sz w:val="36"/>
        </w:rPr>
        <w:t xml:space="preserve">  </w:t>
      </w:r>
      <w:r>
        <w:rPr>
          <w:rFonts w:hint="eastAsia" w:ascii="宋体" w:hAnsi="宋体"/>
          <w:b/>
          <w:sz w:val="36"/>
        </w:rPr>
        <w:t>合同部分（模板）</w:t>
      </w:r>
      <w:bookmarkEnd w:id="16"/>
    </w:p>
    <w:p>
      <w:pPr>
        <w:spacing w:line="440" w:lineRule="exact"/>
        <w:jc w:val="center"/>
        <w:outlineLvl w:val="0"/>
        <w:rPr>
          <w:rFonts w:ascii="宋体" w:hAnsi="宋体"/>
          <w:sz w:val="36"/>
        </w:rPr>
      </w:pPr>
      <w:r>
        <w:rPr>
          <w:rFonts w:ascii="宋体" w:hAnsi="宋体"/>
          <w:b/>
          <w:bCs/>
          <w:sz w:val="30"/>
        </w:rPr>
        <w:t xml:space="preserve"> </w:t>
      </w:r>
      <w:bookmarkStart w:id="42" w:name="_Toc17902425"/>
      <w:r>
        <w:rPr>
          <w:rFonts w:ascii="宋体" w:hAnsi="宋体"/>
          <w:b/>
          <w:bCs/>
          <w:sz w:val="30"/>
        </w:rPr>
        <w:t>(</w:t>
      </w:r>
      <w:r>
        <w:rPr>
          <w:rFonts w:hint="eastAsia" w:ascii="宋体" w:hAnsi="宋体"/>
          <w:b/>
          <w:bCs/>
          <w:sz w:val="30"/>
        </w:rPr>
        <w:t>此合同样本仅供参考</w:t>
      </w:r>
      <w:r>
        <w:rPr>
          <w:rFonts w:ascii="宋体" w:hAnsi="宋体"/>
          <w:b/>
          <w:bCs/>
          <w:sz w:val="30"/>
        </w:rPr>
        <w:t>,</w:t>
      </w:r>
      <w:r>
        <w:rPr>
          <w:rFonts w:hint="eastAsia" w:ascii="宋体" w:hAnsi="宋体"/>
          <w:b/>
          <w:bCs/>
          <w:sz w:val="30"/>
        </w:rPr>
        <w:t>合同具体细则以成交双方协定为准</w:t>
      </w:r>
      <w:r>
        <w:rPr>
          <w:rFonts w:ascii="宋体" w:hAnsi="宋体"/>
          <w:b/>
          <w:bCs/>
          <w:sz w:val="30"/>
        </w:rPr>
        <w:t>)</w:t>
      </w:r>
      <w:bookmarkEnd w:id="42"/>
    </w:p>
    <w:p>
      <w:pPr>
        <w:overflowPunct w:val="0"/>
        <w:spacing w:line="440" w:lineRule="exact"/>
        <w:rPr>
          <w:rFonts w:ascii="宋体" w:hAnsi="宋体"/>
          <w:b/>
          <w:sz w:val="24"/>
          <w:szCs w:val="24"/>
        </w:rPr>
      </w:pPr>
    </w:p>
    <w:p>
      <w:pPr>
        <w:jc w:val="left"/>
        <w:rPr>
          <w:rFonts w:ascii="宋体" w:hAnsi="宋体" w:cs="宋体"/>
          <w:sz w:val="24"/>
          <w:szCs w:val="24"/>
        </w:rPr>
      </w:pPr>
      <w:r>
        <w:rPr>
          <w:rFonts w:hint="eastAsia" w:ascii="宋体" w:hAnsi="宋体"/>
          <w:sz w:val="24"/>
          <w:szCs w:val="24"/>
        </w:rPr>
        <w:t xml:space="preserve">                                             </w:t>
      </w:r>
      <w:r>
        <w:rPr>
          <w:rFonts w:hint="eastAsia" w:ascii="宋体" w:hAnsi="宋体" w:cs="宋体"/>
          <w:sz w:val="24"/>
          <w:szCs w:val="24"/>
        </w:rPr>
        <w:t>合同编号：</w:t>
      </w:r>
    </w:p>
    <w:p>
      <w:pPr>
        <w:jc w:val="center"/>
        <w:rPr>
          <w:rFonts w:ascii="宋体" w:hAnsi="宋体" w:cs="宋体"/>
          <w:sz w:val="24"/>
          <w:szCs w:val="24"/>
        </w:rPr>
      </w:pPr>
      <w:r>
        <w:rPr>
          <w:rFonts w:hint="eastAsia" w:ascii="宋体" w:hAnsi="宋体" w:cs="宋体"/>
          <w:sz w:val="24"/>
          <w:szCs w:val="24"/>
        </w:rPr>
        <w:t xml:space="preserve">                                      </w:t>
      </w:r>
    </w:p>
    <w:p>
      <w:pPr>
        <w:spacing w:line="440" w:lineRule="exact"/>
        <w:ind w:firstLine="420" w:firstLineChars="200"/>
        <w:rPr>
          <w:rFonts w:ascii="宋体" w:hAnsi="宋体"/>
          <w:sz w:val="24"/>
          <w:szCs w:val="24"/>
        </w:rPr>
      </w:pPr>
      <w:r>
        <w:rPr>
          <w:rFonts w:hint="eastAsia" w:ascii="宋体" w:hAnsi="宋体"/>
          <w:color w:val="000000"/>
        </w:rPr>
        <w:t xml:space="preserve"> </w:t>
      </w:r>
      <w:r>
        <w:rPr>
          <w:rFonts w:hint="eastAsia" w:ascii="宋体" w:hAnsi="宋体"/>
          <w:b/>
          <w:color w:val="000000"/>
        </w:rPr>
        <w:t xml:space="preserve"> </w:t>
      </w:r>
      <w:r>
        <w:rPr>
          <w:rFonts w:hint="eastAsia" w:ascii="宋体" w:hAnsi="宋体"/>
          <w:sz w:val="24"/>
          <w:szCs w:val="24"/>
        </w:rPr>
        <w:t>1、定义</w:t>
      </w:r>
    </w:p>
    <w:p>
      <w:pPr>
        <w:spacing w:line="440" w:lineRule="exact"/>
        <w:ind w:firstLine="480" w:firstLineChars="200"/>
        <w:rPr>
          <w:rFonts w:ascii="宋体" w:hAnsi="宋体"/>
          <w:sz w:val="24"/>
          <w:szCs w:val="24"/>
        </w:rPr>
      </w:pPr>
      <w:r>
        <w:rPr>
          <w:rFonts w:hint="eastAsia" w:ascii="宋体" w:hAnsi="宋体"/>
          <w:sz w:val="24"/>
          <w:szCs w:val="24"/>
        </w:rPr>
        <w:t>1.1 “合同”系指买方和卖方（以下简称合同双方）已达成的协议，即由双方签订的合同格式文件，包括所有的单一来源采购文件、投标文件、招标答疑纪录、澄清说明、附件、附录和组成合同的所有其他文件。</w:t>
      </w:r>
    </w:p>
    <w:p>
      <w:pPr>
        <w:spacing w:line="440" w:lineRule="exact"/>
        <w:ind w:firstLine="480" w:firstLineChars="200"/>
        <w:rPr>
          <w:rFonts w:ascii="宋体" w:hAnsi="宋体"/>
          <w:sz w:val="24"/>
          <w:szCs w:val="24"/>
        </w:rPr>
      </w:pPr>
      <w:r>
        <w:rPr>
          <w:rFonts w:hint="eastAsia" w:ascii="宋体" w:hAnsi="宋体"/>
          <w:sz w:val="24"/>
          <w:szCs w:val="24"/>
        </w:rPr>
        <w:t xml:space="preserve">    1．2  “合同价格”系指根据合同规定，在卖方全面正确地履行合同义务时，买方应支付给卖方的款项。</w:t>
      </w:r>
    </w:p>
    <w:p>
      <w:pPr>
        <w:spacing w:line="440" w:lineRule="exact"/>
        <w:ind w:firstLine="480" w:firstLineChars="200"/>
        <w:rPr>
          <w:rFonts w:ascii="宋体" w:hAnsi="宋体"/>
          <w:sz w:val="24"/>
          <w:szCs w:val="24"/>
        </w:rPr>
      </w:pPr>
      <w:r>
        <w:rPr>
          <w:rFonts w:hint="eastAsia" w:ascii="宋体" w:hAnsi="宋体"/>
          <w:sz w:val="24"/>
          <w:szCs w:val="24"/>
        </w:rPr>
        <w:t xml:space="preserve">    1．3  “货物”系指卖方按合同要求，须向买方提供的一切设备、机械、仪器仪表、备品备件、工具、手册、其它技术资料和其它材料。</w:t>
      </w:r>
    </w:p>
    <w:p>
      <w:pPr>
        <w:spacing w:line="440" w:lineRule="exact"/>
        <w:ind w:firstLine="480" w:firstLineChars="200"/>
        <w:rPr>
          <w:rFonts w:ascii="宋体" w:hAnsi="宋体"/>
          <w:sz w:val="24"/>
          <w:szCs w:val="24"/>
        </w:rPr>
      </w:pPr>
      <w:r>
        <w:rPr>
          <w:rFonts w:hint="eastAsia" w:ascii="宋体" w:hAnsi="宋体"/>
          <w:sz w:val="24"/>
          <w:szCs w:val="24"/>
        </w:rPr>
        <w:t xml:space="preserve">    1．4  “服务”系指合同规定卖方必须承担的安装、调试、技术协助、校准、培训以及其他类似义务。</w:t>
      </w:r>
    </w:p>
    <w:p>
      <w:pPr>
        <w:spacing w:line="440" w:lineRule="exact"/>
        <w:ind w:firstLine="480" w:firstLineChars="200"/>
        <w:rPr>
          <w:rFonts w:ascii="宋体" w:hAnsi="宋体"/>
          <w:sz w:val="24"/>
          <w:szCs w:val="24"/>
        </w:rPr>
      </w:pPr>
      <w:r>
        <w:rPr>
          <w:rFonts w:hint="eastAsia" w:ascii="宋体" w:hAnsi="宋体"/>
          <w:sz w:val="24"/>
          <w:szCs w:val="24"/>
        </w:rPr>
        <w:t xml:space="preserve">    1．5  “甲方”、“买方”、“采购方”均系指通过招标采购，接受合同货物及服务的自治区本级各行政事业单位、社会团体(采购单位)及社会代理机构。</w:t>
      </w:r>
    </w:p>
    <w:p>
      <w:pPr>
        <w:spacing w:line="440" w:lineRule="exact"/>
        <w:ind w:firstLine="480" w:firstLineChars="200"/>
        <w:rPr>
          <w:rFonts w:ascii="宋体" w:hAnsi="宋体"/>
          <w:sz w:val="24"/>
          <w:szCs w:val="24"/>
        </w:rPr>
      </w:pPr>
      <w:r>
        <w:rPr>
          <w:rFonts w:hint="eastAsia" w:ascii="宋体" w:hAnsi="宋体"/>
          <w:sz w:val="24"/>
          <w:szCs w:val="24"/>
        </w:rPr>
        <w:t xml:space="preserve">    1．6  “乙方”、“卖方”系指中标后提供合同货物和服务的经济实体。</w:t>
      </w:r>
    </w:p>
    <w:p>
      <w:pPr>
        <w:spacing w:line="440" w:lineRule="exact"/>
        <w:ind w:firstLine="480" w:firstLineChars="200"/>
        <w:rPr>
          <w:rFonts w:ascii="宋体" w:hAnsi="宋体"/>
          <w:sz w:val="24"/>
          <w:szCs w:val="24"/>
        </w:rPr>
      </w:pPr>
      <w:r>
        <w:rPr>
          <w:rFonts w:hint="eastAsia" w:ascii="宋体" w:hAnsi="宋体"/>
          <w:sz w:val="24"/>
          <w:szCs w:val="24"/>
        </w:rPr>
        <w:t xml:space="preserve">    1．7  “现场”系指将要进行货物安装和运转的地点。</w:t>
      </w:r>
    </w:p>
    <w:p>
      <w:pPr>
        <w:spacing w:line="440" w:lineRule="exact"/>
        <w:ind w:firstLine="480" w:firstLineChars="200"/>
        <w:rPr>
          <w:rFonts w:ascii="宋体" w:hAnsi="宋体"/>
          <w:sz w:val="24"/>
          <w:szCs w:val="24"/>
        </w:rPr>
      </w:pPr>
      <w:r>
        <w:rPr>
          <w:rFonts w:hint="eastAsia" w:ascii="宋体" w:hAnsi="宋体"/>
          <w:sz w:val="24"/>
          <w:szCs w:val="24"/>
        </w:rPr>
        <w:t>1．8  “验收”系指买方依据国家技术规范及本合同的约定，对内技术规格规定接受合同货物所依据的程序和条件。</w:t>
      </w:r>
    </w:p>
    <w:p>
      <w:pPr>
        <w:spacing w:line="440" w:lineRule="exact"/>
        <w:ind w:firstLine="480" w:firstLineChars="200"/>
        <w:rPr>
          <w:rFonts w:ascii="宋体" w:hAnsi="宋体"/>
          <w:sz w:val="24"/>
          <w:szCs w:val="24"/>
        </w:rPr>
      </w:pPr>
      <w:r>
        <w:rPr>
          <w:rFonts w:hint="eastAsia" w:ascii="宋体" w:hAnsi="宋体"/>
          <w:sz w:val="24"/>
          <w:szCs w:val="24"/>
        </w:rPr>
        <w:t xml:space="preserve">    2、适用范围</w:t>
      </w:r>
    </w:p>
    <w:p>
      <w:pPr>
        <w:spacing w:line="440" w:lineRule="exact"/>
        <w:ind w:firstLine="480" w:firstLineChars="200"/>
        <w:rPr>
          <w:rFonts w:ascii="宋体" w:hAnsi="宋体"/>
          <w:sz w:val="24"/>
          <w:szCs w:val="24"/>
        </w:rPr>
      </w:pPr>
      <w:r>
        <w:rPr>
          <w:rFonts w:hint="eastAsia" w:ascii="宋体" w:hAnsi="宋体"/>
          <w:sz w:val="24"/>
          <w:szCs w:val="24"/>
        </w:rPr>
        <w:t xml:space="preserve">    2．1  本合同条款仅适用于本次招标活动。</w:t>
      </w:r>
    </w:p>
    <w:p>
      <w:pPr>
        <w:spacing w:line="440" w:lineRule="exact"/>
        <w:ind w:firstLine="480" w:firstLineChars="200"/>
        <w:rPr>
          <w:rFonts w:ascii="宋体" w:hAnsi="宋体"/>
          <w:sz w:val="24"/>
          <w:szCs w:val="24"/>
        </w:rPr>
      </w:pPr>
      <w:r>
        <w:rPr>
          <w:rFonts w:hint="eastAsia" w:ascii="宋体" w:hAnsi="宋体"/>
          <w:sz w:val="24"/>
          <w:szCs w:val="24"/>
        </w:rPr>
        <w:t xml:space="preserve">    3、原产地</w:t>
      </w:r>
    </w:p>
    <w:p>
      <w:pPr>
        <w:spacing w:line="440" w:lineRule="exact"/>
        <w:ind w:firstLine="480" w:firstLineChars="200"/>
        <w:rPr>
          <w:rFonts w:ascii="宋体" w:hAnsi="宋体"/>
          <w:sz w:val="24"/>
          <w:szCs w:val="24"/>
        </w:rPr>
      </w:pPr>
      <w:r>
        <w:rPr>
          <w:rFonts w:hint="eastAsia" w:ascii="宋体" w:hAnsi="宋体"/>
          <w:sz w:val="24"/>
          <w:szCs w:val="24"/>
        </w:rPr>
        <w:t xml:space="preserve">    3．1  原产地系指货物的生产地，或提供辅助服务的来源地。</w:t>
      </w:r>
    </w:p>
    <w:p>
      <w:pPr>
        <w:spacing w:line="440" w:lineRule="exact"/>
        <w:ind w:firstLine="480" w:firstLineChars="200"/>
        <w:rPr>
          <w:rFonts w:ascii="宋体" w:hAnsi="宋体"/>
          <w:sz w:val="24"/>
          <w:szCs w:val="24"/>
        </w:rPr>
      </w:pPr>
      <w:r>
        <w:rPr>
          <w:rFonts w:hint="eastAsia" w:ascii="宋体" w:hAnsi="宋体"/>
          <w:sz w:val="24"/>
          <w:szCs w:val="24"/>
        </w:rPr>
        <w:t xml:space="preserve">    4、技术规格和标准</w:t>
      </w:r>
    </w:p>
    <w:p>
      <w:pPr>
        <w:spacing w:line="440" w:lineRule="exact"/>
        <w:ind w:firstLine="480" w:firstLineChars="200"/>
        <w:rPr>
          <w:rFonts w:ascii="宋体" w:hAnsi="宋体"/>
          <w:sz w:val="24"/>
          <w:szCs w:val="24"/>
        </w:rPr>
      </w:pPr>
      <w:r>
        <w:rPr>
          <w:rFonts w:hint="eastAsia" w:ascii="宋体" w:hAnsi="宋体"/>
          <w:sz w:val="24"/>
          <w:szCs w:val="24"/>
        </w:rPr>
        <w:t xml:space="preserve">    4．1本合同项下所供货物的技术规格应与本单一来源采购文件技术规格规定的标准相一致。若技术规格中无相应规定，货物则应符合相应的国家标准或有关权威部门最新颁布的相应的正式标准。</w:t>
      </w:r>
    </w:p>
    <w:p>
      <w:pPr>
        <w:spacing w:line="440" w:lineRule="exact"/>
        <w:ind w:firstLine="480" w:firstLineChars="200"/>
        <w:rPr>
          <w:rFonts w:ascii="宋体" w:hAnsi="宋体"/>
          <w:sz w:val="24"/>
          <w:szCs w:val="24"/>
        </w:rPr>
      </w:pPr>
      <w:r>
        <w:rPr>
          <w:rFonts w:hint="eastAsia" w:ascii="宋体" w:hAnsi="宋体"/>
          <w:sz w:val="24"/>
          <w:szCs w:val="24"/>
        </w:rPr>
        <w:t xml:space="preserve">    5、专利权</w:t>
      </w:r>
    </w:p>
    <w:p>
      <w:pPr>
        <w:spacing w:line="440" w:lineRule="exact"/>
        <w:ind w:firstLine="480" w:firstLineChars="200"/>
        <w:rPr>
          <w:rFonts w:ascii="宋体" w:hAnsi="宋体"/>
          <w:sz w:val="24"/>
          <w:szCs w:val="24"/>
        </w:rPr>
      </w:pPr>
      <w:r>
        <w:rPr>
          <w:rFonts w:hint="eastAsia" w:ascii="宋体" w:hAnsi="宋体"/>
          <w:sz w:val="24"/>
          <w:szCs w:val="24"/>
        </w:rPr>
        <w:t xml:space="preserve">    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pPr>
        <w:spacing w:line="440" w:lineRule="exact"/>
        <w:ind w:firstLine="480" w:firstLineChars="200"/>
        <w:rPr>
          <w:rFonts w:ascii="宋体" w:hAnsi="宋体"/>
          <w:sz w:val="24"/>
          <w:szCs w:val="24"/>
        </w:rPr>
      </w:pPr>
      <w:r>
        <w:rPr>
          <w:rFonts w:hint="eastAsia" w:ascii="宋体" w:hAnsi="宋体"/>
          <w:sz w:val="24"/>
          <w:szCs w:val="24"/>
        </w:rPr>
        <w:t xml:space="preserve">    6、包装</w:t>
      </w:r>
    </w:p>
    <w:p>
      <w:pPr>
        <w:spacing w:line="440" w:lineRule="exact"/>
        <w:ind w:firstLine="480" w:firstLineChars="200"/>
        <w:rPr>
          <w:rFonts w:ascii="宋体" w:hAnsi="宋体"/>
          <w:sz w:val="24"/>
          <w:szCs w:val="24"/>
        </w:rPr>
      </w:pPr>
      <w:r>
        <w:rPr>
          <w:rFonts w:hint="eastAsia" w:ascii="宋体" w:hAnsi="宋体"/>
          <w:sz w:val="24"/>
          <w:szCs w:val="24"/>
        </w:rPr>
        <w:t xml:space="preserve">    6．1  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pPr>
        <w:spacing w:line="440" w:lineRule="exact"/>
        <w:ind w:firstLine="480" w:firstLineChars="200"/>
        <w:rPr>
          <w:rFonts w:ascii="宋体" w:hAnsi="宋体"/>
          <w:sz w:val="24"/>
          <w:szCs w:val="24"/>
        </w:rPr>
      </w:pPr>
      <w:r>
        <w:rPr>
          <w:rFonts w:hint="eastAsia" w:ascii="宋体" w:hAnsi="宋体"/>
          <w:sz w:val="24"/>
          <w:szCs w:val="24"/>
        </w:rPr>
        <w:t xml:space="preserve">    6．2  每件包装应附有详细装箱单和质量证书各两套，一套在包装箱里，一套在包装箱外。</w:t>
      </w:r>
    </w:p>
    <w:p>
      <w:pPr>
        <w:spacing w:line="440" w:lineRule="exact"/>
        <w:ind w:firstLine="480" w:firstLineChars="200"/>
        <w:rPr>
          <w:rFonts w:ascii="宋体" w:hAnsi="宋体"/>
          <w:sz w:val="24"/>
          <w:szCs w:val="24"/>
        </w:rPr>
      </w:pPr>
      <w:r>
        <w:rPr>
          <w:rFonts w:hint="eastAsia" w:ascii="宋体" w:hAnsi="宋体"/>
          <w:sz w:val="24"/>
          <w:szCs w:val="24"/>
        </w:rPr>
        <w:t xml:space="preserve">    7、运输标记</w:t>
      </w:r>
    </w:p>
    <w:p>
      <w:pPr>
        <w:spacing w:line="440" w:lineRule="exact"/>
        <w:ind w:firstLine="480" w:firstLineChars="200"/>
        <w:rPr>
          <w:rFonts w:ascii="宋体" w:hAnsi="宋体"/>
          <w:sz w:val="24"/>
          <w:szCs w:val="24"/>
        </w:rPr>
      </w:pPr>
      <w:r>
        <w:rPr>
          <w:rFonts w:hint="eastAsia" w:ascii="宋体" w:hAnsi="宋体"/>
          <w:sz w:val="24"/>
          <w:szCs w:val="24"/>
        </w:rPr>
        <w:t xml:space="preserve">    7．1卖方应在每一包装箱邻接的四个侧面用不易褪色的油漆以醒目的中文印刷字体标明以下各项：</w:t>
      </w:r>
    </w:p>
    <w:p>
      <w:pPr>
        <w:spacing w:line="440" w:lineRule="exact"/>
        <w:ind w:firstLine="480" w:firstLineChars="200"/>
        <w:rPr>
          <w:rFonts w:ascii="宋体" w:hAnsi="宋体"/>
          <w:sz w:val="24"/>
          <w:szCs w:val="24"/>
        </w:rPr>
      </w:pPr>
      <w:r>
        <w:rPr>
          <w:rFonts w:hint="eastAsia" w:ascii="宋体" w:hAnsi="宋体"/>
          <w:sz w:val="24"/>
          <w:szCs w:val="24"/>
        </w:rPr>
        <w:t xml:space="preserve">    (1)收货人</w:t>
      </w:r>
    </w:p>
    <w:p>
      <w:pPr>
        <w:spacing w:line="440" w:lineRule="exact"/>
        <w:ind w:firstLine="480" w:firstLineChars="200"/>
        <w:rPr>
          <w:rFonts w:ascii="宋体" w:hAnsi="宋体"/>
          <w:sz w:val="24"/>
          <w:szCs w:val="24"/>
        </w:rPr>
      </w:pPr>
      <w:r>
        <w:rPr>
          <w:rFonts w:hint="eastAsia" w:ascii="宋体" w:hAnsi="宋体"/>
          <w:sz w:val="24"/>
          <w:szCs w:val="24"/>
        </w:rPr>
        <w:t xml:space="preserve">    (2)合同号</w:t>
      </w:r>
    </w:p>
    <w:p>
      <w:pPr>
        <w:spacing w:line="440" w:lineRule="exact"/>
        <w:ind w:firstLine="480" w:firstLineChars="200"/>
        <w:rPr>
          <w:rFonts w:ascii="宋体" w:hAnsi="宋体"/>
          <w:sz w:val="24"/>
          <w:szCs w:val="24"/>
        </w:rPr>
      </w:pPr>
      <w:r>
        <w:rPr>
          <w:rFonts w:hint="eastAsia" w:ascii="宋体" w:hAnsi="宋体"/>
          <w:sz w:val="24"/>
          <w:szCs w:val="24"/>
        </w:rPr>
        <w:t xml:space="preserve">    (3)收货人代号</w:t>
      </w:r>
    </w:p>
    <w:p>
      <w:pPr>
        <w:spacing w:line="440" w:lineRule="exact"/>
        <w:ind w:firstLine="480" w:firstLineChars="200"/>
        <w:rPr>
          <w:rFonts w:ascii="宋体" w:hAnsi="宋体"/>
          <w:sz w:val="24"/>
          <w:szCs w:val="24"/>
        </w:rPr>
      </w:pPr>
      <w:r>
        <w:rPr>
          <w:rFonts w:hint="eastAsia" w:ascii="宋体" w:hAnsi="宋体"/>
          <w:sz w:val="24"/>
          <w:szCs w:val="24"/>
        </w:rPr>
        <w:t xml:space="preserve">    (4)目的地</w:t>
      </w:r>
    </w:p>
    <w:p>
      <w:pPr>
        <w:spacing w:line="440" w:lineRule="exact"/>
        <w:ind w:firstLine="480" w:firstLineChars="200"/>
        <w:rPr>
          <w:rFonts w:ascii="宋体" w:hAnsi="宋体"/>
          <w:sz w:val="24"/>
          <w:szCs w:val="24"/>
        </w:rPr>
      </w:pPr>
      <w:r>
        <w:rPr>
          <w:rFonts w:hint="eastAsia" w:ascii="宋体" w:hAnsi="宋体"/>
          <w:sz w:val="24"/>
          <w:szCs w:val="24"/>
        </w:rPr>
        <w:t xml:space="preserve">    (5)货物的名称、品目号、箱号</w:t>
      </w:r>
    </w:p>
    <w:p>
      <w:pPr>
        <w:spacing w:line="440" w:lineRule="exact"/>
        <w:ind w:firstLine="480" w:firstLineChars="200"/>
        <w:rPr>
          <w:rFonts w:ascii="宋体" w:hAnsi="宋体"/>
          <w:sz w:val="24"/>
          <w:szCs w:val="24"/>
        </w:rPr>
      </w:pPr>
      <w:r>
        <w:rPr>
          <w:rFonts w:hint="eastAsia" w:ascii="宋体" w:hAnsi="宋体"/>
          <w:sz w:val="24"/>
          <w:szCs w:val="24"/>
        </w:rPr>
        <w:t xml:space="preserve">    (6)毛重／净重(公斤)</w:t>
      </w:r>
    </w:p>
    <w:p>
      <w:pPr>
        <w:spacing w:line="440" w:lineRule="exact"/>
        <w:ind w:firstLine="480" w:firstLineChars="200"/>
        <w:rPr>
          <w:rFonts w:ascii="宋体" w:hAnsi="宋体"/>
          <w:sz w:val="24"/>
          <w:szCs w:val="24"/>
        </w:rPr>
      </w:pPr>
      <w:r>
        <w:rPr>
          <w:rFonts w:hint="eastAsia" w:ascii="宋体" w:hAnsi="宋体"/>
          <w:sz w:val="24"/>
          <w:szCs w:val="24"/>
        </w:rPr>
        <w:t>(7)尺寸(长x宽x高，以厘米计)</w:t>
      </w:r>
    </w:p>
    <w:p>
      <w:pPr>
        <w:spacing w:line="440" w:lineRule="exact"/>
        <w:ind w:firstLine="480" w:firstLineChars="200"/>
        <w:rPr>
          <w:rFonts w:ascii="宋体" w:hAnsi="宋体"/>
          <w:sz w:val="24"/>
          <w:szCs w:val="24"/>
        </w:rPr>
      </w:pPr>
      <w:r>
        <w:rPr>
          <w:rFonts w:hint="eastAsia" w:ascii="宋体" w:hAnsi="宋体"/>
          <w:sz w:val="24"/>
          <w:szCs w:val="24"/>
        </w:rPr>
        <w:t>8、卖方的交货价</w:t>
      </w:r>
    </w:p>
    <w:p>
      <w:pPr>
        <w:spacing w:line="440" w:lineRule="exact"/>
        <w:ind w:firstLine="480" w:firstLineChars="200"/>
        <w:rPr>
          <w:rFonts w:ascii="宋体" w:hAnsi="宋体"/>
          <w:sz w:val="24"/>
          <w:szCs w:val="24"/>
        </w:rPr>
      </w:pPr>
      <w:r>
        <w:rPr>
          <w:rFonts w:hint="eastAsia" w:ascii="宋体" w:hAnsi="宋体"/>
          <w:sz w:val="24"/>
          <w:szCs w:val="24"/>
        </w:rPr>
        <w:t xml:space="preserve">    8．1  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高)、单价和总价、备妥待运日期，以及货物在运输和仓储中的特殊要求和注意事项。</w:t>
      </w:r>
    </w:p>
    <w:p>
      <w:pPr>
        <w:spacing w:line="440" w:lineRule="exact"/>
        <w:ind w:firstLine="480" w:firstLineChars="200"/>
        <w:rPr>
          <w:rFonts w:ascii="宋体" w:hAnsi="宋体"/>
          <w:sz w:val="24"/>
          <w:szCs w:val="24"/>
        </w:rPr>
      </w:pPr>
      <w:r>
        <w:rPr>
          <w:rFonts w:hint="eastAsia" w:ascii="宋体" w:hAnsi="宋体"/>
          <w:sz w:val="24"/>
          <w:szCs w:val="24"/>
        </w:rPr>
        <w:t xml:space="preserve">    8．2  卖方负责安排自发运地至买方现场的运输，费用包含在合同总价中。</w:t>
      </w:r>
    </w:p>
    <w:p>
      <w:pPr>
        <w:spacing w:line="440" w:lineRule="exact"/>
        <w:ind w:firstLine="480" w:firstLineChars="200"/>
        <w:rPr>
          <w:rFonts w:ascii="宋体" w:hAnsi="宋体"/>
          <w:sz w:val="24"/>
          <w:szCs w:val="24"/>
        </w:rPr>
      </w:pPr>
      <w:r>
        <w:rPr>
          <w:rFonts w:hint="eastAsia" w:ascii="宋体" w:hAnsi="宋体"/>
          <w:sz w:val="24"/>
          <w:szCs w:val="24"/>
        </w:rPr>
        <w:t xml:space="preserve">    8．3  交货日期以货物到达买方现场为准。</w:t>
      </w:r>
    </w:p>
    <w:p>
      <w:pPr>
        <w:spacing w:line="440" w:lineRule="exact"/>
        <w:ind w:firstLine="480" w:firstLineChars="200"/>
        <w:rPr>
          <w:rFonts w:ascii="宋体" w:hAnsi="宋体"/>
          <w:sz w:val="24"/>
          <w:szCs w:val="24"/>
        </w:rPr>
      </w:pPr>
      <w:r>
        <w:rPr>
          <w:rFonts w:hint="eastAsia" w:ascii="宋体" w:hAnsi="宋体"/>
          <w:sz w:val="24"/>
          <w:szCs w:val="24"/>
        </w:rPr>
        <w:t>8．4  卖方装运的货物必须符合合同规定的货物名称、型号规格、数量或重量，  否则，一切后果均由卖方承担。</w:t>
      </w:r>
    </w:p>
    <w:p>
      <w:pPr>
        <w:spacing w:line="440" w:lineRule="exact"/>
        <w:ind w:firstLine="480" w:firstLineChars="200"/>
        <w:rPr>
          <w:rFonts w:ascii="宋体" w:hAnsi="宋体"/>
          <w:sz w:val="24"/>
          <w:szCs w:val="24"/>
        </w:rPr>
      </w:pPr>
      <w:r>
        <w:rPr>
          <w:rFonts w:hint="eastAsia" w:ascii="宋体" w:hAnsi="宋体"/>
          <w:sz w:val="24"/>
          <w:szCs w:val="24"/>
        </w:rPr>
        <w:t>9、装运通知</w:t>
      </w:r>
    </w:p>
    <w:p>
      <w:pPr>
        <w:spacing w:line="440" w:lineRule="exact"/>
        <w:ind w:firstLine="480" w:firstLineChars="200"/>
        <w:rPr>
          <w:rFonts w:ascii="宋体" w:hAnsi="宋体"/>
          <w:sz w:val="24"/>
          <w:szCs w:val="24"/>
        </w:rPr>
      </w:pPr>
      <w:r>
        <w:rPr>
          <w:rFonts w:hint="eastAsia" w:ascii="宋体" w:hAnsi="宋体"/>
          <w:sz w:val="24"/>
          <w:szCs w:val="24"/>
        </w:rPr>
        <w:t>9．1  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pPr>
        <w:spacing w:line="440" w:lineRule="exact"/>
        <w:ind w:firstLine="480" w:firstLineChars="200"/>
        <w:rPr>
          <w:rFonts w:ascii="宋体" w:hAnsi="宋体"/>
          <w:sz w:val="24"/>
          <w:szCs w:val="24"/>
        </w:rPr>
      </w:pPr>
      <w:r>
        <w:rPr>
          <w:rFonts w:hint="eastAsia" w:ascii="宋体" w:hAnsi="宋体"/>
          <w:sz w:val="24"/>
          <w:szCs w:val="24"/>
        </w:rPr>
        <w:t xml:space="preserve">    10、保险</w:t>
      </w:r>
    </w:p>
    <w:p>
      <w:pPr>
        <w:spacing w:line="440" w:lineRule="exact"/>
        <w:ind w:firstLine="480" w:firstLineChars="200"/>
        <w:rPr>
          <w:rFonts w:ascii="宋体" w:hAnsi="宋体"/>
          <w:sz w:val="24"/>
          <w:szCs w:val="24"/>
        </w:rPr>
      </w:pPr>
      <w:r>
        <w:rPr>
          <w:rFonts w:hint="eastAsia" w:ascii="宋体" w:hAnsi="宋体"/>
          <w:sz w:val="24"/>
          <w:szCs w:val="24"/>
        </w:rPr>
        <w:t xml:space="preserve">    10．1在合同价条件下，由卖方负责办理保险。</w:t>
      </w:r>
    </w:p>
    <w:p>
      <w:pPr>
        <w:spacing w:line="440" w:lineRule="exact"/>
        <w:ind w:firstLine="480" w:firstLineChars="200"/>
        <w:rPr>
          <w:rFonts w:ascii="宋体" w:hAnsi="宋体"/>
          <w:sz w:val="24"/>
          <w:szCs w:val="24"/>
        </w:rPr>
      </w:pPr>
      <w:r>
        <w:rPr>
          <w:rFonts w:hint="eastAsia" w:ascii="宋体" w:hAnsi="宋体"/>
          <w:sz w:val="24"/>
          <w:szCs w:val="24"/>
        </w:rPr>
        <w:t xml:space="preserve">    11、合同价款的支付方式</w:t>
      </w:r>
    </w:p>
    <w:p>
      <w:pPr>
        <w:spacing w:line="440" w:lineRule="exact"/>
        <w:ind w:firstLine="480" w:firstLineChars="200"/>
        <w:rPr>
          <w:rFonts w:ascii="宋体" w:hAnsi="宋体"/>
          <w:sz w:val="24"/>
          <w:szCs w:val="24"/>
        </w:rPr>
      </w:pPr>
      <w:r>
        <w:rPr>
          <w:rFonts w:hint="eastAsia" w:ascii="宋体" w:hAnsi="宋体"/>
          <w:sz w:val="24"/>
          <w:szCs w:val="24"/>
        </w:rPr>
        <w:t xml:space="preserve">    11．1除另有规定者外，采购人直接向卖方支付。</w:t>
      </w:r>
    </w:p>
    <w:p>
      <w:pPr>
        <w:spacing w:line="440" w:lineRule="exact"/>
        <w:ind w:firstLine="480" w:firstLineChars="200"/>
        <w:rPr>
          <w:rFonts w:ascii="宋体" w:hAnsi="宋体"/>
          <w:sz w:val="24"/>
          <w:szCs w:val="24"/>
        </w:rPr>
      </w:pPr>
      <w:r>
        <w:rPr>
          <w:rFonts w:hint="eastAsia" w:ascii="宋体" w:hAnsi="宋体"/>
          <w:sz w:val="24"/>
          <w:szCs w:val="24"/>
        </w:rPr>
        <w:t xml:space="preserve">    12、技术资料</w:t>
      </w:r>
      <w:r>
        <w:rPr>
          <w:rFonts w:hint="eastAsia" w:ascii="宋体" w:hAnsi="宋体"/>
          <w:sz w:val="24"/>
          <w:szCs w:val="24"/>
        </w:rPr>
        <w:tab/>
      </w:r>
    </w:p>
    <w:p>
      <w:pPr>
        <w:spacing w:line="440" w:lineRule="exact"/>
        <w:ind w:firstLine="480" w:firstLineChars="200"/>
        <w:rPr>
          <w:rFonts w:ascii="宋体" w:hAnsi="宋体"/>
          <w:sz w:val="24"/>
          <w:szCs w:val="24"/>
        </w:rPr>
      </w:pPr>
      <w:r>
        <w:rPr>
          <w:rFonts w:hint="eastAsia" w:ascii="宋体" w:hAnsi="宋体"/>
          <w:sz w:val="24"/>
          <w:szCs w:val="24"/>
        </w:rPr>
        <w:t xml:space="preserve">    12．1除单一来源采购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pPr>
        <w:spacing w:line="440" w:lineRule="exact"/>
        <w:ind w:firstLine="480" w:firstLineChars="200"/>
        <w:rPr>
          <w:rFonts w:ascii="宋体" w:hAnsi="宋体"/>
          <w:sz w:val="24"/>
          <w:szCs w:val="24"/>
        </w:rPr>
      </w:pPr>
      <w:r>
        <w:rPr>
          <w:rFonts w:hint="eastAsia" w:ascii="宋体" w:hAnsi="宋体"/>
          <w:sz w:val="24"/>
          <w:szCs w:val="24"/>
        </w:rPr>
        <w:t xml:space="preserve">    12．2上述一套完整的资料应包装好随每批货物一起发运。</w:t>
      </w:r>
    </w:p>
    <w:p>
      <w:pPr>
        <w:spacing w:line="440" w:lineRule="exact"/>
        <w:ind w:firstLine="480" w:firstLineChars="200"/>
        <w:rPr>
          <w:rFonts w:ascii="宋体" w:hAnsi="宋体"/>
          <w:sz w:val="24"/>
          <w:szCs w:val="24"/>
        </w:rPr>
      </w:pPr>
      <w:r>
        <w:rPr>
          <w:rFonts w:hint="eastAsia" w:ascii="宋体" w:hAnsi="宋体"/>
          <w:sz w:val="24"/>
          <w:szCs w:val="24"/>
        </w:rPr>
        <w:t xml:space="preserve">    13、价格</w:t>
      </w:r>
    </w:p>
    <w:p>
      <w:pPr>
        <w:spacing w:line="440" w:lineRule="exact"/>
        <w:ind w:firstLine="480" w:firstLineChars="200"/>
        <w:rPr>
          <w:rFonts w:ascii="宋体" w:hAnsi="宋体"/>
          <w:sz w:val="24"/>
          <w:szCs w:val="24"/>
        </w:rPr>
      </w:pPr>
      <w:r>
        <w:rPr>
          <w:rFonts w:hint="eastAsia" w:ascii="宋体" w:hAnsi="宋体"/>
          <w:sz w:val="24"/>
          <w:szCs w:val="24"/>
        </w:rPr>
        <w:t xml:space="preserve">    13．1除合同中另有规定者外，卖方为其所供货物和服务而要求买方支付的金额应与其谈判报价一致。</w:t>
      </w:r>
    </w:p>
    <w:p>
      <w:pPr>
        <w:spacing w:line="440" w:lineRule="exact"/>
        <w:ind w:firstLine="480" w:firstLineChars="200"/>
        <w:rPr>
          <w:rFonts w:ascii="宋体" w:hAnsi="宋体"/>
          <w:sz w:val="24"/>
          <w:szCs w:val="24"/>
        </w:rPr>
      </w:pPr>
      <w:r>
        <w:rPr>
          <w:rFonts w:hint="eastAsia" w:ascii="宋体" w:hAnsi="宋体"/>
          <w:sz w:val="24"/>
          <w:szCs w:val="24"/>
        </w:rPr>
        <w:t xml:space="preserve">    14、质量保证</w:t>
      </w:r>
    </w:p>
    <w:p>
      <w:pPr>
        <w:spacing w:line="440" w:lineRule="exact"/>
        <w:ind w:firstLine="480" w:firstLineChars="200"/>
        <w:rPr>
          <w:rFonts w:ascii="宋体" w:hAnsi="宋体"/>
          <w:sz w:val="24"/>
          <w:szCs w:val="24"/>
        </w:rPr>
      </w:pPr>
      <w:r>
        <w:rPr>
          <w:rFonts w:hint="eastAsia" w:ascii="宋体" w:hAnsi="宋体"/>
          <w:sz w:val="24"/>
          <w:szCs w:val="24"/>
        </w:rPr>
        <w:t>14．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天内，免费负责修理或更换有缺陷的零部件或整机。对造成的损失买方保留索赔的权利。</w:t>
      </w:r>
    </w:p>
    <w:p>
      <w:pPr>
        <w:spacing w:line="440" w:lineRule="exact"/>
        <w:ind w:firstLine="480" w:firstLineChars="200"/>
        <w:rPr>
          <w:rFonts w:hint="eastAsia" w:ascii="宋体" w:hAnsi="宋体"/>
          <w:sz w:val="24"/>
          <w:szCs w:val="24"/>
          <w:lang w:eastAsia="zh-CN"/>
        </w:rPr>
      </w:pPr>
      <w:r>
        <w:rPr>
          <w:rFonts w:hint="eastAsia" w:ascii="宋体" w:hAnsi="宋体"/>
          <w:sz w:val="24"/>
          <w:szCs w:val="24"/>
        </w:rPr>
        <w:t>14．2  除合同中另有规定者外</w:t>
      </w:r>
      <w:r>
        <w:rPr>
          <w:rFonts w:hint="eastAsia" w:ascii="宋体" w:hAnsi="宋体"/>
          <w:sz w:val="24"/>
          <w:szCs w:val="24"/>
          <w:lang w:eastAsia="zh-CN"/>
        </w:rPr>
        <w:t>。</w:t>
      </w:r>
    </w:p>
    <w:p>
      <w:pPr>
        <w:spacing w:line="440" w:lineRule="exact"/>
        <w:ind w:firstLine="480" w:firstLineChars="200"/>
        <w:rPr>
          <w:rFonts w:ascii="宋体" w:hAnsi="宋体"/>
          <w:sz w:val="24"/>
          <w:szCs w:val="24"/>
        </w:rPr>
      </w:pPr>
      <w:r>
        <w:rPr>
          <w:rFonts w:hint="eastAsia" w:ascii="宋体" w:hAnsi="宋体"/>
          <w:sz w:val="24"/>
          <w:szCs w:val="24"/>
        </w:rPr>
        <w:t>15、检验</w:t>
      </w:r>
    </w:p>
    <w:p>
      <w:pPr>
        <w:spacing w:line="440" w:lineRule="exact"/>
        <w:ind w:firstLine="480" w:firstLineChars="200"/>
        <w:rPr>
          <w:rFonts w:ascii="宋体" w:hAnsi="宋体"/>
          <w:sz w:val="24"/>
          <w:szCs w:val="24"/>
        </w:rPr>
      </w:pPr>
      <w:r>
        <w:rPr>
          <w:rFonts w:hint="eastAsia" w:ascii="宋体" w:hAnsi="宋体"/>
          <w:sz w:val="24"/>
          <w:szCs w:val="24"/>
        </w:rPr>
        <w:t>15．1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pPr>
        <w:spacing w:line="440" w:lineRule="exact"/>
        <w:ind w:firstLine="480" w:firstLineChars="200"/>
        <w:rPr>
          <w:rFonts w:ascii="宋体" w:hAnsi="宋体"/>
          <w:sz w:val="24"/>
          <w:szCs w:val="24"/>
        </w:rPr>
      </w:pPr>
      <w:r>
        <w:rPr>
          <w:rFonts w:hint="eastAsia" w:ascii="宋体" w:hAnsi="宋体"/>
          <w:sz w:val="24"/>
          <w:szCs w:val="24"/>
        </w:rPr>
        <w:t>15．2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pPr>
        <w:spacing w:line="440" w:lineRule="exact"/>
        <w:ind w:firstLine="480" w:firstLineChars="200"/>
        <w:rPr>
          <w:rFonts w:ascii="宋体" w:hAnsi="宋体"/>
          <w:sz w:val="24"/>
          <w:szCs w:val="24"/>
        </w:rPr>
      </w:pPr>
      <w:r>
        <w:rPr>
          <w:rFonts w:hint="eastAsia" w:ascii="宋体" w:hAnsi="宋体"/>
          <w:sz w:val="24"/>
          <w:szCs w:val="24"/>
        </w:rPr>
        <w:t xml:space="preserve">    16、索赔   </w:t>
      </w:r>
    </w:p>
    <w:p>
      <w:pPr>
        <w:spacing w:line="440" w:lineRule="exact"/>
        <w:ind w:firstLine="480" w:firstLineChars="200"/>
        <w:rPr>
          <w:rFonts w:ascii="宋体" w:hAnsi="宋体"/>
          <w:sz w:val="24"/>
          <w:szCs w:val="24"/>
        </w:rPr>
      </w:pPr>
      <w:r>
        <w:rPr>
          <w:rFonts w:hint="eastAsia" w:ascii="宋体" w:hAnsi="宋体"/>
          <w:sz w:val="24"/>
          <w:szCs w:val="24"/>
        </w:rPr>
        <w:t xml:space="preserve">    16．1  卖方对所供货物与合同约定相一致负完全责任。在买方已于规定的检验、安装、调试和验收测试期限内和质量保证期内提出索赔时，卖方应按买方同意的下述一种或多种方法解决索赔事宜。</w:t>
      </w:r>
    </w:p>
    <w:p>
      <w:pPr>
        <w:spacing w:line="440" w:lineRule="exact"/>
        <w:ind w:firstLine="480" w:firstLineChars="200"/>
        <w:rPr>
          <w:rFonts w:ascii="宋体" w:hAnsi="宋体"/>
          <w:sz w:val="24"/>
          <w:szCs w:val="24"/>
        </w:rPr>
      </w:pPr>
      <w:r>
        <w:rPr>
          <w:rFonts w:hint="eastAsia" w:ascii="宋体" w:hAnsi="宋体"/>
          <w:sz w:val="24"/>
          <w:szCs w:val="24"/>
        </w:rPr>
        <w:t xml:space="preserve">    (1)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pPr>
        <w:spacing w:line="440" w:lineRule="exact"/>
        <w:ind w:firstLine="480" w:firstLineChars="200"/>
        <w:rPr>
          <w:rFonts w:ascii="宋体" w:hAnsi="宋体"/>
          <w:sz w:val="24"/>
          <w:szCs w:val="24"/>
        </w:rPr>
      </w:pPr>
      <w:r>
        <w:rPr>
          <w:rFonts w:hint="eastAsia" w:ascii="宋体" w:hAnsi="宋体"/>
          <w:sz w:val="24"/>
          <w:szCs w:val="24"/>
        </w:rPr>
        <w:t xml:space="preserve">    (2)根据货物的疵劣和受损程度以及买方遭受损失的金额，经双方同意降低货价。</w:t>
      </w:r>
    </w:p>
    <w:p>
      <w:pPr>
        <w:spacing w:line="440" w:lineRule="exact"/>
        <w:ind w:firstLine="480" w:firstLineChars="200"/>
        <w:rPr>
          <w:rFonts w:ascii="宋体" w:hAnsi="宋体"/>
          <w:sz w:val="24"/>
          <w:szCs w:val="24"/>
        </w:rPr>
      </w:pPr>
      <w:r>
        <w:rPr>
          <w:rFonts w:hint="eastAsia" w:ascii="宋体" w:hAnsi="宋体"/>
          <w:sz w:val="24"/>
          <w:szCs w:val="24"/>
        </w:rPr>
        <w:t xml:space="preserve">    (3)更换有缺陷的零件、部件和设备，或修理缺陷部分，以达到合同规定的规格、质量和性能，卖方承担一切费用和风险并负担买方遭受的一切直接费用。同时卖方应相应延长被更换货物的质量保证期。</w:t>
      </w:r>
    </w:p>
    <w:p>
      <w:pPr>
        <w:spacing w:line="440" w:lineRule="exact"/>
        <w:ind w:firstLine="480" w:firstLineChars="200"/>
        <w:rPr>
          <w:rFonts w:ascii="宋体" w:hAnsi="宋体"/>
          <w:sz w:val="24"/>
          <w:szCs w:val="24"/>
        </w:rPr>
      </w:pPr>
      <w:r>
        <w:rPr>
          <w:rFonts w:hint="eastAsia" w:ascii="宋体" w:hAnsi="宋体"/>
          <w:sz w:val="24"/>
          <w:szCs w:val="24"/>
        </w:rPr>
        <w:t xml:space="preserve">    16．2如果买方提出索赔通知后10天内卖方未能予以答复，该索赔应视为已被卖方接受。若卖方未能在买方提出索赔通知的10天内或买方同意的更长时间内，按买方同意的上述任何一种方式处理索赔事宜，卖方向买方赔偿合同金额的10%的违约金。</w:t>
      </w:r>
    </w:p>
    <w:p>
      <w:pPr>
        <w:spacing w:line="440" w:lineRule="exact"/>
        <w:ind w:firstLine="480" w:firstLineChars="200"/>
        <w:rPr>
          <w:rFonts w:ascii="宋体" w:hAnsi="宋体"/>
          <w:sz w:val="24"/>
          <w:szCs w:val="24"/>
        </w:rPr>
      </w:pPr>
      <w:r>
        <w:rPr>
          <w:rFonts w:hint="eastAsia" w:ascii="宋体" w:hAnsi="宋体"/>
          <w:sz w:val="24"/>
          <w:szCs w:val="24"/>
        </w:rPr>
        <w:t xml:space="preserve">    17、延期交货与核定损失额</w:t>
      </w:r>
    </w:p>
    <w:p>
      <w:pPr>
        <w:spacing w:line="440" w:lineRule="exact"/>
        <w:ind w:firstLine="480" w:firstLineChars="200"/>
        <w:rPr>
          <w:rFonts w:ascii="宋体" w:hAnsi="宋体"/>
          <w:sz w:val="24"/>
          <w:szCs w:val="24"/>
        </w:rPr>
      </w:pPr>
      <w:r>
        <w:rPr>
          <w:rFonts w:hint="eastAsia" w:ascii="宋体" w:hAnsi="宋体"/>
          <w:sz w:val="24"/>
          <w:szCs w:val="24"/>
        </w:rPr>
        <w:t xml:space="preserve">    17．1如果卖方未能按合同规定的时间按期交货(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买方同意延长的时间内仍不能交货，买方有权因卖方违约终止合同，而卖方仍有义务支付上述迟交核定损失金额。          </w:t>
      </w:r>
    </w:p>
    <w:p>
      <w:pPr>
        <w:spacing w:line="440" w:lineRule="exact"/>
        <w:ind w:firstLine="480" w:firstLineChars="200"/>
        <w:rPr>
          <w:rFonts w:ascii="宋体" w:hAnsi="宋体"/>
          <w:sz w:val="24"/>
          <w:szCs w:val="24"/>
        </w:rPr>
      </w:pPr>
      <w:r>
        <w:rPr>
          <w:rFonts w:hint="eastAsia" w:ascii="宋体" w:hAnsi="宋体"/>
          <w:sz w:val="24"/>
          <w:szCs w:val="24"/>
        </w:rPr>
        <w:t>18、不可抗力</w:t>
      </w:r>
    </w:p>
    <w:p>
      <w:pPr>
        <w:spacing w:line="440" w:lineRule="exact"/>
        <w:ind w:firstLine="480" w:firstLineChars="200"/>
        <w:rPr>
          <w:rFonts w:ascii="宋体" w:hAnsi="宋体"/>
          <w:sz w:val="24"/>
          <w:szCs w:val="24"/>
        </w:rPr>
      </w:pPr>
      <w:r>
        <w:rPr>
          <w:rFonts w:hint="eastAsia" w:ascii="宋体" w:hAnsi="宋体"/>
          <w:sz w:val="24"/>
          <w:szCs w:val="24"/>
        </w:rPr>
        <w:t>18．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spacing w:line="440" w:lineRule="exact"/>
        <w:ind w:firstLine="480" w:firstLineChars="200"/>
        <w:rPr>
          <w:rFonts w:ascii="宋体" w:hAnsi="宋体"/>
          <w:sz w:val="24"/>
          <w:szCs w:val="24"/>
        </w:rPr>
      </w:pPr>
      <w:r>
        <w:rPr>
          <w:rFonts w:hint="eastAsia" w:ascii="宋体" w:hAnsi="宋体"/>
          <w:sz w:val="24"/>
          <w:szCs w:val="24"/>
        </w:rPr>
        <w:t>18．2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pPr>
        <w:spacing w:line="440" w:lineRule="exact"/>
        <w:ind w:firstLine="480" w:firstLineChars="200"/>
        <w:rPr>
          <w:rFonts w:ascii="宋体" w:hAnsi="宋体"/>
          <w:sz w:val="24"/>
          <w:szCs w:val="24"/>
        </w:rPr>
      </w:pPr>
      <w:r>
        <w:rPr>
          <w:rFonts w:hint="eastAsia" w:ascii="宋体" w:hAnsi="宋体"/>
          <w:sz w:val="24"/>
          <w:szCs w:val="24"/>
        </w:rPr>
        <w:t>19、仲裁</w:t>
      </w:r>
    </w:p>
    <w:p>
      <w:pPr>
        <w:spacing w:line="440" w:lineRule="exact"/>
        <w:ind w:firstLine="480" w:firstLineChars="200"/>
        <w:rPr>
          <w:rFonts w:ascii="宋体" w:hAnsi="宋体"/>
          <w:sz w:val="24"/>
          <w:szCs w:val="24"/>
        </w:rPr>
      </w:pPr>
      <w:r>
        <w:rPr>
          <w:rFonts w:hint="eastAsia" w:ascii="宋体" w:hAnsi="宋体"/>
          <w:sz w:val="24"/>
          <w:szCs w:val="24"/>
        </w:rPr>
        <w:t>19．1在执行本合同中发生的或与本合同有关的争端，双方应通过友好协商解决，经协商在30天内不能达成协议时，应提交仲裁。</w:t>
      </w:r>
    </w:p>
    <w:p>
      <w:pPr>
        <w:spacing w:line="440" w:lineRule="exact"/>
        <w:ind w:firstLine="480" w:firstLineChars="200"/>
        <w:rPr>
          <w:rFonts w:ascii="宋体" w:hAnsi="宋体"/>
          <w:sz w:val="24"/>
          <w:szCs w:val="24"/>
        </w:rPr>
      </w:pPr>
      <w:r>
        <w:rPr>
          <w:rFonts w:hint="eastAsia" w:ascii="宋体" w:hAnsi="宋体"/>
          <w:sz w:val="24"/>
          <w:szCs w:val="24"/>
        </w:rPr>
        <w:t>19．2仲裁应由买方所在地仲裁机构，根据其仲裁程序和规则进行。</w:t>
      </w:r>
    </w:p>
    <w:p>
      <w:pPr>
        <w:spacing w:line="440" w:lineRule="exact"/>
        <w:ind w:firstLine="480" w:firstLineChars="200"/>
        <w:rPr>
          <w:rFonts w:ascii="宋体" w:hAnsi="宋体"/>
          <w:sz w:val="24"/>
          <w:szCs w:val="24"/>
        </w:rPr>
      </w:pPr>
      <w:r>
        <w:rPr>
          <w:rFonts w:hint="eastAsia" w:ascii="宋体" w:hAnsi="宋体"/>
          <w:sz w:val="24"/>
          <w:szCs w:val="24"/>
        </w:rPr>
        <w:t>19．3仲裁裁决为最终决定，并对双方具有约束力。</w:t>
      </w:r>
    </w:p>
    <w:p>
      <w:pPr>
        <w:spacing w:line="440" w:lineRule="exact"/>
        <w:ind w:firstLine="480" w:firstLineChars="200"/>
        <w:rPr>
          <w:rFonts w:ascii="宋体" w:hAnsi="宋体"/>
          <w:sz w:val="24"/>
          <w:szCs w:val="24"/>
        </w:rPr>
      </w:pPr>
      <w:r>
        <w:rPr>
          <w:rFonts w:hint="eastAsia" w:ascii="宋体" w:hAnsi="宋体"/>
          <w:sz w:val="24"/>
          <w:szCs w:val="24"/>
        </w:rPr>
        <w:t>19．4除另有裁决外，仲裁费应由败诉方负担。</w:t>
      </w:r>
    </w:p>
    <w:p>
      <w:pPr>
        <w:spacing w:line="440" w:lineRule="exact"/>
        <w:ind w:firstLine="480" w:firstLineChars="200"/>
        <w:rPr>
          <w:rFonts w:ascii="宋体" w:hAnsi="宋体"/>
          <w:sz w:val="24"/>
          <w:szCs w:val="24"/>
        </w:rPr>
      </w:pPr>
      <w:r>
        <w:rPr>
          <w:rFonts w:hint="eastAsia" w:ascii="宋体" w:hAnsi="宋体"/>
          <w:sz w:val="24"/>
          <w:szCs w:val="24"/>
        </w:rPr>
        <w:t>19．5在仲裁期间，除正在进行的仲裁部分外，合同其它部分继续执行。</w:t>
      </w:r>
    </w:p>
    <w:p>
      <w:pPr>
        <w:spacing w:line="440" w:lineRule="exact"/>
        <w:ind w:firstLine="480" w:firstLineChars="200"/>
        <w:rPr>
          <w:rFonts w:ascii="宋体" w:hAnsi="宋体"/>
          <w:sz w:val="24"/>
          <w:szCs w:val="24"/>
        </w:rPr>
      </w:pPr>
      <w:r>
        <w:rPr>
          <w:rFonts w:hint="eastAsia" w:ascii="宋体" w:hAnsi="宋体"/>
          <w:sz w:val="24"/>
          <w:szCs w:val="24"/>
        </w:rPr>
        <w:t>20、违约终止合同</w:t>
      </w:r>
    </w:p>
    <w:p>
      <w:pPr>
        <w:spacing w:line="440" w:lineRule="exact"/>
        <w:ind w:firstLine="480" w:firstLineChars="200"/>
        <w:rPr>
          <w:rFonts w:ascii="宋体" w:hAnsi="宋体"/>
          <w:sz w:val="24"/>
          <w:szCs w:val="24"/>
        </w:rPr>
      </w:pPr>
      <w:r>
        <w:rPr>
          <w:rFonts w:hint="eastAsia" w:ascii="宋体" w:hAnsi="宋体"/>
          <w:sz w:val="24"/>
          <w:szCs w:val="24"/>
        </w:rPr>
        <w:t>20．1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pPr>
        <w:spacing w:line="440" w:lineRule="exact"/>
        <w:ind w:firstLine="480" w:firstLineChars="200"/>
        <w:rPr>
          <w:rFonts w:ascii="宋体" w:hAnsi="宋体"/>
          <w:sz w:val="24"/>
          <w:szCs w:val="24"/>
        </w:rPr>
      </w:pPr>
      <w:r>
        <w:rPr>
          <w:rFonts w:hint="eastAsia" w:ascii="宋体" w:hAnsi="宋体"/>
          <w:sz w:val="24"/>
          <w:szCs w:val="24"/>
        </w:rPr>
        <w:t xml:space="preserve">    (1)如果卖方未能在合同规定的期限内或买方准许的任何延期内交付部分或全部货物。</w:t>
      </w:r>
    </w:p>
    <w:p>
      <w:pPr>
        <w:spacing w:line="440" w:lineRule="exact"/>
        <w:ind w:firstLine="480" w:firstLineChars="200"/>
        <w:rPr>
          <w:rFonts w:ascii="宋体" w:hAnsi="宋体"/>
          <w:sz w:val="24"/>
          <w:szCs w:val="24"/>
        </w:rPr>
      </w:pPr>
      <w:r>
        <w:rPr>
          <w:rFonts w:hint="eastAsia" w:ascii="宋体" w:hAnsi="宋体"/>
          <w:sz w:val="24"/>
          <w:szCs w:val="24"/>
        </w:rPr>
        <w:t xml:space="preserve">    (2)卖方未能履行合同项下的其它义务。</w:t>
      </w:r>
    </w:p>
    <w:p>
      <w:pPr>
        <w:spacing w:line="440" w:lineRule="exact"/>
        <w:ind w:firstLine="480" w:firstLineChars="200"/>
        <w:rPr>
          <w:rFonts w:ascii="宋体" w:hAnsi="宋体"/>
          <w:sz w:val="24"/>
          <w:szCs w:val="24"/>
        </w:rPr>
      </w:pPr>
      <w:r>
        <w:rPr>
          <w:rFonts w:hint="eastAsia" w:ascii="宋体" w:hAnsi="宋体"/>
          <w:sz w:val="24"/>
          <w:szCs w:val="24"/>
        </w:rPr>
        <w:t>20．2  一旦买方根据第20．1款终止部分或全部合同，买方可以按其认为适当的条件和方式采购类似未交付部分的货物。卖方应承担买方购买类似货物的价格差及额外费用。但是，卖方应继续履行合同中未终止的部分。</w:t>
      </w:r>
    </w:p>
    <w:p>
      <w:pPr>
        <w:spacing w:line="440" w:lineRule="exact"/>
        <w:ind w:firstLine="480" w:firstLineChars="200"/>
        <w:rPr>
          <w:rFonts w:ascii="宋体" w:hAnsi="宋体"/>
          <w:sz w:val="24"/>
          <w:szCs w:val="24"/>
        </w:rPr>
      </w:pPr>
      <w:r>
        <w:rPr>
          <w:rFonts w:hint="eastAsia" w:ascii="宋体" w:hAnsi="宋体"/>
          <w:sz w:val="24"/>
          <w:szCs w:val="24"/>
        </w:rPr>
        <w:t>21、变更指示</w:t>
      </w:r>
    </w:p>
    <w:p>
      <w:pPr>
        <w:spacing w:line="440" w:lineRule="exact"/>
        <w:ind w:firstLine="480" w:firstLineChars="200"/>
        <w:rPr>
          <w:rFonts w:ascii="宋体" w:hAnsi="宋体"/>
          <w:sz w:val="24"/>
          <w:szCs w:val="24"/>
        </w:rPr>
      </w:pPr>
      <w:r>
        <w:rPr>
          <w:rFonts w:hint="eastAsia" w:ascii="宋体" w:hAnsi="宋体"/>
          <w:sz w:val="24"/>
          <w:szCs w:val="24"/>
        </w:rPr>
        <w:t>21．1  买方可以随时向卖方发出书面指示，在合同总体范围内对如下一点或几点提出变更：</w:t>
      </w:r>
    </w:p>
    <w:p>
      <w:pPr>
        <w:spacing w:line="440" w:lineRule="exact"/>
        <w:ind w:firstLine="480" w:firstLineChars="200"/>
        <w:rPr>
          <w:rFonts w:ascii="宋体" w:hAnsi="宋体"/>
          <w:sz w:val="24"/>
          <w:szCs w:val="24"/>
        </w:rPr>
      </w:pPr>
      <w:r>
        <w:rPr>
          <w:rFonts w:hint="eastAsia" w:ascii="宋体" w:hAnsi="宋体"/>
          <w:sz w:val="24"/>
          <w:szCs w:val="24"/>
        </w:rPr>
        <w:t xml:space="preserve">    (1)合同项下需为买方特殊制造货物的图纸、设计或规格；</w:t>
      </w:r>
    </w:p>
    <w:p>
      <w:pPr>
        <w:spacing w:line="440" w:lineRule="exact"/>
        <w:ind w:firstLine="480" w:firstLineChars="200"/>
        <w:rPr>
          <w:rFonts w:ascii="宋体" w:hAnsi="宋体"/>
          <w:sz w:val="24"/>
          <w:szCs w:val="24"/>
        </w:rPr>
      </w:pPr>
      <w:r>
        <w:rPr>
          <w:rFonts w:hint="eastAsia" w:ascii="宋体" w:hAnsi="宋体"/>
          <w:sz w:val="24"/>
          <w:szCs w:val="24"/>
        </w:rPr>
        <w:t xml:space="preserve">    (2)装运方式和包装方式；</w:t>
      </w:r>
    </w:p>
    <w:p>
      <w:pPr>
        <w:spacing w:line="440" w:lineRule="exact"/>
        <w:ind w:firstLine="480" w:firstLineChars="200"/>
        <w:rPr>
          <w:rFonts w:ascii="宋体" w:hAnsi="宋体"/>
          <w:sz w:val="24"/>
          <w:szCs w:val="24"/>
        </w:rPr>
      </w:pPr>
      <w:r>
        <w:rPr>
          <w:rFonts w:hint="eastAsia" w:ascii="宋体" w:hAnsi="宋体"/>
          <w:sz w:val="24"/>
          <w:szCs w:val="24"/>
        </w:rPr>
        <w:t xml:space="preserve">    (3)交货地点；</w:t>
      </w:r>
    </w:p>
    <w:p>
      <w:pPr>
        <w:spacing w:line="440" w:lineRule="exact"/>
        <w:ind w:firstLine="480" w:firstLineChars="200"/>
        <w:rPr>
          <w:rFonts w:ascii="宋体" w:hAnsi="宋体"/>
          <w:sz w:val="24"/>
          <w:szCs w:val="24"/>
        </w:rPr>
      </w:pPr>
      <w:r>
        <w:rPr>
          <w:rFonts w:hint="eastAsia" w:ascii="宋体" w:hAnsi="宋体"/>
          <w:sz w:val="24"/>
          <w:szCs w:val="24"/>
        </w:rPr>
        <w:t xml:space="preserve">    (4)卖方须提供的服务。</w:t>
      </w:r>
    </w:p>
    <w:p>
      <w:pPr>
        <w:spacing w:line="440" w:lineRule="exact"/>
        <w:ind w:firstLine="480" w:firstLineChars="200"/>
        <w:rPr>
          <w:rFonts w:ascii="宋体" w:hAnsi="宋体"/>
          <w:sz w:val="24"/>
          <w:szCs w:val="24"/>
        </w:rPr>
      </w:pPr>
      <w:r>
        <w:rPr>
          <w:rFonts w:hint="eastAsia" w:ascii="宋体" w:hAnsi="宋体"/>
          <w:sz w:val="24"/>
          <w:szCs w:val="24"/>
        </w:rPr>
        <w:t>21．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spacing w:line="440" w:lineRule="exact"/>
        <w:ind w:firstLine="480" w:firstLineChars="200"/>
        <w:rPr>
          <w:rFonts w:ascii="宋体" w:hAnsi="宋体"/>
          <w:sz w:val="24"/>
          <w:szCs w:val="24"/>
        </w:rPr>
      </w:pPr>
      <w:r>
        <w:rPr>
          <w:rFonts w:hint="eastAsia" w:ascii="宋体" w:hAnsi="宋体"/>
          <w:sz w:val="24"/>
          <w:szCs w:val="24"/>
        </w:rPr>
        <w:t>22、合同修改</w:t>
      </w:r>
    </w:p>
    <w:p>
      <w:pPr>
        <w:spacing w:line="440" w:lineRule="exact"/>
        <w:ind w:firstLine="480" w:firstLineChars="200"/>
        <w:rPr>
          <w:rFonts w:ascii="宋体" w:hAnsi="宋体"/>
          <w:sz w:val="24"/>
          <w:szCs w:val="24"/>
        </w:rPr>
      </w:pPr>
      <w:r>
        <w:rPr>
          <w:rFonts w:hint="eastAsia" w:ascii="宋体" w:hAnsi="宋体"/>
          <w:sz w:val="24"/>
          <w:szCs w:val="24"/>
        </w:rPr>
        <w:t xml:space="preserve">    22．1欲对合同条款做出任何改动或偏离，均须由买卖双方签署书面的合同修改书。</w:t>
      </w:r>
    </w:p>
    <w:p>
      <w:pPr>
        <w:spacing w:line="440" w:lineRule="exact"/>
        <w:ind w:firstLine="480" w:firstLineChars="200"/>
        <w:rPr>
          <w:rFonts w:ascii="宋体" w:hAnsi="宋体"/>
          <w:sz w:val="24"/>
          <w:szCs w:val="24"/>
        </w:rPr>
      </w:pPr>
      <w:r>
        <w:rPr>
          <w:rFonts w:hint="eastAsia" w:ascii="宋体" w:hAnsi="宋体"/>
          <w:sz w:val="24"/>
          <w:szCs w:val="24"/>
        </w:rPr>
        <w:t>23、转让与分包</w:t>
      </w:r>
    </w:p>
    <w:p>
      <w:pPr>
        <w:spacing w:line="440" w:lineRule="exact"/>
        <w:ind w:firstLine="480" w:firstLineChars="200"/>
        <w:rPr>
          <w:rFonts w:ascii="宋体" w:hAnsi="宋体"/>
          <w:sz w:val="24"/>
          <w:szCs w:val="24"/>
        </w:rPr>
      </w:pPr>
      <w:r>
        <w:rPr>
          <w:rFonts w:hint="eastAsia" w:ascii="宋体" w:hAnsi="宋体"/>
          <w:sz w:val="24"/>
          <w:szCs w:val="24"/>
        </w:rPr>
        <w:t>23．1除买方事先同意外，卖方不得部分转让或全部转让其应履行的合同项下的义务。</w:t>
      </w:r>
    </w:p>
    <w:p>
      <w:pPr>
        <w:spacing w:line="440" w:lineRule="exact"/>
        <w:ind w:firstLine="480" w:firstLineChars="200"/>
        <w:rPr>
          <w:rFonts w:ascii="宋体" w:hAnsi="宋体"/>
          <w:sz w:val="24"/>
          <w:szCs w:val="24"/>
        </w:rPr>
      </w:pPr>
      <w:r>
        <w:rPr>
          <w:rFonts w:hint="eastAsia" w:ascii="宋体" w:hAnsi="宋体"/>
          <w:sz w:val="24"/>
          <w:szCs w:val="24"/>
        </w:rPr>
        <w:t>23．2卖方应书面通知买方本合同项下所授予的所有分包合同。但该通知不解除卖方承担的本合同项下的任何责任或义务。</w:t>
      </w:r>
    </w:p>
    <w:p>
      <w:pPr>
        <w:spacing w:line="440" w:lineRule="exact"/>
        <w:ind w:firstLine="480" w:firstLineChars="200"/>
        <w:rPr>
          <w:rFonts w:ascii="宋体" w:hAnsi="宋体"/>
          <w:sz w:val="24"/>
          <w:szCs w:val="24"/>
        </w:rPr>
      </w:pPr>
      <w:r>
        <w:rPr>
          <w:rFonts w:hint="eastAsia" w:ascii="宋体" w:hAnsi="宋体"/>
          <w:sz w:val="24"/>
          <w:szCs w:val="24"/>
        </w:rPr>
        <w:t>24、适用法律</w:t>
      </w:r>
    </w:p>
    <w:p>
      <w:pPr>
        <w:spacing w:line="440" w:lineRule="exact"/>
        <w:ind w:firstLine="480" w:firstLineChars="200"/>
        <w:rPr>
          <w:rFonts w:ascii="宋体" w:hAnsi="宋体"/>
          <w:sz w:val="24"/>
          <w:szCs w:val="24"/>
        </w:rPr>
      </w:pPr>
      <w:r>
        <w:rPr>
          <w:rFonts w:hint="eastAsia" w:ascii="宋体" w:hAnsi="宋体"/>
          <w:sz w:val="24"/>
          <w:szCs w:val="24"/>
        </w:rPr>
        <w:t>24．1本合同应按中华人民共和国的相关法律解释。</w:t>
      </w:r>
    </w:p>
    <w:p>
      <w:pPr>
        <w:spacing w:line="440" w:lineRule="exact"/>
        <w:ind w:firstLine="480" w:firstLineChars="200"/>
        <w:rPr>
          <w:rFonts w:ascii="宋体" w:hAnsi="宋体"/>
          <w:sz w:val="24"/>
          <w:szCs w:val="24"/>
        </w:rPr>
      </w:pPr>
      <w:r>
        <w:rPr>
          <w:rFonts w:hint="eastAsia" w:ascii="宋体" w:hAnsi="宋体"/>
          <w:sz w:val="24"/>
          <w:szCs w:val="24"/>
        </w:rPr>
        <w:t>25、通知</w:t>
      </w:r>
    </w:p>
    <w:p>
      <w:pPr>
        <w:spacing w:line="440" w:lineRule="exact"/>
        <w:ind w:firstLine="480" w:firstLineChars="200"/>
        <w:rPr>
          <w:rFonts w:ascii="宋体" w:hAnsi="宋体"/>
          <w:sz w:val="24"/>
          <w:szCs w:val="24"/>
        </w:rPr>
      </w:pPr>
      <w:r>
        <w:rPr>
          <w:rFonts w:hint="eastAsia" w:ascii="宋体" w:hAnsi="宋体"/>
          <w:sz w:val="24"/>
          <w:szCs w:val="24"/>
        </w:rPr>
        <w:t>25．1本合同任何一方给另一方的通知都应以书面或电传、电报、传真的形式发送，而另一方应以书面形式确认并发送到对方明确的地址。</w:t>
      </w:r>
    </w:p>
    <w:p>
      <w:pPr>
        <w:spacing w:line="440" w:lineRule="exact"/>
        <w:ind w:firstLine="480" w:firstLineChars="200"/>
        <w:rPr>
          <w:rFonts w:ascii="宋体" w:hAnsi="宋体"/>
          <w:sz w:val="24"/>
          <w:szCs w:val="24"/>
        </w:rPr>
      </w:pPr>
      <w:r>
        <w:rPr>
          <w:rFonts w:hint="eastAsia" w:ascii="宋体" w:hAnsi="宋体"/>
          <w:sz w:val="24"/>
          <w:szCs w:val="24"/>
        </w:rPr>
        <w:t>26、合同文件及资料的使用</w:t>
      </w:r>
    </w:p>
    <w:p>
      <w:pPr>
        <w:spacing w:line="440" w:lineRule="exact"/>
        <w:ind w:firstLine="480" w:firstLineChars="200"/>
        <w:rPr>
          <w:rFonts w:ascii="宋体" w:hAnsi="宋体"/>
          <w:sz w:val="24"/>
          <w:szCs w:val="24"/>
        </w:rPr>
      </w:pPr>
      <w:r>
        <w:rPr>
          <w:rFonts w:hint="eastAsia" w:ascii="宋体" w:hAnsi="宋体"/>
          <w:sz w:val="24"/>
          <w:szCs w:val="24"/>
        </w:rPr>
        <w:t>26．1  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pPr>
        <w:spacing w:line="440" w:lineRule="exact"/>
        <w:ind w:firstLine="480" w:firstLineChars="200"/>
        <w:rPr>
          <w:rFonts w:ascii="宋体" w:hAnsi="宋体"/>
          <w:sz w:val="24"/>
          <w:szCs w:val="24"/>
        </w:rPr>
      </w:pPr>
      <w:r>
        <w:rPr>
          <w:rFonts w:hint="eastAsia" w:ascii="宋体" w:hAnsi="宋体"/>
          <w:sz w:val="24"/>
          <w:szCs w:val="24"/>
        </w:rPr>
        <w:t>26．2除非执行合同需要，在事先末得到买方同意的情况下，卖方不得将与本合同有关的任何文件和资料给第三方使用。</w:t>
      </w:r>
    </w:p>
    <w:p>
      <w:pPr>
        <w:spacing w:line="440" w:lineRule="exact"/>
        <w:ind w:firstLine="480" w:firstLineChars="200"/>
        <w:rPr>
          <w:rFonts w:ascii="宋体" w:hAnsi="宋体"/>
          <w:sz w:val="24"/>
          <w:szCs w:val="24"/>
        </w:rPr>
      </w:pPr>
      <w:r>
        <w:rPr>
          <w:rFonts w:hint="eastAsia" w:ascii="宋体" w:hAnsi="宋体"/>
          <w:sz w:val="24"/>
          <w:szCs w:val="24"/>
        </w:rPr>
        <w:t>26．3除合同本身以外，若买方要求，卖方应于其合同义务履行完毕以后将这些资料(包括所有副本)退还买方。</w:t>
      </w:r>
    </w:p>
    <w:p>
      <w:pPr>
        <w:spacing w:line="440" w:lineRule="exact"/>
        <w:ind w:firstLine="480" w:firstLineChars="200"/>
        <w:rPr>
          <w:rFonts w:ascii="宋体" w:hAnsi="宋体"/>
          <w:sz w:val="24"/>
          <w:szCs w:val="24"/>
        </w:rPr>
      </w:pPr>
      <w:r>
        <w:rPr>
          <w:rFonts w:hint="eastAsia" w:ascii="宋体" w:hAnsi="宋体"/>
          <w:sz w:val="24"/>
          <w:szCs w:val="24"/>
        </w:rPr>
        <w:t>27、合同生效及其他</w:t>
      </w:r>
    </w:p>
    <w:p>
      <w:pPr>
        <w:spacing w:line="440" w:lineRule="exact"/>
        <w:ind w:firstLine="480" w:firstLineChars="200"/>
        <w:rPr>
          <w:rFonts w:ascii="宋体" w:hAnsi="宋体"/>
          <w:sz w:val="24"/>
          <w:szCs w:val="24"/>
        </w:rPr>
      </w:pPr>
      <w:r>
        <w:rPr>
          <w:rFonts w:hint="eastAsia" w:ascii="宋体" w:hAnsi="宋体"/>
          <w:sz w:val="24"/>
          <w:szCs w:val="24"/>
        </w:rPr>
        <w:t>27．1本合同应在买方和卖方签字后，双方加盖鉴证章后生效。</w:t>
      </w:r>
    </w:p>
    <w:p>
      <w:pPr>
        <w:spacing w:line="440" w:lineRule="exact"/>
        <w:ind w:firstLine="480" w:firstLineChars="200"/>
        <w:rPr>
          <w:rFonts w:ascii="宋体" w:hAnsi="宋体"/>
          <w:sz w:val="24"/>
          <w:szCs w:val="24"/>
        </w:rPr>
      </w:pPr>
      <w:r>
        <w:rPr>
          <w:rFonts w:hint="eastAsia" w:ascii="宋体" w:hAnsi="宋体"/>
          <w:sz w:val="24"/>
          <w:szCs w:val="24"/>
        </w:rPr>
        <w:t>27．2卖方须按技术规格中的规定，向买方提供与合同项下货物有关的现场安装调试、技术服务、培训等其他相关服务。</w:t>
      </w:r>
    </w:p>
    <w:p>
      <w:pPr>
        <w:spacing w:line="440" w:lineRule="exact"/>
        <w:ind w:firstLine="480" w:firstLineChars="200"/>
        <w:rPr>
          <w:rFonts w:ascii="宋体" w:hAnsi="宋体"/>
          <w:sz w:val="24"/>
          <w:szCs w:val="24"/>
        </w:rPr>
      </w:pPr>
      <w:r>
        <w:rPr>
          <w:rFonts w:hint="eastAsia" w:ascii="宋体" w:hAnsi="宋体"/>
          <w:sz w:val="24"/>
          <w:szCs w:val="24"/>
        </w:rPr>
        <w:t>27．3  商务合同应包括买方最后确认的价格条款和付款方式。</w:t>
      </w:r>
    </w:p>
    <w:p>
      <w:pPr>
        <w:spacing w:line="440" w:lineRule="exact"/>
        <w:ind w:firstLine="480" w:firstLineChars="200"/>
        <w:rPr>
          <w:rFonts w:ascii="宋体" w:hAnsi="宋体"/>
          <w:sz w:val="24"/>
          <w:szCs w:val="24"/>
        </w:rPr>
      </w:pPr>
      <w:r>
        <w:rPr>
          <w:rFonts w:hint="eastAsia" w:ascii="宋体" w:hAnsi="宋体"/>
          <w:sz w:val="24"/>
          <w:szCs w:val="24"/>
        </w:rPr>
        <w:t>27．4下述文件将作为合同附件，为本合同不可分割的组成部分，并与本合具有同等效力；</w:t>
      </w:r>
    </w:p>
    <w:p>
      <w:pPr>
        <w:spacing w:line="440" w:lineRule="exact"/>
        <w:ind w:firstLine="480" w:firstLineChars="200"/>
        <w:rPr>
          <w:rFonts w:ascii="宋体" w:hAnsi="宋体"/>
          <w:sz w:val="24"/>
          <w:szCs w:val="24"/>
        </w:rPr>
      </w:pPr>
      <w:r>
        <w:rPr>
          <w:rFonts w:hint="eastAsia" w:ascii="宋体" w:hAnsi="宋体"/>
          <w:sz w:val="24"/>
          <w:szCs w:val="24"/>
        </w:rPr>
        <w:t>(1)单一来源采购文件</w:t>
      </w:r>
    </w:p>
    <w:p>
      <w:pPr>
        <w:spacing w:line="440" w:lineRule="exact"/>
        <w:ind w:firstLine="480" w:firstLineChars="200"/>
        <w:rPr>
          <w:rFonts w:ascii="宋体" w:hAnsi="宋体"/>
          <w:sz w:val="24"/>
          <w:szCs w:val="24"/>
        </w:rPr>
      </w:pPr>
      <w:r>
        <w:rPr>
          <w:rFonts w:hint="eastAsia" w:ascii="宋体" w:hAnsi="宋体"/>
          <w:sz w:val="24"/>
          <w:szCs w:val="24"/>
        </w:rPr>
        <w:t xml:space="preserve"> (2)成交通知书</w:t>
      </w:r>
    </w:p>
    <w:p>
      <w:pPr>
        <w:spacing w:line="440" w:lineRule="exact"/>
        <w:ind w:firstLine="480" w:firstLineChars="200"/>
        <w:rPr>
          <w:rFonts w:ascii="宋体" w:hAnsi="宋体"/>
          <w:sz w:val="24"/>
          <w:szCs w:val="24"/>
        </w:rPr>
      </w:pPr>
      <w:r>
        <w:rPr>
          <w:rFonts w:hint="eastAsia" w:ascii="宋体" w:hAnsi="宋体"/>
          <w:sz w:val="24"/>
          <w:szCs w:val="24"/>
        </w:rPr>
        <w:t xml:space="preserve"> (3)中标方的投标文件及询标过程中的书面答疑记录</w:t>
      </w:r>
    </w:p>
    <w:p>
      <w:pPr>
        <w:spacing w:beforeLines="50" w:afterLines="50" w:line="440" w:lineRule="exact"/>
        <w:ind w:firstLine="361" w:firstLineChars="100"/>
        <w:jc w:val="center"/>
        <w:rPr>
          <w:rFonts w:ascii="宋体" w:hAnsi="宋体"/>
          <w:b/>
          <w:sz w:val="36"/>
        </w:rPr>
      </w:pPr>
    </w:p>
    <w:p>
      <w:pPr>
        <w:spacing w:beforeLines="50" w:afterLines="50" w:line="440" w:lineRule="exact"/>
        <w:ind w:firstLine="361" w:firstLineChars="100"/>
        <w:jc w:val="center"/>
        <w:rPr>
          <w:rFonts w:ascii="宋体" w:hAnsi="宋体"/>
          <w:b/>
          <w:sz w:val="36"/>
        </w:rPr>
      </w:pPr>
    </w:p>
    <w:p>
      <w:pPr>
        <w:spacing w:beforeLines="50" w:afterLines="50" w:line="440" w:lineRule="exact"/>
        <w:rPr>
          <w:rFonts w:ascii="宋体" w:hAnsi="宋体"/>
          <w:b/>
          <w:sz w:val="36"/>
        </w:rPr>
      </w:pPr>
    </w:p>
    <w:p>
      <w:pPr>
        <w:spacing w:beforeLines="50" w:afterLines="50" w:line="440" w:lineRule="exact"/>
        <w:ind w:firstLine="361" w:firstLineChars="100"/>
        <w:jc w:val="center"/>
        <w:outlineLvl w:val="0"/>
        <w:rPr>
          <w:rFonts w:ascii="宋体" w:hAnsi="宋体"/>
          <w:b/>
          <w:sz w:val="36"/>
        </w:rPr>
      </w:pPr>
      <w:bookmarkStart w:id="43" w:name="_Toc17902426"/>
    </w:p>
    <w:p>
      <w:pPr>
        <w:spacing w:beforeLines="50" w:afterLines="50" w:line="440" w:lineRule="exact"/>
        <w:ind w:firstLine="361" w:firstLineChars="100"/>
        <w:jc w:val="center"/>
        <w:outlineLvl w:val="0"/>
        <w:rPr>
          <w:rFonts w:ascii="宋体" w:hAnsi="宋体"/>
          <w:b/>
          <w:sz w:val="36"/>
        </w:rPr>
      </w:pPr>
    </w:p>
    <w:p>
      <w:pPr>
        <w:pStyle w:val="2"/>
        <w:rPr>
          <w:rFonts w:ascii="宋体" w:hAnsi="宋体"/>
          <w:b/>
          <w:sz w:val="36"/>
        </w:rPr>
      </w:pPr>
    </w:p>
    <w:p>
      <w:pPr>
        <w:pStyle w:val="2"/>
      </w:pPr>
    </w:p>
    <w:p>
      <w:pPr>
        <w:spacing w:beforeLines="50" w:afterLines="50" w:line="440" w:lineRule="exact"/>
        <w:jc w:val="both"/>
        <w:outlineLvl w:val="0"/>
        <w:rPr>
          <w:rFonts w:hint="eastAsia" w:ascii="宋体" w:hAnsi="宋体"/>
          <w:b/>
          <w:sz w:val="36"/>
        </w:rPr>
      </w:pPr>
    </w:p>
    <w:p>
      <w:pPr>
        <w:spacing w:beforeLines="50" w:afterLines="50" w:line="440" w:lineRule="exact"/>
        <w:jc w:val="center"/>
        <w:outlineLvl w:val="0"/>
        <w:rPr>
          <w:rFonts w:ascii="宋体" w:hAnsi="宋体"/>
          <w:b/>
          <w:sz w:val="36"/>
        </w:rPr>
      </w:pPr>
      <w:r>
        <w:rPr>
          <w:rFonts w:hint="eastAsia" w:ascii="宋体" w:hAnsi="宋体"/>
          <w:b/>
          <w:sz w:val="36"/>
        </w:rPr>
        <w:t>第六部分    附　件</w:t>
      </w:r>
      <w:bookmarkEnd w:id="43"/>
    </w:p>
    <w:p>
      <w:pPr>
        <w:spacing w:beforeLines="50" w:afterLines="50" w:line="440" w:lineRule="exact"/>
        <w:jc w:val="center"/>
        <w:rPr>
          <w:rFonts w:ascii="宋体" w:hAnsi="宋体"/>
          <w:b/>
          <w:sz w:val="32"/>
          <w:szCs w:val="32"/>
        </w:rPr>
      </w:pPr>
      <w:r>
        <w:rPr>
          <w:rFonts w:hint="eastAsia" w:ascii="宋体" w:hAnsi="宋体"/>
          <w:b/>
          <w:sz w:val="32"/>
          <w:szCs w:val="32"/>
        </w:rPr>
        <w:t>（附件一）投 标 函</w:t>
      </w:r>
    </w:p>
    <w:p>
      <w:pPr>
        <w:spacing w:line="440" w:lineRule="exact"/>
        <w:rPr>
          <w:rFonts w:ascii="宋体" w:hAnsi="宋体"/>
          <w:sz w:val="24"/>
          <w:szCs w:val="24"/>
        </w:rPr>
      </w:pPr>
      <w:r>
        <w:rPr>
          <w:rFonts w:hint="eastAsia" w:ascii="宋体" w:hAnsi="宋体"/>
          <w:sz w:val="24"/>
          <w:szCs w:val="24"/>
        </w:rPr>
        <w:t>致：</w:t>
      </w:r>
      <w:r>
        <w:rPr>
          <w:rFonts w:hint="eastAsia" w:ascii="宋体" w:hAnsi="宋体"/>
          <w:sz w:val="24"/>
          <w:szCs w:val="24"/>
          <w:lang w:eastAsia="zh-CN"/>
        </w:rPr>
        <w:t>新疆爱满疆工程咨询有限公司</w:t>
      </w:r>
      <w:r>
        <w:rPr>
          <w:rFonts w:hint="eastAsia" w:ascii="宋体" w:hAnsi="宋体"/>
          <w:sz w:val="24"/>
          <w:szCs w:val="24"/>
        </w:rPr>
        <w:t>:</w:t>
      </w:r>
    </w:p>
    <w:p>
      <w:pPr>
        <w:spacing w:line="440" w:lineRule="exact"/>
        <w:ind w:firstLine="555"/>
        <w:rPr>
          <w:rFonts w:ascii="宋体" w:hAnsi="宋体"/>
          <w:sz w:val="24"/>
          <w:szCs w:val="24"/>
          <w:highlight w:val="yellow"/>
        </w:rPr>
      </w:pPr>
      <w:r>
        <w:rPr>
          <w:rFonts w:hint="eastAsia" w:ascii="宋体" w:hAnsi="宋体"/>
          <w:sz w:val="24"/>
          <w:szCs w:val="24"/>
        </w:rPr>
        <w:t>根据贵方为</w:t>
      </w:r>
      <w:r>
        <w:rPr>
          <w:rFonts w:hint="eastAsia" w:ascii="宋体" w:hAnsi="宋体"/>
          <w:sz w:val="24"/>
          <w:szCs w:val="24"/>
          <w:u w:val="single"/>
        </w:rPr>
        <w:t xml:space="preserve">　　　（项目名称）  </w:t>
      </w:r>
      <w:r>
        <w:rPr>
          <w:rFonts w:hint="eastAsia" w:ascii="宋体" w:hAnsi="宋体"/>
          <w:sz w:val="24"/>
          <w:szCs w:val="24"/>
          <w:u w:val="single"/>
          <w:lang w:val="en-US" w:eastAsia="zh-CN"/>
        </w:rPr>
        <w:t>标项号）</w:t>
      </w:r>
      <w:r>
        <w:rPr>
          <w:rFonts w:hint="eastAsia" w:ascii="宋体" w:hAnsi="宋体"/>
          <w:sz w:val="24"/>
          <w:szCs w:val="24"/>
          <w:u w:val="single"/>
        </w:rPr>
        <w:t xml:space="preserve">  </w:t>
      </w:r>
      <w:r>
        <w:rPr>
          <w:rFonts w:hint="eastAsia" w:ascii="宋体" w:hAnsi="宋体"/>
          <w:sz w:val="24"/>
          <w:szCs w:val="24"/>
        </w:rPr>
        <w:t>项目招标的投标邀请</w:t>
      </w:r>
      <w:r>
        <w:rPr>
          <w:rFonts w:hint="eastAsia" w:ascii="宋体" w:hAnsi="宋体"/>
          <w:sz w:val="24"/>
          <w:szCs w:val="24"/>
          <w:u w:val="single"/>
        </w:rPr>
        <w:t xml:space="preserve">  （招标编号）   </w:t>
      </w:r>
      <w:r>
        <w:rPr>
          <w:rFonts w:hint="eastAsia" w:ascii="宋体" w:hAnsi="宋体"/>
          <w:sz w:val="24"/>
          <w:szCs w:val="24"/>
        </w:rPr>
        <w:t>，签字代表</w:t>
      </w:r>
      <w:r>
        <w:rPr>
          <w:rFonts w:hint="eastAsia" w:ascii="宋体" w:hAnsi="宋体"/>
          <w:sz w:val="24"/>
          <w:szCs w:val="24"/>
          <w:u w:val="single"/>
        </w:rPr>
        <w:t xml:space="preserve">  （姓名、职务）  </w:t>
      </w:r>
      <w:r>
        <w:rPr>
          <w:rFonts w:hint="eastAsia" w:ascii="宋体" w:hAnsi="宋体"/>
          <w:sz w:val="24"/>
          <w:szCs w:val="24"/>
        </w:rPr>
        <w:t>经正式授权并代表投标人</w:t>
      </w:r>
      <w:r>
        <w:rPr>
          <w:rFonts w:hint="eastAsia" w:ascii="宋体" w:hAnsi="宋体"/>
          <w:sz w:val="24"/>
          <w:szCs w:val="24"/>
          <w:u w:val="single"/>
        </w:rPr>
        <w:t xml:space="preserve">   （投标人名称、地址）   </w:t>
      </w:r>
      <w:r>
        <w:rPr>
          <w:rFonts w:hint="eastAsia" w:ascii="宋体" w:hAnsi="宋体"/>
          <w:sz w:val="24"/>
          <w:szCs w:val="24"/>
        </w:rPr>
        <w:t>提交投标文件</w:t>
      </w:r>
      <w:r>
        <w:rPr>
          <w:rFonts w:hint="eastAsia" w:ascii="宋体" w:hAnsi="宋体"/>
          <w:sz w:val="24"/>
          <w:szCs w:val="24"/>
          <w:highlight w:val="none"/>
        </w:rPr>
        <w:t>。</w:t>
      </w:r>
    </w:p>
    <w:p>
      <w:pPr>
        <w:numPr>
          <w:ilvl w:val="0"/>
          <w:numId w:val="3"/>
        </w:numPr>
        <w:spacing w:line="440" w:lineRule="exact"/>
        <w:rPr>
          <w:rFonts w:ascii="宋体" w:hAnsi="宋体"/>
          <w:sz w:val="24"/>
          <w:szCs w:val="24"/>
        </w:rPr>
      </w:pPr>
      <w:r>
        <w:rPr>
          <w:rFonts w:hint="eastAsia" w:ascii="宋体" w:hAnsi="宋体"/>
          <w:sz w:val="24"/>
          <w:szCs w:val="24"/>
        </w:rPr>
        <w:t>开标一览表；</w:t>
      </w:r>
    </w:p>
    <w:p>
      <w:pPr>
        <w:numPr>
          <w:ilvl w:val="0"/>
          <w:numId w:val="3"/>
        </w:numPr>
        <w:spacing w:line="440" w:lineRule="exact"/>
        <w:rPr>
          <w:rFonts w:ascii="宋体" w:hAnsi="宋体"/>
          <w:sz w:val="24"/>
          <w:szCs w:val="24"/>
        </w:rPr>
      </w:pPr>
      <w:r>
        <w:rPr>
          <w:rFonts w:hint="eastAsia" w:ascii="宋体" w:hAnsi="宋体"/>
          <w:sz w:val="24"/>
          <w:szCs w:val="24"/>
        </w:rPr>
        <w:t>明细报价表；</w:t>
      </w:r>
    </w:p>
    <w:p>
      <w:pPr>
        <w:numPr>
          <w:ilvl w:val="0"/>
          <w:numId w:val="3"/>
        </w:numPr>
        <w:spacing w:line="440" w:lineRule="exact"/>
        <w:rPr>
          <w:rFonts w:ascii="宋体" w:hAnsi="宋体"/>
          <w:sz w:val="24"/>
          <w:szCs w:val="24"/>
        </w:rPr>
      </w:pPr>
      <w:r>
        <w:rPr>
          <w:rFonts w:hint="eastAsia" w:ascii="宋体" w:hAnsi="宋体"/>
          <w:sz w:val="24"/>
          <w:szCs w:val="24"/>
        </w:rPr>
        <w:t>规格、技术参数偏离表；</w:t>
      </w:r>
    </w:p>
    <w:p>
      <w:pPr>
        <w:numPr>
          <w:ilvl w:val="0"/>
          <w:numId w:val="3"/>
        </w:numPr>
        <w:spacing w:line="440" w:lineRule="exact"/>
        <w:rPr>
          <w:rFonts w:ascii="宋体" w:hAnsi="宋体"/>
          <w:sz w:val="24"/>
          <w:szCs w:val="24"/>
        </w:rPr>
      </w:pPr>
      <w:r>
        <w:rPr>
          <w:rFonts w:hint="eastAsia" w:ascii="宋体" w:hAnsi="宋体"/>
          <w:sz w:val="24"/>
          <w:szCs w:val="24"/>
        </w:rPr>
        <w:t>商务条款偏离表；</w:t>
      </w:r>
    </w:p>
    <w:p>
      <w:pPr>
        <w:numPr>
          <w:ilvl w:val="0"/>
          <w:numId w:val="3"/>
        </w:numPr>
        <w:spacing w:line="440" w:lineRule="exact"/>
        <w:rPr>
          <w:rFonts w:ascii="宋体" w:hAnsi="宋体"/>
          <w:sz w:val="24"/>
          <w:szCs w:val="24"/>
        </w:rPr>
      </w:pPr>
      <w:r>
        <w:rPr>
          <w:rFonts w:hint="eastAsia" w:ascii="宋体" w:hAnsi="宋体"/>
          <w:sz w:val="24"/>
          <w:szCs w:val="24"/>
        </w:rPr>
        <w:t>按单一来源采购文件投标人须知、技术规格要求及其他要求提供有关文件；</w:t>
      </w:r>
    </w:p>
    <w:p>
      <w:pPr>
        <w:numPr>
          <w:ilvl w:val="0"/>
          <w:numId w:val="3"/>
        </w:numPr>
        <w:spacing w:line="440" w:lineRule="exact"/>
        <w:rPr>
          <w:rFonts w:ascii="宋体" w:hAnsi="宋体"/>
          <w:sz w:val="24"/>
          <w:szCs w:val="24"/>
        </w:rPr>
      </w:pPr>
      <w:r>
        <w:rPr>
          <w:rFonts w:hint="eastAsia" w:ascii="宋体" w:hAnsi="宋体"/>
          <w:sz w:val="24"/>
          <w:szCs w:val="24"/>
        </w:rPr>
        <w:t>资格证明文件；</w:t>
      </w:r>
    </w:p>
    <w:p>
      <w:pPr>
        <w:numPr>
          <w:ilvl w:val="0"/>
          <w:numId w:val="3"/>
        </w:numPr>
        <w:spacing w:line="440" w:lineRule="exact"/>
        <w:rPr>
          <w:rFonts w:ascii="宋体" w:hAnsi="宋体"/>
          <w:sz w:val="24"/>
          <w:szCs w:val="24"/>
        </w:rPr>
      </w:pPr>
      <w:r>
        <w:rPr>
          <w:rFonts w:hint="eastAsia" w:ascii="宋体" w:hAnsi="宋体"/>
          <w:sz w:val="24"/>
          <w:szCs w:val="24"/>
        </w:rPr>
        <w:t>投标保证金，形式（支票、汇票或现金），金额为</w:t>
      </w:r>
      <w:r>
        <w:rPr>
          <w:rFonts w:hint="eastAsia" w:ascii="宋体" w:hAnsi="宋体"/>
          <w:sz w:val="24"/>
          <w:szCs w:val="24"/>
          <w:u w:val="single"/>
        </w:rPr>
        <w:t xml:space="preserve">                （￥：    ）</w:t>
      </w:r>
      <w:r>
        <w:rPr>
          <w:rFonts w:hint="eastAsia" w:ascii="宋体" w:hAnsi="宋体"/>
          <w:sz w:val="24"/>
          <w:szCs w:val="24"/>
        </w:rPr>
        <w:t>。</w:t>
      </w:r>
    </w:p>
    <w:p>
      <w:pPr>
        <w:spacing w:line="440" w:lineRule="exact"/>
        <w:ind w:firstLine="555"/>
        <w:rPr>
          <w:rFonts w:ascii="宋体" w:hAnsi="宋体"/>
          <w:sz w:val="24"/>
          <w:szCs w:val="24"/>
        </w:rPr>
      </w:pPr>
      <w:r>
        <w:rPr>
          <w:rFonts w:hint="eastAsia" w:ascii="宋体" w:hAnsi="宋体"/>
          <w:sz w:val="24"/>
          <w:szCs w:val="24"/>
        </w:rPr>
        <w:t>据此函，签字代表宣布并同意如下：</w:t>
      </w:r>
    </w:p>
    <w:p>
      <w:pPr>
        <w:spacing w:line="440" w:lineRule="exact"/>
        <w:ind w:firstLine="555"/>
        <w:rPr>
          <w:rFonts w:ascii="宋体" w:hAnsi="宋体"/>
          <w:sz w:val="24"/>
          <w:szCs w:val="24"/>
          <w:u w:val="single"/>
        </w:rPr>
      </w:pPr>
      <w:r>
        <w:rPr>
          <w:rFonts w:hint="eastAsia" w:ascii="宋体" w:hAnsi="宋体"/>
          <w:sz w:val="24"/>
          <w:szCs w:val="24"/>
        </w:rPr>
        <w:t>1、所附明细报价表中规定的应提交和交付的货物和服务投标总价为</w:t>
      </w:r>
      <w:r>
        <w:rPr>
          <w:rFonts w:hint="eastAsia" w:ascii="宋体" w:hAnsi="宋体"/>
          <w:sz w:val="24"/>
          <w:szCs w:val="24"/>
          <w:u w:val="single"/>
        </w:rPr>
        <w:t xml:space="preserve">  （注明币种，  并用文字和数字表示的投标总价）。</w:t>
      </w:r>
    </w:p>
    <w:p>
      <w:pPr>
        <w:spacing w:line="440" w:lineRule="exact"/>
        <w:ind w:firstLine="555"/>
        <w:rPr>
          <w:rFonts w:ascii="宋体" w:hAnsi="宋体"/>
          <w:sz w:val="24"/>
          <w:szCs w:val="24"/>
        </w:rPr>
      </w:pPr>
      <w:r>
        <w:rPr>
          <w:rFonts w:hint="eastAsia" w:ascii="宋体" w:hAnsi="宋体"/>
          <w:sz w:val="24"/>
          <w:szCs w:val="24"/>
        </w:rPr>
        <w:t>2、投标人将按单一来源采购文件的规定履行合同责任和义务。</w:t>
      </w:r>
    </w:p>
    <w:p>
      <w:pPr>
        <w:spacing w:line="440" w:lineRule="exact"/>
        <w:ind w:firstLine="555"/>
        <w:rPr>
          <w:rFonts w:ascii="宋体" w:hAnsi="宋体"/>
          <w:sz w:val="24"/>
          <w:szCs w:val="24"/>
        </w:rPr>
      </w:pPr>
      <w:r>
        <w:rPr>
          <w:rFonts w:hint="eastAsia" w:ascii="宋体" w:hAnsi="宋体"/>
          <w:sz w:val="24"/>
          <w:szCs w:val="24"/>
        </w:rPr>
        <w:t>3、投标人已详细阅读并理解了单一来源采购文件的全部，包括修改文件（如有的话）。我们完全理解并同意放弃对这方面有不明及误解的权利。</w:t>
      </w:r>
    </w:p>
    <w:p>
      <w:pPr>
        <w:spacing w:line="440" w:lineRule="exact"/>
        <w:ind w:firstLine="555"/>
        <w:rPr>
          <w:rFonts w:ascii="宋体" w:hAnsi="宋体"/>
          <w:sz w:val="24"/>
          <w:szCs w:val="24"/>
        </w:rPr>
      </w:pPr>
      <w:r>
        <w:rPr>
          <w:rFonts w:hint="eastAsia" w:ascii="宋体" w:hAnsi="宋体"/>
          <w:sz w:val="24"/>
          <w:szCs w:val="24"/>
        </w:rPr>
        <w:t>4、本投标有效期自开标之日起</w:t>
      </w:r>
      <w:r>
        <w:rPr>
          <w:rFonts w:hint="eastAsia" w:ascii="宋体" w:hAnsi="宋体"/>
          <w:sz w:val="24"/>
          <w:szCs w:val="24"/>
          <w:u w:val="single"/>
        </w:rPr>
        <w:t xml:space="preserve">  90  </w:t>
      </w:r>
      <w:r>
        <w:rPr>
          <w:rFonts w:hint="eastAsia" w:ascii="宋体" w:hAnsi="宋体"/>
          <w:sz w:val="24"/>
          <w:szCs w:val="24"/>
        </w:rPr>
        <w:t>个日历日。</w:t>
      </w:r>
    </w:p>
    <w:p>
      <w:pPr>
        <w:spacing w:line="440" w:lineRule="exact"/>
        <w:ind w:firstLine="555"/>
        <w:rPr>
          <w:rFonts w:ascii="宋体" w:hAnsi="宋体"/>
          <w:sz w:val="24"/>
          <w:szCs w:val="24"/>
        </w:rPr>
      </w:pPr>
      <w:r>
        <w:rPr>
          <w:rFonts w:hint="eastAsia" w:ascii="宋体" w:hAnsi="宋体"/>
          <w:sz w:val="24"/>
          <w:szCs w:val="24"/>
        </w:rPr>
        <w:t>5、在规定的开标日期后，如果在投标有效期内撤回投标，同意投标保证金将被贵方不予退还。</w:t>
      </w:r>
    </w:p>
    <w:p>
      <w:pPr>
        <w:spacing w:line="440" w:lineRule="exact"/>
        <w:ind w:firstLine="555"/>
        <w:rPr>
          <w:rFonts w:ascii="宋体" w:hAnsi="宋体"/>
          <w:sz w:val="24"/>
          <w:szCs w:val="24"/>
        </w:rPr>
      </w:pPr>
      <w:r>
        <w:rPr>
          <w:rFonts w:hint="eastAsia" w:ascii="宋体" w:hAnsi="宋体"/>
          <w:sz w:val="24"/>
          <w:szCs w:val="24"/>
        </w:rPr>
        <w:t>6、投标人同意提供按照贵方可能要求的与其投标有关的一切数据或资料，完全理解贵方不一定接受最低价的投标或收到的任何投标的约定。</w:t>
      </w:r>
    </w:p>
    <w:p>
      <w:pPr>
        <w:spacing w:line="440" w:lineRule="exact"/>
        <w:ind w:firstLine="570"/>
        <w:rPr>
          <w:rFonts w:ascii="宋体" w:hAnsi="宋体"/>
          <w:sz w:val="24"/>
          <w:szCs w:val="24"/>
        </w:rPr>
      </w:pPr>
      <w:r>
        <w:rPr>
          <w:rFonts w:hint="eastAsia" w:ascii="宋体" w:hAnsi="宋体"/>
          <w:sz w:val="24"/>
          <w:szCs w:val="24"/>
        </w:rPr>
        <w:t>7、与本投标有关的一切正式往来信函请寄：</w:t>
      </w:r>
    </w:p>
    <w:p>
      <w:pPr>
        <w:spacing w:line="440" w:lineRule="exact"/>
        <w:ind w:firstLine="240" w:firstLineChars="1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w:t>
      </w:r>
      <w:r>
        <w:rPr>
          <w:rFonts w:hint="eastAsia" w:ascii="宋体" w:hAnsi="宋体"/>
          <w:sz w:val="24"/>
          <w:szCs w:val="24"/>
        </w:rPr>
        <w:t>邮编：</w:t>
      </w:r>
      <w:r>
        <w:rPr>
          <w:rFonts w:hint="eastAsia" w:ascii="宋体" w:hAnsi="宋体"/>
          <w:sz w:val="24"/>
          <w:szCs w:val="24"/>
          <w:u w:val="single"/>
        </w:rPr>
        <w:t>　　　　   　　　　　</w:t>
      </w:r>
    </w:p>
    <w:p>
      <w:pPr>
        <w:spacing w:line="440" w:lineRule="exact"/>
        <w:rPr>
          <w:rFonts w:ascii="宋体" w:hAnsi="宋体"/>
          <w:sz w:val="24"/>
          <w:szCs w:val="24"/>
        </w:rPr>
      </w:pPr>
      <w:r>
        <w:rPr>
          <w:rFonts w:hint="eastAsia" w:ascii="宋体" w:hAnsi="宋体"/>
          <w:sz w:val="24"/>
          <w:szCs w:val="24"/>
        </w:rPr>
        <w:t>　电　　　　　 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w:t>
      </w:r>
    </w:p>
    <w:p>
      <w:pPr>
        <w:spacing w:line="440" w:lineRule="exact"/>
        <w:rPr>
          <w:rFonts w:ascii="宋体" w:hAnsi="宋体"/>
          <w:sz w:val="24"/>
          <w:szCs w:val="24"/>
        </w:rPr>
      </w:pPr>
      <w:r>
        <w:rPr>
          <w:rFonts w:hint="eastAsia" w:ascii="宋体" w:hAnsi="宋体"/>
          <w:sz w:val="24"/>
          <w:szCs w:val="24"/>
        </w:rPr>
        <w:t>　投标人代表签字：</w:t>
      </w:r>
      <w:r>
        <w:rPr>
          <w:rFonts w:hint="eastAsia" w:ascii="宋体" w:hAnsi="宋体"/>
          <w:sz w:val="24"/>
          <w:szCs w:val="24"/>
          <w:u w:val="single"/>
        </w:rPr>
        <w:t>　　　　　　　　　　　　　</w:t>
      </w:r>
    </w:p>
    <w:p>
      <w:pPr>
        <w:spacing w:line="440" w:lineRule="exact"/>
        <w:rPr>
          <w:rFonts w:ascii="宋体" w:hAnsi="宋体"/>
          <w:sz w:val="24"/>
          <w:szCs w:val="24"/>
        </w:rPr>
      </w:pPr>
      <w:r>
        <w:rPr>
          <w:rFonts w:hint="eastAsia" w:ascii="宋体" w:hAnsi="宋体"/>
          <w:sz w:val="24"/>
          <w:szCs w:val="24"/>
        </w:rPr>
        <w:t>　投 标 人 名 称：</w:t>
      </w:r>
      <w:r>
        <w:rPr>
          <w:rFonts w:hint="eastAsia" w:ascii="宋体" w:hAnsi="宋体"/>
          <w:sz w:val="24"/>
          <w:szCs w:val="24"/>
          <w:u w:val="single"/>
        </w:rPr>
        <w:t>　      　　　　　　　　　</w:t>
      </w:r>
    </w:p>
    <w:p>
      <w:pPr>
        <w:spacing w:line="440" w:lineRule="exact"/>
        <w:rPr>
          <w:rFonts w:ascii="宋体" w:hAnsi="宋体"/>
          <w:sz w:val="24"/>
          <w:szCs w:val="24"/>
        </w:rPr>
      </w:pPr>
      <w:r>
        <w:rPr>
          <w:rFonts w:hint="eastAsia" w:ascii="宋体" w:hAnsi="宋体"/>
          <w:sz w:val="24"/>
          <w:szCs w:val="24"/>
        </w:rPr>
        <w:t>　公          章：</w:t>
      </w:r>
      <w:r>
        <w:rPr>
          <w:rFonts w:hint="eastAsia" w:ascii="宋体" w:hAnsi="宋体"/>
          <w:sz w:val="24"/>
          <w:szCs w:val="24"/>
          <w:u w:val="single"/>
        </w:rPr>
        <w:t>　　　　　　　　　　　　　</w:t>
      </w:r>
    </w:p>
    <w:p>
      <w:pPr>
        <w:spacing w:line="440" w:lineRule="exact"/>
        <w:rPr>
          <w:rFonts w:ascii="宋体" w:hAnsi="宋体"/>
          <w:sz w:val="24"/>
          <w:szCs w:val="24"/>
        </w:rPr>
      </w:pPr>
      <w:r>
        <w:rPr>
          <w:rFonts w:hint="eastAsia" w:ascii="宋体" w:hAnsi="宋体"/>
          <w:sz w:val="24"/>
          <w:szCs w:val="24"/>
        </w:rPr>
        <w:t>　20</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2"/>
      </w:pPr>
    </w:p>
    <w:p>
      <w:pPr>
        <w:spacing w:beforeLines="50" w:afterLines="50" w:line="440" w:lineRule="exact"/>
        <w:jc w:val="center"/>
        <w:rPr>
          <w:rFonts w:ascii="宋体" w:hAnsi="宋体"/>
          <w:b/>
          <w:sz w:val="32"/>
          <w:szCs w:val="32"/>
        </w:rPr>
      </w:pPr>
      <w:r>
        <w:rPr>
          <w:rFonts w:hint="eastAsia" w:ascii="宋体" w:hAnsi="宋体"/>
          <w:b/>
          <w:sz w:val="32"/>
          <w:szCs w:val="32"/>
        </w:rPr>
        <w:t>（附件二）法人代表授权委托书</w:t>
      </w:r>
    </w:p>
    <w:p>
      <w:pPr>
        <w:autoSpaceDE w:val="0"/>
        <w:autoSpaceDN w:val="0"/>
        <w:adjustRightInd w:val="0"/>
        <w:spacing w:line="440" w:lineRule="exact"/>
        <w:ind w:firstLine="422"/>
        <w:rPr>
          <w:rFonts w:ascii="宋体" w:hAnsi="宋体"/>
          <w:sz w:val="24"/>
        </w:rPr>
      </w:pPr>
      <w:r>
        <w:rPr>
          <w:rFonts w:hint="eastAsia" w:ascii="宋体" w:hAnsi="宋体"/>
          <w:sz w:val="24"/>
        </w:rPr>
        <w:t>本授权声明：注册于中华人民共和国的</w:t>
      </w:r>
      <w:r>
        <w:rPr>
          <w:rFonts w:hint="eastAsia" w:ascii="宋体" w:hAnsi="宋体"/>
          <w:sz w:val="24"/>
          <w:u w:val="single"/>
        </w:rPr>
        <w:t xml:space="preserve">  （投标人名称、住址）  </w:t>
      </w:r>
      <w:r>
        <w:rPr>
          <w:rFonts w:hint="eastAsia" w:ascii="宋体" w:hAnsi="宋体"/>
          <w:sz w:val="24"/>
        </w:rPr>
        <w:t>的法人代表</w:t>
      </w:r>
      <w:r>
        <w:rPr>
          <w:rFonts w:hint="eastAsia" w:ascii="宋体" w:hAnsi="宋体"/>
          <w:sz w:val="24"/>
          <w:u w:val="single"/>
        </w:rPr>
        <w:t xml:space="preserve">  （法定代表人姓名、职务）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为本公司的合法代理人，就此次</w:t>
      </w:r>
      <w:r>
        <w:rPr>
          <w:rFonts w:hint="eastAsia" w:ascii="宋体" w:hAnsi="宋体"/>
          <w:sz w:val="24"/>
          <w:u w:val="single"/>
          <w:lang w:eastAsia="zh-CN"/>
        </w:rPr>
        <w:t>喀什大学图书馆数据库采购项目（</w:t>
      </w:r>
      <w:r>
        <w:rPr>
          <w:rFonts w:hint="eastAsia" w:ascii="宋体" w:hAnsi="宋体"/>
          <w:sz w:val="24"/>
          <w:u w:val="single"/>
          <w:lang w:val="en-US" w:eastAsia="zh-CN"/>
        </w:rPr>
        <w:t>标项号</w:t>
      </w:r>
      <w:r>
        <w:rPr>
          <w:rFonts w:hint="eastAsia" w:ascii="宋体" w:hAnsi="宋体"/>
          <w:sz w:val="24"/>
          <w:u w:val="single"/>
          <w:lang w:eastAsia="zh-CN"/>
        </w:rPr>
        <w:t>）</w:t>
      </w:r>
      <w:r>
        <w:rPr>
          <w:rFonts w:hint="eastAsia" w:ascii="宋体" w:hAnsi="宋体"/>
          <w:sz w:val="24"/>
        </w:rPr>
        <w:t>，招标编号为</w:t>
      </w:r>
      <w:r>
        <w:rPr>
          <w:rFonts w:hint="eastAsia" w:ascii="宋体" w:hAnsi="宋体"/>
          <w:sz w:val="24"/>
          <w:u w:val="single"/>
        </w:rPr>
        <w:t xml:space="preserve">  </w:t>
      </w:r>
      <w:r>
        <w:rPr>
          <w:rFonts w:hint="eastAsia" w:ascii="宋体" w:hAnsi="宋体"/>
          <w:sz w:val="24"/>
          <w:u w:val="single"/>
          <w:lang w:eastAsia="zh-CN"/>
        </w:rPr>
        <w:t>AMJ-KSDX-DYLY[2022]025号</w:t>
      </w:r>
      <w:r>
        <w:rPr>
          <w:rFonts w:hint="eastAsia" w:ascii="宋体" w:hAnsi="宋体"/>
          <w:sz w:val="24"/>
        </w:rPr>
        <w:t>的投标及合同的执行，以本公司名义处理一切与之有关的事务。</w:t>
      </w:r>
    </w:p>
    <w:p>
      <w:pPr>
        <w:autoSpaceDE w:val="0"/>
        <w:autoSpaceDN w:val="0"/>
        <w:adjustRightInd w:val="0"/>
        <w:spacing w:line="440" w:lineRule="exact"/>
        <w:ind w:firstLine="420" w:firstLineChars="175"/>
        <w:rPr>
          <w:rFonts w:ascii="宋体" w:hAnsi="宋体"/>
          <w:sz w:val="24"/>
        </w:rPr>
      </w:pPr>
      <w:r>
        <w:rPr>
          <w:rFonts w:hint="eastAsia" w:ascii="宋体" w:hAnsi="宋体"/>
          <w:sz w:val="24"/>
        </w:rPr>
        <w:t>本授权书于</w:t>
      </w:r>
      <w:r>
        <w:rPr>
          <w:rFonts w:hint="eastAsia" w:ascii="宋体" w:hAnsi="宋体"/>
          <w:sz w:val="24"/>
          <w:u w:val="single"/>
        </w:rPr>
        <w:t xml:space="preserve">  年  月  日</w:t>
      </w:r>
      <w:r>
        <w:rPr>
          <w:rFonts w:hint="eastAsia" w:ascii="宋体" w:hAnsi="宋体"/>
          <w:sz w:val="24"/>
        </w:rPr>
        <w:t>签字生效，特此声明。</w:t>
      </w:r>
    </w:p>
    <w:p>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法人签字或盖章：</w:t>
      </w:r>
      <w:r>
        <w:rPr>
          <w:rFonts w:hint="eastAsia" w:ascii="宋体" w:hAnsi="宋体"/>
          <w:sz w:val="24"/>
          <w:u w:val="single"/>
        </w:rPr>
        <w:t xml:space="preserve">                            </w:t>
      </w:r>
    </w:p>
    <w:p>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代理（被授权人）签字或盖章：</w:t>
      </w:r>
      <w:r>
        <w:rPr>
          <w:rFonts w:hint="eastAsia" w:ascii="宋体" w:hAnsi="宋体"/>
          <w:sz w:val="24"/>
          <w:u w:val="single"/>
        </w:rPr>
        <w:t xml:space="preserve">                  </w:t>
      </w:r>
    </w:p>
    <w:p>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见证人签字或盖章：</w:t>
      </w:r>
      <w:r>
        <w:rPr>
          <w:rFonts w:hint="eastAsia" w:ascii="宋体" w:hAnsi="宋体"/>
          <w:sz w:val="24"/>
          <w:u w:val="single"/>
        </w:rPr>
        <w:t xml:space="preserve">                            </w:t>
      </w:r>
    </w:p>
    <w:p>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职务：</w:t>
      </w:r>
      <w:r>
        <w:rPr>
          <w:rFonts w:hint="eastAsia" w:ascii="宋体" w:hAnsi="宋体"/>
          <w:sz w:val="24"/>
          <w:u w:val="single"/>
        </w:rPr>
        <w:t xml:space="preserve">                                      </w:t>
      </w:r>
    </w:p>
    <w:p>
      <w:pPr>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pPr>
        <w:spacing w:line="440" w:lineRule="exact"/>
        <w:ind w:firstLine="480"/>
        <w:rPr>
          <w:rFonts w:ascii="宋体" w:hAnsi="宋体"/>
          <w:sz w:val="24"/>
        </w:rPr>
      </w:pPr>
      <w:r>
        <w:rPr>
          <w:rFonts w:hint="eastAsia" w:ascii="宋体" w:hAnsi="宋体"/>
          <w:sz w:val="24"/>
        </w:rPr>
        <w:t>授权日期：20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spacing w:line="440" w:lineRule="exact"/>
        <w:ind w:firstLine="6240" w:firstLineChars="2600"/>
        <w:rPr>
          <w:rFonts w:ascii="宋体" w:hAnsi="宋体"/>
          <w:sz w:val="24"/>
        </w:rPr>
      </w:pPr>
      <w:r>
        <w:rPr>
          <w:rFonts w:hint="eastAsia" w:ascii="宋体" w:hAnsi="宋体"/>
          <w:sz w:val="24"/>
        </w:rPr>
        <w:t>（单位公章）</w:t>
      </w:r>
    </w:p>
    <w:p>
      <w:pPr>
        <w:spacing w:line="440" w:lineRule="exact"/>
        <w:ind w:firstLine="5880" w:firstLineChars="2450"/>
        <w:rPr>
          <w:rFonts w:ascii="宋体" w:hAnsi="宋体"/>
          <w:sz w:val="24"/>
        </w:rPr>
      </w:pPr>
      <w:r>
        <w:rPr>
          <w:rFonts w:hint="eastAsia" w:ascii="宋体" w:hAnsi="宋体"/>
          <w:sz w:val="24"/>
        </w:rPr>
        <w:t>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firstLine="482" w:firstLineChars="200"/>
        <w:rPr>
          <w:rFonts w:ascii="宋体" w:hAnsi="宋体"/>
          <w:b/>
          <w:sz w:val="24"/>
          <w:em w:val="dot"/>
        </w:rPr>
      </w:pPr>
      <w:r>
        <w:rPr>
          <w:rFonts w:hint="eastAsia" w:ascii="宋体" w:hAnsi="宋体"/>
          <w:b/>
          <w:sz w:val="24"/>
          <w:em w:val="dot"/>
        </w:rPr>
        <w:t>注：参加开标会议的投标人的法定代表人或其委托代理人应携带本人身份证（原件并附复印件），委托代理人还应携带《法人代表授权委托书》，以证明其身份。</w:t>
      </w:r>
    </w:p>
    <w:p>
      <w:pPr>
        <w:tabs>
          <w:tab w:val="left" w:pos="9135"/>
        </w:tabs>
        <w:spacing w:line="460" w:lineRule="atLeast"/>
        <w:rPr>
          <w:rFonts w:ascii="宋体" w:hAnsi="宋体"/>
          <w:b/>
          <w:sz w:val="30"/>
        </w:rPr>
      </w:pPr>
      <w:r>
        <w:rPr>
          <w:rFonts w:ascii="宋体" w:hAnsi="宋体"/>
          <w:b/>
          <w:sz w:val="24"/>
        </w:rPr>
        <w:pict>
          <v:shape id="_x0000_s1026" o:spid="_x0000_s1026" o:spt="202" type="#_x0000_t202" style="position:absolute;left:0pt;margin-left:243pt;margin-top:13.8pt;height:131.25pt;width:198pt;z-index:251660288;mso-width-relative:page;mso-height-relative:page;" coordsize="21600,21600" o:gfxdata="UEsDBAoAAAAAAIdO4kAAAAAAAAAAAAAAAAAEAAAAZHJzL1BLAwQUAAAACACHTuJA+HwJqtkAAAAK&#10;AQAADwAAAGRycy9kb3ducmV2LnhtbE2PwU7DMBBE70j8g7VI3KidCIU0xKlEJYRUcaApcHZiE0eN&#10;12nsNuHvWU5w3NnRzJtys7iBXcwUeo8SkpUAZrD1usdOwvvh+S4HFqJCrQaPRsK3CbCprq9KVWg/&#10;495c6tgxCsFQKAk2xrHgPLTWOBVWfjRIvy8/ORXpnDquJzVTuBt4KkTGneqRGqwazdaa9lifnYRD&#10;vd7txqx5m+3yevr8aJ/48WUv5e1NIh6BRbPEPzP84hM6VMTU+DPqwAYJ93lGW6KE9CEDRoY8T0lo&#10;SFiLBHhV8v8Tqh9QSwMEFAAAAAgAh07iQKTOw+hdAgAAtwQAAA4AAABkcnMvZTJvRG9jLnhtbK1U&#10;zY7TMBC+I/EOlu9s2m7b3Y02XS2tipCWH2nhAVzHSSxsj7HdJuUB4A04ceHOc/U5GDvZpSwg7YEc&#10;Ik9m/M0338zk8qrTiuyE8xJMQccnI0qE4VBKUxf0/bv1s3NKfGCmZAqMKOheeHq1ePrksrW5mEAD&#10;qhSOIIjxeWsL2oRg8yzzvBGa+ROwwqCzAqdZQNPVWelYi+haZZPRaJ614ErrgAvv8euqd9IB0T0G&#10;EKpKcrECvtXChB7VCcUCluQbaT1dJLZVJXh4U1VeBKIKipWG9MYkeN7Ed7a4ZHntmG0kHyiwx1B4&#10;UJNm0mDSe6gVC4xsnfwDSkvuwEMVTjjorC8kKYJVjEcPtLltmBWpFpTa23vR/f+D5a93bx2RZUFP&#10;KTFMY8MPX78cvv04fP9MTqM8rfU5Rt1ajAvdc+hwaFKp3t4A/+CJgWXDTC2unYO2EaxEeuN4Mzu6&#10;2uP4CLJpX0GJedg2QALqKqejdqgGQXRszf6+NaILhOPHyWw8nY/QxdE3ns/n52ezlIPld9et8+GF&#10;AE3ioaAOe5/g2e7Gh0iH5XchMZsHJcu1VCoZrt4slSM7hnOyTs+A/luYMqQt6MVsMkMiDIffmRJP&#10;2qJ+3tS9LP/EHaXnb7iR14r5ps/v934FIcaxXMuA26akLuj58XVlBn2jpL24odt0Q782UO5RaQf9&#10;vOO246EB94mSFmcdyX7cMicoUS8NdutiPJ3G5UjGdHY2QcMdezbHHmY4QhU0UNIfl6FfqK11sm4w&#10;Uz8fBq6xw5VM2sdR6FkNvHGeU0uG3YsLc2ynqF//m8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wJqtkAAAAKAQAADwAAAAAAAAABACAAAAAiAAAAZHJzL2Rvd25yZXYueG1sUEsBAhQAFAAAAAgA&#10;h07iQKTOw+hdAgAAtwQAAA4AAAAAAAAAAQAgAAAAKAEAAGRycy9lMm9Eb2MueG1sUEsFBgAAAAAG&#10;AAYAWQEAAPcFAAAAAA==&#10;">
            <v:path/>
            <v:fill focussize="0,0"/>
            <v:stroke dashstyle="1 1" endcap="round"/>
            <v:imagedata o:title=""/>
            <o:lock v:ext="edit"/>
            <v:textbox>
              <w:txbxContent>
                <w:p>
                  <w:pPr>
                    <w:rPr>
                      <w:rFonts w:ascii="仿宋" w:hAnsi="仿宋" w:eastAsia="仿宋"/>
                      <w:b/>
                      <w:sz w:val="24"/>
                    </w:rPr>
                  </w:pPr>
                  <w:r>
                    <w:rPr>
                      <w:rFonts w:hint="eastAsia" w:ascii="仿宋" w:hAnsi="仿宋" w:eastAsia="仿宋"/>
                      <w:b/>
                      <w:sz w:val="24"/>
                    </w:rPr>
                    <w:t>此处附身份证复印件背面</w:t>
                  </w:r>
                </w:p>
              </w:txbxContent>
            </v:textbox>
          </v:shape>
        </w:pict>
      </w:r>
      <w:r>
        <w:rPr>
          <w:rFonts w:ascii="宋体" w:hAnsi="宋体"/>
          <w:b/>
          <w:sz w:val="24"/>
        </w:rPr>
        <w:pict>
          <v:shape id="_x0000_s1027" o:spid="_x0000_s1027" o:spt="202" type="#_x0000_t202" style="position:absolute;left:0pt;margin-left:2.25pt;margin-top:13.8pt;height:131.25pt;width:198pt;z-index:251660288;mso-width-relative:page;mso-height-relative:page;" coordsize="21600,21600" o:gfxdata="UEsDBAoAAAAAAIdO4kAAAAAAAAAAAAAAAAAEAAAAZHJzL1BLAwQUAAAACACHTuJA+gFmrdcAAAAI&#10;AQAADwAAAGRycy9kb3ducmV2LnhtbE2PwU7DMBBE70j8g7VI3KidqgQa4lQCCSFVHGgKnJ1kiaPG&#10;6xC7Tfh7llM57sxo9k2+mV0vTjiGzpOGZKFAINW+6ajV8L5/vrkHEaKhxvSeUMMPBtgUlxe5yRo/&#10;0Q5PZWwFl1DIjAYb45BJGWqLzoSFH5DY+/KjM5HPsZXNaCYud71cKpVKZzriD9YM+GSxPpRHp2Ff&#10;rrfbIa3eJju/fn9+1I/y8LLT+voqUQ8gIs7xHIY/fEaHgpkqf6QmiF7D6paDGpZ3KQi2V0qxULGw&#10;VgnIIpf/BxS/UEsDBBQAAAAIAIdO4kCh01sjXQIAALcEAAAOAAAAZHJzL2Uyb0RvYy54bWytVM2O&#10;0zAQviPxDpbvbNqo7e5Gm66WVouQlh9p4QFcx0ksbI+x3SblAeANOHHhznPtczB2sqUsIO2BHCJP&#10;ZvzNN9/M5OKy14rshPMSTEmnJxNKhOFQSdOU9P2762dnlPjATMUUGFHSvfD0cvn0yUVnC5FDC6oS&#10;jiCI8UVnS9qGYIss87wVmvkTsMKgswanWUDTNVnlWIfoWmX5ZLLIOnCVdcCF9/h1PTjpiOgeAwh1&#10;LblYA99qYcKA6oRiAUvyrbSeLhPbuhY8vKlrLwJRJcVKQ3pjEjxv4jtbXrCiccy2ko8U2GMoPKhJ&#10;M2kw6QFqzQIjWyf/gNKSO/BQhxMOOhsKSYpgFdPJA21uW2ZFqgWl9vYguv9/sPz17q0jsippTolh&#10;Ght+9/XL3bcfd98/kzzK01lfYNStxbjQP4cehyaV6u0N8A+eGFi1zDTiyjnoWsEqpDeNN7OjqwOO&#10;jyCb7hVUmIdtAySgvnY6aodqEETH1uwPrRF9IBw/5vPpbDFBF0ffdLFYnJ3OUw5W3F+3zocXAjSJ&#10;h5I67H2CZ7sbHyIdVtyHxGwelKyupVLJcM1mpRzZMZyT6/SM6L+FKUO6kp7P8zkSYTj8zlR40hb1&#10;86YZZPkn7iQ9f8ONvNbMt0N+v/drCDGOFVoG3DYldUnPjq8rM+obJR3EDf2mH/u1gWqPSjsY5h23&#10;HQ8tuE+UdDjrSPbjljlBiXppsFvn09ksLkcyZvPTHA137Nkce5jhCFXSQMlwXIVhobbWyabFTMN8&#10;GLjCDtcyaR9HYWA18sZ5Ti0Zdy8uzLGdon79b5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oB&#10;Zq3XAAAACAEAAA8AAAAAAAAAAQAgAAAAIgAAAGRycy9kb3ducmV2LnhtbFBLAQIUABQAAAAIAIdO&#10;4kCh01sjXQIAALcEAAAOAAAAAAAAAAEAIAAAACYBAABkcnMvZTJvRG9jLnhtbFBLBQYAAAAABgAG&#10;AFkBAAD1BQAAAAA=&#10;">
            <v:path/>
            <v:fill focussize="0,0"/>
            <v:stroke dashstyle="1 1" endcap="round"/>
            <v:imagedata o:title=""/>
            <o:lock v:ext="edit"/>
            <v:textbox>
              <w:txbxContent>
                <w:p>
                  <w:pPr>
                    <w:rPr>
                      <w:rFonts w:ascii="仿宋" w:hAnsi="仿宋" w:eastAsia="仿宋"/>
                      <w:b/>
                      <w:sz w:val="24"/>
                    </w:rPr>
                  </w:pPr>
                  <w:r>
                    <w:rPr>
                      <w:rFonts w:hint="eastAsia" w:ascii="仿宋" w:hAnsi="仿宋" w:eastAsia="仿宋"/>
                      <w:b/>
                      <w:sz w:val="24"/>
                    </w:rPr>
                    <w:t>此处附身份证复印件正面</w:t>
                  </w:r>
                </w:p>
              </w:txbxContent>
            </v:textbox>
          </v:shape>
        </w:pict>
      </w:r>
    </w:p>
    <w:p>
      <w:pPr>
        <w:tabs>
          <w:tab w:val="left" w:pos="9135"/>
        </w:tabs>
        <w:spacing w:line="460" w:lineRule="atLeast"/>
        <w:rPr>
          <w:rFonts w:ascii="宋体" w:hAnsi="宋体"/>
          <w:b/>
          <w:sz w:val="30"/>
        </w:rPr>
      </w:pPr>
    </w:p>
    <w:p>
      <w:pPr>
        <w:tabs>
          <w:tab w:val="left" w:pos="9135"/>
        </w:tabs>
        <w:spacing w:line="460" w:lineRule="atLeast"/>
        <w:rPr>
          <w:rFonts w:ascii="宋体" w:hAnsi="宋体"/>
          <w:b/>
          <w:sz w:val="30"/>
        </w:rPr>
      </w:pPr>
    </w:p>
    <w:p>
      <w:pPr>
        <w:tabs>
          <w:tab w:val="left" w:pos="9135"/>
        </w:tabs>
        <w:spacing w:line="460" w:lineRule="atLeast"/>
        <w:rPr>
          <w:rFonts w:ascii="宋体" w:hAnsi="宋体"/>
          <w:b/>
          <w:sz w:val="30"/>
        </w:rPr>
      </w:pPr>
    </w:p>
    <w:p>
      <w:pPr>
        <w:spacing w:line="440" w:lineRule="exact"/>
        <w:ind w:firstLine="482" w:firstLineChars="200"/>
        <w:rPr>
          <w:rFonts w:ascii="宋体" w:hAnsi="宋体"/>
          <w:b/>
          <w:sz w:val="24"/>
          <w:em w:val="dot"/>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pStyle w:val="2"/>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r>
        <w:rPr>
          <w:rFonts w:hint="eastAsia" w:ascii="宋体" w:hAnsi="宋体"/>
          <w:b/>
          <w:sz w:val="30"/>
          <w:szCs w:val="30"/>
        </w:rPr>
        <w:t>（附件三）关于资格的声明函</w:t>
      </w:r>
    </w:p>
    <w:p>
      <w:pPr>
        <w:pStyle w:val="19"/>
        <w:spacing w:line="440" w:lineRule="exact"/>
        <w:rPr>
          <w:rFonts w:ascii="宋体" w:hAnsi="宋体"/>
          <w:sz w:val="24"/>
        </w:rPr>
      </w:pPr>
      <w:r>
        <w:rPr>
          <w:rFonts w:hint="eastAsia" w:ascii="宋体" w:hAnsi="宋体"/>
          <w:sz w:val="24"/>
        </w:rPr>
        <w:t>致：</w:t>
      </w:r>
      <w:r>
        <w:rPr>
          <w:rFonts w:hint="eastAsia" w:ascii="宋体" w:hAnsi="宋体"/>
          <w:sz w:val="24"/>
          <w:lang w:eastAsia="zh-CN"/>
        </w:rPr>
        <w:t>新疆爱满疆工程咨询有限公司</w:t>
      </w:r>
      <w:r>
        <w:rPr>
          <w:rFonts w:hint="eastAsia" w:ascii="宋体" w:hAnsi="宋体"/>
          <w:sz w:val="24"/>
        </w:rPr>
        <w:t>：</w:t>
      </w:r>
    </w:p>
    <w:p>
      <w:pPr>
        <w:pStyle w:val="19"/>
        <w:spacing w:line="440" w:lineRule="exact"/>
        <w:ind w:firstLine="480" w:firstLineChars="200"/>
        <w:rPr>
          <w:rFonts w:ascii="宋体" w:hAnsi="宋体"/>
          <w:sz w:val="24"/>
        </w:rPr>
      </w:pPr>
      <w:r>
        <w:rPr>
          <w:rFonts w:hint="eastAsia" w:ascii="宋体" w:hAnsi="宋体"/>
          <w:sz w:val="24"/>
        </w:rPr>
        <w:t>关于贵方20</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日第</w:t>
      </w:r>
      <w:r>
        <w:rPr>
          <w:rFonts w:hint="eastAsia" w:ascii="宋体" w:hAnsi="宋体"/>
          <w:sz w:val="24"/>
          <w:u w:val="single"/>
        </w:rPr>
        <w:t xml:space="preserve">  </w:t>
      </w:r>
      <w:r>
        <w:rPr>
          <w:rFonts w:hint="eastAsia" w:ascii="宋体" w:hAnsi="宋体"/>
          <w:sz w:val="24"/>
          <w:u w:val="single"/>
          <w:lang w:eastAsia="zh-CN"/>
        </w:rPr>
        <w:t>AMJ-KSDX-DYLY[2022]025号</w:t>
      </w:r>
      <w:r>
        <w:rPr>
          <w:rFonts w:hint="eastAsia" w:ascii="宋体" w:hAnsi="宋体"/>
          <w:sz w:val="24"/>
        </w:rPr>
        <w:t>招标公告关于</w:t>
      </w:r>
      <w:r>
        <w:rPr>
          <w:rFonts w:hint="eastAsia" w:ascii="宋体" w:hAnsi="宋体"/>
          <w:sz w:val="24"/>
          <w:u w:val="single"/>
        </w:rPr>
        <w:t>“</w:t>
      </w:r>
      <w:r>
        <w:rPr>
          <w:rFonts w:hint="eastAsia" w:ascii="宋体" w:hAnsi="宋体"/>
          <w:sz w:val="24"/>
          <w:u w:val="single"/>
          <w:lang w:eastAsia="zh-CN"/>
        </w:rPr>
        <w:t>喀什大学图书馆数据库采购项目</w:t>
      </w:r>
      <w:r>
        <w:rPr>
          <w:rFonts w:hint="eastAsia" w:ascii="宋体" w:hAnsi="宋体"/>
          <w:sz w:val="24"/>
          <w:u w:val="single"/>
        </w:rPr>
        <w:t>”</w:t>
      </w:r>
      <w:r>
        <w:rPr>
          <w:rFonts w:hint="eastAsia" w:ascii="宋体" w:hAnsi="宋体"/>
          <w:sz w:val="24"/>
          <w:u w:val="single"/>
          <w:lang w:eastAsia="zh-CN"/>
        </w:rPr>
        <w:t>（</w:t>
      </w:r>
      <w:r>
        <w:rPr>
          <w:rFonts w:hint="eastAsia" w:ascii="宋体" w:hAnsi="宋体"/>
          <w:sz w:val="24"/>
          <w:u w:val="single"/>
          <w:lang w:val="en-US" w:eastAsia="zh-CN"/>
        </w:rPr>
        <w:t>标项号</w:t>
      </w:r>
      <w:r>
        <w:rPr>
          <w:rFonts w:hint="eastAsia" w:ascii="宋体" w:hAnsi="宋体"/>
          <w:sz w:val="24"/>
          <w:u w:val="single"/>
          <w:lang w:eastAsia="zh-CN"/>
        </w:rPr>
        <w:t>）</w:t>
      </w:r>
      <w:r>
        <w:rPr>
          <w:rFonts w:hint="eastAsia" w:ascii="宋体" w:hAnsi="宋体"/>
          <w:sz w:val="24"/>
        </w:rPr>
        <w:t>的招标项目，本签字人愿意参加投标，并有能力提供</w:t>
      </w:r>
      <w:r>
        <w:rPr>
          <w:rFonts w:hint="eastAsia" w:ascii="宋体" w:hAnsi="宋体"/>
          <w:sz w:val="24"/>
          <w:u w:val="single"/>
          <w:lang w:eastAsia="zh-CN"/>
        </w:rPr>
        <w:t>喀什大学图书馆数据库采购项目（</w:t>
      </w:r>
      <w:r>
        <w:rPr>
          <w:rFonts w:hint="eastAsia" w:ascii="宋体" w:hAnsi="宋体"/>
          <w:sz w:val="24"/>
          <w:u w:val="single"/>
          <w:lang w:val="en-US" w:eastAsia="zh-CN"/>
        </w:rPr>
        <w:t>标项号</w:t>
      </w:r>
      <w:r>
        <w:rPr>
          <w:rFonts w:hint="eastAsia" w:ascii="宋体" w:hAnsi="宋体"/>
          <w:sz w:val="24"/>
          <w:u w:val="single"/>
          <w:lang w:eastAsia="zh-CN"/>
        </w:rPr>
        <w:t>）</w:t>
      </w:r>
      <w:r>
        <w:rPr>
          <w:rFonts w:hint="eastAsia" w:ascii="宋体" w:hAnsi="宋体"/>
          <w:sz w:val="24"/>
        </w:rPr>
        <w:t>中的招标相关服务，并保证所提交的所有文件和说明是真实和准确的。</w:t>
      </w:r>
    </w:p>
    <w:p>
      <w:pPr>
        <w:pStyle w:val="19"/>
        <w:spacing w:line="440" w:lineRule="exact"/>
        <w:rPr>
          <w:rFonts w:ascii="宋体" w:hAnsi="宋体"/>
          <w:sz w:val="24"/>
          <w:u w:val="single"/>
        </w:rPr>
      </w:pPr>
      <w:r>
        <w:rPr>
          <w:rFonts w:hint="eastAsia" w:ascii="宋体" w:hAnsi="宋体"/>
          <w:sz w:val="24"/>
        </w:rPr>
        <w:t>投标人：</w:t>
      </w:r>
      <w:r>
        <w:rPr>
          <w:rFonts w:hint="eastAsia" w:ascii="宋体" w:hAnsi="宋体"/>
          <w:sz w:val="24"/>
          <w:u w:val="single"/>
        </w:rPr>
        <w:t>　投标人名称        　</w:t>
      </w:r>
      <w:r>
        <w:rPr>
          <w:rFonts w:hint="eastAsia" w:ascii="宋体" w:hAnsi="宋体"/>
          <w:sz w:val="24"/>
        </w:rPr>
        <w:t>　签字人姓名、职务：</w:t>
      </w:r>
      <w:r>
        <w:rPr>
          <w:rFonts w:hint="eastAsia" w:ascii="宋体" w:hAnsi="宋体"/>
          <w:sz w:val="24"/>
          <w:u w:val="single"/>
        </w:rPr>
        <w:t xml:space="preserve">（代理（被授权人）签字或盖章）               </w:t>
      </w:r>
    </w:p>
    <w:p>
      <w:pPr>
        <w:pStyle w:val="19"/>
        <w:spacing w:line="440" w:lineRule="exact"/>
        <w:rPr>
          <w:rFonts w:ascii="宋体" w:hAnsi="宋体"/>
          <w:sz w:val="24"/>
          <w:u w:val="single"/>
        </w:rPr>
      </w:pPr>
      <w:r>
        <w:rPr>
          <w:rFonts w:hint="eastAsia" w:ascii="宋体" w:hAnsi="宋体"/>
          <w:sz w:val="24"/>
        </w:rPr>
        <w:t>地址：</w:t>
      </w:r>
      <w:r>
        <w:rPr>
          <w:rFonts w:hint="eastAsia" w:ascii="宋体" w:hAnsi="宋体"/>
          <w:sz w:val="24"/>
          <w:u w:val="single"/>
        </w:rPr>
        <w:t>　　　　　　　　　　　　</w:t>
      </w:r>
      <w:r>
        <w:rPr>
          <w:rFonts w:hint="eastAsia" w:ascii="宋体" w:hAnsi="宋体"/>
          <w:sz w:val="24"/>
        </w:rPr>
        <w:t>　授权签署本资格文件人：</w:t>
      </w:r>
      <w:r>
        <w:rPr>
          <w:rFonts w:hint="eastAsia" w:ascii="宋体" w:hAnsi="宋体"/>
          <w:sz w:val="24"/>
          <w:u w:val="single"/>
        </w:rPr>
        <w:t xml:space="preserve">（法人签字或盖章）  </w:t>
      </w:r>
    </w:p>
    <w:p>
      <w:pPr>
        <w:pStyle w:val="19"/>
        <w:spacing w:line="440" w:lineRule="exact"/>
        <w:rPr>
          <w:rFonts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w:t>
      </w:r>
    </w:p>
    <w:p>
      <w:pPr>
        <w:pStyle w:val="19"/>
        <w:spacing w:line="440" w:lineRule="exact"/>
        <w:rPr>
          <w:rFonts w:ascii="宋体" w:hAnsi="宋体"/>
          <w:sz w:val="24"/>
          <w:u w:val="single"/>
        </w:rPr>
      </w:pPr>
      <w:r>
        <w:rPr>
          <w:rFonts w:hint="eastAsia" w:ascii="宋体" w:hAnsi="宋体"/>
          <w:sz w:val="24"/>
        </w:rPr>
        <w:t>邮编：</w:t>
      </w:r>
      <w:r>
        <w:rPr>
          <w:rFonts w:hint="eastAsia" w:ascii="宋体" w:hAnsi="宋体"/>
          <w:sz w:val="24"/>
          <w:u w:val="single"/>
        </w:rPr>
        <w:t>　　　　　　　　　　　　</w:t>
      </w:r>
      <w:r>
        <w:rPr>
          <w:rFonts w:hint="eastAsia" w:ascii="宋体" w:hAnsi="宋体"/>
          <w:sz w:val="24"/>
        </w:rPr>
        <w:t>　电话：</w:t>
      </w:r>
      <w:r>
        <w:rPr>
          <w:rFonts w:hint="eastAsia" w:ascii="宋体" w:hAnsi="宋体"/>
          <w:sz w:val="24"/>
          <w:u w:val="single"/>
        </w:rPr>
        <w:t>　　　　　　　　</w:t>
      </w:r>
    </w:p>
    <w:p>
      <w:pPr>
        <w:spacing w:line="440" w:lineRule="exact"/>
        <w:ind w:firstLine="6240" w:firstLineChars="2600"/>
        <w:rPr>
          <w:rFonts w:ascii="宋体" w:hAnsi="宋体"/>
          <w:sz w:val="24"/>
        </w:rPr>
      </w:pPr>
      <w:r>
        <w:rPr>
          <w:rFonts w:hint="eastAsia" w:ascii="宋体" w:hAnsi="宋体"/>
          <w:sz w:val="24"/>
        </w:rPr>
        <w:t>（单位公章）</w:t>
      </w:r>
    </w:p>
    <w:p>
      <w:pPr>
        <w:spacing w:line="440" w:lineRule="exact"/>
        <w:ind w:firstLine="5880" w:firstLineChars="2450"/>
        <w:rPr>
          <w:rFonts w:ascii="宋体" w:hAnsi="宋体"/>
          <w:sz w:val="24"/>
        </w:rPr>
      </w:pPr>
      <w:r>
        <w:rPr>
          <w:rFonts w:hint="eastAsia" w:ascii="宋体" w:hAnsi="宋体"/>
          <w:sz w:val="24"/>
        </w:rPr>
        <w:t>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spacing w:line="440" w:lineRule="exact"/>
        <w:rPr>
          <w:rFonts w:ascii="宋体" w:hAnsi="宋体"/>
          <w:b/>
          <w:sz w:val="32"/>
          <w:szCs w:val="32"/>
        </w:rPr>
      </w:pPr>
    </w:p>
    <w:p>
      <w:pPr>
        <w:pStyle w:val="2"/>
      </w:pPr>
    </w:p>
    <w:p>
      <w:pPr>
        <w:spacing w:line="440" w:lineRule="exact"/>
        <w:rPr>
          <w:rFonts w:ascii="宋体" w:hAnsi="宋体"/>
          <w:b/>
          <w:sz w:val="32"/>
          <w:szCs w:val="32"/>
        </w:rPr>
      </w:pPr>
    </w:p>
    <w:p>
      <w:pPr>
        <w:spacing w:line="460" w:lineRule="atLeast"/>
        <w:ind w:firstLine="2846" w:firstLineChars="945"/>
        <w:rPr>
          <w:rFonts w:ascii="宋体" w:hAnsi="宋体"/>
          <w:b/>
          <w:bCs/>
          <w:sz w:val="30"/>
          <w:szCs w:val="30"/>
        </w:rPr>
      </w:pPr>
      <w:r>
        <w:rPr>
          <w:rFonts w:hint="eastAsia" w:ascii="宋体" w:hAnsi="宋体"/>
          <w:b/>
          <w:sz w:val="30"/>
          <w:szCs w:val="30"/>
        </w:rPr>
        <w:t>（附件四）</w:t>
      </w:r>
      <w:r>
        <w:rPr>
          <w:rFonts w:hint="eastAsia" w:ascii="宋体" w:hAnsi="宋体"/>
          <w:b/>
          <w:bCs/>
          <w:sz w:val="30"/>
          <w:szCs w:val="30"/>
        </w:rPr>
        <w:t>开标一览表</w:t>
      </w:r>
    </w:p>
    <w:p>
      <w:pPr>
        <w:pStyle w:val="85"/>
        <w:spacing w:line="440" w:lineRule="exact"/>
        <w:ind w:left="210" w:leftChars="-86" w:hanging="391" w:hangingChars="163"/>
        <w:jc w:val="both"/>
        <w:rPr>
          <w:rFonts w:ascii="宋体" w:hAnsi="宋体"/>
          <w:color w:val="auto"/>
        </w:rPr>
      </w:pPr>
      <w:r>
        <w:rPr>
          <w:rFonts w:hint="eastAsia" w:ascii="宋体" w:hAnsi="宋体"/>
          <w:color w:val="auto"/>
        </w:rPr>
        <w:t>招标项目名称：</w:t>
      </w:r>
      <w:r>
        <w:rPr>
          <w:rFonts w:ascii="宋体" w:hAnsi="宋体" w:cs="宋体"/>
          <w:color w:val="auto"/>
        </w:rPr>
        <w:t xml:space="preserve">                          </w:t>
      </w:r>
      <w:r>
        <w:rPr>
          <w:rFonts w:hint="eastAsia" w:ascii="宋体" w:hAnsi="宋体"/>
          <w:color w:val="auto"/>
        </w:rPr>
        <w:t>投标单位名称（公章）：</w:t>
      </w:r>
      <w:r>
        <w:rPr>
          <w:rFonts w:ascii="宋体" w:hAnsi="宋体"/>
          <w:color w:val="auto"/>
          <w:u w:val="single"/>
        </w:rPr>
        <w:t xml:space="preserve">                         </w:t>
      </w:r>
      <w:r>
        <w:rPr>
          <w:rFonts w:ascii="宋体" w:hAnsi="宋体"/>
          <w:color w:val="auto"/>
        </w:rPr>
        <w:t xml:space="preserve">   </w:t>
      </w:r>
    </w:p>
    <w:p>
      <w:pPr>
        <w:pStyle w:val="85"/>
        <w:spacing w:line="440" w:lineRule="exact"/>
        <w:ind w:left="210" w:leftChars="-86" w:hanging="391" w:hangingChars="163"/>
        <w:jc w:val="both"/>
        <w:rPr>
          <w:rFonts w:hint="eastAsia" w:ascii="宋体" w:hAnsi="宋体" w:eastAsia="宋体"/>
          <w:color w:val="auto"/>
          <w:lang w:val="en-US" w:eastAsia="zh-CN"/>
        </w:rPr>
      </w:pPr>
      <w:r>
        <w:rPr>
          <w:rFonts w:hint="eastAsia" w:ascii="宋体" w:hAnsi="宋体"/>
          <w:color w:val="auto"/>
        </w:rPr>
        <w:t>招标编号：</w:t>
      </w:r>
      <w:r>
        <w:rPr>
          <w:rFonts w:ascii="宋体" w:hAnsi="宋体"/>
          <w:color w:val="auto"/>
        </w:rPr>
        <w:t xml:space="preserve">                              </w:t>
      </w:r>
      <w:r>
        <w:rPr>
          <w:rFonts w:hint="eastAsia" w:ascii="宋体" w:hAnsi="宋体"/>
          <w:color w:val="auto"/>
          <w:lang w:val="en-US" w:eastAsia="zh-CN"/>
        </w:rPr>
        <w:t>标项号：</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85"/>
              <w:spacing w:line="440" w:lineRule="exact"/>
              <w:jc w:val="both"/>
              <w:rPr>
                <w:rFonts w:ascii="宋体" w:hAnsi="宋体"/>
                <w:color w:val="auto"/>
              </w:rPr>
            </w:pPr>
            <w:r>
              <w:rPr>
                <w:rFonts w:hint="eastAsia" w:ascii="宋体" w:hAnsi="宋体"/>
                <w:color w:val="auto"/>
              </w:rPr>
              <w:t>投标人名称</w:t>
            </w:r>
          </w:p>
        </w:tc>
        <w:tc>
          <w:tcPr>
            <w:tcW w:w="8126" w:type="dxa"/>
          </w:tcPr>
          <w:p>
            <w:pPr>
              <w:pStyle w:val="85"/>
              <w:spacing w:line="440" w:lineRule="exact"/>
              <w:jc w:val="both"/>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vAlign w:val="center"/>
          </w:tcPr>
          <w:p>
            <w:pPr>
              <w:pStyle w:val="85"/>
              <w:spacing w:line="440" w:lineRule="exact"/>
              <w:jc w:val="center"/>
              <w:rPr>
                <w:rFonts w:ascii="宋体" w:hAnsi="宋体"/>
                <w:b/>
                <w:color w:val="auto"/>
              </w:rPr>
            </w:pPr>
            <w:r>
              <w:rPr>
                <w:rFonts w:hint="eastAsia" w:ascii="宋体" w:hAnsi="宋体"/>
                <w:b/>
                <w:color w:val="auto"/>
              </w:rPr>
              <w:t>投标报价</w:t>
            </w:r>
          </w:p>
        </w:tc>
        <w:tc>
          <w:tcPr>
            <w:tcW w:w="8126" w:type="dxa"/>
          </w:tcPr>
          <w:p>
            <w:pPr>
              <w:pStyle w:val="85"/>
              <w:spacing w:line="440" w:lineRule="exact"/>
              <w:jc w:val="both"/>
              <w:rPr>
                <w:rFonts w:ascii="宋体" w:hAnsi="宋体"/>
                <w:color w:val="auto"/>
              </w:rPr>
            </w:pPr>
            <w:r>
              <w:rPr>
                <w:rFonts w:hint="eastAsia" w:ascii="宋体" w:hAnsi="宋体"/>
                <w:color w:val="auto"/>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Pr>
          <w:p>
            <w:pPr>
              <w:pStyle w:val="85"/>
              <w:spacing w:line="440" w:lineRule="exact"/>
              <w:jc w:val="both"/>
              <w:rPr>
                <w:rFonts w:ascii="宋体" w:hAnsi="宋体"/>
                <w:color w:val="auto"/>
              </w:rPr>
            </w:pPr>
          </w:p>
        </w:tc>
        <w:tc>
          <w:tcPr>
            <w:tcW w:w="8126" w:type="dxa"/>
          </w:tcPr>
          <w:p>
            <w:pPr>
              <w:pStyle w:val="85"/>
              <w:spacing w:line="440" w:lineRule="exact"/>
              <w:jc w:val="both"/>
              <w:rPr>
                <w:rFonts w:ascii="宋体" w:hAnsi="宋体"/>
                <w:color w:val="auto"/>
              </w:rPr>
            </w:pPr>
            <w:r>
              <w:rPr>
                <w:rFonts w:hint="eastAsia" w:ascii="宋体" w:hAnsi="宋体"/>
                <w:color w:val="auto"/>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85"/>
              <w:spacing w:line="440" w:lineRule="exact"/>
              <w:ind w:firstLine="120" w:firstLineChars="50"/>
              <w:jc w:val="center"/>
              <w:rPr>
                <w:rFonts w:ascii="宋体" w:hAnsi="宋体"/>
                <w:color w:val="auto"/>
              </w:rPr>
            </w:pPr>
            <w:r>
              <w:rPr>
                <w:rFonts w:hint="eastAsia" w:ascii="宋体" w:hAnsi="宋体"/>
                <w:color w:val="auto"/>
              </w:rPr>
              <w:t>履约地点</w:t>
            </w:r>
          </w:p>
        </w:tc>
        <w:tc>
          <w:tcPr>
            <w:tcW w:w="8126" w:type="dxa"/>
          </w:tcPr>
          <w:p>
            <w:pPr>
              <w:pStyle w:val="85"/>
              <w:spacing w:line="440" w:lineRule="exact"/>
              <w:jc w:val="both"/>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85"/>
              <w:spacing w:line="440" w:lineRule="exact"/>
              <w:ind w:firstLine="120" w:firstLineChars="50"/>
              <w:jc w:val="center"/>
              <w:rPr>
                <w:rFonts w:hint="eastAsia" w:ascii="宋体" w:hAnsi="宋体"/>
                <w:color w:val="auto"/>
              </w:rPr>
            </w:pPr>
          </w:p>
        </w:tc>
        <w:tc>
          <w:tcPr>
            <w:tcW w:w="8126" w:type="dxa"/>
          </w:tcPr>
          <w:p>
            <w:pPr>
              <w:pStyle w:val="85"/>
              <w:spacing w:line="440" w:lineRule="exact"/>
              <w:jc w:val="both"/>
              <w:rPr>
                <w:rFonts w:ascii="宋体" w:hAnsi="宋体"/>
                <w:color w:val="auto"/>
              </w:rPr>
            </w:pPr>
          </w:p>
        </w:tc>
      </w:tr>
    </w:tbl>
    <w:p>
      <w:pPr>
        <w:pStyle w:val="85"/>
        <w:spacing w:line="440" w:lineRule="exact"/>
        <w:rPr>
          <w:rFonts w:ascii="宋体" w:hAnsi="宋体"/>
          <w:color w:val="auto"/>
        </w:rPr>
      </w:pPr>
      <w:r>
        <w:rPr>
          <w:rFonts w:hint="eastAsia" w:ascii="宋体" w:hAnsi="宋体"/>
          <w:color w:val="auto"/>
        </w:rPr>
        <w:t>兹声明：以上投标报价在投标有效期内一直有效。</w:t>
      </w:r>
    </w:p>
    <w:p>
      <w:pPr>
        <w:spacing w:line="440" w:lineRule="exact"/>
        <w:rPr>
          <w:rFonts w:ascii="宋体" w:hAnsi="宋体"/>
          <w:bCs/>
          <w:sz w:val="24"/>
          <w:szCs w:val="24"/>
        </w:rPr>
      </w:pPr>
      <w:r>
        <w:rPr>
          <w:rFonts w:hint="eastAsia" w:ascii="宋体" w:hAnsi="宋体"/>
          <w:bCs/>
          <w:sz w:val="24"/>
          <w:szCs w:val="24"/>
        </w:rPr>
        <w:t>投标人名称（加盖公章）：</w:t>
      </w:r>
      <w:r>
        <w:rPr>
          <w:rFonts w:ascii="宋体" w:hAnsi="宋体"/>
          <w:bCs/>
          <w:sz w:val="24"/>
          <w:szCs w:val="24"/>
          <w:u w:val="single"/>
        </w:rPr>
        <w:t xml:space="preserve">                               </w:t>
      </w:r>
    </w:p>
    <w:p>
      <w:pPr>
        <w:spacing w:line="440" w:lineRule="exact"/>
        <w:rPr>
          <w:rFonts w:ascii="宋体" w:hAnsi="宋体"/>
          <w:bCs/>
          <w:sz w:val="24"/>
          <w:szCs w:val="24"/>
        </w:rPr>
      </w:pPr>
      <w:r>
        <w:rPr>
          <w:rFonts w:hint="eastAsia" w:ascii="宋体" w:hAnsi="宋体"/>
          <w:bCs/>
          <w:sz w:val="24"/>
          <w:szCs w:val="24"/>
        </w:rPr>
        <w:t>代理（被授权人）签字：</w:t>
      </w:r>
      <w:r>
        <w:rPr>
          <w:rFonts w:ascii="宋体" w:hAnsi="宋体"/>
          <w:bCs/>
          <w:sz w:val="24"/>
          <w:szCs w:val="24"/>
          <w:u w:val="single"/>
        </w:rPr>
        <w:t xml:space="preserve">                  </w:t>
      </w:r>
    </w:p>
    <w:p>
      <w:pPr>
        <w:spacing w:line="440" w:lineRule="exact"/>
        <w:rPr>
          <w:rFonts w:ascii="宋体" w:hAnsi="宋体"/>
          <w:bCs/>
          <w:sz w:val="24"/>
          <w:szCs w:val="24"/>
        </w:rPr>
      </w:pPr>
      <w:r>
        <w:rPr>
          <w:rFonts w:hint="eastAsia" w:ascii="宋体" w:hAnsi="宋体"/>
          <w:bCs/>
          <w:sz w:val="24"/>
          <w:szCs w:val="24"/>
        </w:rPr>
        <w:t>日期：</w:t>
      </w:r>
      <w:r>
        <w:rPr>
          <w:rFonts w:ascii="宋体" w:hAnsi="宋体"/>
          <w:bCs/>
          <w:sz w:val="24"/>
          <w:szCs w:val="24"/>
          <w:u w:val="single"/>
        </w:rPr>
        <w:t xml:space="preserve">       </w:t>
      </w:r>
      <w:r>
        <w:rPr>
          <w:rFonts w:hint="eastAsia" w:ascii="宋体" w:hAnsi="宋体"/>
          <w:bCs/>
          <w:sz w:val="24"/>
          <w:szCs w:val="24"/>
        </w:rPr>
        <w:t>年</w:t>
      </w:r>
      <w:r>
        <w:rPr>
          <w:rFonts w:ascii="宋体" w:hAnsi="宋体"/>
          <w:bCs/>
          <w:sz w:val="24"/>
          <w:szCs w:val="24"/>
          <w:u w:val="single"/>
        </w:rPr>
        <w:t xml:space="preserve">       </w:t>
      </w:r>
      <w:r>
        <w:rPr>
          <w:rFonts w:hint="eastAsia" w:ascii="宋体" w:hAnsi="宋体"/>
          <w:bCs/>
          <w:sz w:val="24"/>
          <w:szCs w:val="24"/>
        </w:rPr>
        <w:t>月</w:t>
      </w:r>
      <w:r>
        <w:rPr>
          <w:rFonts w:ascii="宋体" w:hAnsi="宋体"/>
          <w:bCs/>
          <w:sz w:val="24"/>
          <w:szCs w:val="24"/>
          <w:u w:val="single"/>
        </w:rPr>
        <w:t xml:space="preserve">       </w:t>
      </w:r>
      <w:r>
        <w:rPr>
          <w:rFonts w:hint="eastAsia" w:ascii="宋体" w:hAnsi="宋体"/>
          <w:bCs/>
          <w:sz w:val="24"/>
          <w:szCs w:val="24"/>
        </w:rPr>
        <w:t>日</w:t>
      </w:r>
    </w:p>
    <w:p>
      <w:pPr>
        <w:spacing w:line="440" w:lineRule="exact"/>
        <w:rPr>
          <w:rFonts w:ascii="宋体" w:hAnsi="宋体"/>
          <w:b/>
          <w:bCs/>
          <w:sz w:val="24"/>
          <w:szCs w:val="24"/>
        </w:rPr>
      </w:pPr>
      <w:r>
        <w:rPr>
          <w:rFonts w:hint="eastAsia" w:ascii="宋体" w:hAnsi="宋体"/>
          <w:b/>
          <w:bCs/>
          <w:sz w:val="24"/>
          <w:szCs w:val="24"/>
        </w:rPr>
        <w:t>注：</w:t>
      </w:r>
      <w:r>
        <w:rPr>
          <w:rFonts w:ascii="宋体" w:hAnsi="宋体"/>
          <w:b/>
          <w:bCs/>
          <w:sz w:val="24"/>
          <w:szCs w:val="24"/>
        </w:rPr>
        <w:t>1</w:t>
      </w:r>
      <w:r>
        <w:rPr>
          <w:rFonts w:hint="eastAsia" w:ascii="宋体" w:hAnsi="宋体"/>
          <w:b/>
          <w:bCs/>
          <w:sz w:val="24"/>
          <w:szCs w:val="24"/>
          <w:lang w:eastAsia="zh-CN"/>
        </w:rPr>
        <w:t>、</w:t>
      </w:r>
      <w:r>
        <w:rPr>
          <w:rFonts w:hint="eastAsia" w:ascii="宋体" w:hAnsi="宋体"/>
          <w:b/>
          <w:bCs/>
          <w:sz w:val="24"/>
          <w:szCs w:val="24"/>
        </w:rPr>
        <w:t>此表中，每包的投标总价应和投标分项报价表的总价相一致。</w:t>
      </w:r>
    </w:p>
    <w:p>
      <w:pPr>
        <w:spacing w:line="440" w:lineRule="exact"/>
        <w:rPr>
          <w:rFonts w:ascii="宋体" w:hAnsi="宋体"/>
          <w:b/>
          <w:bCs/>
          <w:sz w:val="24"/>
          <w:szCs w:val="24"/>
        </w:rPr>
      </w:pPr>
      <w:r>
        <w:rPr>
          <w:rFonts w:hint="eastAsia" w:ascii="宋体" w:hAnsi="宋体"/>
          <w:b/>
          <w:bCs/>
          <w:sz w:val="24"/>
          <w:szCs w:val="24"/>
        </w:rPr>
        <w:t xml:space="preserve">    </w:t>
      </w:r>
      <w:r>
        <w:rPr>
          <w:rFonts w:ascii="宋体" w:hAnsi="宋体"/>
          <w:b/>
          <w:bCs/>
          <w:sz w:val="24"/>
          <w:szCs w:val="24"/>
        </w:rPr>
        <w:t>2</w:t>
      </w:r>
      <w:r>
        <w:rPr>
          <w:rFonts w:hint="eastAsia" w:ascii="宋体" w:hAnsi="宋体"/>
          <w:b/>
          <w:bCs/>
          <w:sz w:val="24"/>
          <w:szCs w:val="24"/>
        </w:rPr>
        <w:t>、本供应商报价时包含税费、运费等一切与本次项目相关的费用。</w:t>
      </w:r>
    </w:p>
    <w:p>
      <w:pPr>
        <w:spacing w:beforeLines="50" w:afterLines="50"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pStyle w:val="2"/>
      </w:pPr>
    </w:p>
    <w:p>
      <w:pPr>
        <w:spacing w:line="440" w:lineRule="exact"/>
        <w:jc w:val="center"/>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（附件五）明细报价表</w:t>
      </w:r>
    </w:p>
    <w:p>
      <w:pPr>
        <w:spacing w:line="440" w:lineRule="exact"/>
        <w:rPr>
          <w:rFonts w:ascii="宋体" w:hAnsi="宋体"/>
        </w:rPr>
      </w:pPr>
      <w:r>
        <w:rPr>
          <w:rFonts w:hint="eastAsia" w:ascii="宋体" w:hAnsi="宋体"/>
        </w:rPr>
        <w:t>招标项目名称：</w:t>
      </w:r>
      <w:r>
        <w:rPr>
          <w:rFonts w:ascii="宋体" w:hAnsi="宋体" w:cs="宋体"/>
        </w:rPr>
        <w:t xml:space="preserve">                          </w:t>
      </w:r>
      <w:r>
        <w:rPr>
          <w:rFonts w:hint="eastAsia" w:ascii="宋体" w:hAnsi="宋体"/>
        </w:rPr>
        <w:t>投标单位名称（公章）：</w:t>
      </w:r>
      <w:r>
        <w:rPr>
          <w:rFonts w:ascii="宋体" w:hAnsi="宋体"/>
          <w:u w:val="single"/>
        </w:rPr>
        <w:t xml:space="preserve">                         </w:t>
      </w:r>
      <w:r>
        <w:rPr>
          <w:rFonts w:ascii="宋体" w:hAnsi="宋体"/>
        </w:rPr>
        <w:t xml:space="preserve">   </w:t>
      </w:r>
    </w:p>
    <w:p>
      <w:pPr>
        <w:pStyle w:val="85"/>
        <w:spacing w:line="440" w:lineRule="exact"/>
        <w:ind w:left="180" w:leftChars="14" w:hanging="151" w:hangingChars="63"/>
        <w:jc w:val="both"/>
        <w:rPr>
          <w:rFonts w:hint="eastAsia" w:ascii="宋体" w:hAnsi="宋体" w:eastAsia="宋体"/>
          <w:color w:val="auto"/>
          <w:lang w:val="en-US" w:eastAsia="zh-CN"/>
        </w:rPr>
      </w:pPr>
      <w:r>
        <w:rPr>
          <w:rFonts w:hint="eastAsia" w:ascii="宋体" w:hAnsi="宋体"/>
          <w:color w:val="auto"/>
        </w:rPr>
        <w:t>招标编号：</w:t>
      </w:r>
      <w:r>
        <w:rPr>
          <w:rFonts w:ascii="宋体" w:hAnsi="宋体"/>
          <w:color w:val="auto"/>
        </w:rPr>
        <w:t xml:space="preserve">                         </w:t>
      </w:r>
      <w:r>
        <w:rPr>
          <w:rFonts w:hint="eastAsia" w:ascii="宋体" w:hAnsi="宋体"/>
          <w:color w:val="auto"/>
          <w:lang w:val="en-US" w:eastAsia="zh-CN"/>
        </w:rPr>
        <w:t>标项号：</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698"/>
        <w:gridCol w:w="203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44"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 号</w:t>
            </w:r>
          </w:p>
        </w:tc>
        <w:tc>
          <w:tcPr>
            <w:tcW w:w="2698" w:type="dxa"/>
            <w:vAlign w:val="center"/>
          </w:tcPr>
          <w:p>
            <w:pPr>
              <w:widowControl/>
              <w:jc w:val="both"/>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名称</w:t>
            </w:r>
          </w:p>
        </w:tc>
        <w:tc>
          <w:tcPr>
            <w:tcW w:w="2032" w:type="dxa"/>
            <w:vAlign w:val="center"/>
          </w:tcPr>
          <w:p>
            <w:pPr>
              <w:jc w:val="center"/>
              <w:rPr>
                <w:rFonts w:hint="eastAsia" w:ascii="宋体" w:hAnsi="宋体" w:eastAsia="宋体" w:cs="宋体"/>
                <w:b/>
                <w:bCs/>
                <w:sz w:val="24"/>
                <w:szCs w:val="24"/>
                <w:lang w:eastAsia="zh-CN"/>
              </w:rPr>
            </w:pPr>
            <w:r>
              <w:rPr>
                <w:rFonts w:hint="eastAsia" w:ascii="宋体" w:hAnsi="宋体"/>
                <w:b/>
                <w:bCs/>
                <w:sz w:val="24"/>
                <w:szCs w:val="24"/>
                <w:lang w:eastAsia="zh-CN"/>
              </w:rPr>
              <w:t>报价</w:t>
            </w:r>
          </w:p>
        </w:tc>
        <w:tc>
          <w:tcPr>
            <w:tcW w:w="3780" w:type="dxa"/>
            <w:vAlign w:val="center"/>
          </w:tcPr>
          <w:p>
            <w:pPr>
              <w:jc w:val="center"/>
              <w:rPr>
                <w:rFonts w:hint="eastAsia" w:ascii="宋体" w:hAnsi="宋体" w:eastAsia="宋体" w:cs="宋体"/>
                <w:b/>
                <w:bCs/>
                <w:sz w:val="24"/>
                <w:szCs w:val="24"/>
                <w:lang w:eastAsia="zh-CN"/>
              </w:rPr>
            </w:pPr>
            <w:r>
              <w:rPr>
                <w:rFonts w:hint="eastAsia" w:ascii="宋体" w:hAnsi="宋体"/>
                <w:b/>
                <w:bCs/>
                <w:sz w:val="24"/>
                <w:szCs w:val="24"/>
                <w:lang w:eastAsia="zh-CN"/>
              </w:rPr>
              <w:t>备注</w:t>
            </w:r>
          </w:p>
          <w:p>
            <w:pPr>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4" w:type="dxa"/>
            <w:vAlign w:val="center"/>
          </w:tcPr>
          <w:p>
            <w:pPr>
              <w:jc w:val="center"/>
              <w:rPr>
                <w:rFonts w:ascii="宋体" w:hAnsi="宋体" w:cs="宋体"/>
                <w:sz w:val="24"/>
                <w:szCs w:val="24"/>
              </w:rPr>
            </w:pPr>
            <w:r>
              <w:rPr>
                <w:rFonts w:hint="eastAsia" w:ascii="宋体" w:hAnsi="宋体"/>
                <w:sz w:val="24"/>
                <w:szCs w:val="24"/>
              </w:rPr>
              <w:t>1</w:t>
            </w:r>
          </w:p>
        </w:tc>
        <w:tc>
          <w:tcPr>
            <w:tcW w:w="2698" w:type="dxa"/>
            <w:vAlign w:val="center"/>
          </w:tcPr>
          <w:p>
            <w:pPr>
              <w:jc w:val="center"/>
              <w:rPr>
                <w:rFonts w:ascii="宋体" w:hAnsi="宋体" w:cs="宋体"/>
                <w:sz w:val="24"/>
                <w:szCs w:val="24"/>
              </w:rPr>
            </w:pPr>
          </w:p>
        </w:tc>
        <w:tc>
          <w:tcPr>
            <w:tcW w:w="2032" w:type="dxa"/>
            <w:vAlign w:val="center"/>
          </w:tcPr>
          <w:p>
            <w:pPr>
              <w:jc w:val="center"/>
              <w:rPr>
                <w:rFonts w:ascii="宋体" w:hAnsi="宋体" w:cs="宋体"/>
                <w:sz w:val="24"/>
                <w:szCs w:val="24"/>
              </w:rPr>
            </w:pPr>
          </w:p>
        </w:tc>
        <w:tc>
          <w:tcPr>
            <w:tcW w:w="378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4" w:type="dxa"/>
            <w:vAlign w:val="center"/>
          </w:tcPr>
          <w:p>
            <w:pPr>
              <w:jc w:val="center"/>
              <w:rPr>
                <w:rFonts w:ascii="宋体" w:hAnsi="宋体" w:cs="宋体"/>
                <w:sz w:val="24"/>
                <w:szCs w:val="24"/>
              </w:rPr>
            </w:pPr>
            <w:r>
              <w:rPr>
                <w:rFonts w:hint="eastAsia" w:ascii="宋体" w:hAnsi="宋体"/>
                <w:sz w:val="24"/>
                <w:szCs w:val="24"/>
              </w:rPr>
              <w:t>2</w:t>
            </w:r>
          </w:p>
        </w:tc>
        <w:tc>
          <w:tcPr>
            <w:tcW w:w="2698" w:type="dxa"/>
            <w:vAlign w:val="center"/>
          </w:tcPr>
          <w:p>
            <w:pPr>
              <w:widowControl/>
              <w:jc w:val="center"/>
              <w:rPr>
                <w:rFonts w:ascii="宋体" w:hAnsi="宋体" w:cs="宋体"/>
                <w:kern w:val="0"/>
                <w:sz w:val="24"/>
                <w:szCs w:val="24"/>
              </w:rPr>
            </w:pPr>
          </w:p>
        </w:tc>
        <w:tc>
          <w:tcPr>
            <w:tcW w:w="2032" w:type="dxa"/>
            <w:vAlign w:val="center"/>
          </w:tcPr>
          <w:p>
            <w:pPr>
              <w:jc w:val="center"/>
              <w:rPr>
                <w:rFonts w:ascii="宋体" w:hAnsi="宋体" w:cs="宋体"/>
                <w:sz w:val="24"/>
                <w:szCs w:val="24"/>
              </w:rPr>
            </w:pPr>
          </w:p>
        </w:tc>
        <w:tc>
          <w:tcPr>
            <w:tcW w:w="378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4" w:type="dxa"/>
            <w:vAlign w:val="center"/>
          </w:tcPr>
          <w:p>
            <w:pPr>
              <w:jc w:val="center"/>
              <w:rPr>
                <w:rFonts w:ascii="宋体" w:hAnsi="宋体" w:cs="宋体"/>
                <w:sz w:val="24"/>
                <w:szCs w:val="24"/>
              </w:rPr>
            </w:pPr>
            <w:r>
              <w:rPr>
                <w:rFonts w:hint="eastAsia" w:ascii="宋体" w:hAnsi="宋体"/>
                <w:sz w:val="24"/>
                <w:szCs w:val="24"/>
              </w:rPr>
              <w:t>3</w:t>
            </w:r>
          </w:p>
        </w:tc>
        <w:tc>
          <w:tcPr>
            <w:tcW w:w="2698" w:type="dxa"/>
            <w:vAlign w:val="center"/>
          </w:tcPr>
          <w:p>
            <w:pPr>
              <w:widowControl/>
              <w:jc w:val="center"/>
              <w:rPr>
                <w:rFonts w:ascii="宋体" w:hAnsi="宋体" w:cs="宋体"/>
                <w:kern w:val="0"/>
                <w:sz w:val="24"/>
                <w:szCs w:val="24"/>
              </w:rPr>
            </w:pPr>
          </w:p>
        </w:tc>
        <w:tc>
          <w:tcPr>
            <w:tcW w:w="2032" w:type="dxa"/>
            <w:vAlign w:val="center"/>
          </w:tcPr>
          <w:p>
            <w:pPr>
              <w:jc w:val="center"/>
              <w:rPr>
                <w:rFonts w:ascii="宋体" w:hAnsi="宋体" w:cs="宋体"/>
                <w:sz w:val="24"/>
                <w:szCs w:val="24"/>
              </w:rPr>
            </w:pPr>
          </w:p>
        </w:tc>
        <w:tc>
          <w:tcPr>
            <w:tcW w:w="378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4" w:type="dxa"/>
            <w:vAlign w:val="center"/>
          </w:tcPr>
          <w:p>
            <w:pPr>
              <w:jc w:val="center"/>
              <w:rPr>
                <w:rFonts w:ascii="宋体" w:hAnsi="宋体" w:cs="宋体"/>
                <w:sz w:val="24"/>
                <w:szCs w:val="24"/>
              </w:rPr>
            </w:pPr>
            <w:r>
              <w:rPr>
                <w:rFonts w:hint="eastAsia" w:ascii="宋体" w:hAnsi="宋体"/>
                <w:sz w:val="24"/>
                <w:szCs w:val="24"/>
              </w:rPr>
              <w:t>4</w:t>
            </w:r>
          </w:p>
        </w:tc>
        <w:tc>
          <w:tcPr>
            <w:tcW w:w="2698" w:type="dxa"/>
            <w:vAlign w:val="center"/>
          </w:tcPr>
          <w:p>
            <w:pPr>
              <w:widowControl/>
              <w:jc w:val="center"/>
              <w:rPr>
                <w:rFonts w:ascii="宋体" w:hAnsi="宋体" w:cs="宋体"/>
                <w:kern w:val="0"/>
                <w:sz w:val="24"/>
                <w:szCs w:val="24"/>
              </w:rPr>
            </w:pPr>
          </w:p>
        </w:tc>
        <w:tc>
          <w:tcPr>
            <w:tcW w:w="2032" w:type="dxa"/>
            <w:vAlign w:val="center"/>
          </w:tcPr>
          <w:p>
            <w:pPr>
              <w:jc w:val="center"/>
              <w:rPr>
                <w:rFonts w:ascii="宋体" w:hAnsi="宋体" w:cs="宋体"/>
                <w:sz w:val="24"/>
                <w:szCs w:val="24"/>
              </w:rPr>
            </w:pPr>
          </w:p>
        </w:tc>
        <w:tc>
          <w:tcPr>
            <w:tcW w:w="378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4" w:type="dxa"/>
            <w:vAlign w:val="center"/>
          </w:tcPr>
          <w:p>
            <w:pPr>
              <w:jc w:val="center"/>
              <w:rPr>
                <w:rFonts w:ascii="宋体" w:hAnsi="宋体" w:cs="宋体"/>
                <w:sz w:val="24"/>
                <w:szCs w:val="24"/>
              </w:rPr>
            </w:pPr>
            <w:r>
              <w:rPr>
                <w:rFonts w:hint="eastAsia" w:ascii="宋体" w:hAnsi="宋体"/>
                <w:sz w:val="24"/>
                <w:szCs w:val="24"/>
              </w:rPr>
              <w:t>5</w:t>
            </w:r>
          </w:p>
        </w:tc>
        <w:tc>
          <w:tcPr>
            <w:tcW w:w="2698" w:type="dxa"/>
            <w:vAlign w:val="center"/>
          </w:tcPr>
          <w:p>
            <w:pPr>
              <w:widowControl/>
              <w:jc w:val="center"/>
              <w:rPr>
                <w:rFonts w:ascii="宋体" w:hAnsi="宋体" w:cs="宋体"/>
                <w:kern w:val="0"/>
                <w:sz w:val="24"/>
                <w:szCs w:val="24"/>
              </w:rPr>
            </w:pPr>
          </w:p>
        </w:tc>
        <w:tc>
          <w:tcPr>
            <w:tcW w:w="2032" w:type="dxa"/>
            <w:vAlign w:val="center"/>
          </w:tcPr>
          <w:p>
            <w:pPr>
              <w:jc w:val="center"/>
              <w:rPr>
                <w:rFonts w:ascii="宋体" w:hAnsi="宋体" w:cs="宋体"/>
                <w:sz w:val="24"/>
                <w:szCs w:val="24"/>
              </w:rPr>
            </w:pPr>
          </w:p>
        </w:tc>
        <w:tc>
          <w:tcPr>
            <w:tcW w:w="378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44" w:type="dxa"/>
            <w:vAlign w:val="center"/>
          </w:tcPr>
          <w:p>
            <w:pPr>
              <w:jc w:val="center"/>
              <w:rPr>
                <w:rFonts w:ascii="宋体" w:hAnsi="宋体" w:cs="宋体"/>
                <w:sz w:val="24"/>
                <w:szCs w:val="24"/>
              </w:rPr>
            </w:pPr>
            <w:r>
              <w:rPr>
                <w:rFonts w:ascii="宋体" w:hAnsi="宋体"/>
                <w:sz w:val="24"/>
                <w:szCs w:val="24"/>
              </w:rPr>
              <w:t>…</w:t>
            </w:r>
          </w:p>
        </w:tc>
        <w:tc>
          <w:tcPr>
            <w:tcW w:w="2698" w:type="dxa"/>
            <w:vAlign w:val="center"/>
          </w:tcPr>
          <w:p>
            <w:pPr>
              <w:widowControl/>
              <w:jc w:val="center"/>
              <w:rPr>
                <w:rFonts w:ascii="宋体" w:hAnsi="宋体" w:cs="宋体"/>
                <w:kern w:val="0"/>
                <w:sz w:val="24"/>
                <w:szCs w:val="24"/>
              </w:rPr>
            </w:pPr>
          </w:p>
        </w:tc>
        <w:tc>
          <w:tcPr>
            <w:tcW w:w="2032" w:type="dxa"/>
            <w:vAlign w:val="center"/>
          </w:tcPr>
          <w:p>
            <w:pPr>
              <w:jc w:val="center"/>
              <w:rPr>
                <w:rFonts w:ascii="宋体" w:hAnsi="宋体" w:cs="宋体"/>
                <w:sz w:val="24"/>
                <w:szCs w:val="24"/>
              </w:rPr>
            </w:pPr>
          </w:p>
        </w:tc>
        <w:tc>
          <w:tcPr>
            <w:tcW w:w="378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42" w:type="dxa"/>
            <w:gridSpan w:val="2"/>
            <w:vAlign w:val="center"/>
          </w:tcPr>
          <w:p>
            <w:pPr>
              <w:spacing w:line="440" w:lineRule="exact"/>
              <w:rPr>
                <w:rFonts w:ascii="宋体" w:hAnsi="宋体"/>
                <w:b/>
                <w:sz w:val="24"/>
                <w:szCs w:val="24"/>
              </w:rPr>
            </w:pPr>
            <w:r>
              <w:rPr>
                <w:rFonts w:hint="eastAsia" w:ascii="宋体" w:hAnsi="宋体"/>
                <w:b/>
                <w:sz w:val="24"/>
                <w:szCs w:val="24"/>
              </w:rPr>
              <w:t>报价合计</w:t>
            </w:r>
          </w:p>
        </w:tc>
        <w:tc>
          <w:tcPr>
            <w:tcW w:w="5812" w:type="dxa"/>
            <w:gridSpan w:val="2"/>
          </w:tcPr>
          <w:p>
            <w:pPr>
              <w:pStyle w:val="85"/>
              <w:spacing w:line="440" w:lineRule="exact"/>
              <w:jc w:val="both"/>
              <w:rPr>
                <w:rFonts w:ascii="宋体" w:hAnsi="宋体"/>
                <w:color w:val="auto"/>
              </w:rPr>
            </w:pPr>
            <w:r>
              <w:rPr>
                <w:rFonts w:hint="eastAsia" w:ascii="宋体" w:hAnsi="宋体"/>
                <w:color w:val="auto"/>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042" w:type="dxa"/>
            <w:gridSpan w:val="2"/>
            <w:vAlign w:val="center"/>
          </w:tcPr>
          <w:p>
            <w:pPr>
              <w:spacing w:line="440" w:lineRule="exact"/>
              <w:rPr>
                <w:rFonts w:ascii="宋体" w:hAnsi="宋体"/>
                <w:b/>
                <w:sz w:val="24"/>
                <w:szCs w:val="24"/>
              </w:rPr>
            </w:pPr>
            <w:r>
              <w:rPr>
                <w:rFonts w:hint="eastAsia" w:ascii="宋体" w:hAnsi="宋体"/>
                <w:b/>
                <w:sz w:val="24"/>
                <w:szCs w:val="24"/>
              </w:rPr>
              <w:t>报价合计</w:t>
            </w:r>
          </w:p>
        </w:tc>
        <w:tc>
          <w:tcPr>
            <w:tcW w:w="5812" w:type="dxa"/>
            <w:gridSpan w:val="2"/>
          </w:tcPr>
          <w:p>
            <w:pPr>
              <w:pStyle w:val="85"/>
              <w:spacing w:line="440" w:lineRule="exact"/>
              <w:jc w:val="both"/>
              <w:rPr>
                <w:rFonts w:ascii="宋体" w:hAnsi="宋体"/>
                <w:color w:val="auto"/>
              </w:rPr>
            </w:pPr>
            <w:r>
              <w:rPr>
                <w:rFonts w:hint="eastAsia" w:ascii="宋体" w:hAnsi="宋体"/>
                <w:color w:val="auto"/>
              </w:rPr>
              <w:t xml:space="preserve">大写：                           </w:t>
            </w:r>
          </w:p>
        </w:tc>
      </w:tr>
    </w:tbl>
    <w:p>
      <w:pPr>
        <w:spacing w:line="440" w:lineRule="exact"/>
        <w:rPr>
          <w:rFonts w:ascii="宋体" w:hAnsi="宋体"/>
          <w:b/>
          <w:bCs/>
          <w:sz w:val="24"/>
          <w:szCs w:val="24"/>
        </w:rPr>
      </w:pPr>
      <w:r>
        <w:rPr>
          <w:rFonts w:hint="eastAsia" w:ascii="宋体" w:hAnsi="宋体"/>
          <w:b/>
          <w:bCs/>
          <w:sz w:val="24"/>
          <w:szCs w:val="24"/>
        </w:rPr>
        <w:t>注：1、投标人要根据以上表格逐项报价，不得缺项漏项；</w:t>
      </w:r>
    </w:p>
    <w:p>
      <w:pPr>
        <w:spacing w:line="440" w:lineRule="exact"/>
        <w:rPr>
          <w:rFonts w:hint="eastAsia" w:ascii="宋体" w:hAnsi="宋体" w:eastAsia="宋体"/>
          <w:b/>
          <w:bCs/>
          <w:sz w:val="24"/>
          <w:szCs w:val="24"/>
          <w:lang w:eastAsia="zh-CN"/>
        </w:rPr>
      </w:pPr>
      <w:r>
        <w:rPr>
          <w:rFonts w:hint="eastAsia" w:ascii="宋体" w:hAnsi="宋体"/>
          <w:b/>
          <w:bCs/>
          <w:sz w:val="24"/>
          <w:szCs w:val="24"/>
        </w:rPr>
        <w:t xml:space="preserve">    2、上述各项的详细分项报价，可另页描述</w:t>
      </w:r>
      <w:r>
        <w:rPr>
          <w:rFonts w:hint="eastAsia" w:ascii="宋体" w:hAnsi="宋体"/>
          <w:b/>
          <w:bCs/>
          <w:sz w:val="24"/>
          <w:szCs w:val="24"/>
          <w:lang w:eastAsia="zh-CN"/>
        </w:rPr>
        <w:t>；</w:t>
      </w:r>
    </w:p>
    <w:p>
      <w:pPr>
        <w:pStyle w:val="85"/>
        <w:spacing w:line="440" w:lineRule="exact"/>
        <w:rPr>
          <w:rFonts w:ascii="宋体" w:hAnsi="宋体"/>
          <w:bCs/>
          <w:color w:val="auto"/>
          <w:kern w:val="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pStyle w:val="2"/>
        <w:rPr>
          <w:rFonts w:ascii="宋体" w:hAnsi="宋体"/>
          <w:b/>
          <w:sz w:val="32"/>
          <w:szCs w:val="32"/>
        </w:rPr>
      </w:pPr>
    </w:p>
    <w:p/>
    <w:p>
      <w:pPr>
        <w:spacing w:line="440" w:lineRule="exact"/>
        <w:ind w:left="2880" w:hanging="2880"/>
        <w:jc w:val="center"/>
        <w:rPr>
          <w:rFonts w:ascii="宋体" w:hAnsi="宋体"/>
          <w:b/>
          <w:sz w:val="32"/>
          <w:szCs w:val="32"/>
        </w:rPr>
      </w:pPr>
    </w:p>
    <w:p>
      <w:pPr>
        <w:spacing w:line="440" w:lineRule="exact"/>
        <w:ind w:left="2880" w:hanging="2880"/>
        <w:jc w:val="center"/>
        <w:rPr>
          <w:rFonts w:ascii="宋体" w:hAnsi="宋体"/>
          <w:b/>
          <w:sz w:val="32"/>
          <w:szCs w:val="32"/>
        </w:rPr>
      </w:pPr>
      <w:r>
        <w:rPr>
          <w:rFonts w:hint="eastAsia" w:ascii="宋体" w:hAnsi="宋体"/>
          <w:b/>
          <w:sz w:val="32"/>
          <w:szCs w:val="32"/>
        </w:rPr>
        <w:t>（</w:t>
      </w:r>
      <w:r>
        <w:rPr>
          <w:rFonts w:hint="eastAsia" w:ascii="宋体" w:hAnsi="宋体"/>
          <w:b/>
          <w:sz w:val="32"/>
          <w:szCs w:val="32"/>
          <w:highlight w:val="none"/>
        </w:rPr>
        <w:t>附件六）</w:t>
      </w:r>
      <w:r>
        <w:rPr>
          <w:rFonts w:hint="eastAsia" w:ascii="Arial" w:hAnsi="Arial" w:eastAsia="黑体" w:cs="Times New Roman"/>
          <w:b/>
          <w:kern w:val="2"/>
          <w:sz w:val="30"/>
          <w:szCs w:val="20"/>
          <w:highlight w:val="none"/>
          <w:lang w:val="en-US" w:eastAsia="zh-CN" w:bidi="ar-SA"/>
        </w:rPr>
        <w:t>服务说明一览表</w:t>
      </w:r>
    </w:p>
    <w:p>
      <w:pPr>
        <w:spacing w:line="440" w:lineRule="exac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w:t>
      </w:r>
      <w:r>
        <w:rPr>
          <w:rFonts w:hint="eastAsia" w:ascii="宋体" w:hAnsi="宋体"/>
          <w:sz w:val="24"/>
        </w:rPr>
        <w:t>招标编号：</w:t>
      </w:r>
      <w:r>
        <w:rPr>
          <w:rFonts w:hint="eastAsia" w:ascii="宋体" w:hAnsi="宋体"/>
          <w:sz w:val="24"/>
          <w:u w:val="single"/>
        </w:rPr>
        <w:t xml:space="preserve">                   </w:t>
      </w:r>
    </w:p>
    <w:p>
      <w:pPr>
        <w:pStyle w:val="2"/>
        <w:rPr>
          <w:rFonts w:hint="default"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招标项目名称：</w:t>
      </w:r>
      <w:r>
        <w:rPr>
          <w:rFonts w:hint="eastAsia" w:ascii="宋体" w:hAnsi="宋体" w:cs="Times New Roman"/>
          <w:b w:val="0"/>
          <w:bCs w:val="0"/>
          <w:kern w:val="2"/>
          <w:sz w:val="24"/>
          <w:szCs w:val="20"/>
          <w:lang w:val="en-US" w:eastAsia="zh-CN" w:bidi="ar-SA"/>
        </w:rPr>
        <w:t xml:space="preserve">                         标项号：</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47"/>
        <w:gridCol w:w="1508"/>
        <w:gridCol w:w="1800"/>
        <w:gridCol w:w="23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80" w:type="dxa"/>
            <w:noWrap w:val="0"/>
            <w:vAlign w:val="center"/>
          </w:tcPr>
          <w:p>
            <w:pPr>
              <w:widowControl/>
              <w:autoSpaceDE/>
              <w:autoSpaceDN/>
              <w:jc w:val="center"/>
              <w:textAlignment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0"/>
                <w:sz w:val="24"/>
                <w:szCs w:val="24"/>
                <w:lang w:val="en-US" w:bidi="ar-SA"/>
              </w:rPr>
              <w:t>序号</w:t>
            </w:r>
          </w:p>
        </w:tc>
        <w:tc>
          <w:tcPr>
            <w:tcW w:w="2047" w:type="dxa"/>
            <w:noWrap w:val="0"/>
            <w:vAlign w:val="center"/>
          </w:tcPr>
          <w:p>
            <w:pPr>
              <w:widowControl/>
              <w:autoSpaceDE/>
              <w:autoSpaceDN/>
              <w:jc w:val="center"/>
              <w:textAlignment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0"/>
                <w:sz w:val="24"/>
                <w:szCs w:val="24"/>
                <w:lang w:val="en-US" w:eastAsia="zh-CN" w:bidi="ar-SA"/>
              </w:rPr>
              <w:t>服务</w:t>
            </w:r>
            <w:r>
              <w:rPr>
                <w:rFonts w:hint="eastAsia" w:ascii="宋体" w:hAnsi="宋体" w:eastAsia="宋体" w:cs="宋体"/>
                <w:color w:val="auto"/>
                <w:kern w:val="0"/>
                <w:sz w:val="24"/>
                <w:szCs w:val="24"/>
                <w:lang w:val="en-US" w:bidi="ar-SA"/>
              </w:rPr>
              <w:t>名称</w:t>
            </w:r>
          </w:p>
        </w:tc>
        <w:tc>
          <w:tcPr>
            <w:tcW w:w="1508" w:type="dxa"/>
            <w:noWrap w:val="0"/>
            <w:vAlign w:val="center"/>
          </w:tcPr>
          <w:p>
            <w:pPr>
              <w:widowControl/>
              <w:autoSpaceDE/>
              <w:autoSpaceDN/>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4"/>
                <w:szCs w:val="24"/>
                <w:lang w:val="en-US" w:eastAsia="zh-CN" w:bidi="ar-SA"/>
              </w:rPr>
              <w:t>服务内容</w:t>
            </w:r>
          </w:p>
        </w:tc>
        <w:tc>
          <w:tcPr>
            <w:tcW w:w="1800" w:type="dxa"/>
            <w:noWrap w:val="0"/>
            <w:vAlign w:val="center"/>
          </w:tcPr>
          <w:p>
            <w:pPr>
              <w:widowControl/>
              <w:autoSpaceDE/>
              <w:autoSpaceDN/>
              <w:jc w:val="center"/>
              <w:textAlignment w:val="center"/>
              <w:rPr>
                <w:rFonts w:hint="eastAsia" w:ascii="宋体" w:hAnsi="宋体" w:eastAsia="宋体" w:cs="宋体"/>
                <w:color w:val="auto"/>
                <w:kern w:val="0"/>
                <w:sz w:val="24"/>
                <w:szCs w:val="24"/>
                <w:lang w:val="en-US" w:bidi="ar-SA"/>
              </w:rPr>
            </w:pPr>
            <w:r>
              <w:rPr>
                <w:rFonts w:hint="eastAsia" w:ascii="宋体" w:hAnsi="宋体" w:eastAsia="宋体" w:cs="宋体"/>
                <w:color w:val="auto"/>
                <w:kern w:val="0"/>
                <w:sz w:val="24"/>
                <w:szCs w:val="24"/>
                <w:lang w:val="en-US" w:eastAsia="zh-CN" w:bidi="ar-SA"/>
              </w:rPr>
              <w:t>服务</w:t>
            </w:r>
            <w:r>
              <w:rPr>
                <w:rFonts w:hint="eastAsia" w:ascii="宋体" w:hAnsi="宋体" w:eastAsia="宋体" w:cs="宋体"/>
                <w:color w:val="auto"/>
                <w:kern w:val="0"/>
                <w:sz w:val="24"/>
                <w:szCs w:val="24"/>
                <w:lang w:val="en-US" w:bidi="ar-SA"/>
              </w:rPr>
              <w:t>期</w:t>
            </w:r>
          </w:p>
        </w:tc>
        <w:tc>
          <w:tcPr>
            <w:tcW w:w="2325" w:type="dxa"/>
            <w:noWrap w:val="0"/>
            <w:vAlign w:val="center"/>
          </w:tcPr>
          <w:p>
            <w:pPr>
              <w:widowControl/>
              <w:autoSpaceDE/>
              <w:autoSpaceDN/>
              <w:jc w:val="center"/>
              <w:textAlignment w:val="center"/>
              <w:rPr>
                <w:rFonts w:hint="eastAsia" w:ascii="宋体" w:hAnsi="宋体" w:eastAsia="宋体" w:cs="宋体"/>
                <w:color w:val="auto"/>
                <w:kern w:val="2"/>
                <w:sz w:val="21"/>
                <w:szCs w:val="21"/>
                <w:lang w:val="en-US" w:bidi="ar-SA"/>
              </w:rPr>
            </w:pPr>
            <w:r>
              <w:rPr>
                <w:rFonts w:hint="eastAsia" w:ascii="宋体" w:hAnsi="宋体" w:eastAsia="宋体" w:cs="宋体"/>
                <w:color w:val="auto"/>
                <w:kern w:val="0"/>
                <w:sz w:val="24"/>
                <w:szCs w:val="24"/>
                <w:lang w:val="en-US" w:eastAsia="zh-CN" w:bidi="ar-SA"/>
              </w:rPr>
              <w:t>服务</w:t>
            </w:r>
            <w:r>
              <w:rPr>
                <w:rFonts w:hint="eastAsia" w:ascii="宋体" w:hAnsi="宋体" w:eastAsia="宋体" w:cs="宋体"/>
                <w:color w:val="auto"/>
                <w:kern w:val="0"/>
                <w:sz w:val="24"/>
                <w:szCs w:val="24"/>
                <w:lang w:val="en-US" w:bidi="ar-SA"/>
              </w:rPr>
              <w:t>地点</w:t>
            </w:r>
          </w:p>
        </w:tc>
        <w:tc>
          <w:tcPr>
            <w:tcW w:w="1140" w:type="dxa"/>
            <w:noWrap w:val="0"/>
            <w:vAlign w:val="center"/>
          </w:tcPr>
          <w:p>
            <w:pPr>
              <w:widowControl/>
              <w:autoSpaceDE/>
              <w:autoSpaceDN/>
              <w:jc w:val="center"/>
              <w:textAlignment w:val="center"/>
              <w:rPr>
                <w:rFonts w:hint="eastAsia" w:ascii="宋体" w:hAnsi="宋体" w:eastAsia="宋体" w:cs="宋体"/>
                <w:color w:val="auto"/>
                <w:kern w:val="0"/>
                <w:sz w:val="24"/>
                <w:szCs w:val="24"/>
                <w:lang w:val="en-US" w:bidi="ar-SA"/>
              </w:rPr>
            </w:pPr>
            <w:r>
              <w:rPr>
                <w:rFonts w:hint="eastAsia" w:ascii="宋体" w:hAnsi="宋体" w:eastAsia="宋体" w:cs="宋体"/>
                <w:color w:val="auto"/>
                <w:kern w:val="0"/>
                <w:sz w:val="24"/>
                <w:szCs w:val="24"/>
                <w:lang w:val="en-US"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8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047"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508"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80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2325"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c>
          <w:tcPr>
            <w:tcW w:w="1140" w:type="dxa"/>
            <w:noWrap w:val="0"/>
            <w:vAlign w:val="top"/>
          </w:tcPr>
          <w:p>
            <w:pPr>
              <w:widowControl w:val="0"/>
              <w:spacing w:line="240" w:lineRule="atLeast"/>
              <w:ind w:left="1080" w:leftChars="257" w:hanging="540"/>
              <w:jc w:val="both"/>
              <w:rPr>
                <w:rFonts w:hint="eastAsia" w:ascii="宋体" w:hAnsi="宋体" w:eastAsia="宋体" w:cs="宋体"/>
                <w:color w:val="auto"/>
                <w:kern w:val="2"/>
                <w:sz w:val="21"/>
                <w:szCs w:val="21"/>
                <w:lang w:val="en-US" w:eastAsia="zh-CN" w:bidi="ar-SA"/>
              </w:rPr>
            </w:pPr>
          </w:p>
        </w:tc>
      </w:tr>
    </w:tbl>
    <w:p>
      <w:pPr>
        <w:spacing w:line="440" w:lineRule="exact"/>
        <w:rPr>
          <w:rFonts w:hint="eastAsia" w:ascii="宋体" w:hAnsi="宋体"/>
          <w:sz w:val="24"/>
        </w:rPr>
      </w:pPr>
    </w:p>
    <w:p>
      <w:pPr>
        <w:spacing w:line="440" w:lineRule="exact"/>
        <w:rPr>
          <w:rFonts w:hint="eastAsia" w:ascii="宋体" w:hAnsi="宋体"/>
          <w:b/>
          <w:sz w:val="24"/>
          <w:lang w:val="en-US" w:eastAsia="zh-CN"/>
        </w:rPr>
      </w:pPr>
      <w:r>
        <w:rPr>
          <w:rFonts w:hint="eastAsia" w:ascii="宋体" w:hAnsi="宋体"/>
          <w:b/>
          <w:sz w:val="24"/>
          <w:lang w:val="en-US" w:eastAsia="zh-CN"/>
        </w:rPr>
        <w:t xml:space="preserve">法定代表人或其委托代理人（签/章）: </w:t>
      </w:r>
      <w:r>
        <w:rPr>
          <w:rFonts w:hint="eastAsia" w:ascii="宋体" w:hAnsi="宋体"/>
          <w:b/>
          <w:sz w:val="24"/>
          <w:lang w:val="en-US" w:eastAsia="zh-CN"/>
        </w:rPr>
        <w:tab/>
      </w:r>
      <w:r>
        <w:rPr>
          <w:rFonts w:hint="eastAsia" w:ascii="宋体" w:hAnsi="宋体"/>
          <w:b/>
          <w:sz w:val="24"/>
          <w:lang w:val="en-US" w:eastAsia="zh-CN"/>
        </w:rPr>
        <w:t xml:space="preserve">                 </w:t>
      </w:r>
    </w:p>
    <w:p>
      <w:pPr>
        <w:spacing w:line="440" w:lineRule="exact"/>
        <w:rPr>
          <w:rFonts w:hint="eastAsia" w:ascii="宋体" w:hAnsi="宋体"/>
          <w:b/>
          <w:sz w:val="24"/>
          <w:lang w:val="en-US" w:eastAsia="zh-CN"/>
        </w:rPr>
      </w:pPr>
      <w:r>
        <w:rPr>
          <w:rFonts w:hint="eastAsia" w:ascii="宋体" w:hAnsi="宋体"/>
          <w:b/>
          <w:sz w:val="24"/>
          <w:lang w:val="en-US" w:eastAsia="zh-CN"/>
        </w:rPr>
        <w:t>供应商(公章):</w:t>
      </w:r>
      <w:r>
        <w:rPr>
          <w:rFonts w:hint="eastAsia" w:ascii="宋体" w:hAnsi="宋体"/>
          <w:b/>
          <w:sz w:val="24"/>
          <w:lang w:val="en-US" w:eastAsia="zh-CN"/>
        </w:rPr>
        <w:tab/>
      </w:r>
    </w:p>
    <w:p>
      <w:pPr>
        <w:spacing w:line="440" w:lineRule="exact"/>
        <w:rPr>
          <w:rFonts w:hint="eastAsia" w:ascii="宋体" w:hAnsi="宋体"/>
          <w:b/>
          <w:sz w:val="24"/>
          <w:lang w:val="en-US" w:eastAsia="zh-CN"/>
        </w:rPr>
      </w:pPr>
      <w:r>
        <w:rPr>
          <w:rFonts w:hint="eastAsia" w:ascii="宋体" w:hAnsi="宋体"/>
          <w:b/>
          <w:sz w:val="24"/>
          <w:lang w:val="en-US" w:eastAsia="zh-CN"/>
        </w:rPr>
        <w:t>注: 各项服务详细技术性能应另页描述。</w:t>
      </w:r>
    </w:p>
    <w:p>
      <w:pPr>
        <w:spacing w:line="440" w:lineRule="exact"/>
        <w:rPr>
          <w:rFonts w:ascii="宋体" w:hAnsi="宋体"/>
          <w:b/>
          <w:sz w:val="24"/>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both"/>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（附件七）商务条款偏离表</w:t>
      </w:r>
    </w:p>
    <w:p>
      <w:pPr>
        <w:spacing w:line="440" w:lineRule="exac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w:t>
      </w:r>
      <w:r>
        <w:rPr>
          <w:rFonts w:hint="eastAsia" w:ascii="宋体" w:hAnsi="宋体"/>
          <w:sz w:val="24"/>
        </w:rPr>
        <w:t>招标编号：</w:t>
      </w:r>
      <w:r>
        <w:rPr>
          <w:rFonts w:hint="eastAsia" w:ascii="宋体" w:hAnsi="宋体"/>
          <w:sz w:val="24"/>
          <w:u w:val="single"/>
        </w:rPr>
        <w:t xml:space="preserve">                   </w:t>
      </w:r>
    </w:p>
    <w:p>
      <w:pPr>
        <w:pStyle w:val="2"/>
        <w:rPr>
          <w:rFonts w:hint="default"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招标项目名称：</w:t>
      </w:r>
      <w:r>
        <w:rPr>
          <w:rFonts w:hint="eastAsia" w:ascii="宋体" w:hAnsi="宋体" w:cs="Times New Roman"/>
          <w:b w:val="0"/>
          <w:bCs w:val="0"/>
          <w:kern w:val="2"/>
          <w:sz w:val="24"/>
          <w:szCs w:val="20"/>
          <w:lang w:val="en-US" w:eastAsia="zh-CN" w:bidi="ar-SA"/>
        </w:rPr>
        <w:t xml:space="preserve">                         标项号：</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pPr>
              <w:spacing w:line="440" w:lineRule="exact"/>
              <w:rPr>
                <w:rFonts w:ascii="宋体" w:hAnsi="宋体"/>
                <w:sz w:val="24"/>
              </w:rPr>
            </w:pPr>
            <w:r>
              <w:rPr>
                <w:rFonts w:hint="eastAsia" w:ascii="宋体" w:hAnsi="宋体"/>
                <w:sz w:val="24"/>
              </w:rPr>
              <w:t>序号</w:t>
            </w:r>
          </w:p>
        </w:tc>
        <w:tc>
          <w:tcPr>
            <w:tcW w:w="1602" w:type="dxa"/>
            <w:vAlign w:val="center"/>
          </w:tcPr>
          <w:p>
            <w:pPr>
              <w:spacing w:line="440" w:lineRule="exact"/>
              <w:rPr>
                <w:rFonts w:ascii="宋体" w:hAnsi="宋体"/>
                <w:sz w:val="24"/>
              </w:rPr>
            </w:pPr>
            <w:r>
              <w:rPr>
                <w:rFonts w:hint="eastAsia" w:ascii="宋体" w:hAnsi="宋体"/>
                <w:sz w:val="24"/>
              </w:rPr>
              <w:t>招标文件</w:t>
            </w:r>
          </w:p>
          <w:p>
            <w:pPr>
              <w:spacing w:line="440" w:lineRule="exact"/>
              <w:rPr>
                <w:rFonts w:ascii="宋体" w:hAnsi="宋体"/>
                <w:sz w:val="24"/>
              </w:rPr>
            </w:pPr>
            <w:r>
              <w:rPr>
                <w:rFonts w:hint="eastAsia" w:ascii="宋体" w:hAnsi="宋体"/>
                <w:sz w:val="24"/>
              </w:rPr>
              <w:t>条目号</w:t>
            </w:r>
          </w:p>
        </w:tc>
        <w:tc>
          <w:tcPr>
            <w:tcW w:w="2458" w:type="dxa"/>
            <w:vAlign w:val="center"/>
          </w:tcPr>
          <w:p>
            <w:pPr>
              <w:spacing w:line="440" w:lineRule="exact"/>
              <w:rPr>
                <w:rFonts w:ascii="宋体" w:hAnsi="宋体"/>
                <w:sz w:val="24"/>
              </w:rPr>
            </w:pPr>
            <w:r>
              <w:rPr>
                <w:rFonts w:hint="eastAsia" w:ascii="宋体" w:hAnsi="宋体"/>
                <w:sz w:val="24"/>
              </w:rPr>
              <w:t>招标文件的商务条款</w:t>
            </w:r>
          </w:p>
        </w:tc>
        <w:tc>
          <w:tcPr>
            <w:tcW w:w="2885" w:type="dxa"/>
            <w:vAlign w:val="center"/>
          </w:tcPr>
          <w:p>
            <w:pPr>
              <w:spacing w:line="440" w:lineRule="exact"/>
              <w:rPr>
                <w:rFonts w:ascii="宋体" w:hAnsi="宋体"/>
                <w:sz w:val="24"/>
              </w:rPr>
            </w:pPr>
            <w:r>
              <w:rPr>
                <w:rFonts w:hint="eastAsia" w:ascii="宋体" w:hAnsi="宋体"/>
                <w:sz w:val="24"/>
              </w:rPr>
              <w:t>投标文件的商务条款</w:t>
            </w:r>
          </w:p>
        </w:tc>
        <w:tc>
          <w:tcPr>
            <w:tcW w:w="2018" w:type="dxa"/>
            <w:vAlign w:val="center"/>
          </w:tcPr>
          <w:p>
            <w:pPr>
              <w:spacing w:line="440" w:lineRule="exact"/>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440" w:lineRule="exact"/>
              <w:rPr>
                <w:rFonts w:ascii="宋体" w:hAnsi="宋体"/>
                <w:sz w:val="24"/>
              </w:rPr>
            </w:pPr>
            <w:r>
              <w:rPr>
                <w:rFonts w:ascii="宋体" w:hAnsi="宋体"/>
                <w:sz w:val="24"/>
              </w:rPr>
              <w:t>1</w:t>
            </w:r>
          </w:p>
        </w:tc>
        <w:tc>
          <w:tcPr>
            <w:tcW w:w="1602" w:type="dxa"/>
          </w:tcPr>
          <w:p>
            <w:pPr>
              <w:spacing w:line="440" w:lineRule="exact"/>
              <w:rPr>
                <w:rFonts w:ascii="宋体" w:hAnsi="宋体"/>
                <w:sz w:val="24"/>
              </w:rPr>
            </w:pPr>
          </w:p>
        </w:tc>
        <w:tc>
          <w:tcPr>
            <w:tcW w:w="2458" w:type="dxa"/>
          </w:tcPr>
          <w:p>
            <w:pPr>
              <w:spacing w:line="440" w:lineRule="exact"/>
              <w:rPr>
                <w:rFonts w:ascii="宋体" w:hAnsi="宋体"/>
                <w:sz w:val="24"/>
              </w:rPr>
            </w:pPr>
          </w:p>
        </w:tc>
        <w:tc>
          <w:tcPr>
            <w:tcW w:w="2885" w:type="dxa"/>
          </w:tcPr>
          <w:p>
            <w:pPr>
              <w:spacing w:line="440" w:lineRule="exact"/>
              <w:rPr>
                <w:rFonts w:ascii="宋体" w:hAnsi="宋体"/>
                <w:sz w:val="24"/>
              </w:rPr>
            </w:pPr>
          </w:p>
        </w:tc>
        <w:tc>
          <w:tcPr>
            <w:tcW w:w="2018"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tcPr>
          <w:p>
            <w:pPr>
              <w:spacing w:line="440" w:lineRule="exact"/>
              <w:rPr>
                <w:rFonts w:ascii="宋体" w:hAnsi="宋体"/>
                <w:sz w:val="24"/>
              </w:rPr>
            </w:pPr>
            <w:r>
              <w:rPr>
                <w:rFonts w:ascii="宋体" w:hAnsi="宋体"/>
                <w:sz w:val="24"/>
              </w:rPr>
              <w:t>2</w:t>
            </w:r>
          </w:p>
        </w:tc>
        <w:tc>
          <w:tcPr>
            <w:tcW w:w="1602" w:type="dxa"/>
          </w:tcPr>
          <w:p>
            <w:pPr>
              <w:spacing w:line="440" w:lineRule="exact"/>
              <w:rPr>
                <w:rFonts w:ascii="宋体" w:hAnsi="宋体"/>
                <w:sz w:val="24"/>
              </w:rPr>
            </w:pPr>
          </w:p>
        </w:tc>
        <w:tc>
          <w:tcPr>
            <w:tcW w:w="2458" w:type="dxa"/>
          </w:tcPr>
          <w:p>
            <w:pPr>
              <w:spacing w:line="440" w:lineRule="exact"/>
              <w:rPr>
                <w:rFonts w:ascii="宋体" w:hAnsi="宋体"/>
                <w:sz w:val="24"/>
              </w:rPr>
            </w:pPr>
          </w:p>
        </w:tc>
        <w:tc>
          <w:tcPr>
            <w:tcW w:w="2885" w:type="dxa"/>
          </w:tcPr>
          <w:p>
            <w:pPr>
              <w:spacing w:line="440" w:lineRule="exact"/>
              <w:rPr>
                <w:rFonts w:ascii="宋体" w:hAnsi="宋体"/>
                <w:sz w:val="24"/>
              </w:rPr>
            </w:pPr>
          </w:p>
        </w:tc>
        <w:tc>
          <w:tcPr>
            <w:tcW w:w="2018"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440" w:lineRule="exact"/>
              <w:rPr>
                <w:rFonts w:ascii="宋体" w:hAnsi="宋体"/>
                <w:sz w:val="24"/>
              </w:rPr>
            </w:pPr>
            <w:r>
              <w:rPr>
                <w:rFonts w:ascii="宋体" w:hAnsi="宋体"/>
                <w:sz w:val="24"/>
              </w:rPr>
              <w:t>3</w:t>
            </w:r>
          </w:p>
        </w:tc>
        <w:tc>
          <w:tcPr>
            <w:tcW w:w="1602" w:type="dxa"/>
          </w:tcPr>
          <w:p>
            <w:pPr>
              <w:spacing w:line="440" w:lineRule="exact"/>
              <w:rPr>
                <w:rFonts w:ascii="宋体" w:hAnsi="宋体"/>
                <w:sz w:val="24"/>
              </w:rPr>
            </w:pPr>
          </w:p>
        </w:tc>
        <w:tc>
          <w:tcPr>
            <w:tcW w:w="2458" w:type="dxa"/>
          </w:tcPr>
          <w:p>
            <w:pPr>
              <w:spacing w:line="440" w:lineRule="exact"/>
              <w:rPr>
                <w:rFonts w:ascii="宋体" w:hAnsi="宋体"/>
                <w:sz w:val="24"/>
              </w:rPr>
            </w:pPr>
          </w:p>
        </w:tc>
        <w:tc>
          <w:tcPr>
            <w:tcW w:w="2885" w:type="dxa"/>
          </w:tcPr>
          <w:p>
            <w:pPr>
              <w:spacing w:line="440" w:lineRule="exact"/>
              <w:rPr>
                <w:rFonts w:ascii="宋体" w:hAnsi="宋体"/>
                <w:sz w:val="24"/>
              </w:rPr>
            </w:pPr>
          </w:p>
        </w:tc>
        <w:tc>
          <w:tcPr>
            <w:tcW w:w="2018"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440" w:lineRule="exact"/>
              <w:rPr>
                <w:rFonts w:ascii="宋体" w:hAnsi="宋体"/>
                <w:sz w:val="24"/>
              </w:rPr>
            </w:pPr>
            <w:r>
              <w:rPr>
                <w:rFonts w:hint="eastAsia" w:ascii="宋体" w:hAnsi="宋体"/>
                <w:sz w:val="24"/>
              </w:rPr>
              <w:t>…</w:t>
            </w:r>
          </w:p>
        </w:tc>
        <w:tc>
          <w:tcPr>
            <w:tcW w:w="1602" w:type="dxa"/>
          </w:tcPr>
          <w:p>
            <w:pPr>
              <w:spacing w:line="440" w:lineRule="exact"/>
              <w:rPr>
                <w:rFonts w:ascii="宋体" w:hAnsi="宋体"/>
                <w:sz w:val="24"/>
              </w:rPr>
            </w:pPr>
          </w:p>
        </w:tc>
        <w:tc>
          <w:tcPr>
            <w:tcW w:w="2458" w:type="dxa"/>
          </w:tcPr>
          <w:p>
            <w:pPr>
              <w:spacing w:line="440" w:lineRule="exact"/>
              <w:rPr>
                <w:rFonts w:ascii="宋体" w:hAnsi="宋体"/>
                <w:sz w:val="24"/>
              </w:rPr>
            </w:pPr>
          </w:p>
        </w:tc>
        <w:tc>
          <w:tcPr>
            <w:tcW w:w="2885" w:type="dxa"/>
          </w:tcPr>
          <w:p>
            <w:pPr>
              <w:spacing w:line="440" w:lineRule="exact"/>
              <w:rPr>
                <w:rFonts w:ascii="宋体" w:hAnsi="宋体"/>
                <w:sz w:val="24"/>
              </w:rPr>
            </w:pPr>
          </w:p>
        </w:tc>
        <w:tc>
          <w:tcPr>
            <w:tcW w:w="2018" w:type="dxa"/>
          </w:tcPr>
          <w:p>
            <w:pPr>
              <w:spacing w:line="440" w:lineRule="exact"/>
              <w:rPr>
                <w:rFonts w:ascii="宋体" w:hAnsi="宋体"/>
                <w:sz w:val="24"/>
              </w:rPr>
            </w:pPr>
          </w:p>
        </w:tc>
      </w:tr>
    </w:tbl>
    <w:p>
      <w:pPr>
        <w:spacing w:line="440" w:lineRule="exact"/>
        <w:rPr>
          <w:rFonts w:ascii="宋体" w:hAnsi="宋体"/>
          <w:sz w:val="24"/>
        </w:rPr>
      </w:pPr>
      <w:r>
        <w:rPr>
          <w:rFonts w:hint="eastAsia" w:ascii="宋体" w:hAnsi="宋体"/>
          <w:sz w:val="24"/>
        </w:rPr>
        <w:t>投标人代表签字：</w:t>
      </w:r>
    </w:p>
    <w:p>
      <w:pPr>
        <w:spacing w:line="440" w:lineRule="exact"/>
        <w:rPr>
          <w:rFonts w:ascii="宋体" w:hAnsi="宋体"/>
          <w:sz w:val="24"/>
        </w:rPr>
      </w:pPr>
      <w:r>
        <w:rPr>
          <w:rFonts w:hint="eastAsia" w:ascii="宋体" w:hAnsi="宋体"/>
          <w:sz w:val="24"/>
        </w:rPr>
        <w:t>日期：</w:t>
      </w:r>
      <w:r>
        <w:rPr>
          <w:rFonts w:ascii="宋体" w:hAnsi="宋体"/>
          <w:sz w:val="24"/>
        </w:rPr>
        <w:t>20</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　</w:t>
      </w:r>
    </w:p>
    <w:p>
      <w:pPr>
        <w:spacing w:line="440" w:lineRule="exact"/>
        <w:rPr>
          <w:rFonts w:ascii="宋体" w:hAnsi="宋体"/>
          <w:b/>
          <w:sz w:val="24"/>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pStyle w:val="2"/>
        <w:rPr>
          <w:rFonts w:ascii="宋体" w:hAnsi="宋体"/>
          <w:b/>
          <w:sz w:val="32"/>
          <w:szCs w:val="32"/>
        </w:rPr>
      </w:pPr>
    </w:p>
    <w:p>
      <w:pPr>
        <w:spacing w:line="440" w:lineRule="exact"/>
        <w:jc w:val="both"/>
        <w:rPr>
          <w:rFonts w:ascii="宋体" w:hAnsi="宋体"/>
          <w:b/>
          <w:sz w:val="32"/>
          <w:szCs w:val="32"/>
        </w:rPr>
      </w:pPr>
    </w:p>
    <w:p>
      <w:pPr>
        <w:spacing w:line="440" w:lineRule="exact"/>
        <w:jc w:val="both"/>
        <w:rPr>
          <w:rFonts w:ascii="宋体" w:hAnsi="宋体"/>
          <w:b/>
          <w:sz w:val="32"/>
          <w:szCs w:val="32"/>
        </w:rPr>
      </w:pPr>
    </w:p>
    <w:p>
      <w:pPr>
        <w:spacing w:line="440" w:lineRule="exact"/>
        <w:jc w:val="center"/>
        <w:rPr>
          <w:rFonts w:ascii="宋体" w:hAnsi="宋体"/>
          <w:b/>
          <w:sz w:val="32"/>
          <w:szCs w:val="32"/>
        </w:rPr>
      </w:pPr>
      <w:r>
        <w:rPr>
          <w:rFonts w:hint="eastAsia" w:ascii="宋体" w:hAnsi="宋体"/>
          <w:b/>
          <w:sz w:val="32"/>
          <w:szCs w:val="32"/>
        </w:rPr>
        <w:t>（附件</w:t>
      </w:r>
      <w:r>
        <w:rPr>
          <w:rFonts w:hint="eastAsia" w:ascii="宋体" w:hAnsi="宋体"/>
          <w:b/>
          <w:sz w:val="32"/>
          <w:szCs w:val="32"/>
          <w:lang w:eastAsia="zh-CN"/>
        </w:rPr>
        <w:t>八</w:t>
      </w:r>
      <w:r>
        <w:rPr>
          <w:rFonts w:hint="eastAsia" w:ascii="宋体" w:hAnsi="宋体"/>
          <w:b/>
          <w:sz w:val="32"/>
          <w:szCs w:val="32"/>
        </w:rPr>
        <w:t>）近三年经营业绩表</w:t>
      </w:r>
    </w:p>
    <w:p>
      <w:pPr>
        <w:spacing w:line="440" w:lineRule="exact"/>
        <w:rPr>
          <w:rFonts w:ascii="宋体" w:hAnsi="宋体"/>
          <w:sz w:val="24"/>
          <w:u w:val="single"/>
        </w:rPr>
      </w:pPr>
      <w:r>
        <w:rPr>
          <w:rFonts w:hint="eastAsia" w:ascii="宋体" w:hAnsi="宋体"/>
          <w:sz w:val="24"/>
        </w:rPr>
        <w:t>投标人名称（公章）：</w:t>
      </w:r>
      <w:r>
        <w:rPr>
          <w:rFonts w:hint="eastAsia" w:ascii="宋体" w:hAnsi="宋体"/>
          <w:sz w:val="24"/>
          <w:u w:val="single"/>
        </w:rPr>
        <w:t>　　　　         　</w:t>
      </w:r>
      <w:r>
        <w:rPr>
          <w:rFonts w:hint="eastAsia" w:ascii="宋体" w:hAnsi="宋体"/>
          <w:sz w:val="24"/>
        </w:rPr>
        <w:t>招标编号：</w:t>
      </w:r>
      <w:r>
        <w:rPr>
          <w:rFonts w:hint="eastAsia" w:ascii="宋体" w:hAnsi="宋体"/>
          <w:sz w:val="24"/>
          <w:u w:val="single"/>
        </w:rPr>
        <w:t xml:space="preserve">                   </w:t>
      </w:r>
    </w:p>
    <w:p>
      <w:pPr>
        <w:spacing w:line="440" w:lineRule="exact"/>
        <w:rPr>
          <w:rFonts w:ascii="宋体" w:hAnsi="宋体"/>
          <w:sz w:val="24"/>
        </w:rPr>
      </w:pPr>
      <w:r>
        <w:rPr>
          <w:rFonts w:hint="eastAsia" w:ascii="宋体" w:hAnsi="宋体"/>
          <w:sz w:val="24"/>
          <w:lang w:eastAsia="zh-CN"/>
        </w:rPr>
        <w:t>招标项目名称</w:t>
      </w:r>
      <w:r>
        <w:rPr>
          <w:rFonts w:hint="eastAsia" w:ascii="宋体" w:hAnsi="宋体"/>
          <w:sz w:val="24"/>
        </w:rPr>
        <w:t>：</w:t>
      </w:r>
      <w:r>
        <w:rPr>
          <w:rFonts w:hint="eastAsia" w:ascii="宋体" w:hAnsi="宋体"/>
          <w:sz w:val="24"/>
          <w:u w:val="single"/>
        </w:rPr>
        <w:t xml:space="preserve">                         </w:t>
      </w:r>
      <w:r>
        <w:rPr>
          <w:rFonts w:hint="eastAsia" w:ascii="宋体" w:hAnsi="宋体" w:cs="Times New Roman"/>
          <w:b w:val="0"/>
          <w:bCs w:val="0"/>
          <w:kern w:val="2"/>
          <w:sz w:val="24"/>
          <w:szCs w:val="20"/>
          <w:lang w:val="en-US" w:eastAsia="zh-CN" w:bidi="ar-SA"/>
        </w:rPr>
        <w:t>标 项 号：</w:t>
      </w:r>
      <w:r>
        <w:rPr>
          <w:rFonts w:hint="eastAsia" w:ascii="宋体" w:hAnsi="宋体"/>
          <w:sz w:val="24"/>
        </w:rPr>
        <w:t xml:space="preserve">                                 　</w:t>
      </w:r>
    </w:p>
    <w:tbl>
      <w:tblPr>
        <w:tblStyle w:val="38"/>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6"/>
        <w:gridCol w:w="1740"/>
        <w:gridCol w:w="1236"/>
        <w:gridCol w:w="1236"/>
        <w:gridCol w:w="1664"/>
        <w:gridCol w:w="92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r>
              <w:rPr>
                <w:rFonts w:hint="eastAsia" w:ascii="宋体" w:hAnsi="宋体"/>
                <w:kern w:val="0"/>
                <w:sz w:val="24"/>
              </w:rPr>
              <w:t>序号</w:t>
            </w:r>
          </w:p>
        </w:tc>
        <w:tc>
          <w:tcPr>
            <w:tcW w:w="1126" w:type="dxa"/>
            <w:vAlign w:val="center"/>
          </w:tcPr>
          <w:p>
            <w:pPr>
              <w:spacing w:line="400" w:lineRule="exact"/>
              <w:jc w:val="center"/>
              <w:rPr>
                <w:rFonts w:ascii="宋体" w:hAnsi="宋体"/>
                <w:kern w:val="0"/>
                <w:sz w:val="24"/>
              </w:rPr>
            </w:pPr>
            <w:r>
              <w:rPr>
                <w:rFonts w:hint="eastAsia" w:ascii="宋体" w:hAnsi="宋体"/>
                <w:kern w:val="0"/>
                <w:sz w:val="24"/>
              </w:rPr>
              <w:t>业主名称</w:t>
            </w:r>
          </w:p>
        </w:tc>
        <w:tc>
          <w:tcPr>
            <w:tcW w:w="1740" w:type="dxa"/>
            <w:vAlign w:val="center"/>
          </w:tcPr>
          <w:p>
            <w:pPr>
              <w:spacing w:line="400" w:lineRule="exact"/>
              <w:jc w:val="center"/>
              <w:rPr>
                <w:rFonts w:ascii="宋体" w:hAnsi="宋体"/>
                <w:kern w:val="0"/>
                <w:sz w:val="24"/>
              </w:rPr>
            </w:pPr>
            <w:r>
              <w:rPr>
                <w:rFonts w:hint="eastAsia" w:ascii="宋体" w:hAnsi="宋体"/>
                <w:kern w:val="0"/>
                <w:sz w:val="24"/>
              </w:rPr>
              <w:t>项目名称</w:t>
            </w:r>
          </w:p>
        </w:tc>
        <w:tc>
          <w:tcPr>
            <w:tcW w:w="1236" w:type="dxa"/>
            <w:vAlign w:val="center"/>
          </w:tcPr>
          <w:p>
            <w:pPr>
              <w:spacing w:line="400" w:lineRule="exact"/>
              <w:jc w:val="center"/>
              <w:rPr>
                <w:rFonts w:ascii="宋体" w:hAnsi="宋体"/>
                <w:kern w:val="0"/>
                <w:sz w:val="24"/>
              </w:rPr>
            </w:pPr>
            <w:r>
              <w:rPr>
                <w:rFonts w:hint="eastAsia" w:ascii="宋体" w:hAnsi="宋体"/>
                <w:kern w:val="0"/>
                <w:sz w:val="24"/>
              </w:rPr>
              <w:t>合同总价</w:t>
            </w:r>
          </w:p>
        </w:tc>
        <w:tc>
          <w:tcPr>
            <w:tcW w:w="1236" w:type="dxa"/>
            <w:vAlign w:val="center"/>
          </w:tcPr>
          <w:p>
            <w:pPr>
              <w:spacing w:line="400" w:lineRule="exact"/>
              <w:jc w:val="center"/>
              <w:rPr>
                <w:rFonts w:ascii="宋体" w:hAnsi="宋体"/>
                <w:kern w:val="0"/>
                <w:sz w:val="24"/>
              </w:rPr>
            </w:pPr>
            <w:r>
              <w:rPr>
                <w:rFonts w:hint="eastAsia" w:ascii="宋体" w:hAnsi="宋体"/>
                <w:kern w:val="0"/>
                <w:sz w:val="24"/>
              </w:rPr>
              <w:t>完成时间</w:t>
            </w:r>
          </w:p>
        </w:tc>
        <w:tc>
          <w:tcPr>
            <w:tcW w:w="1664" w:type="dxa"/>
            <w:vAlign w:val="center"/>
          </w:tcPr>
          <w:p>
            <w:pPr>
              <w:spacing w:line="400" w:lineRule="exact"/>
              <w:jc w:val="center"/>
              <w:rPr>
                <w:rFonts w:ascii="宋体" w:hAnsi="宋体"/>
                <w:kern w:val="0"/>
                <w:sz w:val="24"/>
              </w:rPr>
            </w:pPr>
            <w:r>
              <w:rPr>
                <w:rFonts w:hint="eastAsia" w:ascii="宋体" w:hAnsi="宋体"/>
                <w:kern w:val="0"/>
                <w:sz w:val="24"/>
              </w:rPr>
              <w:t>业主单位联系人及电话</w:t>
            </w:r>
          </w:p>
        </w:tc>
        <w:tc>
          <w:tcPr>
            <w:tcW w:w="922" w:type="dxa"/>
            <w:vAlign w:val="center"/>
          </w:tcPr>
          <w:p>
            <w:pPr>
              <w:spacing w:line="400" w:lineRule="exact"/>
              <w:jc w:val="center"/>
              <w:rPr>
                <w:rFonts w:ascii="宋体" w:hAnsi="宋体"/>
                <w:kern w:val="0"/>
                <w:sz w:val="24"/>
              </w:rPr>
            </w:pPr>
            <w:r>
              <w:rPr>
                <w:rFonts w:hint="eastAsia" w:ascii="宋体" w:hAnsi="宋体"/>
                <w:kern w:val="0"/>
                <w:sz w:val="24"/>
              </w:rPr>
              <w:t>合同</w:t>
            </w:r>
          </w:p>
        </w:tc>
        <w:tc>
          <w:tcPr>
            <w:tcW w:w="1116" w:type="dxa"/>
            <w:vAlign w:val="center"/>
          </w:tcPr>
          <w:p>
            <w:pPr>
              <w:spacing w:line="400" w:lineRule="exact"/>
              <w:jc w:val="center"/>
              <w:rPr>
                <w:rFonts w:ascii="宋体" w:hAnsi="宋体"/>
                <w:kern w:val="0"/>
                <w:sz w:val="24"/>
              </w:rPr>
            </w:pPr>
            <w:r>
              <w:rPr>
                <w:rFonts w:hint="eastAsia" w:ascii="宋体" w:hAnsi="宋体"/>
                <w:kern w:val="0"/>
                <w:sz w:val="24"/>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宋体" w:hAnsi="宋体"/>
                <w:kern w:val="0"/>
                <w:sz w:val="24"/>
              </w:rPr>
            </w:pPr>
          </w:p>
        </w:tc>
        <w:tc>
          <w:tcPr>
            <w:tcW w:w="1126" w:type="dxa"/>
            <w:vAlign w:val="center"/>
          </w:tcPr>
          <w:p>
            <w:pPr>
              <w:spacing w:line="400" w:lineRule="exact"/>
              <w:jc w:val="center"/>
              <w:rPr>
                <w:rFonts w:ascii="宋体" w:hAnsi="宋体"/>
                <w:kern w:val="0"/>
                <w:sz w:val="24"/>
              </w:rPr>
            </w:pPr>
          </w:p>
        </w:tc>
        <w:tc>
          <w:tcPr>
            <w:tcW w:w="1740"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236" w:type="dxa"/>
            <w:vAlign w:val="center"/>
          </w:tcPr>
          <w:p>
            <w:pPr>
              <w:spacing w:line="400" w:lineRule="exact"/>
              <w:jc w:val="center"/>
              <w:rPr>
                <w:rFonts w:ascii="宋体" w:hAnsi="宋体"/>
                <w:kern w:val="0"/>
                <w:sz w:val="24"/>
              </w:rPr>
            </w:pPr>
          </w:p>
        </w:tc>
        <w:tc>
          <w:tcPr>
            <w:tcW w:w="1664" w:type="dxa"/>
            <w:vAlign w:val="center"/>
          </w:tcPr>
          <w:p>
            <w:pPr>
              <w:spacing w:line="400" w:lineRule="exact"/>
              <w:jc w:val="center"/>
              <w:rPr>
                <w:rFonts w:ascii="宋体" w:hAnsi="宋体"/>
                <w:kern w:val="0"/>
                <w:sz w:val="24"/>
              </w:rPr>
            </w:pPr>
          </w:p>
        </w:tc>
        <w:tc>
          <w:tcPr>
            <w:tcW w:w="922" w:type="dxa"/>
            <w:vAlign w:val="center"/>
          </w:tcPr>
          <w:p>
            <w:pPr>
              <w:spacing w:line="400" w:lineRule="exact"/>
              <w:jc w:val="center"/>
              <w:rPr>
                <w:rFonts w:ascii="宋体" w:hAnsi="宋体"/>
                <w:kern w:val="0"/>
                <w:sz w:val="24"/>
              </w:rPr>
            </w:pPr>
          </w:p>
        </w:tc>
        <w:tc>
          <w:tcPr>
            <w:tcW w:w="1116" w:type="dxa"/>
            <w:vAlign w:val="center"/>
          </w:tcPr>
          <w:p>
            <w:pPr>
              <w:spacing w:line="400" w:lineRule="exact"/>
              <w:jc w:val="center"/>
              <w:rPr>
                <w:rFonts w:ascii="宋体" w:hAnsi="宋体"/>
                <w:kern w:val="0"/>
                <w:sz w:val="24"/>
              </w:rPr>
            </w:pPr>
          </w:p>
        </w:tc>
      </w:tr>
    </w:tbl>
    <w:p>
      <w:pPr>
        <w:spacing w:line="520" w:lineRule="exact"/>
        <w:rPr>
          <w:rFonts w:ascii="宋体" w:hAnsi="宋体"/>
          <w:kern w:val="0"/>
          <w:sz w:val="24"/>
        </w:rPr>
      </w:pPr>
      <w:r>
        <w:rPr>
          <w:rFonts w:hint="eastAsia" w:ascii="宋体" w:hAnsi="宋体"/>
          <w:kern w:val="0"/>
          <w:sz w:val="24"/>
        </w:rPr>
        <w:t>注：此业绩指的是投标单位的销售业绩,生产厂家或其他代理商销售的业绩不予认可,须附上合同复印件和</w:t>
      </w:r>
      <w:r>
        <w:rPr>
          <w:rFonts w:hint="eastAsia" w:ascii="宋体" w:hAnsi="宋体"/>
          <w:kern w:val="0"/>
          <w:sz w:val="24"/>
          <w:lang w:eastAsia="zh-CN"/>
        </w:rPr>
        <w:t>中标通知书</w:t>
      </w:r>
      <w:r>
        <w:rPr>
          <w:rFonts w:hint="eastAsia" w:ascii="宋体" w:hAnsi="宋体"/>
          <w:kern w:val="0"/>
          <w:sz w:val="24"/>
        </w:rPr>
        <w:t>复印件作为证明材料。</w:t>
      </w: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spacing w:beforeLines="50" w:afterLines="50" w:line="440" w:lineRule="exact"/>
        <w:jc w:val="center"/>
        <w:rPr>
          <w:rFonts w:ascii="宋体" w:hAnsi="宋体"/>
          <w:b/>
          <w:sz w:val="30"/>
          <w:szCs w:val="30"/>
        </w:rPr>
      </w:pPr>
    </w:p>
    <w:p>
      <w:pPr>
        <w:pStyle w:val="3"/>
        <w:rPr>
          <w:rFonts w:hAnsi="宋体"/>
          <w:b/>
          <w:sz w:val="30"/>
          <w:szCs w:val="30"/>
        </w:rPr>
      </w:pPr>
    </w:p>
    <w:p>
      <w:pPr>
        <w:pStyle w:val="3"/>
        <w:rPr>
          <w:rFonts w:hAnsi="宋体"/>
          <w:b/>
          <w:sz w:val="30"/>
          <w:szCs w:val="30"/>
        </w:rPr>
      </w:pPr>
    </w:p>
    <w:p>
      <w:pPr>
        <w:spacing w:beforeLines="50" w:afterLines="50" w:line="440" w:lineRule="exact"/>
        <w:rPr>
          <w:rFonts w:ascii="宋体" w:hAnsi="宋体"/>
          <w:b/>
          <w:sz w:val="30"/>
          <w:szCs w:val="30"/>
        </w:rPr>
      </w:pPr>
    </w:p>
    <w:p>
      <w:pPr>
        <w:pStyle w:val="2"/>
        <w:rPr>
          <w:rFonts w:ascii="宋体" w:hAnsi="宋体"/>
          <w:b/>
          <w:sz w:val="30"/>
          <w:szCs w:val="30"/>
        </w:rPr>
      </w:pPr>
    </w:p>
    <w:p/>
    <w:p>
      <w:pPr>
        <w:spacing w:beforeLines="50" w:afterLines="50" w:line="440" w:lineRule="exact"/>
        <w:jc w:val="center"/>
        <w:rPr>
          <w:rFonts w:ascii="宋体" w:hAnsi="宋体"/>
          <w:b/>
          <w:sz w:val="30"/>
          <w:szCs w:val="30"/>
        </w:rPr>
      </w:pPr>
      <w:r>
        <w:rPr>
          <w:rFonts w:hint="eastAsia" w:ascii="宋体" w:hAnsi="宋体"/>
          <w:b/>
          <w:sz w:val="30"/>
          <w:szCs w:val="30"/>
        </w:rPr>
        <w:t>（附件</w:t>
      </w:r>
      <w:r>
        <w:rPr>
          <w:rFonts w:hint="eastAsia" w:ascii="宋体" w:hAnsi="宋体"/>
          <w:b/>
          <w:sz w:val="30"/>
          <w:szCs w:val="30"/>
          <w:lang w:eastAsia="zh-CN"/>
        </w:rPr>
        <w:t>九</w:t>
      </w:r>
      <w:r>
        <w:rPr>
          <w:rFonts w:hint="eastAsia" w:ascii="宋体" w:hAnsi="宋体"/>
          <w:b/>
          <w:sz w:val="30"/>
          <w:szCs w:val="30"/>
        </w:rPr>
        <w:t>）投标单位（供应商）《反商业贿赂承诺书》</w:t>
      </w:r>
    </w:p>
    <w:p>
      <w:pPr>
        <w:pStyle w:val="19"/>
        <w:spacing w:line="440" w:lineRule="exact"/>
        <w:ind w:firstLine="482"/>
        <w:rPr>
          <w:rFonts w:ascii="宋体" w:hAnsi="宋体"/>
          <w:sz w:val="24"/>
        </w:rPr>
      </w:pPr>
      <w:r>
        <w:rPr>
          <w:rFonts w:hint="eastAsia" w:ascii="宋体" w:hAnsi="宋体"/>
          <w:sz w:val="24"/>
        </w:rPr>
        <w:t>我公司承诺在</w:t>
      </w:r>
      <w:r>
        <w:rPr>
          <w:rFonts w:hint="eastAsia" w:ascii="宋体" w:hAnsi="宋体"/>
          <w:sz w:val="24"/>
          <w:u w:val="single"/>
        </w:rPr>
        <w:t>（项目名称、</w:t>
      </w:r>
      <w:r>
        <w:rPr>
          <w:rFonts w:hint="eastAsia" w:ascii="宋体" w:hAnsi="宋体" w:cs="Times New Roman"/>
          <w:b w:val="0"/>
          <w:bCs w:val="0"/>
          <w:kern w:val="2"/>
          <w:sz w:val="24"/>
          <w:szCs w:val="20"/>
          <w:u w:val="single"/>
          <w:lang w:val="en-US" w:eastAsia="zh-CN" w:bidi="ar-SA"/>
        </w:rPr>
        <w:t>标项号、</w:t>
      </w:r>
      <w:r>
        <w:rPr>
          <w:rFonts w:hint="eastAsia" w:ascii="宋体" w:hAnsi="宋体"/>
          <w:sz w:val="24"/>
          <w:u w:val="single"/>
        </w:rPr>
        <w:t>项目编号）</w:t>
      </w:r>
      <w:r>
        <w:rPr>
          <w:rFonts w:hint="eastAsia" w:ascii="宋体" w:hAnsi="宋体"/>
          <w:sz w:val="24"/>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19"/>
        <w:spacing w:line="440" w:lineRule="exact"/>
        <w:ind w:firstLine="482"/>
        <w:rPr>
          <w:rFonts w:ascii="宋体" w:hAnsi="宋体"/>
          <w:sz w:val="24"/>
        </w:rPr>
      </w:pPr>
      <w:r>
        <w:rPr>
          <w:rFonts w:hint="eastAsia" w:ascii="宋体" w:hAnsi="宋体"/>
          <w:sz w:val="24"/>
        </w:rPr>
        <w:t>公司法人代表：</w:t>
      </w:r>
    </w:p>
    <w:p>
      <w:pPr>
        <w:pStyle w:val="19"/>
        <w:spacing w:line="440" w:lineRule="exact"/>
        <w:ind w:firstLine="482"/>
        <w:rPr>
          <w:rFonts w:ascii="宋体" w:hAnsi="宋体"/>
          <w:sz w:val="24"/>
        </w:rPr>
      </w:pPr>
      <w:r>
        <w:rPr>
          <w:rFonts w:hint="eastAsia" w:ascii="宋体" w:hAnsi="宋体"/>
          <w:sz w:val="24"/>
        </w:rPr>
        <w:t>法人授权代表：</w:t>
      </w:r>
    </w:p>
    <w:p>
      <w:pPr>
        <w:pStyle w:val="19"/>
        <w:spacing w:line="440" w:lineRule="exact"/>
        <w:ind w:firstLine="480" w:firstLineChars="200"/>
        <w:rPr>
          <w:rFonts w:ascii="宋体" w:hAnsi="宋体"/>
          <w:sz w:val="24"/>
        </w:rPr>
      </w:pPr>
      <w:r>
        <w:rPr>
          <w:rFonts w:hint="eastAsia" w:ascii="宋体" w:hAnsi="宋体"/>
          <w:sz w:val="24"/>
        </w:rPr>
        <w:t>日期：</w:t>
      </w:r>
    </w:p>
    <w:p>
      <w:pPr>
        <w:spacing w:line="520" w:lineRule="exact"/>
        <w:rPr>
          <w:rFonts w:ascii="宋体" w:hAnsi="宋体"/>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p>
    <w:p>
      <w:pPr>
        <w:tabs>
          <w:tab w:val="left" w:pos="2880"/>
        </w:tabs>
        <w:spacing w:line="460" w:lineRule="atLeast"/>
        <w:jc w:val="both"/>
        <w:rPr>
          <w:rFonts w:hint="eastAsia" w:ascii="宋体" w:hAnsi="宋体" w:cs="宋体"/>
          <w:b/>
          <w:kern w:val="0"/>
          <w:sz w:val="32"/>
          <w:szCs w:val="32"/>
        </w:rPr>
      </w:pPr>
    </w:p>
    <w:p>
      <w:pPr>
        <w:tabs>
          <w:tab w:val="left" w:pos="2880"/>
        </w:tabs>
        <w:spacing w:line="460" w:lineRule="atLeast"/>
        <w:jc w:val="center"/>
        <w:rPr>
          <w:rFonts w:hint="eastAsia" w:ascii="宋体" w:hAnsi="宋体" w:cs="宋体"/>
          <w:b/>
          <w:kern w:val="0"/>
          <w:sz w:val="32"/>
          <w:szCs w:val="32"/>
        </w:rPr>
      </w:pPr>
    </w:p>
    <w:p>
      <w:pPr>
        <w:tabs>
          <w:tab w:val="left" w:pos="2880"/>
        </w:tabs>
        <w:spacing w:line="460" w:lineRule="atLeast"/>
        <w:jc w:val="center"/>
        <w:rPr>
          <w:rFonts w:hint="eastAsia" w:ascii="宋体" w:hAnsi="宋体" w:cs="宋体"/>
          <w:b/>
          <w:kern w:val="0"/>
          <w:sz w:val="32"/>
          <w:szCs w:val="32"/>
        </w:rPr>
      </w:pPr>
    </w:p>
    <w:p>
      <w:pPr>
        <w:tabs>
          <w:tab w:val="left" w:pos="2880"/>
        </w:tabs>
        <w:spacing w:line="460" w:lineRule="atLeast"/>
        <w:jc w:val="center"/>
        <w:rPr>
          <w:rFonts w:ascii="宋体" w:hAnsi="宋体" w:cs="宋体"/>
          <w:b/>
          <w:kern w:val="0"/>
          <w:sz w:val="32"/>
          <w:szCs w:val="32"/>
        </w:rPr>
      </w:pPr>
      <w:r>
        <w:rPr>
          <w:rFonts w:hint="eastAsia" w:ascii="宋体" w:hAnsi="宋体" w:cs="宋体"/>
          <w:b/>
          <w:kern w:val="0"/>
          <w:sz w:val="32"/>
          <w:szCs w:val="32"/>
        </w:rPr>
        <w:t>（附件十）信用记录</w:t>
      </w:r>
    </w:p>
    <w:p>
      <w:pPr>
        <w:widowControl/>
        <w:adjustRightInd w:val="0"/>
        <w:snapToGrid w:val="0"/>
        <w:spacing w:line="440" w:lineRule="exact"/>
        <w:ind w:firstLine="504" w:firstLineChars="200"/>
        <w:jc w:val="center"/>
        <w:rPr>
          <w:rFonts w:ascii="宋体" w:hAnsi="宋体" w:cs="宋体"/>
          <w:spacing w:val="6"/>
          <w:kern w:val="0"/>
          <w:sz w:val="24"/>
          <w:szCs w:val="24"/>
        </w:rPr>
      </w:pPr>
      <w:r>
        <w:rPr>
          <w:rFonts w:hint="eastAsia" w:ascii="宋体" w:hAnsi="宋体" w:cs="宋体"/>
          <w:spacing w:val="6"/>
          <w:kern w:val="0"/>
          <w:sz w:val="24"/>
          <w:szCs w:val="24"/>
        </w:rPr>
        <w:t>（复印件并加盖供应商单位公章）</w:t>
      </w:r>
    </w:p>
    <w:p>
      <w:pPr>
        <w:widowControl/>
        <w:adjustRightInd w:val="0"/>
        <w:snapToGrid w:val="0"/>
        <w:spacing w:line="440" w:lineRule="exact"/>
        <w:ind w:firstLine="504" w:firstLineChars="200"/>
        <w:jc w:val="left"/>
        <w:rPr>
          <w:rFonts w:ascii="宋体" w:hAnsi="宋体" w:cs="宋体"/>
          <w:spacing w:val="6"/>
          <w:kern w:val="0"/>
          <w:sz w:val="24"/>
          <w:szCs w:val="24"/>
        </w:rPr>
      </w:pPr>
    </w:p>
    <w:p>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依据财库</w:t>
      </w:r>
      <w:r>
        <w:rPr>
          <w:rFonts w:ascii="宋体" w:hAnsi="宋体" w:cs="宋体"/>
          <w:spacing w:val="6"/>
          <w:kern w:val="0"/>
          <w:sz w:val="24"/>
          <w:szCs w:val="24"/>
        </w:rPr>
        <w:t>[2016]125</w:t>
      </w:r>
      <w:r>
        <w:rPr>
          <w:rFonts w:hint="eastAsia" w:ascii="宋体" w:hAnsi="宋体" w:cs="宋体"/>
          <w:spacing w:val="6"/>
          <w:kern w:val="0"/>
          <w:sz w:val="24"/>
          <w:szCs w:val="24"/>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供应商须提供本单位近</w:t>
      </w:r>
      <w:r>
        <w:rPr>
          <w:rFonts w:ascii="宋体" w:hAnsi="宋体" w:cs="宋体"/>
          <w:spacing w:val="6"/>
          <w:kern w:val="0"/>
          <w:sz w:val="24"/>
          <w:szCs w:val="24"/>
        </w:rPr>
        <w:t>3</w:t>
      </w:r>
      <w:r>
        <w:rPr>
          <w:rFonts w:hint="eastAsia" w:ascii="宋体" w:hAnsi="宋体" w:cs="宋体"/>
          <w:spacing w:val="6"/>
          <w:kern w:val="0"/>
          <w:sz w:val="24"/>
          <w:szCs w:val="24"/>
        </w:rPr>
        <w:t>年（自公告发布之日起至递交响应文件截止日前）“信用中国”网站（</w:t>
      </w:r>
      <w:r>
        <w:rPr>
          <w:rFonts w:ascii="宋体" w:hAnsi="宋体" w:cs="宋体"/>
          <w:spacing w:val="6"/>
          <w:kern w:val="0"/>
          <w:sz w:val="24"/>
          <w:szCs w:val="24"/>
        </w:rPr>
        <w:t>www.creditchina.gov.cn</w:t>
      </w:r>
      <w:r>
        <w:rPr>
          <w:rFonts w:hint="eastAsia" w:ascii="宋体" w:hAnsi="宋体" w:cs="宋体"/>
          <w:spacing w:val="6"/>
          <w:kern w:val="0"/>
          <w:sz w:val="24"/>
          <w:szCs w:val="24"/>
        </w:rPr>
        <w:t>）及中国政府采购网（</w:t>
      </w:r>
      <w:r>
        <w:rPr>
          <w:rFonts w:ascii="宋体" w:hAnsi="宋体" w:cs="宋体"/>
          <w:spacing w:val="6"/>
          <w:kern w:val="0"/>
          <w:sz w:val="24"/>
          <w:szCs w:val="24"/>
        </w:rPr>
        <w:t>www.ccgp.gov.cn</w:t>
      </w:r>
      <w:r>
        <w:rPr>
          <w:rFonts w:hint="eastAsia" w:ascii="宋体" w:hAnsi="宋体" w:cs="宋体"/>
          <w:spacing w:val="6"/>
          <w:kern w:val="0"/>
          <w:sz w:val="24"/>
          <w:szCs w:val="24"/>
        </w:rPr>
        <w:t>）已公布的信用记录查询截图。</w:t>
      </w:r>
    </w:p>
    <w:p>
      <w:pPr>
        <w:widowControl/>
        <w:adjustRightInd w:val="0"/>
        <w:snapToGrid w:val="0"/>
        <w:spacing w:line="440" w:lineRule="exact"/>
        <w:ind w:firstLine="504" w:firstLineChars="200"/>
        <w:jc w:val="left"/>
        <w:rPr>
          <w:rFonts w:ascii="宋体" w:hAnsi="宋体" w:cs="宋体"/>
          <w:spacing w:val="6"/>
          <w:kern w:val="0"/>
          <w:sz w:val="24"/>
          <w:szCs w:val="24"/>
        </w:rPr>
      </w:pPr>
      <w:r>
        <w:rPr>
          <w:rFonts w:hint="eastAsia" w:ascii="宋体" w:hAnsi="宋体" w:cs="宋体"/>
          <w:spacing w:val="6"/>
          <w:kern w:val="0"/>
          <w:sz w:val="24"/>
          <w:szCs w:val="24"/>
        </w:rPr>
        <w:t>截图含</w:t>
      </w:r>
      <w:r>
        <w:rPr>
          <w:rFonts w:ascii="宋体" w:hAnsi="宋体" w:cs="宋体"/>
          <w:spacing w:val="6"/>
          <w:kern w:val="0"/>
          <w:sz w:val="24"/>
          <w:szCs w:val="24"/>
        </w:rPr>
        <w:t>1</w:t>
      </w:r>
      <w:r>
        <w:rPr>
          <w:rFonts w:hint="eastAsia" w:ascii="宋体" w:hAnsi="宋体" w:cs="宋体"/>
          <w:spacing w:val="6"/>
          <w:kern w:val="0"/>
          <w:sz w:val="24"/>
          <w:szCs w:val="24"/>
        </w:rPr>
        <w:t>）被列入失信被执行人</w:t>
      </w:r>
    </w:p>
    <w:p>
      <w:pPr>
        <w:widowControl/>
        <w:adjustRightInd w:val="0"/>
        <w:snapToGrid w:val="0"/>
        <w:spacing w:line="440" w:lineRule="exact"/>
        <w:ind w:firstLine="1386" w:firstLineChars="550"/>
        <w:jc w:val="left"/>
        <w:rPr>
          <w:rFonts w:ascii="宋体" w:hAnsi="宋体" w:cs="宋体"/>
          <w:spacing w:val="6"/>
          <w:kern w:val="0"/>
          <w:sz w:val="24"/>
          <w:szCs w:val="24"/>
        </w:rPr>
      </w:pPr>
      <w:r>
        <w:rPr>
          <w:rFonts w:ascii="宋体" w:hAnsi="宋体" w:cs="宋体"/>
          <w:spacing w:val="6"/>
          <w:kern w:val="0"/>
          <w:sz w:val="24"/>
          <w:szCs w:val="24"/>
        </w:rPr>
        <w:t>2</w:t>
      </w:r>
      <w:r>
        <w:rPr>
          <w:rFonts w:hint="eastAsia" w:ascii="宋体" w:hAnsi="宋体" w:cs="宋体"/>
          <w:spacing w:val="6"/>
          <w:kern w:val="0"/>
          <w:sz w:val="24"/>
          <w:szCs w:val="24"/>
        </w:rPr>
        <w:t>）重大税收违法案件当事人名单的供应商</w:t>
      </w:r>
    </w:p>
    <w:p>
      <w:pPr>
        <w:widowControl/>
        <w:adjustRightInd w:val="0"/>
        <w:snapToGrid w:val="0"/>
        <w:spacing w:line="440" w:lineRule="exact"/>
        <w:ind w:firstLine="1386" w:firstLineChars="550"/>
        <w:jc w:val="left"/>
        <w:rPr>
          <w:rFonts w:ascii="宋体" w:hAnsi="宋体" w:cs="宋体"/>
          <w:spacing w:val="6"/>
          <w:kern w:val="0"/>
          <w:sz w:val="24"/>
          <w:szCs w:val="24"/>
        </w:rPr>
      </w:pPr>
      <w:r>
        <w:rPr>
          <w:rFonts w:ascii="宋体" w:hAnsi="宋体" w:cs="宋体"/>
          <w:spacing w:val="6"/>
          <w:kern w:val="0"/>
          <w:sz w:val="24"/>
          <w:szCs w:val="24"/>
        </w:rPr>
        <w:t>3</w:t>
      </w:r>
      <w:r>
        <w:rPr>
          <w:rFonts w:hint="eastAsia" w:ascii="宋体" w:hAnsi="宋体" w:cs="宋体"/>
          <w:spacing w:val="6"/>
          <w:kern w:val="0"/>
          <w:sz w:val="24"/>
          <w:szCs w:val="24"/>
        </w:rPr>
        <w:t>）列入政府采购严重违法失信行为记录名单</w:t>
      </w:r>
    </w:p>
    <w:p>
      <w:pPr>
        <w:widowControl/>
        <w:adjustRightInd w:val="0"/>
        <w:snapToGrid w:val="0"/>
        <w:spacing w:line="440" w:lineRule="exact"/>
        <w:ind w:firstLine="504" w:firstLineChars="200"/>
        <w:jc w:val="left"/>
        <w:rPr>
          <w:rFonts w:ascii="宋体" w:hAnsi="宋体" w:cs="宋体"/>
          <w:spacing w:val="6"/>
          <w:kern w:val="0"/>
          <w:sz w:val="24"/>
          <w:szCs w:val="24"/>
        </w:rPr>
      </w:pPr>
    </w:p>
    <w:p>
      <w:pPr>
        <w:tabs>
          <w:tab w:val="left" w:pos="2880"/>
        </w:tabs>
        <w:spacing w:line="460" w:lineRule="atLeast"/>
        <w:ind w:firstLine="1260" w:firstLineChars="500"/>
        <w:rPr>
          <w:rFonts w:ascii="宋体" w:hAnsi="宋体" w:cs="宋体"/>
          <w:b/>
          <w:kern w:val="0"/>
          <w:sz w:val="32"/>
          <w:szCs w:val="32"/>
        </w:rPr>
      </w:pPr>
      <w:r>
        <w:rPr>
          <w:rFonts w:hint="eastAsia" w:ascii="宋体" w:hAnsi="宋体" w:cs="宋体"/>
          <w:spacing w:val="6"/>
          <w:kern w:val="0"/>
          <w:sz w:val="24"/>
          <w:szCs w:val="24"/>
        </w:rPr>
        <w:t>例如：网站搜索页输入供应商名称，打印或截图查询结果</w:t>
      </w:r>
    </w:p>
    <w:p>
      <w:pPr>
        <w:spacing w:beforeLines="50" w:afterLines="50" w:line="440" w:lineRule="exact"/>
        <w:jc w:val="center"/>
        <w:rPr>
          <w:rFonts w:hint="eastAsia" w:ascii="宋体" w:hAnsi="宋体" w:eastAsia="宋体"/>
          <w:b/>
          <w:sz w:val="32"/>
          <w:szCs w:val="32"/>
          <w:lang w:val="en-US" w:eastAsia="zh-CN"/>
        </w:rPr>
      </w:pPr>
      <w:r>
        <w:rPr>
          <w:rFonts w:hint="eastAsia" w:ascii="宋体" w:hAnsi="宋体"/>
          <w:b/>
          <w:sz w:val="32"/>
          <w:szCs w:val="32"/>
          <w:lang w:val="en-US" w:eastAsia="zh-CN"/>
        </w:rPr>
        <w:t xml:space="preserve"> </w:t>
      </w:r>
    </w:p>
    <w:sectPr>
      <w:pgSz w:w="11906" w:h="16838"/>
      <w:pgMar w:top="1134" w:right="1134" w:bottom="1134" w:left="1134" w:header="851" w:footer="992" w:gutter="0"/>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华文新魏">
    <w:altName w:val="宋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720"/>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27"/>
                  <w:ind w:right="360" w:firstLine="360"/>
                  <w:rPr>
                    <w:rStyle w:val="42"/>
                  </w:rPr>
                </w:pPr>
                <w:r>
                  <w:rPr>
                    <w:rStyle w:val="42"/>
                    <w:rFonts w:hint="eastAsia"/>
                  </w:rPr>
                  <w:t>第</w:t>
                </w:r>
                <w:r>
                  <w:fldChar w:fldCharType="begin"/>
                </w:r>
                <w:r>
                  <w:rPr>
                    <w:rStyle w:val="42"/>
                  </w:rPr>
                  <w:instrText xml:space="preserve"> PAGE </w:instrText>
                </w:r>
                <w:r>
                  <w:fldChar w:fldCharType="separate"/>
                </w:r>
                <w:r>
                  <w:rPr>
                    <w:rStyle w:val="42"/>
                  </w:rPr>
                  <w:t>1</w:t>
                </w:r>
                <w:r>
                  <w:fldChar w:fldCharType="end"/>
                </w:r>
                <w:r>
                  <w:rPr>
                    <w:rStyle w:val="42"/>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b/>
        <w:szCs w:val="18"/>
      </w:rPr>
    </w:pPr>
    <w:r>
      <w:rPr>
        <w:rFonts w:ascii="宋体" w:hAnsi="宋体"/>
        <w:b/>
        <w:sz w:val="21"/>
        <w:szCs w:val="21"/>
      </w:rPr>
      <w:pict>
        <v:line id="Line 3" o:spid="_x0000_s2049" o:spt="20" style="position:absolute;left:0pt;margin-left:2.45pt;margin-top:732.6pt;height:0pt;width:486pt;z-index:251660288;mso-width-relative:page;mso-height-relative:page;" coordsize="21600,21600" o:gfxdata="UEsDBAoAAAAAAIdO4kAAAAAAAAAAAAAAAAAEAAAAZHJzL1BLAwQUAAAACACHTuJA90OG8tYAAAAL&#10;AQAADwAAAGRycy9kb3ducmV2LnhtbE2PPU/DQAyGdyT+w8lILBW9NJRAQy4dgGwsFBCrmzNJRM6X&#10;5q4f9NdjhgpGP371+nGxPLhe7WgMnWcDs2kCirj2tuPGwNtrdXUHKkRki71nMvBNAZbl+VmBufV7&#10;fqHdKjZKSjjkaKCNcci1DnVLDsPUD8Sy+/Sjwyjj2Gg74l7KXa/TJMm0w47lQosDPbRUf622zkCo&#10;3mlTHSf1JPm4bjylm8fnJzTm8mKW3IOKdIh/YfjVF3UoxWntt2yD6g3MFxIUPM9uUlASWNxmgtYn&#10;pMtC//+h/AFQSwMEFAAAAAgAh07iQOAVr7DPAQAAqgMAAA4AAABkcnMvZTJvRG9jLnhtbK1TwW7b&#10;MAy9D9g/CLovTjK024w4PSToLtkWoN0HKJJsC5NEQVRi5+9HyUnWdZce5oMgiuQj3yO9ehidZScd&#10;0YBv+GI250x7Ccr4ruE/nx8/fOYMk/BKWPC64WeN/GH9/t1qCLVeQg9W6cgIxGM9hIb3KYW6qlD2&#10;2gmcQdCenC1EJxKZsatUFAOhO1st5/P7aoCoQgSpEel1Ozn5BTG+BRDa1ki9BXl02qcJNWorElHC&#10;3gTk69Jt22qZfrQt6sRsw4lpKicVofshn9V6JeouitAbeWlBvKWFV5ycMJ6K3qC2Igl2jOYfKGdk&#10;BIQ2zSS4aiJSFCEWi/krbZ56EXThQlJjuImO/w9Wfj/tIzOKNoEzLxwNfGe8Zh+zMkPAmgI2fh8z&#10;Nzn6p7AD+QuZh00vfKdLh8/nQGmLnFH9lZINDIR/GL6BohhxTFBkGtvoMiQJwMYyjfNtGnpMTNLj&#10;/eLTkhaGM3n1VaK+JoaI6asGx/Kl4ZZ6LsDitMOUGxH1NSTX8fBorC3Dtp4NDf9yt7wjZBeIOfqu&#10;5CJYo3JczsDYHTY2spPIm1O+QpA8L8MiHL2a6ll/4Z8pT+IdQJ338aoLjbA0dlm3vCMv7ZL95xdb&#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Q4by1gAAAAsBAAAPAAAAAAAAAAEAIAAAACIAAABk&#10;cnMvZG93bnJldi54bWxQSwECFAAUAAAACACHTuJA4BWvsM8BAACqAwAADgAAAAAAAAABACAAAAAl&#10;AQAAZHJzL2Uyb0RvYy54bWxQSwUGAAAAAAYABgBZAQAAZgUAAAAA&#10;">
          <v:path arrowok="t"/>
          <v:fill focussize="0,0"/>
          <v:stroke/>
          <v:imagedata o:title=""/>
          <o:lock v:ext="edit"/>
        </v:line>
      </w:pict>
    </w:r>
    <w:r>
      <w:rPr>
        <w:rFonts w:hint="eastAsia" w:ascii="宋体" w:hAnsi="宋体"/>
        <w:b/>
        <w:sz w:val="21"/>
        <w:szCs w:val="21"/>
        <w:lang w:eastAsia="zh-CN"/>
      </w:rPr>
      <w:t>新疆爱满疆工程咨询有限公司</w:t>
    </w:r>
    <w:r>
      <w:rPr>
        <w:rFonts w:hint="eastAsia" w:ascii="宋体" w:hAnsi="宋体"/>
        <w:b/>
        <w:szCs w:val="18"/>
      </w:rPr>
      <w:t xml:space="preserve">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pPr>
      <w:pStyle w:val="28"/>
      <w:jc w:val="right"/>
      <w:rPr>
        <w:rFonts w:ascii="宋体" w:hAnsi="宋体"/>
        <w:b/>
        <w:sz w:val="21"/>
        <w:szCs w:val="21"/>
      </w:rPr>
    </w:pPr>
    <w:r>
      <w:rPr>
        <w:rFonts w:hint="eastAsia" w:ascii="宋体" w:hAnsi="宋体"/>
        <w:b/>
        <w:sz w:val="21"/>
        <w:szCs w:val="21"/>
      </w:rPr>
      <w:t>新疆同孚招投标有限公司单一来源采购文件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38E13"/>
    <w:multiLevelType w:val="singleLevel"/>
    <w:tmpl w:val="02C38E13"/>
    <w:lvl w:ilvl="0" w:tentative="0">
      <w:start w:val="4"/>
      <w:numFmt w:val="chineseCounting"/>
      <w:suff w:val="space"/>
      <w:lvlText w:val="第%1部分"/>
      <w:lvlJc w:val="left"/>
      <w:rPr>
        <w:rFonts w:hint="eastAsia"/>
      </w:rPr>
    </w:lvl>
  </w:abstractNum>
  <w:abstractNum w:abstractNumId="1">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pStyle w:val="96"/>
      <w:lvlText w:val="%2."/>
      <w:lvlJc w:val="left"/>
      <w:pPr>
        <w:tabs>
          <w:tab w:val="left" w:pos="780"/>
        </w:tabs>
        <w:ind w:left="780" w:hanging="360"/>
      </w:pPr>
      <w:rPr>
        <w:rFonts w:hint="eastAsia"/>
      </w:rPr>
    </w:lvl>
    <w:lvl w:ilvl="2" w:tentative="0">
      <w:start w:val="1"/>
      <w:numFmt w:val="lowerRoman"/>
      <w:pStyle w:val="10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E55DAC"/>
    <w:multiLevelType w:val="singleLevel"/>
    <w:tmpl w:val="1FE55DAC"/>
    <w:lvl w:ilvl="0" w:tentative="0">
      <w:start w:val="1"/>
      <w:numFmt w:val="bullet"/>
      <w:pStyle w:val="83"/>
      <w:lvlText w:val=""/>
      <w:lvlJc w:val="left"/>
      <w:pPr>
        <w:tabs>
          <w:tab w:val="left" w:pos="2211"/>
        </w:tabs>
        <w:ind w:left="2211" w:hanging="510"/>
      </w:pPr>
      <w:rPr>
        <w:rFonts w:hint="default" w:ascii="Wingdings" w:hAnsi="Wingdings"/>
        <w:color w:val="000000"/>
        <w:sz w:val="13"/>
        <w:u w:val="none"/>
      </w:rPr>
    </w:lvl>
  </w:abstractNum>
  <w:abstractNum w:abstractNumId="3">
    <w:nsid w:val="22B686E6"/>
    <w:multiLevelType w:val="singleLevel"/>
    <w:tmpl w:val="22B686E6"/>
    <w:lvl w:ilvl="0" w:tentative="0">
      <w:start w:val="1"/>
      <w:numFmt w:val="decimal"/>
      <w:suff w:val="nothing"/>
      <w:lvlText w:val="（%1）"/>
      <w:lvlJc w:val="left"/>
    </w:lvl>
  </w:abstractNum>
  <w:abstractNum w:abstractNumId="4">
    <w:nsid w:val="2DDA37C3"/>
    <w:multiLevelType w:val="multilevel"/>
    <w:tmpl w:val="2DDA37C3"/>
    <w:lvl w:ilvl="0" w:tentative="0">
      <w:start w:val="1"/>
      <w:numFmt w:val="decimal"/>
      <w:lvlText w:val="%1."/>
      <w:lvlJc w:val="left"/>
      <w:pPr>
        <w:tabs>
          <w:tab w:val="left" w:pos="630"/>
        </w:tabs>
        <w:ind w:left="630" w:hanging="630"/>
      </w:pPr>
      <w:rPr>
        <w:rFonts w:hint="eastAsia"/>
      </w:rPr>
    </w:lvl>
    <w:lvl w:ilvl="1" w:tentative="0">
      <w:start w:val="1"/>
      <w:numFmt w:val="decimal"/>
      <w:pStyle w:val="14"/>
      <w:lvlText w:val="%1.%2、"/>
      <w:lvlJc w:val="left"/>
      <w:pPr>
        <w:tabs>
          <w:tab w:val="left" w:pos="1133"/>
        </w:tabs>
        <w:ind w:left="1133" w:hanging="630"/>
      </w:pPr>
      <w:rPr>
        <w:rFonts w:hint="eastAsia"/>
      </w:rPr>
    </w:lvl>
    <w:lvl w:ilvl="2" w:tentative="0">
      <w:start w:val="1"/>
      <w:numFmt w:val="decimal"/>
      <w:lvlText w:val="%1.%2、%3."/>
      <w:lvlJc w:val="left"/>
      <w:pPr>
        <w:tabs>
          <w:tab w:val="left" w:pos="1636"/>
        </w:tabs>
        <w:ind w:left="1636" w:hanging="630"/>
      </w:pPr>
      <w:rPr>
        <w:rFonts w:hint="eastAsia"/>
      </w:rPr>
    </w:lvl>
    <w:lvl w:ilvl="3" w:tentative="0">
      <w:start w:val="1"/>
      <w:numFmt w:val="decimal"/>
      <w:lvlText w:val="%1.%2、%3.%4."/>
      <w:lvlJc w:val="left"/>
      <w:pPr>
        <w:tabs>
          <w:tab w:val="left" w:pos="2139"/>
        </w:tabs>
        <w:ind w:left="2139" w:hanging="630"/>
      </w:pPr>
      <w:rPr>
        <w:rFonts w:hint="eastAsia"/>
      </w:rPr>
    </w:lvl>
    <w:lvl w:ilvl="4" w:tentative="0">
      <w:start w:val="1"/>
      <w:numFmt w:val="decimal"/>
      <w:lvlText w:val="%1.%2、%3.%4.%5."/>
      <w:lvlJc w:val="left"/>
      <w:pPr>
        <w:tabs>
          <w:tab w:val="left" w:pos="2642"/>
        </w:tabs>
        <w:ind w:left="2642" w:hanging="630"/>
      </w:pPr>
      <w:rPr>
        <w:rFonts w:hint="eastAsia"/>
      </w:rPr>
    </w:lvl>
    <w:lvl w:ilvl="5" w:tentative="0">
      <w:start w:val="1"/>
      <w:numFmt w:val="decimal"/>
      <w:lvlText w:val="%1.%2、%3.%4.%5.%6."/>
      <w:lvlJc w:val="left"/>
      <w:pPr>
        <w:tabs>
          <w:tab w:val="left" w:pos="3145"/>
        </w:tabs>
        <w:ind w:left="3145" w:hanging="630"/>
      </w:pPr>
      <w:rPr>
        <w:rFonts w:hint="eastAsia"/>
      </w:rPr>
    </w:lvl>
    <w:lvl w:ilvl="6" w:tentative="0">
      <w:start w:val="1"/>
      <w:numFmt w:val="decimal"/>
      <w:lvlText w:val="%1.%2、%3.%4.%5.%6.%7."/>
      <w:lvlJc w:val="left"/>
      <w:pPr>
        <w:tabs>
          <w:tab w:val="left" w:pos="3648"/>
        </w:tabs>
        <w:ind w:left="3648" w:hanging="630"/>
      </w:pPr>
      <w:rPr>
        <w:rFonts w:hint="eastAsia"/>
      </w:rPr>
    </w:lvl>
    <w:lvl w:ilvl="7" w:tentative="0">
      <w:start w:val="1"/>
      <w:numFmt w:val="decimal"/>
      <w:lvlText w:val="%1.%2、%3.%4.%5.%6.%7.%8."/>
      <w:lvlJc w:val="left"/>
      <w:pPr>
        <w:tabs>
          <w:tab w:val="left" w:pos="4151"/>
        </w:tabs>
        <w:ind w:left="4151" w:hanging="630"/>
      </w:pPr>
      <w:rPr>
        <w:rFonts w:hint="eastAsia"/>
      </w:rPr>
    </w:lvl>
    <w:lvl w:ilvl="8" w:tentative="0">
      <w:start w:val="1"/>
      <w:numFmt w:val="decimal"/>
      <w:lvlText w:val="%1.%2、%3.%4.%5.%6.%7.%8.%9."/>
      <w:lvlJc w:val="left"/>
      <w:pPr>
        <w:tabs>
          <w:tab w:val="left" w:pos="4654"/>
        </w:tabs>
        <w:ind w:left="4654" w:hanging="630"/>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11E2E1F"/>
    <w:multiLevelType w:val="multilevel"/>
    <w:tmpl w:val="511E2E1F"/>
    <w:lvl w:ilvl="0" w:tentative="0">
      <w:start w:val="25"/>
      <w:numFmt w:val="decimal"/>
      <w:pStyle w:val="81"/>
      <w:lvlText w:val="%1"/>
      <w:lvlJc w:val="left"/>
      <w:pPr>
        <w:tabs>
          <w:tab w:val="left" w:pos="480"/>
        </w:tabs>
        <w:ind w:left="480" w:hanging="480"/>
      </w:pPr>
      <w:rPr>
        <w:rFonts w:hint="default"/>
      </w:rPr>
    </w:lvl>
    <w:lvl w:ilvl="1" w:tentative="0">
      <w:start w:val="6"/>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53A76865"/>
    <w:multiLevelType w:val="singleLevel"/>
    <w:tmpl w:val="53A76865"/>
    <w:lvl w:ilvl="0" w:tentative="0">
      <w:start w:val="1"/>
      <w:numFmt w:val="decimal"/>
      <w:lvlText w:val="（%1）"/>
      <w:lvlJc w:val="left"/>
      <w:pPr>
        <w:tabs>
          <w:tab w:val="left" w:pos="1230"/>
        </w:tabs>
        <w:ind w:left="1230" w:hanging="690"/>
      </w:pPr>
      <w:rPr>
        <w:rFonts w:hint="eastAsia"/>
      </w:rPr>
    </w:lvl>
  </w:abstractNum>
  <w:abstractNum w:abstractNumId="8">
    <w:nsid w:val="6E895FC5"/>
    <w:multiLevelType w:val="multilevel"/>
    <w:tmpl w:val="6E895FC5"/>
    <w:lvl w:ilvl="0" w:tentative="0">
      <w:start w:val="1"/>
      <w:numFmt w:val="japaneseCounting"/>
      <w:suff w:val="nothing"/>
      <w:lvlText w:val="第%1章"/>
      <w:lvlJc w:val="left"/>
      <w:pPr>
        <w:ind w:left="0" w:firstLine="0"/>
      </w:pPr>
      <w:rPr>
        <w:rFonts w:ascii="Times New Roman" w:hAnsi="Times New Roman" w:eastAsia="Times New Roman" w:cs="Times New Roman"/>
        <w:b/>
        <w:i w:val="0"/>
        <w:caps w:val="0"/>
        <w:strike w:val="0"/>
        <w:dstrike w:val="0"/>
        <w:vanish w:val="0"/>
        <w:color w:val="000000"/>
        <w:sz w:val="36"/>
        <w:vertAlign w:val="baseline"/>
      </w:rPr>
    </w:lvl>
    <w:lvl w:ilvl="1" w:tentative="0">
      <w:start w:val="1"/>
      <w:numFmt w:val="japaneseCounting"/>
      <w:suff w:val="nothing"/>
      <w:lvlText w:val="第%2章"/>
      <w:lvlJc w:val="left"/>
      <w:pPr>
        <w:ind w:left="525" w:firstLine="0"/>
      </w:pPr>
      <w:rPr>
        <w:rFonts w:ascii="Times New Roman" w:hAnsi="Times New Roman" w:eastAsia="Times New Roman" w:cs="Times New Roman"/>
        <w:b w:val="0"/>
        <w:i w:val="0"/>
        <w:caps w:val="0"/>
        <w:strike w:val="0"/>
        <w:dstrike w:val="0"/>
        <w:vanish w:val="0"/>
        <w:color w:val="000000"/>
        <w:sz w:val="30"/>
        <w:vertAlign w:val="baseline"/>
        <w:lang w:val="en-US"/>
      </w:rPr>
    </w:lvl>
    <w:lvl w:ilvl="2" w:tentative="0">
      <w:start w:val="1"/>
      <w:numFmt w:val="decimal"/>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70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pStyle w:val="99"/>
      <w:suff w:val="space"/>
      <w:lvlText w:val="图%1-%5"/>
      <w:lvlJc w:val="center"/>
      <w:pPr>
        <w:ind w:left="1701" w:firstLine="0"/>
      </w:pPr>
      <w:rPr>
        <w:rFonts w:hint="eastAsia"/>
      </w:rPr>
    </w:lvl>
    <w:lvl w:ilvl="5" w:tentative="0">
      <w:start w:val="1"/>
      <w:numFmt w:val="decimal"/>
      <w:lvlRestart w:val="0"/>
      <w:pStyle w:val="100"/>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num w:numId="1">
    <w:abstractNumId w:val="1"/>
  </w:num>
  <w:num w:numId="2">
    <w:abstractNumId w:val="4"/>
  </w:num>
  <w:num w:numId="3">
    <w:abstractNumId w:val="7"/>
  </w:num>
  <w:num w:numId="4">
    <w:abstractNumId w:val="6"/>
  </w:num>
  <w:num w:numId="5">
    <w:abstractNumId w:val="2"/>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0"/>
  <w:defaultTabStop w:val="420"/>
  <w:drawingGridVerticalSpacing w:val="33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iNTkyM2MwZWJiMDEyNGU0MmI2NGQwZjE3NGZkZDAifQ=="/>
  </w:docVars>
  <w:rsids>
    <w:rsidRoot w:val="00172A27"/>
    <w:rsid w:val="0002070D"/>
    <w:rsid w:val="00025ECE"/>
    <w:rsid w:val="00042572"/>
    <w:rsid w:val="000503C8"/>
    <w:rsid w:val="00056160"/>
    <w:rsid w:val="0007479D"/>
    <w:rsid w:val="00090DE5"/>
    <w:rsid w:val="0009127D"/>
    <w:rsid w:val="00096078"/>
    <w:rsid w:val="000A2C5B"/>
    <w:rsid w:val="000A51F4"/>
    <w:rsid w:val="000B3170"/>
    <w:rsid w:val="000D7D7A"/>
    <w:rsid w:val="000E7851"/>
    <w:rsid w:val="000F05EB"/>
    <w:rsid w:val="00102E5F"/>
    <w:rsid w:val="0010752F"/>
    <w:rsid w:val="00112ECF"/>
    <w:rsid w:val="001216ED"/>
    <w:rsid w:val="001327A2"/>
    <w:rsid w:val="00136336"/>
    <w:rsid w:val="00143561"/>
    <w:rsid w:val="0014748C"/>
    <w:rsid w:val="00154BE7"/>
    <w:rsid w:val="00164138"/>
    <w:rsid w:val="00172A27"/>
    <w:rsid w:val="00173C9A"/>
    <w:rsid w:val="0018683A"/>
    <w:rsid w:val="00197B27"/>
    <w:rsid w:val="001B086A"/>
    <w:rsid w:val="001C2010"/>
    <w:rsid w:val="001C46B4"/>
    <w:rsid w:val="001D21F7"/>
    <w:rsid w:val="001E17A2"/>
    <w:rsid w:val="00202129"/>
    <w:rsid w:val="0020481F"/>
    <w:rsid w:val="00212D16"/>
    <w:rsid w:val="0021765F"/>
    <w:rsid w:val="0024029E"/>
    <w:rsid w:val="00240E84"/>
    <w:rsid w:val="0024257A"/>
    <w:rsid w:val="00256CE8"/>
    <w:rsid w:val="00260E6B"/>
    <w:rsid w:val="00265B74"/>
    <w:rsid w:val="00281FAA"/>
    <w:rsid w:val="00296D3B"/>
    <w:rsid w:val="002B23C2"/>
    <w:rsid w:val="002B2C75"/>
    <w:rsid w:val="002C5CAE"/>
    <w:rsid w:val="002E1FDB"/>
    <w:rsid w:val="002E360C"/>
    <w:rsid w:val="002E6509"/>
    <w:rsid w:val="002E7DB6"/>
    <w:rsid w:val="002F26F8"/>
    <w:rsid w:val="00313AF2"/>
    <w:rsid w:val="00331ABC"/>
    <w:rsid w:val="0033248D"/>
    <w:rsid w:val="00340A79"/>
    <w:rsid w:val="003654BD"/>
    <w:rsid w:val="003851D2"/>
    <w:rsid w:val="003860D0"/>
    <w:rsid w:val="003B53A9"/>
    <w:rsid w:val="003C0755"/>
    <w:rsid w:val="003C1B12"/>
    <w:rsid w:val="003C3EE1"/>
    <w:rsid w:val="003D6084"/>
    <w:rsid w:val="003D6108"/>
    <w:rsid w:val="003E2067"/>
    <w:rsid w:val="004003EE"/>
    <w:rsid w:val="004152A0"/>
    <w:rsid w:val="00433857"/>
    <w:rsid w:val="004350B2"/>
    <w:rsid w:val="00454E60"/>
    <w:rsid w:val="00455411"/>
    <w:rsid w:val="004572D7"/>
    <w:rsid w:val="0046169D"/>
    <w:rsid w:val="00463CDD"/>
    <w:rsid w:val="004748EE"/>
    <w:rsid w:val="00477125"/>
    <w:rsid w:val="0048170C"/>
    <w:rsid w:val="00490E00"/>
    <w:rsid w:val="004A3BEE"/>
    <w:rsid w:val="004A7205"/>
    <w:rsid w:val="004A725F"/>
    <w:rsid w:val="004A761B"/>
    <w:rsid w:val="004B4E8A"/>
    <w:rsid w:val="00505B15"/>
    <w:rsid w:val="00521336"/>
    <w:rsid w:val="00526CB6"/>
    <w:rsid w:val="00545F94"/>
    <w:rsid w:val="005561CF"/>
    <w:rsid w:val="005574AD"/>
    <w:rsid w:val="00562BF1"/>
    <w:rsid w:val="0057560F"/>
    <w:rsid w:val="005758F2"/>
    <w:rsid w:val="0058591C"/>
    <w:rsid w:val="0058719E"/>
    <w:rsid w:val="00590090"/>
    <w:rsid w:val="005A2EC4"/>
    <w:rsid w:val="005A33C7"/>
    <w:rsid w:val="005B7601"/>
    <w:rsid w:val="005C7111"/>
    <w:rsid w:val="005E465B"/>
    <w:rsid w:val="005F04C7"/>
    <w:rsid w:val="005F0B5E"/>
    <w:rsid w:val="005F3B47"/>
    <w:rsid w:val="005F6C50"/>
    <w:rsid w:val="006036AC"/>
    <w:rsid w:val="00603A46"/>
    <w:rsid w:val="00606491"/>
    <w:rsid w:val="00622734"/>
    <w:rsid w:val="00622A9B"/>
    <w:rsid w:val="00666BE1"/>
    <w:rsid w:val="006746E2"/>
    <w:rsid w:val="00690EDD"/>
    <w:rsid w:val="00696173"/>
    <w:rsid w:val="006A18F3"/>
    <w:rsid w:val="006A5974"/>
    <w:rsid w:val="006A7BBC"/>
    <w:rsid w:val="006B3255"/>
    <w:rsid w:val="006D0BE2"/>
    <w:rsid w:val="006D1296"/>
    <w:rsid w:val="006E08D0"/>
    <w:rsid w:val="006F1A5D"/>
    <w:rsid w:val="006F5053"/>
    <w:rsid w:val="006F7ADB"/>
    <w:rsid w:val="006F7BA1"/>
    <w:rsid w:val="00702E4A"/>
    <w:rsid w:val="00706724"/>
    <w:rsid w:val="007077B4"/>
    <w:rsid w:val="00741F9E"/>
    <w:rsid w:val="007638F9"/>
    <w:rsid w:val="00786DDB"/>
    <w:rsid w:val="007931F7"/>
    <w:rsid w:val="0079656F"/>
    <w:rsid w:val="007A67B0"/>
    <w:rsid w:val="007C1EA3"/>
    <w:rsid w:val="007D08D7"/>
    <w:rsid w:val="007E689E"/>
    <w:rsid w:val="007F4F9A"/>
    <w:rsid w:val="00821DE9"/>
    <w:rsid w:val="00825F07"/>
    <w:rsid w:val="0084128F"/>
    <w:rsid w:val="0084307C"/>
    <w:rsid w:val="008447C0"/>
    <w:rsid w:val="008467D1"/>
    <w:rsid w:val="008611E2"/>
    <w:rsid w:val="00865651"/>
    <w:rsid w:val="008656DC"/>
    <w:rsid w:val="00870BB0"/>
    <w:rsid w:val="00871A90"/>
    <w:rsid w:val="00892702"/>
    <w:rsid w:val="008C4320"/>
    <w:rsid w:val="008D116F"/>
    <w:rsid w:val="008D33C7"/>
    <w:rsid w:val="008D52D9"/>
    <w:rsid w:val="00902CCC"/>
    <w:rsid w:val="009133E9"/>
    <w:rsid w:val="00914F7B"/>
    <w:rsid w:val="00915B8E"/>
    <w:rsid w:val="00930DB7"/>
    <w:rsid w:val="00937F06"/>
    <w:rsid w:val="00941BBA"/>
    <w:rsid w:val="0094310F"/>
    <w:rsid w:val="00951CF5"/>
    <w:rsid w:val="009705C9"/>
    <w:rsid w:val="00970B67"/>
    <w:rsid w:val="00970C4A"/>
    <w:rsid w:val="00972CAE"/>
    <w:rsid w:val="009833CE"/>
    <w:rsid w:val="00994335"/>
    <w:rsid w:val="00997E6C"/>
    <w:rsid w:val="009A01CF"/>
    <w:rsid w:val="009D306E"/>
    <w:rsid w:val="009E316E"/>
    <w:rsid w:val="009E4319"/>
    <w:rsid w:val="00A02ECD"/>
    <w:rsid w:val="00A06C46"/>
    <w:rsid w:val="00A224E8"/>
    <w:rsid w:val="00A2668A"/>
    <w:rsid w:val="00A31A5B"/>
    <w:rsid w:val="00A36282"/>
    <w:rsid w:val="00A71D00"/>
    <w:rsid w:val="00A7748B"/>
    <w:rsid w:val="00A90DAF"/>
    <w:rsid w:val="00A91777"/>
    <w:rsid w:val="00AB2C17"/>
    <w:rsid w:val="00AB61A1"/>
    <w:rsid w:val="00AC2F9D"/>
    <w:rsid w:val="00AD2EFF"/>
    <w:rsid w:val="00AE6E11"/>
    <w:rsid w:val="00B1073C"/>
    <w:rsid w:val="00B21ECE"/>
    <w:rsid w:val="00B43FBA"/>
    <w:rsid w:val="00B61127"/>
    <w:rsid w:val="00B7302F"/>
    <w:rsid w:val="00B81FE5"/>
    <w:rsid w:val="00B9277C"/>
    <w:rsid w:val="00BA0FBD"/>
    <w:rsid w:val="00BA1333"/>
    <w:rsid w:val="00BB04D6"/>
    <w:rsid w:val="00BB0937"/>
    <w:rsid w:val="00BB198F"/>
    <w:rsid w:val="00BB5F52"/>
    <w:rsid w:val="00BB6E41"/>
    <w:rsid w:val="00BB7115"/>
    <w:rsid w:val="00BC137B"/>
    <w:rsid w:val="00BD5A55"/>
    <w:rsid w:val="00BE0D12"/>
    <w:rsid w:val="00BF018F"/>
    <w:rsid w:val="00BF28B1"/>
    <w:rsid w:val="00BF29FE"/>
    <w:rsid w:val="00C00046"/>
    <w:rsid w:val="00C00F57"/>
    <w:rsid w:val="00C0129E"/>
    <w:rsid w:val="00C01F6E"/>
    <w:rsid w:val="00C257F0"/>
    <w:rsid w:val="00C258CA"/>
    <w:rsid w:val="00C6031D"/>
    <w:rsid w:val="00C61813"/>
    <w:rsid w:val="00C72D45"/>
    <w:rsid w:val="00C77970"/>
    <w:rsid w:val="00C81E70"/>
    <w:rsid w:val="00C857AA"/>
    <w:rsid w:val="00C954AE"/>
    <w:rsid w:val="00CA6049"/>
    <w:rsid w:val="00CA665C"/>
    <w:rsid w:val="00CB1F51"/>
    <w:rsid w:val="00CC0E7E"/>
    <w:rsid w:val="00CD0993"/>
    <w:rsid w:val="00CE0AEF"/>
    <w:rsid w:val="00CE3191"/>
    <w:rsid w:val="00CF2407"/>
    <w:rsid w:val="00D04C8F"/>
    <w:rsid w:val="00D05AB3"/>
    <w:rsid w:val="00D06E02"/>
    <w:rsid w:val="00D17D31"/>
    <w:rsid w:val="00D27259"/>
    <w:rsid w:val="00D273EB"/>
    <w:rsid w:val="00D27C7E"/>
    <w:rsid w:val="00D31D0A"/>
    <w:rsid w:val="00D31EF9"/>
    <w:rsid w:val="00D322D2"/>
    <w:rsid w:val="00D37684"/>
    <w:rsid w:val="00D4123C"/>
    <w:rsid w:val="00D446B6"/>
    <w:rsid w:val="00D46B7C"/>
    <w:rsid w:val="00D5197E"/>
    <w:rsid w:val="00D7388D"/>
    <w:rsid w:val="00D83A46"/>
    <w:rsid w:val="00D83FDF"/>
    <w:rsid w:val="00DA132D"/>
    <w:rsid w:val="00DB3CEF"/>
    <w:rsid w:val="00DB5308"/>
    <w:rsid w:val="00DC4E9B"/>
    <w:rsid w:val="00DD6238"/>
    <w:rsid w:val="00DE2298"/>
    <w:rsid w:val="00E009FD"/>
    <w:rsid w:val="00E06AFA"/>
    <w:rsid w:val="00E10371"/>
    <w:rsid w:val="00E13450"/>
    <w:rsid w:val="00E30A11"/>
    <w:rsid w:val="00E419A1"/>
    <w:rsid w:val="00E4399C"/>
    <w:rsid w:val="00E553F8"/>
    <w:rsid w:val="00E64DAF"/>
    <w:rsid w:val="00E71F60"/>
    <w:rsid w:val="00E75734"/>
    <w:rsid w:val="00E7651E"/>
    <w:rsid w:val="00E84D89"/>
    <w:rsid w:val="00E92DE2"/>
    <w:rsid w:val="00E94F87"/>
    <w:rsid w:val="00EB123A"/>
    <w:rsid w:val="00EC5079"/>
    <w:rsid w:val="00F00268"/>
    <w:rsid w:val="00F078E6"/>
    <w:rsid w:val="00F1294D"/>
    <w:rsid w:val="00F20ACC"/>
    <w:rsid w:val="00F22E01"/>
    <w:rsid w:val="00F251A7"/>
    <w:rsid w:val="00F25B08"/>
    <w:rsid w:val="00F418B8"/>
    <w:rsid w:val="00F53783"/>
    <w:rsid w:val="00F540D2"/>
    <w:rsid w:val="00F66E24"/>
    <w:rsid w:val="00F67CF4"/>
    <w:rsid w:val="00F7221D"/>
    <w:rsid w:val="00F84C2E"/>
    <w:rsid w:val="00F93C25"/>
    <w:rsid w:val="00F94BAF"/>
    <w:rsid w:val="00F95E6E"/>
    <w:rsid w:val="00FA53C8"/>
    <w:rsid w:val="00FC12ED"/>
    <w:rsid w:val="00FE3C7E"/>
    <w:rsid w:val="00FF13A3"/>
    <w:rsid w:val="00FF57C7"/>
    <w:rsid w:val="01A30B83"/>
    <w:rsid w:val="0247556A"/>
    <w:rsid w:val="02AE4F35"/>
    <w:rsid w:val="04141034"/>
    <w:rsid w:val="04493100"/>
    <w:rsid w:val="04754702"/>
    <w:rsid w:val="04CF0E5A"/>
    <w:rsid w:val="0566711C"/>
    <w:rsid w:val="05817035"/>
    <w:rsid w:val="05F07976"/>
    <w:rsid w:val="05F74322"/>
    <w:rsid w:val="06081A65"/>
    <w:rsid w:val="061E0340"/>
    <w:rsid w:val="068D324A"/>
    <w:rsid w:val="06AF0993"/>
    <w:rsid w:val="06DC691B"/>
    <w:rsid w:val="0A201BF2"/>
    <w:rsid w:val="0AD77082"/>
    <w:rsid w:val="0B265582"/>
    <w:rsid w:val="0B306DBE"/>
    <w:rsid w:val="0B316CA4"/>
    <w:rsid w:val="0B9F35B1"/>
    <w:rsid w:val="0BF97B84"/>
    <w:rsid w:val="0C976A20"/>
    <w:rsid w:val="0CA52F07"/>
    <w:rsid w:val="0CCF55BC"/>
    <w:rsid w:val="0E473CBC"/>
    <w:rsid w:val="0E9035F9"/>
    <w:rsid w:val="0EC33541"/>
    <w:rsid w:val="0ECB7C45"/>
    <w:rsid w:val="0F11682F"/>
    <w:rsid w:val="0F433310"/>
    <w:rsid w:val="0F643DC2"/>
    <w:rsid w:val="0F7709E5"/>
    <w:rsid w:val="0F8E1C7E"/>
    <w:rsid w:val="10471AB5"/>
    <w:rsid w:val="106B10D0"/>
    <w:rsid w:val="10A531DC"/>
    <w:rsid w:val="10B336F1"/>
    <w:rsid w:val="10D72BAC"/>
    <w:rsid w:val="114C1CC7"/>
    <w:rsid w:val="119A3908"/>
    <w:rsid w:val="124243FD"/>
    <w:rsid w:val="124317D3"/>
    <w:rsid w:val="127F2F48"/>
    <w:rsid w:val="12BF7236"/>
    <w:rsid w:val="12C02EFB"/>
    <w:rsid w:val="133A1C8E"/>
    <w:rsid w:val="13B77A7E"/>
    <w:rsid w:val="13D37EF3"/>
    <w:rsid w:val="14346A29"/>
    <w:rsid w:val="145E7B37"/>
    <w:rsid w:val="14B47343"/>
    <w:rsid w:val="15741F45"/>
    <w:rsid w:val="1585667E"/>
    <w:rsid w:val="159D4D2D"/>
    <w:rsid w:val="15CD1E77"/>
    <w:rsid w:val="16E2190B"/>
    <w:rsid w:val="179610BC"/>
    <w:rsid w:val="17AF09B5"/>
    <w:rsid w:val="17DE48A0"/>
    <w:rsid w:val="1812499F"/>
    <w:rsid w:val="181F68A5"/>
    <w:rsid w:val="18417104"/>
    <w:rsid w:val="18E216F1"/>
    <w:rsid w:val="19353F17"/>
    <w:rsid w:val="197334DE"/>
    <w:rsid w:val="1A410CD2"/>
    <w:rsid w:val="1A4F3326"/>
    <w:rsid w:val="1AF16875"/>
    <w:rsid w:val="1CAF29FC"/>
    <w:rsid w:val="1CF25446"/>
    <w:rsid w:val="1D71047A"/>
    <w:rsid w:val="1D847F82"/>
    <w:rsid w:val="1DCB43A1"/>
    <w:rsid w:val="1DD61084"/>
    <w:rsid w:val="1E023BCA"/>
    <w:rsid w:val="1E3A41F6"/>
    <w:rsid w:val="1F5609F0"/>
    <w:rsid w:val="1F8F1673"/>
    <w:rsid w:val="1FB846ED"/>
    <w:rsid w:val="1FD947DB"/>
    <w:rsid w:val="20C0418E"/>
    <w:rsid w:val="20E40163"/>
    <w:rsid w:val="21CD2F3E"/>
    <w:rsid w:val="22A21256"/>
    <w:rsid w:val="23BE577F"/>
    <w:rsid w:val="23C24AE9"/>
    <w:rsid w:val="2419335D"/>
    <w:rsid w:val="242F484E"/>
    <w:rsid w:val="24494EA3"/>
    <w:rsid w:val="24612B73"/>
    <w:rsid w:val="252D7186"/>
    <w:rsid w:val="258F5A4B"/>
    <w:rsid w:val="25A03664"/>
    <w:rsid w:val="26631034"/>
    <w:rsid w:val="26963F90"/>
    <w:rsid w:val="28072C3E"/>
    <w:rsid w:val="28110372"/>
    <w:rsid w:val="282E289C"/>
    <w:rsid w:val="28D17146"/>
    <w:rsid w:val="29334B90"/>
    <w:rsid w:val="2A2E50B5"/>
    <w:rsid w:val="2AC82E3D"/>
    <w:rsid w:val="2B16350E"/>
    <w:rsid w:val="2BB46D8C"/>
    <w:rsid w:val="2C6A73B2"/>
    <w:rsid w:val="2D97116D"/>
    <w:rsid w:val="2DEA131C"/>
    <w:rsid w:val="2F091204"/>
    <w:rsid w:val="304C5124"/>
    <w:rsid w:val="30AF4D78"/>
    <w:rsid w:val="30B62E15"/>
    <w:rsid w:val="316E33E6"/>
    <w:rsid w:val="31AA01F5"/>
    <w:rsid w:val="327B6B43"/>
    <w:rsid w:val="331D184C"/>
    <w:rsid w:val="33BA5D96"/>
    <w:rsid w:val="345376EB"/>
    <w:rsid w:val="360A4309"/>
    <w:rsid w:val="365165C2"/>
    <w:rsid w:val="36F6750C"/>
    <w:rsid w:val="37D14FD9"/>
    <w:rsid w:val="383A485D"/>
    <w:rsid w:val="38A9763E"/>
    <w:rsid w:val="396632DF"/>
    <w:rsid w:val="39C71B9C"/>
    <w:rsid w:val="39D17196"/>
    <w:rsid w:val="39E434A6"/>
    <w:rsid w:val="3A5E5FAE"/>
    <w:rsid w:val="3AB502B9"/>
    <w:rsid w:val="3AF70BD4"/>
    <w:rsid w:val="3AFD7905"/>
    <w:rsid w:val="3BC213DA"/>
    <w:rsid w:val="3BD16973"/>
    <w:rsid w:val="3C131859"/>
    <w:rsid w:val="3C7125E0"/>
    <w:rsid w:val="3D43674A"/>
    <w:rsid w:val="3D694300"/>
    <w:rsid w:val="3E8E17B2"/>
    <w:rsid w:val="3F0502B4"/>
    <w:rsid w:val="3F81174E"/>
    <w:rsid w:val="3F8B3B7F"/>
    <w:rsid w:val="4044266A"/>
    <w:rsid w:val="405927F6"/>
    <w:rsid w:val="41C82255"/>
    <w:rsid w:val="41F06AA9"/>
    <w:rsid w:val="424D5897"/>
    <w:rsid w:val="432E715D"/>
    <w:rsid w:val="4354594A"/>
    <w:rsid w:val="44645086"/>
    <w:rsid w:val="44752C90"/>
    <w:rsid w:val="46D00C57"/>
    <w:rsid w:val="46EF0821"/>
    <w:rsid w:val="471322DB"/>
    <w:rsid w:val="47336768"/>
    <w:rsid w:val="4781796E"/>
    <w:rsid w:val="47830374"/>
    <w:rsid w:val="47F43D5C"/>
    <w:rsid w:val="48A169DA"/>
    <w:rsid w:val="48C31AAC"/>
    <w:rsid w:val="48FC7ABB"/>
    <w:rsid w:val="4A55764E"/>
    <w:rsid w:val="4B232DA2"/>
    <w:rsid w:val="4BEE0AE7"/>
    <w:rsid w:val="4C2757BD"/>
    <w:rsid w:val="4E955452"/>
    <w:rsid w:val="4ECB6CAE"/>
    <w:rsid w:val="4F03700D"/>
    <w:rsid w:val="4F100315"/>
    <w:rsid w:val="4F445429"/>
    <w:rsid w:val="50A849F3"/>
    <w:rsid w:val="527C1CA4"/>
    <w:rsid w:val="52CC6BCB"/>
    <w:rsid w:val="53010FAA"/>
    <w:rsid w:val="530F7A1D"/>
    <w:rsid w:val="53244B69"/>
    <w:rsid w:val="55030E38"/>
    <w:rsid w:val="558F2C6B"/>
    <w:rsid w:val="55ED4344"/>
    <w:rsid w:val="56D46542"/>
    <w:rsid w:val="56E5297A"/>
    <w:rsid w:val="57FE49CA"/>
    <w:rsid w:val="580E1EB0"/>
    <w:rsid w:val="582A0F34"/>
    <w:rsid w:val="58AB6E2E"/>
    <w:rsid w:val="58B60843"/>
    <w:rsid w:val="58C319FE"/>
    <w:rsid w:val="58E33474"/>
    <w:rsid w:val="58EA6908"/>
    <w:rsid w:val="59A34FF2"/>
    <w:rsid w:val="5A2010F6"/>
    <w:rsid w:val="5AD92C85"/>
    <w:rsid w:val="5C022EB6"/>
    <w:rsid w:val="5C6B6E86"/>
    <w:rsid w:val="5C860379"/>
    <w:rsid w:val="5E9465B6"/>
    <w:rsid w:val="5F6B0B28"/>
    <w:rsid w:val="5FDB5835"/>
    <w:rsid w:val="60202327"/>
    <w:rsid w:val="607273DC"/>
    <w:rsid w:val="613569B1"/>
    <w:rsid w:val="613D220F"/>
    <w:rsid w:val="61841D0A"/>
    <w:rsid w:val="61D44FC8"/>
    <w:rsid w:val="6293593A"/>
    <w:rsid w:val="62960426"/>
    <w:rsid w:val="62F0755E"/>
    <w:rsid w:val="64293B8E"/>
    <w:rsid w:val="64E33FFC"/>
    <w:rsid w:val="64FB113D"/>
    <w:rsid w:val="651E139E"/>
    <w:rsid w:val="65494F78"/>
    <w:rsid w:val="65532279"/>
    <w:rsid w:val="66204D78"/>
    <w:rsid w:val="664B1D34"/>
    <w:rsid w:val="66D02156"/>
    <w:rsid w:val="67C80372"/>
    <w:rsid w:val="67DC5256"/>
    <w:rsid w:val="6A467F43"/>
    <w:rsid w:val="6A60055A"/>
    <w:rsid w:val="6A714E1D"/>
    <w:rsid w:val="6AF87D3C"/>
    <w:rsid w:val="6BE56510"/>
    <w:rsid w:val="6BE86A0E"/>
    <w:rsid w:val="6CB96A66"/>
    <w:rsid w:val="6CF06D71"/>
    <w:rsid w:val="6E0A5D67"/>
    <w:rsid w:val="6E1F7C4B"/>
    <w:rsid w:val="6E32298A"/>
    <w:rsid w:val="6E5A5127"/>
    <w:rsid w:val="6E676F9D"/>
    <w:rsid w:val="6E6A56FB"/>
    <w:rsid w:val="6E72278F"/>
    <w:rsid w:val="70C02160"/>
    <w:rsid w:val="716014FF"/>
    <w:rsid w:val="71C35E84"/>
    <w:rsid w:val="72007A43"/>
    <w:rsid w:val="722D37D0"/>
    <w:rsid w:val="72506084"/>
    <w:rsid w:val="728B0416"/>
    <w:rsid w:val="72920640"/>
    <w:rsid w:val="730D4CF1"/>
    <w:rsid w:val="735E4399"/>
    <w:rsid w:val="7445734F"/>
    <w:rsid w:val="747316B5"/>
    <w:rsid w:val="75C91C6E"/>
    <w:rsid w:val="760B750C"/>
    <w:rsid w:val="76B547C1"/>
    <w:rsid w:val="76CF41D8"/>
    <w:rsid w:val="76FC7E00"/>
    <w:rsid w:val="772E6BF6"/>
    <w:rsid w:val="775C1452"/>
    <w:rsid w:val="7764590B"/>
    <w:rsid w:val="778A3A28"/>
    <w:rsid w:val="77F425A8"/>
    <w:rsid w:val="77F42E18"/>
    <w:rsid w:val="78001FA9"/>
    <w:rsid w:val="78062443"/>
    <w:rsid w:val="789177B8"/>
    <w:rsid w:val="78D3567C"/>
    <w:rsid w:val="78EB7157"/>
    <w:rsid w:val="79166379"/>
    <w:rsid w:val="79BE1D83"/>
    <w:rsid w:val="7A21330E"/>
    <w:rsid w:val="7A253E95"/>
    <w:rsid w:val="7AAA35A9"/>
    <w:rsid w:val="7AE95E8D"/>
    <w:rsid w:val="7B0408F4"/>
    <w:rsid w:val="7B0C2E22"/>
    <w:rsid w:val="7BC80683"/>
    <w:rsid w:val="7BD17A9C"/>
    <w:rsid w:val="7C2851A4"/>
    <w:rsid w:val="7C3E2F6D"/>
    <w:rsid w:val="7CAF4A89"/>
    <w:rsid w:val="7CB1316C"/>
    <w:rsid w:val="7CEC1A10"/>
    <w:rsid w:val="7D8329CC"/>
    <w:rsid w:val="7D9F4952"/>
    <w:rsid w:val="7DAB201A"/>
    <w:rsid w:val="7DF535DF"/>
    <w:rsid w:val="7E254673"/>
    <w:rsid w:val="7EAC118F"/>
    <w:rsid w:val="7EDD397E"/>
    <w:rsid w:val="7F47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link w:val="54"/>
    <w:qFormat/>
    <w:uiPriority w:val="0"/>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3"/>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widowControl/>
      <w:tabs>
        <w:tab w:val="left" w:pos="864"/>
      </w:tabs>
      <w:spacing w:before="160" w:after="160"/>
      <w:ind w:left="864" w:hanging="864"/>
      <w:outlineLvl w:val="3"/>
    </w:pPr>
    <w:rPr>
      <w:rFonts w:ascii="Arial" w:hAnsi="Arial" w:eastAsia="黑体"/>
      <w:szCs w:val="21"/>
    </w:rPr>
  </w:style>
  <w:style w:type="paragraph" w:styleId="8">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spacing w:line="360" w:lineRule="auto"/>
      <w:ind w:firstLine="425"/>
    </w:pPr>
    <w:rPr>
      <w:rFonts w:ascii="宋体"/>
    </w:rPr>
  </w:style>
  <w:style w:type="paragraph" w:styleId="4">
    <w:name w:val="toa heading"/>
    <w:basedOn w:val="1"/>
    <w:next w:val="1"/>
    <w:qFormat/>
    <w:uiPriority w:val="99"/>
    <w:pPr>
      <w:spacing w:before="120"/>
    </w:pPr>
    <w:rPr>
      <w:rFonts w:ascii="Cambria" w:hAnsi="Cambria"/>
      <w:sz w:val="24"/>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caption"/>
    <w:basedOn w:val="1"/>
    <w:next w:val="1"/>
    <w:qFormat/>
    <w:uiPriority w:val="0"/>
    <w:pPr>
      <w:numPr>
        <w:ilvl w:val="1"/>
        <w:numId w:val="2"/>
      </w:numPr>
      <w:tabs>
        <w:tab w:val="clear" w:pos="1133"/>
      </w:tabs>
      <w:spacing w:before="152" w:after="160"/>
      <w:ind w:left="0" w:firstLine="0"/>
    </w:pPr>
    <w:rPr>
      <w:rFonts w:ascii="Arial" w:hAnsi="Arial" w:eastAsia="黑体" w:cs="Arial"/>
      <w:sz w:val="20"/>
    </w:rPr>
  </w:style>
  <w:style w:type="paragraph" w:styleId="15">
    <w:name w:val="Document Map"/>
    <w:basedOn w:val="1"/>
    <w:link w:val="58"/>
    <w:semiHidden/>
    <w:qFormat/>
    <w:uiPriority w:val="0"/>
    <w:pPr>
      <w:shd w:val="clear" w:color="auto" w:fill="000080"/>
    </w:pPr>
  </w:style>
  <w:style w:type="paragraph" w:styleId="16">
    <w:name w:val="annotation text"/>
    <w:basedOn w:val="1"/>
    <w:link w:val="48"/>
    <w:semiHidden/>
    <w:qFormat/>
    <w:uiPriority w:val="0"/>
    <w:pPr>
      <w:jc w:val="left"/>
    </w:pPr>
    <w:rPr>
      <w:szCs w:val="24"/>
    </w:rPr>
  </w:style>
  <w:style w:type="paragraph" w:styleId="17">
    <w:name w:val="Salutation"/>
    <w:basedOn w:val="1"/>
    <w:next w:val="1"/>
    <w:qFormat/>
    <w:uiPriority w:val="0"/>
    <w:rPr>
      <w:sz w:val="28"/>
      <w:szCs w:val="24"/>
    </w:rPr>
  </w:style>
  <w:style w:type="paragraph" w:styleId="18">
    <w:name w:val="Body Text"/>
    <w:basedOn w:val="1"/>
    <w:semiHidden/>
    <w:qFormat/>
    <w:uiPriority w:val="0"/>
    <w:pPr>
      <w:spacing w:before="100" w:beforeAutospacing="1" w:after="100" w:afterAutospacing="1" w:line="600" w:lineRule="auto"/>
    </w:pPr>
    <w:rPr>
      <w:rFonts w:eastAsia="华文新魏"/>
      <w:color w:val="CC99FF"/>
      <w:sz w:val="52"/>
      <w:szCs w:val="24"/>
    </w:rPr>
  </w:style>
  <w:style w:type="paragraph" w:styleId="19">
    <w:name w:val="Body Text Indent"/>
    <w:basedOn w:val="1"/>
    <w:qFormat/>
    <w:uiPriority w:val="0"/>
    <w:pPr>
      <w:spacing w:after="120"/>
      <w:ind w:left="420" w:leftChars="200"/>
    </w:p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rPr>
  </w:style>
  <w:style w:type="paragraph" w:styleId="22">
    <w:name w:val="Plain Text"/>
    <w:basedOn w:val="1"/>
    <w:link w:val="53"/>
    <w:qFormat/>
    <w:uiPriority w:val="0"/>
    <w:rPr>
      <w:rFonts w:ascii="宋体" w:hAnsi="Courier New"/>
    </w:rPr>
  </w:style>
  <w:style w:type="paragraph" w:styleId="23">
    <w:name w:val="toc 8"/>
    <w:basedOn w:val="1"/>
    <w:next w:val="1"/>
    <w:unhideWhenUsed/>
    <w:qFormat/>
    <w:uiPriority w:val="0"/>
    <w:pPr>
      <w:ind w:left="1470"/>
      <w:jc w:val="left"/>
    </w:pPr>
    <w:rPr>
      <w:rFonts w:ascii="Calibri" w:hAnsi="Calibri"/>
      <w:sz w:val="18"/>
      <w:szCs w:val="18"/>
    </w:rPr>
  </w:style>
  <w:style w:type="paragraph" w:styleId="24">
    <w:name w:val="Date"/>
    <w:basedOn w:val="1"/>
    <w:next w:val="1"/>
    <w:qFormat/>
    <w:uiPriority w:val="0"/>
    <w:pPr>
      <w:adjustRightInd w:val="0"/>
      <w:spacing w:line="360" w:lineRule="atLeast"/>
      <w:ind w:firstLine="454"/>
      <w:textAlignment w:val="baseline"/>
    </w:pPr>
    <w:rPr>
      <w:kern w:val="0"/>
    </w:rPr>
  </w:style>
  <w:style w:type="paragraph" w:styleId="25">
    <w:name w:val="Body Text Indent 2"/>
    <w:basedOn w:val="1"/>
    <w:qFormat/>
    <w:uiPriority w:val="0"/>
    <w:pPr>
      <w:ind w:firstLine="480"/>
    </w:pPr>
    <w:rPr>
      <w:rFonts w:ascii="宋体" w:hAnsi="宋体"/>
      <w:sz w:val="30"/>
      <w:szCs w:val="24"/>
    </w:r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style>
  <w:style w:type="paragraph" w:styleId="30">
    <w:name w:val="toc 4"/>
    <w:basedOn w:val="1"/>
    <w:next w:val="1"/>
    <w:unhideWhenUsed/>
    <w:qFormat/>
    <w:uiPriority w:val="0"/>
    <w:pPr>
      <w:ind w:left="630"/>
      <w:jc w:val="left"/>
    </w:pPr>
    <w:rPr>
      <w:rFonts w:ascii="Calibri" w:hAnsi="Calibri"/>
      <w:sz w:val="18"/>
      <w:szCs w:val="18"/>
    </w:rPr>
  </w:style>
  <w:style w:type="paragraph" w:styleId="31">
    <w:name w:val="toc 6"/>
    <w:basedOn w:val="1"/>
    <w:next w:val="1"/>
    <w:unhideWhenUsed/>
    <w:qFormat/>
    <w:uiPriority w:val="0"/>
    <w:pPr>
      <w:ind w:left="1050"/>
      <w:jc w:val="left"/>
    </w:pPr>
    <w:rPr>
      <w:rFonts w:ascii="Calibri" w:hAnsi="Calibri"/>
      <w:sz w:val="18"/>
      <w:szCs w:val="18"/>
    </w:rPr>
  </w:style>
  <w:style w:type="paragraph" w:styleId="32">
    <w:name w:val="Body Text Indent 3"/>
    <w:basedOn w:val="1"/>
    <w:link w:val="66"/>
    <w:qFormat/>
    <w:uiPriority w:val="0"/>
    <w:pPr>
      <w:spacing w:after="120"/>
      <w:ind w:left="420" w:leftChars="200"/>
    </w:pPr>
    <w:rPr>
      <w:sz w:val="16"/>
      <w:szCs w:val="16"/>
    </w:rPr>
  </w:style>
  <w:style w:type="paragraph" w:styleId="33">
    <w:name w:val="toc 2"/>
    <w:basedOn w:val="1"/>
    <w:next w:val="1"/>
    <w:qFormat/>
    <w:uiPriority w:val="39"/>
    <w:pPr>
      <w:ind w:left="420" w:leftChars="200"/>
    </w:pPr>
  </w:style>
  <w:style w:type="paragraph" w:styleId="34">
    <w:name w:val="toc 9"/>
    <w:basedOn w:val="1"/>
    <w:next w:val="1"/>
    <w:unhideWhenUsed/>
    <w:qFormat/>
    <w:uiPriority w:val="0"/>
    <w:pPr>
      <w:ind w:left="1680"/>
      <w:jc w:val="left"/>
    </w:pPr>
    <w:rPr>
      <w:rFonts w:ascii="Calibri" w:hAnsi="Calibri"/>
      <w:sz w:val="18"/>
      <w:szCs w:val="18"/>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6"/>
    <w:next w:val="16"/>
    <w:link w:val="63"/>
    <w:qFormat/>
    <w:uiPriority w:val="0"/>
    <w:rPr>
      <w:b/>
      <w:bCs/>
    </w:rPr>
  </w:style>
  <w:style w:type="paragraph" w:styleId="37">
    <w:name w:val="Body Text First Indent"/>
    <w:basedOn w:val="18"/>
    <w:qFormat/>
    <w:uiPriority w:val="0"/>
    <w:pPr>
      <w:spacing w:before="0" w:beforeAutospacing="0" w:after="120" w:afterAutospacing="0" w:line="240" w:lineRule="auto"/>
      <w:ind w:firstLine="420"/>
    </w:pPr>
    <w:rPr>
      <w:rFonts w:eastAsia="宋体"/>
      <w:color w:val="auto"/>
      <w:sz w:val="21"/>
      <w:szCs w:val="20"/>
    </w:rPr>
  </w:style>
  <w:style w:type="table" w:styleId="39">
    <w:name w:val="Table Grid"/>
    <w:basedOn w:val="3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_Style 2"/>
    <w:basedOn w:val="5"/>
    <w:next w:val="1"/>
    <w:qFormat/>
    <w:uiPriority w:val="39"/>
    <w:pPr>
      <w:keepLines/>
      <w:spacing w:before="480" w:line="276" w:lineRule="auto"/>
      <w:outlineLvl w:val="9"/>
    </w:pPr>
    <w:rPr>
      <w:rFonts w:ascii="仿宋" w:hAnsi="仿宋" w:eastAsia="仿宋"/>
      <w:color w:val="000000"/>
    </w:rPr>
  </w:style>
  <w:style w:type="character" w:customStyle="1" w:styleId="47">
    <w:name w:val="正文首行缩进 Char Char Char Char Char Char Char"/>
    <w:qFormat/>
    <w:uiPriority w:val="0"/>
    <w:rPr>
      <w:rFonts w:eastAsia="宋体"/>
      <w:kern w:val="2"/>
      <w:sz w:val="21"/>
      <w:szCs w:val="21"/>
      <w:lang w:val="en-US" w:eastAsia="zh-CN" w:bidi="ar-SA"/>
    </w:rPr>
  </w:style>
  <w:style w:type="character" w:customStyle="1" w:styleId="48">
    <w:name w:val="批注文字 Char"/>
    <w:link w:val="16"/>
    <w:qFormat/>
    <w:uiPriority w:val="0"/>
    <w:rPr>
      <w:rFonts w:eastAsia="宋体"/>
      <w:kern w:val="2"/>
      <w:sz w:val="21"/>
      <w:szCs w:val="24"/>
      <w:lang w:val="en-US" w:eastAsia="zh-CN" w:bidi="ar-SA"/>
    </w:rPr>
  </w:style>
  <w:style w:type="character" w:customStyle="1" w:styleId="49">
    <w:name w:val="ca-31"/>
    <w:qFormat/>
    <w:uiPriority w:val="0"/>
    <w:rPr>
      <w:rFonts w:hint="default" w:ascii="Times New Roman" w:hAnsi="Times New Roman" w:cs="Times New Roman"/>
      <w:b/>
      <w:bCs/>
      <w:spacing w:val="-20"/>
      <w:sz w:val="24"/>
      <w:szCs w:val="24"/>
    </w:rPr>
  </w:style>
  <w:style w:type="character" w:customStyle="1" w:styleId="50">
    <w:name w:val="apple-style-span"/>
    <w:basedOn w:val="40"/>
    <w:qFormat/>
    <w:uiPriority w:val="0"/>
  </w:style>
  <w:style w:type="character" w:customStyle="1" w:styleId="51">
    <w:name w:val="Table Text Char1"/>
    <w:link w:val="52"/>
    <w:qFormat/>
    <w:uiPriority w:val="0"/>
    <w:rPr>
      <w:rFonts w:ascii="Arial" w:hAnsi="Arial"/>
      <w:sz w:val="18"/>
      <w:lang w:val="en-US" w:eastAsia="en-US" w:bidi="ar-SA"/>
    </w:rPr>
  </w:style>
  <w:style w:type="paragraph" w:customStyle="1" w:styleId="52">
    <w:name w:val="Table Text"/>
    <w:link w:val="51"/>
    <w:qFormat/>
    <w:uiPriority w:val="0"/>
    <w:pPr>
      <w:snapToGrid w:val="0"/>
      <w:spacing w:before="80" w:after="80"/>
    </w:pPr>
    <w:rPr>
      <w:rFonts w:ascii="Arial" w:hAnsi="Arial" w:eastAsia="宋体" w:cs="Times New Roman"/>
      <w:sz w:val="18"/>
      <w:lang w:val="en-US" w:eastAsia="en-US" w:bidi="ar-SA"/>
    </w:rPr>
  </w:style>
  <w:style w:type="character" w:customStyle="1" w:styleId="53">
    <w:name w:val="纯文本 Char"/>
    <w:link w:val="22"/>
    <w:qFormat/>
    <w:locked/>
    <w:uiPriority w:val="0"/>
    <w:rPr>
      <w:rFonts w:ascii="宋体" w:hAnsi="Courier New"/>
      <w:kern w:val="2"/>
      <w:sz w:val="21"/>
    </w:rPr>
  </w:style>
  <w:style w:type="character" w:customStyle="1" w:styleId="54">
    <w:name w:val="标题 2 Char"/>
    <w:link w:val="6"/>
    <w:qFormat/>
    <w:locked/>
    <w:uiPriority w:val="0"/>
    <w:rPr>
      <w:rFonts w:ascii="Arial Black" w:hAnsi="Arial Black" w:eastAsia="黑体"/>
      <w:b/>
      <w:bCs/>
      <w:kern w:val="2"/>
      <w:sz w:val="32"/>
      <w:szCs w:val="32"/>
    </w:rPr>
  </w:style>
  <w:style w:type="character" w:customStyle="1" w:styleId="55">
    <w:name w:val="ca-01"/>
    <w:qFormat/>
    <w:uiPriority w:val="0"/>
    <w:rPr>
      <w:rFonts w:hint="eastAsia" w:ascii="宋体" w:hAnsi="宋体" w:eastAsia="宋体"/>
      <w:b/>
      <w:bCs/>
      <w:spacing w:val="-20"/>
      <w:sz w:val="24"/>
      <w:szCs w:val="24"/>
    </w:rPr>
  </w:style>
  <w:style w:type="character" w:customStyle="1" w:styleId="56">
    <w:name w:val="ca-21"/>
    <w:qFormat/>
    <w:uiPriority w:val="0"/>
    <w:rPr>
      <w:rFonts w:hint="default" w:ascii="Times New Roman" w:hAnsi="Times New Roman" w:cs="Times New Roman"/>
      <w:sz w:val="24"/>
      <w:szCs w:val="24"/>
    </w:rPr>
  </w:style>
  <w:style w:type="character" w:customStyle="1" w:styleId="57">
    <w:name w:val="tpc_content1"/>
    <w:qFormat/>
    <w:uiPriority w:val="0"/>
    <w:rPr>
      <w:sz w:val="20"/>
      <w:szCs w:val="20"/>
    </w:rPr>
  </w:style>
  <w:style w:type="character" w:customStyle="1" w:styleId="58">
    <w:name w:val="文档结构图 Char"/>
    <w:link w:val="15"/>
    <w:qFormat/>
    <w:uiPriority w:val="0"/>
    <w:rPr>
      <w:rFonts w:eastAsia="宋体"/>
      <w:kern w:val="2"/>
      <w:sz w:val="21"/>
      <w:lang w:val="en-US" w:eastAsia="zh-CN" w:bidi="ar-SA"/>
    </w:rPr>
  </w:style>
  <w:style w:type="character" w:customStyle="1" w:styleId="59">
    <w:name w:val="ca-11"/>
    <w:qFormat/>
    <w:uiPriority w:val="0"/>
    <w:rPr>
      <w:rFonts w:hint="eastAsia" w:ascii="宋体" w:hAnsi="宋体" w:eastAsia="宋体"/>
      <w:sz w:val="24"/>
      <w:szCs w:val="24"/>
    </w:rPr>
  </w:style>
  <w:style w:type="character" w:customStyle="1" w:styleId="60">
    <w:name w:val="ca-51"/>
    <w:qFormat/>
    <w:uiPriority w:val="0"/>
    <w:rPr>
      <w:rFonts w:hint="default" w:ascii="Times New Roman" w:hAnsi="Times New Roman" w:cs="Times New Roman"/>
      <w:b/>
      <w:bCs/>
      <w:spacing w:val="-20"/>
      <w:sz w:val="28"/>
      <w:szCs w:val="28"/>
    </w:rPr>
  </w:style>
  <w:style w:type="character" w:customStyle="1" w:styleId="61">
    <w:name w:val="ca-41"/>
    <w:qFormat/>
    <w:uiPriority w:val="0"/>
    <w:rPr>
      <w:rFonts w:hint="eastAsia" w:ascii="宋体" w:hAnsi="宋体" w:eastAsia="宋体"/>
      <w:b/>
      <w:bCs/>
      <w:spacing w:val="-20"/>
      <w:sz w:val="28"/>
      <w:szCs w:val="28"/>
    </w:rPr>
  </w:style>
  <w:style w:type="character" w:customStyle="1" w:styleId="62">
    <w:name w:val="wj"/>
    <w:basedOn w:val="40"/>
    <w:qFormat/>
    <w:uiPriority w:val="0"/>
  </w:style>
  <w:style w:type="character" w:customStyle="1" w:styleId="63">
    <w:name w:val="批注主题 Char"/>
    <w:link w:val="36"/>
    <w:qFormat/>
    <w:uiPriority w:val="0"/>
    <w:rPr>
      <w:rFonts w:eastAsia="宋体"/>
      <w:b/>
      <w:bCs/>
      <w:kern w:val="2"/>
      <w:sz w:val="21"/>
      <w:szCs w:val="24"/>
      <w:lang w:val="en-US" w:eastAsia="zh-CN" w:bidi="ar-SA"/>
    </w:rPr>
  </w:style>
  <w:style w:type="character" w:customStyle="1" w:styleId="64">
    <w:name w:val="Item List Char Char Char"/>
    <w:link w:val="65"/>
    <w:qFormat/>
    <w:uiPriority w:val="0"/>
    <w:rPr>
      <w:rFonts w:ascii="Arial" w:hAnsi="Arial"/>
      <w:sz w:val="21"/>
    </w:rPr>
  </w:style>
  <w:style w:type="paragraph" w:customStyle="1" w:styleId="65">
    <w:name w:val="Item List Char"/>
    <w:link w:val="64"/>
    <w:qFormat/>
    <w:uiPriority w:val="0"/>
    <w:pPr>
      <w:tabs>
        <w:tab w:val="left" w:leader="dot" w:pos="2211"/>
      </w:tabs>
      <w:spacing w:line="300" w:lineRule="auto"/>
      <w:ind w:left="480" w:hanging="480"/>
      <w:jc w:val="both"/>
    </w:pPr>
    <w:rPr>
      <w:rFonts w:ascii="Arial" w:hAnsi="Arial" w:eastAsia="宋体" w:cs="Times New Roman"/>
      <w:sz w:val="21"/>
      <w:lang w:val="en-US" w:eastAsia="zh-CN" w:bidi="ar-SA"/>
    </w:rPr>
  </w:style>
  <w:style w:type="character" w:customStyle="1" w:styleId="66">
    <w:name w:val="正文文本缩进 3 Char"/>
    <w:link w:val="32"/>
    <w:qFormat/>
    <w:uiPriority w:val="0"/>
    <w:rPr>
      <w:kern w:val="2"/>
      <w:sz w:val="16"/>
      <w:szCs w:val="16"/>
    </w:rPr>
  </w:style>
  <w:style w:type="paragraph" w:styleId="6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pa-1"/>
    <w:basedOn w:val="1"/>
    <w:qFormat/>
    <w:uiPriority w:val="0"/>
    <w:pPr>
      <w:widowControl/>
      <w:spacing w:line="280" w:lineRule="atLeast"/>
      <w:ind w:hanging="480"/>
    </w:pPr>
    <w:rPr>
      <w:rFonts w:ascii="宋体" w:hAnsi="宋体"/>
      <w:kern w:val="0"/>
      <w:sz w:val="24"/>
      <w:szCs w:val="24"/>
    </w:rPr>
  </w:style>
  <w:style w:type="paragraph" w:customStyle="1" w:styleId="69">
    <w:name w:val="pa-2"/>
    <w:basedOn w:val="1"/>
    <w:qFormat/>
    <w:uiPriority w:val="0"/>
    <w:pPr>
      <w:widowControl/>
      <w:spacing w:line="280" w:lineRule="atLeast"/>
      <w:ind w:hanging="720"/>
    </w:pPr>
    <w:rPr>
      <w:rFonts w:ascii="宋体" w:hAnsi="宋体"/>
      <w:kern w:val="0"/>
      <w:sz w:val="24"/>
      <w:szCs w:val="24"/>
    </w:rPr>
  </w:style>
  <w:style w:type="paragraph" w:customStyle="1" w:styleId="7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2">
    <w:name w:val="pa-3"/>
    <w:basedOn w:val="1"/>
    <w:qFormat/>
    <w:uiPriority w:val="0"/>
    <w:pPr>
      <w:widowControl/>
      <w:spacing w:line="280" w:lineRule="atLeast"/>
      <w:ind w:hanging="840"/>
    </w:pPr>
    <w:rPr>
      <w:rFonts w:ascii="宋体" w:hAnsi="宋体"/>
      <w:kern w:val="0"/>
      <w:sz w:val="24"/>
      <w:szCs w:val="24"/>
    </w:rPr>
  </w:style>
  <w:style w:type="paragraph" w:customStyle="1" w:styleId="73">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74">
    <w:name w:val="应答"/>
    <w:basedOn w:val="1"/>
    <w:qFormat/>
    <w:uiPriority w:val="0"/>
    <w:pPr>
      <w:numPr>
        <w:ilvl w:val="1"/>
        <w:numId w:val="3"/>
      </w:numPr>
      <w:shd w:val="pct40" w:color="auto" w:fill="FFFFFF"/>
      <w:tabs>
        <w:tab w:val="left" w:pos="1230"/>
      </w:tabs>
      <w:adjustRightInd w:val="0"/>
      <w:snapToGrid w:val="0"/>
      <w:spacing w:line="360" w:lineRule="auto"/>
    </w:pPr>
    <w:rPr>
      <w:rFonts w:ascii="Arial" w:hAnsi="Arial" w:eastAsia="楷体_GB2312"/>
      <w:b/>
      <w:w w:val="90"/>
      <w:sz w:val="24"/>
    </w:rPr>
  </w:style>
  <w:style w:type="paragraph" w:customStyle="1" w:styleId="75">
    <w:name w:val="Char"/>
    <w:basedOn w:val="15"/>
    <w:semiHidden/>
    <w:qFormat/>
    <w:uiPriority w:val="0"/>
    <w:rPr>
      <w:rFonts w:ascii="Tahoma" w:hAnsi="Tahoma"/>
      <w:sz w:val="24"/>
      <w:szCs w:val="24"/>
    </w:rPr>
  </w:style>
  <w:style w:type="paragraph" w:customStyle="1" w:styleId="76">
    <w:name w:val="pa-5"/>
    <w:basedOn w:val="1"/>
    <w:qFormat/>
    <w:uiPriority w:val="0"/>
    <w:pPr>
      <w:widowControl/>
      <w:spacing w:line="360" w:lineRule="atLeast"/>
    </w:pPr>
    <w:rPr>
      <w:rFonts w:ascii="宋体" w:hAnsi="宋体"/>
      <w:kern w:val="0"/>
      <w:sz w:val="24"/>
      <w:szCs w:val="24"/>
    </w:rPr>
  </w:style>
  <w:style w:type="paragraph" w:customStyle="1" w:styleId="77">
    <w:name w:val="pa-6"/>
    <w:basedOn w:val="1"/>
    <w:qFormat/>
    <w:uiPriority w:val="0"/>
    <w:pPr>
      <w:widowControl/>
      <w:spacing w:line="360" w:lineRule="atLeast"/>
      <w:ind w:hanging="840"/>
      <w:jc w:val="left"/>
    </w:pPr>
    <w:rPr>
      <w:rFonts w:ascii="宋体" w:hAnsi="宋体"/>
      <w:kern w:val="0"/>
      <w:sz w:val="24"/>
      <w:szCs w:val="24"/>
    </w:rPr>
  </w:style>
  <w:style w:type="paragraph" w:customStyle="1" w:styleId="78">
    <w:name w:val="正文1"/>
    <w:basedOn w:val="1"/>
    <w:qFormat/>
    <w:uiPriority w:val="0"/>
    <w:pPr>
      <w:tabs>
        <w:tab w:val="left" w:pos="1980"/>
        <w:tab w:val="left" w:pos="2160"/>
      </w:tabs>
      <w:spacing w:line="360" w:lineRule="auto"/>
      <w:ind w:left="2160"/>
    </w:pPr>
    <w:rPr>
      <w:rFonts w:ascii="宋体" w:hAnsi="宋体"/>
      <w:szCs w:val="24"/>
    </w:rPr>
  </w:style>
  <w:style w:type="paragraph" w:customStyle="1" w:styleId="79">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80">
    <w:name w:val="样式 宋体 五号 行距: 单倍行距"/>
    <w:basedOn w:val="1"/>
    <w:qFormat/>
    <w:uiPriority w:val="0"/>
    <w:pPr>
      <w:adjustRightInd w:val="0"/>
      <w:jc w:val="left"/>
      <w:textAlignment w:val="baseline"/>
    </w:pPr>
    <w:rPr>
      <w:rFonts w:ascii="宋体" w:hAnsi="宋体"/>
      <w:kern w:val="0"/>
    </w:rPr>
  </w:style>
  <w:style w:type="paragraph" w:customStyle="1" w:styleId="81">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82">
    <w:name w:val="无间隔1"/>
    <w:qFormat/>
    <w:uiPriority w:val="0"/>
    <w:rPr>
      <w:rFonts w:ascii="Calibri" w:hAnsi="Calibri" w:eastAsia="宋体" w:cs="Times New Roman"/>
      <w:sz w:val="22"/>
      <w:szCs w:val="22"/>
      <w:lang w:val="en-US" w:eastAsia="zh-CN" w:bidi="ar-SA"/>
    </w:rPr>
  </w:style>
  <w:style w:type="paragraph" w:customStyle="1" w:styleId="83">
    <w:name w:val="Table Heading"/>
    <w:qFormat/>
    <w:uiPriority w:val="0"/>
    <w:pPr>
      <w:numPr>
        <w:ilvl w:val="0"/>
        <w:numId w:val="5"/>
      </w:numPr>
      <w:tabs>
        <w:tab w:val="clear" w:pos="2211"/>
      </w:tabs>
      <w:snapToGrid w:val="0"/>
      <w:ind w:left="0" w:firstLine="0"/>
      <w:jc w:val="center"/>
    </w:pPr>
    <w:rPr>
      <w:rFonts w:ascii="Arial" w:hAnsi="Arial" w:eastAsia="黑体" w:cs="Times New Roman"/>
      <w:sz w:val="18"/>
      <w:lang w:val="en-US" w:eastAsia="zh-CN" w:bidi="ar-SA"/>
    </w:rPr>
  </w:style>
  <w:style w:type="paragraph" w:customStyle="1" w:styleId="8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7">
    <w:name w:val="Char Char Char Char Char Char Char"/>
    <w:basedOn w:val="1"/>
    <w:qFormat/>
    <w:uiPriority w:val="0"/>
    <w:pPr>
      <w:tabs>
        <w:tab w:val="left" w:pos="432"/>
      </w:tabs>
      <w:ind w:left="432" w:hanging="432"/>
    </w:pPr>
    <w:rPr>
      <w:rFonts w:ascii="Tahoma" w:hAnsi="Tahoma"/>
      <w:sz w:val="24"/>
    </w:rPr>
  </w:style>
  <w:style w:type="paragraph" w:customStyle="1" w:styleId="88">
    <w:name w:val="样式3"/>
    <w:basedOn w:val="22"/>
    <w:qFormat/>
    <w:uiPriority w:val="0"/>
    <w:pPr>
      <w:spacing w:line="0" w:lineRule="atLeast"/>
      <w:outlineLvl w:val="0"/>
    </w:pPr>
    <w:rPr>
      <w:sz w:val="28"/>
      <w:szCs w:val="24"/>
    </w:rPr>
  </w:style>
  <w:style w:type="paragraph" w:customStyle="1" w:styleId="89">
    <w:name w:val="样式 宋体 五号 两端对齐 行距: 单倍行距"/>
    <w:basedOn w:val="1"/>
    <w:qFormat/>
    <w:uiPriority w:val="0"/>
    <w:pPr>
      <w:adjustRightInd w:val="0"/>
      <w:textAlignment w:val="baseline"/>
    </w:pPr>
    <w:rPr>
      <w:rFonts w:ascii="宋体" w:hAnsi="宋体"/>
      <w:kern w:val="0"/>
    </w:rPr>
  </w:style>
  <w:style w:type="paragraph" w:customStyle="1" w:styleId="90">
    <w:name w:val="pa-4"/>
    <w:basedOn w:val="1"/>
    <w:qFormat/>
    <w:uiPriority w:val="0"/>
    <w:pPr>
      <w:widowControl/>
      <w:spacing w:line="360" w:lineRule="atLeast"/>
      <w:ind w:hanging="480"/>
    </w:pPr>
    <w:rPr>
      <w:rFonts w:ascii="宋体" w:hAnsi="宋体"/>
      <w:kern w:val="0"/>
      <w:sz w:val="24"/>
      <w:szCs w:val="24"/>
    </w:rPr>
  </w:style>
  <w:style w:type="paragraph" w:styleId="91">
    <w:name w:val="List Paragraph"/>
    <w:basedOn w:val="1"/>
    <w:qFormat/>
    <w:uiPriority w:val="0"/>
    <w:pPr>
      <w:ind w:firstLine="420" w:firstLineChars="200"/>
    </w:pPr>
    <w:rPr>
      <w:rFonts w:ascii="Calibri" w:hAnsi="Calibri"/>
      <w:szCs w:val="22"/>
    </w:rPr>
  </w:style>
  <w:style w:type="paragraph" w:customStyle="1" w:styleId="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3">
    <w:name w:val="p0"/>
    <w:basedOn w:val="1"/>
    <w:qFormat/>
    <w:uiPriority w:val="0"/>
    <w:pPr>
      <w:widowControl/>
    </w:pPr>
    <w:rPr>
      <w:kern w:val="0"/>
      <w:szCs w:val="21"/>
    </w:rPr>
  </w:style>
  <w:style w:type="paragraph" w:customStyle="1" w:styleId="94">
    <w:name w:val="Char 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95">
    <w:name w:val="正文文本缩进 31"/>
    <w:basedOn w:val="1"/>
    <w:qFormat/>
    <w:uiPriority w:val="0"/>
    <w:pPr>
      <w:spacing w:after="120"/>
      <w:ind w:left="420" w:leftChars="200"/>
    </w:pPr>
    <w:rPr>
      <w:sz w:val="16"/>
      <w:szCs w:val="16"/>
    </w:rPr>
  </w:style>
  <w:style w:type="paragraph" w:customStyle="1" w:styleId="96">
    <w:name w:val="样式 标题 2Heading 2 HiddenHeading 2 CCBSH2heading 2第一章 标题 2IS..."/>
    <w:basedOn w:val="6"/>
    <w:qFormat/>
    <w:uiPriority w:val="0"/>
    <w:pPr>
      <w:keepLines w:val="0"/>
      <w:widowControl/>
      <w:numPr>
        <w:ilvl w:val="1"/>
        <w:numId w:val="1"/>
      </w:numPr>
      <w:tabs>
        <w:tab w:val="left" w:pos="576"/>
        <w:tab w:val="clear" w:pos="780"/>
      </w:tabs>
      <w:spacing w:before="240" w:after="240" w:line="360" w:lineRule="auto"/>
      <w:ind w:left="578" w:hanging="578"/>
    </w:pPr>
    <w:rPr>
      <w:rFonts w:ascii="Arial" w:hAnsi="Arial"/>
      <w:b w:val="0"/>
      <w:bCs w:val="0"/>
      <w:kern w:val="0"/>
      <w:sz w:val="24"/>
      <w:szCs w:val="24"/>
    </w:rPr>
  </w:style>
  <w:style w:type="paragraph" w:customStyle="1" w:styleId="97">
    <w:name w:val="Definition Term"/>
    <w:basedOn w:val="1"/>
    <w:next w:val="1"/>
    <w:qFormat/>
    <w:uiPriority w:val="0"/>
    <w:pPr>
      <w:autoSpaceDE w:val="0"/>
      <w:autoSpaceDN w:val="0"/>
      <w:adjustRightInd w:val="0"/>
      <w:jc w:val="left"/>
    </w:pPr>
    <w:rPr>
      <w:kern w:val="0"/>
      <w:sz w:val="24"/>
    </w:rPr>
  </w:style>
  <w:style w:type="paragraph" w:customStyle="1" w:styleId="98">
    <w:name w:val="pa-7"/>
    <w:basedOn w:val="1"/>
    <w:qFormat/>
    <w:uiPriority w:val="0"/>
    <w:pPr>
      <w:widowControl/>
      <w:spacing w:line="360" w:lineRule="atLeast"/>
      <w:jc w:val="left"/>
    </w:pPr>
    <w:rPr>
      <w:rFonts w:ascii="宋体" w:hAnsi="宋体"/>
      <w:kern w:val="0"/>
      <w:sz w:val="24"/>
      <w:szCs w:val="24"/>
    </w:rPr>
  </w:style>
  <w:style w:type="paragraph" w:customStyle="1" w:styleId="99">
    <w:name w:val="Figure Description"/>
    <w:basedOn w:val="1"/>
    <w:qFormat/>
    <w:uiPriority w:val="0"/>
    <w:pPr>
      <w:numPr>
        <w:ilvl w:val="4"/>
        <w:numId w:val="6"/>
      </w:numPr>
    </w:pPr>
  </w:style>
  <w:style w:type="paragraph" w:customStyle="1" w:styleId="100">
    <w:name w:val="Table Description"/>
    <w:basedOn w:val="1"/>
    <w:qFormat/>
    <w:uiPriority w:val="0"/>
    <w:pPr>
      <w:numPr>
        <w:ilvl w:val="5"/>
        <w:numId w:val="6"/>
      </w:numPr>
    </w:pPr>
  </w:style>
  <w:style w:type="paragraph" w:customStyle="1" w:styleId="101">
    <w:name w:val="表格文本"/>
    <w:basedOn w:val="1"/>
    <w:qFormat/>
    <w:uiPriority w:val="0"/>
    <w:pPr>
      <w:tabs>
        <w:tab w:val="decimal" w:pos="0"/>
      </w:tabs>
    </w:pPr>
    <w:rPr>
      <w:rFonts w:ascii="Arial" w:hAnsi="Arial"/>
      <w:sz w:val="18"/>
      <w:szCs w:val="21"/>
    </w:rPr>
  </w:style>
  <w:style w:type="paragraph" w:customStyle="1" w:styleId="102">
    <w:name w:val="Notes Heading"/>
    <w:next w:val="79"/>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03">
    <w:name w:val="ÕýÎÄÊ×ÐÐËõ½ø"/>
    <w:basedOn w:val="1"/>
    <w:qFormat/>
    <w:uiPriority w:val="0"/>
    <w:pPr>
      <w:widowControl/>
      <w:overflowPunct w:val="0"/>
      <w:autoSpaceDE w:val="0"/>
      <w:autoSpaceDN w:val="0"/>
      <w:adjustRightInd w:val="0"/>
      <w:spacing w:line="360" w:lineRule="auto"/>
      <w:ind w:firstLine="425"/>
      <w:textAlignment w:val="baseline"/>
    </w:pPr>
    <w:rPr>
      <w:kern w:val="0"/>
    </w:rPr>
  </w:style>
  <w:style w:type="paragraph" w:customStyle="1" w:styleId="104">
    <w:name w:val="文档编号"/>
    <w:basedOn w:val="1"/>
    <w:next w:val="1"/>
    <w:qFormat/>
    <w:uiPriority w:val="0"/>
    <w:pPr>
      <w:autoSpaceDE w:val="0"/>
      <w:autoSpaceDN w:val="0"/>
      <w:adjustRightInd w:val="0"/>
      <w:spacing w:after="120" w:line="40" w:lineRule="atLeast"/>
      <w:jc w:val="center"/>
    </w:pPr>
    <w:rPr>
      <w:b/>
      <w:bCs/>
      <w:kern w:val="0"/>
    </w:rPr>
  </w:style>
  <w:style w:type="paragraph" w:customStyle="1" w:styleId="105">
    <w:name w:val="表头样式"/>
    <w:basedOn w:val="18"/>
    <w:qFormat/>
    <w:uiPriority w:val="0"/>
    <w:pPr>
      <w:autoSpaceDE w:val="0"/>
      <w:autoSpaceDN w:val="0"/>
      <w:adjustRightInd w:val="0"/>
      <w:spacing w:before="0" w:beforeAutospacing="0" w:after="0" w:afterAutospacing="0" w:line="360" w:lineRule="auto"/>
      <w:jc w:val="center"/>
    </w:pPr>
    <w:rPr>
      <w:rFonts w:ascii="微软雅黑" w:hAnsi="微软雅黑" w:eastAsia="微软雅黑"/>
      <w:bCs/>
      <w:color w:val="auto"/>
      <w:kern w:val="0"/>
      <w:sz w:val="32"/>
      <w:szCs w:val="32"/>
    </w:rPr>
  </w:style>
  <w:style w:type="paragraph" w:customStyle="1" w:styleId="106">
    <w:name w:val="样式 标题 3Heading 3 - oldH3l3CTLevel 3 Headh33rd levelheadi..."/>
    <w:basedOn w:val="2"/>
    <w:qFormat/>
    <w:uiPriority w:val="0"/>
    <w:pPr>
      <w:keepLines w:val="0"/>
      <w:widowControl/>
      <w:numPr>
        <w:ilvl w:val="2"/>
        <w:numId w:val="1"/>
      </w:numPr>
      <w:tabs>
        <w:tab w:val="left" w:pos="720"/>
        <w:tab w:val="clear" w:pos="1260"/>
      </w:tabs>
      <w:spacing w:before="240" w:after="240" w:line="360" w:lineRule="auto"/>
      <w:ind w:left="720" w:hanging="720"/>
    </w:pPr>
    <w:rPr>
      <w:rFonts w:ascii="Arial" w:hAnsi="Arial" w:eastAsia="黑体"/>
      <w:b w:val="0"/>
      <w:bCs w:val="0"/>
      <w:kern w:val="0"/>
      <w:sz w:val="24"/>
      <w:szCs w:val="24"/>
    </w:rPr>
  </w:style>
  <w:style w:type="paragraph" w:customStyle="1" w:styleId="107">
    <w:name w:val="标题 5（有编号）（绿盟科技）"/>
    <w:basedOn w:val="1"/>
    <w:next w:val="108"/>
    <w:qFormat/>
    <w:uiPriority w:val="0"/>
    <w:pPr>
      <w:keepNext/>
      <w:keepLines/>
      <w:numPr>
        <w:ilvl w:val="4"/>
        <w:numId w:val="7"/>
      </w:numPr>
      <w:spacing w:before="280" w:after="156" w:line="377" w:lineRule="auto"/>
      <w:jc w:val="left"/>
      <w:outlineLvl w:val="4"/>
    </w:pPr>
    <w:rPr>
      <w:rFonts w:ascii="Arial" w:hAnsi="Arial" w:eastAsia="黑体"/>
      <w:b/>
      <w:sz w:val="24"/>
      <w:szCs w:val="28"/>
    </w:rPr>
  </w:style>
  <w:style w:type="paragraph" w:customStyle="1" w:styleId="10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ACER</Company>
  <Pages>51</Pages>
  <Words>31273</Words>
  <Characters>33265</Characters>
  <Lines>234</Lines>
  <Paragraphs>65</Paragraphs>
  <TotalTime>65</TotalTime>
  <ScaleCrop>false</ScaleCrop>
  <LinksUpToDate>false</LinksUpToDate>
  <CharactersWithSpaces>35199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2019-08-27T08:15:00Z</dcterms:created>
  <dc:creator>李霆</dc:creator>
  <cp:lastModifiedBy>Administrator</cp:lastModifiedBy>
  <cp:lastPrinted>2021-04-01T11:19:00Z</cp:lastPrinted>
  <dcterms:modified xsi:type="dcterms:W3CDTF">2022-12-08T10:50:10Z</dcterms:modified>
  <dc:title>新疆维吾尔自治区政府采购中心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C57C77FE644347F7A46ABCC9D9608DF8</vt:lpwstr>
  </property>
</Properties>
</file>