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848398">
      <w:pPr>
        <w:spacing w:line="240" w:lineRule="atLeast"/>
        <w:jc w:val="center"/>
        <w:rPr>
          <w:rFonts w:hint="eastAsia" w:ascii="微软雅黑" w:hAnsi="微软雅黑" w:eastAsia="微软雅黑" w:cs="微软雅黑"/>
          <w:b/>
          <w:color w:val="auto"/>
          <w:kern w:val="44"/>
          <w:sz w:val="44"/>
          <w:szCs w:val="44"/>
          <w:highlight w:val="none"/>
          <w:lang w:eastAsia="zh-CN"/>
        </w:rPr>
      </w:pPr>
      <w:bookmarkStart w:id="0" w:name="_Toc11880"/>
      <w:bookmarkStart w:id="1" w:name="_Toc13297"/>
      <w:bookmarkStart w:id="2" w:name="_Toc16093"/>
      <w:bookmarkStart w:id="3" w:name="_Toc13057"/>
      <w:bookmarkStart w:id="4" w:name="_Toc1934"/>
      <w:bookmarkStart w:id="5" w:name="_Toc12442"/>
      <w:bookmarkStart w:id="6" w:name="_Toc4177"/>
      <w:bookmarkStart w:id="7" w:name="_Toc29241"/>
      <w:bookmarkStart w:id="8" w:name="_Toc31645"/>
      <w:bookmarkStart w:id="9" w:name="_Toc17321"/>
      <w:bookmarkStart w:id="10" w:name="_Toc27286"/>
      <w:bookmarkStart w:id="11" w:name="_Toc3501"/>
      <w:bookmarkStart w:id="12" w:name="_Toc22083"/>
      <w:bookmarkStart w:id="13" w:name="_Toc31636"/>
      <w:bookmarkStart w:id="14" w:name="_Toc515647832"/>
      <w:bookmarkStart w:id="15" w:name="_Toc507399907"/>
      <w:bookmarkStart w:id="16" w:name="_Toc7971"/>
      <w:bookmarkStart w:id="17" w:name="_Toc32647"/>
      <w:bookmarkStart w:id="18" w:name="_Toc219175639"/>
      <w:bookmarkStart w:id="19" w:name="_Toc218935355"/>
      <w:bookmarkStart w:id="20" w:name="_Toc216582826"/>
    </w:p>
    <w:p w14:paraId="2A2A45F9">
      <w:pPr>
        <w:jc w:val="center"/>
        <w:rPr>
          <w:rFonts w:hint="eastAsia" w:ascii="微软雅黑" w:hAnsi="微软雅黑" w:eastAsia="微软雅黑" w:cs="微软雅黑"/>
          <w:sz w:val="20"/>
          <w:szCs w:val="22"/>
          <w:highlight w:val="none"/>
          <w:lang w:eastAsia="zh-CN"/>
        </w:rPr>
      </w:pPr>
      <w:r>
        <w:rPr>
          <w:rFonts w:hint="eastAsia" w:ascii="微软雅黑" w:hAnsi="微软雅黑" w:eastAsia="微软雅黑" w:cs="微软雅黑"/>
          <w:b/>
          <w:color w:val="auto"/>
          <w:spacing w:val="6"/>
          <w:kern w:val="44"/>
          <w:sz w:val="56"/>
          <w:szCs w:val="56"/>
          <w:highlight w:val="none"/>
          <w:lang w:val="en-US" w:eastAsia="zh-CN"/>
        </w:rPr>
        <w:t>喀什地区第一人民医院医疗设备采购项目（标项二）二次</w:t>
      </w:r>
    </w:p>
    <w:p w14:paraId="3D803F51">
      <w:pPr>
        <w:spacing w:line="240" w:lineRule="atLeast"/>
        <w:jc w:val="center"/>
        <w:rPr>
          <w:rFonts w:hint="eastAsia" w:ascii="微软雅黑" w:hAnsi="微软雅黑" w:eastAsia="微软雅黑" w:cs="微软雅黑"/>
          <w:b/>
          <w:bCs w:val="0"/>
          <w:color w:val="auto"/>
          <w:sz w:val="52"/>
          <w:szCs w:val="52"/>
          <w:highlight w:val="none"/>
        </w:rPr>
      </w:pPr>
      <w:r>
        <w:rPr>
          <w:rFonts w:hint="eastAsia" w:ascii="微软雅黑" w:hAnsi="微软雅黑" w:eastAsia="微软雅黑" w:cs="微软雅黑"/>
          <w:b/>
          <w:bCs w:val="0"/>
          <w:color w:val="auto"/>
          <w:sz w:val="52"/>
          <w:szCs w:val="52"/>
          <w:highlight w:val="none"/>
        </w:rPr>
        <w:t>招 标 文 件</w:t>
      </w:r>
    </w:p>
    <w:p w14:paraId="1D0093EF">
      <w:pPr>
        <w:spacing w:line="240" w:lineRule="atLeast"/>
        <w:jc w:val="center"/>
        <w:rPr>
          <w:rFonts w:hint="eastAsia" w:ascii="微软雅黑" w:hAnsi="微软雅黑" w:eastAsia="微软雅黑" w:cs="微软雅黑"/>
          <w:b/>
          <w:bCs w:val="0"/>
          <w:color w:val="auto"/>
          <w:sz w:val="36"/>
          <w:szCs w:val="36"/>
          <w:highlight w:val="none"/>
        </w:rPr>
      </w:pPr>
    </w:p>
    <w:p w14:paraId="26D27CA6">
      <w:pPr>
        <w:spacing w:line="240" w:lineRule="atLeast"/>
        <w:jc w:val="both"/>
        <w:rPr>
          <w:rFonts w:hint="eastAsia" w:ascii="微软雅黑" w:hAnsi="微软雅黑" w:eastAsia="微软雅黑" w:cs="微软雅黑"/>
          <w:b/>
          <w:bCs w:val="0"/>
          <w:color w:val="auto"/>
          <w:sz w:val="40"/>
          <w:szCs w:val="40"/>
          <w:highlight w:val="none"/>
          <w:lang w:eastAsia="zh-CN"/>
        </w:rPr>
      </w:pPr>
    </w:p>
    <w:p w14:paraId="319C8B61">
      <w:pPr>
        <w:spacing w:line="360" w:lineRule="auto"/>
        <w:jc w:val="center"/>
        <w:rPr>
          <w:rFonts w:hint="default" w:ascii="微软雅黑" w:hAnsi="微软雅黑" w:eastAsia="微软雅黑" w:cs="微软雅黑"/>
          <w:b/>
          <w:color w:val="auto"/>
          <w:sz w:val="28"/>
          <w:szCs w:val="28"/>
          <w:highlight w:val="none"/>
          <w:lang w:val="en-US" w:eastAsia="zh-CN"/>
        </w:rPr>
      </w:pPr>
      <w:r>
        <w:rPr>
          <w:rFonts w:hint="eastAsia" w:ascii="微软雅黑" w:hAnsi="微软雅黑" w:eastAsia="微软雅黑" w:cs="微软雅黑"/>
          <w:b/>
          <w:color w:val="auto"/>
          <w:sz w:val="28"/>
          <w:szCs w:val="28"/>
          <w:highlight w:val="none"/>
        </w:rPr>
        <w:t>项目编号：</w:t>
      </w:r>
      <w:r>
        <w:rPr>
          <w:rFonts w:hint="eastAsia" w:ascii="微软雅黑" w:hAnsi="微软雅黑" w:eastAsia="微软雅黑" w:cs="微软雅黑"/>
          <w:b/>
          <w:color w:val="auto"/>
          <w:sz w:val="28"/>
          <w:szCs w:val="28"/>
          <w:highlight w:val="none"/>
          <w:lang w:eastAsia="zh-CN"/>
        </w:rPr>
        <w:t xml:space="preserve"> 25GJ-(GK）044</w:t>
      </w:r>
      <w:r>
        <w:rPr>
          <w:rFonts w:hint="eastAsia" w:ascii="微软雅黑" w:hAnsi="微软雅黑" w:eastAsia="微软雅黑" w:cs="微软雅黑"/>
          <w:b/>
          <w:color w:val="auto"/>
          <w:sz w:val="28"/>
          <w:szCs w:val="28"/>
          <w:highlight w:val="none"/>
          <w:lang w:val="en-US" w:eastAsia="zh-CN"/>
        </w:rPr>
        <w:t>-3</w:t>
      </w:r>
    </w:p>
    <w:p w14:paraId="4B3560B8">
      <w:pPr>
        <w:spacing w:line="240" w:lineRule="atLeast"/>
        <w:jc w:val="center"/>
        <w:rPr>
          <w:rFonts w:hint="eastAsia" w:ascii="微软雅黑" w:hAnsi="微软雅黑" w:eastAsia="微软雅黑" w:cs="微软雅黑"/>
          <w:b/>
          <w:color w:val="auto"/>
          <w:sz w:val="28"/>
          <w:szCs w:val="28"/>
          <w:highlight w:val="none"/>
        </w:rPr>
      </w:pPr>
    </w:p>
    <w:p w14:paraId="5434836E">
      <w:pPr>
        <w:spacing w:line="240" w:lineRule="atLeast"/>
        <w:jc w:val="center"/>
        <w:rPr>
          <w:rFonts w:hint="eastAsia" w:ascii="微软雅黑" w:hAnsi="微软雅黑" w:eastAsia="微软雅黑" w:cs="微软雅黑"/>
          <w:b/>
          <w:color w:val="auto"/>
          <w:sz w:val="28"/>
          <w:szCs w:val="28"/>
          <w:highlight w:val="none"/>
        </w:rPr>
      </w:pPr>
      <w:r>
        <w:rPr>
          <w:rFonts w:hint="eastAsia" w:ascii="微软雅黑" w:hAnsi="微软雅黑" w:eastAsia="微软雅黑" w:cs="微软雅黑"/>
          <w:b/>
          <w:color w:val="auto"/>
          <w:sz w:val="28"/>
          <w:szCs w:val="28"/>
          <w:highlight w:val="none"/>
        </w:rPr>
        <w:t xml:space="preserve">  </w:t>
      </w:r>
    </w:p>
    <w:p w14:paraId="00118565">
      <w:pPr>
        <w:spacing w:line="240" w:lineRule="atLeast"/>
        <w:ind w:firstLine="640" w:firstLineChars="200"/>
        <w:jc w:val="both"/>
        <w:rPr>
          <w:rFonts w:hint="eastAsia" w:ascii="微软雅黑" w:hAnsi="微软雅黑" w:eastAsia="微软雅黑" w:cs="微软雅黑"/>
          <w:b/>
          <w:color w:val="auto"/>
          <w:sz w:val="32"/>
          <w:szCs w:val="32"/>
          <w:highlight w:val="none"/>
        </w:rPr>
      </w:pPr>
      <w:r>
        <w:rPr>
          <w:rFonts w:hint="eastAsia" w:ascii="微软雅黑" w:hAnsi="微软雅黑" w:eastAsia="微软雅黑" w:cs="微软雅黑"/>
          <w:b/>
          <w:color w:val="auto"/>
          <w:sz w:val="32"/>
          <w:szCs w:val="32"/>
          <w:highlight w:val="none"/>
        </w:rPr>
        <w:t>采购单位：</w:t>
      </w:r>
      <w:r>
        <w:rPr>
          <w:rFonts w:hint="eastAsia" w:ascii="微软雅黑" w:hAnsi="微软雅黑" w:eastAsia="微软雅黑" w:cs="微软雅黑"/>
          <w:b/>
          <w:color w:val="auto"/>
          <w:sz w:val="32"/>
          <w:szCs w:val="32"/>
          <w:highlight w:val="none"/>
          <w:lang w:val="en-US" w:eastAsia="zh-CN"/>
        </w:rPr>
        <w:t xml:space="preserve"> </w:t>
      </w:r>
      <w:r>
        <w:rPr>
          <w:rFonts w:hint="eastAsia" w:ascii="微软雅黑" w:hAnsi="微软雅黑" w:eastAsia="微软雅黑" w:cs="微软雅黑"/>
          <w:b/>
          <w:color w:val="auto"/>
          <w:sz w:val="32"/>
          <w:szCs w:val="32"/>
          <w:highlight w:val="none"/>
          <w:u w:val="single"/>
          <w:lang w:val="en-US" w:eastAsia="zh-CN"/>
        </w:rPr>
        <w:t xml:space="preserve">      喀什地区第一人民医院     </w:t>
      </w:r>
      <w:r>
        <w:rPr>
          <w:rFonts w:hint="eastAsia" w:ascii="微软雅黑" w:hAnsi="微软雅黑" w:eastAsia="微软雅黑" w:cs="微软雅黑"/>
          <w:b/>
          <w:color w:val="auto"/>
          <w:sz w:val="32"/>
          <w:szCs w:val="32"/>
          <w:highlight w:val="none"/>
        </w:rPr>
        <w:t xml:space="preserve">   </w:t>
      </w:r>
    </w:p>
    <w:p w14:paraId="6CF1060E">
      <w:pPr>
        <w:ind w:firstLine="736" w:firstLineChars="230"/>
        <w:rPr>
          <w:rFonts w:hint="eastAsia" w:ascii="微软雅黑" w:hAnsi="微软雅黑" w:eastAsia="微软雅黑" w:cs="微软雅黑"/>
          <w:b/>
          <w:color w:val="auto"/>
          <w:sz w:val="32"/>
          <w:szCs w:val="32"/>
          <w:highlight w:val="none"/>
          <w:u w:val="single"/>
        </w:rPr>
      </w:pPr>
      <w:r>
        <w:rPr>
          <w:rFonts w:hint="eastAsia" w:ascii="微软雅黑" w:hAnsi="微软雅黑" w:eastAsia="微软雅黑" w:cs="微软雅黑"/>
          <w:b/>
          <w:color w:val="auto"/>
          <w:sz w:val="32"/>
          <w:szCs w:val="32"/>
          <w:highlight w:val="none"/>
        </w:rPr>
        <w:t>联</w:t>
      </w:r>
      <w:r>
        <w:rPr>
          <w:rFonts w:hint="eastAsia" w:ascii="微软雅黑" w:hAnsi="微软雅黑" w:eastAsia="微软雅黑" w:cs="微软雅黑"/>
          <w:b/>
          <w:color w:val="auto"/>
          <w:sz w:val="32"/>
          <w:szCs w:val="32"/>
          <w:highlight w:val="none"/>
          <w:lang w:val="en-US" w:eastAsia="zh-CN"/>
        </w:rPr>
        <w:t xml:space="preserve"> </w:t>
      </w:r>
      <w:r>
        <w:rPr>
          <w:rFonts w:hint="eastAsia" w:ascii="微软雅黑" w:hAnsi="微软雅黑" w:eastAsia="微软雅黑" w:cs="微软雅黑"/>
          <w:b/>
          <w:color w:val="auto"/>
          <w:sz w:val="32"/>
          <w:szCs w:val="32"/>
          <w:highlight w:val="none"/>
        </w:rPr>
        <w:t>系</w:t>
      </w:r>
      <w:r>
        <w:rPr>
          <w:rFonts w:hint="eastAsia" w:ascii="微软雅黑" w:hAnsi="微软雅黑" w:eastAsia="微软雅黑" w:cs="微软雅黑"/>
          <w:b/>
          <w:color w:val="auto"/>
          <w:sz w:val="32"/>
          <w:szCs w:val="32"/>
          <w:highlight w:val="none"/>
          <w:lang w:val="en-US" w:eastAsia="zh-CN"/>
        </w:rPr>
        <w:t xml:space="preserve"> </w:t>
      </w:r>
      <w:r>
        <w:rPr>
          <w:rFonts w:hint="eastAsia" w:ascii="微软雅黑" w:hAnsi="微软雅黑" w:eastAsia="微软雅黑" w:cs="微软雅黑"/>
          <w:b/>
          <w:color w:val="auto"/>
          <w:sz w:val="32"/>
          <w:szCs w:val="32"/>
          <w:highlight w:val="none"/>
        </w:rPr>
        <w:t>人：</w:t>
      </w:r>
      <w:r>
        <w:rPr>
          <w:rFonts w:hint="eastAsia" w:ascii="微软雅黑" w:hAnsi="微软雅黑" w:eastAsia="微软雅黑" w:cs="微软雅黑"/>
          <w:b/>
          <w:color w:val="auto"/>
          <w:sz w:val="32"/>
          <w:szCs w:val="32"/>
          <w:highlight w:val="none"/>
          <w:u w:val="single"/>
        </w:rPr>
        <w:t xml:space="preserve">    </w:t>
      </w:r>
      <w:r>
        <w:rPr>
          <w:rFonts w:hint="eastAsia" w:ascii="微软雅黑" w:hAnsi="微软雅黑" w:eastAsia="微软雅黑" w:cs="微软雅黑"/>
          <w:b/>
          <w:color w:val="auto"/>
          <w:sz w:val="32"/>
          <w:szCs w:val="32"/>
          <w:highlight w:val="none"/>
          <w:u w:val="single"/>
          <w:lang w:val="en-US" w:eastAsia="zh-CN"/>
        </w:rPr>
        <w:t xml:space="preserve"> </w:t>
      </w:r>
      <w:r>
        <w:rPr>
          <w:rFonts w:hint="eastAsia" w:ascii="微软雅黑" w:hAnsi="微软雅黑" w:eastAsia="微软雅黑" w:cs="微软雅黑"/>
          <w:b/>
          <w:color w:val="auto"/>
          <w:sz w:val="32"/>
          <w:szCs w:val="32"/>
          <w:highlight w:val="none"/>
          <w:u w:val="single"/>
        </w:rPr>
        <w:t xml:space="preserve"> </w:t>
      </w:r>
      <w:r>
        <w:rPr>
          <w:rFonts w:hint="eastAsia" w:ascii="微软雅黑" w:hAnsi="微软雅黑" w:eastAsia="微软雅黑" w:cs="微软雅黑"/>
          <w:b/>
          <w:color w:val="auto"/>
          <w:sz w:val="32"/>
          <w:szCs w:val="32"/>
          <w:highlight w:val="none"/>
          <w:u w:val="single"/>
          <w:lang w:val="en-US" w:eastAsia="zh-CN"/>
        </w:rPr>
        <w:t xml:space="preserve">       </w:t>
      </w:r>
      <w:r>
        <w:rPr>
          <w:rFonts w:hint="eastAsia" w:ascii="微软雅黑" w:hAnsi="微软雅黑" w:eastAsia="微软雅黑" w:cs="微软雅黑"/>
          <w:b/>
          <w:color w:val="auto"/>
          <w:sz w:val="32"/>
          <w:szCs w:val="32"/>
          <w:highlight w:val="none"/>
          <w:u w:val="single"/>
          <w:lang w:eastAsia="zh-CN"/>
        </w:rPr>
        <w:t>朱宝平</w:t>
      </w:r>
      <w:r>
        <w:rPr>
          <w:rFonts w:hint="eastAsia" w:ascii="微软雅黑" w:hAnsi="微软雅黑" w:eastAsia="微软雅黑" w:cs="微软雅黑"/>
          <w:b/>
          <w:color w:val="auto"/>
          <w:sz w:val="32"/>
          <w:szCs w:val="32"/>
          <w:highlight w:val="none"/>
          <w:u w:val="single"/>
          <w:lang w:val="en-US" w:eastAsia="zh-CN"/>
        </w:rPr>
        <w:t xml:space="preserve">             </w:t>
      </w:r>
      <w:r>
        <w:rPr>
          <w:rFonts w:hint="eastAsia" w:ascii="微软雅黑" w:hAnsi="微软雅黑" w:eastAsia="微软雅黑" w:cs="微软雅黑"/>
          <w:b/>
          <w:color w:val="auto"/>
          <w:sz w:val="32"/>
          <w:szCs w:val="32"/>
          <w:highlight w:val="none"/>
        </w:rPr>
        <w:t xml:space="preserve">      </w:t>
      </w:r>
    </w:p>
    <w:p w14:paraId="00C9FC93">
      <w:pPr>
        <w:spacing w:line="360" w:lineRule="auto"/>
        <w:ind w:firstLine="736" w:firstLineChars="230"/>
        <w:rPr>
          <w:rFonts w:hint="eastAsia" w:ascii="微软雅黑" w:hAnsi="微软雅黑" w:eastAsia="微软雅黑" w:cs="微软雅黑"/>
          <w:b/>
          <w:color w:val="auto"/>
          <w:sz w:val="32"/>
          <w:szCs w:val="32"/>
          <w:highlight w:val="none"/>
          <w:u w:val="single"/>
          <w:lang w:val="en-US" w:eastAsia="zh-CN"/>
        </w:rPr>
      </w:pPr>
      <w:r>
        <w:rPr>
          <w:rFonts w:hint="eastAsia" w:ascii="微软雅黑" w:hAnsi="微软雅黑" w:eastAsia="微软雅黑" w:cs="微软雅黑"/>
          <w:b/>
          <w:color w:val="auto"/>
          <w:sz w:val="32"/>
          <w:szCs w:val="32"/>
          <w:highlight w:val="none"/>
        </w:rPr>
        <w:t>联系电话：</w:t>
      </w:r>
      <w:r>
        <w:rPr>
          <w:rFonts w:hint="eastAsia" w:ascii="微软雅黑" w:hAnsi="微软雅黑" w:eastAsia="微软雅黑" w:cs="微软雅黑"/>
          <w:b/>
          <w:color w:val="auto"/>
          <w:sz w:val="32"/>
          <w:szCs w:val="32"/>
          <w:highlight w:val="none"/>
          <w:u w:val="single"/>
        </w:rPr>
        <w:t xml:space="preserve">    </w:t>
      </w:r>
      <w:r>
        <w:rPr>
          <w:rFonts w:hint="eastAsia" w:ascii="微软雅黑" w:hAnsi="微软雅黑" w:eastAsia="微软雅黑" w:cs="微软雅黑"/>
          <w:b/>
          <w:color w:val="auto"/>
          <w:sz w:val="32"/>
          <w:szCs w:val="32"/>
          <w:highlight w:val="none"/>
          <w:u w:val="single"/>
          <w:lang w:val="en-US" w:eastAsia="zh-CN"/>
        </w:rPr>
        <w:t xml:space="preserve">     0998-2962911  </w:t>
      </w:r>
      <w:r>
        <w:rPr>
          <w:rFonts w:hint="eastAsia" w:ascii="微软雅黑" w:hAnsi="微软雅黑" w:eastAsia="微软雅黑" w:cs="微软雅黑"/>
          <w:b/>
          <w:color w:val="auto"/>
          <w:sz w:val="32"/>
          <w:szCs w:val="32"/>
          <w:highlight w:val="none"/>
          <w:u w:val="single"/>
        </w:rPr>
        <w:t xml:space="preserve"> </w:t>
      </w:r>
      <w:r>
        <w:rPr>
          <w:rFonts w:hint="eastAsia" w:ascii="微软雅黑" w:hAnsi="微软雅黑" w:eastAsia="微软雅黑" w:cs="微软雅黑"/>
          <w:b/>
          <w:color w:val="auto"/>
          <w:sz w:val="32"/>
          <w:szCs w:val="32"/>
          <w:highlight w:val="none"/>
          <w:u w:val="single"/>
          <w:lang w:val="en-US" w:eastAsia="zh-CN"/>
        </w:rPr>
        <w:t xml:space="preserve">     </w:t>
      </w:r>
    </w:p>
    <w:p w14:paraId="1FB6038D">
      <w:pPr>
        <w:rPr>
          <w:rFonts w:hint="eastAsia" w:ascii="微软雅黑" w:hAnsi="微软雅黑" w:eastAsia="微软雅黑" w:cs="微软雅黑"/>
          <w:color w:val="auto"/>
          <w:sz w:val="32"/>
          <w:szCs w:val="32"/>
          <w:highlight w:val="none"/>
        </w:rPr>
      </w:pPr>
    </w:p>
    <w:p w14:paraId="17F775A6">
      <w:pPr>
        <w:ind w:firstLine="420" w:firstLineChars="0"/>
        <w:rPr>
          <w:rFonts w:hint="eastAsia" w:ascii="微软雅黑" w:hAnsi="微软雅黑" w:eastAsia="微软雅黑" w:cs="微软雅黑"/>
          <w:color w:val="auto"/>
          <w:sz w:val="32"/>
          <w:szCs w:val="32"/>
          <w:highlight w:val="none"/>
        </w:rPr>
      </w:pPr>
    </w:p>
    <w:p w14:paraId="0C1D112E">
      <w:pPr>
        <w:spacing w:line="240" w:lineRule="atLeast"/>
        <w:ind w:firstLine="736" w:firstLineChars="230"/>
        <w:rPr>
          <w:rFonts w:hint="eastAsia" w:ascii="微软雅黑" w:hAnsi="微软雅黑" w:eastAsia="微软雅黑" w:cs="微软雅黑"/>
          <w:b/>
          <w:color w:val="auto"/>
          <w:sz w:val="32"/>
          <w:szCs w:val="32"/>
          <w:highlight w:val="none"/>
          <w:u w:val="single"/>
          <w:lang w:val="en-US" w:eastAsia="zh-CN"/>
        </w:rPr>
      </w:pPr>
      <w:r>
        <w:rPr>
          <w:rFonts w:hint="eastAsia" w:ascii="微软雅黑" w:hAnsi="微软雅黑" w:eastAsia="微软雅黑" w:cs="微软雅黑"/>
          <w:b/>
          <w:color w:val="auto"/>
          <w:sz w:val="32"/>
          <w:szCs w:val="32"/>
          <w:highlight w:val="none"/>
        </w:rPr>
        <w:t>代理机构：</w:t>
      </w:r>
      <w:r>
        <w:rPr>
          <w:rFonts w:hint="eastAsia" w:ascii="微软雅黑" w:hAnsi="微软雅黑" w:eastAsia="微软雅黑" w:cs="微软雅黑"/>
          <w:b/>
          <w:color w:val="auto"/>
          <w:sz w:val="32"/>
          <w:szCs w:val="32"/>
          <w:highlight w:val="none"/>
          <w:u w:val="single"/>
          <w:lang w:val="en-US" w:eastAsia="zh-CN"/>
        </w:rPr>
        <w:t xml:space="preserve"> </w:t>
      </w:r>
      <w:r>
        <w:rPr>
          <w:rFonts w:hint="eastAsia" w:ascii="微软雅黑" w:hAnsi="微软雅黑" w:eastAsia="微软雅黑" w:cs="微软雅黑"/>
          <w:b/>
          <w:color w:val="auto"/>
          <w:sz w:val="32"/>
          <w:szCs w:val="32"/>
          <w:highlight w:val="none"/>
          <w:u w:val="single"/>
        </w:rPr>
        <w:t>新疆共建恒业信息咨询有限责任公司</w:t>
      </w:r>
      <w:r>
        <w:rPr>
          <w:rFonts w:hint="eastAsia" w:ascii="微软雅黑" w:hAnsi="微软雅黑" w:eastAsia="微软雅黑" w:cs="微软雅黑"/>
          <w:b/>
          <w:color w:val="auto"/>
          <w:sz w:val="32"/>
          <w:szCs w:val="32"/>
          <w:highlight w:val="none"/>
          <w:u w:val="single"/>
          <w:lang w:val="en-US" w:eastAsia="zh-CN"/>
        </w:rPr>
        <w:t xml:space="preserve"> </w:t>
      </w:r>
    </w:p>
    <w:p w14:paraId="53E16E61">
      <w:pPr>
        <w:spacing w:line="240" w:lineRule="atLeast"/>
        <w:ind w:firstLine="736" w:firstLineChars="230"/>
        <w:rPr>
          <w:rFonts w:hint="eastAsia" w:ascii="微软雅黑" w:hAnsi="微软雅黑" w:eastAsia="微软雅黑" w:cs="微软雅黑"/>
          <w:b/>
          <w:color w:val="auto"/>
          <w:sz w:val="32"/>
          <w:szCs w:val="32"/>
          <w:highlight w:val="none"/>
        </w:rPr>
      </w:pPr>
      <w:r>
        <w:rPr>
          <w:rFonts w:hint="eastAsia" w:ascii="微软雅黑" w:hAnsi="微软雅黑" w:eastAsia="微软雅黑" w:cs="微软雅黑"/>
          <w:b/>
          <w:color w:val="auto"/>
          <w:sz w:val="32"/>
          <w:szCs w:val="32"/>
          <w:highlight w:val="none"/>
        </w:rPr>
        <w:t>联</w:t>
      </w:r>
      <w:r>
        <w:rPr>
          <w:rFonts w:hint="eastAsia" w:ascii="微软雅黑" w:hAnsi="微软雅黑" w:eastAsia="微软雅黑" w:cs="微软雅黑"/>
          <w:b/>
          <w:color w:val="auto"/>
          <w:sz w:val="32"/>
          <w:szCs w:val="32"/>
          <w:highlight w:val="none"/>
          <w:lang w:val="en-US" w:eastAsia="zh-CN"/>
        </w:rPr>
        <w:t xml:space="preserve"> </w:t>
      </w:r>
      <w:r>
        <w:rPr>
          <w:rFonts w:hint="eastAsia" w:ascii="微软雅黑" w:hAnsi="微软雅黑" w:eastAsia="微软雅黑" w:cs="微软雅黑"/>
          <w:b/>
          <w:color w:val="auto"/>
          <w:sz w:val="32"/>
          <w:szCs w:val="32"/>
          <w:highlight w:val="none"/>
        </w:rPr>
        <w:t>系</w:t>
      </w:r>
      <w:r>
        <w:rPr>
          <w:rFonts w:hint="eastAsia" w:ascii="微软雅黑" w:hAnsi="微软雅黑" w:eastAsia="微软雅黑" w:cs="微软雅黑"/>
          <w:b/>
          <w:color w:val="auto"/>
          <w:sz w:val="32"/>
          <w:szCs w:val="32"/>
          <w:highlight w:val="none"/>
          <w:lang w:val="en-US" w:eastAsia="zh-CN"/>
        </w:rPr>
        <w:t xml:space="preserve"> </w:t>
      </w:r>
      <w:r>
        <w:rPr>
          <w:rFonts w:hint="eastAsia" w:ascii="微软雅黑" w:hAnsi="微软雅黑" w:eastAsia="微软雅黑" w:cs="微软雅黑"/>
          <w:b/>
          <w:color w:val="auto"/>
          <w:sz w:val="32"/>
          <w:szCs w:val="32"/>
          <w:highlight w:val="none"/>
        </w:rPr>
        <w:t>人：</w:t>
      </w:r>
      <w:r>
        <w:rPr>
          <w:rFonts w:hint="eastAsia" w:ascii="微软雅黑" w:hAnsi="微软雅黑" w:eastAsia="微软雅黑" w:cs="微软雅黑"/>
          <w:b/>
          <w:color w:val="auto"/>
          <w:sz w:val="32"/>
          <w:szCs w:val="32"/>
          <w:highlight w:val="none"/>
          <w:u w:val="single"/>
        </w:rPr>
        <w:t xml:space="preserve">      </w:t>
      </w:r>
      <w:r>
        <w:rPr>
          <w:rFonts w:hint="eastAsia" w:ascii="微软雅黑" w:hAnsi="微软雅黑" w:eastAsia="微软雅黑" w:cs="微软雅黑"/>
          <w:b/>
          <w:color w:val="auto"/>
          <w:sz w:val="32"/>
          <w:szCs w:val="32"/>
          <w:highlight w:val="none"/>
          <w:u w:val="single"/>
          <w:lang w:val="en-US" w:eastAsia="zh-CN"/>
        </w:rPr>
        <w:t xml:space="preserve">  </w:t>
      </w:r>
      <w:r>
        <w:rPr>
          <w:rFonts w:hint="eastAsia" w:ascii="微软雅黑" w:hAnsi="微软雅黑" w:eastAsia="微软雅黑" w:cs="微软雅黑"/>
          <w:b/>
          <w:color w:val="auto"/>
          <w:sz w:val="32"/>
          <w:szCs w:val="32"/>
          <w:highlight w:val="none"/>
          <w:u w:val="single"/>
        </w:rPr>
        <w:t xml:space="preserve"> </w:t>
      </w:r>
      <w:r>
        <w:rPr>
          <w:rFonts w:hint="eastAsia" w:ascii="微软雅黑" w:hAnsi="微软雅黑" w:eastAsia="微软雅黑" w:cs="微软雅黑"/>
          <w:b/>
          <w:color w:val="auto"/>
          <w:sz w:val="32"/>
          <w:szCs w:val="32"/>
          <w:highlight w:val="none"/>
          <w:u w:val="single"/>
          <w:lang w:val="en-US" w:eastAsia="zh-CN"/>
        </w:rPr>
        <w:t xml:space="preserve"> </w:t>
      </w:r>
      <w:r>
        <w:rPr>
          <w:rFonts w:hint="eastAsia" w:ascii="微软雅黑" w:hAnsi="微软雅黑" w:eastAsia="微软雅黑" w:cs="微软雅黑"/>
          <w:b/>
          <w:color w:val="auto"/>
          <w:sz w:val="32"/>
          <w:szCs w:val="32"/>
          <w:highlight w:val="none"/>
          <w:u w:val="single"/>
        </w:rPr>
        <w:t xml:space="preserve">   </w:t>
      </w:r>
      <w:r>
        <w:rPr>
          <w:rFonts w:hint="eastAsia" w:ascii="微软雅黑" w:hAnsi="微软雅黑" w:eastAsia="微软雅黑" w:cs="微软雅黑"/>
          <w:b/>
          <w:color w:val="auto"/>
          <w:sz w:val="32"/>
          <w:szCs w:val="32"/>
          <w:highlight w:val="none"/>
          <w:u w:val="single"/>
          <w:lang w:eastAsia="zh-CN"/>
        </w:rPr>
        <w:t>刘晶晶</w:t>
      </w:r>
      <w:r>
        <w:rPr>
          <w:rFonts w:hint="eastAsia" w:ascii="微软雅黑" w:hAnsi="微软雅黑" w:eastAsia="微软雅黑" w:cs="微软雅黑"/>
          <w:b/>
          <w:color w:val="auto"/>
          <w:sz w:val="32"/>
          <w:szCs w:val="32"/>
          <w:highlight w:val="none"/>
          <w:u w:val="single"/>
        </w:rPr>
        <w:t xml:space="preserve">    </w:t>
      </w:r>
      <w:r>
        <w:rPr>
          <w:rFonts w:hint="eastAsia" w:ascii="微软雅黑" w:hAnsi="微软雅黑" w:eastAsia="微软雅黑" w:cs="微软雅黑"/>
          <w:b/>
          <w:color w:val="auto"/>
          <w:sz w:val="32"/>
          <w:szCs w:val="32"/>
          <w:highlight w:val="none"/>
          <w:u w:val="single"/>
          <w:lang w:val="en-US" w:eastAsia="zh-CN"/>
        </w:rPr>
        <w:t xml:space="preserve"> </w:t>
      </w:r>
      <w:r>
        <w:rPr>
          <w:rFonts w:hint="eastAsia" w:ascii="微软雅黑" w:hAnsi="微软雅黑" w:eastAsia="微软雅黑" w:cs="微软雅黑"/>
          <w:b/>
          <w:color w:val="auto"/>
          <w:sz w:val="32"/>
          <w:szCs w:val="32"/>
          <w:highlight w:val="none"/>
          <w:u w:val="single"/>
        </w:rPr>
        <w:t xml:space="preserve">   </w:t>
      </w:r>
      <w:r>
        <w:rPr>
          <w:rFonts w:hint="eastAsia" w:ascii="微软雅黑" w:hAnsi="微软雅黑" w:eastAsia="微软雅黑" w:cs="微软雅黑"/>
          <w:b/>
          <w:color w:val="auto"/>
          <w:sz w:val="32"/>
          <w:szCs w:val="32"/>
          <w:highlight w:val="none"/>
          <w:u w:val="single"/>
          <w:lang w:val="en-US" w:eastAsia="zh-CN"/>
        </w:rPr>
        <w:t xml:space="preserve">  </w:t>
      </w:r>
      <w:r>
        <w:rPr>
          <w:rFonts w:hint="eastAsia" w:ascii="微软雅黑" w:hAnsi="微软雅黑" w:eastAsia="微软雅黑" w:cs="微软雅黑"/>
          <w:b/>
          <w:color w:val="auto"/>
          <w:sz w:val="32"/>
          <w:szCs w:val="32"/>
          <w:highlight w:val="none"/>
          <w:u w:val="single"/>
        </w:rPr>
        <w:t xml:space="preserve">      </w:t>
      </w:r>
      <w:r>
        <w:rPr>
          <w:rFonts w:hint="eastAsia" w:ascii="微软雅黑" w:hAnsi="微软雅黑" w:eastAsia="微软雅黑" w:cs="微软雅黑"/>
          <w:b/>
          <w:color w:val="auto"/>
          <w:sz w:val="32"/>
          <w:szCs w:val="32"/>
          <w:highlight w:val="none"/>
        </w:rPr>
        <w:t xml:space="preserve">       </w:t>
      </w:r>
    </w:p>
    <w:p w14:paraId="0944406A">
      <w:pPr>
        <w:ind w:firstLine="736" w:firstLineChars="230"/>
        <w:jc w:val="both"/>
        <w:rPr>
          <w:rFonts w:hint="eastAsia" w:ascii="微软雅黑" w:hAnsi="微软雅黑" w:eastAsia="微软雅黑" w:cs="微软雅黑"/>
          <w:b/>
          <w:color w:val="auto"/>
          <w:sz w:val="32"/>
          <w:szCs w:val="32"/>
          <w:highlight w:val="none"/>
          <w:u w:val="single"/>
        </w:rPr>
      </w:pPr>
      <w:r>
        <w:rPr>
          <w:rFonts w:hint="eastAsia" w:ascii="微软雅黑" w:hAnsi="微软雅黑" w:eastAsia="微软雅黑" w:cs="微软雅黑"/>
          <w:b/>
          <w:color w:val="auto"/>
          <w:sz w:val="32"/>
          <w:szCs w:val="32"/>
          <w:highlight w:val="none"/>
        </w:rPr>
        <w:t>联系电话：</w:t>
      </w:r>
      <w:r>
        <w:rPr>
          <w:rFonts w:hint="eastAsia" w:ascii="微软雅黑" w:hAnsi="微软雅黑" w:eastAsia="微软雅黑" w:cs="微软雅黑"/>
          <w:b/>
          <w:color w:val="auto"/>
          <w:sz w:val="32"/>
          <w:szCs w:val="32"/>
          <w:highlight w:val="none"/>
          <w:u w:val="single"/>
        </w:rPr>
        <w:t xml:space="preserve">       </w:t>
      </w:r>
      <w:r>
        <w:rPr>
          <w:rFonts w:hint="eastAsia" w:ascii="微软雅黑" w:hAnsi="微软雅黑" w:eastAsia="微软雅黑" w:cs="微软雅黑"/>
          <w:b/>
          <w:color w:val="auto"/>
          <w:sz w:val="32"/>
          <w:szCs w:val="32"/>
          <w:highlight w:val="none"/>
          <w:u w:val="single"/>
          <w:lang w:val="en-US" w:eastAsia="zh-CN"/>
        </w:rPr>
        <w:t xml:space="preserve"> </w:t>
      </w:r>
      <w:r>
        <w:rPr>
          <w:rFonts w:hint="eastAsia" w:ascii="微软雅黑" w:hAnsi="微软雅黑" w:eastAsia="微软雅黑" w:cs="微软雅黑"/>
          <w:b/>
          <w:color w:val="auto"/>
          <w:sz w:val="32"/>
          <w:szCs w:val="32"/>
          <w:highlight w:val="none"/>
          <w:u w:val="single"/>
        </w:rPr>
        <w:t xml:space="preserve"> 18209987338    </w:t>
      </w:r>
      <w:r>
        <w:rPr>
          <w:rFonts w:hint="eastAsia" w:ascii="微软雅黑" w:hAnsi="微软雅黑" w:eastAsia="微软雅黑" w:cs="微软雅黑"/>
          <w:b/>
          <w:color w:val="auto"/>
          <w:sz w:val="32"/>
          <w:szCs w:val="32"/>
          <w:highlight w:val="none"/>
          <w:u w:val="single"/>
          <w:lang w:val="en-US" w:eastAsia="zh-CN"/>
        </w:rPr>
        <w:t xml:space="preserve"> </w:t>
      </w:r>
      <w:r>
        <w:rPr>
          <w:rFonts w:hint="eastAsia" w:ascii="微软雅黑" w:hAnsi="微软雅黑" w:eastAsia="微软雅黑" w:cs="微软雅黑"/>
          <w:b/>
          <w:color w:val="auto"/>
          <w:sz w:val="32"/>
          <w:szCs w:val="32"/>
          <w:highlight w:val="none"/>
          <w:u w:val="single"/>
        </w:rPr>
        <w:t xml:space="preserve">  </w:t>
      </w:r>
      <w:r>
        <w:rPr>
          <w:rFonts w:hint="eastAsia" w:ascii="微软雅黑" w:hAnsi="微软雅黑" w:eastAsia="微软雅黑" w:cs="微软雅黑"/>
          <w:b/>
          <w:color w:val="auto"/>
          <w:sz w:val="32"/>
          <w:szCs w:val="32"/>
          <w:highlight w:val="none"/>
          <w:u w:val="single"/>
          <w:lang w:val="en-US" w:eastAsia="zh-CN"/>
        </w:rPr>
        <w:t xml:space="preserve"> </w:t>
      </w:r>
      <w:r>
        <w:rPr>
          <w:rFonts w:hint="eastAsia" w:ascii="微软雅黑" w:hAnsi="微软雅黑" w:eastAsia="微软雅黑" w:cs="微软雅黑"/>
          <w:b/>
          <w:color w:val="auto"/>
          <w:sz w:val="32"/>
          <w:szCs w:val="32"/>
          <w:highlight w:val="none"/>
          <w:u w:val="single"/>
        </w:rPr>
        <w:t xml:space="preserve">    </w:t>
      </w:r>
    </w:p>
    <w:p w14:paraId="4B651E89">
      <w:pPr>
        <w:ind w:firstLine="280" w:firstLineChars="100"/>
        <w:jc w:val="both"/>
        <w:rPr>
          <w:rFonts w:hint="eastAsia" w:ascii="微软雅黑" w:hAnsi="微软雅黑" w:eastAsia="微软雅黑" w:cs="微软雅黑"/>
          <w:b/>
          <w:color w:val="auto"/>
          <w:sz w:val="28"/>
          <w:szCs w:val="28"/>
          <w:highlight w:val="none"/>
        </w:rPr>
      </w:pPr>
    </w:p>
    <w:p w14:paraId="495BB7FB">
      <w:pPr>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br w:type="page"/>
      </w:r>
    </w:p>
    <w:p w14:paraId="44F15125">
      <w:pPr>
        <w:spacing w:line="360" w:lineRule="auto"/>
        <w:jc w:val="center"/>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目   录</w:t>
      </w:r>
    </w:p>
    <w:p w14:paraId="1CB00EE8">
      <w:pPr>
        <w:pStyle w:val="24"/>
        <w:tabs>
          <w:tab w:val="right" w:leader="dot" w:pos="8312"/>
        </w:tabs>
      </w:pPr>
      <w:r>
        <w:rPr>
          <w:rFonts w:hint="eastAsia" w:ascii="微软雅黑" w:hAnsi="微软雅黑" w:eastAsia="微软雅黑" w:cs="微软雅黑"/>
          <w:color w:val="auto"/>
          <w:sz w:val="22"/>
          <w:szCs w:val="22"/>
          <w:highlight w:val="none"/>
        </w:rPr>
        <w:fldChar w:fldCharType="begin"/>
      </w:r>
      <w:r>
        <w:rPr>
          <w:rFonts w:hint="eastAsia" w:ascii="微软雅黑" w:hAnsi="微软雅黑" w:eastAsia="微软雅黑" w:cs="微软雅黑"/>
          <w:color w:val="auto"/>
          <w:sz w:val="22"/>
          <w:szCs w:val="22"/>
          <w:highlight w:val="none"/>
        </w:rPr>
        <w:instrText xml:space="preserve">TOC \o "1-3" \h \u </w:instrText>
      </w:r>
      <w:r>
        <w:rPr>
          <w:rFonts w:hint="eastAsia" w:ascii="微软雅黑" w:hAnsi="微软雅黑" w:eastAsia="微软雅黑" w:cs="微软雅黑"/>
          <w:color w:val="auto"/>
          <w:sz w:val="22"/>
          <w:szCs w:val="22"/>
          <w:highlight w:val="none"/>
        </w:rPr>
        <w:fldChar w:fldCharType="separate"/>
      </w:r>
      <w:r>
        <w:rPr>
          <w:rFonts w:hint="eastAsia" w:ascii="微软雅黑" w:hAnsi="微软雅黑" w:eastAsia="微软雅黑" w:cs="微软雅黑"/>
          <w:color w:val="auto"/>
          <w:szCs w:val="22"/>
          <w:highlight w:val="none"/>
        </w:rPr>
        <w:fldChar w:fldCharType="begin"/>
      </w:r>
      <w:r>
        <w:rPr>
          <w:rFonts w:hint="eastAsia" w:ascii="微软雅黑" w:hAnsi="微软雅黑" w:eastAsia="微软雅黑" w:cs="微软雅黑"/>
          <w:szCs w:val="22"/>
          <w:highlight w:val="none"/>
        </w:rPr>
        <w:instrText xml:space="preserve"> HYPERLINK \l _Toc25475 </w:instrText>
      </w:r>
      <w:r>
        <w:rPr>
          <w:rFonts w:hint="eastAsia" w:ascii="微软雅黑" w:hAnsi="微软雅黑" w:eastAsia="微软雅黑" w:cs="微软雅黑"/>
          <w:szCs w:val="22"/>
          <w:highlight w:val="none"/>
        </w:rPr>
        <w:fldChar w:fldCharType="separate"/>
      </w:r>
      <w:r>
        <w:rPr>
          <w:rFonts w:hint="eastAsia" w:ascii="微软雅黑" w:hAnsi="微软雅黑" w:eastAsia="微软雅黑" w:cs="微软雅黑"/>
          <w:bCs/>
          <w:szCs w:val="28"/>
          <w:highlight w:val="none"/>
        </w:rPr>
        <w:t xml:space="preserve">第1章  </w:t>
      </w:r>
      <w:r>
        <w:rPr>
          <w:rFonts w:hint="eastAsia" w:ascii="微软雅黑" w:hAnsi="微软雅黑" w:eastAsia="微软雅黑" w:cs="微软雅黑"/>
          <w:bCs/>
          <w:szCs w:val="28"/>
          <w:highlight w:val="none"/>
          <w:lang w:eastAsia="zh-CN"/>
        </w:rPr>
        <w:t>供应商</w:t>
      </w:r>
      <w:r>
        <w:rPr>
          <w:rFonts w:hint="eastAsia" w:ascii="微软雅黑" w:hAnsi="微软雅黑" w:eastAsia="微软雅黑" w:cs="微软雅黑"/>
          <w:bCs/>
          <w:szCs w:val="28"/>
          <w:highlight w:val="none"/>
        </w:rPr>
        <w:t>须知</w:t>
      </w:r>
      <w:r>
        <w:tab/>
      </w:r>
      <w:r>
        <w:fldChar w:fldCharType="begin"/>
      </w:r>
      <w:r>
        <w:instrText xml:space="preserve"> PAGEREF _Toc25475 \h </w:instrText>
      </w:r>
      <w:r>
        <w:fldChar w:fldCharType="separate"/>
      </w:r>
      <w:r>
        <w:t>6</w:t>
      </w:r>
      <w:r>
        <w:fldChar w:fldCharType="end"/>
      </w:r>
      <w:r>
        <w:rPr>
          <w:rFonts w:hint="eastAsia" w:ascii="微软雅黑" w:hAnsi="微软雅黑" w:eastAsia="微软雅黑" w:cs="微软雅黑"/>
          <w:color w:val="auto"/>
          <w:szCs w:val="22"/>
          <w:highlight w:val="none"/>
        </w:rPr>
        <w:fldChar w:fldCharType="end"/>
      </w:r>
    </w:p>
    <w:p w14:paraId="696DDF3B">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_Toc27722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18"/>
          <w:highlight w:val="none"/>
        </w:rPr>
        <w:t>一   总 则</w:t>
      </w:r>
      <w:r>
        <w:tab/>
      </w:r>
      <w:r>
        <w:fldChar w:fldCharType="begin"/>
      </w:r>
      <w:r>
        <w:instrText xml:space="preserve"> PAGEREF _Toc27722 \h </w:instrText>
      </w:r>
      <w:r>
        <w:fldChar w:fldCharType="separate"/>
      </w:r>
      <w:r>
        <w:t>6</w:t>
      </w:r>
      <w:r>
        <w:fldChar w:fldCharType="end"/>
      </w:r>
      <w:r>
        <w:rPr>
          <w:rFonts w:hint="eastAsia" w:ascii="微软雅黑" w:hAnsi="微软雅黑" w:eastAsia="微软雅黑" w:cs="微软雅黑"/>
          <w:color w:val="auto"/>
          <w:kern w:val="2"/>
          <w:szCs w:val="22"/>
          <w:highlight w:val="none"/>
        </w:rPr>
        <w:fldChar w:fldCharType="end"/>
      </w:r>
    </w:p>
    <w:p w14:paraId="23834299">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_Toc30565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18"/>
          <w:highlight w:val="none"/>
        </w:rPr>
        <w:t>二   招标文件</w:t>
      </w:r>
      <w:r>
        <w:tab/>
      </w:r>
      <w:r>
        <w:fldChar w:fldCharType="begin"/>
      </w:r>
      <w:r>
        <w:instrText xml:space="preserve"> PAGEREF _Toc30565 \h </w:instrText>
      </w:r>
      <w:r>
        <w:fldChar w:fldCharType="separate"/>
      </w:r>
      <w:r>
        <w:t>7</w:t>
      </w:r>
      <w:r>
        <w:fldChar w:fldCharType="end"/>
      </w:r>
      <w:r>
        <w:rPr>
          <w:rFonts w:hint="eastAsia" w:ascii="微软雅黑" w:hAnsi="微软雅黑" w:eastAsia="微软雅黑" w:cs="微软雅黑"/>
          <w:color w:val="auto"/>
          <w:kern w:val="2"/>
          <w:szCs w:val="22"/>
          <w:highlight w:val="none"/>
        </w:rPr>
        <w:fldChar w:fldCharType="end"/>
      </w:r>
    </w:p>
    <w:p w14:paraId="73F64677">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_Toc6713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18"/>
          <w:highlight w:val="none"/>
        </w:rPr>
        <w:t>三   投标文件的编制</w:t>
      </w:r>
      <w:r>
        <w:tab/>
      </w:r>
      <w:r>
        <w:fldChar w:fldCharType="begin"/>
      </w:r>
      <w:r>
        <w:instrText xml:space="preserve"> PAGEREF _Toc6713 \h </w:instrText>
      </w:r>
      <w:r>
        <w:fldChar w:fldCharType="separate"/>
      </w:r>
      <w:r>
        <w:t>8</w:t>
      </w:r>
      <w:r>
        <w:fldChar w:fldCharType="end"/>
      </w:r>
      <w:r>
        <w:rPr>
          <w:rFonts w:hint="eastAsia" w:ascii="微软雅黑" w:hAnsi="微软雅黑" w:eastAsia="微软雅黑" w:cs="微软雅黑"/>
          <w:color w:val="auto"/>
          <w:kern w:val="2"/>
          <w:szCs w:val="22"/>
          <w:highlight w:val="none"/>
        </w:rPr>
        <w:fldChar w:fldCharType="end"/>
      </w:r>
    </w:p>
    <w:p w14:paraId="380348B6">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_Toc29654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18"/>
          <w:highlight w:val="none"/>
        </w:rPr>
        <w:t>四   投标文件的递交</w:t>
      </w:r>
      <w:r>
        <w:tab/>
      </w:r>
      <w:r>
        <w:fldChar w:fldCharType="begin"/>
      </w:r>
      <w:r>
        <w:instrText xml:space="preserve"> PAGEREF _Toc29654 \h </w:instrText>
      </w:r>
      <w:r>
        <w:fldChar w:fldCharType="separate"/>
      </w:r>
      <w:r>
        <w:t>10</w:t>
      </w:r>
      <w:r>
        <w:fldChar w:fldCharType="end"/>
      </w:r>
      <w:r>
        <w:rPr>
          <w:rFonts w:hint="eastAsia" w:ascii="微软雅黑" w:hAnsi="微软雅黑" w:eastAsia="微软雅黑" w:cs="微软雅黑"/>
          <w:color w:val="auto"/>
          <w:kern w:val="2"/>
          <w:szCs w:val="22"/>
          <w:highlight w:val="none"/>
        </w:rPr>
        <w:fldChar w:fldCharType="end"/>
      </w:r>
    </w:p>
    <w:p w14:paraId="659F36D0">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_Toc17059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18"/>
          <w:highlight w:val="none"/>
        </w:rPr>
        <w:t>五   开标及评标</w:t>
      </w:r>
      <w:r>
        <w:tab/>
      </w:r>
      <w:r>
        <w:fldChar w:fldCharType="begin"/>
      </w:r>
      <w:r>
        <w:instrText xml:space="preserve"> PAGEREF _Toc17059 \h </w:instrText>
      </w:r>
      <w:r>
        <w:fldChar w:fldCharType="separate"/>
      </w:r>
      <w:r>
        <w:t>10</w:t>
      </w:r>
      <w:r>
        <w:fldChar w:fldCharType="end"/>
      </w:r>
      <w:r>
        <w:rPr>
          <w:rFonts w:hint="eastAsia" w:ascii="微软雅黑" w:hAnsi="微软雅黑" w:eastAsia="微软雅黑" w:cs="微软雅黑"/>
          <w:color w:val="auto"/>
          <w:kern w:val="2"/>
          <w:szCs w:val="22"/>
          <w:highlight w:val="none"/>
        </w:rPr>
        <w:fldChar w:fldCharType="end"/>
      </w:r>
    </w:p>
    <w:p w14:paraId="0AB01F75">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_Toc13127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18"/>
          <w:highlight w:val="none"/>
        </w:rPr>
        <w:t>六   确定中标</w:t>
      </w:r>
      <w:r>
        <w:tab/>
      </w:r>
      <w:r>
        <w:fldChar w:fldCharType="begin"/>
      </w:r>
      <w:r>
        <w:instrText xml:space="preserve"> PAGEREF _Toc13127 \h </w:instrText>
      </w:r>
      <w:r>
        <w:fldChar w:fldCharType="separate"/>
      </w:r>
      <w:r>
        <w:t>15</w:t>
      </w:r>
      <w:r>
        <w:fldChar w:fldCharType="end"/>
      </w:r>
      <w:r>
        <w:rPr>
          <w:rFonts w:hint="eastAsia" w:ascii="微软雅黑" w:hAnsi="微软雅黑" w:eastAsia="微软雅黑" w:cs="微软雅黑"/>
          <w:color w:val="auto"/>
          <w:kern w:val="2"/>
          <w:szCs w:val="22"/>
          <w:highlight w:val="none"/>
        </w:rPr>
        <w:fldChar w:fldCharType="end"/>
      </w:r>
    </w:p>
    <w:p w14:paraId="11FA9E7E">
      <w:pPr>
        <w:pStyle w:val="24"/>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_Toc9670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bCs/>
          <w:szCs w:val="28"/>
          <w:highlight w:val="none"/>
        </w:rPr>
        <w:t>第2章   投标文件格式</w:t>
      </w:r>
      <w:r>
        <w:tab/>
      </w:r>
      <w:r>
        <w:fldChar w:fldCharType="begin"/>
      </w:r>
      <w:r>
        <w:instrText xml:space="preserve"> PAGEREF _Toc9670 \h </w:instrText>
      </w:r>
      <w:r>
        <w:fldChar w:fldCharType="separate"/>
      </w:r>
      <w:r>
        <w:t>20</w:t>
      </w:r>
      <w:r>
        <w:fldChar w:fldCharType="end"/>
      </w:r>
      <w:r>
        <w:rPr>
          <w:rFonts w:hint="eastAsia" w:ascii="微软雅黑" w:hAnsi="微软雅黑" w:eastAsia="微软雅黑" w:cs="微软雅黑"/>
          <w:color w:val="auto"/>
          <w:kern w:val="2"/>
          <w:szCs w:val="22"/>
          <w:highlight w:val="none"/>
        </w:rPr>
        <w:fldChar w:fldCharType="end"/>
      </w:r>
    </w:p>
    <w:p w14:paraId="121D4536">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_Toc10544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24"/>
          <w:highlight w:val="none"/>
        </w:rPr>
        <w:t>第一部分 开标一览表及资格证明文件</w:t>
      </w:r>
      <w:r>
        <w:tab/>
      </w:r>
      <w:r>
        <w:fldChar w:fldCharType="begin"/>
      </w:r>
      <w:r>
        <w:instrText xml:space="preserve"> PAGEREF _Toc10544 \h </w:instrText>
      </w:r>
      <w:r>
        <w:fldChar w:fldCharType="separate"/>
      </w:r>
      <w:r>
        <w:t>20</w:t>
      </w:r>
      <w:r>
        <w:fldChar w:fldCharType="end"/>
      </w:r>
      <w:r>
        <w:rPr>
          <w:rFonts w:hint="eastAsia" w:ascii="微软雅黑" w:hAnsi="微软雅黑" w:eastAsia="微软雅黑" w:cs="微软雅黑"/>
          <w:color w:val="auto"/>
          <w:kern w:val="2"/>
          <w:szCs w:val="22"/>
          <w:highlight w:val="none"/>
        </w:rPr>
        <w:fldChar w:fldCharType="end"/>
      </w:r>
    </w:p>
    <w:p w14:paraId="5CB06D50">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_Toc30815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22"/>
          <w:highlight w:val="none"/>
        </w:rPr>
        <w:t>1、开标一览表</w:t>
      </w:r>
      <w:r>
        <w:tab/>
      </w:r>
      <w:r>
        <w:fldChar w:fldCharType="begin"/>
      </w:r>
      <w:r>
        <w:instrText xml:space="preserve"> PAGEREF _Toc30815 \h </w:instrText>
      </w:r>
      <w:r>
        <w:fldChar w:fldCharType="separate"/>
      </w:r>
      <w:r>
        <w:t>21</w:t>
      </w:r>
      <w:r>
        <w:fldChar w:fldCharType="end"/>
      </w:r>
      <w:r>
        <w:rPr>
          <w:rFonts w:hint="eastAsia" w:ascii="微软雅黑" w:hAnsi="微软雅黑" w:eastAsia="微软雅黑" w:cs="微软雅黑"/>
          <w:color w:val="auto"/>
          <w:kern w:val="2"/>
          <w:szCs w:val="22"/>
          <w:highlight w:val="none"/>
        </w:rPr>
        <w:fldChar w:fldCharType="end"/>
      </w:r>
    </w:p>
    <w:p w14:paraId="38500FCB">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_Toc5887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kern w:val="2"/>
          <w:szCs w:val="22"/>
          <w:highlight w:val="none"/>
          <w:lang w:val="en-US" w:eastAsia="zh-CN" w:bidi="ar-SA"/>
        </w:rPr>
        <w:t>2、</w:t>
      </w:r>
      <w:r>
        <w:rPr>
          <w:rFonts w:hint="eastAsia" w:ascii="微软雅黑" w:hAnsi="微软雅黑" w:eastAsia="微软雅黑" w:cs="微软雅黑"/>
          <w:szCs w:val="22"/>
          <w:highlight w:val="none"/>
          <w:lang w:eastAsia="zh-CN"/>
        </w:rPr>
        <w:t>具有有效的营业执照</w:t>
      </w:r>
      <w:r>
        <w:rPr>
          <w:rFonts w:hint="eastAsia" w:ascii="微软雅黑" w:hAnsi="微软雅黑" w:eastAsia="微软雅黑" w:cs="微软雅黑"/>
          <w:szCs w:val="22"/>
          <w:highlight w:val="none"/>
        </w:rPr>
        <w:t>；</w:t>
      </w:r>
      <w:r>
        <w:tab/>
      </w:r>
      <w:r>
        <w:fldChar w:fldCharType="begin"/>
      </w:r>
      <w:r>
        <w:instrText xml:space="preserve"> PAGEREF _Toc5887 \h </w:instrText>
      </w:r>
      <w:r>
        <w:fldChar w:fldCharType="separate"/>
      </w:r>
      <w:r>
        <w:t>21</w:t>
      </w:r>
      <w:r>
        <w:fldChar w:fldCharType="end"/>
      </w:r>
      <w:r>
        <w:rPr>
          <w:rFonts w:hint="eastAsia" w:ascii="微软雅黑" w:hAnsi="微软雅黑" w:eastAsia="微软雅黑" w:cs="微软雅黑"/>
          <w:color w:val="auto"/>
          <w:kern w:val="2"/>
          <w:szCs w:val="22"/>
          <w:highlight w:val="none"/>
        </w:rPr>
        <w:fldChar w:fldCharType="end"/>
      </w:r>
    </w:p>
    <w:p w14:paraId="0A3693E0">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_Toc3398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22"/>
          <w:highlight w:val="none"/>
        </w:rPr>
        <w:t>3</w:t>
      </w:r>
      <w:r>
        <w:rPr>
          <w:rFonts w:hint="eastAsia" w:ascii="微软雅黑" w:hAnsi="微软雅黑" w:eastAsia="微软雅黑" w:cs="微软雅黑"/>
          <w:szCs w:val="22"/>
          <w:highlight w:val="none"/>
          <w:lang w:eastAsia="zh-CN"/>
        </w:rPr>
        <w:t>、</w:t>
      </w:r>
      <w:r>
        <w:rPr>
          <w:rFonts w:hint="eastAsia" w:ascii="微软雅黑" w:hAnsi="微软雅黑" w:eastAsia="微软雅黑" w:cs="微软雅黑"/>
          <w:bCs/>
          <w:szCs w:val="22"/>
          <w:highlight w:val="none"/>
          <w:lang w:val="en-US" w:eastAsia="zh-CN"/>
        </w:rPr>
        <w:t>法定代表人资格证明(法定代表人投标需提供法定代表人身份证)；</w:t>
      </w:r>
      <w:r>
        <w:tab/>
      </w:r>
      <w:r>
        <w:fldChar w:fldCharType="begin"/>
      </w:r>
      <w:r>
        <w:instrText xml:space="preserve"> PAGEREF _Toc3398 \h </w:instrText>
      </w:r>
      <w:r>
        <w:fldChar w:fldCharType="separate"/>
      </w:r>
      <w:r>
        <w:t>22</w:t>
      </w:r>
      <w:r>
        <w:fldChar w:fldCharType="end"/>
      </w:r>
      <w:r>
        <w:rPr>
          <w:rFonts w:hint="eastAsia" w:ascii="微软雅黑" w:hAnsi="微软雅黑" w:eastAsia="微软雅黑" w:cs="微软雅黑"/>
          <w:color w:val="auto"/>
          <w:kern w:val="2"/>
          <w:szCs w:val="22"/>
          <w:highlight w:val="none"/>
        </w:rPr>
        <w:fldChar w:fldCharType="end"/>
      </w:r>
    </w:p>
    <w:p w14:paraId="10020D09">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_Toc4076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kern w:val="0"/>
          <w:szCs w:val="22"/>
          <w:highlight w:val="none"/>
          <w:lang w:val="en-US" w:eastAsia="zh-CN" w:bidi="ar-SA"/>
        </w:rPr>
        <w:t>4、投标人为制造商的须提供《医疗器械生产许可证》、投标人为经销商的须提供《医疗器械经营许可证》；所有证件均应在有效期内；</w:t>
      </w:r>
      <w:r>
        <w:tab/>
      </w:r>
      <w:r>
        <w:fldChar w:fldCharType="begin"/>
      </w:r>
      <w:r>
        <w:instrText xml:space="preserve"> PAGEREF _Toc4076 \h </w:instrText>
      </w:r>
      <w:r>
        <w:fldChar w:fldCharType="separate"/>
      </w:r>
      <w:r>
        <w:t>23</w:t>
      </w:r>
      <w:r>
        <w:fldChar w:fldCharType="end"/>
      </w:r>
      <w:r>
        <w:rPr>
          <w:rFonts w:hint="eastAsia" w:ascii="微软雅黑" w:hAnsi="微软雅黑" w:eastAsia="微软雅黑" w:cs="微软雅黑"/>
          <w:color w:val="auto"/>
          <w:kern w:val="2"/>
          <w:szCs w:val="22"/>
          <w:highlight w:val="none"/>
        </w:rPr>
        <w:fldChar w:fldCharType="end"/>
      </w:r>
    </w:p>
    <w:p w14:paraId="0385071B">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_Toc947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kern w:val="0"/>
          <w:szCs w:val="22"/>
          <w:highlight w:val="none"/>
          <w:lang w:val="en-US" w:eastAsia="zh-CN"/>
        </w:rPr>
        <w:t>5、</w:t>
      </w:r>
      <w:r>
        <w:rPr>
          <w:rFonts w:hint="eastAsia" w:ascii="微软雅黑" w:hAnsi="微软雅黑" w:eastAsia="微软雅黑" w:cs="微软雅黑"/>
          <w:kern w:val="0"/>
          <w:szCs w:val="22"/>
          <w:highlight w:val="none"/>
          <w:lang w:eastAsia="zh-CN"/>
        </w:rPr>
        <w:t>提供近两年2023年或2024年任意一年的财务审计报告（成立未满12个月的新公司可提供近三个月内任意一个月的银行资信证明）；</w:t>
      </w:r>
      <w:r>
        <w:tab/>
      </w:r>
      <w:r>
        <w:fldChar w:fldCharType="begin"/>
      </w:r>
      <w:r>
        <w:instrText xml:space="preserve"> PAGEREF _Toc947 \h </w:instrText>
      </w:r>
      <w:r>
        <w:fldChar w:fldCharType="separate"/>
      </w:r>
      <w:r>
        <w:t>23</w:t>
      </w:r>
      <w:r>
        <w:fldChar w:fldCharType="end"/>
      </w:r>
      <w:r>
        <w:rPr>
          <w:rFonts w:hint="eastAsia" w:ascii="微软雅黑" w:hAnsi="微软雅黑" w:eastAsia="微软雅黑" w:cs="微软雅黑"/>
          <w:color w:val="auto"/>
          <w:kern w:val="2"/>
          <w:szCs w:val="22"/>
          <w:highlight w:val="none"/>
        </w:rPr>
        <w:fldChar w:fldCharType="end"/>
      </w:r>
    </w:p>
    <w:p w14:paraId="1A1AB8CD">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_Toc28840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kern w:val="0"/>
          <w:szCs w:val="22"/>
          <w:highlight w:val="none"/>
          <w:lang w:val="en-US" w:eastAsia="zh-CN"/>
        </w:rPr>
        <w:t>6、</w:t>
      </w:r>
      <w:r>
        <w:rPr>
          <w:rFonts w:hint="eastAsia" w:ascii="微软雅黑" w:hAnsi="微软雅黑" w:eastAsia="微软雅黑" w:cs="微软雅黑"/>
          <w:kern w:val="0"/>
          <w:szCs w:val="22"/>
          <w:highlight w:val="none"/>
          <w:lang w:eastAsia="zh-CN"/>
        </w:rPr>
        <w:t>提供依法缴纳近6个月任意1个月的社会保险证明</w:t>
      </w:r>
      <w:r>
        <w:rPr>
          <w:rFonts w:hint="eastAsia" w:ascii="微软雅黑" w:hAnsi="微软雅黑" w:eastAsia="微软雅黑" w:cs="微软雅黑"/>
          <w:kern w:val="0"/>
          <w:szCs w:val="22"/>
          <w:highlight w:val="none"/>
        </w:rPr>
        <w:t>；</w:t>
      </w:r>
      <w:r>
        <w:tab/>
      </w:r>
      <w:r>
        <w:fldChar w:fldCharType="begin"/>
      </w:r>
      <w:r>
        <w:instrText xml:space="preserve"> PAGEREF _Toc28840 \h </w:instrText>
      </w:r>
      <w:r>
        <w:fldChar w:fldCharType="separate"/>
      </w:r>
      <w:r>
        <w:t>23</w:t>
      </w:r>
      <w:r>
        <w:fldChar w:fldCharType="end"/>
      </w:r>
      <w:r>
        <w:rPr>
          <w:rFonts w:hint="eastAsia" w:ascii="微软雅黑" w:hAnsi="微软雅黑" w:eastAsia="微软雅黑" w:cs="微软雅黑"/>
          <w:color w:val="auto"/>
          <w:kern w:val="2"/>
          <w:szCs w:val="22"/>
          <w:highlight w:val="none"/>
        </w:rPr>
        <w:fldChar w:fldCharType="end"/>
      </w:r>
    </w:p>
    <w:p w14:paraId="0AC70725">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_Toc24226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kern w:val="0"/>
          <w:szCs w:val="22"/>
          <w:highlight w:val="none"/>
          <w:lang w:val="en-US" w:eastAsia="zh-CN"/>
        </w:rPr>
        <w:t>7</w:t>
      </w:r>
      <w:r>
        <w:rPr>
          <w:rFonts w:hint="eastAsia" w:ascii="微软雅黑" w:hAnsi="微软雅黑" w:eastAsia="微软雅黑" w:cs="微软雅黑"/>
          <w:kern w:val="0"/>
          <w:szCs w:val="22"/>
          <w:highlight w:val="none"/>
        </w:rPr>
        <w:t>、</w:t>
      </w:r>
      <w:r>
        <w:rPr>
          <w:rFonts w:hint="eastAsia" w:ascii="微软雅黑" w:hAnsi="微软雅黑" w:eastAsia="微软雅黑" w:cs="微软雅黑"/>
          <w:kern w:val="0"/>
          <w:szCs w:val="22"/>
          <w:highlight w:val="none"/>
          <w:lang w:eastAsia="zh-CN"/>
        </w:rPr>
        <w:t>提供依法缴纳近6个月任意1个月的税收证明</w:t>
      </w:r>
      <w:r>
        <w:rPr>
          <w:rFonts w:hint="eastAsia" w:ascii="微软雅黑" w:hAnsi="微软雅黑" w:eastAsia="微软雅黑" w:cs="微软雅黑"/>
          <w:bCs/>
          <w:szCs w:val="22"/>
          <w:highlight w:val="none"/>
          <w:lang w:val="en-US" w:eastAsia="zh-CN"/>
        </w:rPr>
        <w:t>；</w:t>
      </w:r>
      <w:r>
        <w:tab/>
      </w:r>
      <w:r>
        <w:fldChar w:fldCharType="begin"/>
      </w:r>
      <w:r>
        <w:instrText xml:space="preserve"> PAGEREF _Toc24226 \h </w:instrText>
      </w:r>
      <w:r>
        <w:fldChar w:fldCharType="separate"/>
      </w:r>
      <w:r>
        <w:t>23</w:t>
      </w:r>
      <w:r>
        <w:fldChar w:fldCharType="end"/>
      </w:r>
      <w:r>
        <w:rPr>
          <w:rFonts w:hint="eastAsia" w:ascii="微软雅黑" w:hAnsi="微软雅黑" w:eastAsia="微软雅黑" w:cs="微软雅黑"/>
          <w:color w:val="auto"/>
          <w:kern w:val="2"/>
          <w:szCs w:val="22"/>
          <w:highlight w:val="none"/>
        </w:rPr>
        <w:fldChar w:fldCharType="end"/>
      </w:r>
    </w:p>
    <w:p w14:paraId="74C875E4">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_Toc3353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kern w:val="0"/>
          <w:szCs w:val="22"/>
          <w:highlight w:val="none"/>
          <w:lang w:val="en-US" w:eastAsia="zh-CN"/>
        </w:rPr>
        <w:t>8</w:t>
      </w:r>
      <w:r>
        <w:rPr>
          <w:rFonts w:hint="eastAsia" w:ascii="微软雅黑" w:hAnsi="微软雅黑" w:eastAsia="微软雅黑" w:cs="微软雅黑"/>
          <w:kern w:val="0"/>
          <w:szCs w:val="22"/>
          <w:highlight w:val="none"/>
        </w:rPr>
        <w:t>、</w:t>
      </w:r>
      <w:r>
        <w:rPr>
          <w:rFonts w:hint="eastAsia" w:ascii="微软雅黑" w:hAnsi="微软雅黑" w:eastAsia="微软雅黑" w:cs="微软雅黑"/>
          <w:bCs/>
          <w:i w:val="0"/>
          <w:caps w:val="0"/>
          <w:spacing w:val="0"/>
          <w:w w:val="100"/>
          <w:szCs w:val="22"/>
          <w:highlight w:val="none"/>
          <w:lang w:val="en-US" w:eastAsia="zh-CN"/>
        </w:rPr>
        <w:t>根据《财政部关于在政府采购活动中查询及使用信用记录有关问题的通知》（财库﹝2016﹞125号）的要求，凡拟参加本次招标项目的投标人，如在“信用中国”网站（https://www.creditchina.gov.cn/）被列入失信被执行人、重大税收违法失信主体名单（首页-信用公示-失信被执行人查询/重大税收违法失信主体名单-搜索栏输入单位全称）、中国政府采购网（https://www.ccgp.gov.cn/search/cr/）严重违法失信行为信息记录名单（尚在处罚期内的），将拒绝其参加本次招标活动（以采购代理机构或采购人查询为准）；</w:t>
      </w:r>
      <w:r>
        <w:tab/>
      </w:r>
      <w:r>
        <w:fldChar w:fldCharType="begin"/>
      </w:r>
      <w:r>
        <w:instrText xml:space="preserve"> PAGEREF _Toc3353 \h </w:instrText>
      </w:r>
      <w:r>
        <w:fldChar w:fldCharType="separate"/>
      </w:r>
      <w:r>
        <w:t>23</w:t>
      </w:r>
      <w:r>
        <w:fldChar w:fldCharType="end"/>
      </w:r>
      <w:r>
        <w:rPr>
          <w:rFonts w:hint="eastAsia" w:ascii="微软雅黑" w:hAnsi="微软雅黑" w:eastAsia="微软雅黑" w:cs="微软雅黑"/>
          <w:color w:val="auto"/>
          <w:kern w:val="2"/>
          <w:szCs w:val="22"/>
          <w:highlight w:val="none"/>
        </w:rPr>
        <w:fldChar w:fldCharType="end"/>
      </w:r>
    </w:p>
    <w:p w14:paraId="6DEB36C9">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_Toc5044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kern w:val="0"/>
          <w:szCs w:val="22"/>
          <w:highlight w:val="none"/>
          <w:lang w:val="en-US" w:eastAsia="zh-CN"/>
        </w:rPr>
        <w:t>9</w:t>
      </w:r>
      <w:r>
        <w:rPr>
          <w:rFonts w:hint="eastAsia" w:ascii="微软雅黑" w:hAnsi="微软雅黑" w:eastAsia="微软雅黑" w:cs="微软雅黑"/>
          <w:kern w:val="0"/>
          <w:szCs w:val="22"/>
          <w:highlight w:val="none"/>
        </w:rPr>
        <w:t>、</w:t>
      </w:r>
      <w:r>
        <w:rPr>
          <w:rFonts w:hint="eastAsia" w:ascii="微软雅黑" w:hAnsi="微软雅黑" w:eastAsia="微软雅黑" w:cs="微软雅黑"/>
          <w:kern w:val="0"/>
          <w:szCs w:val="22"/>
          <w:highlight w:val="none"/>
          <w:lang w:eastAsia="zh-CN"/>
        </w:rPr>
        <w:t>提供参加政府采购活动前3年内在经营活动中没有重大违法记录的书面声明函</w:t>
      </w:r>
      <w:r>
        <w:rPr>
          <w:rFonts w:hint="eastAsia" w:ascii="微软雅黑" w:hAnsi="微软雅黑" w:eastAsia="微软雅黑" w:cs="微软雅黑"/>
          <w:bCs/>
          <w:szCs w:val="22"/>
          <w:highlight w:val="none"/>
          <w:lang w:val="en-US" w:eastAsia="zh-CN"/>
        </w:rPr>
        <w:t>；</w:t>
      </w:r>
      <w:r>
        <w:tab/>
      </w:r>
      <w:r>
        <w:fldChar w:fldCharType="begin"/>
      </w:r>
      <w:r>
        <w:instrText xml:space="preserve"> PAGEREF _Toc5044 \h </w:instrText>
      </w:r>
      <w:r>
        <w:fldChar w:fldCharType="separate"/>
      </w:r>
      <w:r>
        <w:t>24</w:t>
      </w:r>
      <w:r>
        <w:fldChar w:fldCharType="end"/>
      </w:r>
      <w:r>
        <w:rPr>
          <w:rFonts w:hint="eastAsia" w:ascii="微软雅黑" w:hAnsi="微软雅黑" w:eastAsia="微软雅黑" w:cs="微软雅黑"/>
          <w:color w:val="auto"/>
          <w:kern w:val="2"/>
          <w:szCs w:val="22"/>
          <w:highlight w:val="none"/>
        </w:rPr>
        <w:fldChar w:fldCharType="end"/>
      </w:r>
    </w:p>
    <w:p w14:paraId="1B115946">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_Toc6225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kern w:val="0"/>
          <w:szCs w:val="22"/>
          <w:highlight w:val="none"/>
          <w:lang w:val="en-US" w:eastAsia="zh-CN" w:bidi="ar-SA"/>
        </w:rPr>
        <w:t>10、提供针对本次项目《反商业贿赂承诺书》；</w:t>
      </w:r>
      <w:r>
        <w:tab/>
      </w:r>
      <w:r>
        <w:fldChar w:fldCharType="begin"/>
      </w:r>
      <w:r>
        <w:instrText xml:space="preserve"> PAGEREF _Toc6225 \h </w:instrText>
      </w:r>
      <w:r>
        <w:fldChar w:fldCharType="separate"/>
      </w:r>
      <w:r>
        <w:t>25</w:t>
      </w:r>
      <w:r>
        <w:fldChar w:fldCharType="end"/>
      </w:r>
      <w:r>
        <w:rPr>
          <w:rFonts w:hint="eastAsia" w:ascii="微软雅黑" w:hAnsi="微软雅黑" w:eastAsia="微软雅黑" w:cs="微软雅黑"/>
          <w:color w:val="auto"/>
          <w:kern w:val="2"/>
          <w:szCs w:val="22"/>
          <w:highlight w:val="none"/>
        </w:rPr>
        <w:fldChar w:fldCharType="end"/>
      </w:r>
    </w:p>
    <w:p w14:paraId="619A0642">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_Toc15598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kern w:val="0"/>
          <w:szCs w:val="22"/>
          <w:highlight w:val="none"/>
          <w:lang w:val="en-US" w:eastAsia="zh-CN"/>
        </w:rPr>
        <w:t>11</w:t>
      </w:r>
      <w:r>
        <w:rPr>
          <w:rFonts w:hint="eastAsia" w:ascii="微软雅黑" w:hAnsi="微软雅黑" w:eastAsia="微软雅黑" w:cs="微软雅黑"/>
          <w:kern w:val="0"/>
          <w:szCs w:val="22"/>
          <w:highlight w:val="none"/>
        </w:rPr>
        <w:t>、</w:t>
      </w:r>
      <w:r>
        <w:rPr>
          <w:rFonts w:hint="eastAsia" w:ascii="微软雅黑" w:hAnsi="微软雅黑" w:eastAsia="微软雅黑" w:cs="微软雅黑"/>
          <w:bCs/>
          <w:szCs w:val="22"/>
          <w:highlight w:val="none"/>
          <w:lang w:val="en-US" w:eastAsia="zh-CN"/>
        </w:rPr>
        <w:t>缴纳投标保证金有效凭证；</w:t>
      </w:r>
      <w:r>
        <w:tab/>
      </w:r>
      <w:r>
        <w:fldChar w:fldCharType="begin"/>
      </w:r>
      <w:r>
        <w:instrText xml:space="preserve"> PAGEREF _Toc15598 \h </w:instrText>
      </w:r>
      <w:r>
        <w:fldChar w:fldCharType="separate"/>
      </w:r>
      <w:r>
        <w:t>25</w:t>
      </w:r>
      <w:r>
        <w:fldChar w:fldCharType="end"/>
      </w:r>
      <w:r>
        <w:rPr>
          <w:rFonts w:hint="eastAsia" w:ascii="微软雅黑" w:hAnsi="微软雅黑" w:eastAsia="微软雅黑" w:cs="微软雅黑"/>
          <w:color w:val="auto"/>
          <w:kern w:val="2"/>
          <w:szCs w:val="22"/>
          <w:highlight w:val="none"/>
        </w:rPr>
        <w:fldChar w:fldCharType="end"/>
      </w:r>
    </w:p>
    <w:p w14:paraId="59468D99">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_Toc25288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bCs/>
          <w:szCs w:val="22"/>
          <w:highlight w:val="none"/>
          <w:lang w:val="en-US" w:eastAsia="zh-CN"/>
        </w:rPr>
        <w:t>12</w:t>
      </w:r>
      <w:r>
        <w:rPr>
          <w:rFonts w:hint="eastAsia" w:ascii="微软雅黑" w:hAnsi="微软雅黑" w:eastAsia="微软雅黑" w:cs="微软雅黑"/>
          <w:bCs/>
          <w:szCs w:val="22"/>
          <w:highlight w:val="none"/>
        </w:rPr>
        <w:t>、</w:t>
      </w:r>
      <w:r>
        <w:rPr>
          <w:rFonts w:hint="eastAsia" w:ascii="微软雅黑" w:hAnsi="微软雅黑" w:eastAsia="微软雅黑" w:cs="微软雅黑"/>
          <w:kern w:val="0"/>
          <w:szCs w:val="22"/>
          <w:highlight w:val="none"/>
          <w:lang w:val="en-US" w:eastAsia="zh-CN" w:bidi="ar-SA"/>
        </w:rPr>
        <w:t>供应商可提供有利于投标的其他资格证明材料。</w:t>
      </w:r>
      <w:r>
        <w:tab/>
      </w:r>
      <w:r>
        <w:fldChar w:fldCharType="begin"/>
      </w:r>
      <w:r>
        <w:instrText xml:space="preserve"> PAGEREF _Toc25288 \h </w:instrText>
      </w:r>
      <w:r>
        <w:fldChar w:fldCharType="separate"/>
      </w:r>
      <w:r>
        <w:t>25</w:t>
      </w:r>
      <w:r>
        <w:fldChar w:fldCharType="end"/>
      </w:r>
      <w:r>
        <w:rPr>
          <w:rFonts w:hint="eastAsia" w:ascii="微软雅黑" w:hAnsi="微软雅黑" w:eastAsia="微软雅黑" w:cs="微软雅黑"/>
          <w:color w:val="auto"/>
          <w:kern w:val="2"/>
          <w:szCs w:val="22"/>
          <w:highlight w:val="none"/>
        </w:rPr>
        <w:fldChar w:fldCharType="end"/>
      </w:r>
    </w:p>
    <w:p w14:paraId="15E9C48C">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_Toc29080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22"/>
          <w:highlight w:val="none"/>
        </w:rPr>
        <w:t>第二部分  商务及技术文件</w:t>
      </w:r>
      <w:r>
        <w:tab/>
      </w:r>
      <w:r>
        <w:fldChar w:fldCharType="begin"/>
      </w:r>
      <w:r>
        <w:instrText xml:space="preserve"> PAGEREF _Toc29080 \h </w:instrText>
      </w:r>
      <w:r>
        <w:fldChar w:fldCharType="separate"/>
      </w:r>
      <w:r>
        <w:t>26</w:t>
      </w:r>
      <w:r>
        <w:fldChar w:fldCharType="end"/>
      </w:r>
      <w:r>
        <w:rPr>
          <w:rFonts w:hint="eastAsia" w:ascii="微软雅黑" w:hAnsi="微软雅黑" w:eastAsia="微软雅黑" w:cs="微软雅黑"/>
          <w:color w:val="auto"/>
          <w:kern w:val="2"/>
          <w:szCs w:val="22"/>
          <w:highlight w:val="none"/>
        </w:rPr>
        <w:fldChar w:fldCharType="end"/>
      </w:r>
    </w:p>
    <w:p w14:paraId="675EFFCD">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_Toc4026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bCs/>
          <w:szCs w:val="22"/>
          <w:highlight w:val="none"/>
        </w:rPr>
        <w:t>1</w:t>
      </w:r>
      <w:r>
        <w:rPr>
          <w:rFonts w:hint="eastAsia" w:ascii="微软雅黑" w:hAnsi="微软雅黑" w:eastAsia="微软雅黑" w:cs="微软雅黑"/>
          <w:bCs/>
          <w:szCs w:val="22"/>
          <w:highlight w:val="none"/>
          <w:lang w:eastAsia="zh-CN"/>
        </w:rPr>
        <w:t>、</w:t>
      </w:r>
      <w:r>
        <w:rPr>
          <w:rFonts w:hint="eastAsia" w:ascii="微软雅黑" w:hAnsi="微软雅黑" w:eastAsia="微软雅黑" w:cs="微软雅黑"/>
          <w:bCs/>
          <w:szCs w:val="22"/>
          <w:highlight w:val="none"/>
        </w:rPr>
        <w:t>投标书</w:t>
      </w:r>
      <w:r>
        <w:tab/>
      </w:r>
      <w:r>
        <w:fldChar w:fldCharType="begin"/>
      </w:r>
      <w:r>
        <w:instrText xml:space="preserve"> PAGEREF _Toc4026 \h </w:instrText>
      </w:r>
      <w:r>
        <w:fldChar w:fldCharType="separate"/>
      </w:r>
      <w:r>
        <w:t>27</w:t>
      </w:r>
      <w:r>
        <w:fldChar w:fldCharType="end"/>
      </w:r>
      <w:r>
        <w:rPr>
          <w:rFonts w:hint="eastAsia" w:ascii="微软雅黑" w:hAnsi="微软雅黑" w:eastAsia="微软雅黑" w:cs="微软雅黑"/>
          <w:color w:val="auto"/>
          <w:kern w:val="2"/>
          <w:szCs w:val="22"/>
          <w:highlight w:val="none"/>
        </w:rPr>
        <w:fldChar w:fldCharType="end"/>
      </w:r>
    </w:p>
    <w:p w14:paraId="6F0D50BD">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_Toc12941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bCs/>
          <w:szCs w:val="22"/>
          <w:highlight w:val="none"/>
        </w:rPr>
        <w:t>2</w:t>
      </w:r>
      <w:r>
        <w:rPr>
          <w:rFonts w:hint="eastAsia" w:ascii="微软雅黑" w:hAnsi="微软雅黑" w:eastAsia="微软雅黑" w:cs="微软雅黑"/>
          <w:bCs/>
          <w:szCs w:val="22"/>
          <w:highlight w:val="none"/>
          <w:lang w:eastAsia="zh-CN"/>
        </w:rPr>
        <w:t>、</w:t>
      </w:r>
      <w:r>
        <w:rPr>
          <w:rFonts w:hint="eastAsia" w:ascii="微软雅黑" w:hAnsi="微软雅黑" w:eastAsia="微软雅黑" w:cs="微软雅黑"/>
          <w:bCs/>
          <w:szCs w:val="22"/>
          <w:highlight w:val="none"/>
        </w:rPr>
        <w:t>投标分项报价表</w:t>
      </w:r>
      <w:r>
        <w:tab/>
      </w:r>
      <w:r>
        <w:fldChar w:fldCharType="begin"/>
      </w:r>
      <w:r>
        <w:instrText xml:space="preserve"> PAGEREF _Toc12941 \h </w:instrText>
      </w:r>
      <w:r>
        <w:fldChar w:fldCharType="separate"/>
      </w:r>
      <w:r>
        <w:t>28</w:t>
      </w:r>
      <w:r>
        <w:fldChar w:fldCharType="end"/>
      </w:r>
      <w:r>
        <w:rPr>
          <w:rFonts w:hint="eastAsia" w:ascii="微软雅黑" w:hAnsi="微软雅黑" w:eastAsia="微软雅黑" w:cs="微软雅黑"/>
          <w:color w:val="auto"/>
          <w:kern w:val="2"/>
          <w:szCs w:val="22"/>
          <w:highlight w:val="none"/>
        </w:rPr>
        <w:fldChar w:fldCharType="end"/>
      </w:r>
    </w:p>
    <w:p w14:paraId="72296818">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_Toc31644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bCs/>
          <w:szCs w:val="22"/>
          <w:highlight w:val="none"/>
        </w:rPr>
        <w:t>3</w:t>
      </w:r>
      <w:r>
        <w:rPr>
          <w:rFonts w:hint="eastAsia" w:ascii="微软雅黑" w:hAnsi="微软雅黑" w:eastAsia="微软雅黑" w:cs="微软雅黑"/>
          <w:bCs/>
          <w:szCs w:val="22"/>
          <w:highlight w:val="none"/>
          <w:lang w:eastAsia="zh-CN"/>
        </w:rPr>
        <w:t>、</w:t>
      </w:r>
      <w:r>
        <w:rPr>
          <w:rFonts w:hint="eastAsia" w:ascii="微软雅黑" w:hAnsi="微软雅黑" w:eastAsia="微软雅黑" w:cs="微软雅黑"/>
          <w:bCs/>
          <w:szCs w:val="22"/>
          <w:highlight w:val="none"/>
          <w:lang w:val="en-US" w:eastAsia="zh-CN"/>
        </w:rPr>
        <w:t>货物</w:t>
      </w:r>
      <w:r>
        <w:rPr>
          <w:rFonts w:hint="eastAsia" w:ascii="微软雅黑" w:hAnsi="微软雅黑" w:eastAsia="微软雅黑" w:cs="微软雅黑"/>
          <w:bCs/>
          <w:szCs w:val="22"/>
          <w:highlight w:val="none"/>
        </w:rPr>
        <w:t>说明一览表</w:t>
      </w:r>
      <w:r>
        <w:tab/>
      </w:r>
      <w:r>
        <w:fldChar w:fldCharType="begin"/>
      </w:r>
      <w:r>
        <w:instrText xml:space="preserve"> PAGEREF _Toc31644 \h </w:instrText>
      </w:r>
      <w:r>
        <w:fldChar w:fldCharType="separate"/>
      </w:r>
      <w:r>
        <w:t>31</w:t>
      </w:r>
      <w:r>
        <w:fldChar w:fldCharType="end"/>
      </w:r>
      <w:r>
        <w:rPr>
          <w:rFonts w:hint="eastAsia" w:ascii="微软雅黑" w:hAnsi="微软雅黑" w:eastAsia="微软雅黑" w:cs="微软雅黑"/>
          <w:color w:val="auto"/>
          <w:kern w:val="2"/>
          <w:szCs w:val="22"/>
          <w:highlight w:val="none"/>
        </w:rPr>
        <w:fldChar w:fldCharType="end"/>
      </w:r>
    </w:p>
    <w:p w14:paraId="45C0A53A">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_Toc20557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bCs/>
          <w:szCs w:val="22"/>
          <w:highlight w:val="none"/>
        </w:rPr>
        <w:t>4</w:t>
      </w:r>
      <w:r>
        <w:rPr>
          <w:rFonts w:hint="eastAsia" w:ascii="微软雅黑" w:hAnsi="微软雅黑" w:eastAsia="微软雅黑" w:cs="微软雅黑"/>
          <w:bCs/>
          <w:szCs w:val="22"/>
          <w:highlight w:val="none"/>
          <w:lang w:eastAsia="zh-CN"/>
        </w:rPr>
        <w:t>、</w:t>
      </w:r>
      <w:r>
        <w:rPr>
          <w:rFonts w:hint="eastAsia" w:ascii="微软雅黑" w:hAnsi="微软雅黑" w:eastAsia="微软雅黑" w:cs="微软雅黑"/>
          <w:bCs/>
          <w:szCs w:val="22"/>
          <w:highlight w:val="none"/>
          <w:lang w:val="en-US" w:eastAsia="zh-CN"/>
        </w:rPr>
        <w:t>技术</w:t>
      </w:r>
      <w:r>
        <w:rPr>
          <w:rFonts w:hint="eastAsia" w:ascii="微软雅黑" w:hAnsi="微软雅黑" w:eastAsia="微软雅黑" w:cs="微软雅黑"/>
          <w:bCs/>
          <w:szCs w:val="22"/>
          <w:highlight w:val="none"/>
        </w:rPr>
        <w:t>规格偏离表</w:t>
      </w:r>
      <w:r>
        <w:tab/>
      </w:r>
      <w:r>
        <w:fldChar w:fldCharType="begin"/>
      </w:r>
      <w:r>
        <w:instrText xml:space="preserve"> PAGEREF _Toc20557 \h </w:instrText>
      </w:r>
      <w:r>
        <w:fldChar w:fldCharType="separate"/>
      </w:r>
      <w:r>
        <w:t>32</w:t>
      </w:r>
      <w:r>
        <w:fldChar w:fldCharType="end"/>
      </w:r>
      <w:r>
        <w:rPr>
          <w:rFonts w:hint="eastAsia" w:ascii="微软雅黑" w:hAnsi="微软雅黑" w:eastAsia="微软雅黑" w:cs="微软雅黑"/>
          <w:color w:val="auto"/>
          <w:kern w:val="2"/>
          <w:szCs w:val="22"/>
          <w:highlight w:val="none"/>
        </w:rPr>
        <w:fldChar w:fldCharType="end"/>
      </w:r>
    </w:p>
    <w:p w14:paraId="63077452">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_Toc13651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22"/>
          <w:highlight w:val="none"/>
        </w:rPr>
        <w:t>5</w:t>
      </w:r>
      <w:r>
        <w:rPr>
          <w:rFonts w:hint="eastAsia" w:ascii="微软雅黑" w:hAnsi="微软雅黑" w:eastAsia="微软雅黑" w:cs="微软雅黑"/>
          <w:szCs w:val="22"/>
          <w:highlight w:val="none"/>
          <w:lang w:eastAsia="zh-CN"/>
        </w:rPr>
        <w:t>、</w:t>
      </w:r>
      <w:r>
        <w:rPr>
          <w:rFonts w:hint="eastAsia" w:ascii="微软雅黑" w:hAnsi="微软雅黑" w:eastAsia="微软雅黑" w:cs="微软雅黑"/>
          <w:szCs w:val="22"/>
          <w:highlight w:val="none"/>
        </w:rPr>
        <w:t>商务条款偏离表</w:t>
      </w:r>
      <w:r>
        <w:tab/>
      </w:r>
      <w:r>
        <w:fldChar w:fldCharType="begin"/>
      </w:r>
      <w:r>
        <w:instrText xml:space="preserve"> PAGEREF _Toc13651 \h </w:instrText>
      </w:r>
      <w:r>
        <w:fldChar w:fldCharType="separate"/>
      </w:r>
      <w:r>
        <w:t>33</w:t>
      </w:r>
      <w:r>
        <w:fldChar w:fldCharType="end"/>
      </w:r>
      <w:r>
        <w:rPr>
          <w:rFonts w:hint="eastAsia" w:ascii="微软雅黑" w:hAnsi="微软雅黑" w:eastAsia="微软雅黑" w:cs="微软雅黑"/>
          <w:color w:val="auto"/>
          <w:kern w:val="2"/>
          <w:szCs w:val="22"/>
          <w:highlight w:val="none"/>
        </w:rPr>
        <w:fldChar w:fldCharType="end"/>
      </w:r>
    </w:p>
    <w:p w14:paraId="3EF93745">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_Toc17637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22"/>
          <w:highlight w:val="none"/>
        </w:rPr>
        <w:t>6-1  中小企业声明函</w:t>
      </w:r>
      <w:r>
        <w:rPr>
          <w:rFonts w:hint="eastAsia" w:ascii="微软雅黑" w:hAnsi="微软雅黑" w:eastAsia="微软雅黑" w:cs="微软雅黑"/>
          <w:szCs w:val="22"/>
          <w:highlight w:val="none"/>
          <w:lang w:eastAsia="zh-CN"/>
        </w:rPr>
        <w:t>（货物）</w:t>
      </w:r>
      <w:r>
        <w:tab/>
      </w:r>
      <w:r>
        <w:fldChar w:fldCharType="begin"/>
      </w:r>
      <w:r>
        <w:instrText xml:space="preserve"> PAGEREF _Toc17637 \h </w:instrText>
      </w:r>
      <w:r>
        <w:fldChar w:fldCharType="separate"/>
      </w:r>
      <w:r>
        <w:t>34</w:t>
      </w:r>
      <w:r>
        <w:fldChar w:fldCharType="end"/>
      </w:r>
      <w:r>
        <w:rPr>
          <w:rFonts w:hint="eastAsia" w:ascii="微软雅黑" w:hAnsi="微软雅黑" w:eastAsia="微软雅黑" w:cs="微软雅黑"/>
          <w:color w:val="auto"/>
          <w:kern w:val="2"/>
          <w:szCs w:val="22"/>
          <w:highlight w:val="none"/>
        </w:rPr>
        <w:fldChar w:fldCharType="end"/>
      </w:r>
    </w:p>
    <w:p w14:paraId="0AD57F69">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_Toc25200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22"/>
          <w:highlight w:val="none"/>
        </w:rPr>
        <w:t>6-2  残疾人福利性单位声明函</w:t>
      </w:r>
      <w:r>
        <w:tab/>
      </w:r>
      <w:r>
        <w:fldChar w:fldCharType="begin"/>
      </w:r>
      <w:r>
        <w:instrText xml:space="preserve"> PAGEREF _Toc25200 \h </w:instrText>
      </w:r>
      <w:r>
        <w:fldChar w:fldCharType="separate"/>
      </w:r>
      <w:r>
        <w:t>37</w:t>
      </w:r>
      <w:r>
        <w:fldChar w:fldCharType="end"/>
      </w:r>
      <w:r>
        <w:rPr>
          <w:rFonts w:hint="eastAsia" w:ascii="微软雅黑" w:hAnsi="微软雅黑" w:eastAsia="微软雅黑" w:cs="微软雅黑"/>
          <w:color w:val="auto"/>
          <w:kern w:val="2"/>
          <w:szCs w:val="22"/>
          <w:highlight w:val="none"/>
        </w:rPr>
        <w:fldChar w:fldCharType="end"/>
      </w:r>
    </w:p>
    <w:p w14:paraId="237A480D">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_Toc19573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22"/>
          <w:highlight w:val="none"/>
        </w:rPr>
        <w:t>7</w:t>
      </w:r>
      <w:r>
        <w:rPr>
          <w:rFonts w:hint="eastAsia" w:ascii="微软雅黑" w:hAnsi="微软雅黑" w:eastAsia="微软雅黑" w:cs="微软雅黑"/>
          <w:szCs w:val="22"/>
          <w:highlight w:val="none"/>
          <w:lang w:eastAsia="zh-CN"/>
        </w:rPr>
        <w:t>、</w:t>
      </w:r>
      <w:r>
        <w:rPr>
          <w:rFonts w:hint="eastAsia" w:ascii="微软雅黑" w:hAnsi="微软雅黑" w:eastAsia="微软雅黑" w:cs="微软雅黑"/>
          <w:szCs w:val="22"/>
          <w:highlight w:val="none"/>
        </w:rPr>
        <w:t>供应商关联单位的说明</w:t>
      </w:r>
      <w:r>
        <w:tab/>
      </w:r>
      <w:r>
        <w:fldChar w:fldCharType="begin"/>
      </w:r>
      <w:r>
        <w:instrText xml:space="preserve"> PAGEREF _Toc19573 \h </w:instrText>
      </w:r>
      <w:r>
        <w:fldChar w:fldCharType="separate"/>
      </w:r>
      <w:r>
        <w:t>38</w:t>
      </w:r>
      <w:r>
        <w:fldChar w:fldCharType="end"/>
      </w:r>
      <w:r>
        <w:rPr>
          <w:rFonts w:hint="eastAsia" w:ascii="微软雅黑" w:hAnsi="微软雅黑" w:eastAsia="微软雅黑" w:cs="微软雅黑"/>
          <w:color w:val="auto"/>
          <w:kern w:val="2"/>
          <w:szCs w:val="22"/>
          <w:highlight w:val="none"/>
        </w:rPr>
        <w:fldChar w:fldCharType="end"/>
      </w:r>
    </w:p>
    <w:p w14:paraId="40EE505E">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_Toc4131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bCs/>
          <w:szCs w:val="22"/>
          <w:highlight w:val="none"/>
        </w:rPr>
        <w:t>8</w:t>
      </w:r>
      <w:r>
        <w:rPr>
          <w:rFonts w:hint="eastAsia" w:ascii="微软雅黑" w:hAnsi="微软雅黑" w:eastAsia="微软雅黑" w:cs="微软雅黑"/>
          <w:bCs/>
          <w:szCs w:val="22"/>
          <w:highlight w:val="none"/>
          <w:lang w:val="en-US" w:eastAsia="zh-CN"/>
        </w:rPr>
        <w:t>、</w:t>
      </w:r>
      <w:r>
        <w:rPr>
          <w:rFonts w:hint="eastAsia" w:ascii="微软雅黑" w:hAnsi="微软雅黑" w:eastAsia="微软雅黑" w:cs="微软雅黑"/>
          <w:bCs/>
          <w:szCs w:val="22"/>
          <w:highlight w:val="none"/>
        </w:rPr>
        <w:t>供应商可提供有利于投标的其他资格证明材料</w:t>
      </w:r>
      <w:r>
        <w:tab/>
      </w:r>
      <w:r>
        <w:fldChar w:fldCharType="begin"/>
      </w:r>
      <w:r>
        <w:instrText xml:space="preserve"> PAGEREF _Toc4131 \h </w:instrText>
      </w:r>
      <w:r>
        <w:fldChar w:fldCharType="separate"/>
      </w:r>
      <w:r>
        <w:t>38</w:t>
      </w:r>
      <w:r>
        <w:fldChar w:fldCharType="end"/>
      </w:r>
      <w:r>
        <w:rPr>
          <w:rFonts w:hint="eastAsia" w:ascii="微软雅黑" w:hAnsi="微软雅黑" w:eastAsia="微软雅黑" w:cs="微软雅黑"/>
          <w:color w:val="auto"/>
          <w:kern w:val="2"/>
          <w:szCs w:val="22"/>
          <w:highlight w:val="none"/>
        </w:rPr>
        <w:fldChar w:fldCharType="end"/>
      </w:r>
    </w:p>
    <w:p w14:paraId="30E2AB3E">
      <w:pPr>
        <w:pStyle w:val="24"/>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_Toc8919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18"/>
          <w:highlight w:val="none"/>
        </w:rPr>
        <w:t>第3章  投标邀请</w:t>
      </w:r>
      <w:r>
        <w:tab/>
      </w:r>
      <w:r>
        <w:fldChar w:fldCharType="begin"/>
      </w:r>
      <w:r>
        <w:instrText xml:space="preserve"> PAGEREF _Toc8919 \h </w:instrText>
      </w:r>
      <w:r>
        <w:fldChar w:fldCharType="separate"/>
      </w:r>
      <w:r>
        <w:t>41</w:t>
      </w:r>
      <w:r>
        <w:fldChar w:fldCharType="end"/>
      </w:r>
      <w:r>
        <w:rPr>
          <w:rFonts w:hint="eastAsia" w:ascii="微软雅黑" w:hAnsi="微软雅黑" w:eastAsia="微软雅黑" w:cs="微软雅黑"/>
          <w:color w:val="auto"/>
          <w:kern w:val="2"/>
          <w:szCs w:val="22"/>
          <w:highlight w:val="none"/>
        </w:rPr>
        <w:fldChar w:fldCharType="end"/>
      </w:r>
    </w:p>
    <w:p w14:paraId="3CE6CF3B">
      <w:pPr>
        <w:pStyle w:val="24"/>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_Toc26806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bCs/>
          <w:szCs w:val="18"/>
          <w:highlight w:val="none"/>
          <w:lang w:val="en-US" w:eastAsia="zh-CN"/>
        </w:rPr>
        <w:t>第4章</w:t>
      </w:r>
      <w:r>
        <w:rPr>
          <w:rFonts w:hint="eastAsia" w:ascii="微软雅黑" w:hAnsi="微软雅黑" w:eastAsia="微软雅黑" w:cs="微软雅黑"/>
          <w:bCs/>
          <w:szCs w:val="18"/>
          <w:highlight w:val="none"/>
        </w:rPr>
        <w:t xml:space="preserve">  供应商须知资料表</w:t>
      </w:r>
      <w:r>
        <w:tab/>
      </w:r>
      <w:r>
        <w:fldChar w:fldCharType="begin"/>
      </w:r>
      <w:r>
        <w:instrText xml:space="preserve"> PAGEREF _Toc26806 \h </w:instrText>
      </w:r>
      <w:r>
        <w:fldChar w:fldCharType="separate"/>
      </w:r>
      <w:r>
        <w:t>44</w:t>
      </w:r>
      <w:r>
        <w:fldChar w:fldCharType="end"/>
      </w:r>
      <w:r>
        <w:rPr>
          <w:rFonts w:hint="eastAsia" w:ascii="微软雅黑" w:hAnsi="微软雅黑" w:eastAsia="微软雅黑" w:cs="微软雅黑"/>
          <w:color w:val="auto"/>
          <w:kern w:val="2"/>
          <w:szCs w:val="22"/>
          <w:highlight w:val="none"/>
        </w:rPr>
        <w:fldChar w:fldCharType="end"/>
      </w:r>
    </w:p>
    <w:p w14:paraId="67F1CBDA">
      <w:pPr>
        <w:pStyle w:val="24"/>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_Toc6037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kern w:val="2"/>
          <w:szCs w:val="28"/>
          <w:highlight w:val="none"/>
          <w:lang w:val="en-US" w:eastAsia="zh-CN" w:bidi="ar-SA"/>
        </w:rPr>
        <w:t>第5章</w:t>
      </w:r>
      <w:r>
        <w:rPr>
          <w:rFonts w:hint="eastAsia" w:ascii="微软雅黑" w:hAnsi="微软雅黑" w:eastAsia="微软雅黑" w:cs="微软雅黑"/>
          <w:szCs w:val="28"/>
          <w:highlight w:val="none"/>
        </w:rPr>
        <w:t xml:space="preserve"> </w:t>
      </w:r>
      <w:r>
        <w:rPr>
          <w:rFonts w:hint="eastAsia" w:ascii="微软雅黑" w:hAnsi="微软雅黑" w:eastAsia="微软雅黑" w:cs="微软雅黑"/>
          <w:szCs w:val="28"/>
          <w:highlight w:val="none"/>
          <w:lang w:val="en-US" w:eastAsia="zh-CN"/>
        </w:rPr>
        <w:t>货物</w:t>
      </w:r>
      <w:r>
        <w:rPr>
          <w:rFonts w:hint="eastAsia" w:ascii="微软雅黑" w:hAnsi="微软雅黑" w:eastAsia="微软雅黑" w:cs="微软雅黑"/>
          <w:szCs w:val="28"/>
          <w:highlight w:val="none"/>
        </w:rPr>
        <w:t>内容及项目要求</w:t>
      </w:r>
      <w:r>
        <w:tab/>
      </w:r>
      <w:r>
        <w:fldChar w:fldCharType="begin"/>
      </w:r>
      <w:r>
        <w:instrText xml:space="preserve"> PAGEREF _Toc6037 \h </w:instrText>
      </w:r>
      <w:r>
        <w:fldChar w:fldCharType="separate"/>
      </w:r>
      <w:r>
        <w:t>48</w:t>
      </w:r>
      <w:r>
        <w:fldChar w:fldCharType="end"/>
      </w:r>
      <w:r>
        <w:rPr>
          <w:rFonts w:hint="eastAsia" w:ascii="微软雅黑" w:hAnsi="微软雅黑" w:eastAsia="微软雅黑" w:cs="微软雅黑"/>
          <w:color w:val="auto"/>
          <w:kern w:val="2"/>
          <w:szCs w:val="22"/>
          <w:highlight w:val="none"/>
        </w:rPr>
        <w:fldChar w:fldCharType="end"/>
      </w:r>
    </w:p>
    <w:p w14:paraId="69803248">
      <w:pPr>
        <w:pStyle w:val="15"/>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_Toc23091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bCs/>
          <w:szCs w:val="40"/>
          <w:highlight w:val="none"/>
          <w:lang w:val="en-US" w:eastAsia="zh-CN"/>
        </w:rPr>
        <w:t>标项二：</w:t>
      </w:r>
      <w:r>
        <w:tab/>
      </w:r>
      <w:r>
        <w:fldChar w:fldCharType="begin"/>
      </w:r>
      <w:r>
        <w:instrText xml:space="preserve"> PAGEREF _Toc23091 \h </w:instrText>
      </w:r>
      <w:r>
        <w:fldChar w:fldCharType="separate"/>
      </w:r>
      <w:r>
        <w:t>48</w:t>
      </w:r>
      <w:r>
        <w:fldChar w:fldCharType="end"/>
      </w:r>
      <w:r>
        <w:rPr>
          <w:rFonts w:hint="eastAsia" w:ascii="微软雅黑" w:hAnsi="微软雅黑" w:eastAsia="微软雅黑" w:cs="微软雅黑"/>
          <w:color w:val="auto"/>
          <w:kern w:val="2"/>
          <w:szCs w:val="22"/>
          <w:highlight w:val="none"/>
        </w:rPr>
        <w:fldChar w:fldCharType="end"/>
      </w:r>
    </w:p>
    <w:p w14:paraId="59476D16">
      <w:pPr>
        <w:pStyle w:val="24"/>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_Toc29335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28"/>
          <w:highlight w:val="none"/>
        </w:rPr>
        <w:t>第6章  评标方法和标准</w:t>
      </w:r>
      <w:r>
        <w:tab/>
      </w:r>
      <w:r>
        <w:fldChar w:fldCharType="begin"/>
      </w:r>
      <w:r>
        <w:instrText xml:space="preserve"> PAGEREF _Toc29335 \h </w:instrText>
      </w:r>
      <w:r>
        <w:fldChar w:fldCharType="separate"/>
      </w:r>
      <w:r>
        <w:t>68</w:t>
      </w:r>
      <w:r>
        <w:fldChar w:fldCharType="end"/>
      </w:r>
      <w:r>
        <w:rPr>
          <w:rFonts w:hint="eastAsia" w:ascii="微软雅黑" w:hAnsi="微软雅黑" w:eastAsia="微软雅黑" w:cs="微软雅黑"/>
          <w:color w:val="auto"/>
          <w:kern w:val="2"/>
          <w:szCs w:val="22"/>
          <w:highlight w:val="none"/>
        </w:rPr>
        <w:fldChar w:fldCharType="end"/>
      </w:r>
    </w:p>
    <w:p w14:paraId="77D0B788">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_Toc24284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18"/>
          <w:highlight w:val="none"/>
        </w:rPr>
        <w:t>初步评审—资格性审查表</w:t>
      </w:r>
      <w:r>
        <w:tab/>
      </w:r>
      <w:r>
        <w:fldChar w:fldCharType="begin"/>
      </w:r>
      <w:r>
        <w:instrText xml:space="preserve"> PAGEREF _Toc24284 \h </w:instrText>
      </w:r>
      <w:r>
        <w:fldChar w:fldCharType="separate"/>
      </w:r>
      <w:r>
        <w:t>74</w:t>
      </w:r>
      <w:r>
        <w:fldChar w:fldCharType="end"/>
      </w:r>
      <w:r>
        <w:rPr>
          <w:rFonts w:hint="eastAsia" w:ascii="微软雅黑" w:hAnsi="微软雅黑" w:eastAsia="微软雅黑" w:cs="微软雅黑"/>
          <w:color w:val="auto"/>
          <w:kern w:val="2"/>
          <w:szCs w:val="22"/>
          <w:highlight w:val="none"/>
        </w:rPr>
        <w:fldChar w:fldCharType="end"/>
      </w:r>
    </w:p>
    <w:p w14:paraId="0B9F4F17">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_Toc14125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18"/>
          <w:highlight w:val="none"/>
        </w:rPr>
        <w:t>初步评审—符合性审查表</w:t>
      </w:r>
      <w:r>
        <w:tab/>
      </w:r>
      <w:r>
        <w:fldChar w:fldCharType="begin"/>
      </w:r>
      <w:r>
        <w:instrText xml:space="preserve"> PAGEREF _Toc14125 \h </w:instrText>
      </w:r>
      <w:r>
        <w:fldChar w:fldCharType="separate"/>
      </w:r>
      <w:r>
        <w:t>75</w:t>
      </w:r>
      <w:r>
        <w:fldChar w:fldCharType="end"/>
      </w:r>
      <w:r>
        <w:rPr>
          <w:rFonts w:hint="eastAsia" w:ascii="微软雅黑" w:hAnsi="微软雅黑" w:eastAsia="微软雅黑" w:cs="微软雅黑"/>
          <w:color w:val="auto"/>
          <w:kern w:val="2"/>
          <w:szCs w:val="22"/>
          <w:highlight w:val="none"/>
        </w:rPr>
        <w:fldChar w:fldCharType="end"/>
      </w:r>
    </w:p>
    <w:p w14:paraId="6184BB54">
      <w:pPr>
        <w:pStyle w:val="26"/>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_Toc24208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bCs/>
          <w:szCs w:val="24"/>
          <w:highlight w:val="none"/>
        </w:rPr>
        <w:t>综合评分表</w:t>
      </w:r>
      <w:r>
        <w:rPr>
          <w:rFonts w:hint="eastAsia" w:ascii="微软雅黑" w:hAnsi="微软雅黑" w:eastAsia="微软雅黑" w:cs="微软雅黑"/>
          <w:bCs/>
          <w:szCs w:val="24"/>
          <w:highlight w:val="none"/>
          <w:lang w:eastAsia="zh-CN"/>
        </w:rPr>
        <w:t>（</w:t>
      </w:r>
      <w:r>
        <w:rPr>
          <w:rFonts w:hint="eastAsia" w:ascii="微软雅黑" w:hAnsi="微软雅黑" w:eastAsia="微软雅黑" w:cs="微软雅黑"/>
          <w:bCs/>
          <w:szCs w:val="24"/>
          <w:highlight w:val="none"/>
          <w:lang w:val="en-US" w:eastAsia="zh-CN"/>
        </w:rPr>
        <w:t>标项二</w:t>
      </w:r>
      <w:r>
        <w:rPr>
          <w:rFonts w:hint="eastAsia" w:ascii="微软雅黑" w:hAnsi="微软雅黑" w:eastAsia="微软雅黑" w:cs="微软雅黑"/>
          <w:bCs/>
          <w:szCs w:val="24"/>
          <w:highlight w:val="none"/>
          <w:lang w:eastAsia="zh-CN"/>
        </w:rPr>
        <w:t>）</w:t>
      </w:r>
      <w:r>
        <w:tab/>
      </w:r>
      <w:r>
        <w:fldChar w:fldCharType="begin"/>
      </w:r>
      <w:r>
        <w:instrText xml:space="preserve"> PAGEREF _Toc24208 \h </w:instrText>
      </w:r>
      <w:r>
        <w:fldChar w:fldCharType="separate"/>
      </w:r>
      <w:r>
        <w:t>76</w:t>
      </w:r>
      <w:r>
        <w:fldChar w:fldCharType="end"/>
      </w:r>
      <w:r>
        <w:rPr>
          <w:rFonts w:hint="eastAsia" w:ascii="微软雅黑" w:hAnsi="微软雅黑" w:eastAsia="微软雅黑" w:cs="微软雅黑"/>
          <w:color w:val="auto"/>
          <w:kern w:val="2"/>
          <w:szCs w:val="22"/>
          <w:highlight w:val="none"/>
        </w:rPr>
        <w:fldChar w:fldCharType="end"/>
      </w:r>
    </w:p>
    <w:p w14:paraId="28DD5150">
      <w:pPr>
        <w:pStyle w:val="24"/>
        <w:tabs>
          <w:tab w:val="right" w:leader="dot" w:pos="8312"/>
        </w:tabs>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_Toc86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bCs/>
          <w:szCs w:val="28"/>
          <w:highlight w:val="none"/>
        </w:rPr>
        <w:t>第7章 政府采购合同</w:t>
      </w:r>
      <w:r>
        <w:tab/>
      </w:r>
      <w:r>
        <w:fldChar w:fldCharType="begin"/>
      </w:r>
      <w:r>
        <w:instrText xml:space="preserve"> PAGEREF _Toc86 \h </w:instrText>
      </w:r>
      <w:r>
        <w:fldChar w:fldCharType="separate"/>
      </w:r>
      <w:r>
        <w:t>79</w:t>
      </w:r>
      <w:r>
        <w:fldChar w:fldCharType="end"/>
      </w:r>
      <w:r>
        <w:rPr>
          <w:rFonts w:hint="eastAsia" w:ascii="微软雅黑" w:hAnsi="微软雅黑" w:eastAsia="微软雅黑" w:cs="微软雅黑"/>
          <w:color w:val="auto"/>
          <w:kern w:val="2"/>
          <w:szCs w:val="22"/>
          <w:highlight w:val="none"/>
        </w:rPr>
        <w:fldChar w:fldCharType="end"/>
      </w:r>
    </w:p>
    <w:p w14:paraId="39929A02">
      <w:pPr>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kern w:val="2"/>
          <w:szCs w:val="22"/>
          <w:highlight w:val="none"/>
        </w:rPr>
        <w:fldChar w:fldCharType="end"/>
      </w:r>
      <w:bookmarkStart w:id="21" w:name="_Toc25253"/>
      <w:bookmarkStart w:id="22" w:name="_Toc16548"/>
      <w:bookmarkStart w:id="23" w:name="_Toc515647798"/>
      <w:bookmarkStart w:id="24" w:name="_Toc1148"/>
      <w:bookmarkStart w:id="25" w:name="_Toc11115"/>
    </w:p>
    <w:p w14:paraId="60C234A7">
      <w:pPr>
        <w:rPr>
          <w:rFonts w:hint="eastAsia" w:ascii="微软雅黑" w:hAnsi="微软雅黑" w:eastAsia="微软雅黑" w:cs="微软雅黑"/>
          <w:color w:val="auto"/>
          <w:sz w:val="28"/>
          <w:szCs w:val="28"/>
          <w:highlight w:val="none"/>
        </w:rPr>
      </w:pPr>
    </w:p>
    <w:p w14:paraId="45E55374">
      <w:pPr>
        <w:rPr>
          <w:rFonts w:hint="eastAsia" w:ascii="微软雅黑" w:hAnsi="微软雅黑" w:eastAsia="微软雅黑" w:cs="微软雅黑"/>
          <w:color w:val="auto"/>
          <w:sz w:val="28"/>
          <w:szCs w:val="28"/>
          <w:highlight w:val="none"/>
        </w:rPr>
      </w:pPr>
    </w:p>
    <w:p w14:paraId="224EED33">
      <w:pPr>
        <w:rPr>
          <w:rFonts w:hint="eastAsia" w:ascii="微软雅黑" w:hAnsi="微软雅黑" w:eastAsia="微软雅黑" w:cs="微软雅黑"/>
          <w:color w:val="auto"/>
          <w:sz w:val="28"/>
          <w:szCs w:val="28"/>
          <w:highlight w:val="none"/>
        </w:rPr>
      </w:pPr>
    </w:p>
    <w:p w14:paraId="70FD27DB">
      <w:pPr>
        <w:rPr>
          <w:rFonts w:hint="eastAsia" w:ascii="微软雅黑" w:hAnsi="微软雅黑" w:eastAsia="微软雅黑" w:cs="微软雅黑"/>
          <w:color w:val="auto"/>
          <w:sz w:val="28"/>
          <w:szCs w:val="28"/>
          <w:highlight w:val="none"/>
        </w:rPr>
      </w:pPr>
    </w:p>
    <w:p w14:paraId="11771EA4">
      <w:pPr>
        <w:rPr>
          <w:rFonts w:hint="eastAsia" w:ascii="微软雅黑" w:hAnsi="微软雅黑" w:eastAsia="微软雅黑" w:cs="微软雅黑"/>
          <w:color w:val="auto"/>
          <w:sz w:val="28"/>
          <w:szCs w:val="28"/>
          <w:highlight w:val="none"/>
        </w:rPr>
      </w:pPr>
    </w:p>
    <w:p w14:paraId="5C6E90EB">
      <w:pPr>
        <w:outlineLvl w:val="9"/>
        <w:rPr>
          <w:rFonts w:hint="eastAsia" w:ascii="微软雅黑" w:hAnsi="微软雅黑" w:eastAsia="微软雅黑" w:cs="微软雅黑"/>
          <w:color w:val="auto"/>
          <w:sz w:val="20"/>
          <w:szCs w:val="22"/>
          <w:highlight w:val="none"/>
        </w:rPr>
      </w:pPr>
    </w:p>
    <w:p w14:paraId="75E6AF85">
      <w:pPr>
        <w:pStyle w:val="25"/>
        <w:rPr>
          <w:rFonts w:hint="eastAsia" w:ascii="微软雅黑" w:hAnsi="微软雅黑" w:eastAsia="微软雅黑" w:cs="微软雅黑"/>
          <w:color w:val="auto"/>
          <w:sz w:val="36"/>
          <w:szCs w:val="36"/>
          <w:highlight w:val="none"/>
        </w:rPr>
      </w:pPr>
    </w:p>
    <w:p w14:paraId="69DBD940">
      <w:pPr>
        <w:rPr>
          <w:rFonts w:hint="eastAsia" w:ascii="微软雅黑" w:hAnsi="微软雅黑" w:eastAsia="微软雅黑" w:cs="微软雅黑"/>
          <w:b/>
          <w:color w:val="auto"/>
          <w:sz w:val="36"/>
          <w:szCs w:val="36"/>
          <w:highlight w:val="none"/>
        </w:rPr>
      </w:pPr>
      <w:r>
        <w:rPr>
          <w:rFonts w:hint="eastAsia" w:ascii="微软雅黑" w:hAnsi="微软雅黑" w:eastAsia="微软雅黑" w:cs="微软雅黑"/>
          <w:b/>
          <w:color w:val="auto"/>
          <w:sz w:val="36"/>
          <w:szCs w:val="36"/>
          <w:highlight w:val="none"/>
        </w:rPr>
        <w:br w:type="page"/>
      </w:r>
    </w:p>
    <w:p w14:paraId="72593395">
      <w:pPr>
        <w:spacing w:line="240" w:lineRule="atLeast"/>
        <w:jc w:val="center"/>
        <w:rPr>
          <w:rFonts w:hint="eastAsia" w:ascii="微软雅黑" w:hAnsi="微软雅黑" w:eastAsia="微软雅黑" w:cs="微软雅黑"/>
          <w:b/>
          <w:color w:val="auto"/>
          <w:sz w:val="36"/>
          <w:szCs w:val="36"/>
          <w:highlight w:val="none"/>
        </w:rPr>
      </w:pPr>
    </w:p>
    <w:p w14:paraId="2BBBB117">
      <w:pPr>
        <w:spacing w:line="240" w:lineRule="atLeast"/>
        <w:jc w:val="center"/>
        <w:rPr>
          <w:rFonts w:hint="eastAsia" w:ascii="微软雅黑" w:hAnsi="微软雅黑" w:eastAsia="微软雅黑" w:cs="微软雅黑"/>
          <w:b/>
          <w:color w:val="auto"/>
          <w:sz w:val="36"/>
          <w:szCs w:val="36"/>
          <w:highlight w:val="none"/>
        </w:rPr>
      </w:pPr>
    </w:p>
    <w:p w14:paraId="3FDE271D">
      <w:pPr>
        <w:spacing w:line="240" w:lineRule="atLeast"/>
        <w:jc w:val="center"/>
        <w:rPr>
          <w:rFonts w:hint="eastAsia" w:ascii="微软雅黑" w:hAnsi="微软雅黑" w:eastAsia="微软雅黑" w:cs="微软雅黑"/>
          <w:b/>
          <w:color w:val="auto"/>
          <w:sz w:val="36"/>
          <w:szCs w:val="36"/>
          <w:highlight w:val="none"/>
        </w:rPr>
      </w:pPr>
    </w:p>
    <w:p w14:paraId="73C0076E">
      <w:pPr>
        <w:pStyle w:val="2"/>
        <w:rPr>
          <w:rFonts w:hint="eastAsia"/>
        </w:rPr>
      </w:pPr>
    </w:p>
    <w:p w14:paraId="4E9F488F">
      <w:pPr>
        <w:spacing w:line="240" w:lineRule="atLeast"/>
        <w:jc w:val="center"/>
        <w:rPr>
          <w:rFonts w:hint="eastAsia" w:ascii="微软雅黑" w:hAnsi="微软雅黑" w:eastAsia="微软雅黑" w:cs="微软雅黑"/>
          <w:b/>
          <w:color w:val="auto"/>
          <w:sz w:val="36"/>
          <w:szCs w:val="36"/>
          <w:highlight w:val="none"/>
        </w:rPr>
      </w:pPr>
    </w:p>
    <w:p w14:paraId="5FE9CA93">
      <w:pPr>
        <w:spacing w:line="240" w:lineRule="atLeast"/>
        <w:jc w:val="center"/>
        <w:rPr>
          <w:rFonts w:hint="eastAsia" w:ascii="微软雅黑" w:hAnsi="微软雅黑" w:eastAsia="微软雅黑" w:cs="微软雅黑"/>
          <w:b/>
          <w:color w:val="auto"/>
          <w:sz w:val="36"/>
          <w:szCs w:val="36"/>
          <w:highlight w:val="none"/>
        </w:rPr>
      </w:pPr>
    </w:p>
    <w:p w14:paraId="40D32271">
      <w:pPr>
        <w:spacing w:line="240" w:lineRule="atLeast"/>
        <w:jc w:val="center"/>
        <w:rPr>
          <w:rFonts w:hint="eastAsia" w:ascii="微软雅黑" w:hAnsi="微软雅黑" w:eastAsia="微软雅黑" w:cs="微软雅黑"/>
          <w:b/>
          <w:color w:val="auto"/>
          <w:sz w:val="36"/>
          <w:szCs w:val="36"/>
          <w:highlight w:val="none"/>
        </w:rPr>
      </w:pPr>
    </w:p>
    <w:p w14:paraId="05740178">
      <w:pPr>
        <w:spacing w:line="240" w:lineRule="atLeast"/>
        <w:jc w:val="center"/>
        <w:rPr>
          <w:rFonts w:hint="eastAsia" w:ascii="微软雅黑" w:hAnsi="微软雅黑" w:eastAsia="微软雅黑" w:cs="微软雅黑"/>
          <w:b/>
          <w:color w:val="auto"/>
          <w:sz w:val="36"/>
          <w:szCs w:val="36"/>
          <w:highlight w:val="none"/>
        </w:rPr>
      </w:pPr>
      <w:r>
        <w:rPr>
          <w:rFonts w:hint="eastAsia" w:ascii="微软雅黑" w:hAnsi="微软雅黑" w:eastAsia="微软雅黑" w:cs="微软雅黑"/>
          <w:b/>
          <w:color w:val="auto"/>
          <w:sz w:val="36"/>
          <w:szCs w:val="36"/>
          <w:highlight w:val="none"/>
        </w:rPr>
        <w:t>招 标 文 件</w:t>
      </w:r>
    </w:p>
    <w:p w14:paraId="455AEE95">
      <w:pPr>
        <w:spacing w:line="360" w:lineRule="auto"/>
        <w:rPr>
          <w:rFonts w:hint="eastAsia" w:ascii="微软雅黑" w:hAnsi="微软雅黑" w:eastAsia="微软雅黑" w:cs="微软雅黑"/>
          <w:b/>
          <w:color w:val="auto"/>
          <w:sz w:val="36"/>
          <w:szCs w:val="36"/>
          <w:highlight w:val="none"/>
        </w:rPr>
      </w:pPr>
    </w:p>
    <w:p w14:paraId="2F11BE54">
      <w:pPr>
        <w:spacing w:line="360" w:lineRule="auto"/>
        <w:jc w:val="center"/>
        <w:rPr>
          <w:rFonts w:hint="default" w:ascii="微软雅黑" w:hAnsi="微软雅黑" w:eastAsia="微软雅黑" w:cs="微软雅黑"/>
          <w:b/>
          <w:color w:val="auto"/>
          <w:sz w:val="36"/>
          <w:szCs w:val="36"/>
          <w:highlight w:val="none"/>
          <w:lang w:val="en-US" w:eastAsia="zh-CN"/>
        </w:rPr>
      </w:pPr>
      <w:r>
        <w:rPr>
          <w:rFonts w:hint="eastAsia" w:ascii="微软雅黑" w:hAnsi="微软雅黑" w:eastAsia="微软雅黑" w:cs="微软雅黑"/>
          <w:b/>
          <w:color w:val="auto"/>
          <w:sz w:val="36"/>
          <w:szCs w:val="36"/>
          <w:highlight w:val="none"/>
        </w:rPr>
        <w:t>项目编号：</w:t>
      </w:r>
      <w:r>
        <w:rPr>
          <w:rFonts w:hint="eastAsia" w:ascii="微软雅黑" w:hAnsi="微软雅黑" w:eastAsia="微软雅黑" w:cs="微软雅黑"/>
          <w:b/>
          <w:color w:val="auto"/>
          <w:sz w:val="36"/>
          <w:szCs w:val="36"/>
          <w:highlight w:val="none"/>
          <w:lang w:eastAsia="zh-CN"/>
        </w:rPr>
        <w:t xml:space="preserve"> 25GJ-(GK）044</w:t>
      </w:r>
      <w:r>
        <w:rPr>
          <w:rFonts w:hint="eastAsia" w:ascii="微软雅黑" w:hAnsi="微软雅黑" w:eastAsia="微软雅黑" w:cs="微软雅黑"/>
          <w:b/>
          <w:color w:val="auto"/>
          <w:sz w:val="36"/>
          <w:szCs w:val="36"/>
          <w:highlight w:val="none"/>
          <w:lang w:val="en-US" w:eastAsia="zh-CN"/>
        </w:rPr>
        <w:t>-3</w:t>
      </w:r>
    </w:p>
    <w:p w14:paraId="6769D157">
      <w:pPr>
        <w:spacing w:line="240" w:lineRule="atLeast"/>
        <w:jc w:val="center"/>
        <w:rPr>
          <w:rFonts w:hint="eastAsia" w:ascii="微软雅黑" w:hAnsi="微软雅黑" w:eastAsia="微软雅黑" w:cs="微软雅黑"/>
          <w:b/>
          <w:color w:val="auto"/>
          <w:sz w:val="36"/>
          <w:szCs w:val="36"/>
          <w:highlight w:val="none"/>
        </w:rPr>
      </w:pPr>
    </w:p>
    <w:p w14:paraId="0CD6EC8A">
      <w:pPr>
        <w:spacing w:line="240" w:lineRule="atLeast"/>
        <w:jc w:val="center"/>
        <w:rPr>
          <w:rFonts w:hint="eastAsia" w:ascii="微软雅黑" w:hAnsi="微软雅黑" w:eastAsia="微软雅黑" w:cs="微软雅黑"/>
          <w:b/>
          <w:color w:val="auto"/>
          <w:sz w:val="36"/>
          <w:szCs w:val="36"/>
          <w:highlight w:val="none"/>
        </w:rPr>
      </w:pPr>
      <w:r>
        <w:rPr>
          <w:rFonts w:hint="eastAsia" w:ascii="微软雅黑" w:hAnsi="微软雅黑" w:eastAsia="微软雅黑" w:cs="微软雅黑"/>
          <w:b/>
          <w:color w:val="auto"/>
          <w:sz w:val="36"/>
          <w:szCs w:val="36"/>
          <w:highlight w:val="none"/>
        </w:rPr>
        <w:t xml:space="preserve">第 </w:t>
      </w:r>
      <w:r>
        <w:rPr>
          <w:rFonts w:hint="eastAsia" w:ascii="微软雅黑" w:hAnsi="微软雅黑" w:eastAsia="微软雅黑" w:cs="微软雅黑"/>
          <w:b/>
          <w:color w:val="auto"/>
          <w:sz w:val="36"/>
          <w:szCs w:val="36"/>
          <w:highlight w:val="none"/>
          <w:lang w:val="en-US" w:eastAsia="zh-CN"/>
        </w:rPr>
        <w:t>一</w:t>
      </w:r>
      <w:r>
        <w:rPr>
          <w:rFonts w:hint="eastAsia" w:ascii="微软雅黑" w:hAnsi="微软雅黑" w:eastAsia="微软雅黑" w:cs="微软雅黑"/>
          <w:b/>
          <w:color w:val="auto"/>
          <w:sz w:val="36"/>
          <w:szCs w:val="36"/>
          <w:highlight w:val="none"/>
        </w:rPr>
        <w:t xml:space="preserve"> 册</w:t>
      </w:r>
    </w:p>
    <w:p w14:paraId="3CB31110">
      <w:pPr>
        <w:rPr>
          <w:rFonts w:hint="eastAsia" w:ascii="微软雅黑" w:hAnsi="微软雅黑" w:eastAsia="微软雅黑" w:cs="微软雅黑"/>
          <w:color w:val="auto"/>
          <w:sz w:val="22"/>
          <w:szCs w:val="22"/>
          <w:highlight w:val="none"/>
        </w:rPr>
      </w:pPr>
    </w:p>
    <w:p w14:paraId="6FF6552C">
      <w:pPr>
        <w:rPr>
          <w:rFonts w:hint="eastAsia" w:ascii="微软雅黑" w:hAnsi="微软雅黑" w:eastAsia="微软雅黑" w:cs="微软雅黑"/>
          <w:color w:val="auto"/>
          <w:sz w:val="40"/>
          <w:szCs w:val="32"/>
          <w:highlight w:val="none"/>
        </w:rPr>
      </w:pPr>
    </w:p>
    <w:p w14:paraId="108590B4">
      <w:pPr>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8"/>
          <w:szCs w:val="28"/>
          <w:highlight w:val="none"/>
        </w:rPr>
        <w:br w:type="page"/>
      </w:r>
    </w:p>
    <w:p w14:paraId="0484F658">
      <w:pPr>
        <w:pStyle w:val="3"/>
        <w:ind w:firstLine="0"/>
        <w:jc w:val="center"/>
        <w:outlineLvl w:val="0"/>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8"/>
          <w:szCs w:val="28"/>
          <w:highlight w:val="none"/>
        </w:rPr>
        <w:t xml:space="preserve"> </w:t>
      </w:r>
      <w:bookmarkStart w:id="26" w:name="_Toc18196"/>
      <w:bookmarkStart w:id="27" w:name="_Toc25475"/>
      <w:r>
        <w:rPr>
          <w:rFonts w:hint="eastAsia" w:ascii="微软雅黑" w:hAnsi="微软雅黑" w:eastAsia="微软雅黑" w:cs="微软雅黑"/>
          <w:b/>
          <w:bCs/>
          <w:color w:val="auto"/>
          <w:sz w:val="28"/>
          <w:szCs w:val="28"/>
          <w:highlight w:val="none"/>
        </w:rPr>
        <w:t xml:space="preserve">第1章  </w:t>
      </w:r>
      <w:bookmarkStart w:id="28" w:name="_Toc515647756"/>
      <w:r>
        <w:rPr>
          <w:rFonts w:hint="eastAsia" w:ascii="微软雅黑" w:hAnsi="微软雅黑" w:eastAsia="微软雅黑" w:cs="微软雅黑"/>
          <w:b/>
          <w:bCs/>
          <w:color w:val="auto"/>
          <w:sz w:val="28"/>
          <w:szCs w:val="28"/>
          <w:highlight w:val="none"/>
          <w:lang w:eastAsia="zh-CN"/>
        </w:rPr>
        <w:t>供应商</w:t>
      </w:r>
      <w:r>
        <w:rPr>
          <w:rFonts w:hint="eastAsia" w:ascii="微软雅黑" w:hAnsi="微软雅黑" w:eastAsia="微软雅黑" w:cs="微软雅黑"/>
          <w:b/>
          <w:bCs/>
          <w:color w:val="auto"/>
          <w:sz w:val="28"/>
          <w:szCs w:val="28"/>
          <w:highlight w:val="none"/>
        </w:rPr>
        <w:t>须知</w:t>
      </w:r>
      <w:bookmarkEnd w:id="26"/>
      <w:bookmarkEnd w:id="27"/>
      <w:bookmarkEnd w:id="28"/>
    </w:p>
    <w:p w14:paraId="20DEAF4D">
      <w:pPr>
        <w:pStyle w:val="6"/>
        <w:spacing w:before="0" w:line="240" w:lineRule="atLeast"/>
        <w:ind w:left="1080" w:leftChars="257" w:hanging="540"/>
        <w:rPr>
          <w:rFonts w:hint="eastAsia" w:ascii="微软雅黑" w:hAnsi="微软雅黑" w:eastAsia="微软雅黑" w:cs="微软雅黑"/>
          <w:color w:val="auto"/>
          <w:sz w:val="28"/>
          <w:szCs w:val="18"/>
          <w:highlight w:val="none"/>
        </w:rPr>
      </w:pPr>
      <w:bookmarkStart w:id="29" w:name="_Toc520356143"/>
      <w:bookmarkStart w:id="30" w:name="_Toc216582805"/>
      <w:bookmarkStart w:id="31" w:name="_Toc515647757"/>
      <w:bookmarkStart w:id="32" w:name="_Toc24746"/>
      <w:bookmarkStart w:id="33" w:name="_Toc21015"/>
      <w:bookmarkStart w:id="34" w:name="_Toc21215"/>
      <w:bookmarkStart w:id="35" w:name="_Toc11227"/>
      <w:bookmarkStart w:id="36" w:name="_Toc27722"/>
      <w:r>
        <w:rPr>
          <w:rFonts w:hint="eastAsia" w:ascii="微软雅黑" w:hAnsi="微软雅黑" w:eastAsia="微软雅黑" w:cs="微软雅黑"/>
          <w:color w:val="auto"/>
          <w:sz w:val="24"/>
          <w:szCs w:val="18"/>
          <w:highlight w:val="none"/>
        </w:rPr>
        <w:t xml:space="preserve">一   </w:t>
      </w:r>
      <w:bookmarkEnd w:id="29"/>
      <w:bookmarkEnd w:id="30"/>
      <w:bookmarkEnd w:id="31"/>
      <w:r>
        <w:rPr>
          <w:rFonts w:hint="eastAsia" w:ascii="微软雅黑" w:hAnsi="微软雅黑" w:eastAsia="微软雅黑" w:cs="微软雅黑"/>
          <w:color w:val="auto"/>
          <w:sz w:val="24"/>
          <w:szCs w:val="18"/>
          <w:highlight w:val="none"/>
        </w:rPr>
        <w:t>总 则</w:t>
      </w:r>
      <w:bookmarkEnd w:id="32"/>
      <w:bookmarkEnd w:id="33"/>
      <w:bookmarkEnd w:id="34"/>
      <w:bookmarkEnd w:id="35"/>
      <w:bookmarkEnd w:id="36"/>
    </w:p>
    <w:p w14:paraId="206E4577">
      <w:pPr>
        <w:pStyle w:val="2"/>
        <w:pageBreakBefore w:val="0"/>
        <w:widowControl w:val="0"/>
        <w:numPr>
          <w:ilvl w:val="0"/>
          <w:numId w:val="0"/>
        </w:numPr>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37" w:name="_Toc4880"/>
      <w:bookmarkStart w:id="38" w:name="_Toc23985"/>
      <w:bookmarkStart w:id="39" w:name="_Toc32189"/>
      <w:bookmarkStart w:id="40" w:name="_Toc520356144"/>
      <w:bookmarkStart w:id="41" w:name="_Toc11808"/>
      <w:bookmarkStart w:id="42" w:name="_Toc12861"/>
      <w:bookmarkStart w:id="43" w:name="_Toc31685"/>
      <w:bookmarkStart w:id="44" w:name="_Toc515647758"/>
      <w:bookmarkStart w:id="45" w:name="_Toc28967"/>
      <w:bookmarkStart w:id="46" w:name="_Toc32623"/>
      <w:bookmarkStart w:id="47" w:name="_Toc29554"/>
      <w:bookmarkStart w:id="48" w:name="_Toc333"/>
      <w:bookmarkStart w:id="49" w:name="_Toc225"/>
      <w:bookmarkStart w:id="50" w:name="_Toc32450"/>
      <w:bookmarkStart w:id="51" w:name="_Toc15005"/>
      <w:bookmarkStart w:id="52" w:name="_Toc15668"/>
      <w:bookmarkStart w:id="53" w:name="_Toc19039"/>
      <w:bookmarkStart w:id="54" w:name="_Toc15043"/>
      <w:bookmarkStart w:id="55" w:name="_Toc9506"/>
      <w:bookmarkStart w:id="56" w:name="_Toc13166"/>
      <w:bookmarkStart w:id="57" w:name="_Toc31200"/>
      <w:bookmarkStart w:id="58" w:name="_Toc6161"/>
      <w:bookmarkStart w:id="59" w:name="_Toc32192"/>
      <w:bookmarkStart w:id="60" w:name="_Toc3872"/>
      <w:bookmarkStart w:id="61" w:name="_Toc9457"/>
      <w:bookmarkStart w:id="62" w:name="_Toc3636"/>
      <w:bookmarkStart w:id="63" w:name="_Toc12463"/>
      <w:bookmarkStart w:id="64" w:name="_Toc15400"/>
      <w:bookmarkStart w:id="65" w:name="_Toc15966"/>
      <w:bookmarkStart w:id="66" w:name="_Toc12038"/>
      <w:bookmarkStart w:id="67" w:name="_Toc32742"/>
      <w:bookmarkStart w:id="68" w:name="_Toc21344"/>
      <w:bookmarkStart w:id="69" w:name="_Toc6002"/>
      <w:bookmarkStart w:id="70" w:name="_Toc26036"/>
      <w:bookmarkStart w:id="71" w:name="_Toc16017"/>
      <w:bookmarkStart w:id="72" w:name="_Toc15895"/>
      <w:bookmarkStart w:id="73" w:name="_Toc30233"/>
      <w:bookmarkStart w:id="74" w:name="_Toc13390"/>
      <w:bookmarkStart w:id="75" w:name="_Toc25922"/>
      <w:bookmarkStart w:id="76" w:name="_Toc23980"/>
      <w:bookmarkStart w:id="77" w:name="_Toc16090"/>
      <w:bookmarkStart w:id="78" w:name="_Toc32697"/>
      <w:bookmarkStart w:id="79" w:name="_Toc18945"/>
      <w:bookmarkStart w:id="80" w:name="_Toc27981"/>
      <w:bookmarkStart w:id="81" w:name="_Toc18135"/>
      <w:bookmarkStart w:id="82" w:name="_Toc28565"/>
      <w:r>
        <w:rPr>
          <w:rFonts w:hint="eastAsia" w:ascii="微软雅黑" w:hAnsi="微软雅黑" w:eastAsia="微软雅黑" w:cs="微软雅黑"/>
          <w:b/>
          <w:bCs/>
          <w:color w:val="auto"/>
          <w:kern w:val="2"/>
          <w:sz w:val="22"/>
          <w:szCs w:val="22"/>
          <w:highlight w:val="none"/>
          <w:u w:val="none"/>
          <w:lang w:val="en-US" w:eastAsia="zh-CN" w:bidi="ar-SA"/>
        </w:rPr>
        <w:t>1.</w:t>
      </w:r>
      <w:r>
        <w:rPr>
          <w:rFonts w:hint="eastAsia" w:ascii="微软雅黑" w:hAnsi="微软雅黑" w:eastAsia="微软雅黑" w:cs="微软雅黑"/>
          <w:b/>
          <w:bCs/>
          <w:color w:val="auto"/>
          <w:sz w:val="22"/>
          <w:szCs w:val="22"/>
          <w:highlight w:val="none"/>
          <w:u w:val="none"/>
        </w:rPr>
        <w:t>采购人、采购代理机构及</w:t>
      </w:r>
      <w:bookmarkEnd w:id="37"/>
      <w:bookmarkEnd w:id="38"/>
      <w:bookmarkEnd w:id="39"/>
      <w:bookmarkEnd w:id="40"/>
      <w:bookmarkEnd w:id="41"/>
      <w:bookmarkEnd w:id="42"/>
      <w:bookmarkEnd w:id="43"/>
      <w:bookmarkEnd w:id="44"/>
      <w:bookmarkEnd w:id="45"/>
      <w:bookmarkEnd w:id="46"/>
      <w:bookmarkEnd w:id="47"/>
      <w:bookmarkEnd w:id="48"/>
      <w:r>
        <w:rPr>
          <w:rFonts w:hint="eastAsia" w:ascii="微软雅黑" w:hAnsi="微软雅黑" w:eastAsia="微软雅黑" w:cs="微软雅黑"/>
          <w:b/>
          <w:bCs/>
          <w:color w:val="auto"/>
          <w:sz w:val="22"/>
          <w:szCs w:val="22"/>
          <w:highlight w:val="none"/>
          <w:u w:val="none"/>
          <w:lang w:eastAsia="zh-CN"/>
        </w:rPr>
        <w:t>供应商</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647325AC">
      <w:pPr>
        <w:pageBreakBefore w:val="0"/>
        <w:widowControl w:val="0"/>
        <w:numPr>
          <w:ilvl w:val="0"/>
          <w:numId w:val="0"/>
        </w:numPr>
        <w:tabs>
          <w:tab w:val="left" w:pos="0"/>
        </w:tabs>
        <w:kinsoku/>
        <w:wordWrap/>
        <w:overflowPunct/>
        <w:topLinePunct w:val="0"/>
        <w:bidi w:val="0"/>
        <w:spacing w:line="36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 xml:space="preserve">1.1  </w:t>
      </w:r>
      <w:r>
        <w:rPr>
          <w:rFonts w:hint="eastAsia" w:ascii="微软雅黑" w:hAnsi="微软雅黑" w:eastAsia="微软雅黑" w:cs="微软雅黑"/>
          <w:color w:val="auto"/>
          <w:sz w:val="22"/>
          <w:szCs w:val="22"/>
          <w:highlight w:val="none"/>
        </w:rPr>
        <w:t>采购人：是指依法开展政府采购活动的国家机关、事业单位、团体组织。</w:t>
      </w:r>
    </w:p>
    <w:p w14:paraId="05B6BB4C">
      <w:pPr>
        <w:pageBreakBefore w:val="0"/>
        <w:widowControl w:val="0"/>
        <w:tabs>
          <w:tab w:val="left" w:pos="0"/>
        </w:tabs>
        <w:kinsoku/>
        <w:wordWrap/>
        <w:overflowPunct/>
        <w:topLinePunct w:val="0"/>
        <w:bidi w:val="0"/>
        <w:spacing w:line="360" w:lineRule="exact"/>
        <w:ind w:firstLine="660" w:firstLineChars="3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本项目的采购人见</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w:t>
      </w:r>
      <w:r>
        <w:rPr>
          <w:rFonts w:hint="eastAsia" w:ascii="微软雅黑" w:hAnsi="微软雅黑" w:eastAsia="微软雅黑" w:cs="微软雅黑"/>
          <w:color w:val="auto"/>
          <w:sz w:val="22"/>
          <w:szCs w:val="22"/>
          <w:highlight w:val="none"/>
        </w:rPr>
        <w:t>。</w:t>
      </w:r>
    </w:p>
    <w:p w14:paraId="6D37F1DB">
      <w:pPr>
        <w:pageBreakBefore w:val="0"/>
        <w:widowControl w:val="0"/>
        <w:numPr>
          <w:ilvl w:val="0"/>
          <w:numId w:val="0"/>
        </w:numPr>
        <w:tabs>
          <w:tab w:val="left" w:pos="0"/>
        </w:tabs>
        <w:kinsoku/>
        <w:wordWrap/>
        <w:overflowPunct/>
        <w:topLinePunct w:val="0"/>
        <w:bidi w:val="0"/>
        <w:spacing w:line="360" w:lineRule="exact"/>
        <w:ind w:left="720" w:hanging="660" w:hangingChars="3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 xml:space="preserve">1.2   </w:t>
      </w:r>
      <w:r>
        <w:rPr>
          <w:rFonts w:hint="eastAsia" w:ascii="微软雅黑" w:hAnsi="微软雅黑" w:eastAsia="微软雅黑" w:cs="微软雅黑"/>
          <w:color w:val="auto"/>
          <w:sz w:val="22"/>
          <w:szCs w:val="22"/>
          <w:highlight w:val="none"/>
        </w:rPr>
        <w:t>采购代理机构：是指在集中采购机构或从事采购代理业务的社会中介机构。本项目的采购代理机构见</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w:t>
      </w:r>
      <w:r>
        <w:rPr>
          <w:rFonts w:hint="eastAsia" w:ascii="微软雅黑" w:hAnsi="微软雅黑" w:eastAsia="微软雅黑" w:cs="微软雅黑"/>
          <w:color w:val="auto"/>
          <w:sz w:val="22"/>
          <w:szCs w:val="22"/>
          <w:highlight w:val="none"/>
        </w:rPr>
        <w:t>。</w:t>
      </w:r>
    </w:p>
    <w:p w14:paraId="5E0A2C30">
      <w:pPr>
        <w:pageBreakBefore w:val="0"/>
        <w:widowControl w:val="0"/>
        <w:numPr>
          <w:ilvl w:val="0"/>
          <w:numId w:val="0"/>
        </w:numPr>
        <w:kinsoku/>
        <w:wordWrap/>
        <w:overflowPunct/>
        <w:topLinePunct w:val="0"/>
        <w:bidi w:val="0"/>
        <w:spacing w:line="360" w:lineRule="exact"/>
        <w:ind w:left="960" w:hanging="880" w:hangingChars="4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 xml:space="preserve">1.3    </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：是指向采购人提供货物、工程或者服务的法人、非法人组织或者自然人。本项目的</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及其投标货物须满足以下条件：</w:t>
      </w:r>
    </w:p>
    <w:p w14:paraId="001B1D83">
      <w:pPr>
        <w:pageBreakBefore w:val="0"/>
        <w:widowControl w:val="0"/>
        <w:kinsoku/>
        <w:wordWrap/>
        <w:overflowPunct/>
        <w:topLinePunct w:val="0"/>
        <w:bidi w:val="0"/>
        <w:spacing w:line="360" w:lineRule="exact"/>
        <w:ind w:left="778" w:leftChars="0" w:hanging="778" w:hangingChars="354"/>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1.3.1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在中华人民共和国境内注册，能够独立承担民事责任，有生产或供应能力的本国供应商。</w:t>
      </w:r>
    </w:p>
    <w:p w14:paraId="76E6C0D8">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1.3.2  具备《中华人民共和国政府采购法》第二十二条关于供应商条件的规定，遵守本项目采购人本级和上级财政部门政府采购的有关规定。</w:t>
      </w:r>
    </w:p>
    <w:p w14:paraId="26F97F63">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1.3.3   以采购代理机构认可的方式获得了本项目的招标文件。</w:t>
      </w:r>
    </w:p>
    <w:p w14:paraId="10FFAEA0">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1.3.4   符合</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w:t>
      </w:r>
      <w:r>
        <w:rPr>
          <w:rFonts w:hint="eastAsia" w:ascii="微软雅黑" w:hAnsi="微软雅黑" w:eastAsia="微软雅黑" w:cs="微软雅黑"/>
          <w:color w:val="auto"/>
          <w:sz w:val="22"/>
          <w:szCs w:val="22"/>
          <w:highlight w:val="none"/>
        </w:rPr>
        <w:t>中规定的其他要求。</w:t>
      </w:r>
    </w:p>
    <w:p w14:paraId="2F7DFE85">
      <w:pPr>
        <w:pageBreakBefore w:val="0"/>
        <w:widowControl w:val="0"/>
        <w:kinsoku/>
        <w:wordWrap/>
        <w:overflowPunct/>
        <w:topLinePunct w:val="0"/>
        <w:bidi w:val="0"/>
        <w:spacing w:line="360" w:lineRule="exact"/>
        <w:ind w:left="770" w:leftChars="0" w:hanging="770" w:hangingChars="35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1.3.5   若</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w:t>
      </w:r>
      <w:r>
        <w:rPr>
          <w:rFonts w:hint="eastAsia" w:ascii="微软雅黑" w:hAnsi="微软雅黑" w:eastAsia="微软雅黑" w:cs="微软雅黑"/>
          <w:color w:val="auto"/>
          <w:sz w:val="22"/>
          <w:szCs w:val="22"/>
          <w:highlight w:val="none"/>
        </w:rPr>
        <w:t>中写明专门面向中小企业采购的，如</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为非中小企业且所投产品为非中小企业产品，其投标将被认定为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4A38E09E">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    如</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w:t>
      </w:r>
      <w:r>
        <w:rPr>
          <w:rFonts w:hint="eastAsia" w:ascii="微软雅黑" w:hAnsi="微软雅黑" w:eastAsia="微软雅黑" w:cs="微软雅黑"/>
          <w:color w:val="auto"/>
          <w:sz w:val="22"/>
          <w:szCs w:val="22"/>
          <w:highlight w:val="none"/>
        </w:rPr>
        <w:t>中允许联合体投标，对联合体规定如下：</w:t>
      </w:r>
    </w:p>
    <w:p w14:paraId="7529C0F4">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1.4.1   两个以上供应商可以组成一个投标联合体，以一个</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的身份投标。</w:t>
      </w:r>
    </w:p>
    <w:p w14:paraId="2CEEF6EB">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1.4.2   联合体各方均应符合《中华人民共和国政府采购法》第二十二条规定的条件。</w:t>
      </w:r>
    </w:p>
    <w:p w14:paraId="5B565785">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1.4.3   采购人根据采购项目对</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的特殊要求，联合体中至少应当有一方符合相关规定。</w:t>
      </w:r>
    </w:p>
    <w:p w14:paraId="13916D30">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1.4.4   联合体各方应签订共同投标协议，明确约定联合体各方承担的工作和相应的责任，并将共同投标协议连同作为投标文件第一部分的内容提交。</w:t>
      </w:r>
    </w:p>
    <w:p w14:paraId="5C395A3B">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1.4.5   大中型企业、其他自然人、法人或者非法人组织与小型、微型企业组成联合体共同参加投标，共同投标协议中应写明小型、微型企业的协议合同金额占到共同投标协议投标总金额的比例。</w:t>
      </w:r>
    </w:p>
    <w:p w14:paraId="0289EA7E">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1.4.6  联合体中有同类资质的供应商按照联合体分工承担相同工作的，按照较低的资质等级确定联合体的资质等级。</w:t>
      </w:r>
    </w:p>
    <w:p w14:paraId="13C99463">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1.4.7  以联合体形式参加政府采购活动的，联合体各方不得再单独参加或者与其他供应商另外组成联合体参加本项目投标，否则相关投标将被认定为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20A3D007">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1.4.8   对联合体投标的其他资格要求见</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w:t>
      </w:r>
      <w:r>
        <w:rPr>
          <w:rFonts w:hint="eastAsia" w:ascii="微软雅黑" w:hAnsi="微软雅黑" w:eastAsia="微软雅黑" w:cs="微软雅黑"/>
          <w:color w:val="auto"/>
          <w:sz w:val="22"/>
          <w:szCs w:val="22"/>
          <w:highlight w:val="none"/>
        </w:rPr>
        <w:t>。</w:t>
      </w:r>
    </w:p>
    <w:p w14:paraId="256C98C3">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1.5    单位负责人为同一人或者存在直接控股、管理关系的不同供应商，其相关投标将被认定为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6771E0CF">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1.6    </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在投标过程中不得向采购人提供、给予任何有价值的物品，影响其正常决策行为。一经发现，其将被认定为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6856775A">
      <w:pPr>
        <w:pStyle w:val="2"/>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83" w:name="_Toc29758"/>
      <w:bookmarkStart w:id="84" w:name="_Toc26154"/>
      <w:bookmarkStart w:id="85" w:name="_Toc15605"/>
      <w:bookmarkStart w:id="86" w:name="_Toc1735"/>
      <w:bookmarkStart w:id="87" w:name="_Toc19970"/>
      <w:bookmarkStart w:id="88" w:name="_Toc515647759"/>
      <w:bookmarkStart w:id="89" w:name="_Toc20848"/>
      <w:bookmarkStart w:id="90" w:name="_Toc13272"/>
      <w:bookmarkStart w:id="91" w:name="_Toc32436"/>
      <w:bookmarkStart w:id="92" w:name="_Toc10189"/>
      <w:bookmarkStart w:id="93" w:name="_Toc1403"/>
      <w:bookmarkStart w:id="94" w:name="_Toc18780"/>
      <w:bookmarkStart w:id="95" w:name="_Toc30485"/>
      <w:bookmarkStart w:id="96" w:name="_Toc7800"/>
      <w:bookmarkStart w:id="97" w:name="_Toc8897"/>
      <w:bookmarkStart w:id="98" w:name="_Toc5286"/>
      <w:bookmarkStart w:id="99" w:name="_Toc27814"/>
      <w:bookmarkStart w:id="100" w:name="_Toc28511"/>
      <w:bookmarkStart w:id="101" w:name="_Toc4816"/>
      <w:bookmarkStart w:id="102" w:name="_Toc25723"/>
      <w:bookmarkStart w:id="103" w:name="_Toc12150"/>
      <w:bookmarkStart w:id="104" w:name="_Toc2406"/>
      <w:bookmarkStart w:id="105" w:name="_Toc15996"/>
      <w:bookmarkStart w:id="106" w:name="_Toc13588"/>
      <w:bookmarkStart w:id="107" w:name="_Toc893"/>
      <w:bookmarkStart w:id="108" w:name="_Toc3969"/>
      <w:bookmarkStart w:id="109" w:name="_Toc18038"/>
      <w:bookmarkStart w:id="110" w:name="_Toc30940"/>
      <w:bookmarkStart w:id="111" w:name="_Toc16384"/>
      <w:bookmarkStart w:id="112" w:name="_Toc22971"/>
      <w:bookmarkStart w:id="113" w:name="_Toc25558"/>
      <w:bookmarkStart w:id="114" w:name="_Toc12139"/>
      <w:bookmarkStart w:id="115" w:name="_Toc8213"/>
      <w:bookmarkStart w:id="116" w:name="_Toc29854"/>
      <w:bookmarkStart w:id="117" w:name="_Toc1760"/>
      <w:bookmarkStart w:id="118" w:name="_Toc23554"/>
      <w:bookmarkStart w:id="119" w:name="_Toc11068"/>
      <w:bookmarkStart w:id="120" w:name="_Toc8902"/>
      <w:bookmarkStart w:id="121" w:name="_Toc4366"/>
      <w:bookmarkStart w:id="122" w:name="_Toc32365"/>
      <w:bookmarkStart w:id="123" w:name="_Toc10699"/>
      <w:bookmarkStart w:id="124" w:name="_Toc21286"/>
      <w:bookmarkStart w:id="125" w:name="_Toc805"/>
      <w:bookmarkStart w:id="126" w:name="_Toc14116"/>
      <w:bookmarkStart w:id="127" w:name="_Toc4311"/>
      <w:r>
        <w:rPr>
          <w:rFonts w:hint="eastAsia" w:ascii="微软雅黑" w:hAnsi="微软雅黑" w:eastAsia="微软雅黑" w:cs="微软雅黑"/>
          <w:b/>
          <w:bCs/>
          <w:color w:val="auto"/>
          <w:sz w:val="22"/>
          <w:szCs w:val="22"/>
          <w:highlight w:val="none"/>
          <w:u w:val="none"/>
        </w:rPr>
        <w:t>2.资金来源</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6D223D60">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本项目的采购人已获得足以支付本次招标后所签订的合同项下的资金（包括财政性资金和本项目采购中无法与财政性资金分割的非财政性资金）。</w:t>
      </w:r>
    </w:p>
    <w:p w14:paraId="1BCCE0D0">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2.2    项目预算金额和分项或分包最高限价</w:t>
      </w:r>
      <w:r>
        <w:rPr>
          <w:rFonts w:hint="eastAsia" w:ascii="微软雅黑" w:hAnsi="微软雅黑" w:eastAsia="微软雅黑" w:cs="微软雅黑"/>
          <w:color w:val="auto"/>
          <w:sz w:val="22"/>
          <w:szCs w:val="22"/>
          <w:highlight w:val="none"/>
          <w:u w:val="single"/>
        </w:rPr>
        <w:t>见</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w:t>
      </w:r>
      <w:r>
        <w:rPr>
          <w:rFonts w:hint="eastAsia" w:ascii="微软雅黑" w:hAnsi="微软雅黑" w:eastAsia="微软雅黑" w:cs="微软雅黑"/>
          <w:color w:val="auto"/>
          <w:sz w:val="22"/>
          <w:szCs w:val="22"/>
          <w:highlight w:val="none"/>
        </w:rPr>
        <w:t>。</w:t>
      </w:r>
    </w:p>
    <w:p w14:paraId="2120C8D4">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2.3    </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报价超过招标文件规定的预算金额或者分项、分包最高限价的，其投标将被认定为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58397CB4">
      <w:pPr>
        <w:pStyle w:val="2"/>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color w:val="auto"/>
          <w:sz w:val="22"/>
          <w:szCs w:val="22"/>
          <w:highlight w:val="none"/>
          <w:u w:val="none"/>
        </w:rPr>
      </w:pPr>
      <w:bookmarkStart w:id="128" w:name="_Toc144"/>
      <w:bookmarkStart w:id="129" w:name="_Toc4067"/>
      <w:bookmarkStart w:id="130" w:name="_Toc2156"/>
      <w:bookmarkStart w:id="131" w:name="_Toc20044"/>
      <w:bookmarkStart w:id="132" w:name="_Toc20271"/>
      <w:bookmarkStart w:id="133" w:name="_Toc4011"/>
      <w:bookmarkStart w:id="134" w:name="_Toc29504"/>
      <w:bookmarkStart w:id="135" w:name="_Toc16981"/>
      <w:bookmarkStart w:id="136" w:name="_Toc14612"/>
      <w:bookmarkStart w:id="137" w:name="_Toc9625"/>
      <w:bookmarkStart w:id="138" w:name="_Toc13239"/>
      <w:bookmarkStart w:id="139" w:name="_Toc5065"/>
      <w:bookmarkStart w:id="140" w:name="_Toc6415"/>
      <w:bookmarkStart w:id="141" w:name="_Toc10115"/>
      <w:bookmarkStart w:id="142" w:name="_Toc5207"/>
      <w:bookmarkStart w:id="143" w:name="_Toc15936"/>
      <w:bookmarkStart w:id="144" w:name="_Toc20444"/>
      <w:bookmarkStart w:id="145" w:name="_Toc20526"/>
      <w:bookmarkStart w:id="146" w:name="_Toc30157"/>
      <w:bookmarkStart w:id="147" w:name="_Toc17010"/>
      <w:bookmarkStart w:id="148" w:name="_Toc16588"/>
      <w:bookmarkStart w:id="149" w:name="_Toc30650"/>
      <w:bookmarkStart w:id="150" w:name="_Toc10963"/>
      <w:bookmarkStart w:id="151" w:name="_Toc25947"/>
      <w:bookmarkStart w:id="152" w:name="_Toc22153"/>
      <w:bookmarkStart w:id="153" w:name="_Toc29481"/>
      <w:bookmarkStart w:id="154" w:name="_Toc25239"/>
      <w:bookmarkStart w:id="155" w:name="_Toc235"/>
      <w:bookmarkStart w:id="156" w:name="_Toc6389"/>
      <w:bookmarkStart w:id="157" w:name="_Toc25359"/>
      <w:bookmarkStart w:id="158" w:name="_Toc18236"/>
      <w:bookmarkStart w:id="159" w:name="_Toc11215"/>
      <w:bookmarkStart w:id="160" w:name="_Toc19676"/>
      <w:bookmarkStart w:id="161" w:name="_Toc23143"/>
      <w:bookmarkStart w:id="162" w:name="_Toc520356145"/>
      <w:bookmarkStart w:id="163" w:name="_Toc26446"/>
      <w:bookmarkStart w:id="164" w:name="_Toc15518"/>
      <w:bookmarkStart w:id="165" w:name="_Toc22731"/>
      <w:bookmarkStart w:id="166" w:name="_Toc10634"/>
      <w:bookmarkStart w:id="167" w:name="_Toc30708"/>
      <w:bookmarkStart w:id="168" w:name="_Toc13930"/>
      <w:bookmarkStart w:id="169" w:name="_Toc27206"/>
      <w:bookmarkStart w:id="170" w:name="_Toc20799"/>
      <w:bookmarkStart w:id="171" w:name="_Toc12503"/>
      <w:bookmarkStart w:id="172" w:name="_Toc515647760"/>
      <w:bookmarkStart w:id="173" w:name="_Toc427"/>
      <w:r>
        <w:rPr>
          <w:rFonts w:hint="eastAsia" w:ascii="微软雅黑" w:hAnsi="微软雅黑" w:eastAsia="微软雅黑" w:cs="微软雅黑"/>
          <w:b/>
          <w:bCs/>
          <w:color w:val="auto"/>
          <w:sz w:val="22"/>
          <w:szCs w:val="22"/>
          <w:highlight w:val="none"/>
          <w:u w:val="none"/>
        </w:rPr>
        <w:t>3.投标费用</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637D904E">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不论投标的结果如何，</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应承担所有与准备和参加投标有关的费用。</w:t>
      </w:r>
    </w:p>
    <w:p w14:paraId="435CB302">
      <w:pPr>
        <w:pStyle w:val="2"/>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color w:val="auto"/>
          <w:sz w:val="22"/>
          <w:szCs w:val="22"/>
          <w:highlight w:val="none"/>
          <w:u w:val="none"/>
        </w:rPr>
      </w:pPr>
      <w:bookmarkStart w:id="174" w:name="_Toc17308"/>
      <w:bookmarkStart w:id="175" w:name="_Toc25508"/>
      <w:bookmarkStart w:id="176" w:name="_Toc15600"/>
      <w:bookmarkStart w:id="177" w:name="_Toc28958"/>
      <w:bookmarkStart w:id="178" w:name="_Toc20080"/>
      <w:bookmarkStart w:id="179" w:name="_Toc27687"/>
      <w:bookmarkStart w:id="180" w:name="_Toc4463"/>
      <w:bookmarkStart w:id="181" w:name="_Toc1198"/>
      <w:bookmarkStart w:id="182" w:name="_Toc26775"/>
      <w:bookmarkStart w:id="183" w:name="_Toc18098"/>
      <w:bookmarkStart w:id="184" w:name="_Toc10610"/>
      <w:bookmarkStart w:id="185" w:name="_Toc16828"/>
      <w:bookmarkStart w:id="186" w:name="_Toc11621"/>
      <w:bookmarkStart w:id="187" w:name="_Toc515647761"/>
      <w:bookmarkStart w:id="188" w:name="_Toc6917"/>
      <w:bookmarkStart w:id="189" w:name="_Toc12029"/>
      <w:bookmarkStart w:id="190" w:name="_Toc8918"/>
      <w:bookmarkStart w:id="191" w:name="_Toc27266"/>
      <w:bookmarkStart w:id="192" w:name="_Toc5853"/>
      <w:bookmarkStart w:id="193" w:name="_Toc27827"/>
      <w:bookmarkStart w:id="194" w:name="_Toc17332"/>
      <w:bookmarkStart w:id="195" w:name="_Toc5664"/>
      <w:bookmarkStart w:id="196" w:name="_Toc18172"/>
      <w:bookmarkStart w:id="197" w:name="_Toc11355"/>
      <w:bookmarkStart w:id="198" w:name="_Toc29011"/>
      <w:bookmarkStart w:id="199" w:name="_Toc21641"/>
      <w:bookmarkStart w:id="200" w:name="_Toc10427"/>
      <w:bookmarkStart w:id="201" w:name="_Toc21580"/>
      <w:bookmarkStart w:id="202" w:name="_Toc486"/>
      <w:bookmarkStart w:id="203" w:name="_Toc17036"/>
      <w:bookmarkStart w:id="204" w:name="_Toc19833"/>
      <w:bookmarkStart w:id="205" w:name="_Toc14210"/>
      <w:bookmarkStart w:id="206" w:name="_Toc16751"/>
      <w:bookmarkStart w:id="207" w:name="_Toc3724"/>
      <w:bookmarkStart w:id="208" w:name="_Toc19313"/>
      <w:bookmarkStart w:id="209" w:name="_Toc6116"/>
      <w:bookmarkStart w:id="210" w:name="_Toc16418"/>
      <w:bookmarkStart w:id="211" w:name="_Toc16328"/>
      <w:bookmarkStart w:id="212" w:name="_Toc24881"/>
      <w:bookmarkStart w:id="213" w:name="_Toc7511"/>
      <w:bookmarkStart w:id="214" w:name="_Toc6759"/>
      <w:bookmarkStart w:id="215" w:name="_Toc17713"/>
      <w:bookmarkStart w:id="216" w:name="_Toc9302"/>
      <w:bookmarkStart w:id="217" w:name="_Toc30146"/>
      <w:bookmarkStart w:id="218" w:name="_Toc12920"/>
      <w:r>
        <w:rPr>
          <w:rFonts w:hint="eastAsia" w:ascii="微软雅黑" w:hAnsi="微软雅黑" w:eastAsia="微软雅黑" w:cs="微软雅黑"/>
          <w:b/>
          <w:bCs/>
          <w:color w:val="auto"/>
          <w:sz w:val="22"/>
          <w:szCs w:val="22"/>
          <w:highlight w:val="none"/>
          <w:u w:val="none"/>
        </w:rPr>
        <w:t>4.适用法律</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4DF354E6">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       本项目采购人、采购代理机构、</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、评标委员会的相关行为均受《中华人民共和国政府采购法》、《中华人民共和国政府采购法实施条例》</w:t>
      </w:r>
      <w:r>
        <w:rPr>
          <w:rFonts w:hint="eastAsia" w:ascii="微软雅黑" w:hAnsi="微软雅黑" w:eastAsia="微软雅黑" w:cs="微软雅黑"/>
          <w:color w:val="auto"/>
          <w:sz w:val="22"/>
          <w:szCs w:val="22"/>
          <w:highlight w:val="none"/>
          <w:lang w:eastAsia="zh-CN"/>
        </w:rPr>
        <w:t>、中华人民共和国财政部令第87号--</w:t>
      </w: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eastAsia="zh-CN"/>
        </w:rPr>
        <w:t>政府采购货物和</w:t>
      </w:r>
      <w:r>
        <w:rPr>
          <w:rFonts w:hint="eastAsia" w:ascii="微软雅黑" w:hAnsi="微软雅黑" w:eastAsia="微软雅黑" w:cs="微软雅黑"/>
          <w:color w:val="auto"/>
          <w:sz w:val="22"/>
          <w:szCs w:val="22"/>
          <w:highlight w:val="none"/>
          <w:lang w:val="en-US" w:eastAsia="zh-CN"/>
        </w:rPr>
        <w:t>服务</w:t>
      </w:r>
      <w:r>
        <w:rPr>
          <w:rFonts w:hint="eastAsia" w:ascii="微软雅黑" w:hAnsi="微软雅黑" w:eastAsia="微软雅黑" w:cs="微软雅黑"/>
          <w:color w:val="auto"/>
          <w:sz w:val="22"/>
          <w:szCs w:val="22"/>
          <w:highlight w:val="none"/>
          <w:lang w:eastAsia="zh-CN"/>
        </w:rPr>
        <w:t>招标投标管理办法</w:t>
      </w:r>
      <w:r>
        <w:rPr>
          <w:rFonts w:hint="eastAsia" w:ascii="微软雅黑" w:hAnsi="微软雅黑" w:eastAsia="微软雅黑" w:cs="微软雅黑"/>
          <w:color w:val="auto"/>
          <w:sz w:val="22"/>
          <w:szCs w:val="22"/>
          <w:highlight w:val="none"/>
        </w:rPr>
        <w:t>》及本项目本级和上级财政部门政府采购有关规定的约束，其权利受到上述法律法规的保护。</w:t>
      </w:r>
    </w:p>
    <w:p w14:paraId="25F98ACE">
      <w:pPr>
        <w:pageBreakBefore w:val="0"/>
        <w:widowControl w:val="0"/>
        <w:kinsoku/>
        <w:wordWrap/>
        <w:overflowPunct/>
        <w:topLinePunct w:val="0"/>
        <w:bidi w:val="0"/>
        <w:spacing w:line="360" w:lineRule="exact"/>
        <w:ind w:left="0" w:leftChars="0"/>
        <w:textAlignment w:val="auto"/>
        <w:rPr>
          <w:rFonts w:hint="eastAsia" w:ascii="微软雅黑" w:hAnsi="微软雅黑" w:eastAsia="微软雅黑" w:cs="微软雅黑"/>
          <w:color w:val="auto"/>
          <w:sz w:val="22"/>
          <w:szCs w:val="22"/>
          <w:highlight w:val="none"/>
        </w:rPr>
      </w:pPr>
    </w:p>
    <w:p w14:paraId="1CEDA2FD">
      <w:pPr>
        <w:pStyle w:val="6"/>
        <w:pageBreakBefore w:val="0"/>
        <w:widowControl w:val="0"/>
        <w:kinsoku/>
        <w:wordWrap/>
        <w:overflowPunct/>
        <w:topLinePunct w:val="0"/>
        <w:bidi w:val="0"/>
        <w:spacing w:before="0" w:line="360" w:lineRule="exact"/>
        <w:ind w:left="0" w:leftChars="0"/>
        <w:textAlignment w:val="auto"/>
        <w:rPr>
          <w:rFonts w:hint="eastAsia" w:ascii="微软雅黑" w:hAnsi="微软雅黑" w:eastAsia="微软雅黑" w:cs="微软雅黑"/>
          <w:color w:val="auto"/>
          <w:sz w:val="28"/>
          <w:szCs w:val="18"/>
          <w:highlight w:val="none"/>
        </w:rPr>
      </w:pPr>
      <w:bookmarkStart w:id="219" w:name="_Toc21566"/>
      <w:bookmarkStart w:id="220" w:name="_Toc216582806"/>
      <w:bookmarkStart w:id="221" w:name="_Toc6385"/>
      <w:bookmarkStart w:id="222" w:name="_Toc515647762"/>
      <w:bookmarkStart w:id="223" w:name="_Toc4365"/>
      <w:bookmarkStart w:id="224" w:name="_Toc520356146"/>
      <w:bookmarkStart w:id="225" w:name="_Toc8437"/>
      <w:bookmarkStart w:id="226" w:name="_Toc30565"/>
      <w:r>
        <w:rPr>
          <w:rFonts w:hint="eastAsia" w:ascii="微软雅黑" w:hAnsi="微软雅黑" w:eastAsia="微软雅黑" w:cs="微软雅黑"/>
          <w:color w:val="auto"/>
          <w:sz w:val="24"/>
          <w:szCs w:val="18"/>
          <w:highlight w:val="none"/>
        </w:rPr>
        <w:t>二   招标文件</w:t>
      </w:r>
      <w:bookmarkEnd w:id="219"/>
      <w:bookmarkEnd w:id="220"/>
      <w:bookmarkEnd w:id="221"/>
      <w:bookmarkEnd w:id="222"/>
      <w:bookmarkEnd w:id="223"/>
      <w:bookmarkEnd w:id="224"/>
      <w:bookmarkEnd w:id="225"/>
      <w:bookmarkEnd w:id="226"/>
    </w:p>
    <w:p w14:paraId="41E54408">
      <w:pPr>
        <w:pStyle w:val="2"/>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227" w:name="_Toc520356147"/>
      <w:bookmarkStart w:id="228" w:name="_Toc7465"/>
      <w:bookmarkStart w:id="229" w:name="_Toc19654"/>
      <w:bookmarkStart w:id="230" w:name="_Toc17611"/>
      <w:bookmarkStart w:id="231" w:name="_Toc10939"/>
      <w:bookmarkStart w:id="232" w:name="_Toc31526"/>
      <w:bookmarkStart w:id="233" w:name="_Toc25638"/>
      <w:bookmarkStart w:id="234" w:name="_Toc10881"/>
      <w:bookmarkStart w:id="235" w:name="_Toc5875"/>
      <w:bookmarkStart w:id="236" w:name="_Toc21734"/>
      <w:bookmarkStart w:id="237" w:name="_Toc25743"/>
      <w:bookmarkStart w:id="238" w:name="_Toc3605"/>
      <w:bookmarkStart w:id="239" w:name="_Toc18213"/>
      <w:bookmarkStart w:id="240" w:name="_Toc19226"/>
      <w:bookmarkStart w:id="241" w:name="_Toc27186"/>
      <w:bookmarkStart w:id="242" w:name="_Toc12831"/>
      <w:bookmarkStart w:id="243" w:name="_Toc18714"/>
      <w:bookmarkStart w:id="244" w:name="_Toc21275"/>
      <w:bookmarkStart w:id="245" w:name="_Toc13683"/>
      <w:bookmarkStart w:id="246" w:name="_Toc26987"/>
      <w:bookmarkStart w:id="247" w:name="_Toc29550"/>
      <w:bookmarkStart w:id="248" w:name="_Toc7068"/>
      <w:bookmarkStart w:id="249" w:name="_Toc10990"/>
      <w:bookmarkStart w:id="250" w:name="_Toc1044"/>
      <w:bookmarkStart w:id="251" w:name="_Toc14084"/>
      <w:bookmarkStart w:id="252" w:name="_Toc31365"/>
      <w:bookmarkStart w:id="253" w:name="_Toc26858"/>
      <w:bookmarkStart w:id="254" w:name="_Toc15203"/>
      <w:bookmarkStart w:id="255" w:name="_Toc22881"/>
      <w:bookmarkStart w:id="256" w:name="_Toc18235"/>
      <w:bookmarkStart w:id="257" w:name="_Toc515647763"/>
      <w:bookmarkStart w:id="258" w:name="_Toc19515"/>
      <w:bookmarkStart w:id="259" w:name="_Toc30891"/>
      <w:bookmarkStart w:id="260" w:name="_Toc14734"/>
      <w:bookmarkStart w:id="261" w:name="_Toc20989"/>
      <w:bookmarkStart w:id="262" w:name="_Toc16192"/>
      <w:bookmarkStart w:id="263" w:name="_Toc31428"/>
      <w:bookmarkStart w:id="264" w:name="_Toc30280"/>
      <w:bookmarkStart w:id="265" w:name="_Toc30207"/>
      <w:bookmarkStart w:id="266" w:name="_Toc14656"/>
      <w:bookmarkStart w:id="267" w:name="_Toc24971"/>
      <w:bookmarkStart w:id="268" w:name="_Toc13634"/>
      <w:bookmarkStart w:id="269" w:name="_Toc1671"/>
      <w:bookmarkStart w:id="270" w:name="_Toc5538"/>
      <w:bookmarkStart w:id="271" w:name="_Toc31116"/>
      <w:bookmarkStart w:id="272" w:name="_Toc31240"/>
      <w:r>
        <w:rPr>
          <w:rFonts w:hint="eastAsia" w:ascii="微软雅黑" w:hAnsi="微软雅黑" w:eastAsia="微软雅黑" w:cs="微软雅黑"/>
          <w:b/>
          <w:bCs/>
          <w:color w:val="auto"/>
          <w:sz w:val="22"/>
          <w:szCs w:val="22"/>
          <w:highlight w:val="none"/>
          <w:u w:val="none"/>
        </w:rPr>
        <w:t>5.招标文件构成</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14:paraId="34C54A94">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5.1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招标文件分为三册共7章，内容如下：</w:t>
      </w:r>
    </w:p>
    <w:p w14:paraId="01726AB3">
      <w:pPr>
        <w:pageBreakBefore w:val="0"/>
        <w:widowControl w:val="0"/>
        <w:kinsoku/>
        <w:wordWrap/>
        <w:overflowPunct/>
        <w:topLinePunct w:val="0"/>
        <w:bidi w:val="0"/>
        <w:spacing w:line="360" w:lineRule="exact"/>
        <w:ind w:left="0" w:leftChars="0" w:firstLine="55" w:firstLineChars="2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第一册</w:t>
      </w:r>
    </w:p>
    <w:p w14:paraId="12EA0B22">
      <w:pPr>
        <w:pageBreakBefore w:val="0"/>
        <w:widowControl w:val="0"/>
        <w:tabs>
          <w:tab w:val="left" w:pos="0"/>
        </w:tabs>
        <w:kinsoku/>
        <w:wordWrap/>
        <w:overflowPunct/>
        <w:topLinePunct w:val="0"/>
        <w:bidi w:val="0"/>
        <w:spacing w:line="360" w:lineRule="exact"/>
        <w:ind w:left="0" w:leftChars="0" w:firstLine="220" w:firstLineChars="1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1 </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须知</w:t>
      </w:r>
    </w:p>
    <w:p w14:paraId="0B9C3035">
      <w:pPr>
        <w:pageBreakBefore w:val="0"/>
        <w:widowControl w:val="0"/>
        <w:kinsoku/>
        <w:wordWrap/>
        <w:overflowPunct/>
        <w:topLinePunct w:val="0"/>
        <w:bidi w:val="0"/>
        <w:spacing w:line="360" w:lineRule="exact"/>
        <w:ind w:left="0" w:leftChars="0" w:firstLine="220" w:firstLineChars="1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2投标文件格式</w:t>
      </w:r>
    </w:p>
    <w:p w14:paraId="45DC623D">
      <w:pPr>
        <w:pageBreakBefore w:val="0"/>
        <w:widowControl w:val="0"/>
        <w:kinsoku/>
        <w:wordWrap/>
        <w:overflowPunct/>
        <w:topLinePunct w:val="0"/>
        <w:bidi w:val="0"/>
        <w:spacing w:line="360" w:lineRule="exact"/>
        <w:ind w:left="0" w:leftChars="0" w:firstLine="30" w:firstLineChars="14"/>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第二册</w:t>
      </w:r>
    </w:p>
    <w:p w14:paraId="1C6AB59D">
      <w:pPr>
        <w:pageBreakBefore w:val="0"/>
        <w:widowControl w:val="0"/>
        <w:kinsoku/>
        <w:wordWrap/>
        <w:overflowPunct/>
        <w:topLinePunct w:val="0"/>
        <w:bidi w:val="0"/>
        <w:spacing w:line="360" w:lineRule="exact"/>
        <w:ind w:left="0" w:leftChars="0" w:firstLine="220" w:firstLineChars="1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 投标邀请</w:t>
      </w:r>
    </w:p>
    <w:p w14:paraId="1978B8CD">
      <w:pPr>
        <w:pageBreakBefore w:val="0"/>
        <w:widowControl w:val="0"/>
        <w:kinsoku/>
        <w:wordWrap/>
        <w:overflowPunct/>
        <w:topLinePunct w:val="0"/>
        <w:bidi w:val="0"/>
        <w:spacing w:line="360" w:lineRule="exact"/>
        <w:ind w:left="0" w:leftChars="0" w:firstLine="220" w:firstLineChars="1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4 </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须知资料表</w:t>
      </w:r>
    </w:p>
    <w:p w14:paraId="3F668A69">
      <w:pPr>
        <w:pageBreakBefore w:val="0"/>
        <w:widowControl w:val="0"/>
        <w:kinsoku/>
        <w:wordWrap/>
        <w:overflowPunct/>
        <w:topLinePunct w:val="0"/>
        <w:bidi w:val="0"/>
        <w:spacing w:line="360" w:lineRule="exact"/>
        <w:ind w:left="0" w:leftChars="0" w:firstLine="220" w:firstLineChars="1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5 </w:t>
      </w:r>
      <w:r>
        <w:rPr>
          <w:rFonts w:hint="eastAsia" w:ascii="微软雅黑" w:hAnsi="微软雅黑" w:eastAsia="微软雅黑" w:cs="微软雅黑"/>
          <w:color w:val="auto"/>
          <w:sz w:val="22"/>
          <w:szCs w:val="22"/>
          <w:highlight w:val="none"/>
          <w:lang w:val="en-US" w:eastAsia="zh-CN"/>
        </w:rPr>
        <w:t>货物</w:t>
      </w:r>
      <w:r>
        <w:rPr>
          <w:rFonts w:hint="eastAsia" w:ascii="微软雅黑" w:hAnsi="微软雅黑" w:eastAsia="微软雅黑" w:cs="微软雅黑"/>
          <w:color w:val="auto"/>
          <w:sz w:val="22"/>
          <w:szCs w:val="22"/>
          <w:highlight w:val="none"/>
        </w:rPr>
        <w:t xml:space="preserve">内容及项目要求 </w:t>
      </w:r>
    </w:p>
    <w:p w14:paraId="2E84238B">
      <w:pPr>
        <w:pageBreakBefore w:val="0"/>
        <w:widowControl w:val="0"/>
        <w:kinsoku/>
        <w:wordWrap/>
        <w:overflowPunct/>
        <w:topLinePunct w:val="0"/>
        <w:bidi w:val="0"/>
        <w:spacing w:line="360" w:lineRule="exact"/>
        <w:ind w:left="0" w:leftChars="0" w:firstLine="220" w:firstLineChars="1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6 评标方法和标准</w:t>
      </w:r>
    </w:p>
    <w:p w14:paraId="48AF4500">
      <w:pPr>
        <w:pageBreakBefore w:val="0"/>
        <w:widowControl w:val="0"/>
        <w:kinsoku/>
        <w:wordWrap/>
        <w:overflowPunct/>
        <w:topLinePunct w:val="0"/>
        <w:bidi w:val="0"/>
        <w:spacing w:line="360" w:lineRule="exact"/>
        <w:ind w:left="0" w:leftChars="0" w:firstLine="220" w:firstLineChars="1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第三册</w:t>
      </w:r>
    </w:p>
    <w:p w14:paraId="1B21EDE9">
      <w:pPr>
        <w:pageBreakBefore w:val="0"/>
        <w:widowControl w:val="0"/>
        <w:kinsoku/>
        <w:wordWrap/>
        <w:overflowPunct/>
        <w:topLinePunct w:val="0"/>
        <w:bidi w:val="0"/>
        <w:spacing w:line="360" w:lineRule="exact"/>
        <w:ind w:left="0" w:leftChars="0" w:firstLine="220" w:firstLineChars="1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7政府采购合同</w:t>
      </w:r>
    </w:p>
    <w:p w14:paraId="5328F56A">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5.2</w:t>
      </w:r>
      <w:r>
        <w:rPr>
          <w:rFonts w:hint="eastAsia" w:ascii="微软雅黑" w:hAnsi="微软雅黑" w:eastAsia="微软雅黑" w:cs="微软雅黑"/>
          <w:color w:val="auto"/>
          <w:sz w:val="22"/>
          <w:szCs w:val="22"/>
          <w:highlight w:val="none"/>
          <w:lang w:val="en-US" w:eastAsia="zh-CN"/>
        </w:rPr>
        <w:t xml:space="preserve">    </w:t>
      </w:r>
      <w:r>
        <w:rPr>
          <w:rFonts w:hint="eastAsia" w:ascii="微软雅黑" w:hAnsi="微软雅黑" w:eastAsia="微软雅黑" w:cs="微软雅黑"/>
          <w:color w:val="auto"/>
          <w:sz w:val="22"/>
          <w:szCs w:val="22"/>
          <w:highlight w:val="none"/>
        </w:rPr>
        <w:t>如本文件的前后内容不一致，以最后描述为准。</w:t>
      </w:r>
    </w:p>
    <w:p w14:paraId="190699EF">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5.3    </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应认真阅读招标文件所有的事项、格式、条款和技术规范等。如</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没有按照招标文件要求提交全部资料，或者投标文件没有对招标文件在各方面都做出实质性响应，可能导致其投标将被认定为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1874C775">
      <w:pPr>
        <w:pStyle w:val="2"/>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273" w:name="_Toc520356148"/>
      <w:bookmarkStart w:id="274" w:name="_Toc515904805"/>
      <w:bookmarkStart w:id="275" w:name="_Toc2569"/>
      <w:bookmarkStart w:id="276" w:name="_Toc24450"/>
      <w:bookmarkStart w:id="277" w:name="_Toc5041"/>
      <w:bookmarkStart w:id="278" w:name="_Toc26044"/>
      <w:bookmarkStart w:id="279" w:name="_Toc7059"/>
      <w:bookmarkStart w:id="280" w:name="_Toc24879"/>
      <w:bookmarkStart w:id="281" w:name="_Toc16167"/>
      <w:bookmarkStart w:id="282" w:name="_Toc2443"/>
      <w:bookmarkStart w:id="283" w:name="_Toc16444"/>
      <w:bookmarkStart w:id="284" w:name="_Toc3945"/>
      <w:bookmarkStart w:id="285" w:name="_Toc25866"/>
      <w:bookmarkStart w:id="286" w:name="_Toc12813"/>
      <w:bookmarkStart w:id="287" w:name="_Toc23486"/>
      <w:bookmarkStart w:id="288" w:name="_Toc20202"/>
      <w:bookmarkStart w:id="289" w:name="_Toc25229"/>
      <w:bookmarkStart w:id="290" w:name="_Toc10213"/>
      <w:bookmarkStart w:id="291" w:name="_Toc5991"/>
      <w:bookmarkStart w:id="292" w:name="_Toc12536"/>
      <w:bookmarkStart w:id="293" w:name="_Toc20556"/>
      <w:bookmarkStart w:id="294" w:name="_Toc8479"/>
      <w:bookmarkStart w:id="295" w:name="_Toc29186"/>
      <w:bookmarkStart w:id="296" w:name="_Toc22924"/>
      <w:bookmarkStart w:id="297" w:name="_Toc17397"/>
      <w:bookmarkStart w:id="298" w:name="_Toc21165"/>
      <w:bookmarkStart w:id="299" w:name="_Toc27028"/>
      <w:bookmarkStart w:id="300" w:name="_Toc1117"/>
      <w:bookmarkStart w:id="301" w:name="_Toc7433"/>
      <w:bookmarkStart w:id="302" w:name="_Toc20908"/>
      <w:bookmarkStart w:id="303" w:name="_Toc5876"/>
      <w:bookmarkStart w:id="304" w:name="_Toc32213"/>
      <w:bookmarkStart w:id="305" w:name="_Toc28731"/>
      <w:bookmarkStart w:id="306" w:name="_Toc10034"/>
      <w:bookmarkStart w:id="307" w:name="_Toc31000"/>
      <w:bookmarkStart w:id="308" w:name="_Toc23475"/>
      <w:bookmarkStart w:id="309" w:name="_Toc19275"/>
      <w:bookmarkStart w:id="310" w:name="_Toc9232"/>
      <w:bookmarkStart w:id="311" w:name="_Toc21856"/>
      <w:bookmarkStart w:id="312" w:name="_Toc25426"/>
      <w:bookmarkStart w:id="313" w:name="_Toc29776"/>
      <w:bookmarkStart w:id="314" w:name="_Toc13735"/>
      <w:bookmarkStart w:id="315" w:name="_Toc20604"/>
      <w:bookmarkStart w:id="316" w:name="_Toc21098"/>
      <w:bookmarkStart w:id="317" w:name="_Toc8643"/>
      <w:bookmarkStart w:id="318" w:name="_Toc21515"/>
      <w:r>
        <w:rPr>
          <w:rFonts w:hint="eastAsia" w:ascii="微软雅黑" w:hAnsi="微软雅黑" w:eastAsia="微软雅黑" w:cs="微软雅黑"/>
          <w:b/>
          <w:bCs/>
          <w:color w:val="auto"/>
          <w:sz w:val="22"/>
          <w:szCs w:val="22"/>
          <w:highlight w:val="none"/>
          <w:u w:val="none"/>
        </w:rPr>
        <w:t>6.招标文件的澄清</w:t>
      </w:r>
      <w:bookmarkEnd w:id="273"/>
      <w:bookmarkEnd w:id="274"/>
      <w:r>
        <w:rPr>
          <w:rFonts w:hint="eastAsia" w:ascii="微软雅黑" w:hAnsi="微软雅黑" w:eastAsia="微软雅黑" w:cs="微软雅黑"/>
          <w:b/>
          <w:bCs/>
          <w:color w:val="auto"/>
          <w:sz w:val="22"/>
          <w:szCs w:val="22"/>
          <w:highlight w:val="none"/>
          <w:u w:val="none"/>
        </w:rPr>
        <w:t>与修改</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14:paraId="653F318E">
      <w:pPr>
        <w:pStyle w:val="3"/>
        <w:pageBreakBefore w:val="0"/>
        <w:widowControl w:val="0"/>
        <w:kinsoku/>
        <w:wordWrap/>
        <w:overflowPunct/>
        <w:topLinePunct w:val="0"/>
        <w:bidi w:val="0"/>
        <w:spacing w:line="360" w:lineRule="exact"/>
        <w:ind w:left="770" w:leftChars="0" w:hanging="770" w:hangingChars="35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6.1    为了保证对招标文件的澄清和修改满足法律的时限要求，任何要求对招标文件进行澄清的</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，均应在投标截止期十五日前，以书面形式将澄清要求通知采购人或采购代理机构。</w:t>
      </w:r>
    </w:p>
    <w:p w14:paraId="42DF0A3D">
      <w:pPr>
        <w:pStyle w:val="3"/>
        <w:pageBreakBefore w:val="0"/>
        <w:widowControl w:val="0"/>
        <w:kinsoku/>
        <w:wordWrap/>
        <w:overflowPunct/>
        <w:topLinePunct w:val="0"/>
        <w:bidi w:val="0"/>
        <w:spacing w:line="360" w:lineRule="exact"/>
        <w:ind w:left="770" w:leftChars="0" w:hanging="770" w:hangingChars="350"/>
        <w:textAlignment w:val="auto"/>
        <w:rPr>
          <w:rFonts w:hint="eastAsia" w:ascii="微软雅黑" w:hAnsi="微软雅黑" w:eastAsia="微软雅黑" w:cs="微软雅黑"/>
          <w:color w:val="auto"/>
          <w:sz w:val="22"/>
          <w:szCs w:val="22"/>
          <w:highlight w:val="none"/>
        </w:rPr>
      </w:pPr>
      <w:bookmarkStart w:id="319" w:name="_Toc515904806"/>
      <w:bookmarkStart w:id="320" w:name="_Ref467378678"/>
      <w:bookmarkStart w:id="321" w:name="_Toc520356149"/>
      <w:r>
        <w:rPr>
          <w:rFonts w:hint="eastAsia" w:ascii="微软雅黑" w:hAnsi="微软雅黑" w:eastAsia="微软雅黑" w:cs="微软雅黑"/>
          <w:color w:val="auto"/>
          <w:sz w:val="22"/>
          <w:szCs w:val="22"/>
          <w:highlight w:val="none"/>
        </w:rPr>
        <w:t>6.2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采购人可主动地或在解答</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提出的澄清问题时对招标文件进行澄清或修改。采购代理机构将以发布澄清（更正）公告的方式，澄清或修改招标文件，澄清或修改内容作为招标文件的组成部分。</w:t>
      </w:r>
    </w:p>
    <w:p w14:paraId="0262E22E">
      <w:pPr>
        <w:pStyle w:val="3"/>
        <w:pageBreakBefore w:val="0"/>
        <w:widowControl w:val="0"/>
        <w:kinsoku/>
        <w:wordWrap/>
        <w:overflowPunct/>
        <w:topLinePunct w:val="0"/>
        <w:bidi w:val="0"/>
        <w:spacing w:line="360" w:lineRule="exact"/>
        <w:ind w:left="770" w:leftChars="0" w:hanging="770" w:hangingChars="35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6.3</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澄清或者修改的内容可能影响投标文件编制的，采购代理机构将以书面形式通知所有购买招标文件的潜在</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，并对其具有约束力。</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在收到上述通知后，应及时向采购代理机构回函确认。</w:t>
      </w:r>
    </w:p>
    <w:p w14:paraId="46C093EF">
      <w:pPr>
        <w:pStyle w:val="2"/>
        <w:pageBreakBefore w:val="0"/>
        <w:widowControl w:val="0"/>
        <w:tabs>
          <w:tab w:val="left" w:pos="900"/>
        </w:tabs>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322" w:name="_Toc9080"/>
      <w:bookmarkStart w:id="323" w:name="_Toc15292"/>
      <w:bookmarkStart w:id="324" w:name="_Toc1706"/>
      <w:bookmarkStart w:id="325" w:name="_Toc24028"/>
      <w:bookmarkStart w:id="326" w:name="_Toc4047"/>
      <w:bookmarkStart w:id="327" w:name="_Toc23315"/>
      <w:bookmarkStart w:id="328" w:name="_Toc5103"/>
      <w:bookmarkStart w:id="329" w:name="_Toc14412"/>
      <w:bookmarkStart w:id="330" w:name="_Toc11020"/>
      <w:bookmarkStart w:id="331" w:name="_Toc22107"/>
      <w:bookmarkStart w:id="332" w:name="_Toc20538"/>
      <w:bookmarkStart w:id="333" w:name="_Toc11082"/>
      <w:bookmarkStart w:id="334" w:name="_Toc10823"/>
      <w:bookmarkStart w:id="335" w:name="_Toc10855"/>
      <w:bookmarkStart w:id="336" w:name="_Toc14856"/>
      <w:bookmarkStart w:id="337" w:name="_Toc32714"/>
      <w:bookmarkStart w:id="338" w:name="_Toc21187"/>
      <w:bookmarkStart w:id="339" w:name="_Toc28059"/>
      <w:bookmarkStart w:id="340" w:name="_Toc19489"/>
      <w:bookmarkStart w:id="341" w:name="_Toc30306"/>
      <w:bookmarkStart w:id="342" w:name="_Toc13079"/>
      <w:bookmarkStart w:id="343" w:name="_Toc15893"/>
      <w:bookmarkStart w:id="344" w:name="_Toc5104"/>
      <w:bookmarkStart w:id="345" w:name="_Toc517"/>
      <w:bookmarkStart w:id="346" w:name="_Toc2862"/>
      <w:bookmarkStart w:id="347" w:name="_Toc11779"/>
      <w:bookmarkStart w:id="348" w:name="_Toc6105"/>
      <w:bookmarkStart w:id="349" w:name="_Toc8847"/>
      <w:bookmarkStart w:id="350" w:name="_Toc14569"/>
      <w:bookmarkStart w:id="351" w:name="_Toc7486"/>
      <w:bookmarkStart w:id="352" w:name="_Toc28576"/>
      <w:bookmarkStart w:id="353" w:name="_Toc7919"/>
      <w:bookmarkStart w:id="354" w:name="_Toc17931"/>
      <w:bookmarkStart w:id="355" w:name="_Toc1073"/>
      <w:bookmarkStart w:id="356" w:name="_Toc14901"/>
      <w:bookmarkStart w:id="357" w:name="_Toc18504"/>
      <w:bookmarkStart w:id="358" w:name="_Toc978"/>
      <w:bookmarkStart w:id="359" w:name="_Toc27811"/>
      <w:bookmarkStart w:id="360" w:name="_Toc17427"/>
      <w:bookmarkStart w:id="361" w:name="_Toc16783"/>
      <w:bookmarkStart w:id="362" w:name="_Toc13617"/>
      <w:bookmarkStart w:id="363" w:name="_Toc25635"/>
      <w:bookmarkStart w:id="364" w:name="_Toc10609"/>
      <w:bookmarkStart w:id="365" w:name="_Toc12443"/>
      <w:r>
        <w:rPr>
          <w:rFonts w:hint="eastAsia" w:ascii="微软雅黑" w:hAnsi="微软雅黑" w:eastAsia="微软雅黑" w:cs="微软雅黑"/>
          <w:b/>
          <w:bCs/>
          <w:color w:val="auto"/>
          <w:sz w:val="22"/>
          <w:szCs w:val="22"/>
          <w:highlight w:val="none"/>
          <w:u w:val="none"/>
        </w:rPr>
        <w:t>7</w:t>
      </w:r>
      <w:bookmarkEnd w:id="319"/>
      <w:bookmarkEnd w:id="320"/>
      <w:bookmarkEnd w:id="321"/>
      <w:r>
        <w:rPr>
          <w:rFonts w:hint="eastAsia" w:ascii="微软雅黑" w:hAnsi="微软雅黑" w:eastAsia="微软雅黑" w:cs="微软雅黑"/>
          <w:b/>
          <w:bCs/>
          <w:color w:val="auto"/>
          <w:sz w:val="22"/>
          <w:szCs w:val="22"/>
          <w:highlight w:val="none"/>
          <w:u w:val="none"/>
        </w:rPr>
        <w:t>.投标截止时间的顺延</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1F0902E0">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4"/>
          <w:szCs w:val="22"/>
          <w:highlight w:val="none"/>
        </w:rPr>
      </w:pP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为使</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准备投标时有足够的时间对招标文件的澄清或者修改部分进行研究，采购人将依法决定是否顺延投标截止时间。</w:t>
      </w:r>
      <w:bookmarkStart w:id="366" w:name="_Toc516367020"/>
      <w:bookmarkStart w:id="367" w:name="_Toc515647766"/>
      <w:bookmarkStart w:id="368" w:name="_Toc30808"/>
      <w:bookmarkStart w:id="369" w:name="_Toc520356150"/>
      <w:bookmarkStart w:id="370" w:name="_Toc216582807"/>
      <w:bookmarkStart w:id="371" w:name="_Toc7636"/>
    </w:p>
    <w:p w14:paraId="4B1C3DE4">
      <w:pPr>
        <w:pageBreakBefore w:val="0"/>
        <w:widowControl w:val="0"/>
        <w:tabs>
          <w:tab w:val="left" w:pos="900"/>
        </w:tabs>
        <w:kinsoku/>
        <w:wordWrap/>
        <w:overflowPunct/>
        <w:topLinePunct w:val="0"/>
        <w:bidi w:val="0"/>
        <w:spacing w:line="360" w:lineRule="exact"/>
        <w:ind w:left="0" w:leftChars="0" w:hanging="540"/>
        <w:textAlignment w:val="auto"/>
        <w:rPr>
          <w:rFonts w:hint="eastAsia" w:ascii="微软雅黑" w:hAnsi="微软雅黑" w:eastAsia="微软雅黑" w:cs="微软雅黑"/>
          <w:color w:val="auto"/>
          <w:sz w:val="24"/>
          <w:szCs w:val="22"/>
          <w:highlight w:val="none"/>
        </w:rPr>
      </w:pPr>
    </w:p>
    <w:p w14:paraId="575D8975">
      <w:pPr>
        <w:pStyle w:val="6"/>
        <w:pageBreakBefore w:val="0"/>
        <w:widowControl w:val="0"/>
        <w:tabs>
          <w:tab w:val="left" w:pos="900"/>
        </w:tabs>
        <w:kinsoku/>
        <w:wordWrap/>
        <w:overflowPunct/>
        <w:topLinePunct w:val="0"/>
        <w:bidi w:val="0"/>
        <w:spacing w:before="0" w:line="360" w:lineRule="exact"/>
        <w:ind w:left="0" w:leftChars="0" w:hanging="540"/>
        <w:textAlignment w:val="auto"/>
        <w:rPr>
          <w:rFonts w:hint="eastAsia" w:ascii="微软雅黑" w:hAnsi="微软雅黑" w:eastAsia="微软雅黑" w:cs="微软雅黑"/>
          <w:color w:val="auto"/>
          <w:sz w:val="28"/>
          <w:szCs w:val="18"/>
          <w:highlight w:val="none"/>
        </w:rPr>
      </w:pPr>
      <w:bookmarkStart w:id="372" w:name="_Toc29522"/>
      <w:bookmarkStart w:id="373" w:name="_Toc21912"/>
      <w:bookmarkStart w:id="374" w:name="_Toc6713"/>
      <w:r>
        <w:rPr>
          <w:rFonts w:hint="eastAsia" w:ascii="微软雅黑" w:hAnsi="微软雅黑" w:eastAsia="微软雅黑" w:cs="微软雅黑"/>
          <w:color w:val="auto"/>
          <w:sz w:val="24"/>
          <w:szCs w:val="18"/>
          <w:highlight w:val="none"/>
        </w:rPr>
        <w:t>三   投标文件</w:t>
      </w:r>
      <w:bookmarkEnd w:id="366"/>
      <w:r>
        <w:rPr>
          <w:rFonts w:hint="eastAsia" w:ascii="微软雅黑" w:hAnsi="微软雅黑" w:eastAsia="微软雅黑" w:cs="微软雅黑"/>
          <w:color w:val="auto"/>
          <w:sz w:val="24"/>
          <w:szCs w:val="18"/>
          <w:highlight w:val="none"/>
        </w:rPr>
        <w:t>的编制</w:t>
      </w:r>
      <w:bookmarkEnd w:id="367"/>
      <w:bookmarkEnd w:id="368"/>
      <w:bookmarkEnd w:id="369"/>
      <w:bookmarkEnd w:id="370"/>
      <w:bookmarkEnd w:id="371"/>
      <w:bookmarkEnd w:id="372"/>
      <w:bookmarkEnd w:id="373"/>
      <w:bookmarkEnd w:id="374"/>
    </w:p>
    <w:p w14:paraId="39279E1F">
      <w:pPr>
        <w:pStyle w:val="2"/>
        <w:pageBreakBefore w:val="0"/>
        <w:widowControl w:val="0"/>
        <w:tabs>
          <w:tab w:val="left" w:pos="900"/>
        </w:tabs>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375" w:name="_Toc516367021"/>
      <w:bookmarkStart w:id="376" w:name="_Toc25601"/>
      <w:bookmarkStart w:id="377" w:name="_Toc5025"/>
      <w:bookmarkStart w:id="378" w:name="_Toc7120"/>
      <w:bookmarkStart w:id="379" w:name="_Toc28151"/>
      <w:bookmarkStart w:id="380" w:name="_Toc2539"/>
      <w:bookmarkStart w:id="381" w:name="_Toc5937"/>
      <w:bookmarkStart w:id="382" w:name="_Toc30352"/>
      <w:bookmarkStart w:id="383" w:name="_Toc9985"/>
      <w:bookmarkStart w:id="384" w:name="_Toc10810"/>
      <w:bookmarkStart w:id="385" w:name="_Toc592"/>
      <w:bookmarkStart w:id="386" w:name="_Toc15145"/>
      <w:bookmarkStart w:id="387" w:name="_Toc20486"/>
      <w:bookmarkStart w:id="388" w:name="_Toc2129"/>
      <w:bookmarkStart w:id="389" w:name="_Toc11687"/>
      <w:bookmarkStart w:id="390" w:name="_Toc14739"/>
      <w:bookmarkStart w:id="391" w:name="_Toc26"/>
      <w:bookmarkStart w:id="392" w:name="_Toc515647767"/>
      <w:bookmarkStart w:id="393" w:name="_Toc13375"/>
      <w:bookmarkStart w:id="394" w:name="_Toc5995"/>
      <w:bookmarkStart w:id="395" w:name="_Toc22642"/>
      <w:bookmarkStart w:id="396" w:name="_Toc27776"/>
      <w:bookmarkStart w:id="397" w:name="_Toc23487"/>
      <w:bookmarkStart w:id="398" w:name="_Toc3553"/>
      <w:bookmarkStart w:id="399" w:name="_Toc7786"/>
      <w:bookmarkStart w:id="400" w:name="_Toc8914"/>
      <w:bookmarkStart w:id="401" w:name="_Toc28821"/>
      <w:bookmarkStart w:id="402" w:name="_Toc32487"/>
      <w:bookmarkStart w:id="403" w:name="_Toc18230"/>
      <w:bookmarkStart w:id="404" w:name="_Toc15642"/>
      <w:bookmarkStart w:id="405" w:name="_Toc30945"/>
      <w:bookmarkStart w:id="406" w:name="_Toc22149"/>
      <w:bookmarkStart w:id="407" w:name="_Toc5877"/>
      <w:bookmarkStart w:id="408" w:name="_Toc9220"/>
      <w:bookmarkStart w:id="409" w:name="_Toc10748"/>
      <w:bookmarkStart w:id="410" w:name="_Toc14602"/>
      <w:bookmarkStart w:id="411" w:name="_Toc21019"/>
      <w:bookmarkStart w:id="412" w:name="_Toc7668"/>
      <w:bookmarkStart w:id="413" w:name="_Toc24558"/>
      <w:bookmarkStart w:id="414" w:name="_Toc520356151"/>
      <w:bookmarkStart w:id="415" w:name="_Toc14086"/>
      <w:bookmarkStart w:id="416" w:name="_Toc28980"/>
      <w:bookmarkStart w:id="417" w:name="_Toc1632"/>
      <w:bookmarkStart w:id="418" w:name="_Toc11345"/>
      <w:bookmarkStart w:id="419" w:name="_Toc5450"/>
      <w:bookmarkStart w:id="420" w:name="_Toc2993"/>
      <w:bookmarkStart w:id="421" w:name="_Toc22660"/>
      <w:r>
        <w:rPr>
          <w:rFonts w:hint="eastAsia" w:ascii="微软雅黑" w:hAnsi="微软雅黑" w:eastAsia="微软雅黑" w:cs="微软雅黑"/>
          <w:b/>
          <w:bCs/>
          <w:color w:val="auto"/>
          <w:sz w:val="22"/>
          <w:szCs w:val="22"/>
          <w:highlight w:val="none"/>
          <w:u w:val="none"/>
        </w:rPr>
        <w:t>8.投标范围及投标文件中标准和计量单位的使用</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5DA8A71A">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8.1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项目有分</w:t>
      </w:r>
      <w:r>
        <w:rPr>
          <w:rFonts w:hint="eastAsia" w:ascii="微软雅黑" w:hAnsi="微软雅黑" w:eastAsia="微软雅黑" w:cs="微软雅黑"/>
          <w:color w:val="auto"/>
          <w:sz w:val="22"/>
          <w:szCs w:val="22"/>
          <w:highlight w:val="none"/>
          <w:lang w:val="en-US" w:eastAsia="zh-CN"/>
        </w:rPr>
        <w:t>标项</w:t>
      </w:r>
      <w:r>
        <w:rPr>
          <w:rFonts w:hint="eastAsia" w:ascii="微软雅黑" w:hAnsi="微软雅黑" w:eastAsia="微软雅黑" w:cs="微软雅黑"/>
          <w:color w:val="auto"/>
          <w:sz w:val="22"/>
          <w:szCs w:val="22"/>
          <w:highlight w:val="none"/>
        </w:rPr>
        <w:t>的，</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可对招标文件其中某一个或几个</w:t>
      </w:r>
      <w:r>
        <w:rPr>
          <w:rFonts w:hint="eastAsia" w:ascii="微软雅黑" w:hAnsi="微软雅黑" w:eastAsia="微软雅黑" w:cs="微软雅黑"/>
          <w:color w:val="auto"/>
          <w:sz w:val="22"/>
          <w:szCs w:val="22"/>
          <w:highlight w:val="none"/>
          <w:lang w:val="en-US" w:eastAsia="zh-CN"/>
        </w:rPr>
        <w:t>标项</w:t>
      </w:r>
      <w:r>
        <w:rPr>
          <w:rFonts w:hint="eastAsia" w:ascii="微软雅黑" w:hAnsi="微软雅黑" w:eastAsia="微软雅黑" w:cs="微软雅黑"/>
          <w:color w:val="auto"/>
          <w:sz w:val="22"/>
          <w:szCs w:val="22"/>
          <w:highlight w:val="none"/>
        </w:rPr>
        <w:t>服务进行投标，除非在</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w:t>
      </w:r>
      <w:r>
        <w:rPr>
          <w:rFonts w:hint="eastAsia" w:ascii="微软雅黑" w:hAnsi="微软雅黑" w:eastAsia="微软雅黑" w:cs="微软雅黑"/>
          <w:color w:val="auto"/>
          <w:sz w:val="22"/>
          <w:szCs w:val="22"/>
          <w:highlight w:val="none"/>
        </w:rPr>
        <w:t>中另有规定。</w:t>
      </w:r>
    </w:p>
    <w:p w14:paraId="28A07832">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8.2     </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应当对所投</w:t>
      </w:r>
      <w:r>
        <w:rPr>
          <w:rFonts w:hint="eastAsia" w:ascii="微软雅黑" w:hAnsi="微软雅黑" w:eastAsia="微软雅黑" w:cs="微软雅黑"/>
          <w:color w:val="auto"/>
          <w:sz w:val="22"/>
          <w:szCs w:val="22"/>
          <w:highlight w:val="none"/>
          <w:lang w:val="en-US" w:eastAsia="zh-CN"/>
        </w:rPr>
        <w:t>标项</w:t>
      </w:r>
      <w:r>
        <w:rPr>
          <w:rFonts w:hint="eastAsia" w:ascii="微软雅黑" w:hAnsi="微软雅黑" w:eastAsia="微软雅黑" w:cs="微软雅黑"/>
          <w:color w:val="auto"/>
          <w:sz w:val="22"/>
          <w:szCs w:val="22"/>
          <w:highlight w:val="none"/>
        </w:rPr>
        <w:t>招标文件中“</w:t>
      </w:r>
      <w:r>
        <w:rPr>
          <w:rFonts w:hint="eastAsia" w:ascii="微软雅黑" w:hAnsi="微软雅黑" w:eastAsia="微软雅黑" w:cs="微软雅黑"/>
          <w:color w:val="auto"/>
          <w:sz w:val="22"/>
          <w:szCs w:val="22"/>
          <w:highlight w:val="none"/>
          <w:lang w:val="en-US" w:eastAsia="zh-CN"/>
        </w:rPr>
        <w:t>货物</w:t>
      </w:r>
      <w:r>
        <w:rPr>
          <w:rFonts w:hint="eastAsia" w:ascii="微软雅黑" w:hAnsi="微软雅黑" w:eastAsia="微软雅黑" w:cs="微软雅黑"/>
          <w:color w:val="auto"/>
          <w:sz w:val="22"/>
          <w:szCs w:val="22"/>
          <w:highlight w:val="none"/>
        </w:rPr>
        <w:t>内容及项目要求”所列的所有内容进行投标，如仅响应某一</w:t>
      </w:r>
      <w:r>
        <w:rPr>
          <w:rFonts w:hint="eastAsia" w:ascii="微软雅黑" w:hAnsi="微软雅黑" w:eastAsia="微软雅黑" w:cs="微软雅黑"/>
          <w:color w:val="auto"/>
          <w:sz w:val="22"/>
          <w:szCs w:val="22"/>
          <w:highlight w:val="none"/>
          <w:lang w:val="en-US" w:eastAsia="zh-CN"/>
        </w:rPr>
        <w:t>标项</w:t>
      </w:r>
      <w:r>
        <w:rPr>
          <w:rFonts w:hint="eastAsia" w:ascii="微软雅黑" w:hAnsi="微软雅黑" w:eastAsia="微软雅黑" w:cs="微软雅黑"/>
          <w:color w:val="auto"/>
          <w:sz w:val="22"/>
          <w:szCs w:val="22"/>
          <w:highlight w:val="none"/>
        </w:rPr>
        <w:t>中的部分内容，其该包投标将被认定为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16BA595B">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8.3     除招标文件中有特殊要求外，投标文件中所使用的计量单位，应采用中华人民共和国法定计量单位。</w:t>
      </w:r>
    </w:p>
    <w:p w14:paraId="77DF4E78">
      <w:pPr>
        <w:pStyle w:val="2"/>
        <w:pageBreakBefore w:val="0"/>
        <w:widowControl w:val="0"/>
        <w:tabs>
          <w:tab w:val="left" w:pos="900"/>
        </w:tabs>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422" w:name="_Ref467306676"/>
      <w:bookmarkStart w:id="423" w:name="_Toc516367022"/>
      <w:bookmarkStart w:id="424" w:name="_Ref467306195"/>
      <w:bookmarkStart w:id="425" w:name="_Toc4892"/>
      <w:bookmarkStart w:id="426" w:name="_Toc9281"/>
      <w:bookmarkStart w:id="427" w:name="_Toc258"/>
      <w:bookmarkStart w:id="428" w:name="_Toc22897"/>
      <w:bookmarkStart w:id="429" w:name="_Toc11888"/>
      <w:bookmarkStart w:id="430" w:name="_Toc8854"/>
      <w:bookmarkStart w:id="431" w:name="_Toc25596"/>
      <w:bookmarkStart w:id="432" w:name="_Toc515647768"/>
      <w:bookmarkStart w:id="433" w:name="_Toc570"/>
      <w:bookmarkStart w:id="434" w:name="_Toc10364"/>
      <w:bookmarkStart w:id="435" w:name="_Toc22417"/>
      <w:bookmarkStart w:id="436" w:name="_Toc20101"/>
      <w:bookmarkStart w:id="437" w:name="_Toc13845"/>
      <w:bookmarkStart w:id="438" w:name="_Toc6154"/>
      <w:bookmarkStart w:id="439" w:name="_Toc27002"/>
      <w:bookmarkStart w:id="440" w:name="_Toc23352"/>
      <w:bookmarkStart w:id="441" w:name="_Toc22958"/>
      <w:bookmarkStart w:id="442" w:name="_Toc9418"/>
      <w:bookmarkStart w:id="443" w:name="_Toc11338"/>
      <w:bookmarkStart w:id="444" w:name="_Toc18673"/>
      <w:bookmarkStart w:id="445" w:name="_Toc11539"/>
      <w:bookmarkStart w:id="446" w:name="_Toc32080"/>
      <w:bookmarkStart w:id="447" w:name="_Toc16016"/>
      <w:bookmarkStart w:id="448" w:name="_Toc17835"/>
      <w:bookmarkStart w:id="449" w:name="_Toc10573"/>
      <w:bookmarkStart w:id="450" w:name="_Toc32253"/>
      <w:bookmarkStart w:id="451" w:name="_Toc4852"/>
      <w:bookmarkStart w:id="452" w:name="_Toc17660"/>
      <w:bookmarkStart w:id="453" w:name="_Toc20578"/>
      <w:bookmarkStart w:id="454" w:name="_Toc13577"/>
      <w:bookmarkStart w:id="455" w:name="_Toc23291"/>
      <w:bookmarkStart w:id="456" w:name="_Toc28307"/>
      <w:bookmarkStart w:id="457" w:name="_Toc31911"/>
      <w:bookmarkStart w:id="458" w:name="_Toc7658"/>
      <w:bookmarkStart w:id="459" w:name="_Toc12220"/>
      <w:bookmarkStart w:id="460" w:name="_Toc29146"/>
      <w:bookmarkStart w:id="461" w:name="_Toc11144"/>
      <w:bookmarkStart w:id="462" w:name="_Toc15740"/>
      <w:bookmarkStart w:id="463" w:name="_Toc10787"/>
      <w:bookmarkStart w:id="464" w:name="_Toc7051"/>
      <w:bookmarkStart w:id="465" w:name="_Toc22868"/>
      <w:bookmarkStart w:id="466" w:name="_Toc757"/>
      <w:bookmarkStart w:id="467" w:name="_Toc9397"/>
      <w:bookmarkStart w:id="468" w:name="_Toc520356152"/>
      <w:bookmarkStart w:id="469" w:name="_Toc6152"/>
      <w:bookmarkStart w:id="470" w:name="_Toc24584"/>
      <w:r>
        <w:rPr>
          <w:rFonts w:hint="eastAsia" w:ascii="微软雅黑" w:hAnsi="微软雅黑" w:eastAsia="微软雅黑" w:cs="微软雅黑"/>
          <w:b/>
          <w:bCs/>
          <w:color w:val="auto"/>
          <w:sz w:val="22"/>
          <w:szCs w:val="22"/>
          <w:highlight w:val="none"/>
          <w:u w:val="none"/>
        </w:rPr>
        <w:t>9.投标文件</w:t>
      </w:r>
      <w:bookmarkEnd w:id="422"/>
      <w:bookmarkEnd w:id="423"/>
      <w:bookmarkEnd w:id="424"/>
      <w:r>
        <w:rPr>
          <w:rFonts w:hint="eastAsia" w:ascii="微软雅黑" w:hAnsi="微软雅黑" w:eastAsia="微软雅黑" w:cs="微软雅黑"/>
          <w:b/>
          <w:bCs/>
          <w:color w:val="auto"/>
          <w:sz w:val="22"/>
          <w:szCs w:val="22"/>
          <w:highlight w:val="none"/>
          <w:u w:val="none"/>
        </w:rPr>
        <w:t>构成</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7B20DF60">
      <w:pPr>
        <w:pageBreakBefore w:val="0"/>
        <w:widowControl w:val="0"/>
        <w:tabs>
          <w:tab w:val="left" w:pos="900"/>
          <w:tab w:val="left" w:pos="5580"/>
        </w:tabs>
        <w:kinsoku/>
        <w:wordWrap/>
        <w:overflowPunct/>
        <w:topLinePunct w:val="0"/>
        <w:bidi w:val="0"/>
        <w:spacing w:line="360" w:lineRule="exact"/>
        <w:ind w:left="880" w:leftChars="0" w:hanging="880" w:hangingChars="400"/>
        <w:jc w:val="left"/>
        <w:textAlignment w:val="auto"/>
        <w:rPr>
          <w:rFonts w:hint="eastAsia" w:ascii="微软雅黑" w:hAnsi="微软雅黑" w:eastAsia="微软雅黑" w:cs="微软雅黑"/>
          <w:color w:val="auto"/>
          <w:sz w:val="22"/>
          <w:szCs w:val="22"/>
          <w:highlight w:val="none"/>
          <w:u w:val="single"/>
        </w:rPr>
      </w:pPr>
      <w:bookmarkStart w:id="471" w:name="_Ref467052588"/>
      <w:r>
        <w:rPr>
          <w:rFonts w:hint="eastAsia" w:ascii="微软雅黑" w:hAnsi="微软雅黑" w:eastAsia="微软雅黑" w:cs="微软雅黑"/>
          <w:color w:val="auto"/>
          <w:sz w:val="22"/>
          <w:szCs w:val="22"/>
          <w:highlight w:val="none"/>
        </w:rPr>
        <w:t xml:space="preserve">9.1  </w:t>
      </w:r>
      <w:r>
        <w:rPr>
          <w:rFonts w:hint="eastAsia" w:ascii="微软雅黑" w:hAnsi="微软雅黑" w:eastAsia="微软雅黑" w:cs="微软雅黑"/>
          <w:color w:val="auto"/>
          <w:sz w:val="22"/>
          <w:szCs w:val="22"/>
          <w:highlight w:val="none"/>
          <w:lang w:eastAsia="zh-CN"/>
        </w:rPr>
        <w:t xml:space="preserve"> </w:t>
      </w:r>
      <w:r>
        <w:rPr>
          <w:rFonts w:hint="eastAsia" w:ascii="微软雅黑" w:hAnsi="微软雅黑" w:eastAsia="微软雅黑" w:cs="微软雅黑"/>
          <w:color w:val="auto"/>
          <w:sz w:val="22"/>
          <w:szCs w:val="22"/>
          <w:highlight w:val="none"/>
          <w:lang w:val="en-US" w:eastAsia="zh-CN"/>
        </w:rPr>
        <w:t xml:space="preserve">  </w:t>
      </w:r>
      <w:r>
        <w:rPr>
          <w:rFonts w:hint="eastAsia" w:ascii="微软雅黑" w:hAnsi="微软雅黑" w:eastAsia="微软雅黑" w:cs="微软雅黑"/>
          <w:b/>
          <w:bCs/>
          <w:color w:val="auto"/>
          <w:sz w:val="22"/>
          <w:szCs w:val="22"/>
          <w:highlight w:val="none"/>
          <w:u w:val="single"/>
          <w:lang w:eastAsia="zh-CN"/>
        </w:rPr>
        <w:t>供应商应完整地按招标文件提供的投标文件格式及要求编写投标文件，根据平台关联点上传对应佐证资料，投标文件应包括“开标一览表及资格证明文件”和“商务及技术文件”两部分，两部分合并成完整一册上传至政采云平台。供应商应承担上传失误产生的任何后果。</w:t>
      </w:r>
    </w:p>
    <w:p w14:paraId="6C731BD5">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9.2    上述文件应按照招标文件规定的格式填写、签署和盖章。</w:t>
      </w:r>
      <w:bookmarkEnd w:id="471"/>
    </w:p>
    <w:p w14:paraId="7D52581D">
      <w:pPr>
        <w:pStyle w:val="2"/>
        <w:pageBreakBefore w:val="0"/>
        <w:widowControl w:val="0"/>
        <w:tabs>
          <w:tab w:val="left" w:pos="900"/>
        </w:tabs>
        <w:kinsoku/>
        <w:wordWrap/>
        <w:overflowPunct/>
        <w:topLinePunct w:val="0"/>
        <w:bidi w:val="0"/>
        <w:spacing w:before="0" w:after="0" w:line="360" w:lineRule="exact"/>
        <w:ind w:left="0" w:leftChars="0"/>
        <w:textAlignment w:val="auto"/>
        <w:rPr>
          <w:rFonts w:hint="eastAsia" w:ascii="微软雅黑" w:hAnsi="微软雅黑" w:eastAsia="微软雅黑" w:cs="微软雅黑"/>
          <w:color w:val="auto"/>
          <w:sz w:val="22"/>
          <w:szCs w:val="22"/>
          <w:highlight w:val="none"/>
          <w:u w:val="none"/>
          <w:lang w:eastAsia="zh-CN"/>
        </w:rPr>
      </w:pPr>
      <w:bookmarkStart w:id="472" w:name="_Toc515647769"/>
      <w:bookmarkStart w:id="473" w:name="_Toc516367023"/>
      <w:bookmarkStart w:id="474" w:name="_Toc10379"/>
      <w:bookmarkStart w:id="475" w:name="_Toc30354"/>
      <w:bookmarkStart w:id="476" w:name="_Toc12338"/>
      <w:bookmarkStart w:id="477" w:name="_Toc12121"/>
      <w:bookmarkStart w:id="478" w:name="_Toc4601"/>
      <w:bookmarkStart w:id="479" w:name="_Toc17715"/>
      <w:bookmarkStart w:id="480" w:name="_Toc15151"/>
      <w:bookmarkStart w:id="481" w:name="_Toc2056"/>
      <w:bookmarkStart w:id="482" w:name="_Toc22195"/>
      <w:bookmarkStart w:id="483" w:name="_Toc6978"/>
      <w:bookmarkStart w:id="484" w:name="_Toc520356153"/>
      <w:bookmarkStart w:id="485" w:name="_Toc14035"/>
      <w:bookmarkStart w:id="486" w:name="_Toc17150"/>
      <w:bookmarkStart w:id="487" w:name="_Toc10584"/>
      <w:bookmarkStart w:id="488" w:name="_Toc345"/>
      <w:bookmarkStart w:id="489" w:name="_Toc17541"/>
      <w:bookmarkStart w:id="490" w:name="_Toc25543"/>
      <w:bookmarkStart w:id="491" w:name="_Toc8301"/>
      <w:bookmarkStart w:id="492" w:name="_Toc18829"/>
      <w:bookmarkStart w:id="493" w:name="_Toc365"/>
      <w:bookmarkStart w:id="494" w:name="_Toc30579"/>
      <w:bookmarkStart w:id="495" w:name="_Toc8705"/>
      <w:bookmarkStart w:id="496" w:name="_Toc11413"/>
      <w:bookmarkStart w:id="497" w:name="_Toc23028"/>
      <w:bookmarkStart w:id="498" w:name="_Toc21131"/>
      <w:bookmarkStart w:id="499" w:name="_Toc14407"/>
      <w:bookmarkStart w:id="500" w:name="_Toc21327"/>
      <w:bookmarkStart w:id="501" w:name="_Toc18205"/>
      <w:bookmarkStart w:id="502" w:name="_Toc23702"/>
      <w:bookmarkStart w:id="503" w:name="_Toc5660"/>
      <w:bookmarkStart w:id="504" w:name="_Toc18045"/>
      <w:bookmarkStart w:id="505" w:name="_Toc11528"/>
      <w:bookmarkStart w:id="506" w:name="_Toc6734"/>
      <w:bookmarkStart w:id="507" w:name="_Toc1879"/>
      <w:bookmarkStart w:id="508" w:name="_Toc15878"/>
      <w:bookmarkStart w:id="509" w:name="_Toc22150"/>
      <w:bookmarkStart w:id="510" w:name="_Toc32499"/>
      <w:bookmarkStart w:id="511" w:name="_Toc14699"/>
      <w:bookmarkStart w:id="512" w:name="_Toc1743"/>
      <w:bookmarkStart w:id="513" w:name="_Toc31216"/>
      <w:bookmarkStart w:id="514" w:name="_Toc12368"/>
      <w:bookmarkStart w:id="515" w:name="_Toc6248"/>
      <w:bookmarkStart w:id="516" w:name="_Toc1341"/>
      <w:bookmarkStart w:id="517" w:name="_Toc1112"/>
      <w:bookmarkStart w:id="518" w:name="_Toc11121"/>
      <w:r>
        <w:rPr>
          <w:rFonts w:hint="eastAsia" w:ascii="微软雅黑" w:hAnsi="微软雅黑" w:eastAsia="微软雅黑" w:cs="微软雅黑"/>
          <w:b/>
          <w:bCs/>
          <w:color w:val="auto"/>
          <w:sz w:val="22"/>
          <w:szCs w:val="22"/>
          <w:highlight w:val="none"/>
          <w:u w:val="none"/>
        </w:rPr>
        <w:t>10.证明投标的的合格性和符合招标文件规定的技术文件</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r>
        <w:rPr>
          <w:rFonts w:hint="eastAsia" w:ascii="微软雅黑" w:hAnsi="微软雅黑" w:eastAsia="微软雅黑" w:cs="微软雅黑"/>
          <w:b/>
          <w:bCs/>
          <w:color w:val="auto"/>
          <w:sz w:val="22"/>
          <w:szCs w:val="22"/>
          <w:highlight w:val="none"/>
          <w:u w:val="none"/>
          <w:lang w:eastAsia="zh-CN"/>
        </w:rPr>
        <w:t>。</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14:paraId="63630543">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10.1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应提交证明文件，证明其投标内容符合招标文件规定。该证明文件是投标文件的一部分。</w:t>
      </w:r>
    </w:p>
    <w:p w14:paraId="3A84353C">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bookmarkStart w:id="519" w:name="_Ref467306244"/>
      <w:r>
        <w:rPr>
          <w:rFonts w:hint="eastAsia" w:ascii="微软雅黑" w:hAnsi="微软雅黑" w:eastAsia="微软雅黑" w:cs="微软雅黑"/>
          <w:color w:val="auto"/>
          <w:sz w:val="22"/>
          <w:szCs w:val="22"/>
          <w:highlight w:val="none"/>
        </w:rPr>
        <w:t>10.2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上款所述的证明文件，可以是文字资料、图纸和数据，</w:t>
      </w:r>
      <w:bookmarkEnd w:id="519"/>
      <w:r>
        <w:rPr>
          <w:rFonts w:hint="eastAsia" w:ascii="微软雅黑" w:hAnsi="微软雅黑" w:eastAsia="微软雅黑" w:cs="微软雅黑"/>
          <w:color w:val="auto"/>
          <w:sz w:val="22"/>
          <w:szCs w:val="22"/>
          <w:highlight w:val="none"/>
        </w:rPr>
        <w:t>它包括：</w:t>
      </w:r>
    </w:p>
    <w:p w14:paraId="11966789">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10.2.1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设备主要技术指标的详细说明；</w:t>
      </w:r>
    </w:p>
    <w:p w14:paraId="6C617CEE">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10.2.2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货物从买方开始使用至谈判文件规定的保质期内正常、连续地使用所必须的备件和专用工具清单，包括备件和专用工具的货源及现行价格；</w:t>
      </w:r>
    </w:p>
    <w:p w14:paraId="37950FE4">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10.2.3</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对照招标文件技术规格，逐条说明所提供</w:t>
      </w:r>
      <w:r>
        <w:rPr>
          <w:rFonts w:hint="eastAsia" w:ascii="微软雅黑" w:hAnsi="微软雅黑" w:eastAsia="微软雅黑" w:cs="微软雅黑"/>
          <w:color w:val="auto"/>
          <w:sz w:val="22"/>
          <w:szCs w:val="22"/>
          <w:highlight w:val="none"/>
          <w:lang w:val="en-US" w:eastAsia="zh-CN"/>
        </w:rPr>
        <w:t>货物</w:t>
      </w:r>
      <w:r>
        <w:rPr>
          <w:rFonts w:hint="eastAsia" w:ascii="微软雅黑" w:hAnsi="微软雅黑" w:eastAsia="微软雅黑" w:cs="微软雅黑"/>
          <w:color w:val="auto"/>
          <w:sz w:val="22"/>
          <w:szCs w:val="22"/>
          <w:highlight w:val="none"/>
        </w:rPr>
        <w:t>及伴随的工程和</w:t>
      </w:r>
      <w:r>
        <w:rPr>
          <w:rFonts w:hint="eastAsia" w:ascii="微软雅黑" w:hAnsi="微软雅黑" w:eastAsia="微软雅黑" w:cs="微软雅黑"/>
          <w:color w:val="auto"/>
          <w:sz w:val="22"/>
          <w:szCs w:val="22"/>
          <w:highlight w:val="none"/>
          <w:lang w:val="en-US" w:eastAsia="zh-CN"/>
        </w:rPr>
        <w:t>服务</w:t>
      </w:r>
      <w:r>
        <w:rPr>
          <w:rFonts w:hint="eastAsia" w:ascii="微软雅黑" w:hAnsi="微软雅黑" w:eastAsia="微软雅黑" w:cs="微软雅黑"/>
          <w:color w:val="auto"/>
          <w:sz w:val="22"/>
          <w:szCs w:val="22"/>
          <w:highlight w:val="none"/>
        </w:rPr>
        <w:t>已对招标文件的技术规格做出了实质性的响应，或申明与技术规格条文的偏差和例外。</w:t>
      </w:r>
    </w:p>
    <w:p w14:paraId="03DEB122">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10.3</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在投标中可以选用替代牌号或分类号，但这些替代要实质上相当于技术规格的要求。采购人、采购代理机构承诺不以上述参照品牌型号或分类号作为评标时判定其投标是否有效的标准。</w:t>
      </w:r>
    </w:p>
    <w:p w14:paraId="7C26C63A">
      <w:pPr>
        <w:pStyle w:val="2"/>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color w:val="auto"/>
          <w:sz w:val="22"/>
          <w:szCs w:val="22"/>
          <w:highlight w:val="none"/>
          <w:u w:val="none"/>
        </w:rPr>
      </w:pPr>
      <w:bookmarkStart w:id="520" w:name="_Toc14799"/>
      <w:bookmarkStart w:id="521" w:name="_Toc20726"/>
      <w:bookmarkStart w:id="522" w:name="_Toc520356155"/>
      <w:bookmarkStart w:id="523" w:name="_Toc25238"/>
      <w:bookmarkStart w:id="524" w:name="_Toc8614"/>
      <w:bookmarkStart w:id="525" w:name="_Toc9374"/>
      <w:bookmarkStart w:id="526" w:name="_Toc25641"/>
      <w:bookmarkStart w:id="527" w:name="_Toc30792"/>
      <w:bookmarkStart w:id="528" w:name="_Toc11160"/>
      <w:bookmarkStart w:id="529" w:name="_Toc28258"/>
      <w:bookmarkStart w:id="530" w:name="_Toc18768"/>
      <w:bookmarkStart w:id="531" w:name="_Toc6338"/>
      <w:bookmarkStart w:id="532" w:name="_Toc29220"/>
      <w:bookmarkStart w:id="533" w:name="_Toc9578"/>
      <w:bookmarkStart w:id="534" w:name="_Toc29198"/>
      <w:bookmarkStart w:id="535" w:name="_Toc4381"/>
      <w:bookmarkStart w:id="536" w:name="_Toc25118"/>
      <w:bookmarkStart w:id="537" w:name="_Toc17724"/>
      <w:bookmarkStart w:id="538" w:name="_Toc20991"/>
      <w:bookmarkStart w:id="539" w:name="_Toc24053"/>
      <w:bookmarkStart w:id="540" w:name="_Toc31445"/>
      <w:bookmarkStart w:id="541" w:name="_Toc7997"/>
      <w:bookmarkStart w:id="542" w:name="_Toc2471"/>
      <w:bookmarkStart w:id="543" w:name="_Toc16104"/>
      <w:bookmarkStart w:id="544" w:name="_Toc5144"/>
      <w:bookmarkStart w:id="545" w:name="_Toc31579"/>
      <w:bookmarkStart w:id="546" w:name="_Toc28480"/>
      <w:bookmarkStart w:id="547" w:name="_Toc23231"/>
      <w:bookmarkStart w:id="548" w:name="_Toc19854"/>
      <w:bookmarkStart w:id="549" w:name="_Toc515647770"/>
      <w:bookmarkStart w:id="550" w:name="_Toc4214"/>
      <w:bookmarkStart w:id="551" w:name="_Toc29204"/>
      <w:bookmarkStart w:id="552" w:name="_Toc21291"/>
      <w:bookmarkStart w:id="553" w:name="_Toc3868"/>
      <w:bookmarkStart w:id="554" w:name="_Toc26145"/>
      <w:bookmarkStart w:id="555" w:name="_Toc2248"/>
      <w:bookmarkStart w:id="556" w:name="_Toc12983"/>
      <w:bookmarkStart w:id="557" w:name="_Toc30467"/>
      <w:bookmarkStart w:id="558" w:name="_Toc24468"/>
      <w:bookmarkStart w:id="559" w:name="_Toc26441"/>
      <w:bookmarkStart w:id="560" w:name="_Toc4583"/>
      <w:bookmarkStart w:id="561" w:name="_Toc21396"/>
      <w:bookmarkStart w:id="562" w:name="_Toc301"/>
      <w:bookmarkStart w:id="563" w:name="_Toc16481"/>
      <w:bookmarkStart w:id="564" w:name="_Toc15733"/>
      <w:bookmarkStart w:id="565" w:name="_Toc212"/>
      <w:r>
        <w:rPr>
          <w:rFonts w:hint="eastAsia" w:ascii="微软雅黑" w:hAnsi="微软雅黑" w:eastAsia="微软雅黑" w:cs="微软雅黑"/>
          <w:b/>
          <w:bCs/>
          <w:color w:val="auto"/>
          <w:sz w:val="22"/>
          <w:szCs w:val="22"/>
          <w:highlight w:val="none"/>
          <w:u w:val="none"/>
        </w:rPr>
        <w:t>11.投标报价</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14:paraId="42688B5E">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11.1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所有投标均以人民币报价。</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的投标报价应遵守《中华人民共和国价格法》。同时，根据《中华人民共和国政府采购法》第二条的规定，为保证公平竞争，如有主体部分的赠与行为，其投标将被认定为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79952BD3">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11.2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应在投标分项报价表上标明投标相关</w:t>
      </w:r>
      <w:r>
        <w:rPr>
          <w:rFonts w:hint="eastAsia" w:ascii="微软雅黑" w:hAnsi="微软雅黑" w:eastAsia="微软雅黑" w:cs="微软雅黑"/>
          <w:color w:val="auto"/>
          <w:sz w:val="22"/>
          <w:szCs w:val="22"/>
          <w:highlight w:val="none"/>
          <w:lang w:val="en-US" w:eastAsia="zh-CN"/>
        </w:rPr>
        <w:t>货物</w:t>
      </w:r>
      <w:r>
        <w:rPr>
          <w:rFonts w:hint="eastAsia" w:ascii="微软雅黑" w:hAnsi="微软雅黑" w:eastAsia="微软雅黑" w:cs="微软雅黑"/>
          <w:color w:val="auto"/>
          <w:sz w:val="22"/>
          <w:szCs w:val="22"/>
          <w:highlight w:val="none"/>
        </w:rPr>
        <w:t>的单价（如适用）和总价，并由法定代表人签署。</w:t>
      </w:r>
    </w:p>
    <w:p w14:paraId="77988F8F">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11.3</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投标分项报价表上的价格应按下列方式填写；</w:t>
      </w:r>
    </w:p>
    <w:p w14:paraId="0DFFDD20">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11.4</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所报的各分项投标单价在合同履行过程中是固定不变的，不得以任何理由予以变更。任何包含价格调整要求的投标，其投标将被认定为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5B13D18B">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11.5</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每种</w:t>
      </w:r>
      <w:r>
        <w:rPr>
          <w:rFonts w:hint="eastAsia" w:ascii="微软雅黑" w:hAnsi="微软雅黑" w:eastAsia="微软雅黑" w:cs="微软雅黑"/>
          <w:color w:val="auto"/>
          <w:sz w:val="22"/>
          <w:szCs w:val="22"/>
          <w:highlight w:val="none"/>
          <w:lang w:val="en-US" w:eastAsia="zh-CN"/>
        </w:rPr>
        <w:t>货物</w:t>
      </w:r>
      <w:r>
        <w:rPr>
          <w:rFonts w:hint="eastAsia" w:ascii="微软雅黑" w:hAnsi="微软雅黑" w:eastAsia="微软雅黑" w:cs="微软雅黑"/>
          <w:color w:val="auto"/>
          <w:sz w:val="22"/>
          <w:szCs w:val="22"/>
          <w:highlight w:val="none"/>
        </w:rPr>
        <w:t>只能有一个投标报价。采购人不接受具有附加条件的报价。</w:t>
      </w:r>
    </w:p>
    <w:p w14:paraId="45339D56">
      <w:pPr>
        <w:pStyle w:val="2"/>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566" w:name="_Toc3670"/>
      <w:bookmarkStart w:id="567" w:name="_Toc28730"/>
      <w:bookmarkStart w:id="568" w:name="_Toc11773"/>
      <w:bookmarkStart w:id="569" w:name="_Toc18450"/>
      <w:bookmarkStart w:id="570" w:name="_Toc26535"/>
      <w:bookmarkStart w:id="571" w:name="_Toc10329"/>
      <w:bookmarkStart w:id="572" w:name="_Toc21719"/>
      <w:bookmarkStart w:id="573" w:name="_Toc4369"/>
      <w:bookmarkStart w:id="574" w:name="_Toc24533"/>
      <w:bookmarkStart w:id="575" w:name="_Toc26083"/>
      <w:bookmarkStart w:id="576" w:name="_Toc7289"/>
      <w:bookmarkStart w:id="577" w:name="_Toc5648"/>
      <w:bookmarkStart w:id="578" w:name="_Toc23276"/>
      <w:bookmarkStart w:id="579" w:name="_Toc25707"/>
      <w:bookmarkStart w:id="580" w:name="_Toc12332"/>
      <w:bookmarkStart w:id="581" w:name="_Toc1683"/>
      <w:bookmarkStart w:id="582" w:name="_Toc515647771"/>
      <w:bookmarkStart w:id="583" w:name="_Toc11514"/>
      <w:bookmarkStart w:id="584" w:name="_Toc22551"/>
      <w:bookmarkStart w:id="585" w:name="_Toc24283"/>
      <w:bookmarkStart w:id="586" w:name="_Toc10639"/>
      <w:bookmarkStart w:id="587" w:name="_Toc28149"/>
      <w:bookmarkStart w:id="588" w:name="_Toc17788"/>
      <w:bookmarkStart w:id="589" w:name="_Toc22331"/>
      <w:bookmarkStart w:id="590" w:name="_Toc3239"/>
      <w:bookmarkStart w:id="591" w:name="_Toc30245"/>
      <w:bookmarkStart w:id="592" w:name="_Toc18556"/>
      <w:bookmarkStart w:id="593" w:name="_Toc10863"/>
      <w:bookmarkStart w:id="594" w:name="_Toc11825"/>
      <w:bookmarkStart w:id="595" w:name="_Toc9261"/>
      <w:bookmarkStart w:id="596" w:name="_Toc23784"/>
      <w:bookmarkStart w:id="597" w:name="_Toc25003"/>
      <w:bookmarkStart w:id="598" w:name="_Toc25927"/>
      <w:bookmarkStart w:id="599" w:name="_Toc19603"/>
      <w:bookmarkStart w:id="600" w:name="_Toc15349"/>
      <w:bookmarkStart w:id="601" w:name="_Toc18208"/>
      <w:bookmarkStart w:id="602" w:name="_Ref467306513"/>
      <w:bookmarkStart w:id="603" w:name="_Toc2895"/>
      <w:bookmarkStart w:id="604" w:name="_Toc21242"/>
      <w:bookmarkStart w:id="605" w:name="_Toc28776"/>
      <w:bookmarkStart w:id="606" w:name="_Toc5086"/>
      <w:bookmarkStart w:id="607" w:name="_Toc22722"/>
      <w:bookmarkStart w:id="608" w:name="_Toc520356156"/>
      <w:bookmarkStart w:id="609" w:name="_Toc401"/>
      <w:bookmarkStart w:id="610" w:name="_Toc23666"/>
      <w:bookmarkStart w:id="611" w:name="_Toc26186"/>
      <w:bookmarkStart w:id="612" w:name="_Toc4192"/>
      <w:r>
        <w:rPr>
          <w:rFonts w:hint="eastAsia" w:ascii="微软雅黑" w:hAnsi="微软雅黑" w:eastAsia="微软雅黑" w:cs="微软雅黑"/>
          <w:b/>
          <w:bCs/>
          <w:color w:val="auto"/>
          <w:sz w:val="22"/>
          <w:szCs w:val="22"/>
          <w:highlight w:val="none"/>
          <w:u w:val="none"/>
        </w:rPr>
        <w:t>12.投标保证金</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14:paraId="77A9E600">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bookmarkStart w:id="613" w:name="_Ref467306302"/>
      <w:r>
        <w:rPr>
          <w:rFonts w:hint="eastAsia" w:ascii="微软雅黑" w:hAnsi="微软雅黑" w:eastAsia="微软雅黑" w:cs="微软雅黑"/>
          <w:color w:val="auto"/>
          <w:sz w:val="22"/>
          <w:szCs w:val="22"/>
          <w:highlight w:val="none"/>
        </w:rPr>
        <w:t>12.1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应提交</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w:t>
      </w:r>
      <w:r>
        <w:rPr>
          <w:rFonts w:hint="eastAsia" w:ascii="微软雅黑" w:hAnsi="微软雅黑" w:eastAsia="微软雅黑" w:cs="微软雅黑"/>
          <w:color w:val="auto"/>
          <w:sz w:val="22"/>
          <w:szCs w:val="22"/>
          <w:highlight w:val="none"/>
        </w:rPr>
        <w:t>中规定的投标保证金</w:t>
      </w:r>
      <w:bookmarkEnd w:id="613"/>
      <w:r>
        <w:rPr>
          <w:rFonts w:hint="eastAsia" w:ascii="微软雅黑" w:hAnsi="微软雅黑" w:eastAsia="微软雅黑" w:cs="微软雅黑"/>
          <w:color w:val="auto"/>
          <w:sz w:val="22"/>
          <w:szCs w:val="22"/>
          <w:highlight w:val="none"/>
        </w:rPr>
        <w:t>，并作为其投标的一部分。</w:t>
      </w:r>
    </w:p>
    <w:p w14:paraId="70B08ACD">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12.2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存在下列情形的，投标保证金不予退还：</w:t>
      </w:r>
    </w:p>
    <w:p w14:paraId="2AC9B373">
      <w:pPr>
        <w:pStyle w:val="16"/>
        <w:pageBreakBefore w:val="0"/>
        <w:widowControl w:val="0"/>
        <w:tabs>
          <w:tab w:val="left" w:pos="2240"/>
        </w:tabs>
        <w:kinsoku/>
        <w:wordWrap/>
        <w:overflowPunct/>
        <w:topLinePunct w:val="0"/>
        <w:bidi w:val="0"/>
        <w:spacing w:line="360" w:lineRule="exact"/>
        <w:ind w:left="275" w:leftChars="0" w:hanging="275" w:hangingChars="125"/>
        <w:textAlignment w:val="auto"/>
        <w:rPr>
          <w:rFonts w:hint="eastAsia" w:ascii="微软雅黑" w:hAnsi="微软雅黑" w:eastAsia="微软雅黑" w:cs="微软雅黑"/>
          <w:color w:val="auto"/>
          <w:sz w:val="22"/>
          <w:szCs w:val="18"/>
          <w:highlight w:val="none"/>
        </w:rPr>
      </w:pPr>
      <w:r>
        <w:rPr>
          <w:rFonts w:hint="eastAsia" w:ascii="微软雅黑" w:hAnsi="微软雅黑" w:eastAsia="微软雅黑" w:cs="微软雅黑"/>
          <w:color w:val="auto"/>
          <w:sz w:val="22"/>
          <w:szCs w:val="18"/>
          <w:highlight w:val="none"/>
        </w:rPr>
        <w:t>（1）在投标有效期内，撤销投标的；</w:t>
      </w:r>
    </w:p>
    <w:p w14:paraId="5E0309C7">
      <w:pPr>
        <w:pStyle w:val="16"/>
        <w:pageBreakBefore w:val="0"/>
        <w:widowControl w:val="0"/>
        <w:tabs>
          <w:tab w:val="left" w:pos="2240"/>
        </w:tabs>
        <w:kinsoku/>
        <w:wordWrap/>
        <w:overflowPunct/>
        <w:topLinePunct w:val="0"/>
        <w:bidi w:val="0"/>
        <w:spacing w:line="360" w:lineRule="exact"/>
        <w:ind w:left="275" w:leftChars="0" w:hanging="275" w:hangingChars="125"/>
        <w:textAlignment w:val="auto"/>
        <w:rPr>
          <w:rFonts w:hint="eastAsia" w:ascii="微软雅黑" w:hAnsi="微软雅黑" w:eastAsia="微软雅黑" w:cs="微软雅黑"/>
          <w:color w:val="auto"/>
          <w:sz w:val="22"/>
          <w:szCs w:val="18"/>
          <w:highlight w:val="none"/>
        </w:rPr>
      </w:pPr>
      <w:r>
        <w:rPr>
          <w:rFonts w:hint="eastAsia" w:ascii="微软雅黑" w:hAnsi="微软雅黑" w:eastAsia="微软雅黑" w:cs="微软雅黑"/>
          <w:color w:val="auto"/>
          <w:sz w:val="22"/>
          <w:szCs w:val="18"/>
          <w:highlight w:val="none"/>
        </w:rPr>
        <w:t>（2）中标后不按本须知第30条的规定与采购人签订合同的；</w:t>
      </w:r>
    </w:p>
    <w:p w14:paraId="338FEFBB">
      <w:pPr>
        <w:pStyle w:val="16"/>
        <w:pageBreakBefore w:val="0"/>
        <w:widowControl w:val="0"/>
        <w:tabs>
          <w:tab w:val="left" w:pos="2240"/>
        </w:tabs>
        <w:kinsoku/>
        <w:wordWrap/>
        <w:overflowPunct/>
        <w:topLinePunct w:val="0"/>
        <w:bidi w:val="0"/>
        <w:spacing w:line="360" w:lineRule="exact"/>
        <w:ind w:left="275" w:leftChars="0" w:hanging="275" w:hangingChars="125"/>
        <w:textAlignment w:val="auto"/>
        <w:rPr>
          <w:rFonts w:hint="eastAsia" w:ascii="微软雅黑" w:hAnsi="微软雅黑" w:eastAsia="微软雅黑" w:cs="微软雅黑"/>
          <w:color w:val="auto"/>
          <w:sz w:val="22"/>
          <w:szCs w:val="18"/>
          <w:highlight w:val="none"/>
        </w:rPr>
      </w:pPr>
      <w:r>
        <w:rPr>
          <w:rFonts w:hint="eastAsia" w:ascii="微软雅黑" w:hAnsi="微软雅黑" w:eastAsia="微软雅黑" w:cs="微软雅黑"/>
          <w:color w:val="auto"/>
          <w:sz w:val="22"/>
          <w:szCs w:val="18"/>
          <w:highlight w:val="none"/>
        </w:rPr>
        <w:t>（3）中标后不按本须知第31条的规定提交履约保证金的；</w:t>
      </w:r>
    </w:p>
    <w:p w14:paraId="06C6E506">
      <w:pPr>
        <w:pStyle w:val="16"/>
        <w:pageBreakBefore w:val="0"/>
        <w:widowControl w:val="0"/>
        <w:tabs>
          <w:tab w:val="left" w:pos="2240"/>
        </w:tabs>
        <w:kinsoku/>
        <w:wordWrap/>
        <w:overflowPunct/>
        <w:topLinePunct w:val="0"/>
        <w:bidi w:val="0"/>
        <w:spacing w:line="360" w:lineRule="exact"/>
        <w:ind w:left="275" w:leftChars="0" w:hanging="275" w:hangingChars="125"/>
        <w:textAlignment w:val="auto"/>
        <w:rPr>
          <w:rFonts w:hint="eastAsia" w:ascii="微软雅黑" w:hAnsi="微软雅黑" w:eastAsia="微软雅黑" w:cs="微软雅黑"/>
          <w:color w:val="auto"/>
          <w:sz w:val="22"/>
          <w:szCs w:val="18"/>
          <w:highlight w:val="none"/>
        </w:rPr>
      </w:pPr>
      <w:r>
        <w:rPr>
          <w:rFonts w:hint="eastAsia" w:ascii="微软雅黑" w:hAnsi="微软雅黑" w:eastAsia="微软雅黑" w:cs="微软雅黑"/>
          <w:color w:val="auto"/>
          <w:sz w:val="22"/>
          <w:szCs w:val="18"/>
          <w:highlight w:val="none"/>
        </w:rPr>
        <w:t>（4）中标后不按本须知第32条的规定缴纳中标服务费的；</w:t>
      </w:r>
    </w:p>
    <w:p w14:paraId="4F6099E9">
      <w:pPr>
        <w:pStyle w:val="16"/>
        <w:pageBreakBefore w:val="0"/>
        <w:widowControl w:val="0"/>
        <w:tabs>
          <w:tab w:val="left" w:pos="2240"/>
        </w:tabs>
        <w:kinsoku/>
        <w:wordWrap/>
        <w:overflowPunct/>
        <w:topLinePunct w:val="0"/>
        <w:bidi w:val="0"/>
        <w:spacing w:line="360" w:lineRule="exact"/>
        <w:ind w:left="275" w:leftChars="0" w:hanging="275" w:hangingChars="125"/>
        <w:textAlignment w:val="auto"/>
        <w:rPr>
          <w:rFonts w:hint="eastAsia" w:ascii="微软雅黑" w:hAnsi="微软雅黑" w:eastAsia="微软雅黑" w:cs="微软雅黑"/>
          <w:color w:val="auto"/>
          <w:sz w:val="22"/>
          <w:szCs w:val="18"/>
          <w:highlight w:val="none"/>
        </w:rPr>
      </w:pPr>
      <w:r>
        <w:rPr>
          <w:rFonts w:hint="eastAsia" w:ascii="微软雅黑" w:hAnsi="微软雅黑" w:eastAsia="微软雅黑" w:cs="微软雅黑"/>
          <w:color w:val="auto"/>
          <w:sz w:val="22"/>
          <w:szCs w:val="18"/>
          <w:highlight w:val="none"/>
        </w:rPr>
        <w:t>（5）存在其他违法违规行为的。</w:t>
      </w:r>
    </w:p>
    <w:p w14:paraId="5C315967">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bookmarkStart w:id="614" w:name="_Ref467306336"/>
      <w:r>
        <w:rPr>
          <w:rFonts w:hint="eastAsia" w:ascii="微软雅黑" w:hAnsi="微软雅黑" w:eastAsia="微软雅黑" w:cs="微软雅黑"/>
          <w:color w:val="auto"/>
          <w:sz w:val="22"/>
          <w:szCs w:val="22"/>
          <w:highlight w:val="none"/>
        </w:rPr>
        <w:t>12.3</w:t>
      </w:r>
      <w:r>
        <w:rPr>
          <w:rFonts w:hint="eastAsia" w:ascii="微软雅黑" w:hAnsi="微软雅黑" w:eastAsia="微软雅黑" w:cs="微软雅黑"/>
          <w:color w:val="auto"/>
          <w:sz w:val="22"/>
          <w:szCs w:val="22"/>
          <w:highlight w:val="none"/>
        </w:rPr>
        <w:tab/>
      </w:r>
      <w:bookmarkEnd w:id="614"/>
      <w:r>
        <w:rPr>
          <w:rFonts w:hint="eastAsia" w:ascii="微软雅黑" w:hAnsi="微软雅黑" w:eastAsia="微软雅黑" w:cs="微软雅黑"/>
          <w:color w:val="auto"/>
          <w:sz w:val="22"/>
          <w:szCs w:val="22"/>
          <w:highlight w:val="none"/>
        </w:rPr>
        <w:t>政府采购信用担保试点范围内的项目，接受符合财政部门规定的政府采购投标担</w:t>
      </w:r>
      <w:r>
        <w:rPr>
          <w:rFonts w:hint="eastAsia" w:ascii="微软雅黑" w:hAnsi="微软雅黑" w:eastAsia="微软雅黑" w:cs="微软雅黑"/>
          <w:color w:val="auto"/>
          <w:sz w:val="22"/>
          <w:szCs w:val="22"/>
          <w:highlight w:val="none"/>
          <w:lang w:eastAsia="zh-CN"/>
        </w:rPr>
        <w:t>保函</w:t>
      </w:r>
      <w:r>
        <w:rPr>
          <w:rFonts w:hint="eastAsia" w:ascii="微软雅黑" w:hAnsi="微软雅黑" w:eastAsia="微软雅黑" w:cs="微软雅黑"/>
          <w:color w:val="auto"/>
          <w:sz w:val="22"/>
          <w:szCs w:val="22"/>
          <w:highlight w:val="none"/>
        </w:rPr>
        <w:t>。</w:t>
      </w:r>
    </w:p>
    <w:p w14:paraId="743CE23E">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12.4</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未按本须知第12.1和12.3条规定提交投标保证金的，其投标将被认定为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37585581">
      <w:pPr>
        <w:pageBreakBefore w:val="0"/>
        <w:widowControl w:val="0"/>
        <w:kinsoku/>
        <w:wordWrap/>
        <w:overflowPunct/>
        <w:topLinePunct w:val="0"/>
        <w:bidi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12.4.1  采用电汇形式的，一般可以实时入账。</w:t>
      </w:r>
    </w:p>
    <w:p w14:paraId="1630389A">
      <w:pPr>
        <w:pageBreakBefore w:val="0"/>
        <w:widowControl w:val="0"/>
        <w:kinsoku/>
        <w:wordWrap/>
        <w:overflowPunct/>
        <w:topLinePunct w:val="0"/>
        <w:bidi w:val="0"/>
        <w:spacing w:line="360" w:lineRule="exact"/>
        <w:ind w:left="880" w:leftChars="0" w:hanging="880" w:hangingChars="4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12.4.2  采用支票形式的，</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则应充分考虑支票入账时间，以确保投标保证金能按时进入指定账户。根据银行信息交换和付款时间，支票从递交至实际入账一般需要4-5个工作日。如</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未及时提交支票或支票不符合银行委托收款要求（如污损、折叠、胶装等），导致投标保证金不能按时进入指定账户的，将按照招标文件的第22.2条相关规定处理。</w:t>
      </w:r>
    </w:p>
    <w:p w14:paraId="71B92912">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12.5   联合体投标的，可以由联合体中的一方或者共同提交投标保证金。以一方名义提交投标保证金的，对联合体各方均具有约束力。</w:t>
      </w:r>
    </w:p>
    <w:p w14:paraId="0C5A4317">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12.6</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投标保证金的退还</w:t>
      </w:r>
    </w:p>
    <w:p w14:paraId="729965B0">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12.6.1  中标人应在与采购人签订合同之日起5个工作日内，及时联系保证金收受机构办理投标保证金无息退还手续。</w:t>
      </w:r>
    </w:p>
    <w:p w14:paraId="3100BFEF">
      <w:pPr>
        <w:pageBreakBefore w:val="0"/>
        <w:widowControl w:val="0"/>
        <w:kinsoku/>
        <w:wordWrap/>
        <w:overflowPunct/>
        <w:topLinePunct w:val="0"/>
        <w:bidi w:val="0"/>
        <w:spacing w:line="360" w:lineRule="exact"/>
        <w:ind w:left="880" w:leftChars="0" w:hanging="880" w:hangingChars="4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12.6.2  未中标</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的投标保证金将在中标通知书发出之日暨中标结果公告公布之日起5个工作日内无息退还。</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应及时联系保证金收受机构办理退还投标保证金手续。</w:t>
      </w:r>
    </w:p>
    <w:p w14:paraId="62EC2E41">
      <w:pPr>
        <w:pageBreakBefore w:val="0"/>
        <w:widowControl w:val="0"/>
        <w:kinsoku/>
        <w:wordWrap/>
        <w:overflowPunct/>
        <w:topLinePunct w:val="0"/>
        <w:bidi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12.6.3  政府采购投标担</w:t>
      </w:r>
      <w:r>
        <w:rPr>
          <w:rFonts w:hint="eastAsia" w:ascii="微软雅黑" w:hAnsi="微软雅黑" w:eastAsia="微软雅黑" w:cs="微软雅黑"/>
          <w:color w:val="auto"/>
          <w:sz w:val="22"/>
          <w:szCs w:val="22"/>
          <w:highlight w:val="none"/>
          <w:lang w:eastAsia="zh-CN"/>
        </w:rPr>
        <w:t>保函</w:t>
      </w:r>
      <w:r>
        <w:rPr>
          <w:rFonts w:hint="eastAsia" w:ascii="微软雅黑" w:hAnsi="微软雅黑" w:eastAsia="微软雅黑" w:cs="微软雅黑"/>
          <w:color w:val="auto"/>
          <w:sz w:val="22"/>
          <w:szCs w:val="22"/>
          <w:highlight w:val="none"/>
        </w:rPr>
        <w:t>不予退回。</w:t>
      </w:r>
    </w:p>
    <w:p w14:paraId="4C26913E">
      <w:pPr>
        <w:pageBreakBefore w:val="0"/>
        <w:widowControl w:val="0"/>
        <w:kinsoku/>
        <w:wordWrap/>
        <w:overflowPunct/>
        <w:topLinePunct w:val="0"/>
        <w:bidi w:val="0"/>
        <w:spacing w:line="360" w:lineRule="exact"/>
        <w:ind w:left="880" w:leftChars="0" w:hanging="880" w:hangingChars="4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12.7    因</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自身原因导致无法及时退还的，采购人或采购代理机构将不承担相应责任。</w:t>
      </w:r>
    </w:p>
    <w:p w14:paraId="62BE2440">
      <w:pPr>
        <w:pStyle w:val="2"/>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615" w:name="_Toc1719"/>
      <w:bookmarkStart w:id="616" w:name="_Toc515647772"/>
      <w:bookmarkStart w:id="617" w:name="_Toc12852"/>
      <w:bookmarkStart w:id="618" w:name="_Toc24934"/>
      <w:bookmarkStart w:id="619" w:name="_Toc30090"/>
      <w:bookmarkStart w:id="620" w:name="_Toc31306"/>
      <w:bookmarkStart w:id="621" w:name="_Toc31338"/>
      <w:bookmarkStart w:id="622" w:name="_Toc17976"/>
      <w:bookmarkStart w:id="623" w:name="_Toc10221"/>
      <w:bookmarkStart w:id="624" w:name="_Toc27875"/>
      <w:bookmarkStart w:id="625" w:name="_Toc32569"/>
      <w:bookmarkStart w:id="626" w:name="_Toc17927"/>
      <w:bookmarkStart w:id="627" w:name="_Toc19152"/>
      <w:bookmarkStart w:id="628" w:name="_Toc23590"/>
      <w:bookmarkStart w:id="629" w:name="_Toc3822"/>
      <w:bookmarkStart w:id="630" w:name="_Toc6796"/>
      <w:bookmarkStart w:id="631" w:name="_Toc24866"/>
      <w:bookmarkStart w:id="632" w:name="_Toc19790"/>
      <w:bookmarkStart w:id="633" w:name="_Toc13712"/>
      <w:bookmarkStart w:id="634" w:name="_Toc31260"/>
      <w:bookmarkStart w:id="635" w:name="_Toc11132"/>
      <w:bookmarkStart w:id="636" w:name="_Toc3015"/>
      <w:bookmarkStart w:id="637" w:name="_Toc30519"/>
      <w:bookmarkStart w:id="638" w:name="_Toc23657"/>
      <w:bookmarkStart w:id="639" w:name="_Toc11097"/>
      <w:bookmarkStart w:id="640" w:name="_Toc27828"/>
      <w:bookmarkStart w:id="641" w:name="_Toc17521"/>
      <w:bookmarkStart w:id="642" w:name="_Toc3714"/>
      <w:bookmarkStart w:id="643" w:name="_Toc12947"/>
      <w:bookmarkStart w:id="644" w:name="_Toc4223"/>
      <w:bookmarkStart w:id="645" w:name="_Toc7349"/>
      <w:bookmarkStart w:id="646" w:name="_Toc13589"/>
      <w:bookmarkStart w:id="647" w:name="_Toc9113"/>
      <w:bookmarkStart w:id="648" w:name="_Toc13507"/>
      <w:bookmarkStart w:id="649" w:name="_Toc11969"/>
      <w:bookmarkStart w:id="650" w:name="_Toc13999"/>
      <w:bookmarkStart w:id="651" w:name="_Toc28650"/>
      <w:bookmarkStart w:id="652" w:name="_Toc5302"/>
      <w:bookmarkStart w:id="653" w:name="_Toc520356157"/>
      <w:bookmarkStart w:id="654" w:name="_Toc7434"/>
      <w:bookmarkStart w:id="655" w:name="_Toc1255"/>
      <w:bookmarkStart w:id="656" w:name="_Toc1977"/>
      <w:bookmarkStart w:id="657" w:name="_Toc27999"/>
      <w:bookmarkStart w:id="658" w:name="_Toc18864"/>
      <w:bookmarkStart w:id="659" w:name="_Toc3538"/>
      <w:bookmarkStart w:id="660" w:name="_Toc24618"/>
      <w:r>
        <w:rPr>
          <w:rFonts w:hint="eastAsia" w:ascii="微软雅黑" w:hAnsi="微软雅黑" w:eastAsia="微软雅黑" w:cs="微软雅黑"/>
          <w:b/>
          <w:bCs/>
          <w:color w:val="auto"/>
          <w:sz w:val="22"/>
          <w:szCs w:val="22"/>
          <w:highlight w:val="none"/>
          <w:u w:val="none"/>
        </w:rPr>
        <w:t>13.投标有效期</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14:paraId="5562944D">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13.1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投标应在</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w:t>
      </w:r>
      <w:r>
        <w:rPr>
          <w:rFonts w:hint="eastAsia" w:ascii="微软雅黑" w:hAnsi="微软雅黑" w:eastAsia="微软雅黑" w:cs="微软雅黑"/>
          <w:color w:val="auto"/>
          <w:sz w:val="22"/>
          <w:szCs w:val="22"/>
          <w:highlight w:val="none"/>
        </w:rPr>
        <w:t>中规定时间内保持有效。投标有效期不满足要求的投标，其投标将被认定为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494DAC77">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13.2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为保证有充分时间签订合同，采购人或采购代理机构可根据实际情况，在原投标有效期截止之前，要求</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延长投标文件的有效期。接受该要求的</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将不会被要求和允许修正其投标，且本须知中有关投标保证金的要求须在延长的有效期内继续有效。</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可以拒绝延长投标有效期的要求，其投标保证金将及时无息退还。上述要求和答复都应以书面形式提交。</w:t>
      </w:r>
    </w:p>
    <w:p w14:paraId="7B215197">
      <w:pPr>
        <w:pStyle w:val="2"/>
        <w:shd w:val="clear"/>
        <w:spacing w:before="0" w:after="0" w:line="360" w:lineRule="exact"/>
        <w:rPr>
          <w:rFonts w:hint="eastAsia" w:ascii="微软雅黑" w:hAnsi="微软雅黑" w:eastAsia="微软雅黑" w:cs="微软雅黑"/>
          <w:b/>
          <w:bCs/>
          <w:i w:val="0"/>
          <w:caps w:val="0"/>
          <w:color w:val="auto"/>
          <w:spacing w:val="0"/>
          <w:w w:val="100"/>
          <w:sz w:val="22"/>
          <w:szCs w:val="22"/>
          <w:highlight w:val="none"/>
          <w:u w:val="single" w:color="000000"/>
          <w:lang w:eastAsia="zh-CN"/>
        </w:rPr>
      </w:pPr>
      <w:bookmarkStart w:id="661" w:name="_Toc520356158"/>
      <w:bookmarkStart w:id="662" w:name="_Toc18280"/>
      <w:bookmarkStart w:id="663" w:name="_Toc5619"/>
      <w:bookmarkStart w:id="664" w:name="_Toc29619"/>
      <w:bookmarkStart w:id="665" w:name="_Toc4996"/>
      <w:bookmarkStart w:id="666" w:name="_Toc3558"/>
      <w:bookmarkStart w:id="667" w:name="_Toc11337"/>
      <w:bookmarkStart w:id="668" w:name="_Toc6286"/>
      <w:bookmarkStart w:id="669" w:name="_Toc493"/>
      <w:bookmarkStart w:id="670" w:name="_Toc13792"/>
      <w:bookmarkStart w:id="671" w:name="_Toc9347"/>
      <w:bookmarkStart w:id="672" w:name="_Toc11669"/>
      <w:bookmarkStart w:id="673" w:name="_Toc17074"/>
      <w:bookmarkStart w:id="674" w:name="_Toc28931"/>
      <w:bookmarkStart w:id="675" w:name="_Toc9672"/>
      <w:bookmarkStart w:id="676" w:name="_Toc6302"/>
      <w:bookmarkStart w:id="677" w:name="_Toc16503"/>
      <w:bookmarkStart w:id="678" w:name="_Toc13734"/>
      <w:bookmarkStart w:id="679" w:name="_Toc4425"/>
      <w:bookmarkStart w:id="680" w:name="_Toc515647773"/>
      <w:bookmarkStart w:id="681" w:name="_Toc87"/>
      <w:bookmarkStart w:id="682" w:name="_Toc698"/>
      <w:bookmarkStart w:id="683" w:name="_Toc10391"/>
      <w:bookmarkStart w:id="684" w:name="_Toc17443"/>
      <w:bookmarkStart w:id="685" w:name="_Toc30127"/>
      <w:bookmarkStart w:id="686" w:name="_Toc19386"/>
      <w:bookmarkStart w:id="687" w:name="_Toc18908"/>
      <w:bookmarkStart w:id="688" w:name="_Toc2914"/>
      <w:bookmarkStart w:id="689" w:name="_Toc28964"/>
      <w:bookmarkStart w:id="690" w:name="_Toc21599"/>
      <w:bookmarkStart w:id="691" w:name="_Toc27307"/>
      <w:bookmarkStart w:id="692" w:name="_Toc6938"/>
      <w:bookmarkStart w:id="693" w:name="_Toc28310"/>
      <w:bookmarkStart w:id="694" w:name="_Toc21800"/>
      <w:bookmarkStart w:id="695" w:name="_Toc26473"/>
      <w:bookmarkStart w:id="696" w:name="_Toc16980"/>
      <w:bookmarkStart w:id="697" w:name="_Toc23785"/>
      <w:bookmarkStart w:id="698" w:name="_Toc13119"/>
      <w:bookmarkStart w:id="699" w:name="_Toc14675"/>
      <w:bookmarkStart w:id="700" w:name="_Toc25327"/>
      <w:bookmarkStart w:id="701" w:name="_Toc14064"/>
      <w:bookmarkStart w:id="702" w:name="_Toc24787"/>
      <w:r>
        <w:rPr>
          <w:rFonts w:hint="eastAsia" w:ascii="微软雅黑" w:hAnsi="微软雅黑" w:eastAsia="微软雅黑" w:cs="微软雅黑"/>
          <w:b/>
          <w:bCs/>
          <w:color w:val="auto"/>
          <w:sz w:val="22"/>
          <w:szCs w:val="22"/>
          <w:highlight w:val="none"/>
          <w:u w:val="none"/>
        </w:rPr>
        <w:t>14.</w:t>
      </w:r>
      <w:r>
        <w:rPr>
          <w:rFonts w:hint="eastAsia" w:ascii="微软雅黑" w:hAnsi="微软雅黑" w:eastAsia="微软雅黑" w:cs="微软雅黑"/>
          <w:b/>
          <w:bCs/>
          <w:color w:val="auto"/>
          <w:sz w:val="22"/>
          <w:szCs w:val="22"/>
          <w:highlight w:val="none"/>
          <w:u w:val="none"/>
          <w:lang w:val="en-US" w:eastAsia="zh-CN"/>
        </w:rPr>
        <w:t xml:space="preserve"> </w:t>
      </w:r>
      <w:r>
        <w:rPr>
          <w:rFonts w:hint="eastAsia" w:ascii="微软雅黑" w:hAnsi="微软雅黑" w:eastAsia="微软雅黑" w:cs="微软雅黑"/>
          <w:b/>
          <w:bCs/>
          <w:color w:val="auto"/>
          <w:sz w:val="22"/>
          <w:szCs w:val="22"/>
          <w:highlight w:val="none"/>
          <w:u w:val="none"/>
        </w:rPr>
        <w:t>投标文件的签署</w:t>
      </w:r>
      <w:bookmarkEnd w:id="661"/>
      <w:r>
        <w:rPr>
          <w:rFonts w:hint="eastAsia" w:ascii="微软雅黑" w:hAnsi="微软雅黑" w:eastAsia="微软雅黑" w:cs="微软雅黑"/>
          <w:b/>
          <w:bCs/>
          <w:color w:val="auto"/>
          <w:sz w:val="22"/>
          <w:szCs w:val="22"/>
          <w:highlight w:val="none"/>
          <w:u w:val="none"/>
        </w:rPr>
        <w:t>及规定</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p w14:paraId="482963A5">
      <w:pPr>
        <w:shd w:val="clear"/>
        <w:spacing w:line="360" w:lineRule="exact"/>
        <w:ind w:left="900" w:hanging="825" w:hangingChars="375"/>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供应商应按供应商须知资料表中的规定，准备和递交</w:t>
      </w:r>
      <w:r>
        <w:rPr>
          <w:rFonts w:hint="eastAsia" w:ascii="微软雅黑" w:hAnsi="微软雅黑" w:eastAsia="微软雅黑" w:cs="微软雅黑"/>
          <w:color w:val="auto"/>
          <w:sz w:val="22"/>
          <w:szCs w:val="22"/>
          <w:highlight w:val="none"/>
          <w:lang w:eastAsia="zh-CN"/>
        </w:rPr>
        <w:t>投标文件</w:t>
      </w:r>
      <w:r>
        <w:rPr>
          <w:rFonts w:hint="eastAsia" w:ascii="微软雅黑" w:hAnsi="微软雅黑" w:eastAsia="微软雅黑" w:cs="微软雅黑"/>
          <w:color w:val="auto"/>
          <w:sz w:val="22"/>
          <w:szCs w:val="22"/>
          <w:highlight w:val="none"/>
        </w:rPr>
        <w:t>。</w:t>
      </w:r>
    </w:p>
    <w:p w14:paraId="38FE1602">
      <w:pPr>
        <w:shd w:val="clear"/>
        <w:spacing w:line="360" w:lineRule="exact"/>
        <w:ind w:left="900" w:hanging="825" w:hangingChars="375"/>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lang w:eastAsia="zh-CN"/>
        </w:rPr>
        <w:t>投标文件</w:t>
      </w:r>
      <w:r>
        <w:rPr>
          <w:rFonts w:hint="eastAsia" w:ascii="微软雅黑" w:hAnsi="微软雅黑" w:eastAsia="微软雅黑" w:cs="微软雅黑"/>
          <w:color w:val="auto"/>
          <w:sz w:val="22"/>
          <w:szCs w:val="22"/>
          <w:highlight w:val="none"/>
        </w:rPr>
        <w:t>由供应商的法定代表人或经其正式委托代理人按</w:t>
      </w:r>
      <w:r>
        <w:rPr>
          <w:rFonts w:hint="eastAsia" w:ascii="微软雅黑" w:hAnsi="微软雅黑" w:eastAsia="微软雅黑" w:cs="微软雅黑"/>
          <w:color w:val="auto"/>
          <w:sz w:val="22"/>
          <w:szCs w:val="22"/>
          <w:highlight w:val="none"/>
          <w:lang w:eastAsia="zh-CN"/>
        </w:rPr>
        <w:t>招标文件</w:t>
      </w:r>
      <w:r>
        <w:rPr>
          <w:rFonts w:hint="eastAsia" w:ascii="微软雅黑" w:hAnsi="微软雅黑" w:eastAsia="微软雅黑" w:cs="微软雅黑"/>
          <w:color w:val="auto"/>
          <w:sz w:val="22"/>
          <w:szCs w:val="22"/>
          <w:highlight w:val="none"/>
        </w:rPr>
        <w:t>规定在</w:t>
      </w:r>
      <w:r>
        <w:rPr>
          <w:rFonts w:hint="eastAsia" w:ascii="微软雅黑" w:hAnsi="微软雅黑" w:eastAsia="微软雅黑" w:cs="微软雅黑"/>
          <w:color w:val="auto"/>
          <w:sz w:val="22"/>
          <w:szCs w:val="22"/>
          <w:highlight w:val="none"/>
          <w:lang w:eastAsia="zh-CN"/>
        </w:rPr>
        <w:t>投标文件</w:t>
      </w:r>
      <w:r>
        <w:rPr>
          <w:rFonts w:hint="eastAsia" w:ascii="微软雅黑" w:hAnsi="微软雅黑" w:eastAsia="微软雅黑" w:cs="微软雅黑"/>
          <w:color w:val="auto"/>
          <w:sz w:val="22"/>
          <w:szCs w:val="22"/>
          <w:highlight w:val="none"/>
        </w:rPr>
        <w:t>上签字或盖章并加盖单位印章。</w:t>
      </w:r>
    </w:p>
    <w:p w14:paraId="6D933D82">
      <w:pPr>
        <w:pStyle w:val="6"/>
        <w:shd w:val="clear"/>
        <w:spacing w:before="0" w:line="360" w:lineRule="exact"/>
        <w:ind w:hanging="540"/>
        <w:rPr>
          <w:rFonts w:hint="eastAsia" w:ascii="微软雅黑" w:hAnsi="微软雅黑" w:eastAsia="微软雅黑" w:cs="微软雅黑"/>
          <w:color w:val="auto"/>
          <w:sz w:val="28"/>
          <w:szCs w:val="18"/>
          <w:highlight w:val="none"/>
        </w:rPr>
      </w:pPr>
      <w:bookmarkStart w:id="703" w:name="_Toc11179"/>
      <w:bookmarkStart w:id="704" w:name="_Toc25125"/>
      <w:bookmarkStart w:id="705" w:name="_Toc515647774"/>
      <w:bookmarkStart w:id="706" w:name="_Toc30935"/>
      <w:bookmarkStart w:id="707" w:name="_Toc16865"/>
      <w:bookmarkStart w:id="708" w:name="_Toc216582808"/>
      <w:bookmarkStart w:id="709" w:name="_Toc29654"/>
      <w:bookmarkStart w:id="710" w:name="_Toc520356159"/>
      <w:r>
        <w:rPr>
          <w:rFonts w:hint="eastAsia" w:ascii="微软雅黑" w:hAnsi="微软雅黑" w:eastAsia="微软雅黑" w:cs="微软雅黑"/>
          <w:color w:val="auto"/>
          <w:sz w:val="22"/>
          <w:szCs w:val="18"/>
          <w:highlight w:val="none"/>
        </w:rPr>
        <w:t>四   投标文件的递交</w:t>
      </w:r>
      <w:bookmarkEnd w:id="703"/>
      <w:bookmarkEnd w:id="704"/>
      <w:bookmarkEnd w:id="705"/>
      <w:bookmarkEnd w:id="706"/>
      <w:bookmarkEnd w:id="707"/>
      <w:bookmarkEnd w:id="708"/>
      <w:bookmarkEnd w:id="709"/>
      <w:bookmarkEnd w:id="710"/>
    </w:p>
    <w:p w14:paraId="221D7D98">
      <w:pPr>
        <w:numPr>
          <w:ilvl w:val="0"/>
          <w:numId w:val="4"/>
        </w:numPr>
        <w:shd w:val="clear"/>
        <w:spacing w:line="360" w:lineRule="exact"/>
        <w:outlineLvl w:val="2"/>
        <w:rPr>
          <w:rFonts w:hint="eastAsia" w:ascii="微软雅黑" w:hAnsi="微软雅黑" w:eastAsia="微软雅黑" w:cs="微软雅黑"/>
          <w:b/>
          <w:bCs/>
          <w:color w:val="auto"/>
          <w:sz w:val="22"/>
          <w:szCs w:val="22"/>
          <w:highlight w:val="none"/>
        </w:rPr>
      </w:pPr>
      <w:bookmarkStart w:id="711" w:name="_Toc21938"/>
      <w:bookmarkStart w:id="712" w:name="_Toc12432"/>
      <w:bookmarkStart w:id="713" w:name="_Toc14401"/>
      <w:bookmarkStart w:id="714" w:name="_Toc2920"/>
      <w:bookmarkStart w:id="715" w:name="_Toc7933"/>
      <w:bookmarkStart w:id="716" w:name="_Toc8503"/>
      <w:bookmarkStart w:id="717" w:name="_Toc8183"/>
      <w:bookmarkStart w:id="718" w:name="_Toc6563"/>
      <w:bookmarkStart w:id="719" w:name="_Toc15527"/>
      <w:bookmarkStart w:id="720" w:name="_Toc28823"/>
      <w:bookmarkStart w:id="721" w:name="_Toc23011"/>
      <w:bookmarkStart w:id="722" w:name="_Toc6730"/>
      <w:bookmarkStart w:id="723" w:name="_Toc27008"/>
      <w:bookmarkStart w:id="724" w:name="_Toc1558"/>
      <w:bookmarkStart w:id="725" w:name="_Toc15216"/>
      <w:bookmarkStart w:id="726" w:name="_Toc28911"/>
      <w:bookmarkStart w:id="727" w:name="_Toc22933"/>
      <w:bookmarkStart w:id="728" w:name="_Toc27906"/>
      <w:bookmarkStart w:id="729" w:name="_Toc20584"/>
      <w:bookmarkStart w:id="730" w:name="_Toc13291"/>
      <w:bookmarkStart w:id="731" w:name="_Toc15412"/>
      <w:bookmarkStart w:id="732" w:name="_Toc1538"/>
      <w:bookmarkStart w:id="733" w:name="_Toc25786"/>
      <w:bookmarkStart w:id="734" w:name="_Toc23008"/>
      <w:bookmarkStart w:id="735" w:name="_Toc30238"/>
      <w:bookmarkStart w:id="736" w:name="_Toc26050"/>
      <w:bookmarkStart w:id="737" w:name="_Toc8129"/>
      <w:bookmarkStart w:id="738" w:name="_Toc14818"/>
      <w:r>
        <w:rPr>
          <w:rFonts w:hint="eastAsia" w:ascii="微软雅黑" w:hAnsi="微软雅黑" w:eastAsia="微软雅黑" w:cs="微软雅黑"/>
          <w:b/>
          <w:bCs/>
          <w:color w:val="auto"/>
          <w:sz w:val="22"/>
          <w:szCs w:val="22"/>
          <w:highlight w:val="none"/>
          <w:lang w:eastAsia="zh-CN"/>
        </w:rPr>
        <w:t>投标文件</w:t>
      </w:r>
      <w:r>
        <w:rPr>
          <w:rFonts w:hint="eastAsia" w:ascii="微软雅黑" w:hAnsi="微软雅黑" w:eastAsia="微软雅黑" w:cs="微软雅黑"/>
          <w:b/>
          <w:bCs/>
          <w:color w:val="auto"/>
          <w:sz w:val="22"/>
          <w:szCs w:val="22"/>
          <w:highlight w:val="none"/>
        </w:rPr>
        <w:t>的密封和标记</w:t>
      </w:r>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14:paraId="662998AE">
      <w:pPr>
        <w:shd w:val="clear"/>
        <w:spacing w:line="36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15.1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为方便评审及进行资格审查，投标单位应完整地按招标文件提供的投标文件格式及要求编写投标文件， 投标单位须在投标截止时间前完成在系统上递交电子投标文件。投标单位的电子投标文件是经过CA证书加密后上传提交的，任何单位或个人均无法在投标截止时间(即投标时间)之前查看或篡改，不存在泄密风险。（严格按照政采云电子投标流程制作并上传电子投标文件）</w:t>
      </w:r>
    </w:p>
    <w:p w14:paraId="4A97961C">
      <w:pPr>
        <w:shd w:val="clear"/>
        <w:spacing w:line="36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15.2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供应商因自身原因导致电子投标文件无法导入电子评标系统的，该响应文件视为无效文件。</w:t>
      </w:r>
    </w:p>
    <w:p w14:paraId="1800ABAC">
      <w:pPr>
        <w:shd w:val="clear"/>
        <w:spacing w:line="36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15.3</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电子投标文件具有法律效力,与其他形式的响应文件在内容和格式上等同，若投标文件与招标文件要求不一致，其内容影响中标结果时，责任由供应商自行承担。</w:t>
      </w:r>
    </w:p>
    <w:p w14:paraId="04B49FD8">
      <w:pPr>
        <w:shd w:val="clear"/>
        <w:spacing w:line="360" w:lineRule="exact"/>
        <w:outlineLvl w:val="2"/>
        <w:rPr>
          <w:rFonts w:hint="eastAsia" w:ascii="微软雅黑" w:hAnsi="微软雅黑" w:eastAsia="微软雅黑" w:cs="微软雅黑"/>
          <w:b/>
          <w:bCs/>
          <w:color w:val="auto"/>
          <w:sz w:val="22"/>
          <w:szCs w:val="22"/>
          <w:highlight w:val="none"/>
        </w:rPr>
      </w:pPr>
      <w:bookmarkStart w:id="739" w:name="_Toc3689"/>
      <w:bookmarkStart w:id="740" w:name="_Toc6968"/>
      <w:bookmarkStart w:id="741" w:name="_Toc7943"/>
      <w:bookmarkStart w:id="742" w:name="_Toc30884"/>
      <w:bookmarkStart w:id="743" w:name="_Toc28884"/>
      <w:bookmarkStart w:id="744" w:name="_Toc24338"/>
      <w:bookmarkStart w:id="745" w:name="_Toc21983"/>
      <w:bookmarkStart w:id="746" w:name="_Toc28424"/>
      <w:bookmarkStart w:id="747" w:name="_Toc8719"/>
      <w:bookmarkStart w:id="748" w:name="_Toc14473"/>
      <w:bookmarkStart w:id="749" w:name="_Toc16859"/>
      <w:bookmarkStart w:id="750" w:name="_Toc26503"/>
      <w:bookmarkStart w:id="751" w:name="_Toc9186"/>
      <w:bookmarkStart w:id="752" w:name="_Toc7904"/>
      <w:bookmarkStart w:id="753" w:name="_Toc23212"/>
      <w:bookmarkStart w:id="754" w:name="_Toc23034"/>
      <w:bookmarkStart w:id="755" w:name="_Toc30321"/>
      <w:bookmarkStart w:id="756" w:name="_Toc9893"/>
      <w:bookmarkStart w:id="757" w:name="_Toc7925"/>
      <w:bookmarkStart w:id="758" w:name="_Toc29337"/>
      <w:bookmarkStart w:id="759" w:name="_Toc19680"/>
      <w:bookmarkStart w:id="760" w:name="_Toc1555"/>
      <w:bookmarkStart w:id="761" w:name="_Toc17998"/>
      <w:bookmarkStart w:id="762" w:name="_Toc15162"/>
      <w:bookmarkStart w:id="763" w:name="_Toc7212"/>
      <w:bookmarkStart w:id="764" w:name="_Toc16065"/>
      <w:bookmarkStart w:id="765" w:name="_Toc29217"/>
      <w:bookmarkStart w:id="766" w:name="_Toc23571"/>
      <w:r>
        <w:rPr>
          <w:rFonts w:hint="eastAsia" w:ascii="微软雅黑" w:hAnsi="微软雅黑" w:eastAsia="微软雅黑" w:cs="微软雅黑"/>
          <w:b/>
          <w:bCs/>
          <w:color w:val="auto"/>
          <w:sz w:val="22"/>
          <w:szCs w:val="22"/>
          <w:highlight w:val="none"/>
        </w:rPr>
        <w:t>16.</w:t>
      </w:r>
      <w:r>
        <w:rPr>
          <w:rFonts w:hint="eastAsia" w:ascii="微软雅黑" w:hAnsi="微软雅黑" w:eastAsia="微软雅黑" w:cs="微软雅黑"/>
          <w:b/>
          <w:bCs/>
          <w:color w:val="auto"/>
          <w:sz w:val="22"/>
          <w:szCs w:val="22"/>
          <w:highlight w:val="none"/>
          <w:lang w:val="en-US" w:eastAsia="zh-CN"/>
        </w:rPr>
        <w:t>投标</w:t>
      </w:r>
      <w:r>
        <w:rPr>
          <w:rFonts w:hint="eastAsia" w:ascii="微软雅黑" w:hAnsi="微软雅黑" w:eastAsia="微软雅黑" w:cs="微软雅黑"/>
          <w:b/>
          <w:bCs/>
          <w:color w:val="auto"/>
          <w:sz w:val="22"/>
          <w:szCs w:val="22"/>
          <w:highlight w:val="none"/>
        </w:rPr>
        <w:t>截止</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14:paraId="64174CC9">
      <w:pPr>
        <w:shd w:val="clear"/>
        <w:spacing w:line="36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16.1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供应商应在供应商须知资料表中规定的</w:t>
      </w:r>
      <w:r>
        <w:rPr>
          <w:rFonts w:hint="eastAsia" w:ascii="微软雅黑" w:hAnsi="微软雅黑" w:eastAsia="微软雅黑" w:cs="微软雅黑"/>
          <w:color w:val="auto"/>
          <w:sz w:val="22"/>
          <w:szCs w:val="22"/>
          <w:highlight w:val="none"/>
          <w:lang w:val="en-US" w:eastAsia="zh-CN"/>
        </w:rPr>
        <w:t>投标</w:t>
      </w:r>
      <w:r>
        <w:rPr>
          <w:rFonts w:hint="eastAsia" w:ascii="微软雅黑" w:hAnsi="微软雅黑" w:eastAsia="微软雅黑" w:cs="微软雅黑"/>
          <w:color w:val="auto"/>
          <w:sz w:val="22"/>
          <w:szCs w:val="22"/>
          <w:highlight w:val="none"/>
        </w:rPr>
        <w:t>截止时间前，将</w:t>
      </w:r>
      <w:r>
        <w:rPr>
          <w:rFonts w:hint="eastAsia" w:ascii="微软雅黑" w:hAnsi="微软雅黑" w:eastAsia="微软雅黑" w:cs="微软雅黑"/>
          <w:color w:val="auto"/>
          <w:sz w:val="22"/>
          <w:szCs w:val="22"/>
          <w:highlight w:val="none"/>
          <w:lang w:eastAsia="zh-CN"/>
        </w:rPr>
        <w:t>投标文件</w:t>
      </w:r>
      <w:r>
        <w:rPr>
          <w:rFonts w:hint="eastAsia" w:ascii="微软雅黑" w:hAnsi="微软雅黑" w:eastAsia="微软雅黑" w:cs="微软雅黑"/>
          <w:color w:val="auto"/>
          <w:sz w:val="22"/>
          <w:szCs w:val="22"/>
          <w:highlight w:val="none"/>
        </w:rPr>
        <w:t>上传到</w:t>
      </w:r>
      <w:r>
        <w:rPr>
          <w:rFonts w:hint="eastAsia" w:ascii="微软雅黑" w:hAnsi="微软雅黑" w:eastAsia="微软雅黑" w:cs="微软雅黑"/>
          <w:color w:val="auto"/>
          <w:sz w:val="22"/>
          <w:szCs w:val="22"/>
          <w:highlight w:val="none"/>
          <w:lang w:val="en-US" w:eastAsia="zh-CN"/>
        </w:rPr>
        <w:t>公开招标</w:t>
      </w:r>
      <w:r>
        <w:rPr>
          <w:rFonts w:hint="eastAsia" w:ascii="微软雅黑" w:hAnsi="微软雅黑" w:eastAsia="微软雅黑" w:cs="微软雅黑"/>
          <w:color w:val="auto"/>
          <w:sz w:val="22"/>
          <w:szCs w:val="22"/>
          <w:highlight w:val="none"/>
        </w:rPr>
        <w:t>公告中规定的地点。</w:t>
      </w:r>
    </w:p>
    <w:p w14:paraId="1B450A52">
      <w:pPr>
        <w:shd w:val="clear"/>
        <w:spacing w:line="36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16.2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采购人和采购代理机构有权按本须知的规定，延迟</w:t>
      </w:r>
      <w:r>
        <w:rPr>
          <w:rFonts w:hint="eastAsia" w:ascii="微软雅黑" w:hAnsi="微软雅黑" w:eastAsia="微软雅黑" w:cs="微软雅黑"/>
          <w:color w:val="auto"/>
          <w:sz w:val="22"/>
          <w:szCs w:val="22"/>
          <w:highlight w:val="none"/>
          <w:lang w:val="en-US" w:eastAsia="zh-CN"/>
        </w:rPr>
        <w:t>投标</w:t>
      </w:r>
      <w:r>
        <w:rPr>
          <w:rFonts w:hint="eastAsia" w:ascii="微软雅黑" w:hAnsi="微软雅黑" w:eastAsia="微软雅黑" w:cs="微软雅黑"/>
          <w:color w:val="auto"/>
          <w:sz w:val="22"/>
          <w:szCs w:val="22"/>
          <w:highlight w:val="none"/>
        </w:rPr>
        <w:t>截止时间。在此情况下，采购人、采购代理机构和供应商受</w:t>
      </w:r>
      <w:r>
        <w:rPr>
          <w:rFonts w:hint="eastAsia" w:ascii="微软雅黑" w:hAnsi="微软雅黑" w:eastAsia="微软雅黑" w:cs="微软雅黑"/>
          <w:color w:val="auto"/>
          <w:sz w:val="22"/>
          <w:szCs w:val="22"/>
          <w:highlight w:val="none"/>
          <w:lang w:val="en-US" w:eastAsia="zh-CN"/>
        </w:rPr>
        <w:t>投标</w:t>
      </w:r>
      <w:r>
        <w:rPr>
          <w:rFonts w:hint="eastAsia" w:ascii="微软雅黑" w:hAnsi="微软雅黑" w:eastAsia="微软雅黑" w:cs="微软雅黑"/>
          <w:color w:val="auto"/>
          <w:sz w:val="22"/>
          <w:szCs w:val="22"/>
          <w:highlight w:val="none"/>
        </w:rPr>
        <w:t>截止时间制约的所有权利和义务均应延长至新的截止时间。</w:t>
      </w:r>
    </w:p>
    <w:p w14:paraId="2F9FBA5B">
      <w:pPr>
        <w:shd w:val="clear"/>
        <w:spacing w:line="36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16.3</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采购人和采购代理机构将拒绝接收在</w:t>
      </w:r>
      <w:r>
        <w:rPr>
          <w:rFonts w:hint="eastAsia" w:ascii="微软雅黑" w:hAnsi="微软雅黑" w:eastAsia="微软雅黑" w:cs="微软雅黑"/>
          <w:color w:val="auto"/>
          <w:sz w:val="22"/>
          <w:szCs w:val="22"/>
          <w:highlight w:val="none"/>
          <w:lang w:val="en-US" w:eastAsia="zh-CN"/>
        </w:rPr>
        <w:t>投标</w:t>
      </w:r>
      <w:r>
        <w:rPr>
          <w:rFonts w:hint="eastAsia" w:ascii="微软雅黑" w:hAnsi="微软雅黑" w:eastAsia="微软雅黑" w:cs="微软雅黑"/>
          <w:color w:val="auto"/>
          <w:sz w:val="22"/>
          <w:szCs w:val="22"/>
          <w:highlight w:val="none"/>
        </w:rPr>
        <w:t>截止时间后上传的</w:t>
      </w:r>
      <w:r>
        <w:rPr>
          <w:rFonts w:hint="eastAsia" w:ascii="微软雅黑" w:hAnsi="微软雅黑" w:eastAsia="微软雅黑" w:cs="微软雅黑"/>
          <w:color w:val="auto"/>
          <w:sz w:val="22"/>
          <w:szCs w:val="22"/>
          <w:highlight w:val="none"/>
          <w:lang w:eastAsia="zh-CN"/>
        </w:rPr>
        <w:t>投标文件</w:t>
      </w:r>
      <w:r>
        <w:rPr>
          <w:rFonts w:hint="eastAsia" w:ascii="微软雅黑" w:hAnsi="微软雅黑" w:eastAsia="微软雅黑" w:cs="微软雅黑"/>
          <w:color w:val="auto"/>
          <w:sz w:val="22"/>
          <w:szCs w:val="22"/>
          <w:highlight w:val="none"/>
        </w:rPr>
        <w:t>。</w:t>
      </w:r>
    </w:p>
    <w:p w14:paraId="19ED6A3D">
      <w:pPr>
        <w:shd w:val="clear"/>
        <w:spacing w:line="360" w:lineRule="exact"/>
        <w:outlineLvl w:val="2"/>
        <w:rPr>
          <w:rFonts w:hint="eastAsia" w:ascii="微软雅黑" w:hAnsi="微软雅黑" w:eastAsia="微软雅黑" w:cs="微软雅黑"/>
          <w:b/>
          <w:bCs/>
          <w:color w:val="auto"/>
          <w:sz w:val="22"/>
          <w:szCs w:val="22"/>
          <w:highlight w:val="none"/>
        </w:rPr>
      </w:pPr>
      <w:bookmarkStart w:id="767" w:name="_Toc9747"/>
      <w:bookmarkStart w:id="768" w:name="_Toc16477"/>
      <w:bookmarkStart w:id="769" w:name="_Toc2151"/>
      <w:bookmarkStart w:id="770" w:name="_Toc25577"/>
      <w:bookmarkStart w:id="771" w:name="_Toc17579"/>
      <w:bookmarkStart w:id="772" w:name="_Toc22638"/>
      <w:bookmarkStart w:id="773" w:name="_Toc32057"/>
      <w:bookmarkStart w:id="774" w:name="_Toc10572"/>
      <w:bookmarkStart w:id="775" w:name="_Toc9564"/>
      <w:bookmarkStart w:id="776" w:name="_Toc23325"/>
      <w:bookmarkStart w:id="777" w:name="_Toc30731"/>
      <w:bookmarkStart w:id="778" w:name="_Toc23033"/>
      <w:bookmarkStart w:id="779" w:name="_Toc11106"/>
      <w:bookmarkStart w:id="780" w:name="_Toc30648"/>
      <w:bookmarkStart w:id="781" w:name="_Toc2336"/>
      <w:bookmarkStart w:id="782" w:name="_Toc10091"/>
      <w:bookmarkStart w:id="783" w:name="_Toc15250"/>
      <w:bookmarkStart w:id="784" w:name="_Toc23767"/>
      <w:bookmarkStart w:id="785" w:name="_Toc17096"/>
      <w:bookmarkStart w:id="786" w:name="_Toc2598"/>
      <w:bookmarkStart w:id="787" w:name="_Toc16308"/>
      <w:bookmarkStart w:id="788" w:name="_Toc79"/>
      <w:bookmarkStart w:id="789" w:name="_Toc27778"/>
      <w:bookmarkStart w:id="790" w:name="_Toc9884"/>
      <w:bookmarkStart w:id="791" w:name="_Toc29765"/>
      <w:bookmarkStart w:id="792" w:name="_Toc14193"/>
      <w:bookmarkStart w:id="793" w:name="_Toc7283"/>
      <w:bookmarkStart w:id="794" w:name="_Toc9900"/>
      <w:r>
        <w:rPr>
          <w:rFonts w:hint="eastAsia" w:ascii="微软雅黑" w:hAnsi="微软雅黑" w:eastAsia="微软雅黑" w:cs="微软雅黑"/>
          <w:b/>
          <w:bCs/>
          <w:color w:val="auto"/>
          <w:sz w:val="22"/>
          <w:szCs w:val="22"/>
          <w:highlight w:val="none"/>
        </w:rPr>
        <w:t>17.</w:t>
      </w:r>
      <w:r>
        <w:rPr>
          <w:rFonts w:hint="eastAsia" w:ascii="微软雅黑" w:hAnsi="微软雅黑" w:eastAsia="微软雅黑" w:cs="微软雅黑"/>
          <w:b/>
          <w:bCs/>
          <w:color w:val="auto"/>
          <w:sz w:val="22"/>
          <w:szCs w:val="22"/>
          <w:highlight w:val="none"/>
          <w:lang w:eastAsia="zh-CN"/>
        </w:rPr>
        <w:t>投标文件</w:t>
      </w:r>
      <w:r>
        <w:rPr>
          <w:rFonts w:hint="eastAsia" w:ascii="微软雅黑" w:hAnsi="微软雅黑" w:eastAsia="微软雅黑" w:cs="微软雅黑"/>
          <w:b/>
          <w:bCs/>
          <w:color w:val="auto"/>
          <w:sz w:val="22"/>
          <w:szCs w:val="22"/>
          <w:highlight w:val="none"/>
        </w:rPr>
        <w:t>的接收、修改与撤回</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p>
    <w:p w14:paraId="794AF670">
      <w:pPr>
        <w:shd w:val="clear"/>
        <w:spacing w:line="36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17.1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在</w:t>
      </w:r>
      <w:r>
        <w:rPr>
          <w:rFonts w:hint="eastAsia" w:ascii="微软雅黑" w:hAnsi="微软雅黑" w:eastAsia="微软雅黑" w:cs="微软雅黑"/>
          <w:color w:val="auto"/>
          <w:sz w:val="22"/>
          <w:szCs w:val="22"/>
          <w:highlight w:val="none"/>
          <w:lang w:val="en-US" w:eastAsia="zh-CN"/>
        </w:rPr>
        <w:t>投标</w:t>
      </w:r>
      <w:r>
        <w:rPr>
          <w:rFonts w:hint="eastAsia" w:ascii="微软雅黑" w:hAnsi="微软雅黑" w:eastAsia="微软雅黑" w:cs="微软雅黑"/>
          <w:color w:val="auto"/>
          <w:sz w:val="22"/>
          <w:szCs w:val="22"/>
          <w:highlight w:val="none"/>
        </w:rPr>
        <w:t>截止时间后上传的</w:t>
      </w:r>
      <w:r>
        <w:rPr>
          <w:rFonts w:hint="eastAsia" w:ascii="微软雅黑" w:hAnsi="微软雅黑" w:eastAsia="微软雅黑" w:cs="微软雅黑"/>
          <w:color w:val="auto"/>
          <w:sz w:val="22"/>
          <w:szCs w:val="22"/>
          <w:highlight w:val="none"/>
          <w:lang w:eastAsia="zh-CN"/>
        </w:rPr>
        <w:t>投标文件</w:t>
      </w:r>
      <w:r>
        <w:rPr>
          <w:rFonts w:hint="eastAsia" w:ascii="微软雅黑" w:hAnsi="微软雅黑" w:eastAsia="微软雅黑" w:cs="微软雅黑"/>
          <w:color w:val="auto"/>
          <w:sz w:val="22"/>
          <w:szCs w:val="22"/>
          <w:highlight w:val="none"/>
        </w:rPr>
        <w:t>的，采购人和采购代理机构将拒绝接收。</w:t>
      </w:r>
    </w:p>
    <w:p w14:paraId="07F377CB">
      <w:pPr>
        <w:shd w:val="clear"/>
        <w:spacing w:line="36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17.2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上传</w:t>
      </w:r>
      <w:r>
        <w:rPr>
          <w:rFonts w:hint="eastAsia" w:ascii="微软雅黑" w:hAnsi="微软雅黑" w:eastAsia="微软雅黑" w:cs="微软雅黑"/>
          <w:color w:val="auto"/>
          <w:sz w:val="22"/>
          <w:szCs w:val="22"/>
          <w:highlight w:val="none"/>
          <w:lang w:eastAsia="zh-CN"/>
        </w:rPr>
        <w:t>投标文件</w:t>
      </w:r>
      <w:r>
        <w:rPr>
          <w:rFonts w:hint="eastAsia" w:ascii="微软雅黑" w:hAnsi="微软雅黑" w:eastAsia="微软雅黑" w:cs="微软雅黑"/>
          <w:color w:val="auto"/>
          <w:sz w:val="22"/>
          <w:szCs w:val="22"/>
          <w:highlight w:val="none"/>
        </w:rPr>
        <w:t>以后，如果供应商要进行修改或撤回</w:t>
      </w:r>
      <w:r>
        <w:rPr>
          <w:rFonts w:hint="eastAsia" w:ascii="微软雅黑" w:hAnsi="微软雅黑" w:eastAsia="微软雅黑" w:cs="微软雅黑"/>
          <w:color w:val="auto"/>
          <w:sz w:val="22"/>
          <w:szCs w:val="22"/>
          <w:highlight w:val="none"/>
          <w:lang w:val="en-US" w:eastAsia="zh-CN"/>
        </w:rPr>
        <w:t>投标</w:t>
      </w:r>
      <w:r>
        <w:rPr>
          <w:rFonts w:hint="eastAsia" w:ascii="微软雅黑" w:hAnsi="微软雅黑" w:eastAsia="微软雅黑" w:cs="微软雅黑"/>
          <w:color w:val="auto"/>
          <w:sz w:val="22"/>
          <w:szCs w:val="22"/>
          <w:highlight w:val="none"/>
        </w:rPr>
        <w:t>，供应商对</w:t>
      </w:r>
      <w:r>
        <w:rPr>
          <w:rFonts w:hint="eastAsia" w:ascii="微软雅黑" w:hAnsi="微软雅黑" w:eastAsia="微软雅黑" w:cs="微软雅黑"/>
          <w:color w:val="auto"/>
          <w:sz w:val="22"/>
          <w:szCs w:val="22"/>
          <w:highlight w:val="none"/>
          <w:lang w:eastAsia="zh-CN"/>
        </w:rPr>
        <w:t>投标文件</w:t>
      </w:r>
      <w:r>
        <w:rPr>
          <w:rFonts w:hint="eastAsia" w:ascii="微软雅黑" w:hAnsi="微软雅黑" w:eastAsia="微软雅黑" w:cs="微软雅黑"/>
          <w:color w:val="auto"/>
          <w:sz w:val="22"/>
          <w:szCs w:val="22"/>
          <w:highlight w:val="none"/>
        </w:rPr>
        <w:t>的修改或撤回通知应按本须知规定编制、标记。采购人和采购代理机构将予以接收，并视为</w:t>
      </w:r>
      <w:r>
        <w:rPr>
          <w:rFonts w:hint="eastAsia" w:ascii="微软雅黑" w:hAnsi="微软雅黑" w:eastAsia="微软雅黑" w:cs="微软雅黑"/>
          <w:color w:val="auto"/>
          <w:sz w:val="22"/>
          <w:szCs w:val="22"/>
          <w:highlight w:val="none"/>
          <w:lang w:eastAsia="zh-CN"/>
        </w:rPr>
        <w:t>投标文件</w:t>
      </w:r>
      <w:r>
        <w:rPr>
          <w:rFonts w:hint="eastAsia" w:ascii="微软雅黑" w:hAnsi="微软雅黑" w:eastAsia="微软雅黑" w:cs="微软雅黑"/>
          <w:color w:val="auto"/>
          <w:sz w:val="22"/>
          <w:szCs w:val="22"/>
          <w:highlight w:val="none"/>
        </w:rPr>
        <w:t>的组成部分。</w:t>
      </w:r>
    </w:p>
    <w:p w14:paraId="35CDE268">
      <w:pPr>
        <w:shd w:val="clear"/>
        <w:spacing w:line="36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17</w:t>
      </w:r>
      <w:r>
        <w:rPr>
          <w:rFonts w:hint="eastAsia" w:ascii="微软雅黑" w:hAnsi="微软雅黑" w:eastAsia="微软雅黑" w:cs="微软雅黑"/>
          <w:color w:val="auto"/>
          <w:sz w:val="22"/>
          <w:szCs w:val="22"/>
          <w:highlight w:val="none"/>
          <w:lang w:eastAsia="zh-CN"/>
        </w:rPr>
        <w:t>.</w:t>
      </w:r>
      <w:r>
        <w:rPr>
          <w:rFonts w:hint="eastAsia" w:ascii="微软雅黑" w:hAnsi="微软雅黑" w:eastAsia="微软雅黑" w:cs="微软雅黑"/>
          <w:color w:val="auto"/>
          <w:sz w:val="22"/>
          <w:szCs w:val="22"/>
          <w:highlight w:val="none"/>
        </w:rPr>
        <w:t>3</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在</w:t>
      </w:r>
      <w:r>
        <w:rPr>
          <w:rFonts w:hint="eastAsia" w:ascii="微软雅黑" w:hAnsi="微软雅黑" w:eastAsia="微软雅黑" w:cs="微软雅黑"/>
          <w:color w:val="auto"/>
          <w:sz w:val="22"/>
          <w:szCs w:val="22"/>
          <w:highlight w:val="none"/>
          <w:lang w:val="en-US" w:eastAsia="zh-CN"/>
        </w:rPr>
        <w:t>投标</w:t>
      </w:r>
      <w:r>
        <w:rPr>
          <w:rFonts w:hint="eastAsia" w:ascii="微软雅黑" w:hAnsi="微软雅黑" w:eastAsia="微软雅黑" w:cs="微软雅黑"/>
          <w:color w:val="auto"/>
          <w:sz w:val="22"/>
          <w:szCs w:val="22"/>
          <w:highlight w:val="none"/>
        </w:rPr>
        <w:t>截止期之后，采购人和采购代理机构不接受供应商主动对其</w:t>
      </w:r>
      <w:r>
        <w:rPr>
          <w:rFonts w:hint="eastAsia" w:ascii="微软雅黑" w:hAnsi="微软雅黑" w:eastAsia="微软雅黑" w:cs="微软雅黑"/>
          <w:color w:val="auto"/>
          <w:sz w:val="22"/>
          <w:szCs w:val="22"/>
          <w:highlight w:val="none"/>
          <w:lang w:eastAsia="zh-CN"/>
        </w:rPr>
        <w:t>投标文件</w:t>
      </w:r>
      <w:r>
        <w:rPr>
          <w:rFonts w:hint="eastAsia" w:ascii="微软雅黑" w:hAnsi="微软雅黑" w:eastAsia="微软雅黑" w:cs="微软雅黑"/>
          <w:color w:val="auto"/>
          <w:sz w:val="22"/>
          <w:szCs w:val="22"/>
          <w:highlight w:val="none"/>
        </w:rPr>
        <w:t>做任何修改。</w:t>
      </w:r>
    </w:p>
    <w:p w14:paraId="785B6F90">
      <w:pPr>
        <w:shd w:val="clear"/>
        <w:spacing w:line="36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17.4</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采购人和采购代理机构对所接收</w:t>
      </w:r>
      <w:r>
        <w:rPr>
          <w:rFonts w:hint="eastAsia" w:ascii="微软雅黑" w:hAnsi="微软雅黑" w:eastAsia="微软雅黑" w:cs="微软雅黑"/>
          <w:color w:val="auto"/>
          <w:sz w:val="22"/>
          <w:szCs w:val="22"/>
          <w:highlight w:val="none"/>
          <w:lang w:eastAsia="zh-CN"/>
        </w:rPr>
        <w:t>投标文件</w:t>
      </w:r>
      <w:r>
        <w:rPr>
          <w:rFonts w:hint="eastAsia" w:ascii="微软雅黑" w:hAnsi="微软雅黑" w:eastAsia="微软雅黑" w:cs="微软雅黑"/>
          <w:color w:val="auto"/>
          <w:sz w:val="22"/>
          <w:szCs w:val="22"/>
          <w:highlight w:val="none"/>
        </w:rPr>
        <w:t>概不退回。</w:t>
      </w:r>
      <w:bookmarkStart w:id="795" w:name="_Toc515647778"/>
      <w:bookmarkStart w:id="796" w:name="_Toc15915"/>
      <w:bookmarkStart w:id="797" w:name="_Toc520356163"/>
      <w:bookmarkStart w:id="798" w:name="_Toc28398"/>
      <w:bookmarkStart w:id="799" w:name="_Toc216582809"/>
      <w:bookmarkStart w:id="800" w:name="_Toc7470"/>
      <w:bookmarkStart w:id="801" w:name="_Toc12436"/>
    </w:p>
    <w:p w14:paraId="28B7FA16">
      <w:pPr>
        <w:pStyle w:val="6"/>
        <w:pageBreakBefore w:val="0"/>
        <w:widowControl w:val="0"/>
        <w:kinsoku/>
        <w:wordWrap/>
        <w:overflowPunct/>
        <w:topLinePunct w:val="0"/>
        <w:bidi w:val="0"/>
        <w:spacing w:before="0" w:line="360" w:lineRule="exact"/>
        <w:ind w:left="0" w:leftChars="0" w:hanging="540"/>
        <w:textAlignment w:val="auto"/>
        <w:rPr>
          <w:rFonts w:hint="eastAsia" w:ascii="微软雅黑" w:hAnsi="微软雅黑" w:eastAsia="微软雅黑" w:cs="微软雅黑"/>
          <w:color w:val="auto"/>
          <w:sz w:val="28"/>
          <w:szCs w:val="18"/>
          <w:highlight w:val="none"/>
        </w:rPr>
      </w:pPr>
      <w:bookmarkStart w:id="802" w:name="_Toc17059"/>
      <w:r>
        <w:rPr>
          <w:rFonts w:hint="eastAsia" w:ascii="微软雅黑" w:hAnsi="微软雅黑" w:eastAsia="微软雅黑" w:cs="微软雅黑"/>
          <w:color w:val="auto"/>
          <w:sz w:val="22"/>
          <w:szCs w:val="18"/>
          <w:highlight w:val="none"/>
        </w:rPr>
        <w:t>五   开标及评标</w:t>
      </w:r>
      <w:bookmarkEnd w:id="795"/>
      <w:bookmarkEnd w:id="796"/>
      <w:bookmarkEnd w:id="797"/>
      <w:bookmarkEnd w:id="798"/>
      <w:bookmarkEnd w:id="799"/>
      <w:bookmarkEnd w:id="800"/>
      <w:bookmarkEnd w:id="801"/>
      <w:bookmarkEnd w:id="802"/>
    </w:p>
    <w:p w14:paraId="232940A4">
      <w:pPr>
        <w:pStyle w:val="2"/>
        <w:numPr>
          <w:ilvl w:val="0"/>
          <w:numId w:val="0"/>
        </w:numPr>
        <w:shd w:val="clear" w:color="auto" w:fill="auto"/>
        <w:spacing w:before="0" w:line="360" w:lineRule="exact"/>
        <w:rPr>
          <w:rFonts w:hint="eastAsia" w:ascii="微软雅黑" w:hAnsi="微软雅黑" w:eastAsia="微软雅黑" w:cs="微软雅黑"/>
          <w:b/>
          <w:bCs/>
          <w:color w:val="auto"/>
          <w:sz w:val="22"/>
          <w:szCs w:val="22"/>
          <w:highlight w:val="none"/>
        </w:rPr>
      </w:pPr>
      <w:bookmarkStart w:id="803" w:name="_Toc26631"/>
      <w:bookmarkStart w:id="804" w:name="_Toc11726"/>
      <w:bookmarkStart w:id="805" w:name="_Toc1992"/>
      <w:bookmarkStart w:id="806" w:name="_Toc24652"/>
      <w:bookmarkStart w:id="807" w:name="_Toc1249"/>
      <w:bookmarkStart w:id="808" w:name="_Toc17233"/>
      <w:bookmarkStart w:id="809" w:name="_Toc520356164"/>
      <w:bookmarkStart w:id="810" w:name="_Toc1738"/>
      <w:bookmarkStart w:id="811" w:name="_Toc7741"/>
      <w:bookmarkStart w:id="812" w:name="_Toc7186"/>
      <w:bookmarkStart w:id="813" w:name="_Toc4538"/>
      <w:bookmarkStart w:id="814" w:name="_Toc63"/>
      <w:bookmarkStart w:id="815" w:name="_Toc21418"/>
      <w:bookmarkStart w:id="816" w:name="_Toc28057"/>
      <w:bookmarkStart w:id="817" w:name="_Toc30376"/>
      <w:bookmarkStart w:id="818" w:name="_Toc19294"/>
      <w:bookmarkStart w:id="819" w:name="_Toc11275"/>
      <w:bookmarkStart w:id="820" w:name="_Toc25345"/>
      <w:bookmarkStart w:id="821" w:name="_Toc23987"/>
      <w:bookmarkStart w:id="822" w:name="_Toc6987"/>
      <w:bookmarkStart w:id="823" w:name="_Toc25858"/>
      <w:bookmarkStart w:id="824" w:name="_Toc30961"/>
      <w:bookmarkStart w:id="825" w:name="_Toc29791"/>
      <w:bookmarkStart w:id="826" w:name="_Toc21359"/>
      <w:bookmarkStart w:id="827" w:name="_Toc5825"/>
      <w:bookmarkStart w:id="828" w:name="_Toc20923"/>
      <w:bookmarkStart w:id="829" w:name="_Toc4771"/>
      <w:bookmarkStart w:id="830" w:name="_Toc10716"/>
      <w:bookmarkStart w:id="831" w:name="_Toc9432"/>
      <w:bookmarkStart w:id="832" w:name="_Toc18940"/>
      <w:bookmarkStart w:id="833" w:name="_Toc31822"/>
      <w:bookmarkStart w:id="834" w:name="_Toc515647779"/>
      <w:bookmarkStart w:id="835" w:name="_Toc2236"/>
      <w:bookmarkStart w:id="836" w:name="_Toc16285"/>
      <w:bookmarkStart w:id="837" w:name="_Toc9013"/>
      <w:bookmarkStart w:id="838" w:name="_Toc23772"/>
      <w:bookmarkStart w:id="839" w:name="_Toc4315"/>
      <w:bookmarkStart w:id="840" w:name="_Toc2886"/>
      <w:bookmarkStart w:id="841" w:name="_Toc30037"/>
      <w:bookmarkStart w:id="842" w:name="_Toc29514"/>
      <w:bookmarkStart w:id="843" w:name="_Toc18163"/>
      <w:bookmarkStart w:id="844" w:name="_Toc10415"/>
      <w:bookmarkStart w:id="845" w:name="_Toc15841"/>
      <w:bookmarkStart w:id="846" w:name="_Toc24922"/>
      <w:bookmarkStart w:id="847" w:name="_Toc32409"/>
      <w:bookmarkStart w:id="848" w:name="_Toc520356165"/>
      <w:bookmarkStart w:id="849" w:name="_Toc18233"/>
      <w:bookmarkStart w:id="850" w:name="_Toc3080"/>
      <w:bookmarkStart w:id="851" w:name="_Toc18228"/>
      <w:bookmarkStart w:id="852" w:name="_Toc28586"/>
      <w:bookmarkStart w:id="853" w:name="_Toc2316"/>
      <w:bookmarkStart w:id="854" w:name="_Toc16864"/>
      <w:bookmarkStart w:id="855" w:name="_Toc4063"/>
      <w:bookmarkStart w:id="856" w:name="_Toc26266"/>
      <w:bookmarkStart w:id="857" w:name="_Toc19296"/>
      <w:bookmarkStart w:id="858" w:name="_Toc10746"/>
      <w:bookmarkStart w:id="859" w:name="_Toc21667"/>
      <w:bookmarkStart w:id="860" w:name="_Toc10550"/>
      <w:bookmarkStart w:id="861" w:name="_Toc5052"/>
      <w:bookmarkStart w:id="862" w:name="_Toc22792"/>
      <w:bookmarkStart w:id="863" w:name="_Toc515647780"/>
      <w:bookmarkStart w:id="864" w:name="_Toc22770"/>
      <w:bookmarkStart w:id="865" w:name="_Toc21372"/>
      <w:r>
        <w:rPr>
          <w:rFonts w:hint="eastAsia" w:ascii="微软雅黑" w:hAnsi="微软雅黑" w:eastAsia="微软雅黑" w:cs="微软雅黑"/>
          <w:b/>
          <w:bCs/>
          <w:color w:val="auto"/>
          <w:sz w:val="22"/>
          <w:szCs w:val="22"/>
          <w:highlight w:val="none"/>
          <w:u w:val="none"/>
          <w:lang w:val="en-US" w:eastAsia="zh-CN"/>
        </w:rPr>
        <w:t>18.</w:t>
      </w:r>
      <w:r>
        <w:rPr>
          <w:rFonts w:hint="eastAsia" w:ascii="微软雅黑" w:hAnsi="微软雅黑" w:eastAsia="微软雅黑" w:cs="微软雅黑"/>
          <w:b/>
          <w:bCs/>
          <w:color w:val="auto"/>
          <w:sz w:val="22"/>
          <w:szCs w:val="22"/>
          <w:highlight w:val="none"/>
          <w:u w:val="none"/>
        </w:rPr>
        <w:t>开标</w:t>
      </w:r>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p w14:paraId="500B8930">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380" w:lineRule="exact"/>
        <w:ind w:left="660" w:leftChars="0" w:hanging="660" w:hangingChars="300"/>
        <w:jc w:val="both"/>
        <w:textAlignment w:val="baseline"/>
        <w:outlineLvl w:val="9"/>
        <w:rPr>
          <w:rFonts w:hint="eastAsia" w:ascii="微软雅黑" w:hAnsi="微软雅黑" w:eastAsia="微软雅黑" w:cs="微软雅黑"/>
          <w:color w:val="auto"/>
          <w:sz w:val="22"/>
          <w:szCs w:val="22"/>
          <w:highlight w:val="none"/>
          <w:lang w:eastAsia="zh-CN"/>
        </w:rPr>
      </w:pPr>
      <w:bookmarkStart w:id="866" w:name="_Toc27046"/>
      <w:bookmarkStart w:id="867" w:name="_Toc31480"/>
      <w:bookmarkStart w:id="868" w:name="_Toc11958"/>
      <w:bookmarkStart w:id="869" w:name="_Toc6774"/>
      <w:bookmarkStart w:id="870" w:name="_Toc25205"/>
      <w:bookmarkStart w:id="871" w:name="_Toc28305"/>
      <w:bookmarkStart w:id="872" w:name="_Toc25"/>
      <w:r>
        <w:rPr>
          <w:rFonts w:hint="eastAsia" w:ascii="微软雅黑" w:hAnsi="微软雅黑" w:eastAsia="微软雅黑" w:cs="微软雅黑"/>
          <w:color w:val="auto"/>
          <w:sz w:val="22"/>
          <w:szCs w:val="22"/>
          <w:highlight w:val="none"/>
          <w:lang w:val="en-US" w:eastAsia="zh-CN"/>
        </w:rPr>
        <w:t>18.1</w:t>
      </w:r>
      <w:r>
        <w:rPr>
          <w:rFonts w:hint="eastAsia" w:ascii="微软雅黑" w:hAnsi="微软雅黑" w:eastAsia="微软雅黑" w:cs="微软雅黑"/>
          <w:color w:val="auto"/>
          <w:sz w:val="22"/>
          <w:szCs w:val="22"/>
          <w:highlight w:val="none"/>
          <w:lang w:eastAsia="zh-CN"/>
        </w:rPr>
        <w:t>供应商按照须知资料表中规定的开标时间和地点，在规定时间内上传投标文件。</w:t>
      </w:r>
    </w:p>
    <w:p w14:paraId="5F3A8FDD">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380" w:lineRule="exact"/>
        <w:ind w:left="660" w:leftChars="0" w:hanging="660" w:hangingChars="300"/>
        <w:jc w:val="both"/>
        <w:textAlignment w:val="baseline"/>
        <w:outlineLvl w:val="9"/>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val="en-US" w:eastAsia="zh-CN"/>
        </w:rPr>
        <w:t>18.2</w:t>
      </w:r>
      <w:r>
        <w:rPr>
          <w:rFonts w:hint="eastAsia" w:ascii="微软雅黑" w:hAnsi="微软雅黑" w:eastAsia="微软雅黑" w:cs="微软雅黑"/>
          <w:color w:val="auto"/>
          <w:sz w:val="22"/>
          <w:szCs w:val="22"/>
          <w:highlight w:val="none"/>
          <w:lang w:eastAsia="zh-CN"/>
        </w:rPr>
        <w:t>到投标截止时间，对供应商上传的投标文件进行解密，解密时长为30分钟。供应商须在规定时间内使用CA锁在政采云平台解密，解密失败或未在规定时间内解密，将无法参加下一阶段的</w:t>
      </w:r>
      <w:r>
        <w:rPr>
          <w:rFonts w:hint="eastAsia" w:ascii="微软雅黑" w:hAnsi="微软雅黑" w:eastAsia="微软雅黑" w:cs="微软雅黑"/>
          <w:color w:val="auto"/>
          <w:sz w:val="22"/>
          <w:szCs w:val="22"/>
          <w:highlight w:val="none"/>
          <w:lang w:val="en-US" w:eastAsia="zh-CN"/>
        </w:rPr>
        <w:t>投标</w:t>
      </w:r>
      <w:r>
        <w:rPr>
          <w:rFonts w:hint="eastAsia" w:ascii="微软雅黑" w:hAnsi="微软雅黑" w:eastAsia="微软雅黑" w:cs="微软雅黑"/>
          <w:color w:val="auto"/>
          <w:sz w:val="22"/>
          <w:szCs w:val="22"/>
          <w:highlight w:val="none"/>
          <w:lang w:eastAsia="zh-CN"/>
        </w:rPr>
        <w:t xml:space="preserve">，将被认定为无效投标。请供应商提前调试好CA锁，确定在操作时能正常使用。  </w:t>
      </w:r>
    </w:p>
    <w:p w14:paraId="48D8C668">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380" w:lineRule="exact"/>
        <w:ind w:left="660" w:leftChars="0" w:hanging="660" w:hangingChars="300"/>
        <w:jc w:val="both"/>
        <w:textAlignment w:val="baseline"/>
        <w:outlineLvl w:val="9"/>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val="en-US" w:eastAsia="zh-CN"/>
        </w:rPr>
        <w:t>18.3</w:t>
      </w:r>
      <w:r>
        <w:rPr>
          <w:rFonts w:hint="eastAsia" w:ascii="微软雅黑" w:hAnsi="微软雅黑" w:eastAsia="微软雅黑" w:cs="微软雅黑"/>
          <w:color w:val="auto"/>
          <w:sz w:val="22"/>
          <w:szCs w:val="22"/>
          <w:highlight w:val="none"/>
          <w:lang w:eastAsia="zh-CN"/>
        </w:rPr>
        <w:t>在开标记录时，代理机构开启签字时段，须供应商使用CA锁在政采云平台进行签字确认报价。</w:t>
      </w:r>
    </w:p>
    <w:p w14:paraId="5B62C3D2">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380" w:lineRule="exact"/>
        <w:ind w:left="660" w:leftChars="0" w:hanging="660" w:hangingChars="300"/>
        <w:jc w:val="both"/>
        <w:textAlignment w:val="baseline"/>
        <w:outlineLvl w:val="9"/>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val="en-US" w:eastAsia="zh-CN"/>
        </w:rPr>
        <w:t>18.4</w:t>
      </w:r>
      <w:r>
        <w:rPr>
          <w:rFonts w:hint="eastAsia" w:ascii="微软雅黑" w:hAnsi="微软雅黑" w:eastAsia="微软雅黑" w:cs="微软雅黑"/>
          <w:color w:val="auto"/>
          <w:sz w:val="22"/>
          <w:szCs w:val="22"/>
          <w:highlight w:val="none"/>
          <w:lang w:eastAsia="zh-CN"/>
        </w:rPr>
        <w:t>采购人登录政采云平台对供应商的资格证明材料进行审查。</w:t>
      </w:r>
    </w:p>
    <w:p w14:paraId="44834BE2">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380" w:lineRule="exact"/>
        <w:ind w:left="660" w:leftChars="0" w:hanging="660" w:hangingChars="300"/>
        <w:jc w:val="both"/>
        <w:textAlignment w:val="baseline"/>
        <w:outlineLvl w:val="2"/>
        <w:rPr>
          <w:rFonts w:hint="eastAsia" w:ascii="微软雅黑" w:hAnsi="微软雅黑" w:eastAsia="微软雅黑" w:cs="微软雅黑"/>
          <w:b/>
          <w:bCs/>
          <w:color w:val="auto"/>
          <w:sz w:val="22"/>
          <w:szCs w:val="22"/>
          <w:highlight w:val="none"/>
          <w:lang w:eastAsia="zh-CN"/>
        </w:rPr>
      </w:pPr>
      <w:bookmarkStart w:id="873" w:name="_Toc18883"/>
      <w:bookmarkStart w:id="874" w:name="_Toc24023"/>
      <w:bookmarkStart w:id="875" w:name="_Toc18863"/>
      <w:bookmarkStart w:id="876" w:name="_Toc29648"/>
      <w:bookmarkStart w:id="877" w:name="_Toc14964"/>
      <w:bookmarkStart w:id="878" w:name="_Toc19048"/>
      <w:bookmarkStart w:id="879" w:name="_Toc12090"/>
      <w:bookmarkStart w:id="880" w:name="_Toc23832"/>
      <w:bookmarkStart w:id="881" w:name="_Toc11240"/>
      <w:bookmarkStart w:id="882" w:name="_Toc19464"/>
      <w:bookmarkStart w:id="883" w:name="_Toc16084"/>
      <w:bookmarkStart w:id="884" w:name="_Toc12924"/>
      <w:bookmarkStart w:id="885" w:name="_Toc26741"/>
      <w:bookmarkStart w:id="886" w:name="_Toc8102"/>
      <w:bookmarkStart w:id="887" w:name="_Toc26488"/>
      <w:bookmarkStart w:id="888" w:name="_Toc17524"/>
      <w:bookmarkStart w:id="889" w:name="_Toc29804"/>
      <w:bookmarkStart w:id="890" w:name="_Toc27862"/>
      <w:bookmarkStart w:id="891" w:name="_Toc29911"/>
      <w:bookmarkStart w:id="892" w:name="_Toc25632"/>
      <w:bookmarkStart w:id="893" w:name="_Toc5678"/>
      <w:r>
        <w:rPr>
          <w:rFonts w:hint="eastAsia" w:ascii="微软雅黑" w:hAnsi="微软雅黑" w:eastAsia="微软雅黑" w:cs="微软雅黑"/>
          <w:b/>
          <w:bCs/>
          <w:color w:val="auto"/>
          <w:sz w:val="22"/>
          <w:szCs w:val="22"/>
          <w:highlight w:val="none"/>
          <w:lang w:eastAsia="zh-CN"/>
        </w:rPr>
        <w:t>19.</w:t>
      </w:r>
      <w:bookmarkEnd w:id="848"/>
      <w:r>
        <w:rPr>
          <w:rFonts w:hint="eastAsia" w:ascii="微软雅黑" w:hAnsi="微软雅黑" w:eastAsia="微软雅黑" w:cs="微软雅黑"/>
          <w:b/>
          <w:bCs/>
          <w:color w:val="auto"/>
          <w:sz w:val="22"/>
          <w:szCs w:val="22"/>
          <w:highlight w:val="none"/>
          <w:lang w:eastAsia="zh-CN"/>
        </w:rPr>
        <w:t>资格审查及组建评标委员会</w:t>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p>
    <w:p w14:paraId="22DC706F">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380" w:lineRule="exact"/>
        <w:ind w:left="660" w:leftChars="0" w:hanging="660" w:hangingChars="300"/>
        <w:jc w:val="both"/>
        <w:textAlignment w:val="baseline"/>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rPr>
        <w:t>19.1</w:t>
      </w:r>
      <w:r>
        <w:rPr>
          <w:rFonts w:hint="eastAsia" w:ascii="微软雅黑" w:hAnsi="微软雅黑" w:eastAsia="微软雅黑" w:cs="微软雅黑"/>
          <w:color w:val="auto"/>
          <w:sz w:val="22"/>
          <w:szCs w:val="22"/>
          <w:highlight w:val="none"/>
          <w:lang w:eastAsia="zh-CN"/>
        </w:rPr>
        <w:t xml:space="preserve"> 采购人或采购代理机构依据法律法规和招标文件中规定的内容，对供应商的资格进行审查，本项目审查内容如下：</w:t>
      </w:r>
    </w:p>
    <w:p w14:paraId="6D7FE7AD">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380" w:lineRule="exact"/>
        <w:ind w:left="718" w:leftChars="342" w:firstLine="0" w:firstLineChars="0"/>
        <w:jc w:val="both"/>
        <w:textAlignment w:val="baseline"/>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i w:val="0"/>
          <w:caps w:val="0"/>
          <w:color w:val="auto"/>
          <w:spacing w:val="0"/>
          <w:w w:val="100"/>
          <w:sz w:val="22"/>
          <w:szCs w:val="22"/>
          <w:highlight w:val="none"/>
        </w:rPr>
        <w:t>本项目</w:t>
      </w:r>
      <w:r>
        <w:rPr>
          <w:rFonts w:hint="eastAsia" w:ascii="微软雅黑" w:hAnsi="微软雅黑" w:eastAsia="微软雅黑" w:cs="微软雅黑"/>
          <w:b/>
          <w:bCs/>
          <w:i w:val="0"/>
          <w:caps w:val="0"/>
          <w:color w:val="auto"/>
          <w:spacing w:val="0"/>
          <w:w w:val="100"/>
          <w:sz w:val="22"/>
          <w:szCs w:val="22"/>
          <w:highlight w:val="none"/>
          <w:lang w:val="en-US" w:eastAsia="zh-CN"/>
        </w:rPr>
        <w:t>资格审查资料须附在投标文件中</w:t>
      </w:r>
      <w:r>
        <w:rPr>
          <w:rFonts w:hint="eastAsia" w:ascii="微软雅黑" w:hAnsi="微软雅黑" w:eastAsia="微软雅黑" w:cs="微软雅黑"/>
          <w:b/>
          <w:bCs/>
          <w:i w:val="0"/>
          <w:caps w:val="0"/>
          <w:color w:val="auto"/>
          <w:spacing w:val="0"/>
          <w:w w:val="100"/>
          <w:sz w:val="22"/>
          <w:szCs w:val="22"/>
          <w:highlight w:val="none"/>
        </w:rPr>
        <w:t>：</w:t>
      </w:r>
    </w:p>
    <w:p w14:paraId="30A2B1E6">
      <w:pPr>
        <w:pStyle w:val="25"/>
        <w:ind w:firstLine="220" w:firstLineChars="100"/>
        <w:rPr>
          <w:rFonts w:hint="eastAsia" w:ascii="微软雅黑" w:hAnsi="微软雅黑" w:eastAsia="微软雅黑" w:cs="微软雅黑"/>
          <w:b/>
          <w:bCs/>
          <w:i w:val="0"/>
          <w:caps w:val="0"/>
          <w:color w:val="auto"/>
          <w:spacing w:val="0"/>
          <w:w w:val="100"/>
          <w:sz w:val="22"/>
          <w:szCs w:val="22"/>
          <w:highlight w:val="none"/>
          <w:lang w:val="en-US" w:eastAsia="zh-CN"/>
        </w:rPr>
      </w:pPr>
      <w:r>
        <w:rPr>
          <w:rFonts w:hint="eastAsia" w:ascii="微软雅黑" w:hAnsi="微软雅黑" w:eastAsia="微软雅黑" w:cs="微软雅黑"/>
          <w:b/>
          <w:bCs/>
          <w:i w:val="0"/>
          <w:caps w:val="0"/>
          <w:color w:val="auto"/>
          <w:spacing w:val="0"/>
          <w:w w:val="100"/>
          <w:sz w:val="22"/>
          <w:szCs w:val="22"/>
          <w:highlight w:val="none"/>
          <w:lang w:val="en-US" w:eastAsia="zh-CN"/>
        </w:rPr>
        <w:t>1、具有有效的营业执照；</w:t>
      </w:r>
    </w:p>
    <w:p w14:paraId="7E607D6E">
      <w:pPr>
        <w:pStyle w:val="25"/>
        <w:ind w:firstLine="220" w:firstLineChars="100"/>
        <w:rPr>
          <w:rFonts w:hint="eastAsia" w:ascii="微软雅黑" w:hAnsi="微软雅黑" w:eastAsia="微软雅黑" w:cs="微软雅黑"/>
          <w:b/>
          <w:bCs/>
          <w:i w:val="0"/>
          <w:caps w:val="0"/>
          <w:color w:val="auto"/>
          <w:spacing w:val="0"/>
          <w:w w:val="100"/>
          <w:sz w:val="22"/>
          <w:szCs w:val="22"/>
          <w:highlight w:val="none"/>
          <w:lang w:val="en-US" w:eastAsia="zh-CN"/>
        </w:rPr>
      </w:pPr>
      <w:r>
        <w:rPr>
          <w:rFonts w:hint="eastAsia" w:ascii="微软雅黑" w:hAnsi="微软雅黑" w:eastAsia="微软雅黑" w:cs="微软雅黑"/>
          <w:b/>
          <w:bCs/>
          <w:i w:val="0"/>
          <w:caps w:val="0"/>
          <w:color w:val="auto"/>
          <w:spacing w:val="0"/>
          <w:w w:val="100"/>
          <w:sz w:val="22"/>
          <w:szCs w:val="22"/>
          <w:highlight w:val="none"/>
          <w:lang w:val="en-US" w:eastAsia="zh-CN"/>
        </w:rPr>
        <w:t>2、法定代表人资格证明(法定代表人投标需提供法定代表人身份证)；</w:t>
      </w:r>
    </w:p>
    <w:p w14:paraId="08E571B1">
      <w:pPr>
        <w:pStyle w:val="25"/>
        <w:ind w:firstLine="220" w:firstLineChars="100"/>
        <w:rPr>
          <w:rFonts w:hint="eastAsia" w:ascii="微软雅黑" w:hAnsi="微软雅黑" w:eastAsia="微软雅黑" w:cs="微软雅黑"/>
          <w:b/>
          <w:bCs/>
          <w:i w:val="0"/>
          <w:caps w:val="0"/>
          <w:color w:val="auto"/>
          <w:spacing w:val="0"/>
          <w:w w:val="100"/>
          <w:sz w:val="22"/>
          <w:szCs w:val="22"/>
          <w:highlight w:val="none"/>
          <w:lang w:val="en-US" w:eastAsia="zh-CN"/>
        </w:rPr>
      </w:pPr>
      <w:r>
        <w:rPr>
          <w:rFonts w:hint="eastAsia" w:ascii="微软雅黑" w:hAnsi="微软雅黑" w:eastAsia="微软雅黑" w:cs="微软雅黑"/>
          <w:b/>
          <w:bCs/>
          <w:i w:val="0"/>
          <w:caps w:val="0"/>
          <w:color w:val="auto"/>
          <w:spacing w:val="0"/>
          <w:w w:val="100"/>
          <w:sz w:val="22"/>
          <w:szCs w:val="22"/>
          <w:highlight w:val="none"/>
          <w:lang w:val="en-US" w:eastAsia="zh-CN"/>
        </w:rPr>
        <w:t>3、投标人为制造商的须提供《医疗器械生产许可证》、投标人为经销商的须提供《医疗器械经营许可证》；所有证件均应在有效期内；</w:t>
      </w:r>
    </w:p>
    <w:p w14:paraId="3DF2B8DA">
      <w:pPr>
        <w:pStyle w:val="25"/>
        <w:ind w:firstLine="220" w:firstLineChars="100"/>
        <w:rPr>
          <w:rFonts w:hint="eastAsia" w:ascii="微软雅黑" w:hAnsi="微软雅黑" w:eastAsia="微软雅黑" w:cs="微软雅黑"/>
          <w:b/>
          <w:bCs/>
          <w:i w:val="0"/>
          <w:caps w:val="0"/>
          <w:color w:val="auto"/>
          <w:spacing w:val="0"/>
          <w:w w:val="100"/>
          <w:sz w:val="22"/>
          <w:szCs w:val="22"/>
          <w:highlight w:val="none"/>
          <w:lang w:val="en-US" w:eastAsia="zh-CN"/>
        </w:rPr>
      </w:pPr>
      <w:r>
        <w:rPr>
          <w:rFonts w:hint="eastAsia" w:ascii="微软雅黑" w:hAnsi="微软雅黑" w:eastAsia="微软雅黑" w:cs="微软雅黑"/>
          <w:b/>
          <w:bCs/>
          <w:i w:val="0"/>
          <w:caps w:val="0"/>
          <w:color w:val="auto"/>
          <w:spacing w:val="0"/>
          <w:w w:val="100"/>
          <w:sz w:val="22"/>
          <w:szCs w:val="22"/>
          <w:highlight w:val="none"/>
          <w:lang w:val="en-US" w:eastAsia="zh-CN"/>
        </w:rPr>
        <w:t>4、提供近两年2023年或2024年任意一年的财务审计报告（成立未满12个月的新公司可提供近三个月内任意一个月的银行资信证明）；</w:t>
      </w:r>
    </w:p>
    <w:p w14:paraId="235B026E">
      <w:pPr>
        <w:pStyle w:val="25"/>
        <w:ind w:firstLine="220" w:firstLineChars="100"/>
        <w:rPr>
          <w:rFonts w:hint="eastAsia" w:ascii="微软雅黑" w:hAnsi="微软雅黑" w:eastAsia="微软雅黑" w:cs="微软雅黑"/>
          <w:b/>
          <w:bCs/>
          <w:i w:val="0"/>
          <w:caps w:val="0"/>
          <w:color w:val="auto"/>
          <w:spacing w:val="0"/>
          <w:w w:val="100"/>
          <w:sz w:val="22"/>
          <w:szCs w:val="22"/>
          <w:highlight w:val="none"/>
          <w:lang w:val="en-US" w:eastAsia="zh-CN"/>
        </w:rPr>
      </w:pPr>
      <w:r>
        <w:rPr>
          <w:rFonts w:hint="eastAsia" w:ascii="微软雅黑" w:hAnsi="微软雅黑" w:eastAsia="微软雅黑" w:cs="微软雅黑"/>
          <w:b/>
          <w:bCs/>
          <w:i w:val="0"/>
          <w:caps w:val="0"/>
          <w:color w:val="auto"/>
          <w:spacing w:val="0"/>
          <w:w w:val="100"/>
          <w:sz w:val="22"/>
          <w:szCs w:val="22"/>
          <w:highlight w:val="none"/>
          <w:lang w:val="en-US" w:eastAsia="zh-CN"/>
        </w:rPr>
        <w:t>5、提供依法缴纳近6个月任意1个月的社会保险证明；</w:t>
      </w:r>
    </w:p>
    <w:p w14:paraId="1FC0DA87">
      <w:pPr>
        <w:pStyle w:val="25"/>
        <w:ind w:firstLine="220" w:firstLineChars="100"/>
        <w:rPr>
          <w:rFonts w:hint="eastAsia" w:ascii="微软雅黑" w:hAnsi="微软雅黑" w:eastAsia="微软雅黑" w:cs="微软雅黑"/>
          <w:b/>
          <w:bCs/>
          <w:i w:val="0"/>
          <w:caps w:val="0"/>
          <w:color w:val="auto"/>
          <w:spacing w:val="0"/>
          <w:w w:val="100"/>
          <w:sz w:val="22"/>
          <w:szCs w:val="22"/>
          <w:highlight w:val="none"/>
          <w:lang w:val="en-US" w:eastAsia="zh-CN"/>
        </w:rPr>
      </w:pPr>
      <w:r>
        <w:rPr>
          <w:rFonts w:hint="eastAsia" w:ascii="微软雅黑" w:hAnsi="微软雅黑" w:eastAsia="微软雅黑" w:cs="微软雅黑"/>
          <w:b/>
          <w:bCs/>
          <w:i w:val="0"/>
          <w:caps w:val="0"/>
          <w:color w:val="auto"/>
          <w:spacing w:val="0"/>
          <w:w w:val="100"/>
          <w:sz w:val="22"/>
          <w:szCs w:val="22"/>
          <w:highlight w:val="none"/>
          <w:lang w:val="en-US" w:eastAsia="zh-CN"/>
        </w:rPr>
        <w:t>6、提供依法缴纳近6个月任意1个月的税收证明；</w:t>
      </w:r>
    </w:p>
    <w:p w14:paraId="05949D51">
      <w:pPr>
        <w:pStyle w:val="25"/>
        <w:keepNext w:val="0"/>
        <w:keepLines w:val="0"/>
        <w:pageBreakBefore w:val="0"/>
        <w:widowControl w:val="0"/>
        <w:kinsoku/>
        <w:wordWrap w:val="0"/>
        <w:overflowPunct/>
        <w:topLinePunct w:val="0"/>
        <w:autoSpaceDE/>
        <w:autoSpaceDN/>
        <w:bidi w:val="0"/>
        <w:adjustRightInd/>
        <w:snapToGrid w:val="0"/>
        <w:ind w:firstLine="220" w:firstLineChars="100"/>
        <w:textAlignment w:val="auto"/>
        <w:rPr>
          <w:rFonts w:hint="eastAsia" w:ascii="微软雅黑" w:hAnsi="微软雅黑" w:eastAsia="微软雅黑" w:cs="微软雅黑"/>
          <w:b/>
          <w:bCs/>
          <w:i w:val="0"/>
          <w:caps w:val="0"/>
          <w:color w:val="auto"/>
          <w:spacing w:val="0"/>
          <w:w w:val="100"/>
          <w:sz w:val="22"/>
          <w:szCs w:val="22"/>
          <w:highlight w:val="none"/>
          <w:lang w:val="en-US" w:eastAsia="zh-CN"/>
        </w:rPr>
      </w:pPr>
      <w:r>
        <w:rPr>
          <w:rFonts w:hint="eastAsia" w:ascii="微软雅黑" w:hAnsi="微软雅黑" w:eastAsia="微软雅黑" w:cs="微软雅黑"/>
          <w:b/>
          <w:bCs/>
          <w:i w:val="0"/>
          <w:caps w:val="0"/>
          <w:color w:val="auto"/>
          <w:spacing w:val="0"/>
          <w:w w:val="100"/>
          <w:sz w:val="22"/>
          <w:szCs w:val="22"/>
          <w:highlight w:val="none"/>
          <w:lang w:val="en-US" w:eastAsia="zh-CN"/>
        </w:rPr>
        <w:t>7、根据《财政部关于在政府采购活动中查询及使用信用记录有关问题的通知》（财库﹝2016﹞125号）的要求，凡拟参加本次招标项目的投标人，如在“信用中国”网站（https://www.creditchina.gov.cn/）被列入失信被执行人、重大税收违法失信主体名单（首页-信用公示-失信被执行人查询/重大税收违法失信主体名单-搜索栏输入单位全称）、中国政府采购网（https://www.ccgp.gov.cn/search/cr/）严重违法失信行为信息记录名单（尚在处罚期内的），将拒绝其参加本次招标活动（以采购代理机构或采购人查询为准）；</w:t>
      </w:r>
    </w:p>
    <w:p w14:paraId="1E3C5453">
      <w:pPr>
        <w:pStyle w:val="25"/>
        <w:ind w:firstLine="220" w:firstLineChars="100"/>
        <w:rPr>
          <w:rFonts w:hint="eastAsia" w:ascii="微软雅黑" w:hAnsi="微软雅黑" w:eastAsia="微软雅黑" w:cs="微软雅黑"/>
          <w:b/>
          <w:bCs/>
          <w:i w:val="0"/>
          <w:caps w:val="0"/>
          <w:color w:val="auto"/>
          <w:spacing w:val="0"/>
          <w:w w:val="100"/>
          <w:sz w:val="22"/>
          <w:szCs w:val="22"/>
          <w:highlight w:val="none"/>
          <w:lang w:val="en-US" w:eastAsia="zh-CN"/>
        </w:rPr>
      </w:pPr>
      <w:r>
        <w:rPr>
          <w:rFonts w:hint="eastAsia" w:ascii="微软雅黑" w:hAnsi="微软雅黑" w:eastAsia="微软雅黑" w:cs="微软雅黑"/>
          <w:b/>
          <w:bCs/>
          <w:i w:val="0"/>
          <w:caps w:val="0"/>
          <w:color w:val="auto"/>
          <w:spacing w:val="0"/>
          <w:w w:val="100"/>
          <w:sz w:val="22"/>
          <w:szCs w:val="22"/>
          <w:highlight w:val="none"/>
          <w:lang w:val="en-US" w:eastAsia="zh-CN"/>
        </w:rPr>
        <w:t>8、提供参加政府采购活动前3年内在经营活动中没有重大违法记录的书面声明函；</w:t>
      </w:r>
    </w:p>
    <w:p w14:paraId="5D246E30">
      <w:pPr>
        <w:pStyle w:val="25"/>
        <w:ind w:firstLine="220" w:firstLineChars="100"/>
        <w:rPr>
          <w:rFonts w:hint="eastAsia" w:ascii="微软雅黑" w:hAnsi="微软雅黑" w:eastAsia="微软雅黑" w:cs="微软雅黑"/>
          <w:b/>
          <w:bCs/>
          <w:i w:val="0"/>
          <w:caps w:val="0"/>
          <w:color w:val="auto"/>
          <w:spacing w:val="0"/>
          <w:w w:val="100"/>
          <w:sz w:val="22"/>
          <w:szCs w:val="22"/>
          <w:highlight w:val="none"/>
          <w:lang w:val="en-US" w:eastAsia="zh-CN"/>
        </w:rPr>
      </w:pPr>
      <w:r>
        <w:rPr>
          <w:rFonts w:hint="eastAsia" w:ascii="微软雅黑" w:hAnsi="微软雅黑" w:eastAsia="微软雅黑" w:cs="微软雅黑"/>
          <w:b/>
          <w:bCs/>
          <w:i w:val="0"/>
          <w:caps w:val="0"/>
          <w:color w:val="auto"/>
          <w:spacing w:val="0"/>
          <w:w w:val="100"/>
          <w:sz w:val="22"/>
          <w:szCs w:val="22"/>
          <w:highlight w:val="none"/>
          <w:lang w:val="en-US" w:eastAsia="zh-CN"/>
        </w:rPr>
        <w:t>9、提供针对本次项目《反商业贿赂承诺书》；</w:t>
      </w:r>
    </w:p>
    <w:p w14:paraId="0F8279BF">
      <w:pPr>
        <w:pStyle w:val="25"/>
        <w:ind w:firstLine="220" w:firstLineChars="100"/>
        <w:rPr>
          <w:rFonts w:hint="eastAsia" w:ascii="微软雅黑" w:hAnsi="微软雅黑" w:eastAsia="微软雅黑" w:cs="微软雅黑"/>
          <w:b/>
          <w:bCs/>
          <w:i w:val="0"/>
          <w:caps w:val="0"/>
          <w:color w:val="auto"/>
          <w:spacing w:val="0"/>
          <w:w w:val="100"/>
          <w:kern w:val="2"/>
          <w:sz w:val="22"/>
          <w:szCs w:val="22"/>
          <w:highlight w:val="none"/>
          <w:lang w:val="en-US" w:eastAsia="zh-CN" w:bidi="ar-SA"/>
        </w:rPr>
      </w:pPr>
      <w:r>
        <w:rPr>
          <w:rFonts w:hint="eastAsia" w:ascii="微软雅黑" w:hAnsi="微软雅黑" w:eastAsia="微软雅黑" w:cs="微软雅黑"/>
          <w:b/>
          <w:bCs/>
          <w:i w:val="0"/>
          <w:caps w:val="0"/>
          <w:color w:val="auto"/>
          <w:spacing w:val="0"/>
          <w:w w:val="100"/>
          <w:sz w:val="22"/>
          <w:szCs w:val="22"/>
          <w:highlight w:val="none"/>
          <w:lang w:val="en-US" w:eastAsia="zh-CN"/>
        </w:rPr>
        <w:t>10、</w:t>
      </w:r>
      <w:r>
        <w:rPr>
          <w:rFonts w:hint="eastAsia" w:ascii="微软雅黑" w:hAnsi="微软雅黑" w:eastAsia="微软雅黑" w:cs="微软雅黑"/>
          <w:b/>
          <w:bCs/>
          <w:i w:val="0"/>
          <w:caps w:val="0"/>
          <w:color w:val="auto"/>
          <w:spacing w:val="0"/>
          <w:w w:val="100"/>
          <w:kern w:val="2"/>
          <w:sz w:val="22"/>
          <w:szCs w:val="22"/>
          <w:highlight w:val="none"/>
          <w:lang w:val="en-US" w:eastAsia="zh-CN" w:bidi="ar-SA"/>
        </w:rPr>
        <w:t>缴纳投标保证金有效凭证。</w:t>
      </w:r>
    </w:p>
    <w:p w14:paraId="41FEC888">
      <w:pPr>
        <w:keepNext w:val="0"/>
        <w:keepLines w:val="0"/>
        <w:pageBreakBefore w:val="0"/>
        <w:widowControl/>
        <w:kinsoku/>
        <w:wordWrap/>
        <w:overflowPunct/>
        <w:topLinePunct w:val="0"/>
        <w:autoSpaceDE/>
        <w:autoSpaceDN/>
        <w:bidi w:val="0"/>
        <w:adjustRightInd/>
        <w:snapToGrid w:val="0"/>
        <w:spacing w:before="0" w:beforeAutospacing="0" w:after="0" w:afterAutospacing="0" w:line="380" w:lineRule="exact"/>
        <w:ind w:left="0" w:leftChars="0" w:firstLine="440" w:firstLineChars="200"/>
        <w:jc w:val="left"/>
        <w:textAlignment w:val="baseline"/>
        <w:rPr>
          <w:rFonts w:hint="eastAsia" w:ascii="微软雅黑" w:hAnsi="微软雅黑" w:eastAsia="微软雅黑" w:cs="微软雅黑"/>
          <w:b/>
          <w:bCs/>
          <w:i w:val="0"/>
          <w:caps w:val="0"/>
          <w:color w:val="auto"/>
          <w:spacing w:val="0"/>
          <w:w w:val="100"/>
          <w:sz w:val="22"/>
          <w:szCs w:val="22"/>
          <w:highlight w:val="none"/>
        </w:rPr>
      </w:pPr>
      <w:r>
        <w:rPr>
          <w:rFonts w:hint="eastAsia" w:ascii="微软雅黑" w:hAnsi="微软雅黑" w:eastAsia="微软雅黑" w:cs="微软雅黑"/>
          <w:b/>
          <w:bCs/>
          <w:i w:val="0"/>
          <w:caps w:val="0"/>
          <w:color w:val="auto"/>
          <w:spacing w:val="0"/>
          <w:w w:val="100"/>
          <w:sz w:val="22"/>
          <w:szCs w:val="22"/>
          <w:highlight w:val="none"/>
        </w:rPr>
        <w:t>注：“</w:t>
      </w:r>
      <w:r>
        <w:rPr>
          <w:rFonts w:hint="eastAsia" w:ascii="微软雅黑" w:hAnsi="微软雅黑" w:eastAsia="微软雅黑" w:cs="微软雅黑"/>
          <w:b/>
          <w:bCs/>
          <w:i w:val="0"/>
          <w:caps w:val="0"/>
          <w:color w:val="auto"/>
          <w:spacing w:val="0"/>
          <w:w w:val="100"/>
          <w:sz w:val="22"/>
          <w:szCs w:val="22"/>
          <w:highlight w:val="none"/>
          <w:lang w:eastAsia="zh-CN"/>
        </w:rPr>
        <w:t>提供依法缴纳近6个月任意1个月的税收证明</w:t>
      </w:r>
      <w:r>
        <w:rPr>
          <w:rFonts w:hint="eastAsia" w:ascii="微软雅黑" w:hAnsi="微软雅黑" w:eastAsia="微软雅黑" w:cs="微软雅黑"/>
          <w:b/>
          <w:bCs/>
          <w:i w:val="0"/>
          <w:caps w:val="0"/>
          <w:color w:val="auto"/>
          <w:spacing w:val="0"/>
          <w:w w:val="100"/>
          <w:sz w:val="22"/>
          <w:szCs w:val="22"/>
          <w:highlight w:val="none"/>
        </w:rPr>
        <w:t>”：①若供应商某月税收为零申报，</w:t>
      </w:r>
      <w:r>
        <w:rPr>
          <w:rFonts w:hint="eastAsia" w:ascii="微软雅黑" w:hAnsi="微软雅黑" w:eastAsia="微软雅黑" w:cs="微软雅黑"/>
          <w:b/>
          <w:bCs/>
          <w:i w:val="0"/>
          <w:caps w:val="0"/>
          <w:color w:val="auto"/>
          <w:spacing w:val="0"/>
          <w:w w:val="100"/>
          <w:sz w:val="22"/>
          <w:szCs w:val="22"/>
          <w:highlight w:val="none"/>
          <w:lang w:eastAsia="zh-CN"/>
        </w:rPr>
        <w:t>须提供加盖税务局公章的无欠税证明</w:t>
      </w:r>
      <w:r>
        <w:rPr>
          <w:rFonts w:hint="eastAsia" w:ascii="微软雅黑" w:hAnsi="微软雅黑" w:eastAsia="微软雅黑" w:cs="微软雅黑"/>
          <w:b/>
          <w:bCs/>
          <w:i w:val="0"/>
          <w:caps w:val="0"/>
          <w:color w:val="auto"/>
          <w:spacing w:val="0"/>
          <w:w w:val="100"/>
          <w:sz w:val="22"/>
          <w:szCs w:val="22"/>
          <w:highlight w:val="none"/>
        </w:rPr>
        <w:t>或“国家税务总局电子税务局（12366.chinatax.gov.cn/bsfw/onlinetaxation/main）”的申报结果查询截图。②完税证明中“税种”非养老保险、医疗保险、失业保险、工伤保险和生育保险。请各供应商注意！</w:t>
      </w:r>
    </w:p>
    <w:p w14:paraId="20D51564">
      <w:pPr>
        <w:pageBreakBefore w:val="0"/>
        <w:widowControl w:val="0"/>
        <w:kinsoku/>
        <w:wordWrap/>
        <w:overflowPunct/>
        <w:topLinePunct w:val="0"/>
        <w:bidi w:val="0"/>
        <w:spacing w:line="360" w:lineRule="exact"/>
        <w:ind w:left="0" w:leftChars="0"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b/>
          <w:bCs/>
          <w:color w:val="auto"/>
          <w:sz w:val="22"/>
          <w:szCs w:val="22"/>
          <w:highlight w:val="none"/>
        </w:rPr>
        <w:t>未通过资格审查的</w:t>
      </w:r>
      <w:r>
        <w:rPr>
          <w:rFonts w:hint="eastAsia" w:ascii="微软雅黑" w:hAnsi="微软雅黑" w:eastAsia="微软雅黑" w:cs="微软雅黑"/>
          <w:b/>
          <w:bCs/>
          <w:color w:val="auto"/>
          <w:sz w:val="22"/>
          <w:szCs w:val="22"/>
          <w:highlight w:val="none"/>
          <w:lang w:eastAsia="zh-CN"/>
        </w:rPr>
        <w:t>供应商</w:t>
      </w:r>
      <w:r>
        <w:rPr>
          <w:rFonts w:hint="eastAsia" w:ascii="微软雅黑" w:hAnsi="微软雅黑" w:eastAsia="微软雅黑" w:cs="微软雅黑"/>
          <w:b/>
          <w:bCs/>
          <w:color w:val="auto"/>
          <w:sz w:val="22"/>
          <w:szCs w:val="22"/>
          <w:highlight w:val="none"/>
        </w:rPr>
        <w:t>不进入评标；通过资格审查的</w:t>
      </w:r>
      <w:r>
        <w:rPr>
          <w:rFonts w:hint="eastAsia" w:ascii="微软雅黑" w:hAnsi="微软雅黑" w:eastAsia="微软雅黑" w:cs="微软雅黑"/>
          <w:b/>
          <w:bCs/>
          <w:color w:val="auto"/>
          <w:sz w:val="22"/>
          <w:szCs w:val="22"/>
          <w:highlight w:val="none"/>
          <w:lang w:eastAsia="zh-CN"/>
        </w:rPr>
        <w:t>供应商</w:t>
      </w:r>
      <w:r>
        <w:rPr>
          <w:rFonts w:hint="eastAsia" w:ascii="微软雅黑" w:hAnsi="微软雅黑" w:eastAsia="微软雅黑" w:cs="微软雅黑"/>
          <w:b/>
          <w:bCs/>
          <w:color w:val="auto"/>
          <w:sz w:val="22"/>
          <w:szCs w:val="22"/>
          <w:highlight w:val="none"/>
        </w:rPr>
        <w:t>不足三家的，不得评标。</w:t>
      </w:r>
    </w:p>
    <w:p w14:paraId="7F99A8BB">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19.2   采购人或采购代理机构将在开标前1个工作日至投标截止后1小时的期间内查询</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的信用记录。</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存在不良信用记录的，其投标将被认定为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17B92110">
      <w:pPr>
        <w:pageBreakBefore w:val="0"/>
        <w:widowControl w:val="0"/>
        <w:kinsoku/>
        <w:wordWrap/>
        <w:overflowPunct/>
        <w:topLinePunct w:val="0"/>
        <w:bidi w:val="0"/>
        <w:spacing w:line="360" w:lineRule="exact"/>
        <w:ind w:left="958" w:leftChars="456" w:firstLine="55" w:firstLineChars="25"/>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rPr>
        <w:t>19.2.1 不良信用记录指：</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lang w:val="en-US" w:eastAsia="zh-CN"/>
        </w:rPr>
        <w:t>在“信用中国”网站（https://www.creditchina.gov.cn/）被列入失信被执行人、重大税收违法失信主体名单（首页-信用公示-失信被执行人查询/重大税收违法失信主体名单-搜索栏输入单位全称）、中国政府采购网（https://www.ccgp.gov.cn/search/cr/）严重违法失信行为信息记录名单（尚在处罚期内的），将拒绝其参加本次招标活动（以采购代理机构或采购人查询为准）；</w:t>
      </w:r>
    </w:p>
    <w:p w14:paraId="7FD46F23">
      <w:pPr>
        <w:pageBreakBefore w:val="0"/>
        <w:widowControl w:val="0"/>
        <w:kinsoku/>
        <w:wordWrap/>
        <w:overflowPunct/>
        <w:topLinePunct w:val="0"/>
        <w:bidi w:val="0"/>
        <w:spacing w:line="360" w:lineRule="exact"/>
        <w:ind w:left="958" w:leftChars="456" w:firstLine="55" w:firstLineChars="2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以联合体形式参加投标的，联合体任何成员存在以上不良信用记录的，联合体投标将被认定为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230D5653">
      <w:pPr>
        <w:pStyle w:val="3"/>
        <w:pageBreakBefore w:val="0"/>
        <w:widowControl w:val="0"/>
        <w:kinsoku/>
        <w:wordWrap/>
        <w:overflowPunct/>
        <w:topLinePunct w:val="0"/>
        <w:bidi w:val="0"/>
        <w:spacing w:line="360" w:lineRule="exact"/>
        <w:ind w:left="0" w:leftChars="0" w:firstLine="0"/>
        <w:jc w:val="both"/>
        <w:textAlignment w:val="auto"/>
        <w:rPr>
          <w:rFonts w:hint="eastAsia" w:ascii="微软雅黑" w:hAnsi="微软雅黑" w:eastAsia="微软雅黑" w:cs="微软雅黑"/>
          <w:b/>
          <w:bCs/>
          <w:color w:val="auto"/>
          <w:sz w:val="22"/>
          <w:szCs w:val="18"/>
          <w:highlight w:val="none"/>
        </w:rPr>
      </w:pPr>
      <w:r>
        <w:rPr>
          <w:rFonts w:hint="eastAsia" w:ascii="微软雅黑" w:hAnsi="微软雅黑" w:eastAsia="微软雅黑" w:cs="微软雅黑"/>
          <w:b/>
          <w:bCs/>
          <w:color w:val="auto"/>
          <w:sz w:val="22"/>
          <w:szCs w:val="18"/>
          <w:highlight w:val="none"/>
        </w:rPr>
        <w:t>在本招标文件规定的查询时间之后，网站信息发生的任何变更均不再作为评标依据。</w:t>
      </w:r>
    </w:p>
    <w:p w14:paraId="78A74981">
      <w:pPr>
        <w:pStyle w:val="3"/>
        <w:pageBreakBefore w:val="0"/>
        <w:widowControl w:val="0"/>
        <w:kinsoku/>
        <w:wordWrap/>
        <w:overflowPunct/>
        <w:topLinePunct w:val="0"/>
        <w:bidi w:val="0"/>
        <w:spacing w:line="360" w:lineRule="exact"/>
        <w:ind w:left="0" w:leftChars="0" w:firstLine="0"/>
        <w:jc w:val="both"/>
        <w:textAlignment w:val="auto"/>
        <w:rPr>
          <w:rFonts w:hint="eastAsia" w:ascii="微软雅黑" w:hAnsi="微软雅黑" w:eastAsia="微软雅黑" w:cs="微软雅黑"/>
          <w:b/>
          <w:bCs/>
          <w:color w:val="auto"/>
          <w:sz w:val="22"/>
          <w:szCs w:val="18"/>
          <w:highlight w:val="none"/>
        </w:rPr>
      </w:pPr>
      <w:r>
        <w:rPr>
          <w:rFonts w:hint="eastAsia" w:ascii="微软雅黑" w:hAnsi="微软雅黑" w:eastAsia="微软雅黑" w:cs="微软雅黑"/>
          <w:b/>
          <w:bCs/>
          <w:color w:val="auto"/>
          <w:sz w:val="22"/>
          <w:szCs w:val="18"/>
          <w:highlight w:val="none"/>
          <w:lang w:eastAsia="zh-CN"/>
        </w:rPr>
        <w:t>供应商</w:t>
      </w:r>
      <w:r>
        <w:rPr>
          <w:rFonts w:hint="eastAsia" w:ascii="微软雅黑" w:hAnsi="微软雅黑" w:eastAsia="微软雅黑" w:cs="微软雅黑"/>
          <w:b/>
          <w:bCs/>
          <w:color w:val="auto"/>
          <w:sz w:val="22"/>
          <w:szCs w:val="18"/>
          <w:highlight w:val="none"/>
        </w:rPr>
        <w:t>自行提供的与网站信息不一致的其他证明材料亦不作为资格审查依据。</w:t>
      </w:r>
    </w:p>
    <w:p w14:paraId="1B94E62F">
      <w:pPr>
        <w:pageBreakBefore w:val="0"/>
        <w:widowControl w:val="0"/>
        <w:kinsoku/>
        <w:wordWrap/>
        <w:overflowPunct/>
        <w:topLinePunct w:val="0"/>
        <w:bidi w:val="0"/>
        <w:spacing w:line="360" w:lineRule="exact"/>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rPr>
        <w:t xml:space="preserve">19.3   </w:t>
      </w:r>
      <w:bookmarkStart w:id="894" w:name="_Toc520356166"/>
      <w:r>
        <w:rPr>
          <w:rFonts w:hint="eastAsia" w:ascii="微软雅黑" w:hAnsi="微软雅黑" w:eastAsia="微软雅黑" w:cs="微软雅黑"/>
          <w:color w:val="auto"/>
          <w:sz w:val="22"/>
          <w:szCs w:val="22"/>
          <w:highlight w:val="none"/>
        </w:rPr>
        <w:t>按照《中华人民共和国政府采购法》、《中华人民共和国政府采购法实施条例》</w:t>
      </w:r>
      <w:r>
        <w:rPr>
          <w:rFonts w:hint="eastAsia" w:ascii="微软雅黑" w:hAnsi="微软雅黑" w:eastAsia="微软雅黑" w:cs="微软雅黑"/>
          <w:color w:val="auto"/>
          <w:sz w:val="22"/>
          <w:szCs w:val="22"/>
          <w:highlight w:val="none"/>
          <w:lang w:eastAsia="zh-CN"/>
        </w:rPr>
        <w:t>、《政府采购</w:t>
      </w:r>
      <w:r>
        <w:rPr>
          <w:rFonts w:hint="eastAsia" w:ascii="微软雅黑" w:hAnsi="微软雅黑" w:eastAsia="微软雅黑" w:cs="微软雅黑"/>
          <w:color w:val="auto"/>
          <w:sz w:val="22"/>
          <w:szCs w:val="22"/>
          <w:highlight w:val="none"/>
          <w:lang w:val="en-US" w:eastAsia="zh-CN"/>
        </w:rPr>
        <w:t>货物</w:t>
      </w:r>
      <w:r>
        <w:rPr>
          <w:rFonts w:hint="eastAsia" w:ascii="微软雅黑" w:hAnsi="微软雅黑" w:eastAsia="微软雅黑" w:cs="微软雅黑"/>
          <w:color w:val="auto"/>
          <w:sz w:val="22"/>
          <w:szCs w:val="22"/>
          <w:highlight w:val="none"/>
          <w:lang w:eastAsia="zh-CN"/>
        </w:rPr>
        <w:t>和服务招标投标管理办法》财政部令第87号</w:t>
      </w:r>
      <w:r>
        <w:rPr>
          <w:rFonts w:hint="eastAsia" w:ascii="微软雅黑" w:hAnsi="微软雅黑" w:eastAsia="微软雅黑" w:cs="微软雅黑"/>
          <w:color w:val="auto"/>
          <w:sz w:val="22"/>
          <w:szCs w:val="22"/>
          <w:highlight w:val="none"/>
        </w:rPr>
        <w:t>及本项目本级和上级财政部门的有关规定依法</w:t>
      </w:r>
      <w:r>
        <w:rPr>
          <w:rFonts w:hint="eastAsia" w:ascii="微软雅黑" w:hAnsi="微软雅黑" w:eastAsia="微软雅黑" w:cs="微软雅黑"/>
          <w:color w:val="auto"/>
          <w:sz w:val="22"/>
          <w:szCs w:val="22"/>
          <w:highlight w:val="none"/>
          <w:lang w:val="en-US" w:eastAsia="zh-CN"/>
        </w:rPr>
        <w:t>组建</w:t>
      </w:r>
      <w:r>
        <w:rPr>
          <w:rFonts w:hint="eastAsia" w:ascii="微软雅黑" w:hAnsi="微软雅黑" w:eastAsia="微软雅黑" w:cs="微软雅黑"/>
          <w:b/>
          <w:bCs/>
          <w:color w:val="auto"/>
          <w:sz w:val="22"/>
          <w:szCs w:val="22"/>
          <w:highlight w:val="none"/>
          <w:lang w:val="en-US" w:eastAsia="zh-CN"/>
        </w:rPr>
        <w:t>5名评标委员会成员</w:t>
      </w:r>
      <w:r>
        <w:rPr>
          <w:rFonts w:hint="eastAsia" w:ascii="微软雅黑" w:hAnsi="微软雅黑" w:eastAsia="微软雅黑" w:cs="微软雅黑"/>
          <w:color w:val="auto"/>
          <w:sz w:val="22"/>
          <w:szCs w:val="22"/>
          <w:highlight w:val="none"/>
          <w:lang w:eastAsia="zh-CN"/>
        </w:rPr>
        <w:t>，</w:t>
      </w:r>
      <w:r>
        <w:rPr>
          <w:rFonts w:hint="eastAsia" w:ascii="微软雅黑" w:hAnsi="微软雅黑" w:eastAsia="微软雅黑" w:cs="微软雅黑"/>
          <w:color w:val="auto"/>
          <w:sz w:val="22"/>
          <w:szCs w:val="22"/>
          <w:highlight w:val="none"/>
        </w:rPr>
        <w:t>负责评标工作。</w:t>
      </w:r>
    </w:p>
    <w:p w14:paraId="6FB9E519">
      <w:pPr>
        <w:pStyle w:val="2"/>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bdr w:val="single" w:color="auto" w:sz="4" w:space="0"/>
        </w:rPr>
      </w:pPr>
      <w:bookmarkStart w:id="895" w:name="_Toc7309"/>
      <w:bookmarkStart w:id="896" w:name="_Toc1982"/>
      <w:bookmarkStart w:id="897" w:name="_Toc515647781"/>
      <w:bookmarkStart w:id="898" w:name="_Toc30189"/>
      <w:bookmarkStart w:id="899" w:name="_Toc14028"/>
      <w:bookmarkStart w:id="900" w:name="_Toc27345"/>
      <w:bookmarkStart w:id="901" w:name="_Toc15121"/>
      <w:bookmarkStart w:id="902" w:name="_Toc1502"/>
      <w:bookmarkStart w:id="903" w:name="_Toc22070"/>
      <w:bookmarkStart w:id="904" w:name="_Toc28479"/>
      <w:bookmarkStart w:id="905" w:name="_Toc1189"/>
      <w:bookmarkStart w:id="906" w:name="_Toc14377"/>
      <w:bookmarkStart w:id="907" w:name="_Toc5870"/>
      <w:bookmarkStart w:id="908" w:name="_Toc4413"/>
      <w:bookmarkStart w:id="909" w:name="_Toc831"/>
      <w:bookmarkStart w:id="910" w:name="_Toc11776"/>
      <w:bookmarkStart w:id="911" w:name="_Toc32378"/>
      <w:bookmarkStart w:id="912" w:name="_Toc902"/>
      <w:bookmarkStart w:id="913" w:name="_Toc29594"/>
      <w:bookmarkStart w:id="914" w:name="_Toc26448"/>
      <w:bookmarkStart w:id="915" w:name="_Toc4542"/>
      <w:bookmarkStart w:id="916" w:name="_Toc29846"/>
      <w:bookmarkStart w:id="917" w:name="_Toc22736"/>
      <w:bookmarkStart w:id="918" w:name="_Toc3936"/>
      <w:bookmarkStart w:id="919" w:name="_Toc31534"/>
      <w:bookmarkStart w:id="920" w:name="_Toc13900"/>
      <w:bookmarkStart w:id="921" w:name="_Toc4022"/>
      <w:bookmarkStart w:id="922" w:name="_Toc19949"/>
      <w:bookmarkStart w:id="923" w:name="_Toc24623"/>
      <w:bookmarkStart w:id="924" w:name="_Toc6523"/>
      <w:bookmarkStart w:id="925" w:name="_Toc19094"/>
      <w:bookmarkStart w:id="926" w:name="_Toc14627"/>
      <w:bookmarkStart w:id="927" w:name="_Toc22449"/>
      <w:bookmarkStart w:id="928" w:name="_Toc13892"/>
      <w:bookmarkStart w:id="929" w:name="_Toc11482"/>
      <w:bookmarkStart w:id="930" w:name="_Toc21091"/>
      <w:bookmarkStart w:id="931" w:name="_Toc21876"/>
      <w:bookmarkStart w:id="932" w:name="_Toc5800"/>
      <w:bookmarkStart w:id="933" w:name="_Toc5434"/>
      <w:bookmarkStart w:id="934" w:name="_Toc13448"/>
      <w:bookmarkStart w:id="935" w:name="_Toc827"/>
      <w:bookmarkStart w:id="936" w:name="_Toc4062"/>
      <w:bookmarkStart w:id="937" w:name="_Toc21920"/>
      <w:bookmarkStart w:id="938" w:name="_Toc8432"/>
      <w:bookmarkStart w:id="939" w:name="_Toc22021"/>
      <w:bookmarkStart w:id="940" w:name="_Toc21904"/>
      <w:r>
        <w:rPr>
          <w:rFonts w:hint="eastAsia" w:ascii="微软雅黑" w:hAnsi="微软雅黑" w:eastAsia="微软雅黑" w:cs="微软雅黑"/>
          <w:b/>
          <w:bCs/>
          <w:color w:val="auto"/>
          <w:sz w:val="22"/>
          <w:szCs w:val="22"/>
          <w:highlight w:val="none"/>
          <w:u w:val="none"/>
        </w:rPr>
        <w:t>20.投标文件</w:t>
      </w:r>
      <w:bookmarkEnd w:id="894"/>
      <w:r>
        <w:rPr>
          <w:rFonts w:hint="eastAsia" w:ascii="微软雅黑" w:hAnsi="微软雅黑" w:eastAsia="微软雅黑" w:cs="微软雅黑"/>
          <w:b/>
          <w:bCs/>
          <w:color w:val="auto"/>
          <w:sz w:val="22"/>
          <w:szCs w:val="22"/>
          <w:highlight w:val="none"/>
          <w:u w:val="none"/>
        </w:rPr>
        <w:t>符合性审查与澄清</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p>
    <w:p w14:paraId="1CCF119E">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20.1   符合性审查是指依据招标文件的规定，从投标文件的有效性和完整性对招标文件的响应程度进行审查，以确定是否对招标文件的实质性要求做出响应。</w:t>
      </w:r>
      <w:bookmarkStart w:id="941" w:name="_Hlt522424701"/>
      <w:bookmarkEnd w:id="941"/>
      <w:bookmarkStart w:id="942" w:name="_Toc520356167"/>
    </w:p>
    <w:p w14:paraId="55A8A01B">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20.2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投标文件的澄清</w:t>
      </w:r>
    </w:p>
    <w:p w14:paraId="2B6AB065">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20.2.1  在评标期间，评标委员会将以书面方式要求</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对其投标文件中含义不明确、对同类问题表述不一致或者有明显文字和计算错误的内容，以及评标委员会认为</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的报价明显低于其他通过符合性检查</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的报价，有可能影响履约的情况作必要的澄清、说明或补正。</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的澄清、说明或补正应在评标委员会规定的时间内以书面方式进行，并不得超出投标文件范围或者改变投标文件的实质性内容。</w:t>
      </w:r>
    </w:p>
    <w:p w14:paraId="701DC03D">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20.2.2  </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的的澄清、说明或补正将作为投标文件的一部分。</w:t>
      </w:r>
    </w:p>
    <w:p w14:paraId="540AD27D">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20.3  投标文件报价出现前后不一致的，按照下列规定修正：</w:t>
      </w:r>
    </w:p>
    <w:p w14:paraId="02A347CE">
      <w:pPr>
        <w:pageBreakBefore w:val="0"/>
        <w:widowControl w:val="0"/>
        <w:kinsoku/>
        <w:wordWrap/>
        <w:overflowPunct/>
        <w:topLinePunct w:val="0"/>
        <w:bidi w:val="0"/>
        <w:spacing w:line="360" w:lineRule="exact"/>
        <w:ind w:left="935" w:leftChars="0" w:hanging="935" w:hangingChars="42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（一）投标文件中开标一览表（报价表）内容与投标文件中相应内容不一致的，以开标一览表（报价表）为准；</w:t>
      </w:r>
    </w:p>
    <w:p w14:paraId="17CF760B">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（二）大写金额和小写金额不一致的，</w:t>
      </w:r>
      <w:r>
        <w:rPr>
          <w:rFonts w:hint="eastAsia" w:ascii="微软雅黑" w:hAnsi="微软雅黑" w:eastAsia="微软雅黑" w:cs="微软雅黑"/>
          <w:b/>
          <w:bCs/>
          <w:color w:val="auto"/>
          <w:sz w:val="22"/>
          <w:szCs w:val="22"/>
          <w:highlight w:val="none"/>
        </w:rPr>
        <w:t>以大写金额为准</w:t>
      </w:r>
      <w:r>
        <w:rPr>
          <w:rFonts w:hint="eastAsia" w:ascii="微软雅黑" w:hAnsi="微软雅黑" w:eastAsia="微软雅黑" w:cs="微软雅黑"/>
          <w:color w:val="auto"/>
          <w:sz w:val="22"/>
          <w:szCs w:val="22"/>
          <w:highlight w:val="none"/>
        </w:rPr>
        <w:t>；</w:t>
      </w:r>
    </w:p>
    <w:p w14:paraId="3FCEA107">
      <w:pPr>
        <w:pageBreakBefore w:val="0"/>
        <w:widowControl w:val="0"/>
        <w:kinsoku/>
        <w:wordWrap/>
        <w:overflowPunct/>
        <w:topLinePunct w:val="0"/>
        <w:bidi w:val="0"/>
        <w:spacing w:line="360" w:lineRule="exact"/>
        <w:ind w:left="935" w:leftChars="0" w:hanging="935" w:hangingChars="42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（三）单价金额小数点或者百分比有明显错位的，以开标一览表的总价为准，并修改单价；</w:t>
      </w:r>
    </w:p>
    <w:p w14:paraId="0ACCC87D">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（四）总价金额与按单价汇总金额不一致的，以单价金额计算结果为准。</w:t>
      </w:r>
    </w:p>
    <w:p w14:paraId="3EA1DE98">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同时出现两种以上不一致的，按照前款规定的顺序修正。修正后的报价按照第20.2条的规定经</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确认后产生约束力，</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不确认的，其投标将被认定为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2CB7E774">
      <w:pPr>
        <w:pageBreakBefore w:val="0"/>
        <w:widowControl w:val="0"/>
        <w:kinsoku/>
        <w:wordWrap/>
        <w:overflowPunct/>
        <w:topLinePunct w:val="0"/>
        <w:bidi w:val="0"/>
        <w:spacing w:line="360" w:lineRule="exact"/>
        <w:ind w:left="0" w:leftChars="0" w:firstLine="110" w:firstLineChars="5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对不同文字文本投标文件的解释发生异议的，以中文文本为准。</w:t>
      </w:r>
    </w:p>
    <w:p w14:paraId="52EC93F7">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20.4   如一个分</w:t>
      </w:r>
      <w:r>
        <w:rPr>
          <w:rFonts w:hint="eastAsia" w:ascii="微软雅黑" w:hAnsi="微软雅黑" w:eastAsia="微软雅黑" w:cs="微软雅黑"/>
          <w:color w:val="auto"/>
          <w:sz w:val="22"/>
          <w:szCs w:val="22"/>
          <w:highlight w:val="none"/>
          <w:lang w:eastAsia="zh-CN"/>
        </w:rPr>
        <w:t>标项</w:t>
      </w:r>
      <w:r>
        <w:rPr>
          <w:rFonts w:hint="eastAsia" w:ascii="微软雅黑" w:hAnsi="微软雅黑" w:eastAsia="微软雅黑" w:cs="微软雅黑"/>
          <w:color w:val="auto"/>
          <w:sz w:val="22"/>
          <w:szCs w:val="22"/>
          <w:highlight w:val="none"/>
        </w:rPr>
        <w:t>内只有一种产品，不同</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所投产品为同一品牌的，按如下方式处理：</w:t>
      </w:r>
    </w:p>
    <w:p w14:paraId="26FD694B">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20.4.1  如本项目使用最低评标价法，提供相同品牌产品的不同</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以其中通过资格审查、符合性审查且报价最低的参加评标；报价相同的，由采购人或者采购人委托评标委员会按照招标文件中评标办法规定的方式确定一个参加评标的</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；未规定的采取随机抽取方式确定，其他投标将被认定为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544B4C02">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20.4.2  如本项目使用综合评分法，提供相同品牌产品且通过资格审查、符合性审查的不同</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，按一家</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计算，评审后得分最高的同品牌</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获得中标人推荐资格；评审得分相同的，由采购人或者采购人委托评标委员会按照招标文件中评标办法规定的方式确定一个</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获得中标人推荐资格；未规定的采取随机抽取方式确定，其他同品牌</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不作为中标候选人。</w:t>
      </w:r>
    </w:p>
    <w:p w14:paraId="7AB8A3C7">
      <w:pPr>
        <w:pageBreakBefore w:val="0"/>
        <w:widowControl w:val="0"/>
        <w:kinsoku/>
        <w:wordWrap/>
        <w:overflowPunct/>
        <w:topLinePunct w:val="0"/>
        <w:bidi w:val="0"/>
        <w:spacing w:line="360" w:lineRule="exact"/>
        <w:ind w:left="874" w:leftChars="416" w:firstLine="0" w:firstLineChars="0"/>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rPr>
        <w:t>如一个分</w:t>
      </w:r>
      <w:r>
        <w:rPr>
          <w:rFonts w:hint="eastAsia" w:ascii="微软雅黑" w:hAnsi="微软雅黑" w:eastAsia="微软雅黑" w:cs="微软雅黑"/>
          <w:color w:val="auto"/>
          <w:sz w:val="22"/>
          <w:szCs w:val="22"/>
          <w:highlight w:val="none"/>
          <w:lang w:eastAsia="zh-CN"/>
        </w:rPr>
        <w:t>标项</w:t>
      </w:r>
      <w:r>
        <w:rPr>
          <w:rFonts w:hint="eastAsia" w:ascii="微软雅黑" w:hAnsi="微软雅黑" w:eastAsia="微软雅黑" w:cs="微软雅黑"/>
          <w:color w:val="auto"/>
          <w:sz w:val="22"/>
          <w:szCs w:val="22"/>
          <w:highlight w:val="none"/>
        </w:rPr>
        <w:t>内包含多种产品的，采购人或采购代理机构将在投标人须知资料表中载明核心产品，多家投标人提供的核心产品品牌相同的，按第 20.4条规定处理</w:t>
      </w:r>
      <w:r>
        <w:rPr>
          <w:rFonts w:hint="eastAsia" w:ascii="微软雅黑" w:hAnsi="微软雅黑" w:eastAsia="微软雅黑" w:cs="微软雅黑"/>
          <w:color w:val="auto"/>
          <w:sz w:val="22"/>
          <w:szCs w:val="22"/>
          <w:highlight w:val="none"/>
          <w:lang w:eastAsia="zh-CN"/>
        </w:rPr>
        <w:t>。</w:t>
      </w:r>
    </w:p>
    <w:p w14:paraId="150715BF">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20.5   </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所投产品如被列入财政部与国家主管部门颁发的节能产品目录或环境标志产品目录或无线局域网产品目录，应提供相关证明，在评标时予以优先采购，具体优先采购办法见第六章评标方法和标准。</w:t>
      </w:r>
    </w:p>
    <w:p w14:paraId="3774D009">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        如采购人所采购产品为政府强制采购的节能产品，</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所投产品的品牌及型号必须为清单中有效期内产品并提供证明文件，否则其投标将被认定为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37ED0CD3">
      <w:pPr>
        <w:pStyle w:val="2"/>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943" w:name="_Toc9284"/>
      <w:bookmarkStart w:id="944" w:name="_Toc19558"/>
      <w:bookmarkStart w:id="945" w:name="_Toc19042"/>
      <w:bookmarkStart w:id="946" w:name="_Toc21482"/>
      <w:bookmarkStart w:id="947" w:name="_Toc1633"/>
      <w:bookmarkStart w:id="948" w:name="_Toc24394"/>
      <w:bookmarkStart w:id="949" w:name="_Toc6364"/>
      <w:bookmarkStart w:id="950" w:name="_Toc18082"/>
      <w:bookmarkStart w:id="951" w:name="_Toc29905"/>
      <w:bookmarkStart w:id="952" w:name="_Toc21138"/>
      <w:bookmarkStart w:id="953" w:name="_Toc16212"/>
      <w:bookmarkStart w:id="954" w:name="_Toc26381"/>
      <w:bookmarkStart w:id="955" w:name="_Toc24476"/>
      <w:bookmarkStart w:id="956" w:name="_Toc29292"/>
      <w:bookmarkStart w:id="957" w:name="_Toc18062"/>
      <w:bookmarkStart w:id="958" w:name="_Toc630"/>
      <w:bookmarkStart w:id="959" w:name="_Toc10143"/>
      <w:bookmarkStart w:id="960" w:name="_Toc1463"/>
      <w:bookmarkStart w:id="961" w:name="_Toc13369"/>
      <w:bookmarkStart w:id="962" w:name="_Toc14795"/>
      <w:bookmarkStart w:id="963" w:name="_Toc12161"/>
      <w:bookmarkStart w:id="964" w:name="_Toc22089"/>
      <w:bookmarkStart w:id="965" w:name="_Toc7973"/>
      <w:bookmarkStart w:id="966" w:name="_Toc10306"/>
      <w:bookmarkStart w:id="967" w:name="_Toc27379"/>
      <w:bookmarkStart w:id="968" w:name="_Toc6436"/>
      <w:bookmarkStart w:id="969" w:name="_Toc11608"/>
      <w:bookmarkStart w:id="970" w:name="_Toc30629"/>
      <w:bookmarkStart w:id="971" w:name="_Toc515647782"/>
      <w:bookmarkStart w:id="972" w:name="_Toc23577"/>
      <w:bookmarkStart w:id="973" w:name="_Toc22"/>
      <w:bookmarkStart w:id="974" w:name="_Toc6538"/>
      <w:bookmarkStart w:id="975" w:name="_Toc25781"/>
      <w:bookmarkStart w:id="976" w:name="_Toc9626"/>
      <w:bookmarkStart w:id="977" w:name="_Toc8228"/>
      <w:bookmarkStart w:id="978" w:name="_Toc3632"/>
      <w:bookmarkStart w:id="979" w:name="_Toc8835"/>
      <w:bookmarkStart w:id="980" w:name="_Toc6784"/>
      <w:bookmarkStart w:id="981" w:name="_Toc30428"/>
      <w:bookmarkStart w:id="982" w:name="_Toc31408"/>
      <w:bookmarkStart w:id="983" w:name="_Toc26577"/>
      <w:bookmarkStart w:id="984" w:name="_Toc4417"/>
      <w:bookmarkStart w:id="985" w:name="_Toc9469"/>
      <w:bookmarkStart w:id="986" w:name="_Toc5363"/>
      <w:bookmarkStart w:id="987" w:name="_Toc16070"/>
      <w:bookmarkStart w:id="988" w:name="_Toc10601"/>
      <w:r>
        <w:rPr>
          <w:rFonts w:hint="eastAsia" w:ascii="微软雅黑" w:hAnsi="微软雅黑" w:eastAsia="微软雅黑" w:cs="微软雅黑"/>
          <w:b/>
          <w:bCs/>
          <w:color w:val="auto"/>
          <w:sz w:val="22"/>
          <w:szCs w:val="22"/>
          <w:highlight w:val="none"/>
          <w:u w:val="none"/>
        </w:rPr>
        <w:t>21.投标偏离</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p w14:paraId="3D34A020">
      <w:pPr>
        <w:pageBreakBefore w:val="0"/>
        <w:widowControl w:val="0"/>
        <w:kinsoku/>
        <w:wordWrap/>
        <w:overflowPunct/>
        <w:topLinePunct w:val="0"/>
        <w:bidi w:val="0"/>
        <w:spacing w:line="360" w:lineRule="exact"/>
        <w:ind w:left="587" w:leftChars="0" w:hanging="587" w:hangingChars="267"/>
        <w:textAlignment w:val="auto"/>
        <w:rPr>
          <w:rFonts w:hint="eastAsia" w:ascii="微软雅黑" w:hAnsi="微软雅黑" w:eastAsia="微软雅黑" w:cs="微软雅黑"/>
          <w:color w:val="auto"/>
          <w:sz w:val="20"/>
          <w:szCs w:val="22"/>
          <w:highlight w:val="none"/>
          <w:lang w:val="en-US" w:eastAsia="zh-CN"/>
        </w:rPr>
      </w:pPr>
      <w:r>
        <w:rPr>
          <w:rFonts w:hint="eastAsia" w:ascii="微软雅黑" w:hAnsi="微软雅黑" w:eastAsia="微软雅黑" w:cs="微软雅黑"/>
          <w:color w:val="auto"/>
          <w:sz w:val="22"/>
          <w:szCs w:val="22"/>
          <w:highlight w:val="none"/>
        </w:rPr>
        <w:t xml:space="preserve">     评标委员会可以接受投标文件中不构成实质性偏离的不正规或不一致。</w:t>
      </w:r>
      <w:bookmarkStart w:id="989" w:name="_Toc515647783"/>
      <w:bookmarkStart w:id="990" w:name="_Toc4950"/>
      <w:bookmarkStart w:id="991" w:name="_Toc6092"/>
    </w:p>
    <w:p w14:paraId="73E5E9B0">
      <w:pPr>
        <w:pStyle w:val="2"/>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992" w:name="_Toc15784"/>
      <w:bookmarkStart w:id="993" w:name="_Toc31472"/>
      <w:bookmarkStart w:id="994" w:name="_Toc24224"/>
      <w:bookmarkStart w:id="995" w:name="_Toc20572"/>
      <w:bookmarkStart w:id="996" w:name="_Toc26299"/>
      <w:bookmarkStart w:id="997" w:name="_Toc3138"/>
      <w:bookmarkStart w:id="998" w:name="_Toc550"/>
      <w:bookmarkStart w:id="999" w:name="_Toc2536"/>
      <w:bookmarkStart w:id="1000" w:name="_Toc17009"/>
      <w:bookmarkStart w:id="1001" w:name="_Toc12995"/>
      <w:bookmarkStart w:id="1002" w:name="_Toc27324"/>
      <w:bookmarkStart w:id="1003" w:name="_Toc17228"/>
      <w:bookmarkStart w:id="1004" w:name="_Toc21883"/>
      <w:bookmarkStart w:id="1005" w:name="_Toc23335"/>
      <w:bookmarkStart w:id="1006" w:name="_Toc31280"/>
      <w:bookmarkStart w:id="1007" w:name="_Toc8973"/>
      <w:bookmarkStart w:id="1008" w:name="_Toc27806"/>
      <w:bookmarkStart w:id="1009" w:name="_Toc1257"/>
      <w:bookmarkStart w:id="1010" w:name="_Toc12413"/>
      <w:bookmarkStart w:id="1011" w:name="_Toc18096"/>
      <w:bookmarkStart w:id="1012" w:name="_Toc31965"/>
      <w:bookmarkStart w:id="1013" w:name="_Toc9643"/>
      <w:bookmarkStart w:id="1014" w:name="_Toc11798"/>
      <w:bookmarkStart w:id="1015" w:name="_Toc4727"/>
      <w:bookmarkStart w:id="1016" w:name="_Toc21395"/>
      <w:bookmarkStart w:id="1017" w:name="_Toc27880"/>
      <w:bookmarkStart w:id="1018" w:name="_Toc28737"/>
      <w:bookmarkStart w:id="1019" w:name="_Toc9516"/>
      <w:bookmarkStart w:id="1020" w:name="_Toc665"/>
      <w:bookmarkStart w:id="1021" w:name="_Toc3405"/>
      <w:bookmarkStart w:id="1022" w:name="_Toc1222"/>
      <w:bookmarkStart w:id="1023" w:name="_Toc10232"/>
      <w:bookmarkStart w:id="1024" w:name="_Toc28742"/>
      <w:bookmarkStart w:id="1025" w:name="_Toc9627"/>
      <w:bookmarkStart w:id="1026" w:name="_Toc2221"/>
      <w:bookmarkStart w:id="1027" w:name="_Toc16919"/>
      <w:bookmarkStart w:id="1028" w:name="_Toc27609"/>
      <w:bookmarkStart w:id="1029" w:name="_Toc18221"/>
      <w:bookmarkStart w:id="1030" w:name="_Toc24372"/>
      <w:bookmarkStart w:id="1031" w:name="_Toc12294"/>
      <w:bookmarkStart w:id="1032" w:name="_Toc30601"/>
      <w:bookmarkStart w:id="1033" w:name="_Toc28772"/>
      <w:bookmarkStart w:id="1034" w:name="_Toc8254"/>
      <w:r>
        <w:rPr>
          <w:rFonts w:hint="eastAsia" w:ascii="微软雅黑" w:hAnsi="微软雅黑" w:eastAsia="微软雅黑" w:cs="微软雅黑"/>
          <w:b/>
          <w:bCs/>
          <w:color w:val="auto"/>
          <w:sz w:val="22"/>
          <w:szCs w:val="22"/>
          <w:highlight w:val="none"/>
          <w:u w:val="none"/>
        </w:rPr>
        <w:t>22.投标</w:t>
      </w:r>
      <w:bookmarkEnd w:id="989"/>
      <w:r>
        <w:rPr>
          <w:rFonts w:hint="eastAsia" w:ascii="微软雅黑" w:hAnsi="微软雅黑" w:eastAsia="微软雅黑" w:cs="微软雅黑"/>
          <w:b/>
          <w:bCs/>
          <w:color w:val="auto"/>
          <w:sz w:val="22"/>
          <w:szCs w:val="22"/>
          <w:highlight w:val="none"/>
          <w:u w:val="none"/>
        </w:rPr>
        <w:t>无效</w:t>
      </w:r>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14:paraId="48068B18">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22.1   在比较与评价之前，根据本须知的规定，评标委员会要审查每份投标文件是否实质上响应了招标文件的要求。实质上响应的投标应该是与招标文件要求的全部条款、条件和规格相符，没有重大偏离的投标。对关键条款的偏离，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不得通过修正或撤销不符合要求的偏离，从而使其投标成为实质上响应的投标。</w:t>
      </w:r>
    </w:p>
    <w:p w14:paraId="750EF175">
      <w:pPr>
        <w:pageBreakBefore w:val="0"/>
        <w:widowControl w:val="0"/>
        <w:kinsoku/>
        <w:wordWrap/>
        <w:overflowPunct/>
        <w:topLinePunct w:val="0"/>
        <w:bidi w:val="0"/>
        <w:spacing w:line="360" w:lineRule="exact"/>
        <w:ind w:left="718" w:leftChars="342" w:firstLine="0" w:firstLine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评标委员会决定投标的响应性只根据招标文件要求、投标文件内容及财政主管部门指定相关信息发布媒体。</w:t>
      </w:r>
    </w:p>
    <w:p w14:paraId="5AA09FB2">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22.2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b/>
          <w:bCs/>
          <w:color w:val="auto"/>
          <w:sz w:val="22"/>
          <w:szCs w:val="22"/>
          <w:highlight w:val="none"/>
        </w:rPr>
        <w:t>如发现下列情况之一的，其投标将被认定为投标无效</w:t>
      </w:r>
      <w:r>
        <w:rPr>
          <w:rFonts w:hint="eastAsia" w:ascii="微软雅黑" w:hAnsi="微软雅黑" w:eastAsia="微软雅黑" w:cs="微软雅黑"/>
          <w:color w:val="auto"/>
          <w:sz w:val="22"/>
          <w:szCs w:val="22"/>
          <w:highlight w:val="none"/>
        </w:rPr>
        <w:t>：</w:t>
      </w:r>
    </w:p>
    <w:p w14:paraId="637E516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81" w:leftChars="0" w:firstLine="660" w:firstLineChars="300"/>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1</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rPr>
        <w:t>未按招标文件规定的形式和金额提交投标保证金的；</w:t>
      </w:r>
    </w:p>
    <w:p w14:paraId="20C7A06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81" w:leftChars="0" w:firstLine="660" w:firstLineChars="300"/>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2</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rPr>
        <w:t>未按照招标文件规定要求签署、盖章的；</w:t>
      </w:r>
    </w:p>
    <w:p w14:paraId="5452DC8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81" w:leftChars="0" w:firstLine="660" w:firstLineChars="300"/>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3</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rPr>
        <w:t>未满足招标文件中技术条款的实质性要求；</w:t>
      </w:r>
    </w:p>
    <w:p w14:paraId="4DC912E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81" w:leftChars="0" w:firstLine="660" w:firstLineChars="300"/>
        <w:textAlignment w:val="auto"/>
        <w:rPr>
          <w:rFonts w:hint="eastAsia" w:ascii="微软雅黑" w:hAnsi="微软雅黑" w:eastAsia="微软雅黑" w:cs="微软雅黑"/>
          <w:b/>
          <w:bCs/>
          <w:color w:val="auto"/>
          <w:sz w:val="22"/>
          <w:szCs w:val="22"/>
          <w:highlight w:val="none"/>
          <w:lang w:val="en-US" w:eastAsia="zh-CN"/>
        </w:rPr>
      </w:pP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4</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rPr>
        <w:t>与其他</w:t>
      </w:r>
      <w:r>
        <w:rPr>
          <w:rFonts w:hint="eastAsia" w:ascii="微软雅黑" w:hAnsi="微软雅黑" w:eastAsia="微软雅黑" w:cs="微软雅黑"/>
          <w:b/>
          <w:bCs/>
          <w:color w:val="auto"/>
          <w:sz w:val="22"/>
          <w:szCs w:val="22"/>
          <w:highlight w:val="none"/>
          <w:lang w:eastAsia="zh-CN"/>
        </w:rPr>
        <w:t>供应商</w:t>
      </w:r>
      <w:r>
        <w:rPr>
          <w:rFonts w:hint="eastAsia" w:ascii="微软雅黑" w:hAnsi="微软雅黑" w:eastAsia="微软雅黑" w:cs="微软雅黑"/>
          <w:b/>
          <w:bCs/>
          <w:color w:val="auto"/>
          <w:sz w:val="22"/>
          <w:szCs w:val="22"/>
          <w:highlight w:val="none"/>
        </w:rPr>
        <w:t>串通投标，或者与</w:t>
      </w:r>
      <w:r>
        <w:rPr>
          <w:rFonts w:hint="eastAsia" w:ascii="微软雅黑" w:hAnsi="微软雅黑" w:eastAsia="微软雅黑" w:cs="微软雅黑"/>
          <w:b/>
          <w:bCs/>
          <w:color w:val="auto"/>
          <w:sz w:val="22"/>
          <w:szCs w:val="22"/>
          <w:highlight w:val="none"/>
          <w:lang w:eastAsia="zh-CN"/>
        </w:rPr>
        <w:t>采购人</w:t>
      </w:r>
      <w:r>
        <w:rPr>
          <w:rFonts w:hint="eastAsia" w:ascii="微软雅黑" w:hAnsi="微软雅黑" w:eastAsia="微软雅黑" w:cs="微软雅黑"/>
          <w:b/>
          <w:bCs/>
          <w:color w:val="auto"/>
          <w:sz w:val="22"/>
          <w:szCs w:val="22"/>
          <w:highlight w:val="none"/>
        </w:rPr>
        <w:t>串通投标；</w:t>
      </w:r>
      <w:r>
        <w:rPr>
          <w:rFonts w:hint="eastAsia" w:ascii="微软雅黑" w:hAnsi="微软雅黑" w:eastAsia="微软雅黑" w:cs="微软雅黑"/>
          <w:b/>
          <w:bCs/>
          <w:color w:val="auto"/>
          <w:sz w:val="22"/>
          <w:szCs w:val="22"/>
          <w:highlight w:val="none"/>
          <w:lang w:val="en-US" w:eastAsia="zh-CN"/>
        </w:rPr>
        <w:t xml:space="preserve">    </w:t>
      </w:r>
    </w:p>
    <w:p w14:paraId="7795902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81" w:leftChars="0" w:firstLine="660" w:firstLineChars="300"/>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5</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rPr>
        <w:t>属于招标文件规定的其他投标无效情形；</w:t>
      </w:r>
    </w:p>
    <w:p w14:paraId="18B9BBB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538" w:leftChars="256" w:firstLine="0" w:firstLineChars="0"/>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6</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rPr>
        <w:t>评标委员会认为</w:t>
      </w:r>
      <w:r>
        <w:rPr>
          <w:rFonts w:hint="eastAsia" w:ascii="微软雅黑" w:hAnsi="微软雅黑" w:eastAsia="微软雅黑" w:cs="微软雅黑"/>
          <w:b/>
          <w:bCs/>
          <w:color w:val="auto"/>
          <w:sz w:val="22"/>
          <w:szCs w:val="22"/>
          <w:highlight w:val="none"/>
          <w:lang w:eastAsia="zh-CN"/>
        </w:rPr>
        <w:t>供应商</w:t>
      </w:r>
      <w:r>
        <w:rPr>
          <w:rFonts w:hint="eastAsia" w:ascii="微软雅黑" w:hAnsi="微软雅黑" w:eastAsia="微软雅黑" w:cs="微软雅黑"/>
          <w:b/>
          <w:bCs/>
          <w:color w:val="auto"/>
          <w:sz w:val="22"/>
          <w:szCs w:val="22"/>
          <w:highlight w:val="none"/>
        </w:rPr>
        <w:t>的报价明显低于其他通过符合性检查</w:t>
      </w:r>
      <w:r>
        <w:rPr>
          <w:rFonts w:hint="eastAsia" w:ascii="微软雅黑" w:hAnsi="微软雅黑" w:eastAsia="微软雅黑" w:cs="微软雅黑"/>
          <w:b/>
          <w:bCs/>
          <w:color w:val="auto"/>
          <w:sz w:val="22"/>
          <w:szCs w:val="22"/>
          <w:highlight w:val="none"/>
          <w:lang w:eastAsia="zh-CN"/>
        </w:rPr>
        <w:t>供应</w:t>
      </w:r>
      <w:r>
        <w:rPr>
          <w:rFonts w:hint="eastAsia" w:ascii="微软雅黑" w:hAnsi="微软雅黑" w:eastAsia="微软雅黑" w:cs="微软雅黑"/>
          <w:b/>
          <w:bCs/>
          <w:color w:val="auto"/>
          <w:sz w:val="22"/>
          <w:szCs w:val="22"/>
          <w:highlight w:val="none"/>
          <w:lang w:val="en-US" w:eastAsia="zh-CN"/>
        </w:rPr>
        <w:t xml:space="preserve">                    </w:t>
      </w:r>
      <w:r>
        <w:rPr>
          <w:rFonts w:hint="eastAsia" w:ascii="微软雅黑" w:hAnsi="微软雅黑" w:eastAsia="微软雅黑" w:cs="微软雅黑"/>
          <w:b/>
          <w:bCs/>
          <w:color w:val="auto"/>
          <w:sz w:val="22"/>
          <w:szCs w:val="22"/>
          <w:highlight w:val="none"/>
          <w:lang w:eastAsia="zh-CN"/>
        </w:rPr>
        <w:t>商</w:t>
      </w:r>
      <w:r>
        <w:rPr>
          <w:rFonts w:hint="eastAsia" w:ascii="微软雅黑" w:hAnsi="微软雅黑" w:eastAsia="微软雅黑" w:cs="微软雅黑"/>
          <w:b/>
          <w:bCs/>
          <w:color w:val="auto"/>
          <w:sz w:val="22"/>
          <w:szCs w:val="22"/>
          <w:highlight w:val="none"/>
        </w:rPr>
        <w:t>的报价，有可能影响履约的，且</w:t>
      </w:r>
      <w:r>
        <w:rPr>
          <w:rFonts w:hint="eastAsia" w:ascii="微软雅黑" w:hAnsi="微软雅黑" w:eastAsia="微软雅黑" w:cs="微软雅黑"/>
          <w:b/>
          <w:bCs/>
          <w:color w:val="auto"/>
          <w:sz w:val="22"/>
          <w:szCs w:val="22"/>
          <w:highlight w:val="none"/>
          <w:lang w:eastAsia="zh-CN"/>
        </w:rPr>
        <w:t>供应商</w:t>
      </w:r>
      <w:r>
        <w:rPr>
          <w:rFonts w:hint="eastAsia" w:ascii="微软雅黑" w:hAnsi="微软雅黑" w:eastAsia="微软雅黑" w:cs="微软雅黑"/>
          <w:b/>
          <w:bCs/>
          <w:color w:val="auto"/>
          <w:sz w:val="22"/>
          <w:szCs w:val="22"/>
          <w:highlight w:val="none"/>
        </w:rPr>
        <w:t>未按照规定证明其报价合理性的；</w:t>
      </w:r>
    </w:p>
    <w:p w14:paraId="5806D0E0">
      <w:pPr>
        <w:pageBreakBefore w:val="0"/>
        <w:widowControl w:val="0"/>
        <w:numPr>
          <w:ilvl w:val="0"/>
          <w:numId w:val="0"/>
        </w:numPr>
        <w:kinsoku/>
        <w:wordWrap/>
        <w:overflowPunct/>
        <w:topLinePunct w:val="0"/>
        <w:bidi w:val="0"/>
        <w:spacing w:line="360" w:lineRule="exact"/>
        <w:ind w:left="-180" w:leftChars="0" w:firstLine="660" w:firstLineChars="300"/>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7</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rPr>
        <w:t>投标文件含有采购人不能接受的附加条件的；</w:t>
      </w:r>
    </w:p>
    <w:p w14:paraId="663029EE">
      <w:pPr>
        <w:pageBreakBefore w:val="0"/>
        <w:widowControl w:val="0"/>
        <w:numPr>
          <w:ilvl w:val="0"/>
          <w:numId w:val="0"/>
        </w:numPr>
        <w:tabs>
          <w:tab w:val="left" w:pos="0"/>
        </w:tabs>
        <w:kinsoku/>
        <w:wordWrap/>
        <w:overflowPunct/>
        <w:topLinePunct w:val="0"/>
        <w:bidi w:val="0"/>
        <w:spacing w:line="360" w:lineRule="exact"/>
        <w:ind w:left="-180" w:leftChars="0" w:firstLine="660" w:firstLineChars="300"/>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8</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rPr>
        <w:t>不符合法规和招标文件中规定的其他实质性要求的。</w:t>
      </w:r>
    </w:p>
    <w:p w14:paraId="007299BD">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22.3   有下列情形之一的，属于恶意串通，对供应商依照政府采购法第七十七条第一款的规定追究法律责任，对采购人、采购代理机构及其工作人员依照政府采购法第七十二条的规定追究法律责任：</w:t>
      </w:r>
    </w:p>
    <w:p w14:paraId="441120F9">
      <w:pPr>
        <w:pageBreakBefore w:val="0"/>
        <w:widowControl w:val="0"/>
        <w:kinsoku/>
        <w:wordWrap/>
        <w:overflowPunct/>
        <w:topLinePunct w:val="0"/>
        <w:bidi w:val="0"/>
        <w:spacing w:line="360" w:lineRule="exact"/>
        <w:ind w:left="825" w:leftChars="0" w:hanging="825" w:hangingChars="375"/>
        <w:jc w:val="both"/>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　　 （1）供应商直接或者间接从采购人或者采购代理机构处获得其他供应商的相关情况并修改其投标文件或者响应文件；</w:t>
      </w:r>
    </w:p>
    <w:p w14:paraId="0FEF54FC">
      <w:pPr>
        <w:pageBreakBefore w:val="0"/>
        <w:widowControl w:val="0"/>
        <w:kinsoku/>
        <w:wordWrap/>
        <w:overflowPunct/>
        <w:topLinePunct w:val="0"/>
        <w:bidi w:val="0"/>
        <w:spacing w:line="360" w:lineRule="exact"/>
        <w:ind w:left="825" w:leftChars="0" w:hanging="825" w:hangingChars="375"/>
        <w:jc w:val="both"/>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　　 （2）供应商按照采购人或者采购代理机构的授意撤换、修改投标文件或者响应文件；</w:t>
      </w:r>
    </w:p>
    <w:p w14:paraId="0795C521">
      <w:pPr>
        <w:pageBreakBefore w:val="0"/>
        <w:widowControl w:val="0"/>
        <w:kinsoku/>
        <w:wordWrap/>
        <w:overflowPunct/>
        <w:topLinePunct w:val="0"/>
        <w:bidi w:val="0"/>
        <w:spacing w:line="360" w:lineRule="exact"/>
        <w:ind w:left="825" w:leftChars="0" w:hanging="825" w:hangingChars="375"/>
        <w:jc w:val="both"/>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　　 （3）供应商之间协商报价、技术方案等投标文件或者响应文件的实质性内容；</w:t>
      </w:r>
    </w:p>
    <w:p w14:paraId="0AC49612">
      <w:pPr>
        <w:pageBreakBefore w:val="0"/>
        <w:widowControl w:val="0"/>
        <w:kinsoku/>
        <w:wordWrap/>
        <w:overflowPunct/>
        <w:topLinePunct w:val="0"/>
        <w:bidi w:val="0"/>
        <w:spacing w:line="360" w:lineRule="exact"/>
        <w:ind w:left="825" w:leftChars="0" w:hanging="825" w:hangingChars="375"/>
        <w:jc w:val="both"/>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　　 （4）属于同一集团、协会、商会等组织成员的供应商按照该组织要求协同参加政府采购活动；</w:t>
      </w:r>
    </w:p>
    <w:p w14:paraId="41D079F0">
      <w:pPr>
        <w:pageBreakBefore w:val="0"/>
        <w:widowControl w:val="0"/>
        <w:kinsoku/>
        <w:wordWrap/>
        <w:overflowPunct/>
        <w:topLinePunct w:val="0"/>
        <w:bidi w:val="0"/>
        <w:spacing w:line="360" w:lineRule="exact"/>
        <w:ind w:left="825" w:leftChars="0" w:hanging="825" w:hangingChars="375"/>
        <w:jc w:val="both"/>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　　 （5）供应商之间事先约定由某一特定供应商中标、成交；</w:t>
      </w:r>
    </w:p>
    <w:p w14:paraId="7D56B70D">
      <w:pPr>
        <w:pageBreakBefore w:val="0"/>
        <w:widowControl w:val="0"/>
        <w:kinsoku/>
        <w:wordWrap/>
        <w:overflowPunct/>
        <w:topLinePunct w:val="0"/>
        <w:bidi w:val="0"/>
        <w:spacing w:line="360" w:lineRule="exact"/>
        <w:ind w:left="825" w:leftChars="0" w:hanging="825" w:hangingChars="375"/>
        <w:jc w:val="both"/>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　　 （6）供应商之间商定部分供应商放弃参加政府采购活动或者放弃中标、成交；</w:t>
      </w:r>
    </w:p>
    <w:p w14:paraId="7E7F8E19">
      <w:pPr>
        <w:pageBreakBefore w:val="0"/>
        <w:widowControl w:val="0"/>
        <w:kinsoku/>
        <w:wordWrap/>
        <w:overflowPunct/>
        <w:topLinePunct w:val="0"/>
        <w:bidi w:val="0"/>
        <w:spacing w:line="360" w:lineRule="exact"/>
        <w:ind w:left="825" w:leftChars="0" w:hanging="825" w:hangingChars="375"/>
        <w:jc w:val="both"/>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　　 （7）供应商与采购人或者采购代理机构之间、供应商相互之间，为谋求特定供应商中标、成交或者排斥其他供应商的其他串通行为。</w:t>
      </w:r>
    </w:p>
    <w:p w14:paraId="0DB8C7EA">
      <w:pPr>
        <w:pStyle w:val="2"/>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1035" w:name="_Toc24896"/>
      <w:bookmarkStart w:id="1036" w:name="_Toc22981"/>
      <w:bookmarkStart w:id="1037" w:name="_Toc13922"/>
      <w:bookmarkStart w:id="1038" w:name="_Toc13652"/>
      <w:bookmarkStart w:id="1039" w:name="_Toc20984"/>
      <w:bookmarkStart w:id="1040" w:name="_Toc28951"/>
      <w:bookmarkStart w:id="1041" w:name="_Toc14425"/>
      <w:bookmarkStart w:id="1042" w:name="_Toc14161"/>
      <w:bookmarkStart w:id="1043" w:name="_Toc20498"/>
      <w:bookmarkStart w:id="1044" w:name="_Toc1180"/>
      <w:bookmarkStart w:id="1045" w:name="_Toc20639"/>
      <w:bookmarkStart w:id="1046" w:name="_Toc25534"/>
      <w:bookmarkStart w:id="1047" w:name="_Toc25084"/>
      <w:bookmarkStart w:id="1048" w:name="_Toc22941"/>
      <w:bookmarkStart w:id="1049" w:name="_Toc7075"/>
      <w:bookmarkStart w:id="1050" w:name="_Toc22160"/>
      <w:bookmarkStart w:id="1051" w:name="_Toc4328"/>
      <w:bookmarkStart w:id="1052" w:name="_Toc27209"/>
      <w:bookmarkStart w:id="1053" w:name="_Toc13566"/>
      <w:bookmarkStart w:id="1054" w:name="_Toc2833"/>
      <w:bookmarkStart w:id="1055" w:name="_Toc28134"/>
      <w:bookmarkStart w:id="1056" w:name="_Toc24512"/>
      <w:bookmarkStart w:id="1057" w:name="_Toc5577"/>
      <w:bookmarkStart w:id="1058" w:name="_Toc20938"/>
      <w:bookmarkStart w:id="1059" w:name="_Toc31181"/>
      <w:bookmarkStart w:id="1060" w:name="_Toc5015"/>
      <w:bookmarkStart w:id="1061" w:name="_Toc17418"/>
      <w:bookmarkStart w:id="1062" w:name="_Toc3056"/>
      <w:bookmarkStart w:id="1063" w:name="_Toc32250"/>
      <w:bookmarkStart w:id="1064" w:name="_Toc3877"/>
      <w:bookmarkStart w:id="1065" w:name="_Toc30252"/>
      <w:bookmarkStart w:id="1066" w:name="_Toc25462"/>
      <w:bookmarkStart w:id="1067" w:name="_Toc25837"/>
      <w:bookmarkStart w:id="1068" w:name="_Toc9523"/>
      <w:bookmarkStart w:id="1069" w:name="_Toc17206"/>
      <w:bookmarkStart w:id="1070" w:name="_Toc26457"/>
      <w:bookmarkStart w:id="1071" w:name="_Toc14263"/>
      <w:bookmarkStart w:id="1072" w:name="_Toc10590"/>
      <w:bookmarkStart w:id="1073" w:name="_Toc16940"/>
      <w:bookmarkStart w:id="1074" w:name="_Toc6292"/>
      <w:bookmarkStart w:id="1075" w:name="_Toc515647784"/>
      <w:bookmarkStart w:id="1076" w:name="_Toc16915"/>
      <w:bookmarkStart w:id="1077" w:name="_Toc24694"/>
      <w:r>
        <w:rPr>
          <w:rFonts w:hint="eastAsia" w:ascii="微软雅黑" w:hAnsi="微软雅黑" w:eastAsia="微软雅黑" w:cs="微软雅黑"/>
          <w:b/>
          <w:bCs/>
          <w:color w:val="auto"/>
          <w:sz w:val="22"/>
          <w:szCs w:val="22"/>
          <w:highlight w:val="none"/>
          <w:u w:val="none"/>
        </w:rPr>
        <w:t>23.</w:t>
      </w:r>
      <w:bookmarkEnd w:id="942"/>
      <w:r>
        <w:rPr>
          <w:rFonts w:hint="eastAsia" w:ascii="微软雅黑" w:hAnsi="微软雅黑" w:eastAsia="微软雅黑" w:cs="微软雅黑"/>
          <w:b/>
          <w:bCs/>
          <w:color w:val="auto"/>
          <w:sz w:val="22"/>
          <w:szCs w:val="22"/>
          <w:highlight w:val="none"/>
          <w:u w:val="none"/>
        </w:rPr>
        <w:t>比较与评价</w:t>
      </w:r>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p>
    <w:p w14:paraId="5E04F9A7">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23.1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经符合性审查合格的投标文件，评标委员会将根据招标文件确定的评标方法和标准，对其技术部分和商务部分作进一步的比较和评价。</w:t>
      </w:r>
    </w:p>
    <w:p w14:paraId="16FF19F8">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23.2  </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评标严格按照招标文件的要求和条件进行。根据实际情况，在</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w:t>
      </w:r>
      <w:r>
        <w:rPr>
          <w:rFonts w:hint="eastAsia" w:ascii="微软雅黑" w:hAnsi="微软雅黑" w:eastAsia="微软雅黑" w:cs="微软雅黑"/>
          <w:color w:val="auto"/>
          <w:sz w:val="22"/>
          <w:szCs w:val="22"/>
          <w:highlight w:val="none"/>
        </w:rPr>
        <w:t>中规定采用下列一种评标方法，详细评标标准见招标文件第六章：</w:t>
      </w:r>
    </w:p>
    <w:p w14:paraId="1FE449A4">
      <w:pPr>
        <w:pStyle w:val="16"/>
        <w:pageBreakBefore w:val="0"/>
        <w:widowControl w:val="0"/>
        <w:kinsoku/>
        <w:wordWrap/>
        <w:overflowPunct/>
        <w:topLinePunct w:val="0"/>
        <w:bidi w:val="0"/>
        <w:spacing w:line="360" w:lineRule="exact"/>
        <w:ind w:left="239" w:leftChars="114" w:firstLine="28" w:firstLineChars="13"/>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（1）最低评标价法，是指投标文件满足招标文件全部实质性要求，且投标报价最低的</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为中标候选人的评标方法。</w:t>
      </w:r>
    </w:p>
    <w:p w14:paraId="372623BB">
      <w:pPr>
        <w:pStyle w:val="16"/>
        <w:pageBreakBefore w:val="0"/>
        <w:widowControl w:val="0"/>
        <w:kinsoku/>
        <w:wordWrap/>
        <w:overflowPunct/>
        <w:topLinePunct w:val="0"/>
        <w:bidi w:val="0"/>
        <w:spacing w:line="360" w:lineRule="exact"/>
        <w:ind w:left="239" w:leftChars="114" w:firstLine="30" w:firstLineChars="14"/>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（2）综合评分法，是指投标文件满足招标文件全部实质性要求，且按照评审因素的量化指标评审得分最高的</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为中标候选人的评标方法。</w:t>
      </w:r>
    </w:p>
    <w:p w14:paraId="54F2EC8C">
      <w:pPr>
        <w:pStyle w:val="16"/>
        <w:pageBreakBefore w:val="0"/>
        <w:widowControl w:val="0"/>
        <w:kinsoku/>
        <w:wordWrap/>
        <w:overflowPunct/>
        <w:topLinePunct w:val="0"/>
        <w:bidi w:val="0"/>
        <w:spacing w:line="360" w:lineRule="exact"/>
        <w:ind w:left="239" w:leftChars="114" w:firstLine="31" w:firstLineChars="14"/>
        <w:textAlignment w:val="auto"/>
        <w:rPr>
          <w:rFonts w:hint="eastAsia" w:ascii="微软雅黑" w:hAnsi="微软雅黑" w:eastAsia="微软雅黑" w:cs="微软雅黑"/>
          <w:b/>
          <w:bCs/>
          <w:color w:val="auto"/>
          <w:sz w:val="22"/>
          <w:szCs w:val="22"/>
          <w:highlight w:val="none"/>
          <w:lang w:val="en-US" w:eastAsia="zh-CN"/>
        </w:rPr>
      </w:pPr>
      <w:r>
        <w:rPr>
          <w:rFonts w:hint="eastAsia" w:ascii="微软雅黑" w:hAnsi="微软雅黑" w:eastAsia="微软雅黑" w:cs="微软雅黑"/>
          <w:b/>
          <w:bCs/>
          <w:color w:val="auto"/>
          <w:sz w:val="22"/>
          <w:szCs w:val="22"/>
          <w:highlight w:val="none"/>
          <w:lang w:val="en-US" w:eastAsia="zh-CN"/>
        </w:rPr>
        <w:t>本项目</w:t>
      </w:r>
      <w:r>
        <w:rPr>
          <w:rFonts w:hint="eastAsia" w:ascii="微软雅黑" w:hAnsi="微软雅黑" w:eastAsia="微软雅黑" w:cs="微软雅黑"/>
          <w:b/>
          <w:bCs/>
          <w:color w:val="auto"/>
          <w:sz w:val="22"/>
          <w:szCs w:val="22"/>
          <w:highlight w:val="none"/>
        </w:rPr>
        <w:t>采用综合评分法</w:t>
      </w:r>
      <w:r>
        <w:rPr>
          <w:rFonts w:hint="eastAsia" w:ascii="微软雅黑" w:hAnsi="微软雅黑" w:eastAsia="微软雅黑" w:cs="微软雅黑"/>
          <w:b/>
          <w:bCs/>
          <w:color w:val="auto"/>
          <w:sz w:val="22"/>
          <w:szCs w:val="22"/>
          <w:highlight w:val="none"/>
          <w:lang w:eastAsia="zh-CN"/>
        </w:rPr>
        <w:t>。</w:t>
      </w:r>
      <w:bookmarkStart w:id="1078" w:name="_Toc520356168"/>
      <w:bookmarkStart w:id="1079" w:name="_Toc20227"/>
      <w:bookmarkStart w:id="1080" w:name="_Toc19218"/>
      <w:bookmarkStart w:id="1081" w:name="_Toc5540"/>
      <w:bookmarkStart w:id="1082" w:name="_Toc9378"/>
      <w:bookmarkStart w:id="1083" w:name="_Toc23302"/>
      <w:bookmarkStart w:id="1084" w:name="_Toc6751"/>
      <w:bookmarkStart w:id="1085" w:name="_Toc27067"/>
      <w:bookmarkStart w:id="1086" w:name="_Toc23488"/>
      <w:bookmarkStart w:id="1087" w:name="_Toc674"/>
      <w:bookmarkStart w:id="1088" w:name="_Toc1586"/>
      <w:bookmarkStart w:id="1089" w:name="_Toc8081"/>
      <w:bookmarkStart w:id="1090" w:name="_Toc30532"/>
      <w:bookmarkStart w:id="1091" w:name="_Toc14038"/>
      <w:bookmarkStart w:id="1092" w:name="_Toc6053"/>
      <w:bookmarkStart w:id="1093" w:name="_Toc31084"/>
      <w:bookmarkStart w:id="1094" w:name="_Toc30611"/>
      <w:bookmarkStart w:id="1095" w:name="_Toc12754"/>
      <w:bookmarkStart w:id="1096" w:name="_Toc30004"/>
      <w:bookmarkStart w:id="1097" w:name="_Toc26540"/>
      <w:bookmarkStart w:id="1098" w:name="_Toc7770"/>
      <w:bookmarkStart w:id="1099" w:name="_Toc14346"/>
      <w:bookmarkStart w:id="1100" w:name="_Toc9820"/>
      <w:bookmarkStart w:id="1101" w:name="_Toc28953"/>
      <w:bookmarkStart w:id="1102" w:name="_Toc29970"/>
      <w:bookmarkStart w:id="1103" w:name="_Toc7092"/>
      <w:bookmarkStart w:id="1104" w:name="_Toc7858"/>
      <w:bookmarkStart w:id="1105" w:name="_Toc515647785"/>
      <w:bookmarkStart w:id="1106" w:name="_Toc20064"/>
      <w:bookmarkStart w:id="1107" w:name="_Toc13678"/>
      <w:r>
        <w:rPr>
          <w:rFonts w:hint="eastAsia" w:ascii="微软雅黑" w:hAnsi="微软雅黑" w:eastAsia="微软雅黑" w:cs="微软雅黑"/>
          <w:b/>
          <w:bCs/>
          <w:color w:val="auto"/>
          <w:sz w:val="22"/>
          <w:szCs w:val="22"/>
          <w:highlight w:val="none"/>
          <w:lang w:val="en-US" w:eastAsia="zh-CN"/>
        </w:rPr>
        <w:t>标项2：价格：30%；商务：8%；技术：62%。</w:t>
      </w:r>
    </w:p>
    <w:p w14:paraId="4FB300C3">
      <w:pPr>
        <w:pStyle w:val="16"/>
        <w:spacing w:line="340" w:lineRule="exact"/>
        <w:ind w:left="480" w:hanging="440" w:hangingChars="200"/>
        <w:rPr>
          <w:rFonts w:hint="eastAsia" w:ascii="微软雅黑" w:hAnsi="微软雅黑" w:eastAsia="微软雅黑" w:cs="微软雅黑"/>
          <w:b/>
          <w:bCs/>
          <w:color w:val="auto"/>
          <w:kern w:val="2"/>
          <w:sz w:val="22"/>
          <w:szCs w:val="22"/>
          <w:highlight w:val="none"/>
          <w:lang w:val="en-US" w:eastAsia="zh-CN" w:bidi="ar-SA"/>
        </w:rPr>
      </w:pPr>
      <w:r>
        <w:rPr>
          <w:rFonts w:hint="eastAsia" w:ascii="微软雅黑" w:hAnsi="微软雅黑" w:eastAsia="微软雅黑" w:cs="微软雅黑"/>
          <w:b/>
          <w:bCs/>
          <w:color w:val="auto"/>
          <w:kern w:val="2"/>
          <w:sz w:val="22"/>
          <w:szCs w:val="22"/>
          <w:highlight w:val="none"/>
          <w:lang w:val="en-US" w:eastAsia="zh-CN" w:bidi="ar-SA"/>
        </w:rPr>
        <w:t>23.3  本项目不专门面向中小企业采购。根据《政府采购促进中小企业发展管理办法》（财库[2020]46号）、《财政部司法部关于政府采购支持监狱企业发展有关问 题 的通知》（财库〔2014〕68号）、《三部门联合发布关于促进残疾人就业政府采购政策的通知》（财库〔2017〕141号）和财政部关于进一步加大政府采购支持中小企业力度的通知》财库〔2022〕19号的规定，其中小型、微型及小微企业在投标文件中提交了《中小企业声明函》、《残疾人福利性单位声明函》或省级以上监狱管理局、戒毒管理局（含新疆生产建设兵团）出具的属于监狱企业的证明文件的供应商。</w:t>
      </w:r>
      <w:r>
        <w:rPr>
          <w:rFonts w:hint="eastAsia" w:ascii="微软雅黑" w:hAnsi="微软雅黑" w:eastAsia="微软雅黑" w:cs="微软雅黑"/>
          <w:b/>
          <w:bCs/>
          <w:sz w:val="22"/>
          <w:szCs w:val="22"/>
          <w:highlight w:val="none"/>
        </w:rPr>
        <w:t>其报价扣除</w:t>
      </w:r>
      <w:r>
        <w:rPr>
          <w:rFonts w:hint="eastAsia" w:ascii="微软雅黑" w:hAnsi="微软雅黑" w:eastAsia="微软雅黑" w:cs="微软雅黑"/>
          <w:b/>
          <w:bCs/>
          <w:sz w:val="22"/>
          <w:szCs w:val="22"/>
          <w:highlight w:val="none"/>
          <w:u w:val="single"/>
        </w:rPr>
        <w:t xml:space="preserve">  10  %</w:t>
      </w:r>
      <w:r>
        <w:rPr>
          <w:rFonts w:hint="eastAsia" w:ascii="微软雅黑" w:hAnsi="微软雅黑" w:eastAsia="微软雅黑" w:cs="微软雅黑"/>
          <w:b/>
          <w:bCs/>
          <w:sz w:val="22"/>
          <w:szCs w:val="22"/>
          <w:highlight w:val="none"/>
        </w:rPr>
        <w:t>后参与评审。对于同时属于小型、微型及小微企业、监狱企业或残疾人福利性单位的，不重复进行报价扣除。具体办法详见招标文件第6章。</w:t>
      </w:r>
    </w:p>
    <w:p w14:paraId="5A1B7AC8">
      <w:pPr>
        <w:pStyle w:val="2"/>
        <w:pageBreakBefore w:val="0"/>
        <w:widowControl w:val="0"/>
        <w:kinsoku/>
        <w:wordWrap/>
        <w:overflowPunct/>
        <w:topLinePunct w:val="0"/>
        <w:bidi w:val="0"/>
        <w:spacing w:before="0" w:after="0" w:line="340" w:lineRule="exact"/>
        <w:ind w:left="0" w:leftChars="0"/>
        <w:textAlignment w:val="auto"/>
        <w:rPr>
          <w:rFonts w:hint="eastAsia" w:ascii="微软雅黑" w:hAnsi="微软雅黑" w:eastAsia="微软雅黑" w:cs="微软雅黑"/>
          <w:b/>
          <w:bCs/>
          <w:color w:val="auto"/>
          <w:sz w:val="22"/>
          <w:szCs w:val="22"/>
          <w:highlight w:val="none"/>
          <w:u w:val="none"/>
        </w:rPr>
      </w:pPr>
      <w:bookmarkStart w:id="1108" w:name="_Toc20617"/>
      <w:bookmarkStart w:id="1109" w:name="_Toc28016"/>
      <w:bookmarkStart w:id="1110" w:name="_Toc23375"/>
      <w:bookmarkStart w:id="1111" w:name="_Toc3415"/>
      <w:bookmarkStart w:id="1112" w:name="_Toc6902"/>
      <w:bookmarkStart w:id="1113" w:name="_Toc8446"/>
      <w:bookmarkStart w:id="1114" w:name="_Toc21648"/>
      <w:bookmarkStart w:id="1115" w:name="_Toc22918"/>
      <w:bookmarkStart w:id="1116" w:name="_Toc8210"/>
      <w:bookmarkStart w:id="1117" w:name="_Toc23768"/>
      <w:bookmarkStart w:id="1118" w:name="_Toc3988"/>
      <w:bookmarkStart w:id="1119" w:name="_Toc3389"/>
      <w:bookmarkStart w:id="1120" w:name="_Toc26289"/>
      <w:bookmarkStart w:id="1121" w:name="_Toc12274"/>
      <w:bookmarkStart w:id="1122" w:name="_Toc296"/>
      <w:bookmarkStart w:id="1123" w:name="_Toc2999"/>
      <w:bookmarkStart w:id="1124" w:name="_Toc27445"/>
      <w:r>
        <w:rPr>
          <w:rFonts w:hint="eastAsia" w:ascii="微软雅黑" w:hAnsi="微软雅黑" w:eastAsia="微软雅黑" w:cs="微软雅黑"/>
          <w:b/>
          <w:bCs/>
          <w:color w:val="auto"/>
          <w:sz w:val="22"/>
          <w:szCs w:val="22"/>
          <w:highlight w:val="none"/>
          <w:u w:val="none"/>
        </w:rPr>
        <w:t>24</w:t>
      </w:r>
      <w:bookmarkEnd w:id="1078"/>
      <w:r>
        <w:rPr>
          <w:rFonts w:hint="eastAsia" w:ascii="微软雅黑" w:hAnsi="微软雅黑" w:eastAsia="微软雅黑" w:cs="微软雅黑"/>
          <w:b/>
          <w:bCs/>
          <w:color w:val="auto"/>
          <w:sz w:val="22"/>
          <w:szCs w:val="22"/>
          <w:highlight w:val="none"/>
          <w:u w:val="none"/>
        </w:rPr>
        <w:t>.废标</w:t>
      </w:r>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14:paraId="47554442">
      <w:pPr>
        <w:pageBreakBefore w:val="0"/>
        <w:widowControl w:val="0"/>
        <w:kinsoku/>
        <w:wordWrap/>
        <w:overflowPunct/>
        <w:topLinePunct w:val="0"/>
        <w:bidi w:val="0"/>
        <w:spacing w:line="340" w:lineRule="exact"/>
        <w:ind w:left="55" w:leftChars="0" w:hanging="55" w:hangingChars="2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b/>
          <w:bCs/>
          <w:color w:val="auto"/>
          <w:sz w:val="22"/>
          <w:szCs w:val="22"/>
          <w:highlight w:val="none"/>
          <w:lang w:val="en-US" w:eastAsia="zh-CN"/>
        </w:rPr>
        <w:t>24.1</w:t>
      </w:r>
      <w:r>
        <w:rPr>
          <w:rFonts w:hint="eastAsia" w:ascii="微软雅黑" w:hAnsi="微软雅黑" w:eastAsia="微软雅黑" w:cs="微软雅黑"/>
          <w:b/>
          <w:bCs/>
          <w:color w:val="auto"/>
          <w:sz w:val="22"/>
          <w:szCs w:val="22"/>
          <w:highlight w:val="none"/>
        </w:rPr>
        <w:t>出现下列情形之一，将导致项目废标：</w:t>
      </w:r>
      <w:r>
        <w:rPr>
          <w:rFonts w:hint="eastAsia" w:ascii="微软雅黑" w:hAnsi="微软雅黑" w:eastAsia="微软雅黑" w:cs="微软雅黑"/>
          <w:color w:val="auto"/>
          <w:sz w:val="22"/>
          <w:szCs w:val="22"/>
          <w:highlight w:val="none"/>
        </w:rPr>
        <w:t xml:space="preserve"> </w:t>
      </w:r>
    </w:p>
    <w:p w14:paraId="4FE4AF83">
      <w:pPr>
        <w:pageBreakBefore w:val="0"/>
        <w:widowControl w:val="0"/>
        <w:kinsoku/>
        <w:wordWrap/>
        <w:overflowPunct/>
        <w:topLinePunct w:val="0"/>
        <w:bidi w:val="0"/>
        <w:spacing w:line="340" w:lineRule="exact"/>
        <w:ind w:left="825" w:leftChars="0" w:hanging="825" w:hangingChars="375"/>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b/>
          <w:bCs/>
          <w:color w:val="auto"/>
          <w:sz w:val="22"/>
          <w:szCs w:val="22"/>
          <w:highlight w:val="none"/>
        </w:rPr>
        <w:t>（1）符合专业条件的供应商或者对招标文件做实质性响应的供应商不足三家；</w:t>
      </w:r>
    </w:p>
    <w:p w14:paraId="50601783">
      <w:pPr>
        <w:pageBreakBefore w:val="0"/>
        <w:widowControl w:val="0"/>
        <w:kinsoku/>
        <w:wordWrap/>
        <w:overflowPunct/>
        <w:topLinePunct w:val="0"/>
        <w:bidi w:val="0"/>
        <w:spacing w:line="340" w:lineRule="exact"/>
        <w:ind w:left="825" w:leftChars="0" w:hanging="825" w:hangingChars="375"/>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ab/>
      </w:r>
      <w:r>
        <w:rPr>
          <w:rFonts w:hint="eastAsia" w:ascii="微软雅黑" w:hAnsi="微软雅黑" w:eastAsia="微软雅黑" w:cs="微软雅黑"/>
          <w:b/>
          <w:bCs/>
          <w:color w:val="auto"/>
          <w:sz w:val="22"/>
          <w:szCs w:val="22"/>
          <w:highlight w:val="none"/>
        </w:rPr>
        <w:t>（2）出现影响采购公正的违法、违规行为的；</w:t>
      </w:r>
    </w:p>
    <w:p w14:paraId="464A7966">
      <w:pPr>
        <w:pageBreakBefore w:val="0"/>
        <w:widowControl w:val="0"/>
        <w:kinsoku/>
        <w:wordWrap/>
        <w:overflowPunct/>
        <w:topLinePunct w:val="0"/>
        <w:bidi w:val="0"/>
        <w:spacing w:line="340" w:lineRule="exact"/>
        <w:ind w:left="0" w:leftChars="0" w:firstLine="770" w:firstLineChars="350"/>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（3）</w:t>
      </w:r>
      <w:r>
        <w:rPr>
          <w:rFonts w:hint="eastAsia" w:ascii="微软雅黑" w:hAnsi="微软雅黑" w:eastAsia="微软雅黑" w:cs="微软雅黑"/>
          <w:b/>
          <w:bCs/>
          <w:color w:val="auto"/>
          <w:sz w:val="22"/>
          <w:szCs w:val="22"/>
          <w:highlight w:val="none"/>
          <w:lang w:eastAsia="zh-CN"/>
        </w:rPr>
        <w:t>供应商</w:t>
      </w:r>
      <w:r>
        <w:rPr>
          <w:rFonts w:hint="eastAsia" w:ascii="微软雅黑" w:hAnsi="微软雅黑" w:eastAsia="微软雅黑" w:cs="微软雅黑"/>
          <w:b/>
          <w:bCs/>
          <w:color w:val="auto"/>
          <w:sz w:val="22"/>
          <w:szCs w:val="22"/>
          <w:highlight w:val="none"/>
        </w:rPr>
        <w:t>的报价均超过了采购预算，采购人不能支付的；</w:t>
      </w:r>
    </w:p>
    <w:p w14:paraId="720BF727">
      <w:pPr>
        <w:pageBreakBefore w:val="0"/>
        <w:widowControl w:val="0"/>
        <w:kinsoku/>
        <w:wordWrap/>
        <w:overflowPunct/>
        <w:topLinePunct w:val="0"/>
        <w:bidi w:val="0"/>
        <w:spacing w:line="340" w:lineRule="exact"/>
        <w:ind w:left="0" w:leftChars="0" w:firstLine="770" w:firstLineChars="35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b/>
          <w:bCs/>
          <w:color w:val="auto"/>
          <w:sz w:val="22"/>
          <w:szCs w:val="22"/>
          <w:highlight w:val="none"/>
        </w:rPr>
        <w:t xml:space="preserve">（4）因重大变故，采购任务取消的。  </w:t>
      </w:r>
      <w:r>
        <w:rPr>
          <w:rFonts w:hint="eastAsia" w:ascii="微软雅黑" w:hAnsi="微软雅黑" w:eastAsia="微软雅黑" w:cs="微软雅黑"/>
          <w:color w:val="auto"/>
          <w:sz w:val="22"/>
          <w:szCs w:val="22"/>
          <w:highlight w:val="none"/>
        </w:rPr>
        <w:t xml:space="preserve"> </w:t>
      </w:r>
    </w:p>
    <w:p w14:paraId="7805DDF5">
      <w:pPr>
        <w:pStyle w:val="2"/>
        <w:pageBreakBefore w:val="0"/>
        <w:widowControl w:val="0"/>
        <w:kinsoku/>
        <w:wordWrap/>
        <w:overflowPunct/>
        <w:topLinePunct w:val="0"/>
        <w:bidi w:val="0"/>
        <w:spacing w:before="0" w:after="0" w:line="340" w:lineRule="exact"/>
        <w:ind w:left="0" w:leftChars="0"/>
        <w:textAlignment w:val="auto"/>
        <w:rPr>
          <w:rFonts w:hint="eastAsia" w:ascii="微软雅黑" w:hAnsi="微软雅黑" w:eastAsia="微软雅黑" w:cs="微软雅黑"/>
          <w:b/>
          <w:bCs/>
          <w:color w:val="auto"/>
          <w:sz w:val="22"/>
          <w:szCs w:val="22"/>
          <w:highlight w:val="none"/>
          <w:u w:val="none"/>
        </w:rPr>
      </w:pPr>
      <w:bookmarkStart w:id="1125" w:name="_Toc12930"/>
      <w:bookmarkStart w:id="1126" w:name="_Toc2073"/>
      <w:bookmarkStart w:id="1127" w:name="_Toc3793"/>
      <w:bookmarkStart w:id="1128" w:name="_Toc25775"/>
      <w:bookmarkStart w:id="1129" w:name="_Toc27604"/>
      <w:bookmarkStart w:id="1130" w:name="_Toc11792"/>
      <w:bookmarkStart w:id="1131" w:name="_Toc21671"/>
      <w:bookmarkStart w:id="1132" w:name="_Toc5674"/>
      <w:bookmarkStart w:id="1133" w:name="_Toc7287"/>
      <w:bookmarkStart w:id="1134" w:name="_Toc24991"/>
      <w:bookmarkStart w:id="1135" w:name="_Toc24516"/>
      <w:bookmarkStart w:id="1136" w:name="_Toc5599"/>
      <w:bookmarkStart w:id="1137" w:name="_Toc5328"/>
      <w:bookmarkStart w:id="1138" w:name="_Toc28383"/>
      <w:bookmarkStart w:id="1139" w:name="_Toc32462"/>
      <w:bookmarkStart w:id="1140" w:name="_Toc30848"/>
      <w:bookmarkStart w:id="1141" w:name="_Toc9864"/>
      <w:bookmarkStart w:id="1142" w:name="_Toc23725"/>
      <w:bookmarkStart w:id="1143" w:name="_Toc25422"/>
      <w:bookmarkStart w:id="1144" w:name="_Toc24099"/>
      <w:bookmarkStart w:id="1145" w:name="_Toc24972"/>
      <w:bookmarkStart w:id="1146" w:name="_Toc31289"/>
      <w:bookmarkStart w:id="1147" w:name="_Toc29646"/>
      <w:bookmarkStart w:id="1148" w:name="_Toc24015"/>
      <w:bookmarkStart w:id="1149" w:name="_Toc6801"/>
      <w:bookmarkStart w:id="1150" w:name="_Toc21697"/>
      <w:bookmarkStart w:id="1151" w:name="_Toc5401"/>
      <w:bookmarkStart w:id="1152" w:name="_Toc15477"/>
      <w:bookmarkStart w:id="1153" w:name="_Toc17389"/>
      <w:bookmarkStart w:id="1154" w:name="_Toc29790"/>
      <w:bookmarkStart w:id="1155" w:name="_Toc11987"/>
      <w:bookmarkStart w:id="1156" w:name="_Toc10657"/>
      <w:bookmarkStart w:id="1157" w:name="_Toc27012"/>
      <w:bookmarkStart w:id="1158" w:name="_Toc11422"/>
      <w:bookmarkStart w:id="1159" w:name="_Toc31733"/>
      <w:bookmarkStart w:id="1160" w:name="_Toc19139"/>
      <w:bookmarkStart w:id="1161" w:name="_Toc5343"/>
      <w:bookmarkStart w:id="1162" w:name="_Toc31069"/>
      <w:bookmarkStart w:id="1163" w:name="_Toc5579"/>
      <w:bookmarkStart w:id="1164" w:name="_Toc22108"/>
      <w:bookmarkStart w:id="1165" w:name="_Toc18740"/>
      <w:bookmarkStart w:id="1166" w:name="_Toc28790"/>
      <w:bookmarkStart w:id="1167" w:name="_Toc515647786"/>
      <w:bookmarkStart w:id="1168" w:name="_Toc14179"/>
      <w:bookmarkStart w:id="1169" w:name="_Toc21380"/>
      <w:bookmarkStart w:id="1170" w:name="_Toc3667"/>
      <w:bookmarkStart w:id="1171" w:name="_Toc520356169"/>
      <w:r>
        <w:rPr>
          <w:rFonts w:hint="eastAsia" w:ascii="微软雅黑" w:hAnsi="微软雅黑" w:eastAsia="微软雅黑" w:cs="微软雅黑"/>
          <w:b/>
          <w:bCs/>
          <w:color w:val="auto"/>
          <w:sz w:val="22"/>
          <w:szCs w:val="22"/>
          <w:highlight w:val="none"/>
          <w:u w:val="none"/>
        </w:rPr>
        <w:t>25.保密原则</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p>
    <w:p w14:paraId="36737F5C">
      <w:pPr>
        <w:pageBreakBefore w:val="0"/>
        <w:widowControl w:val="0"/>
        <w:kinsoku/>
        <w:wordWrap/>
        <w:overflowPunct/>
        <w:topLinePunct w:val="0"/>
        <w:bidi w:val="0"/>
        <w:spacing w:line="34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25.1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评标将在严格保密的情况下进行。</w:t>
      </w:r>
    </w:p>
    <w:p w14:paraId="41A6F3B0">
      <w:pPr>
        <w:pageBreakBefore w:val="0"/>
        <w:widowControl w:val="0"/>
        <w:kinsoku/>
        <w:wordWrap/>
        <w:overflowPunct/>
        <w:topLinePunct w:val="0"/>
        <w:bidi w:val="0"/>
        <w:spacing w:line="34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25.2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政府采购评审专家应当遵守评审工作纪律，不得泄露评审文件、评审情况和评审中获悉的商业秘密。</w:t>
      </w:r>
    </w:p>
    <w:p w14:paraId="06F87746">
      <w:pPr>
        <w:pStyle w:val="6"/>
        <w:pageBreakBefore w:val="0"/>
        <w:widowControl w:val="0"/>
        <w:kinsoku/>
        <w:wordWrap/>
        <w:overflowPunct/>
        <w:topLinePunct w:val="0"/>
        <w:bidi w:val="0"/>
        <w:spacing w:before="0" w:line="340" w:lineRule="exact"/>
        <w:ind w:left="0" w:leftChars="0" w:hanging="540"/>
        <w:textAlignment w:val="auto"/>
        <w:rPr>
          <w:rFonts w:hint="eastAsia" w:ascii="微软雅黑" w:hAnsi="微软雅黑" w:eastAsia="微软雅黑" w:cs="微软雅黑"/>
          <w:color w:val="auto"/>
          <w:sz w:val="28"/>
          <w:szCs w:val="18"/>
          <w:highlight w:val="none"/>
        </w:rPr>
      </w:pPr>
      <w:bookmarkStart w:id="1172" w:name="_Toc216582810"/>
      <w:bookmarkStart w:id="1173" w:name="_Toc23904"/>
      <w:bookmarkStart w:id="1174" w:name="_Toc13127"/>
      <w:bookmarkStart w:id="1175" w:name="_Toc12143"/>
      <w:bookmarkStart w:id="1176" w:name="_Toc515647787"/>
      <w:bookmarkStart w:id="1177" w:name="_Toc31410"/>
      <w:r>
        <w:rPr>
          <w:rFonts w:hint="eastAsia" w:ascii="微软雅黑" w:hAnsi="微软雅黑" w:eastAsia="微软雅黑" w:cs="微软雅黑"/>
          <w:color w:val="auto"/>
          <w:sz w:val="22"/>
          <w:szCs w:val="18"/>
          <w:highlight w:val="none"/>
        </w:rPr>
        <w:t xml:space="preserve">六   </w:t>
      </w:r>
      <w:bookmarkEnd w:id="1171"/>
      <w:r>
        <w:rPr>
          <w:rFonts w:hint="eastAsia" w:ascii="微软雅黑" w:hAnsi="微软雅黑" w:eastAsia="微软雅黑" w:cs="微软雅黑"/>
          <w:color w:val="auto"/>
          <w:sz w:val="22"/>
          <w:szCs w:val="18"/>
          <w:highlight w:val="none"/>
        </w:rPr>
        <w:t>确定中标</w:t>
      </w:r>
      <w:bookmarkEnd w:id="1172"/>
      <w:bookmarkEnd w:id="1173"/>
      <w:bookmarkEnd w:id="1174"/>
      <w:bookmarkEnd w:id="1175"/>
      <w:bookmarkEnd w:id="1176"/>
      <w:bookmarkEnd w:id="1177"/>
    </w:p>
    <w:p w14:paraId="61EB68A6">
      <w:pPr>
        <w:pStyle w:val="2"/>
        <w:pageBreakBefore w:val="0"/>
        <w:widowControl w:val="0"/>
        <w:kinsoku/>
        <w:wordWrap/>
        <w:overflowPunct/>
        <w:topLinePunct w:val="0"/>
        <w:bidi w:val="0"/>
        <w:spacing w:before="0" w:after="0" w:line="340" w:lineRule="exact"/>
        <w:ind w:left="0" w:leftChars="0"/>
        <w:textAlignment w:val="auto"/>
        <w:rPr>
          <w:rFonts w:hint="eastAsia" w:ascii="微软雅黑" w:hAnsi="微软雅黑" w:eastAsia="微软雅黑" w:cs="微软雅黑"/>
          <w:b/>
          <w:bCs/>
          <w:color w:val="auto"/>
          <w:kern w:val="2"/>
          <w:sz w:val="22"/>
          <w:szCs w:val="22"/>
          <w:highlight w:val="none"/>
          <w:u w:val="none"/>
          <w:lang w:val="en-US" w:eastAsia="zh-CN" w:bidi="ar-SA"/>
        </w:rPr>
      </w:pPr>
      <w:bookmarkStart w:id="1178" w:name="_Toc17015"/>
      <w:bookmarkStart w:id="1179" w:name="_Toc14800"/>
      <w:bookmarkStart w:id="1180" w:name="_Toc23762"/>
      <w:bookmarkStart w:id="1181" w:name="_Toc6191"/>
      <w:bookmarkStart w:id="1182" w:name="_Toc24914"/>
      <w:bookmarkStart w:id="1183" w:name="_Toc1857"/>
      <w:bookmarkStart w:id="1184" w:name="_Toc23041"/>
      <w:bookmarkStart w:id="1185" w:name="_Toc5464"/>
      <w:bookmarkStart w:id="1186" w:name="_Toc17896"/>
      <w:bookmarkStart w:id="1187" w:name="_Toc22511"/>
      <w:bookmarkStart w:id="1188" w:name="_Toc27501"/>
      <w:bookmarkStart w:id="1189" w:name="_Toc31710"/>
      <w:bookmarkStart w:id="1190" w:name="_Toc30510"/>
      <w:bookmarkStart w:id="1191" w:name="_Toc15442"/>
      <w:bookmarkStart w:id="1192" w:name="_Toc1752"/>
      <w:bookmarkStart w:id="1193" w:name="_Toc10140"/>
      <w:bookmarkStart w:id="1194" w:name="_Toc15249"/>
      <w:bookmarkStart w:id="1195" w:name="_Toc4997"/>
      <w:bookmarkStart w:id="1196" w:name="_Toc154"/>
      <w:bookmarkStart w:id="1197" w:name="_Toc13044"/>
      <w:bookmarkStart w:id="1198" w:name="_Toc30366"/>
      <w:bookmarkStart w:id="1199" w:name="_Toc32133"/>
      <w:bookmarkStart w:id="1200" w:name="_Toc20061"/>
      <w:bookmarkStart w:id="1201" w:name="_Ref467307010"/>
      <w:bookmarkStart w:id="1202" w:name="_Toc24864"/>
      <w:bookmarkStart w:id="1203" w:name="_Toc28179"/>
      <w:bookmarkStart w:id="1204" w:name="_Toc13936"/>
      <w:bookmarkStart w:id="1205" w:name="_Toc515647788"/>
      <w:bookmarkStart w:id="1206" w:name="_Toc24563"/>
      <w:bookmarkStart w:id="1207" w:name="_Toc6381"/>
      <w:bookmarkStart w:id="1208" w:name="_Toc30698"/>
      <w:bookmarkStart w:id="1209" w:name="_Toc12168"/>
      <w:bookmarkStart w:id="1210" w:name="_Toc23645"/>
      <w:bookmarkStart w:id="1211" w:name="_Toc19418"/>
      <w:bookmarkStart w:id="1212" w:name="_Toc28916"/>
      <w:bookmarkStart w:id="1213" w:name="_Toc4164"/>
      <w:bookmarkStart w:id="1214" w:name="_Toc17461"/>
      <w:bookmarkStart w:id="1215" w:name="_Toc23474"/>
      <w:bookmarkStart w:id="1216" w:name="_Toc28004"/>
      <w:bookmarkStart w:id="1217" w:name="_Toc3746"/>
      <w:bookmarkStart w:id="1218" w:name="_Toc23916"/>
      <w:bookmarkStart w:id="1219" w:name="_Toc32200"/>
      <w:bookmarkStart w:id="1220" w:name="_Toc23617"/>
      <w:bookmarkStart w:id="1221" w:name="_Toc4383"/>
      <w:bookmarkStart w:id="1222" w:name="_Toc22631"/>
      <w:bookmarkStart w:id="1223" w:name="_Toc520356170"/>
      <w:bookmarkStart w:id="1224" w:name="_Toc29156"/>
      <w:r>
        <w:rPr>
          <w:rFonts w:hint="eastAsia" w:ascii="微软雅黑" w:hAnsi="微软雅黑" w:eastAsia="微软雅黑" w:cs="微软雅黑"/>
          <w:b/>
          <w:bCs/>
          <w:color w:val="auto"/>
          <w:kern w:val="2"/>
          <w:sz w:val="22"/>
          <w:szCs w:val="22"/>
          <w:highlight w:val="none"/>
          <w:u w:val="none"/>
          <w:lang w:val="en-US" w:eastAsia="zh-CN" w:bidi="ar-SA"/>
        </w:rPr>
        <w:t>26.中标候选人的确定原则及标准</w:t>
      </w:r>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p>
    <w:p w14:paraId="750C74D4">
      <w:pPr>
        <w:pageBreakBefore w:val="0"/>
        <w:widowControl w:val="0"/>
        <w:kinsoku/>
        <w:wordWrap/>
        <w:overflowPunct/>
        <w:topLinePunct w:val="0"/>
        <w:bidi w:val="0"/>
        <w:spacing w:line="340" w:lineRule="exact"/>
        <w:ind w:left="0" w:leftChars="0"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对实质上响应招标文件的</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按下列方法进行排序，确定投标候选人：</w:t>
      </w:r>
    </w:p>
    <w:p w14:paraId="4D6F8FB4">
      <w:pPr>
        <w:pageBreakBefore w:val="0"/>
        <w:widowControl w:val="0"/>
        <w:kinsoku/>
        <w:wordWrap/>
        <w:overflowPunct/>
        <w:topLinePunct w:val="0"/>
        <w:bidi w:val="0"/>
        <w:spacing w:line="340" w:lineRule="exact"/>
        <w:ind w:left="0" w:leftChars="0" w:firstLine="440" w:firstLineChars="200"/>
        <w:textAlignment w:val="auto"/>
        <w:rPr>
          <w:rFonts w:hint="eastAsia" w:ascii="微软雅黑" w:hAnsi="微软雅黑" w:eastAsia="微软雅黑" w:cs="微软雅黑"/>
          <w:color w:val="auto"/>
          <w:sz w:val="22"/>
          <w:szCs w:val="22"/>
          <w:highlight w:val="none"/>
        </w:rPr>
      </w:pPr>
      <w:bookmarkStart w:id="1225" w:name="_Toc520356171"/>
      <w:bookmarkStart w:id="1226" w:name="_Toc515647789"/>
      <w:r>
        <w:rPr>
          <w:rFonts w:hint="eastAsia" w:ascii="微软雅黑" w:hAnsi="微软雅黑" w:eastAsia="微软雅黑" w:cs="微软雅黑"/>
          <w:color w:val="auto"/>
          <w:sz w:val="22"/>
          <w:szCs w:val="22"/>
          <w:highlight w:val="none"/>
        </w:rPr>
        <w:t>（1）采用最低评标价法的，除了算术修正和落实政府采购政策需进行的价格扣除外，不对</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的投标价格进行任何调整。评标结果按修正和扣除后的投标报价由低到高顺序排列。报价相同的处理方式详见招标文件第6章。</w:t>
      </w:r>
    </w:p>
    <w:p w14:paraId="384EAEFD">
      <w:pPr>
        <w:pageBreakBefore w:val="0"/>
        <w:widowControl w:val="0"/>
        <w:kinsoku/>
        <w:wordWrap/>
        <w:overflowPunct/>
        <w:topLinePunct w:val="0"/>
        <w:bidi w:val="0"/>
        <w:spacing w:line="340" w:lineRule="exact"/>
        <w:ind w:left="0" w:leftChars="0"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（2）采用综合评分法的，评标结果按评审后得分由高到低顺序排列。得分相同的，按修正和扣除后的投标报价由低到高顺序排列。得分与投标报价均相同的处理方式详见招标文件第6章。</w:t>
      </w:r>
    </w:p>
    <w:p w14:paraId="53FE3031">
      <w:pPr>
        <w:pStyle w:val="16"/>
        <w:pageBreakBefore w:val="0"/>
        <w:widowControl w:val="0"/>
        <w:kinsoku/>
        <w:wordWrap/>
        <w:overflowPunct/>
        <w:topLinePunct w:val="0"/>
        <w:bidi w:val="0"/>
        <w:spacing w:line="360" w:lineRule="exact"/>
        <w:ind w:left="239" w:leftChars="114" w:firstLine="31" w:firstLineChars="14"/>
        <w:textAlignment w:val="auto"/>
        <w:rPr>
          <w:rFonts w:hint="eastAsia" w:ascii="微软雅黑" w:hAnsi="微软雅黑" w:eastAsia="微软雅黑" w:cs="微软雅黑"/>
          <w:b/>
          <w:bCs/>
          <w:color w:val="auto"/>
          <w:sz w:val="22"/>
          <w:szCs w:val="22"/>
          <w:highlight w:val="none"/>
          <w:lang w:val="en-US" w:eastAsia="zh-CN"/>
        </w:rPr>
      </w:pPr>
      <w:bookmarkStart w:id="1227" w:name="_Toc17933"/>
      <w:bookmarkStart w:id="1228" w:name="_Toc30756"/>
      <w:bookmarkStart w:id="1229" w:name="_Toc13108"/>
      <w:bookmarkStart w:id="1230" w:name="_Toc24948"/>
      <w:bookmarkStart w:id="1231" w:name="_Toc23822"/>
      <w:bookmarkStart w:id="1232" w:name="_Toc25928"/>
      <w:bookmarkStart w:id="1233" w:name="_Toc16846"/>
      <w:bookmarkStart w:id="1234" w:name="_Toc475"/>
      <w:bookmarkStart w:id="1235" w:name="_Toc26752"/>
      <w:bookmarkStart w:id="1236" w:name="_Toc27172"/>
      <w:bookmarkStart w:id="1237" w:name="_Toc9549"/>
      <w:bookmarkStart w:id="1238" w:name="_Toc26943"/>
      <w:bookmarkStart w:id="1239" w:name="_Toc976"/>
      <w:bookmarkStart w:id="1240" w:name="_Toc15609"/>
      <w:bookmarkStart w:id="1241" w:name="_Toc11247"/>
      <w:bookmarkStart w:id="1242" w:name="_Toc21913"/>
      <w:bookmarkStart w:id="1243" w:name="_Toc32371"/>
      <w:bookmarkStart w:id="1244" w:name="_Toc4503"/>
      <w:bookmarkStart w:id="1245" w:name="_Toc14558"/>
      <w:bookmarkStart w:id="1246" w:name="_Toc25109"/>
      <w:bookmarkStart w:id="1247" w:name="_Toc23378"/>
      <w:bookmarkStart w:id="1248" w:name="_Toc28294"/>
      <w:bookmarkStart w:id="1249" w:name="_Toc17164"/>
      <w:bookmarkStart w:id="1250" w:name="_Toc7889"/>
      <w:bookmarkStart w:id="1251" w:name="_Toc25274"/>
      <w:bookmarkStart w:id="1252" w:name="_Toc9558"/>
      <w:bookmarkStart w:id="1253" w:name="_Toc17800"/>
      <w:bookmarkStart w:id="1254" w:name="_Toc18364"/>
      <w:bookmarkStart w:id="1255" w:name="_Toc7999"/>
      <w:bookmarkStart w:id="1256" w:name="_Toc29803"/>
      <w:bookmarkStart w:id="1257" w:name="_Toc3720"/>
      <w:bookmarkStart w:id="1258" w:name="_Toc721"/>
      <w:bookmarkStart w:id="1259" w:name="_Toc23570"/>
      <w:bookmarkStart w:id="1260" w:name="_Toc15060"/>
      <w:bookmarkStart w:id="1261" w:name="_Toc21306"/>
      <w:bookmarkStart w:id="1262" w:name="_Toc1644"/>
      <w:bookmarkStart w:id="1263" w:name="_Toc24734"/>
      <w:r>
        <w:rPr>
          <w:rFonts w:hint="eastAsia" w:ascii="微软雅黑" w:hAnsi="微软雅黑" w:eastAsia="微软雅黑" w:cs="微软雅黑"/>
          <w:b/>
          <w:bCs/>
          <w:color w:val="auto"/>
          <w:sz w:val="22"/>
          <w:szCs w:val="22"/>
          <w:highlight w:val="none"/>
          <w:lang w:val="en-US" w:eastAsia="zh-CN"/>
        </w:rPr>
        <w:t>本项目</w:t>
      </w:r>
      <w:r>
        <w:rPr>
          <w:rFonts w:hint="eastAsia" w:ascii="微软雅黑" w:hAnsi="微软雅黑" w:eastAsia="微软雅黑" w:cs="微软雅黑"/>
          <w:b/>
          <w:bCs/>
          <w:color w:val="auto"/>
          <w:sz w:val="22"/>
          <w:szCs w:val="22"/>
          <w:highlight w:val="none"/>
        </w:rPr>
        <w:t>采用综合评分法</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标项2：价格：30%；商务：8%；技术：62%。</w:t>
      </w:r>
    </w:p>
    <w:p w14:paraId="4AABCEFF">
      <w:pPr>
        <w:pStyle w:val="2"/>
        <w:pageBreakBefore w:val="0"/>
        <w:widowControl w:val="0"/>
        <w:tabs>
          <w:tab w:val="left" w:pos="900"/>
        </w:tabs>
        <w:kinsoku/>
        <w:wordWrap/>
        <w:overflowPunct/>
        <w:topLinePunct w:val="0"/>
        <w:bidi w:val="0"/>
        <w:snapToGrid w:val="0"/>
        <w:spacing w:before="0" w:beforeAutospacing="0" w:after="0" w:afterAutospacing="0" w:line="340" w:lineRule="exact"/>
        <w:ind w:left="0" w:leftChars="0"/>
        <w:jc w:val="left"/>
        <w:textAlignment w:val="baseline"/>
        <w:rPr>
          <w:rFonts w:hint="eastAsia" w:ascii="微软雅黑" w:hAnsi="微软雅黑" w:eastAsia="微软雅黑" w:cs="微软雅黑"/>
          <w:color w:val="auto"/>
          <w:sz w:val="22"/>
          <w:szCs w:val="22"/>
          <w:highlight w:val="none"/>
          <w:u w:val="none" w:color="auto"/>
        </w:rPr>
      </w:pPr>
      <w:bookmarkStart w:id="1264" w:name="_Toc27434"/>
      <w:bookmarkStart w:id="1265" w:name="_Toc24655"/>
      <w:bookmarkStart w:id="1266" w:name="_Toc31066"/>
      <w:bookmarkStart w:id="1267" w:name="_Toc16079"/>
      <w:bookmarkStart w:id="1268" w:name="_Toc27995"/>
      <w:bookmarkStart w:id="1269" w:name="_Toc15848"/>
      <w:bookmarkStart w:id="1270" w:name="_Toc28337"/>
      <w:bookmarkStart w:id="1271" w:name="_Toc19525"/>
      <w:bookmarkStart w:id="1272" w:name="_Toc1370"/>
      <w:r>
        <w:rPr>
          <w:rFonts w:hint="eastAsia" w:ascii="微软雅黑" w:hAnsi="微软雅黑" w:eastAsia="微软雅黑" w:cs="微软雅黑"/>
          <w:b/>
          <w:i w:val="0"/>
          <w:caps w:val="0"/>
          <w:color w:val="auto"/>
          <w:spacing w:val="0"/>
          <w:w w:val="100"/>
          <w:sz w:val="22"/>
          <w:szCs w:val="22"/>
          <w:highlight w:val="none"/>
          <w:u w:val="none" w:color="auto"/>
        </w:rPr>
        <w:t>27.确定成交候选人和</w:t>
      </w:r>
      <w:bookmarkEnd w:id="1227"/>
      <w:r>
        <w:rPr>
          <w:rFonts w:hint="eastAsia" w:ascii="微软雅黑" w:hAnsi="微软雅黑" w:eastAsia="微软雅黑" w:cs="微软雅黑"/>
          <w:b/>
          <w:i w:val="0"/>
          <w:caps w:val="0"/>
          <w:color w:val="auto"/>
          <w:spacing w:val="0"/>
          <w:w w:val="100"/>
          <w:sz w:val="22"/>
          <w:szCs w:val="22"/>
          <w:highlight w:val="none"/>
          <w:u w:val="none" w:color="auto"/>
        </w:rPr>
        <w:t>成交人</w:t>
      </w:r>
      <w:bookmarkEnd w:id="1225"/>
      <w:bookmarkEnd w:id="1226"/>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p>
    <w:p w14:paraId="3702FCF1">
      <w:pPr>
        <w:pageBreakBefore w:val="0"/>
        <w:widowControl w:val="0"/>
        <w:kinsoku/>
        <w:wordWrap/>
        <w:overflowPunct/>
        <w:topLinePunct w:val="0"/>
        <w:bidi w:val="0"/>
        <w:spacing w:line="360" w:lineRule="exact"/>
        <w:ind w:left="479" w:leftChars="228" w:firstLine="55" w:firstLineChars="2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评标委员会将根据评标标准，按</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须知资料表中</w:t>
      </w:r>
      <w:r>
        <w:rPr>
          <w:rFonts w:hint="eastAsia" w:ascii="微软雅黑" w:hAnsi="微软雅黑" w:eastAsia="微软雅黑" w:cs="微软雅黑"/>
          <w:color w:val="auto"/>
          <w:sz w:val="22"/>
          <w:szCs w:val="22"/>
          <w:highlight w:val="none"/>
        </w:rPr>
        <w:t>规定数量推荐中标候</w:t>
      </w:r>
    </w:p>
    <w:p w14:paraId="631E7CF9">
      <w:pPr>
        <w:pageBreakBefore w:val="0"/>
        <w:widowControl w:val="0"/>
        <w:kinsoku/>
        <w:wordWrap/>
        <w:overflowPunct/>
        <w:topLinePunct w:val="0"/>
        <w:bidi w:val="0"/>
        <w:spacing w:line="360" w:lineRule="exact"/>
        <w:ind w:left="479" w:leftChars="228" w:firstLine="55" w:firstLineChars="2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选人；或根据采购人的委托，直接确定中标人。</w:t>
      </w:r>
    </w:p>
    <w:p w14:paraId="38D3753E">
      <w:pPr>
        <w:pStyle w:val="2"/>
        <w:pageBreakBefore w:val="0"/>
        <w:widowControl w:val="0"/>
        <w:tabs>
          <w:tab w:val="left" w:pos="900"/>
        </w:tabs>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1273" w:name="_Ref467306874"/>
      <w:bookmarkStart w:id="1274" w:name="_Toc520356173"/>
      <w:bookmarkStart w:id="1275" w:name="_Toc12118"/>
      <w:bookmarkStart w:id="1276" w:name="_Toc10771"/>
      <w:bookmarkStart w:id="1277" w:name="_Toc17591"/>
      <w:bookmarkStart w:id="1278" w:name="_Toc19017"/>
      <w:bookmarkStart w:id="1279" w:name="_Toc891"/>
      <w:bookmarkStart w:id="1280" w:name="_Toc21208"/>
      <w:bookmarkStart w:id="1281" w:name="_Toc17373"/>
      <w:bookmarkStart w:id="1282" w:name="_Toc20212"/>
      <w:bookmarkStart w:id="1283" w:name="_Toc16933"/>
      <w:bookmarkStart w:id="1284" w:name="_Toc4014"/>
      <w:bookmarkStart w:id="1285" w:name="_Toc6607"/>
      <w:bookmarkStart w:id="1286" w:name="_Toc515647790"/>
      <w:bookmarkStart w:id="1287" w:name="_Toc1333"/>
      <w:bookmarkStart w:id="1288" w:name="_Toc28441"/>
      <w:bookmarkStart w:id="1289" w:name="_Toc28894"/>
      <w:bookmarkStart w:id="1290" w:name="_Toc28562"/>
      <w:bookmarkStart w:id="1291" w:name="_Toc27059"/>
      <w:bookmarkStart w:id="1292" w:name="_Toc3328"/>
      <w:bookmarkStart w:id="1293" w:name="_Toc27140"/>
      <w:bookmarkStart w:id="1294" w:name="_Toc9640"/>
      <w:bookmarkStart w:id="1295" w:name="_Toc13429"/>
      <w:bookmarkStart w:id="1296" w:name="_Toc28987"/>
      <w:bookmarkStart w:id="1297" w:name="_Toc19022"/>
      <w:bookmarkStart w:id="1298" w:name="_Toc10406"/>
      <w:bookmarkStart w:id="1299" w:name="_Toc32455"/>
      <w:bookmarkStart w:id="1300" w:name="_Toc19007"/>
      <w:bookmarkStart w:id="1301" w:name="_Toc5507"/>
      <w:bookmarkStart w:id="1302" w:name="_Toc20001"/>
      <w:bookmarkStart w:id="1303" w:name="_Toc7095"/>
      <w:bookmarkStart w:id="1304" w:name="_Toc20705"/>
      <w:bookmarkStart w:id="1305" w:name="_Toc27248"/>
      <w:bookmarkStart w:id="1306" w:name="_Toc2733"/>
      <w:bookmarkStart w:id="1307" w:name="_Toc26162"/>
      <w:bookmarkStart w:id="1308" w:name="_Toc5362"/>
      <w:bookmarkStart w:id="1309" w:name="_Toc8389"/>
      <w:bookmarkStart w:id="1310" w:name="_Toc5406"/>
      <w:bookmarkStart w:id="1311" w:name="_Toc6340"/>
      <w:bookmarkStart w:id="1312" w:name="_Toc13799"/>
      <w:bookmarkStart w:id="1313" w:name="_Toc12171"/>
      <w:bookmarkStart w:id="1314" w:name="_Toc21618"/>
      <w:bookmarkStart w:id="1315" w:name="_Toc28532"/>
      <w:bookmarkStart w:id="1316" w:name="_Toc7156"/>
      <w:bookmarkStart w:id="1317" w:name="_Toc9701"/>
      <w:bookmarkStart w:id="1318" w:name="_Toc2449"/>
      <w:bookmarkStart w:id="1319" w:name="_Toc31043"/>
      <w:bookmarkStart w:id="1320" w:name="_Toc17016"/>
      <w:bookmarkStart w:id="1321" w:name="_Toc520356174"/>
      <w:bookmarkStart w:id="1322" w:name="_Toc4099"/>
      <w:bookmarkStart w:id="1323" w:name="_Toc1676"/>
      <w:bookmarkStart w:id="1324" w:name="_Toc1818"/>
      <w:bookmarkStart w:id="1325" w:name="_Toc30931"/>
      <w:bookmarkStart w:id="1326" w:name="_Toc14706"/>
      <w:bookmarkStart w:id="1327" w:name="_Toc5820"/>
      <w:bookmarkStart w:id="1328" w:name="_Toc8140"/>
      <w:bookmarkStart w:id="1329" w:name="_Toc21583"/>
      <w:bookmarkStart w:id="1330" w:name="_Toc965"/>
      <w:bookmarkStart w:id="1331" w:name="_Toc30170"/>
      <w:bookmarkStart w:id="1332" w:name="_Toc3980"/>
      <w:bookmarkStart w:id="1333" w:name="_Toc27996"/>
      <w:bookmarkStart w:id="1334" w:name="_Toc17202"/>
      <w:bookmarkStart w:id="1335" w:name="_Toc28733"/>
      <w:bookmarkStart w:id="1336" w:name="_Toc1178"/>
      <w:bookmarkStart w:id="1337" w:name="_Toc7324"/>
      <w:bookmarkStart w:id="1338" w:name="_Toc137"/>
      <w:bookmarkStart w:id="1339" w:name="_Toc26276"/>
      <w:bookmarkStart w:id="1340" w:name="_Toc30149"/>
      <w:bookmarkStart w:id="1341" w:name="_Toc12348"/>
      <w:bookmarkStart w:id="1342" w:name="_Toc24503"/>
      <w:bookmarkStart w:id="1343" w:name="_Toc515647791"/>
      <w:bookmarkStart w:id="1344" w:name="_Toc14076"/>
      <w:bookmarkStart w:id="1345" w:name="_Toc8834"/>
      <w:bookmarkStart w:id="1346" w:name="_Toc25134"/>
      <w:bookmarkStart w:id="1347" w:name="_Toc31099"/>
      <w:r>
        <w:rPr>
          <w:rFonts w:hint="eastAsia" w:ascii="微软雅黑" w:hAnsi="微软雅黑" w:eastAsia="微软雅黑" w:cs="微软雅黑"/>
          <w:b/>
          <w:bCs/>
          <w:color w:val="auto"/>
          <w:sz w:val="22"/>
          <w:szCs w:val="22"/>
          <w:highlight w:val="none"/>
          <w:u w:val="none"/>
        </w:rPr>
        <w:t>28.</w:t>
      </w:r>
      <w:bookmarkEnd w:id="1273"/>
      <w:bookmarkEnd w:id="1274"/>
      <w:r>
        <w:rPr>
          <w:rFonts w:hint="eastAsia" w:ascii="微软雅黑" w:hAnsi="微软雅黑" w:eastAsia="微软雅黑" w:cs="微软雅黑"/>
          <w:b/>
          <w:bCs/>
          <w:color w:val="auto"/>
          <w:sz w:val="22"/>
          <w:szCs w:val="22"/>
          <w:highlight w:val="none"/>
          <w:u w:val="none"/>
        </w:rPr>
        <w:t>采购任务取消</w:t>
      </w:r>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p>
    <w:p w14:paraId="7DF1A297">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因重大变故采购任务取消时，采购人有权拒绝任何</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中标，且对受影响的</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不承担任何责任。</w:t>
      </w:r>
    </w:p>
    <w:p w14:paraId="383D8F47">
      <w:pPr>
        <w:pStyle w:val="2"/>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1348" w:name="_Toc3973"/>
      <w:bookmarkStart w:id="1349" w:name="_Toc7542"/>
      <w:bookmarkStart w:id="1350" w:name="_Toc13785"/>
      <w:bookmarkStart w:id="1351" w:name="_Toc26828"/>
      <w:bookmarkStart w:id="1352" w:name="_Toc21757"/>
      <w:bookmarkStart w:id="1353" w:name="_Toc32527"/>
      <w:bookmarkStart w:id="1354" w:name="_Toc25012"/>
      <w:bookmarkStart w:id="1355" w:name="_Toc25983"/>
      <w:bookmarkStart w:id="1356" w:name="_Toc5912"/>
      <w:bookmarkStart w:id="1357" w:name="_Toc12791"/>
      <w:bookmarkStart w:id="1358" w:name="_Toc20739"/>
      <w:bookmarkStart w:id="1359" w:name="_Toc28014"/>
      <w:bookmarkStart w:id="1360" w:name="_Toc9905"/>
      <w:bookmarkStart w:id="1361" w:name="_Toc31638"/>
      <w:bookmarkStart w:id="1362" w:name="_Toc346"/>
      <w:bookmarkStart w:id="1363" w:name="_Toc13767"/>
      <w:bookmarkStart w:id="1364" w:name="_Toc10935"/>
      <w:bookmarkStart w:id="1365" w:name="_Toc25616"/>
      <w:bookmarkStart w:id="1366" w:name="_Toc13780"/>
      <w:bookmarkStart w:id="1367" w:name="_Toc13048"/>
      <w:r>
        <w:rPr>
          <w:rFonts w:hint="eastAsia" w:ascii="微软雅黑" w:hAnsi="微软雅黑" w:eastAsia="微软雅黑" w:cs="微软雅黑"/>
          <w:b/>
          <w:bCs/>
          <w:color w:val="auto"/>
          <w:sz w:val="22"/>
          <w:szCs w:val="22"/>
          <w:highlight w:val="none"/>
          <w:u w:val="none"/>
        </w:rPr>
        <w:t>29.中标通知书</w:t>
      </w:r>
      <w:bookmarkEnd w:id="1321"/>
      <w:r>
        <w:rPr>
          <w:rFonts w:hint="eastAsia" w:ascii="微软雅黑" w:hAnsi="微软雅黑" w:eastAsia="微软雅黑" w:cs="微软雅黑"/>
          <w:b/>
          <w:bCs/>
          <w:color w:val="auto"/>
          <w:sz w:val="22"/>
          <w:szCs w:val="22"/>
          <w:highlight w:val="none"/>
          <w:u w:val="none"/>
        </w:rPr>
        <w:t>和招标结果通知书</w:t>
      </w:r>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p>
    <w:p w14:paraId="56CDE417">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29.1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在投标有效期内，中标人确定后，采购人或者采购代理机构发布中标公告，同时以书面形式向中标人发出中标通知书。</w:t>
      </w:r>
    </w:p>
    <w:p w14:paraId="34246391">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29.2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中标通知书是合同的组成部分。</w:t>
      </w:r>
    </w:p>
    <w:p w14:paraId="1E672070">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29.3    招标结果通知书和中标通知书同时发出。招标结果通知书中将告知未通过资格审查的</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未通过的原因；采用综合评分法评审的，还将告知未中标人本人的评审得分和排序。</w:t>
      </w:r>
    </w:p>
    <w:p w14:paraId="323AC2B2">
      <w:pPr>
        <w:pStyle w:val="2"/>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1368" w:name="_Toc24982"/>
      <w:bookmarkStart w:id="1369" w:name="_Toc5006"/>
      <w:bookmarkStart w:id="1370" w:name="_Toc14106"/>
      <w:bookmarkStart w:id="1371" w:name="_Toc13210"/>
      <w:bookmarkStart w:id="1372" w:name="_Toc30068"/>
      <w:bookmarkStart w:id="1373" w:name="_Ref467307062"/>
      <w:bookmarkStart w:id="1374" w:name="_Toc10031"/>
      <w:bookmarkStart w:id="1375" w:name="_Toc29299"/>
      <w:bookmarkStart w:id="1376" w:name="_Toc4994"/>
      <w:bookmarkStart w:id="1377" w:name="_Toc14770"/>
      <w:bookmarkStart w:id="1378" w:name="_Toc5334"/>
      <w:bookmarkStart w:id="1379" w:name="_Toc14551"/>
      <w:bookmarkStart w:id="1380" w:name="_Ref467306377"/>
      <w:bookmarkStart w:id="1381" w:name="_Toc1966"/>
      <w:bookmarkStart w:id="1382" w:name="_Toc10408"/>
      <w:bookmarkStart w:id="1383" w:name="_Ref467306978"/>
      <w:bookmarkStart w:id="1384" w:name="_Toc3530"/>
      <w:bookmarkStart w:id="1385" w:name="_Toc16165"/>
      <w:bookmarkStart w:id="1386" w:name="_Toc24666"/>
      <w:bookmarkStart w:id="1387" w:name="_Toc24917"/>
      <w:bookmarkStart w:id="1388" w:name="_Toc29255"/>
      <w:bookmarkStart w:id="1389" w:name="_Toc3837"/>
      <w:bookmarkStart w:id="1390" w:name="_Toc4779"/>
      <w:bookmarkStart w:id="1391" w:name="_Toc26519"/>
      <w:bookmarkStart w:id="1392" w:name="_Toc8909"/>
      <w:bookmarkStart w:id="1393" w:name="_Toc23307"/>
      <w:bookmarkStart w:id="1394" w:name="_Toc14896"/>
      <w:bookmarkStart w:id="1395" w:name="_Toc12631"/>
      <w:bookmarkStart w:id="1396" w:name="_Toc15018"/>
      <w:bookmarkStart w:id="1397" w:name="_Toc15752"/>
      <w:bookmarkStart w:id="1398" w:name="_Toc22598"/>
      <w:bookmarkStart w:id="1399" w:name="_Toc13873"/>
      <w:bookmarkStart w:id="1400" w:name="_Toc14043"/>
      <w:bookmarkStart w:id="1401" w:name="_Toc23085"/>
      <w:bookmarkStart w:id="1402" w:name="_Toc31547"/>
      <w:bookmarkStart w:id="1403" w:name="_Toc1386"/>
      <w:bookmarkStart w:id="1404" w:name="_Toc9377"/>
      <w:bookmarkStart w:id="1405" w:name="_Toc24298"/>
      <w:bookmarkStart w:id="1406" w:name="_Toc7779"/>
      <w:bookmarkStart w:id="1407" w:name="_Toc28813"/>
      <w:bookmarkStart w:id="1408" w:name="_Toc11841"/>
      <w:bookmarkStart w:id="1409" w:name="_Toc7584"/>
      <w:bookmarkStart w:id="1410" w:name="_Toc5150"/>
      <w:bookmarkStart w:id="1411" w:name="_Toc515647792"/>
      <w:bookmarkStart w:id="1412" w:name="_Toc19720"/>
      <w:bookmarkStart w:id="1413" w:name="_Toc520356175"/>
      <w:bookmarkStart w:id="1414" w:name="_Toc12782"/>
      <w:bookmarkStart w:id="1415" w:name="_Toc830"/>
      <w:bookmarkStart w:id="1416" w:name="_Toc790"/>
      <w:bookmarkStart w:id="1417" w:name="_Ref467307204"/>
      <w:bookmarkStart w:id="1418" w:name="_Toc26465"/>
      <w:r>
        <w:rPr>
          <w:rFonts w:hint="eastAsia" w:ascii="微软雅黑" w:hAnsi="微软雅黑" w:eastAsia="微软雅黑" w:cs="微软雅黑"/>
          <w:b/>
          <w:bCs/>
          <w:color w:val="auto"/>
          <w:sz w:val="22"/>
          <w:szCs w:val="22"/>
          <w:highlight w:val="none"/>
          <w:u w:val="none"/>
        </w:rPr>
        <w:t>30.签订合同</w:t>
      </w:r>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p>
    <w:p w14:paraId="56B42769">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30.1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中标人应当自发出中标通知书之日起</w:t>
      </w:r>
      <w:r>
        <w:rPr>
          <w:rFonts w:hint="eastAsia" w:ascii="微软雅黑" w:hAnsi="微软雅黑" w:eastAsia="微软雅黑" w:cs="微软雅黑"/>
          <w:color w:val="auto"/>
          <w:sz w:val="22"/>
          <w:szCs w:val="22"/>
          <w:highlight w:val="none"/>
          <w:lang w:val="en-US" w:eastAsia="zh-CN"/>
        </w:rPr>
        <w:t>30</w:t>
      </w:r>
      <w:r>
        <w:rPr>
          <w:rFonts w:hint="eastAsia" w:ascii="微软雅黑" w:hAnsi="微软雅黑" w:eastAsia="微软雅黑" w:cs="微软雅黑"/>
          <w:color w:val="auto"/>
          <w:sz w:val="22"/>
          <w:szCs w:val="22"/>
          <w:highlight w:val="none"/>
        </w:rPr>
        <w:t>日内，与采购人签订合同。</w:t>
      </w:r>
    </w:p>
    <w:p w14:paraId="0C632650">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30.2</w:t>
      </w:r>
      <w:r>
        <w:rPr>
          <w:rFonts w:hint="eastAsia" w:ascii="微软雅黑" w:hAnsi="微软雅黑" w:eastAsia="微软雅黑" w:cs="微软雅黑"/>
          <w:color w:val="auto"/>
          <w:sz w:val="22"/>
          <w:szCs w:val="22"/>
          <w:highlight w:val="none"/>
        </w:rPr>
        <w:tab/>
      </w:r>
      <w:bookmarkStart w:id="1419" w:name="_Ref467306425"/>
      <w:bookmarkStart w:id="1420" w:name="_Toc520356176"/>
      <w:bookmarkStart w:id="1421" w:name="_Ref467307090"/>
      <w:r>
        <w:rPr>
          <w:rFonts w:hint="eastAsia" w:ascii="微软雅黑" w:hAnsi="微软雅黑" w:eastAsia="微软雅黑" w:cs="微软雅黑"/>
          <w:color w:val="auto"/>
          <w:sz w:val="22"/>
          <w:szCs w:val="22"/>
          <w:highlight w:val="none"/>
        </w:rPr>
        <w:t>招标文件、中标人的投标文件及其澄清文件等，均为签订合同的依据。</w:t>
      </w:r>
    </w:p>
    <w:p w14:paraId="4ECB95BE">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30.3   中标人拒绝与采购人签订合同的，采购人可以按照评审报告推荐的中标候选人名单排序，确定下一中标候选人为中标人，也可以重新开展政府采购活动。</w:t>
      </w:r>
    </w:p>
    <w:p w14:paraId="79B05118">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30.4   当出现法规规定的</w:t>
      </w:r>
      <w:r>
        <w:rPr>
          <w:rFonts w:hint="eastAsia" w:ascii="微软雅黑" w:hAnsi="微软雅黑" w:eastAsia="微软雅黑" w:cs="微软雅黑"/>
          <w:b/>
          <w:color w:val="auto"/>
          <w:sz w:val="22"/>
          <w:szCs w:val="22"/>
          <w:highlight w:val="none"/>
        </w:rPr>
        <w:t>中标无效或中标结果无效</w:t>
      </w:r>
      <w:r>
        <w:rPr>
          <w:rFonts w:hint="eastAsia" w:ascii="微软雅黑" w:hAnsi="微软雅黑" w:eastAsia="微软雅黑" w:cs="微软雅黑"/>
          <w:color w:val="auto"/>
          <w:sz w:val="22"/>
          <w:szCs w:val="22"/>
          <w:highlight w:val="none"/>
        </w:rPr>
        <w:t>情形时，采购人可与排名下一位的中标候选人另行签订合同，或依法重新开展采购活动。</w:t>
      </w:r>
    </w:p>
    <w:p w14:paraId="5E4A8ABB">
      <w:pPr>
        <w:pStyle w:val="2"/>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1422" w:name="_Toc26522"/>
      <w:bookmarkStart w:id="1423" w:name="_Toc7682"/>
      <w:bookmarkStart w:id="1424" w:name="_Toc15450"/>
      <w:bookmarkStart w:id="1425" w:name="_Toc32131"/>
      <w:bookmarkStart w:id="1426" w:name="_Toc7815"/>
      <w:bookmarkStart w:id="1427" w:name="_Toc28788"/>
      <w:bookmarkStart w:id="1428" w:name="_Toc32530"/>
      <w:bookmarkStart w:id="1429" w:name="_Toc1427"/>
      <w:bookmarkStart w:id="1430" w:name="_Toc9468"/>
      <w:bookmarkStart w:id="1431" w:name="_Toc6554"/>
      <w:bookmarkStart w:id="1432" w:name="_Toc515647793"/>
      <w:bookmarkStart w:id="1433" w:name="_Toc15377"/>
      <w:bookmarkStart w:id="1434" w:name="_Toc26902"/>
      <w:bookmarkStart w:id="1435" w:name="_Toc2031"/>
      <w:bookmarkStart w:id="1436" w:name="_Toc22555"/>
      <w:bookmarkStart w:id="1437" w:name="_Toc27299"/>
      <w:bookmarkStart w:id="1438" w:name="_Toc25809"/>
      <w:bookmarkStart w:id="1439" w:name="_Toc22564"/>
      <w:bookmarkStart w:id="1440" w:name="_Toc23943"/>
      <w:bookmarkStart w:id="1441" w:name="_Toc1929"/>
      <w:bookmarkStart w:id="1442" w:name="_Toc13158"/>
      <w:bookmarkStart w:id="1443" w:name="_Toc10831"/>
      <w:bookmarkStart w:id="1444" w:name="_Toc29601"/>
      <w:bookmarkStart w:id="1445" w:name="_Toc1650"/>
      <w:bookmarkStart w:id="1446" w:name="_Toc11471"/>
      <w:bookmarkStart w:id="1447" w:name="_Toc27770"/>
      <w:bookmarkStart w:id="1448" w:name="_Toc18929"/>
      <w:bookmarkStart w:id="1449" w:name="_Toc14728"/>
      <w:bookmarkStart w:id="1450" w:name="_Toc29669"/>
      <w:bookmarkStart w:id="1451" w:name="_Toc12082"/>
      <w:bookmarkStart w:id="1452" w:name="_Toc4460"/>
      <w:bookmarkStart w:id="1453" w:name="_Toc14628"/>
      <w:bookmarkStart w:id="1454" w:name="_Toc8801"/>
      <w:bookmarkStart w:id="1455" w:name="_Toc14195"/>
      <w:bookmarkStart w:id="1456" w:name="_Toc10991"/>
      <w:bookmarkStart w:id="1457" w:name="_Toc22253"/>
      <w:bookmarkStart w:id="1458" w:name="_Toc16331"/>
      <w:bookmarkStart w:id="1459" w:name="_Toc6530"/>
      <w:bookmarkStart w:id="1460" w:name="_Toc11467"/>
      <w:bookmarkStart w:id="1461" w:name="_Toc8189"/>
      <w:bookmarkStart w:id="1462" w:name="_Toc18440"/>
      <w:bookmarkStart w:id="1463" w:name="_Toc4849"/>
      <w:bookmarkStart w:id="1464" w:name="_Toc17960"/>
      <w:bookmarkStart w:id="1465" w:name="_Toc14080"/>
      <w:bookmarkStart w:id="1466" w:name="_Toc17946"/>
      <w:bookmarkStart w:id="1467" w:name="_Toc27548"/>
      <w:r>
        <w:rPr>
          <w:rFonts w:hint="eastAsia" w:ascii="微软雅黑" w:hAnsi="微软雅黑" w:eastAsia="微软雅黑" w:cs="微软雅黑"/>
          <w:b/>
          <w:bCs/>
          <w:color w:val="auto"/>
          <w:sz w:val="22"/>
          <w:szCs w:val="22"/>
          <w:highlight w:val="none"/>
          <w:u w:val="none"/>
        </w:rPr>
        <w:t>31.履约保证金</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p>
    <w:p w14:paraId="1612EA6F">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31.1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中标人应按照</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w:t>
      </w:r>
      <w:r>
        <w:rPr>
          <w:rFonts w:hint="eastAsia" w:ascii="微软雅黑" w:hAnsi="微软雅黑" w:eastAsia="微软雅黑" w:cs="微软雅黑"/>
          <w:color w:val="auto"/>
          <w:sz w:val="22"/>
          <w:szCs w:val="22"/>
          <w:highlight w:val="none"/>
        </w:rPr>
        <w:t>规定向采购人缴纳履约保证金。</w:t>
      </w:r>
    </w:p>
    <w:p w14:paraId="60D7B148">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rPr>
        <w:t>31.2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政府采购利用担保试点范围内的项目，除31.1规定的情形外，中标人也可以按照财政部门的规定，向采购人提供合格的履约担</w:t>
      </w:r>
      <w:r>
        <w:rPr>
          <w:rFonts w:hint="eastAsia" w:ascii="微软雅黑" w:hAnsi="微软雅黑" w:eastAsia="微软雅黑" w:cs="微软雅黑"/>
          <w:color w:val="auto"/>
          <w:sz w:val="22"/>
          <w:szCs w:val="22"/>
          <w:highlight w:val="none"/>
          <w:lang w:eastAsia="zh-CN"/>
        </w:rPr>
        <w:t>保函。</w:t>
      </w:r>
    </w:p>
    <w:p w14:paraId="2BFDEAE6">
      <w:pPr>
        <w:pStyle w:val="2"/>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1468" w:name="_Toc17462"/>
      <w:bookmarkStart w:id="1469" w:name="_Toc16406"/>
      <w:bookmarkStart w:id="1470" w:name="_Toc15314"/>
      <w:bookmarkStart w:id="1471" w:name="_Toc4616"/>
      <w:bookmarkStart w:id="1472" w:name="_Toc31598"/>
      <w:bookmarkStart w:id="1473" w:name="_Toc12227"/>
      <w:bookmarkStart w:id="1474" w:name="_Toc29408"/>
      <w:bookmarkStart w:id="1475" w:name="_Toc23409"/>
      <w:bookmarkStart w:id="1476" w:name="_Toc23005"/>
      <w:bookmarkStart w:id="1477" w:name="_Toc271"/>
      <w:bookmarkStart w:id="1478" w:name="_Toc737"/>
      <w:bookmarkStart w:id="1479" w:name="_Toc12103"/>
      <w:bookmarkStart w:id="1480" w:name="_Toc13043"/>
      <w:bookmarkStart w:id="1481" w:name="_Toc15837"/>
      <w:bookmarkStart w:id="1482" w:name="_Toc24979"/>
      <w:bookmarkStart w:id="1483" w:name="_Toc23288"/>
      <w:bookmarkStart w:id="1484" w:name="_Toc23416"/>
      <w:bookmarkStart w:id="1485" w:name="_Toc17827"/>
      <w:bookmarkStart w:id="1486" w:name="_Toc15551"/>
      <w:bookmarkStart w:id="1487" w:name="_Toc3090"/>
      <w:bookmarkStart w:id="1488" w:name="_Toc22441"/>
      <w:bookmarkStart w:id="1489" w:name="_Toc30852"/>
      <w:bookmarkStart w:id="1490" w:name="_Toc21835"/>
      <w:bookmarkStart w:id="1491" w:name="_Toc9461"/>
      <w:bookmarkStart w:id="1492" w:name="_Toc2094"/>
      <w:bookmarkStart w:id="1493" w:name="_Toc26436"/>
      <w:bookmarkStart w:id="1494" w:name="_Toc515647794"/>
      <w:bookmarkStart w:id="1495" w:name="_Toc24375"/>
      <w:bookmarkStart w:id="1496" w:name="_Toc11823"/>
      <w:bookmarkStart w:id="1497" w:name="_Toc23621"/>
      <w:bookmarkStart w:id="1498" w:name="_Toc21246"/>
      <w:bookmarkStart w:id="1499" w:name="_Toc14539"/>
      <w:bookmarkStart w:id="1500" w:name="_Toc5268"/>
      <w:bookmarkStart w:id="1501" w:name="_Toc9831"/>
      <w:bookmarkStart w:id="1502" w:name="_Toc3783"/>
      <w:bookmarkStart w:id="1503" w:name="_Toc20540"/>
      <w:bookmarkStart w:id="1504" w:name="_Toc836"/>
      <w:bookmarkStart w:id="1505" w:name="_Toc11819"/>
      <w:bookmarkStart w:id="1506" w:name="_Toc9967"/>
      <w:bookmarkStart w:id="1507" w:name="_Toc9993"/>
      <w:bookmarkStart w:id="1508" w:name="_Toc30393"/>
      <w:bookmarkStart w:id="1509" w:name="_Toc26497"/>
      <w:bookmarkStart w:id="1510" w:name="_Toc26450"/>
      <w:bookmarkStart w:id="1511" w:name="_Toc3509"/>
      <w:bookmarkStart w:id="1512" w:name="_Toc8906"/>
      <w:bookmarkStart w:id="1513" w:name="_Toc24771"/>
      <w:r>
        <w:rPr>
          <w:rFonts w:hint="eastAsia" w:ascii="微软雅黑" w:hAnsi="微软雅黑" w:eastAsia="微软雅黑" w:cs="微软雅黑"/>
          <w:b/>
          <w:bCs/>
          <w:color w:val="auto"/>
          <w:sz w:val="22"/>
          <w:szCs w:val="22"/>
          <w:highlight w:val="none"/>
          <w:u w:val="none"/>
        </w:rPr>
        <w:t>32.中标服务费</w:t>
      </w:r>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p>
    <w:p w14:paraId="6FF0C8B7">
      <w:pPr>
        <w:pageBreakBefore w:val="0"/>
        <w:widowControl w:val="0"/>
        <w:kinsoku/>
        <w:wordWrap/>
        <w:overflowPunct/>
        <w:topLinePunct w:val="0"/>
        <w:bidi w:val="0"/>
        <w:spacing w:line="360" w:lineRule="exact"/>
        <w:ind w:left="385" w:leftChars="0" w:hanging="385" w:hangingChars="1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   中标人须按照</w:t>
      </w:r>
      <w:r>
        <w:rPr>
          <w:rFonts w:hint="eastAsia" w:ascii="微软雅黑" w:hAnsi="微软雅黑" w:eastAsia="微软雅黑" w:cs="微软雅黑"/>
          <w:color w:val="auto"/>
          <w:sz w:val="22"/>
          <w:szCs w:val="22"/>
          <w:highlight w:val="none"/>
          <w:u w:val="single"/>
        </w:rPr>
        <w:t>投标须知资料表</w:t>
      </w:r>
      <w:r>
        <w:rPr>
          <w:rFonts w:hint="eastAsia" w:ascii="微软雅黑" w:hAnsi="微软雅黑" w:eastAsia="微软雅黑" w:cs="微软雅黑"/>
          <w:color w:val="auto"/>
          <w:sz w:val="22"/>
          <w:szCs w:val="22"/>
          <w:highlight w:val="none"/>
        </w:rPr>
        <w:t>规定，向采购代理机构支付中标服务费。</w:t>
      </w:r>
    </w:p>
    <w:p w14:paraId="2E344452">
      <w:pPr>
        <w:pStyle w:val="2"/>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1514" w:name="_Toc3053"/>
      <w:bookmarkStart w:id="1515" w:name="_Toc31464"/>
      <w:bookmarkStart w:id="1516" w:name="_Toc25352"/>
      <w:bookmarkStart w:id="1517" w:name="_Toc14824"/>
      <w:bookmarkStart w:id="1518" w:name="_Toc16900"/>
      <w:bookmarkStart w:id="1519" w:name="_Toc2677"/>
      <w:bookmarkStart w:id="1520" w:name="_Toc15862"/>
      <w:bookmarkStart w:id="1521" w:name="_Toc29061"/>
      <w:bookmarkStart w:id="1522" w:name="_Toc2931"/>
      <w:bookmarkStart w:id="1523" w:name="_Toc11657"/>
      <w:bookmarkStart w:id="1524" w:name="_Toc10808"/>
      <w:bookmarkStart w:id="1525" w:name="_Toc17290"/>
      <w:bookmarkStart w:id="1526" w:name="_Toc5831"/>
      <w:bookmarkStart w:id="1527" w:name="_Toc24870"/>
      <w:bookmarkStart w:id="1528" w:name="_Toc4947"/>
      <w:bookmarkStart w:id="1529" w:name="_Toc10075"/>
      <w:bookmarkStart w:id="1530" w:name="_Toc7049"/>
      <w:bookmarkStart w:id="1531" w:name="_Toc7158"/>
      <w:bookmarkStart w:id="1532" w:name="_Toc5651"/>
      <w:bookmarkStart w:id="1533" w:name="_Toc8477"/>
      <w:bookmarkStart w:id="1534" w:name="_Toc9919"/>
      <w:bookmarkStart w:id="1535" w:name="_Toc14969"/>
      <w:bookmarkStart w:id="1536" w:name="_Toc29584"/>
      <w:bookmarkStart w:id="1537" w:name="_Toc23058"/>
      <w:bookmarkStart w:id="1538" w:name="_Toc4272"/>
      <w:bookmarkStart w:id="1539" w:name="_Toc31379"/>
      <w:bookmarkStart w:id="1540" w:name="_Toc23330"/>
      <w:bookmarkStart w:id="1541" w:name="_Toc20497"/>
      <w:bookmarkStart w:id="1542" w:name="_Toc9097"/>
      <w:bookmarkStart w:id="1543" w:name="_Toc515647795"/>
      <w:bookmarkStart w:id="1544" w:name="_Toc8199"/>
      <w:bookmarkStart w:id="1545" w:name="_Toc10211"/>
      <w:bookmarkStart w:id="1546" w:name="_Toc24525"/>
      <w:bookmarkStart w:id="1547" w:name="_Toc5941"/>
      <w:bookmarkStart w:id="1548" w:name="_Toc10747"/>
      <w:bookmarkStart w:id="1549" w:name="_Toc6923"/>
      <w:bookmarkStart w:id="1550" w:name="_Toc3584"/>
      <w:bookmarkStart w:id="1551" w:name="_Toc10756"/>
      <w:bookmarkStart w:id="1552" w:name="_Toc27317"/>
      <w:bookmarkStart w:id="1553" w:name="_Toc22882"/>
      <w:bookmarkStart w:id="1554" w:name="_Toc20843"/>
      <w:bookmarkStart w:id="1555" w:name="_Toc20916"/>
      <w:bookmarkStart w:id="1556" w:name="_Toc7338"/>
      <w:bookmarkStart w:id="1557" w:name="_Toc8421"/>
      <w:bookmarkStart w:id="1558" w:name="_Toc18001"/>
      <w:bookmarkStart w:id="1559" w:name="_Toc17458"/>
      <w:r>
        <w:rPr>
          <w:rFonts w:hint="eastAsia" w:ascii="微软雅黑" w:hAnsi="微软雅黑" w:eastAsia="微软雅黑" w:cs="微软雅黑"/>
          <w:b/>
          <w:bCs/>
          <w:color w:val="auto"/>
          <w:sz w:val="22"/>
          <w:szCs w:val="22"/>
          <w:highlight w:val="none"/>
          <w:u w:val="none"/>
        </w:rPr>
        <w:t>33.政府采购信用担保</w:t>
      </w:r>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p>
    <w:p w14:paraId="11A1331D">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33.1   本项目是否属于信用担保试点范围见</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w:t>
      </w:r>
      <w:r>
        <w:rPr>
          <w:rFonts w:hint="eastAsia" w:ascii="微软雅黑" w:hAnsi="微软雅黑" w:eastAsia="微软雅黑" w:cs="微软雅黑"/>
          <w:color w:val="auto"/>
          <w:sz w:val="22"/>
          <w:szCs w:val="22"/>
          <w:highlight w:val="none"/>
        </w:rPr>
        <w:t>。</w:t>
      </w:r>
    </w:p>
    <w:p w14:paraId="0FCFB42C">
      <w:pPr>
        <w:pageBreakBefore w:val="0"/>
        <w:widowControl w:val="0"/>
        <w:kinsoku/>
        <w:wordWrap/>
        <w:overflowPunct/>
        <w:topLinePunct w:val="0"/>
        <w:bidi w:val="0"/>
        <w:spacing w:line="360" w:lineRule="exact"/>
        <w:ind w:left="778" w:leftChars="0" w:hanging="778" w:hangingChars="354"/>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33.2   如属于政府采购信用担保试点范围内，中小型企业</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可以自由按照财政部门的规定，采用投标担保、履约担保和融资担保。</w:t>
      </w:r>
    </w:p>
    <w:p w14:paraId="69875F52">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33.2.1 </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递交的投标担</w:t>
      </w:r>
      <w:r>
        <w:rPr>
          <w:rFonts w:hint="eastAsia" w:ascii="微软雅黑" w:hAnsi="微软雅黑" w:eastAsia="微软雅黑" w:cs="微软雅黑"/>
          <w:color w:val="auto"/>
          <w:sz w:val="22"/>
          <w:szCs w:val="22"/>
          <w:highlight w:val="none"/>
          <w:lang w:eastAsia="zh-CN"/>
        </w:rPr>
        <w:t>保函</w:t>
      </w:r>
      <w:r>
        <w:rPr>
          <w:rFonts w:hint="eastAsia" w:ascii="微软雅黑" w:hAnsi="微软雅黑" w:eastAsia="微软雅黑" w:cs="微软雅黑"/>
          <w:color w:val="auto"/>
          <w:sz w:val="22"/>
          <w:szCs w:val="22"/>
          <w:highlight w:val="none"/>
        </w:rPr>
        <w:t>和履约担</w:t>
      </w:r>
      <w:r>
        <w:rPr>
          <w:rFonts w:hint="eastAsia" w:ascii="微软雅黑" w:hAnsi="微软雅黑" w:eastAsia="微软雅黑" w:cs="微软雅黑"/>
          <w:color w:val="auto"/>
          <w:sz w:val="22"/>
          <w:szCs w:val="22"/>
          <w:highlight w:val="none"/>
          <w:lang w:eastAsia="zh-CN"/>
        </w:rPr>
        <w:t>保函</w:t>
      </w:r>
      <w:r>
        <w:rPr>
          <w:rFonts w:hint="eastAsia" w:ascii="微软雅黑" w:hAnsi="微软雅黑" w:eastAsia="微软雅黑" w:cs="微软雅黑"/>
          <w:color w:val="auto"/>
          <w:sz w:val="22"/>
          <w:szCs w:val="22"/>
          <w:highlight w:val="none"/>
        </w:rPr>
        <w:t>应符合本招标文件的规定。</w:t>
      </w:r>
    </w:p>
    <w:p w14:paraId="0F54DEC1">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33.2.2 中标人可以采取融资担保的形式为政府采购项目履约进行融资。</w:t>
      </w:r>
    </w:p>
    <w:p w14:paraId="3746CC74">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33.2.3 合格的政府采购专业信用担保机构名单见</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w:t>
      </w:r>
      <w:r>
        <w:rPr>
          <w:rFonts w:hint="eastAsia" w:ascii="微软雅黑" w:hAnsi="微软雅黑" w:eastAsia="微软雅黑" w:cs="微软雅黑"/>
          <w:color w:val="auto"/>
          <w:sz w:val="22"/>
          <w:szCs w:val="22"/>
          <w:highlight w:val="none"/>
        </w:rPr>
        <w:t>。</w:t>
      </w:r>
    </w:p>
    <w:p w14:paraId="6EC976A7">
      <w:pPr>
        <w:pStyle w:val="2"/>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1560" w:name="_Toc3312"/>
      <w:bookmarkStart w:id="1561" w:name="_Toc23999"/>
      <w:bookmarkStart w:id="1562" w:name="_Toc22315"/>
      <w:bookmarkStart w:id="1563" w:name="_Toc25832"/>
      <w:bookmarkStart w:id="1564" w:name="_Toc23161"/>
      <w:bookmarkStart w:id="1565" w:name="_Toc20043"/>
      <w:bookmarkStart w:id="1566" w:name="_Toc28863"/>
      <w:bookmarkStart w:id="1567" w:name="_Toc22695"/>
      <w:bookmarkStart w:id="1568" w:name="_Toc31425"/>
      <w:bookmarkStart w:id="1569" w:name="_Toc10084"/>
      <w:bookmarkStart w:id="1570" w:name="_Toc21532"/>
      <w:bookmarkStart w:id="1571" w:name="_Toc29108"/>
      <w:bookmarkStart w:id="1572" w:name="_Toc5262"/>
      <w:bookmarkStart w:id="1573" w:name="_Toc25791"/>
      <w:bookmarkStart w:id="1574" w:name="_Toc14507"/>
      <w:bookmarkStart w:id="1575" w:name="_Toc515647796"/>
      <w:bookmarkStart w:id="1576" w:name="_Toc7004"/>
      <w:bookmarkStart w:id="1577" w:name="_Toc27009"/>
      <w:bookmarkStart w:id="1578" w:name="_Toc20602"/>
      <w:bookmarkStart w:id="1579" w:name="_Toc14056"/>
      <w:bookmarkStart w:id="1580" w:name="_Toc20411"/>
      <w:bookmarkStart w:id="1581" w:name="_Toc3616"/>
      <w:bookmarkStart w:id="1582" w:name="_Toc6945"/>
      <w:bookmarkStart w:id="1583" w:name="_Toc5750"/>
      <w:bookmarkStart w:id="1584" w:name="_Toc25842"/>
      <w:bookmarkStart w:id="1585" w:name="_Toc3890"/>
      <w:bookmarkStart w:id="1586" w:name="_Toc32224"/>
      <w:bookmarkStart w:id="1587" w:name="_Toc16632"/>
      <w:bookmarkStart w:id="1588" w:name="_Toc3656"/>
      <w:bookmarkStart w:id="1589" w:name="_Toc3469"/>
      <w:bookmarkStart w:id="1590" w:name="_Toc1177"/>
      <w:bookmarkStart w:id="1591" w:name="_Toc31178"/>
      <w:bookmarkStart w:id="1592" w:name="_Toc23379"/>
      <w:bookmarkStart w:id="1593" w:name="_Toc32560"/>
      <w:bookmarkStart w:id="1594" w:name="_Toc11552"/>
      <w:bookmarkStart w:id="1595" w:name="_Toc97"/>
      <w:bookmarkStart w:id="1596" w:name="_Toc29099"/>
      <w:bookmarkStart w:id="1597" w:name="_Toc30439"/>
      <w:bookmarkStart w:id="1598" w:name="_Toc15843"/>
      <w:bookmarkStart w:id="1599" w:name="_Toc30040"/>
      <w:bookmarkStart w:id="1600" w:name="_Toc2133"/>
      <w:bookmarkStart w:id="1601" w:name="_Toc11707"/>
      <w:bookmarkStart w:id="1602" w:name="_Toc19321"/>
      <w:bookmarkStart w:id="1603" w:name="_Toc26483"/>
      <w:bookmarkStart w:id="1604" w:name="_Toc3588"/>
      <w:bookmarkStart w:id="1605" w:name="_Toc9656"/>
      <w:r>
        <w:rPr>
          <w:rFonts w:hint="eastAsia" w:ascii="微软雅黑" w:hAnsi="微软雅黑" w:eastAsia="微软雅黑" w:cs="微软雅黑"/>
          <w:b/>
          <w:bCs/>
          <w:color w:val="auto"/>
          <w:sz w:val="22"/>
          <w:szCs w:val="22"/>
          <w:highlight w:val="none"/>
          <w:u w:val="none"/>
        </w:rPr>
        <w:t>34.廉洁自律规定</w:t>
      </w:r>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p>
    <w:p w14:paraId="071CF195">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34.1   采购代理机构工作人员不得以不正当手段获取政府采购代理业务，不得与采购人、供应商恶意串通操纵政府采购活动。</w:t>
      </w:r>
    </w:p>
    <w:p w14:paraId="309FB5C5">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34.2   采购代理机构工作人员不得接受采购人或者供应商组织的宴请、旅游、娱乐，不得收受礼品、现金、有价证券等，不得向采购人或者供应商报销应当由个人承担的费用。</w:t>
      </w:r>
    </w:p>
    <w:p w14:paraId="07BCC5C0">
      <w:pPr>
        <w:pStyle w:val="2"/>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1606" w:name="_Toc24549"/>
      <w:bookmarkStart w:id="1607" w:name="_Toc21658"/>
      <w:bookmarkStart w:id="1608" w:name="_Toc22500"/>
      <w:bookmarkStart w:id="1609" w:name="_Toc25480"/>
      <w:bookmarkStart w:id="1610" w:name="_Toc32157"/>
      <w:bookmarkStart w:id="1611" w:name="_Toc8153"/>
      <w:bookmarkStart w:id="1612" w:name="_Toc17079"/>
      <w:bookmarkStart w:id="1613" w:name="_Toc30009"/>
      <w:bookmarkStart w:id="1614" w:name="_Toc515647797"/>
      <w:bookmarkStart w:id="1615" w:name="_Toc5448"/>
      <w:bookmarkStart w:id="1616" w:name="_Toc28070"/>
      <w:bookmarkStart w:id="1617" w:name="_Toc24419"/>
      <w:bookmarkStart w:id="1618" w:name="_Toc17682"/>
      <w:bookmarkStart w:id="1619" w:name="_Toc25860"/>
      <w:bookmarkStart w:id="1620" w:name="_Toc22848"/>
      <w:bookmarkStart w:id="1621" w:name="_Toc5069"/>
      <w:bookmarkStart w:id="1622" w:name="_Toc32574"/>
      <w:bookmarkStart w:id="1623" w:name="_Toc12862"/>
      <w:bookmarkStart w:id="1624" w:name="_Toc13673"/>
      <w:bookmarkStart w:id="1625" w:name="_Toc23695"/>
      <w:bookmarkStart w:id="1626" w:name="_Toc14147"/>
      <w:bookmarkStart w:id="1627" w:name="_Toc30938"/>
      <w:bookmarkStart w:id="1628" w:name="_Toc6587"/>
      <w:bookmarkStart w:id="1629" w:name="_Toc11586"/>
      <w:bookmarkStart w:id="1630" w:name="_Toc4224"/>
      <w:bookmarkStart w:id="1631" w:name="_Toc12422"/>
      <w:bookmarkStart w:id="1632" w:name="_Toc19804"/>
      <w:bookmarkStart w:id="1633" w:name="_Toc3319"/>
      <w:bookmarkStart w:id="1634" w:name="_Toc9867"/>
      <w:bookmarkStart w:id="1635" w:name="_Toc6039"/>
      <w:bookmarkStart w:id="1636" w:name="_Toc23126"/>
      <w:bookmarkStart w:id="1637" w:name="_Toc19187"/>
      <w:bookmarkStart w:id="1638" w:name="_Toc27794"/>
      <w:bookmarkStart w:id="1639" w:name="_Toc5189"/>
      <w:bookmarkStart w:id="1640" w:name="_Toc10574"/>
      <w:bookmarkStart w:id="1641" w:name="_Toc27147"/>
      <w:bookmarkStart w:id="1642" w:name="_Toc15607"/>
      <w:bookmarkStart w:id="1643" w:name="_Toc10736"/>
      <w:bookmarkStart w:id="1644" w:name="_Toc29018"/>
      <w:bookmarkStart w:id="1645" w:name="_Toc4826"/>
      <w:bookmarkStart w:id="1646" w:name="_Toc31890"/>
      <w:bookmarkStart w:id="1647" w:name="_Toc21508"/>
      <w:bookmarkStart w:id="1648" w:name="_Toc28845"/>
      <w:bookmarkStart w:id="1649" w:name="_Toc27260"/>
      <w:bookmarkStart w:id="1650" w:name="_Toc20945"/>
      <w:bookmarkStart w:id="1651" w:name="_Toc19562"/>
      <w:r>
        <w:rPr>
          <w:rFonts w:hint="eastAsia" w:ascii="微软雅黑" w:hAnsi="微软雅黑" w:eastAsia="微软雅黑" w:cs="微软雅黑"/>
          <w:b/>
          <w:bCs/>
          <w:color w:val="auto"/>
          <w:sz w:val="22"/>
          <w:szCs w:val="22"/>
          <w:highlight w:val="none"/>
          <w:u w:val="none"/>
        </w:rPr>
        <w:t>35.人员回避</w:t>
      </w:r>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p>
    <w:p w14:paraId="23E72C9A">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       </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认为采购人员及其相关人员有法律法规所列与其他供应商有利害关系的，可以向采购人或采购代理机构书面提出回避申请，并说明理由。</w:t>
      </w:r>
    </w:p>
    <w:p w14:paraId="41E381F0">
      <w:pPr>
        <w:pStyle w:val="2"/>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1652" w:name="_Toc31362"/>
      <w:bookmarkStart w:id="1653" w:name="_Toc24950"/>
      <w:bookmarkStart w:id="1654" w:name="_Toc19881"/>
      <w:bookmarkStart w:id="1655" w:name="_Toc23758"/>
      <w:bookmarkStart w:id="1656" w:name="_Toc13347"/>
      <w:bookmarkStart w:id="1657" w:name="_Toc7870"/>
      <w:bookmarkStart w:id="1658" w:name="_Toc13657"/>
      <w:bookmarkStart w:id="1659" w:name="_Toc9865"/>
      <w:bookmarkStart w:id="1660" w:name="_Toc5814"/>
      <w:bookmarkStart w:id="1661" w:name="_Toc4683"/>
      <w:bookmarkStart w:id="1662" w:name="_Toc3521"/>
      <w:bookmarkStart w:id="1663" w:name="_Toc1551"/>
      <w:bookmarkStart w:id="1664" w:name="_Toc26702"/>
      <w:bookmarkStart w:id="1665" w:name="_Toc31647"/>
      <w:bookmarkStart w:id="1666" w:name="_Toc22831"/>
      <w:bookmarkStart w:id="1667" w:name="_Toc19857"/>
      <w:bookmarkStart w:id="1668" w:name="_Toc6387"/>
      <w:bookmarkStart w:id="1669" w:name="_Toc15630"/>
      <w:bookmarkStart w:id="1670" w:name="_Toc30943"/>
      <w:bookmarkStart w:id="1671" w:name="_Toc30114"/>
      <w:bookmarkStart w:id="1672" w:name="_Toc24245"/>
      <w:bookmarkStart w:id="1673" w:name="_Toc26969"/>
      <w:bookmarkStart w:id="1674" w:name="_Toc1162"/>
      <w:bookmarkStart w:id="1675" w:name="_Toc27328"/>
      <w:bookmarkStart w:id="1676" w:name="_Toc12880"/>
      <w:bookmarkStart w:id="1677" w:name="_Toc26250"/>
      <w:bookmarkStart w:id="1678" w:name="_Toc9570"/>
      <w:bookmarkStart w:id="1679" w:name="_Toc12727"/>
      <w:bookmarkStart w:id="1680" w:name="_Toc6634"/>
      <w:bookmarkStart w:id="1681" w:name="_Toc19458"/>
      <w:bookmarkStart w:id="1682" w:name="_Toc22465"/>
      <w:bookmarkStart w:id="1683" w:name="_Toc8262"/>
      <w:bookmarkStart w:id="1684" w:name="_Toc21036"/>
      <w:bookmarkStart w:id="1685" w:name="_Toc22349"/>
      <w:bookmarkStart w:id="1686" w:name="_Toc32160"/>
      <w:bookmarkStart w:id="1687" w:name="_Toc8352"/>
      <w:bookmarkStart w:id="1688" w:name="_Toc6649"/>
      <w:bookmarkStart w:id="1689" w:name="_Toc10508"/>
      <w:bookmarkStart w:id="1690" w:name="_Toc12470"/>
      <w:bookmarkStart w:id="1691" w:name="_Toc14457"/>
      <w:bookmarkStart w:id="1692" w:name="_Toc19040"/>
      <w:bookmarkStart w:id="1693" w:name="_Toc1718"/>
      <w:bookmarkStart w:id="1694" w:name="_Toc5251"/>
      <w:r>
        <w:rPr>
          <w:rFonts w:hint="eastAsia" w:ascii="微软雅黑" w:hAnsi="微软雅黑" w:eastAsia="微软雅黑" w:cs="微软雅黑"/>
          <w:b/>
          <w:bCs/>
          <w:color w:val="auto"/>
          <w:sz w:val="22"/>
          <w:szCs w:val="22"/>
          <w:highlight w:val="none"/>
          <w:u w:val="none"/>
        </w:rPr>
        <w:t>36.</w:t>
      </w:r>
      <w:bookmarkEnd w:id="1652"/>
      <w:r>
        <w:rPr>
          <w:rFonts w:hint="eastAsia" w:ascii="微软雅黑" w:hAnsi="微软雅黑" w:eastAsia="微软雅黑" w:cs="微软雅黑"/>
          <w:b/>
          <w:bCs/>
          <w:color w:val="auto"/>
          <w:sz w:val="22"/>
          <w:szCs w:val="22"/>
          <w:highlight w:val="none"/>
          <w:u w:val="none"/>
        </w:rPr>
        <w:t>质疑与接收</w:t>
      </w:r>
      <w:bookmarkEnd w:id="21"/>
      <w:bookmarkEnd w:id="22"/>
      <w:bookmarkEnd w:id="23"/>
      <w:bookmarkEnd w:id="24"/>
      <w:bookmarkEnd w:id="25"/>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p>
    <w:p w14:paraId="7EABDD8E">
      <w:pPr>
        <w:pageBreakBefore w:val="0"/>
        <w:widowControl w:val="0"/>
        <w:kinsoku/>
        <w:wordWrap/>
        <w:overflowPunct/>
        <w:topLinePunct w:val="0"/>
        <w:bidi w:val="0"/>
        <w:spacing w:line="360" w:lineRule="exact"/>
        <w:ind w:left="660" w:leftChars="0" w:hanging="660" w:hangingChars="3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36.1  供应商认为招标文件、招标过程和中标结果使自己的权益受到损害的，可以根据《中华人民共和国政府采购法》、《中华人民共和国政府采购法实施条例》和《政府采购质疑和投诉办法》的有关规定，依法向采购人或其委托的采购代理机构提出质疑。</w:t>
      </w:r>
    </w:p>
    <w:p w14:paraId="6381BF8A">
      <w:pPr>
        <w:pStyle w:val="40"/>
        <w:pageBreakBefore w:val="0"/>
        <w:widowControl w:val="0"/>
        <w:kinsoku/>
        <w:wordWrap/>
        <w:overflowPunct/>
        <w:topLinePunct w:val="0"/>
        <w:bidi w:val="0"/>
        <w:spacing w:line="360" w:lineRule="exact"/>
        <w:ind w:left="660" w:leftChars="0" w:hanging="660" w:hangingChars="3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36.2  供应商对本项目提出质疑，必须按照相关法律法规的要求和程序，提供的质疑材料必须具备事实依据和法律依据。质疑函应当包含具体的质疑事项及事实依据，不得进行虚假及恶意质疑，如所提供的质疑材料出现恶意诋毁或与事实不符等现象，我公司将该企业的行为上报相应主管部门。</w:t>
      </w:r>
    </w:p>
    <w:p w14:paraId="0694CD92">
      <w:pPr>
        <w:pStyle w:val="40"/>
        <w:pageBreakBefore w:val="0"/>
        <w:widowControl w:val="0"/>
        <w:kinsoku/>
        <w:wordWrap/>
        <w:overflowPunct/>
        <w:topLinePunct w:val="0"/>
        <w:bidi w:val="0"/>
        <w:spacing w:line="360" w:lineRule="exact"/>
        <w:ind w:left="660" w:leftChars="0" w:hanging="660" w:hangingChars="3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36.3  投诉的事项应当包含投诉的请求和法律依据，投诉的事项不得超出所质疑事项的范围。投诉人有捏造事实、提供虚假材料、以非法手段取得证明材料的行为之一的，属于虚假、恶意投诉，由财政部门列入不良行为记录名单，禁止其1至3年内参加政府采购活动。证据来源的合法性存在明显疑问，投诉人无法证明其取得方式合法的，视为以非法手段取得证明材料。</w:t>
      </w:r>
    </w:p>
    <w:p w14:paraId="6F48C133">
      <w:pPr>
        <w:pageBreakBefore w:val="0"/>
        <w:widowControl w:val="0"/>
        <w:kinsoku/>
        <w:wordWrap/>
        <w:overflowPunct/>
        <w:topLinePunct w:val="0"/>
        <w:bidi w:val="0"/>
        <w:spacing w:line="360" w:lineRule="exact"/>
        <w:ind w:left="660" w:leftChars="0" w:hanging="660" w:hangingChars="3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36.4 质疑供应商应按照财政部制定的《政府采购质疑函范本》格式（可从财政部官方网站下载）和《政府采购质疑和投诉办法》的要求，在法定质疑期内以纸质形式提出质疑，针对同一采购程序环节的质疑应一次性提出。超出法定质疑期的、重复提出的、分次提出的或内容、形式不符合《政府采购质疑和投诉办法》的，质疑供应商将依法承担不利后果。</w:t>
      </w:r>
    </w:p>
    <w:p w14:paraId="5E6F41C4">
      <w:pPr>
        <w:pageBreakBefore w:val="0"/>
        <w:widowControl w:val="0"/>
        <w:kinsoku/>
        <w:wordWrap/>
        <w:overflowPunct/>
        <w:topLinePunct w:val="0"/>
        <w:bidi w:val="0"/>
        <w:spacing w:line="360" w:lineRule="exact"/>
        <w:ind w:left="660" w:leftChars="0" w:hanging="660" w:hangingChars="3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36.5  采购代理机构质疑函接收部门、联系电话和通讯地址, 见</w:t>
      </w:r>
      <w:r>
        <w:rPr>
          <w:rFonts w:hint="eastAsia" w:ascii="微软雅黑" w:hAnsi="微软雅黑" w:eastAsia="微软雅黑" w:cs="微软雅黑"/>
          <w:color w:val="auto"/>
          <w:sz w:val="22"/>
          <w:szCs w:val="22"/>
          <w:highlight w:val="none"/>
          <w:u w:val="single"/>
        </w:rPr>
        <w:t>供应商须知资料表。</w:t>
      </w:r>
    </w:p>
    <w:p w14:paraId="10566801">
      <w:pPr>
        <w:pageBreakBefore w:val="0"/>
        <w:widowControl w:val="0"/>
        <w:kinsoku/>
        <w:wordWrap/>
        <w:overflowPunct/>
        <w:topLinePunct w:val="0"/>
        <w:bidi w:val="0"/>
        <w:spacing w:line="360" w:lineRule="exact"/>
        <w:ind w:left="660" w:leftChars="0" w:hanging="660" w:hangingChars="3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36.6   供应商认为采购文件、采购过程和中标结果使自己的权益受到损害的，可以在知道或者应知其权益受到损害之日起7个工作日内，以书面形式向采购方提出质疑。供应商应知其权益受到损害之日，是指：</w:t>
      </w:r>
    </w:p>
    <w:p w14:paraId="76050B93">
      <w:pPr>
        <w:pageBreakBefore w:val="0"/>
        <w:widowControl w:val="0"/>
        <w:kinsoku/>
        <w:wordWrap/>
        <w:overflowPunct/>
        <w:topLinePunct w:val="0"/>
        <w:bidi w:val="0"/>
        <w:spacing w:line="360" w:lineRule="exact"/>
        <w:ind w:left="660" w:leftChars="0" w:hanging="660" w:hangingChars="3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（一）对可以质疑的采购文件提出质疑的，为收到采购文件之日或者采购文件公告期限届满之日；</w:t>
      </w:r>
    </w:p>
    <w:p w14:paraId="3ADAC6BC">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（二）对采购过程提出质疑的，为各采购程序环节结束之日；</w:t>
      </w:r>
    </w:p>
    <w:p w14:paraId="2FB936E1">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（三）对中标结果提出质疑的，为中标结果公告期限届满之日。</w:t>
      </w:r>
    </w:p>
    <w:p w14:paraId="42269CCC">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b w:val="0"/>
          <w:bCs w:val="0"/>
          <w:color w:val="auto"/>
          <w:sz w:val="22"/>
          <w:szCs w:val="22"/>
          <w:highlight w:val="none"/>
          <w:lang w:val="en-US" w:eastAsia="zh-CN"/>
        </w:rPr>
      </w:pPr>
      <w:r>
        <w:rPr>
          <w:rFonts w:hint="eastAsia" w:ascii="微软雅黑" w:hAnsi="微软雅黑" w:eastAsia="微软雅黑" w:cs="微软雅黑"/>
          <w:b w:val="0"/>
          <w:bCs w:val="0"/>
          <w:color w:val="auto"/>
          <w:sz w:val="22"/>
          <w:szCs w:val="22"/>
          <w:highlight w:val="none"/>
        </w:rPr>
        <w:t>36.7   供应商在法定质疑期内只能一次性提出针对同一采购程序环节的质疑，否则不予受理。</w:t>
      </w:r>
    </w:p>
    <w:p w14:paraId="0479ADF5">
      <w:pPr>
        <w:pageBreakBefore w:val="0"/>
        <w:widowControl w:val="0"/>
        <w:kinsoku/>
        <w:wordWrap/>
        <w:overflowPunct/>
        <w:topLinePunct w:val="0"/>
        <w:bidi w:val="0"/>
        <w:spacing w:line="360" w:lineRule="exact"/>
        <w:ind w:left="660" w:leftChars="0" w:hanging="660" w:hangingChars="3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b w:val="0"/>
          <w:bCs w:val="0"/>
          <w:color w:val="auto"/>
          <w:sz w:val="22"/>
          <w:szCs w:val="22"/>
          <w:highlight w:val="none"/>
          <w:lang w:val="en-US" w:eastAsia="zh-CN"/>
        </w:rPr>
        <w:t xml:space="preserve">36.8   </w:t>
      </w:r>
      <w:r>
        <w:rPr>
          <w:rFonts w:hint="eastAsia" w:ascii="微软雅黑" w:hAnsi="微软雅黑" w:eastAsia="微软雅黑" w:cs="微软雅黑"/>
          <w:b w:val="0"/>
          <w:bCs w:val="0"/>
          <w:color w:val="auto"/>
          <w:sz w:val="22"/>
          <w:szCs w:val="22"/>
          <w:highlight w:val="none"/>
        </w:rPr>
        <w:t>对可以质</w:t>
      </w:r>
      <w:r>
        <w:rPr>
          <w:rFonts w:hint="eastAsia" w:ascii="微软雅黑" w:hAnsi="微软雅黑" w:eastAsia="微软雅黑" w:cs="微软雅黑"/>
          <w:color w:val="auto"/>
          <w:sz w:val="22"/>
          <w:szCs w:val="22"/>
          <w:highlight w:val="none"/>
        </w:rPr>
        <w:t>疑的采购文件提出质疑的，质疑人为参与本项目的报价方或潜在报价方。可质疑的文件为采购公告以及采购文件（包括属于其组成部分的澄清、修改、补充文件和评审标准、合同文本等）。</w:t>
      </w:r>
    </w:p>
    <w:p w14:paraId="5A5C2FC7">
      <w:pPr>
        <w:pageBreakBefore w:val="0"/>
        <w:widowControl w:val="0"/>
        <w:kinsoku/>
        <w:wordWrap/>
        <w:overflowPunct/>
        <w:topLinePunct w:val="0"/>
        <w:bidi w:val="0"/>
        <w:spacing w:line="360" w:lineRule="exact"/>
        <w:ind w:left="660" w:leftChars="0" w:hanging="660" w:hangingChars="3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w:t>
      </w:r>
      <w:r>
        <w:rPr>
          <w:rFonts w:hint="eastAsia" w:ascii="微软雅黑" w:hAnsi="微软雅黑" w:eastAsia="微软雅黑" w:cs="微软雅黑"/>
          <w:color w:val="auto"/>
          <w:sz w:val="22"/>
          <w:szCs w:val="22"/>
          <w:highlight w:val="none"/>
          <w:lang w:val="en-US" w:eastAsia="zh-CN"/>
        </w:rPr>
        <w:t>9</w:t>
      </w:r>
      <w:r>
        <w:rPr>
          <w:rFonts w:hint="eastAsia" w:ascii="微软雅黑" w:hAnsi="微软雅黑" w:eastAsia="微软雅黑" w:cs="微软雅黑"/>
          <w:color w:val="auto"/>
          <w:sz w:val="22"/>
          <w:szCs w:val="22"/>
          <w:highlight w:val="none"/>
        </w:rPr>
        <w:t xml:space="preserve">  对采购过程和中标结果提出质疑的，质疑人为直接参与本项目的报价方。采购过程,即从采购项目信息公告发布起到中标结果公告止，包括采购文件的发出、提交</w:t>
      </w:r>
      <w:r>
        <w:rPr>
          <w:rFonts w:hint="eastAsia" w:ascii="微软雅黑" w:hAnsi="微软雅黑" w:eastAsia="微软雅黑" w:cs="微软雅黑"/>
          <w:color w:val="auto"/>
          <w:sz w:val="22"/>
          <w:szCs w:val="22"/>
          <w:highlight w:val="none"/>
          <w:lang w:eastAsia="zh-CN"/>
        </w:rPr>
        <w:t>投标文件</w:t>
      </w: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eastAsia="zh-CN"/>
        </w:rPr>
        <w:t>投标文件</w:t>
      </w:r>
      <w:r>
        <w:rPr>
          <w:rFonts w:hint="eastAsia" w:ascii="微软雅黑" w:hAnsi="微软雅黑" w:eastAsia="微软雅黑" w:cs="微软雅黑"/>
          <w:color w:val="auto"/>
          <w:sz w:val="22"/>
          <w:szCs w:val="22"/>
          <w:highlight w:val="none"/>
        </w:rPr>
        <w:t>开启、评审等各个采购程序环节。</w:t>
      </w:r>
    </w:p>
    <w:p w14:paraId="66D5F7A1">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w:t>
      </w:r>
      <w:r>
        <w:rPr>
          <w:rFonts w:hint="eastAsia" w:ascii="微软雅黑" w:hAnsi="微软雅黑" w:eastAsia="微软雅黑" w:cs="微软雅黑"/>
          <w:color w:val="auto"/>
          <w:sz w:val="22"/>
          <w:szCs w:val="22"/>
          <w:highlight w:val="none"/>
          <w:lang w:val="en-US" w:eastAsia="zh-CN"/>
        </w:rPr>
        <w:t>10</w:t>
      </w:r>
      <w:r>
        <w:rPr>
          <w:rFonts w:hint="eastAsia" w:ascii="微软雅黑" w:hAnsi="微软雅黑" w:eastAsia="微软雅黑" w:cs="微软雅黑"/>
          <w:color w:val="auto"/>
          <w:sz w:val="22"/>
          <w:szCs w:val="22"/>
          <w:highlight w:val="none"/>
        </w:rPr>
        <w:t xml:space="preserve">  提出质疑应当符合下列条件：</w:t>
      </w:r>
    </w:p>
    <w:p w14:paraId="31F642D0">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（一）质疑主体应当符合有关规定；</w:t>
      </w:r>
    </w:p>
    <w:p w14:paraId="2400EB8A">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（二）在质疑法定期限内提出；</w:t>
      </w:r>
    </w:p>
    <w:p w14:paraId="75CE10A7">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（三）属于可以提出质疑的政府采购事项受理范围和本项目采购人的管辖权范围；</w:t>
      </w:r>
    </w:p>
    <w:p w14:paraId="463FFA71">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（四）政府采购法律、法规、规章规定的其他条件。</w:t>
      </w:r>
    </w:p>
    <w:p w14:paraId="15B64AFE">
      <w:pPr>
        <w:pageBreakBefore w:val="0"/>
        <w:widowControl w:val="0"/>
        <w:kinsoku/>
        <w:wordWrap/>
        <w:overflowPunct/>
        <w:topLinePunct w:val="0"/>
        <w:bidi w:val="0"/>
        <w:spacing w:line="360" w:lineRule="exact"/>
        <w:ind w:left="660" w:leftChars="0" w:hanging="660" w:hangingChars="3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w:t>
      </w:r>
      <w:r>
        <w:rPr>
          <w:rFonts w:hint="eastAsia" w:ascii="微软雅黑" w:hAnsi="微软雅黑" w:eastAsia="微软雅黑" w:cs="微软雅黑"/>
          <w:color w:val="auto"/>
          <w:sz w:val="22"/>
          <w:szCs w:val="22"/>
          <w:highlight w:val="none"/>
          <w:lang w:val="en-US" w:eastAsia="zh-CN"/>
        </w:rPr>
        <w:t>11</w:t>
      </w:r>
      <w:r>
        <w:rPr>
          <w:rFonts w:hint="eastAsia" w:ascii="微软雅黑" w:hAnsi="微软雅黑" w:eastAsia="微软雅黑" w:cs="微软雅黑"/>
          <w:color w:val="auto"/>
          <w:sz w:val="22"/>
          <w:szCs w:val="22"/>
          <w:highlight w:val="none"/>
        </w:rPr>
        <w:t xml:space="preserve">  提出质疑应当具有明确的请求和提供必要的证明材料。明确的请求,即质疑人在质疑函中提出的，要求采购方对其予以支持的主张。必要的证明材料,即能够证明质疑人的质疑请求成立的必要材料，包括相关证据、依据和其他有关材料。</w:t>
      </w:r>
    </w:p>
    <w:p w14:paraId="0093B5F1">
      <w:pPr>
        <w:pageBreakBefore w:val="0"/>
        <w:widowControl w:val="0"/>
        <w:kinsoku/>
        <w:wordWrap/>
        <w:overflowPunct/>
        <w:topLinePunct w:val="0"/>
        <w:bidi w:val="0"/>
        <w:spacing w:line="360" w:lineRule="exact"/>
        <w:ind w:left="660" w:leftChars="0" w:hanging="660" w:hangingChars="3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w:t>
      </w:r>
      <w:r>
        <w:rPr>
          <w:rFonts w:hint="eastAsia" w:ascii="微软雅黑" w:hAnsi="微软雅黑" w:eastAsia="微软雅黑" w:cs="微软雅黑"/>
          <w:color w:val="auto"/>
          <w:sz w:val="22"/>
          <w:szCs w:val="22"/>
          <w:highlight w:val="none"/>
          <w:lang w:val="en-US" w:eastAsia="zh-CN"/>
        </w:rPr>
        <w:t>12</w:t>
      </w:r>
      <w:r>
        <w:rPr>
          <w:rFonts w:hint="eastAsia" w:ascii="微软雅黑" w:hAnsi="微软雅黑" w:eastAsia="微软雅黑" w:cs="微软雅黑"/>
          <w:color w:val="auto"/>
          <w:sz w:val="22"/>
          <w:szCs w:val="22"/>
          <w:highlight w:val="none"/>
        </w:rPr>
        <w:t xml:space="preserve">  质疑人所提供的证明材料应当具有真实性、合法性以及与质疑事项的关联性和证明力，否则不能作为认定该质疑事项成立的依据。</w:t>
      </w:r>
    </w:p>
    <w:p w14:paraId="2F73BA1A">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w:t>
      </w:r>
      <w:r>
        <w:rPr>
          <w:rFonts w:hint="eastAsia" w:ascii="微软雅黑" w:hAnsi="微软雅黑" w:eastAsia="微软雅黑" w:cs="微软雅黑"/>
          <w:color w:val="auto"/>
          <w:sz w:val="22"/>
          <w:szCs w:val="22"/>
          <w:highlight w:val="none"/>
          <w:lang w:val="en-US" w:eastAsia="zh-CN"/>
        </w:rPr>
        <w:t>13</w:t>
      </w:r>
      <w:r>
        <w:rPr>
          <w:rFonts w:hint="eastAsia" w:ascii="微软雅黑" w:hAnsi="微软雅黑" w:eastAsia="微软雅黑" w:cs="微软雅黑"/>
          <w:color w:val="auto"/>
          <w:sz w:val="22"/>
          <w:szCs w:val="22"/>
          <w:highlight w:val="none"/>
        </w:rPr>
        <w:t xml:space="preserve"> 质疑人提出质疑时应当提交质疑函。质疑函包括下列内容：</w:t>
      </w:r>
    </w:p>
    <w:p w14:paraId="651DD50C">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（一）提出质疑的质疑人的名称、地址、邮编、联系人及联系电话等；</w:t>
      </w:r>
    </w:p>
    <w:p w14:paraId="0A563F40">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（二）质疑项目的名称、编号；</w:t>
      </w:r>
    </w:p>
    <w:p w14:paraId="42A537C1">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（三）质疑事项；</w:t>
      </w:r>
    </w:p>
    <w:p w14:paraId="4C8E5116">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（四）事实依据和证明材料；</w:t>
      </w:r>
    </w:p>
    <w:p w14:paraId="1B09CDDA">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（五）法律依据；</w:t>
      </w:r>
    </w:p>
    <w:p w14:paraId="3EDB15CB">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（六）提出质疑的日期。</w:t>
      </w:r>
    </w:p>
    <w:p w14:paraId="71E4A84F">
      <w:pPr>
        <w:pageBreakBefore w:val="0"/>
        <w:widowControl w:val="0"/>
        <w:kinsoku/>
        <w:wordWrap/>
        <w:overflowPunct/>
        <w:topLinePunct w:val="0"/>
        <w:bidi w:val="0"/>
        <w:spacing w:line="360" w:lineRule="exact"/>
        <w:ind w:left="718" w:leftChars="342" w:firstLine="0" w:firstLine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质疑函采用实名制。质疑人为自然人的应当由本人签字，并附有效身份证明文件；质疑人为法人或者非法人组织的应当由法定代表人或者负责人签字并加盖公章，并附有效身份证明文件。</w:t>
      </w:r>
    </w:p>
    <w:p w14:paraId="6A9F88C9">
      <w:pPr>
        <w:pageBreakBefore w:val="0"/>
        <w:widowControl w:val="0"/>
        <w:kinsoku/>
        <w:wordWrap/>
        <w:overflowPunct/>
        <w:topLinePunct w:val="0"/>
        <w:bidi w:val="0"/>
        <w:spacing w:line="360" w:lineRule="exact"/>
        <w:ind w:left="660" w:leftChars="0" w:hanging="660" w:hangingChars="3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w:t>
      </w:r>
      <w:r>
        <w:rPr>
          <w:rFonts w:hint="eastAsia" w:ascii="微软雅黑" w:hAnsi="微软雅黑" w:eastAsia="微软雅黑" w:cs="微软雅黑"/>
          <w:color w:val="auto"/>
          <w:sz w:val="22"/>
          <w:szCs w:val="22"/>
          <w:highlight w:val="none"/>
          <w:lang w:val="en-US" w:eastAsia="zh-CN"/>
        </w:rPr>
        <w:t>14</w:t>
      </w:r>
      <w:r>
        <w:rPr>
          <w:rFonts w:hint="eastAsia" w:ascii="微软雅黑" w:hAnsi="微软雅黑" w:eastAsia="微软雅黑" w:cs="微软雅黑"/>
          <w:color w:val="auto"/>
          <w:sz w:val="22"/>
          <w:szCs w:val="22"/>
          <w:highlight w:val="none"/>
        </w:rPr>
        <w:t xml:space="preserve">  质疑人可以委托代理人进行质疑。代理人应当提交授权委托书。授权委托书应当载明委托代理的具体权限、期限和相关事项。</w:t>
      </w:r>
    </w:p>
    <w:p w14:paraId="436B42FE">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36.1</w:t>
      </w:r>
      <w:r>
        <w:rPr>
          <w:rFonts w:hint="eastAsia" w:ascii="微软雅黑" w:hAnsi="微软雅黑" w:eastAsia="微软雅黑" w:cs="微软雅黑"/>
          <w:color w:val="auto"/>
          <w:sz w:val="22"/>
          <w:szCs w:val="22"/>
          <w:highlight w:val="none"/>
          <w:lang w:val="en-US" w:eastAsia="zh-CN"/>
        </w:rPr>
        <w:t>5</w:t>
      </w:r>
      <w:r>
        <w:rPr>
          <w:rFonts w:hint="eastAsia" w:ascii="微软雅黑" w:hAnsi="微软雅黑" w:eastAsia="微软雅黑" w:cs="微软雅黑"/>
          <w:color w:val="auto"/>
          <w:sz w:val="22"/>
          <w:szCs w:val="22"/>
          <w:highlight w:val="none"/>
        </w:rPr>
        <w:t xml:space="preserve">  质疑的审查和受理</w:t>
      </w:r>
    </w:p>
    <w:p w14:paraId="5B65580A">
      <w:pPr>
        <w:pageBreakBefore w:val="0"/>
        <w:widowControl w:val="0"/>
        <w:kinsoku/>
        <w:wordWrap/>
        <w:overflowPunct/>
        <w:topLinePunct w:val="0"/>
        <w:bidi w:val="0"/>
        <w:spacing w:line="360" w:lineRule="exact"/>
        <w:ind w:left="718" w:leftChars="342" w:firstLine="0" w:firstLine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采购方在收到质疑函后应当及时审查是否符合质疑受理条件，对符合质疑受理条件的，及时予以受理。</w:t>
      </w:r>
    </w:p>
    <w:p w14:paraId="0632EF6E">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36.1</w:t>
      </w:r>
      <w:r>
        <w:rPr>
          <w:rFonts w:hint="eastAsia" w:ascii="微软雅黑" w:hAnsi="微软雅黑" w:eastAsia="微软雅黑" w:cs="微软雅黑"/>
          <w:color w:val="auto"/>
          <w:sz w:val="22"/>
          <w:szCs w:val="22"/>
          <w:highlight w:val="none"/>
          <w:lang w:val="en-US" w:eastAsia="zh-CN"/>
        </w:rPr>
        <w:t>6</w:t>
      </w:r>
      <w:r>
        <w:rPr>
          <w:rFonts w:hint="eastAsia" w:ascii="微软雅黑" w:hAnsi="微软雅黑" w:eastAsia="微软雅黑" w:cs="微软雅黑"/>
          <w:color w:val="auto"/>
          <w:sz w:val="22"/>
          <w:szCs w:val="22"/>
          <w:highlight w:val="none"/>
        </w:rPr>
        <w:t xml:space="preserve">  对不符合质疑受理条件的，分别按照下列不同情形予以处理：</w:t>
      </w:r>
    </w:p>
    <w:p w14:paraId="41E62F36">
      <w:pPr>
        <w:pageBreakBefore w:val="0"/>
        <w:widowControl w:val="0"/>
        <w:kinsoku/>
        <w:wordWrap/>
        <w:overflowPunct/>
        <w:topLinePunct w:val="0"/>
        <w:bidi w:val="0"/>
        <w:spacing w:line="360" w:lineRule="exact"/>
        <w:ind w:left="660" w:leftChars="0" w:hanging="660" w:hangingChars="3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（一）质疑函内容不符合规定的，告知质疑人进行修改并重新提出质疑。修改后质疑事项仍不具体、不明确或者最终递交质疑函的时间超过质疑法定期限的，不予受理；</w:t>
      </w:r>
    </w:p>
    <w:p w14:paraId="36788BA2">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（二）质疑主体不符合有关规定的，告知质疑人不予受理；</w:t>
      </w:r>
    </w:p>
    <w:p w14:paraId="057E1E58">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（三）超过质疑法定期限提出质疑的，告知质疑人不予受理；</w:t>
      </w:r>
    </w:p>
    <w:p w14:paraId="01128A68">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（四）对不属于可以提出质疑的政府采购事项提出质疑的，告知质疑人不予受理；</w:t>
      </w:r>
    </w:p>
    <w:p w14:paraId="6AA5A6F0">
      <w:pPr>
        <w:pageBreakBefore w:val="0"/>
        <w:widowControl w:val="0"/>
        <w:kinsoku/>
        <w:wordWrap/>
        <w:overflowPunct/>
        <w:topLinePunct w:val="0"/>
        <w:bidi w:val="0"/>
        <w:spacing w:line="360" w:lineRule="exact"/>
        <w:ind w:left="660" w:leftChars="0" w:hanging="660" w:hangingChars="3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（五）质疑不属于本项目采购方管辖的，告知质疑人向有管辖权的采购人提出质疑；</w:t>
      </w:r>
    </w:p>
    <w:p w14:paraId="751FCB4E">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（六）质疑不符合其他条件的，告知质疑人不予受理。</w:t>
      </w:r>
    </w:p>
    <w:p w14:paraId="565B1BE8">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36.1</w:t>
      </w:r>
      <w:r>
        <w:rPr>
          <w:rFonts w:hint="eastAsia" w:ascii="微软雅黑" w:hAnsi="微软雅黑" w:eastAsia="微软雅黑" w:cs="微软雅黑"/>
          <w:color w:val="auto"/>
          <w:sz w:val="22"/>
          <w:szCs w:val="22"/>
          <w:highlight w:val="none"/>
          <w:lang w:val="en-US" w:eastAsia="zh-CN"/>
        </w:rPr>
        <w:t>7</w:t>
      </w:r>
      <w:r>
        <w:rPr>
          <w:rFonts w:hint="eastAsia" w:ascii="微软雅黑" w:hAnsi="微软雅黑" w:eastAsia="微软雅黑" w:cs="微软雅黑"/>
          <w:color w:val="auto"/>
          <w:sz w:val="22"/>
          <w:szCs w:val="22"/>
          <w:highlight w:val="none"/>
        </w:rPr>
        <w:t xml:space="preserve">  质疑的处理和答复</w:t>
      </w:r>
    </w:p>
    <w:p w14:paraId="45BCE25B">
      <w:pPr>
        <w:pageBreakBefore w:val="0"/>
        <w:widowControl w:val="0"/>
        <w:kinsoku/>
        <w:wordWrap/>
        <w:overflowPunct/>
        <w:topLinePunct w:val="0"/>
        <w:bidi w:val="0"/>
        <w:spacing w:line="360" w:lineRule="exact"/>
        <w:ind w:left="660" w:leftChars="0" w:hanging="660" w:hangingChars="3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36.1</w:t>
      </w:r>
      <w:r>
        <w:rPr>
          <w:rFonts w:hint="eastAsia" w:ascii="微软雅黑" w:hAnsi="微软雅黑" w:eastAsia="微软雅黑" w:cs="微软雅黑"/>
          <w:color w:val="auto"/>
          <w:sz w:val="22"/>
          <w:szCs w:val="22"/>
          <w:highlight w:val="none"/>
          <w:lang w:val="en-US" w:eastAsia="zh-CN"/>
        </w:rPr>
        <w:t>8</w:t>
      </w:r>
      <w:r>
        <w:rPr>
          <w:rFonts w:hint="eastAsia" w:ascii="微软雅黑" w:hAnsi="微软雅黑" w:eastAsia="微软雅黑" w:cs="微软雅黑"/>
          <w:color w:val="auto"/>
          <w:sz w:val="22"/>
          <w:szCs w:val="22"/>
          <w:highlight w:val="none"/>
        </w:rPr>
        <w:t xml:space="preserve">  采购方受理质疑后，将及时把质疑函发送给被质疑人，并要求其在一定限期内提交书面答复，同时提供有关证据、依据和相关材料。</w:t>
      </w:r>
    </w:p>
    <w:p w14:paraId="525C2D66">
      <w:pPr>
        <w:pageBreakBefore w:val="0"/>
        <w:widowControl w:val="0"/>
        <w:kinsoku/>
        <w:wordWrap/>
        <w:overflowPunct/>
        <w:topLinePunct w:val="0"/>
        <w:bidi w:val="0"/>
        <w:spacing w:line="360" w:lineRule="exact"/>
        <w:ind w:left="880" w:leftChars="0" w:hanging="880" w:hangingChars="4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w:t>
      </w:r>
      <w:r>
        <w:rPr>
          <w:rFonts w:hint="eastAsia" w:ascii="微软雅黑" w:hAnsi="微软雅黑" w:eastAsia="微软雅黑" w:cs="微软雅黑"/>
          <w:color w:val="auto"/>
          <w:sz w:val="22"/>
          <w:szCs w:val="22"/>
          <w:highlight w:val="none"/>
          <w:lang w:val="en-US" w:eastAsia="zh-CN"/>
        </w:rPr>
        <w:t>19</w:t>
      </w:r>
      <w:r>
        <w:rPr>
          <w:rFonts w:hint="eastAsia" w:ascii="微软雅黑" w:hAnsi="微软雅黑" w:eastAsia="微软雅黑" w:cs="微软雅黑"/>
          <w:color w:val="auto"/>
          <w:sz w:val="22"/>
          <w:szCs w:val="22"/>
          <w:highlight w:val="none"/>
        </w:rPr>
        <w:t xml:space="preserve">  对于质疑事项中涉及的问题较多、情况比较复杂的，为了全面查清事实、取得充分的证据，采购方认为有必要时，可以进行调查取证或者组织质证。</w:t>
      </w:r>
    </w:p>
    <w:p w14:paraId="608FD6A1">
      <w:pPr>
        <w:pageBreakBefore w:val="0"/>
        <w:widowControl w:val="0"/>
        <w:kinsoku/>
        <w:wordWrap/>
        <w:overflowPunct/>
        <w:topLinePunct w:val="0"/>
        <w:bidi w:val="0"/>
        <w:spacing w:line="360" w:lineRule="exact"/>
        <w:ind w:left="880" w:leftChars="0" w:hanging="880" w:hangingChars="4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w:t>
      </w:r>
      <w:r>
        <w:rPr>
          <w:rFonts w:hint="eastAsia" w:ascii="微软雅黑" w:hAnsi="微软雅黑" w:eastAsia="微软雅黑" w:cs="微软雅黑"/>
          <w:color w:val="auto"/>
          <w:sz w:val="22"/>
          <w:szCs w:val="22"/>
          <w:highlight w:val="none"/>
          <w:lang w:val="en-US" w:eastAsia="zh-CN"/>
        </w:rPr>
        <w:t>20</w:t>
      </w:r>
      <w:r>
        <w:rPr>
          <w:rFonts w:hint="eastAsia" w:ascii="微软雅黑" w:hAnsi="微软雅黑" w:eastAsia="微软雅黑" w:cs="微软雅黑"/>
          <w:color w:val="auto"/>
          <w:sz w:val="22"/>
          <w:szCs w:val="22"/>
          <w:highlight w:val="none"/>
        </w:rPr>
        <w:t xml:space="preserve">  对评审过程、中标结果提出质疑的，采购方可以组织原评审委员会协助答复质疑。</w:t>
      </w:r>
    </w:p>
    <w:p w14:paraId="04CD596E">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36.2</w:t>
      </w:r>
      <w:r>
        <w:rPr>
          <w:rFonts w:hint="eastAsia" w:ascii="微软雅黑" w:hAnsi="微软雅黑" w:eastAsia="微软雅黑" w:cs="微软雅黑"/>
          <w:color w:val="auto"/>
          <w:sz w:val="22"/>
          <w:szCs w:val="22"/>
          <w:highlight w:val="none"/>
          <w:lang w:val="en-US" w:eastAsia="zh-CN"/>
        </w:rPr>
        <w:t>1</w:t>
      </w:r>
      <w:r>
        <w:rPr>
          <w:rFonts w:hint="eastAsia" w:ascii="微软雅黑" w:hAnsi="微软雅黑" w:eastAsia="微软雅黑" w:cs="微软雅黑"/>
          <w:color w:val="auto"/>
          <w:sz w:val="22"/>
          <w:szCs w:val="22"/>
          <w:highlight w:val="none"/>
        </w:rPr>
        <w:t xml:space="preserve">  质疑处理过程中，质疑人书面申请撤回质疑的，将终止质疑处理程序。</w:t>
      </w:r>
    </w:p>
    <w:p w14:paraId="250D934C">
      <w:pPr>
        <w:pageBreakBefore w:val="0"/>
        <w:widowControl w:val="0"/>
        <w:kinsoku/>
        <w:wordWrap/>
        <w:overflowPunct/>
        <w:topLinePunct w:val="0"/>
        <w:bidi w:val="0"/>
        <w:spacing w:line="360" w:lineRule="exact"/>
        <w:ind w:left="880" w:leftChars="0" w:hanging="880" w:hangingChars="4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36.2</w:t>
      </w:r>
      <w:r>
        <w:rPr>
          <w:rFonts w:hint="eastAsia" w:ascii="微软雅黑" w:hAnsi="微软雅黑" w:eastAsia="微软雅黑" w:cs="微软雅黑"/>
          <w:color w:val="auto"/>
          <w:sz w:val="22"/>
          <w:szCs w:val="22"/>
          <w:highlight w:val="none"/>
          <w:lang w:val="en-US" w:eastAsia="zh-CN"/>
        </w:rPr>
        <w:t>2</w:t>
      </w:r>
      <w:r>
        <w:rPr>
          <w:rFonts w:hint="eastAsia" w:ascii="微软雅黑" w:hAnsi="微软雅黑" w:eastAsia="微软雅黑" w:cs="微软雅黑"/>
          <w:color w:val="auto"/>
          <w:sz w:val="22"/>
          <w:szCs w:val="22"/>
          <w:highlight w:val="none"/>
        </w:rPr>
        <w:t xml:space="preserve">  质疑人拒绝配合采购方依法对质疑进行调查处理的，采购方将按质疑人自动撤回质疑处理；被质疑人拒绝配合采购方依法对质疑进行调查处理的，采购方将视同其认可质疑事项。</w:t>
      </w:r>
    </w:p>
    <w:p w14:paraId="6EDEC4EA">
      <w:pPr>
        <w:pageBreakBefore w:val="0"/>
        <w:widowControl w:val="0"/>
        <w:kinsoku/>
        <w:wordWrap/>
        <w:overflowPunct/>
        <w:topLinePunct w:val="0"/>
        <w:bidi w:val="0"/>
        <w:spacing w:line="360" w:lineRule="exact"/>
        <w:ind w:left="660" w:leftChars="0" w:hanging="660" w:hangingChars="3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36.2</w:t>
      </w:r>
      <w:r>
        <w:rPr>
          <w:rFonts w:hint="eastAsia" w:ascii="微软雅黑" w:hAnsi="微软雅黑" w:eastAsia="微软雅黑" w:cs="微软雅黑"/>
          <w:color w:val="auto"/>
          <w:sz w:val="22"/>
          <w:szCs w:val="22"/>
          <w:highlight w:val="none"/>
          <w:lang w:val="en-US" w:eastAsia="zh-CN"/>
        </w:rPr>
        <w:t xml:space="preserve">3 </w:t>
      </w:r>
      <w:r>
        <w:rPr>
          <w:rFonts w:hint="eastAsia" w:ascii="微软雅黑" w:hAnsi="微软雅黑" w:eastAsia="微软雅黑" w:cs="微软雅黑"/>
          <w:color w:val="auto"/>
          <w:sz w:val="22"/>
          <w:szCs w:val="22"/>
          <w:highlight w:val="none"/>
        </w:rPr>
        <w:t xml:space="preserve"> 质疑人拒绝配合采购方依法对质疑进行调查处理的，采购方将按质疑人自动撤回质疑处理；被质疑人拒绝配合采购方依法对质疑进行调查处理的，采购方将视同其认可质疑事项。</w:t>
      </w:r>
    </w:p>
    <w:p w14:paraId="4A33D011">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b/>
          <w:bCs/>
          <w:color w:val="auto"/>
          <w:sz w:val="20"/>
          <w:szCs w:val="22"/>
          <w:highlight w:val="none"/>
          <w:lang w:val="en-US" w:eastAsia="zh-CN"/>
        </w:rPr>
      </w:pPr>
      <w:r>
        <w:rPr>
          <w:rFonts w:hint="eastAsia" w:ascii="微软雅黑" w:hAnsi="微软雅黑" w:eastAsia="微软雅黑" w:cs="微软雅黑"/>
          <w:color w:val="auto"/>
          <w:sz w:val="22"/>
          <w:szCs w:val="22"/>
          <w:highlight w:val="none"/>
        </w:rPr>
        <w:t>36.2</w:t>
      </w:r>
      <w:r>
        <w:rPr>
          <w:rFonts w:hint="eastAsia" w:ascii="微软雅黑" w:hAnsi="微软雅黑" w:eastAsia="微软雅黑" w:cs="微软雅黑"/>
          <w:color w:val="auto"/>
          <w:sz w:val="22"/>
          <w:szCs w:val="22"/>
          <w:highlight w:val="none"/>
          <w:lang w:val="en-US" w:eastAsia="zh-CN"/>
        </w:rPr>
        <w:t>4</w:t>
      </w:r>
      <w:r>
        <w:rPr>
          <w:rFonts w:hint="eastAsia" w:ascii="微软雅黑" w:hAnsi="微软雅黑" w:eastAsia="微软雅黑" w:cs="微软雅黑"/>
          <w:color w:val="auto"/>
          <w:sz w:val="22"/>
          <w:szCs w:val="22"/>
          <w:highlight w:val="none"/>
        </w:rPr>
        <w:t xml:space="preserve">  采购方将在正式受理质疑后7个工作日内作出答复。</w:t>
      </w:r>
      <w:r>
        <w:rPr>
          <w:rFonts w:hint="eastAsia" w:ascii="微软雅黑" w:hAnsi="微软雅黑" w:eastAsia="微软雅黑" w:cs="微软雅黑"/>
          <w:color w:val="auto"/>
          <w:sz w:val="22"/>
          <w:szCs w:val="22"/>
          <w:highlight w:val="none"/>
          <w:lang w:val="en-US" w:eastAsia="zh-CN"/>
        </w:rPr>
        <w:t xml:space="preserve"> </w:t>
      </w:r>
    </w:p>
    <w:p w14:paraId="1E6A711F">
      <w:pPr>
        <w:pStyle w:val="40"/>
        <w:pageBreakBefore w:val="0"/>
        <w:widowControl w:val="0"/>
        <w:kinsoku/>
        <w:wordWrap/>
        <w:overflowPunct/>
        <w:topLinePunct w:val="0"/>
        <w:bidi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36.2</w:t>
      </w:r>
      <w:r>
        <w:rPr>
          <w:rFonts w:hint="eastAsia" w:ascii="微软雅黑" w:hAnsi="微软雅黑" w:eastAsia="微软雅黑" w:cs="微软雅黑"/>
          <w:color w:val="auto"/>
          <w:sz w:val="22"/>
          <w:szCs w:val="22"/>
          <w:highlight w:val="none"/>
          <w:lang w:val="en-US" w:eastAsia="zh-CN"/>
        </w:rPr>
        <w:t>5</w:t>
      </w:r>
      <w:r>
        <w:rPr>
          <w:rFonts w:hint="eastAsia" w:ascii="微软雅黑" w:hAnsi="微软雅黑" w:eastAsia="微软雅黑" w:cs="微软雅黑"/>
          <w:color w:val="auto"/>
          <w:sz w:val="22"/>
          <w:szCs w:val="22"/>
          <w:highlight w:val="none"/>
        </w:rPr>
        <w:t xml:space="preserve"> 质疑答复应当包括下列内容：</w:t>
      </w:r>
    </w:p>
    <w:p w14:paraId="62A2345F">
      <w:pPr>
        <w:pStyle w:val="40"/>
        <w:pageBreakBefore w:val="0"/>
        <w:widowControl w:val="0"/>
        <w:kinsoku/>
        <w:wordWrap/>
        <w:overflowPunct/>
        <w:topLinePunct w:val="0"/>
        <w:bidi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（一）质疑人的姓名或者名称；</w:t>
      </w:r>
    </w:p>
    <w:p w14:paraId="1FB108CF">
      <w:pPr>
        <w:pStyle w:val="40"/>
        <w:pageBreakBefore w:val="0"/>
        <w:widowControl w:val="0"/>
        <w:kinsoku/>
        <w:wordWrap/>
        <w:overflowPunct/>
        <w:topLinePunct w:val="0"/>
        <w:bidi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（二）收到质疑函的日期、质疑项目名称及编号；</w:t>
      </w:r>
    </w:p>
    <w:p w14:paraId="4F583DE4">
      <w:pPr>
        <w:pStyle w:val="40"/>
        <w:pageBreakBefore w:val="0"/>
        <w:widowControl w:val="0"/>
        <w:kinsoku/>
        <w:wordWrap/>
        <w:overflowPunct/>
        <w:topLinePunct w:val="0"/>
        <w:bidi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（三）质疑事项、质疑答复的具体内容、事实依据和法律依据；</w:t>
      </w:r>
    </w:p>
    <w:p w14:paraId="344775E7">
      <w:pPr>
        <w:pStyle w:val="40"/>
        <w:pageBreakBefore w:val="0"/>
        <w:widowControl w:val="0"/>
        <w:kinsoku/>
        <w:wordWrap/>
        <w:overflowPunct/>
        <w:topLinePunct w:val="0"/>
        <w:bidi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（四）告知质疑供应商依法投诉的权利；</w:t>
      </w:r>
    </w:p>
    <w:p w14:paraId="33F0E89B">
      <w:pPr>
        <w:pStyle w:val="40"/>
        <w:pageBreakBefore w:val="0"/>
        <w:widowControl w:val="0"/>
        <w:kinsoku/>
        <w:wordWrap/>
        <w:overflowPunct/>
        <w:topLinePunct w:val="0"/>
        <w:bidi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（五）质疑答复人名称；</w:t>
      </w:r>
    </w:p>
    <w:p w14:paraId="7D6975DD">
      <w:pPr>
        <w:pStyle w:val="40"/>
        <w:pageBreakBefore w:val="0"/>
        <w:widowControl w:val="0"/>
        <w:kinsoku/>
        <w:wordWrap/>
        <w:overflowPunct/>
        <w:topLinePunct w:val="0"/>
        <w:bidi w:val="0"/>
        <w:spacing w:line="360" w:lineRule="exact"/>
        <w:ind w:left="0" w:leftChars="0"/>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color w:val="auto"/>
          <w:sz w:val="22"/>
          <w:szCs w:val="22"/>
          <w:highlight w:val="none"/>
        </w:rPr>
        <w:t>（六）答复质疑的日期。</w:t>
      </w:r>
    </w:p>
    <w:p w14:paraId="316EA9D7">
      <w:pPr>
        <w:pageBreakBefore w:val="0"/>
        <w:kinsoku/>
        <w:wordWrap/>
        <w:overflowPunct/>
        <w:topLinePunct w:val="0"/>
        <w:bidi w:val="0"/>
        <w:spacing w:line="360" w:lineRule="exact"/>
        <w:ind w:left="0" w:leftChars="0"/>
        <w:jc w:val="center"/>
        <w:textAlignment w:val="auto"/>
        <w:outlineLvl w:val="2"/>
        <w:rPr>
          <w:rFonts w:hint="eastAsia" w:ascii="微软雅黑" w:hAnsi="微软雅黑" w:eastAsia="微软雅黑" w:cs="微软雅黑"/>
          <w:b/>
          <w:bCs/>
          <w:color w:val="auto"/>
          <w:sz w:val="22"/>
          <w:szCs w:val="22"/>
          <w:highlight w:val="none"/>
        </w:rPr>
      </w:pPr>
      <w:bookmarkStart w:id="1695" w:name="_Toc472"/>
      <w:bookmarkStart w:id="1696" w:name="_Toc22908"/>
      <w:bookmarkStart w:id="1697" w:name="_Toc17298"/>
      <w:bookmarkStart w:id="1698" w:name="_Toc21687"/>
      <w:bookmarkStart w:id="1699" w:name="_Toc30512"/>
      <w:bookmarkStart w:id="1700" w:name="_Toc17993"/>
      <w:bookmarkStart w:id="1701" w:name="_Toc23310"/>
      <w:bookmarkStart w:id="1702" w:name="_Toc32237"/>
      <w:bookmarkStart w:id="1703" w:name="_Toc24084"/>
      <w:bookmarkStart w:id="1704" w:name="_Toc24456"/>
      <w:bookmarkStart w:id="1705" w:name="_Toc2072"/>
      <w:bookmarkStart w:id="1706" w:name="_Toc8353"/>
      <w:bookmarkStart w:id="1707" w:name="_Toc2799"/>
      <w:bookmarkStart w:id="1708" w:name="_Toc11297"/>
      <w:bookmarkStart w:id="1709" w:name="_Toc30026"/>
      <w:bookmarkStart w:id="1710" w:name="_Toc1840"/>
      <w:bookmarkStart w:id="1711" w:name="_Toc14357"/>
      <w:bookmarkStart w:id="1712" w:name="_Toc16553"/>
      <w:bookmarkStart w:id="1713" w:name="_Toc25636"/>
      <w:bookmarkStart w:id="1714" w:name="_Toc23411"/>
      <w:bookmarkStart w:id="1715" w:name="_Toc6589"/>
      <w:bookmarkStart w:id="1716" w:name="_Toc2701"/>
      <w:bookmarkStart w:id="1717" w:name="_Toc11811"/>
      <w:bookmarkStart w:id="1718" w:name="_Toc18518"/>
      <w:bookmarkStart w:id="1719" w:name="_Toc1369"/>
      <w:bookmarkStart w:id="1720" w:name="_Toc18735"/>
      <w:bookmarkStart w:id="1721" w:name="_Toc12592"/>
      <w:bookmarkStart w:id="1722" w:name="_Toc10094"/>
      <w:bookmarkStart w:id="1723" w:name="_Toc27601"/>
      <w:bookmarkStart w:id="1724" w:name="_Toc10616"/>
      <w:bookmarkStart w:id="1725" w:name="_Toc13933"/>
      <w:bookmarkStart w:id="1726" w:name="_Toc31840"/>
      <w:bookmarkStart w:id="1727" w:name="_Toc24362"/>
      <w:bookmarkStart w:id="1728" w:name="_Toc8489"/>
      <w:bookmarkStart w:id="1729" w:name="_Toc30093"/>
      <w:bookmarkStart w:id="1730" w:name="_Toc1819"/>
      <w:bookmarkStart w:id="1731" w:name="_Toc12378"/>
      <w:bookmarkStart w:id="1732" w:name="_Toc15112"/>
      <w:bookmarkStart w:id="1733" w:name="_Toc9437"/>
      <w:bookmarkStart w:id="1734" w:name="_Toc2500"/>
      <w:bookmarkStart w:id="1735" w:name="_Toc8735"/>
      <w:bookmarkStart w:id="1736" w:name="_Toc11468"/>
      <w:bookmarkStart w:id="1737" w:name="_Toc9246"/>
      <w:bookmarkStart w:id="1738" w:name="_Toc8005"/>
      <w:bookmarkStart w:id="1739" w:name="_Toc3696"/>
      <w:bookmarkStart w:id="1740" w:name="_Toc12088"/>
      <w:bookmarkStart w:id="1741" w:name="_Toc28502"/>
      <w:r>
        <w:rPr>
          <w:rFonts w:hint="eastAsia" w:ascii="微软雅黑" w:hAnsi="微软雅黑" w:eastAsia="微软雅黑" w:cs="微软雅黑"/>
          <w:b/>
          <w:bCs/>
          <w:color w:val="auto"/>
          <w:sz w:val="22"/>
          <w:szCs w:val="22"/>
          <w:highlight w:val="none"/>
        </w:rPr>
        <w:t>质疑函范本</w:t>
      </w:r>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p>
    <w:p w14:paraId="30D454EC">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bCs/>
          <w:color w:val="auto"/>
          <w:sz w:val="22"/>
          <w:szCs w:val="22"/>
          <w:highlight w:val="none"/>
        </w:rPr>
      </w:pPr>
      <w:r>
        <w:rPr>
          <w:rFonts w:hint="eastAsia" w:ascii="微软雅黑" w:hAnsi="微软雅黑" w:eastAsia="微软雅黑" w:cs="微软雅黑"/>
          <w:bCs/>
          <w:color w:val="auto"/>
          <w:sz w:val="22"/>
          <w:szCs w:val="22"/>
          <w:highlight w:val="none"/>
        </w:rPr>
        <w:t>一、质疑供应商基本信息</w:t>
      </w:r>
    </w:p>
    <w:p w14:paraId="5BD4FABA">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u w:val="dotted"/>
        </w:rPr>
      </w:pPr>
      <w:r>
        <w:rPr>
          <w:rFonts w:hint="eastAsia" w:ascii="微软雅黑" w:hAnsi="微软雅黑" w:eastAsia="微软雅黑" w:cs="微软雅黑"/>
          <w:color w:val="auto"/>
          <w:sz w:val="22"/>
          <w:szCs w:val="22"/>
          <w:highlight w:val="none"/>
        </w:rPr>
        <w:t>质疑供应商：</w:t>
      </w:r>
      <w:r>
        <w:rPr>
          <w:rFonts w:hint="eastAsia" w:ascii="微软雅黑" w:hAnsi="微软雅黑" w:eastAsia="微软雅黑" w:cs="微软雅黑"/>
          <w:color w:val="auto"/>
          <w:sz w:val="22"/>
          <w:szCs w:val="22"/>
          <w:highlight w:val="none"/>
          <w:u w:val="single"/>
        </w:rPr>
        <w:t xml:space="preserve">                                        </w:t>
      </w:r>
    </w:p>
    <w:p w14:paraId="74F6E13E">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地址：</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邮编：</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u w:val="dotted"/>
        </w:rPr>
        <w:t xml:space="preserve">                    </w:t>
      </w:r>
    </w:p>
    <w:p w14:paraId="5BCC151A">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联系人：</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联系电话：</w:t>
      </w:r>
      <w:r>
        <w:rPr>
          <w:rFonts w:hint="eastAsia" w:ascii="微软雅黑" w:hAnsi="微软雅黑" w:eastAsia="微软雅黑" w:cs="微软雅黑"/>
          <w:color w:val="auto"/>
          <w:sz w:val="22"/>
          <w:szCs w:val="22"/>
          <w:highlight w:val="none"/>
          <w:u w:val="single"/>
        </w:rPr>
        <w:t xml:space="preserve">                              </w:t>
      </w:r>
    </w:p>
    <w:p w14:paraId="6FBE7F76">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u w:val="dotted"/>
        </w:rPr>
      </w:pPr>
      <w:r>
        <w:rPr>
          <w:rFonts w:hint="eastAsia" w:ascii="微软雅黑" w:hAnsi="微软雅黑" w:eastAsia="微软雅黑" w:cs="微软雅黑"/>
          <w:color w:val="auto"/>
          <w:sz w:val="22"/>
          <w:szCs w:val="22"/>
          <w:highlight w:val="none"/>
        </w:rPr>
        <w:t>授权代表：</w:t>
      </w:r>
      <w:r>
        <w:rPr>
          <w:rFonts w:hint="eastAsia" w:ascii="微软雅黑" w:hAnsi="微软雅黑" w:eastAsia="微软雅黑" w:cs="微软雅黑"/>
          <w:color w:val="auto"/>
          <w:sz w:val="22"/>
          <w:szCs w:val="22"/>
          <w:highlight w:val="none"/>
          <w:u w:val="single"/>
        </w:rPr>
        <w:t xml:space="preserve">                                          </w:t>
      </w:r>
    </w:p>
    <w:p w14:paraId="7BAA4A29">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联系电话：</w:t>
      </w:r>
      <w:r>
        <w:rPr>
          <w:rFonts w:hint="eastAsia" w:ascii="微软雅黑" w:hAnsi="微软雅黑" w:eastAsia="微软雅黑" w:cs="微软雅黑"/>
          <w:color w:val="auto"/>
          <w:sz w:val="22"/>
          <w:szCs w:val="22"/>
          <w:highlight w:val="none"/>
          <w:u w:val="single"/>
        </w:rPr>
        <w:t xml:space="preserve">                                          </w:t>
      </w:r>
    </w:p>
    <w:p w14:paraId="1B209388">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地址：</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邮编：</w:t>
      </w:r>
      <w:r>
        <w:rPr>
          <w:rFonts w:hint="eastAsia" w:ascii="微软雅黑" w:hAnsi="微软雅黑" w:eastAsia="微软雅黑" w:cs="微软雅黑"/>
          <w:color w:val="auto"/>
          <w:sz w:val="22"/>
          <w:szCs w:val="22"/>
          <w:highlight w:val="none"/>
          <w:u w:val="single"/>
        </w:rPr>
        <w:t xml:space="preserve">                                </w:t>
      </w:r>
    </w:p>
    <w:p w14:paraId="0380ADD8">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bCs/>
          <w:color w:val="auto"/>
          <w:sz w:val="22"/>
          <w:szCs w:val="22"/>
          <w:highlight w:val="none"/>
        </w:rPr>
      </w:pPr>
      <w:r>
        <w:rPr>
          <w:rFonts w:hint="eastAsia" w:ascii="微软雅黑" w:hAnsi="微软雅黑" w:eastAsia="微软雅黑" w:cs="微软雅黑"/>
          <w:bCs/>
          <w:color w:val="auto"/>
          <w:sz w:val="22"/>
          <w:szCs w:val="22"/>
          <w:highlight w:val="none"/>
        </w:rPr>
        <w:t>二、质疑项目基本情况</w:t>
      </w:r>
    </w:p>
    <w:p w14:paraId="79E500D6">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质疑项目的名称：</w:t>
      </w:r>
      <w:r>
        <w:rPr>
          <w:rFonts w:hint="eastAsia" w:ascii="微软雅黑" w:hAnsi="微软雅黑" w:eastAsia="微软雅黑" w:cs="微软雅黑"/>
          <w:color w:val="auto"/>
          <w:sz w:val="22"/>
          <w:szCs w:val="22"/>
          <w:highlight w:val="none"/>
          <w:u w:val="single"/>
        </w:rPr>
        <w:t xml:space="preserve">                                      </w:t>
      </w:r>
    </w:p>
    <w:p w14:paraId="62DD2C91">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质疑项目的编号：</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lang w:eastAsia="zh-CN"/>
        </w:rPr>
        <w:t>标项</w:t>
      </w: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u w:val="single"/>
        </w:rPr>
        <w:t xml:space="preserve">                 </w:t>
      </w:r>
    </w:p>
    <w:p w14:paraId="772F1652">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采购人名称：</w:t>
      </w:r>
      <w:r>
        <w:rPr>
          <w:rFonts w:hint="eastAsia" w:ascii="微软雅黑" w:hAnsi="微软雅黑" w:eastAsia="微软雅黑" w:cs="微软雅黑"/>
          <w:color w:val="auto"/>
          <w:sz w:val="22"/>
          <w:szCs w:val="22"/>
          <w:highlight w:val="none"/>
          <w:u w:val="single"/>
        </w:rPr>
        <w:t xml:space="preserve">                                         </w:t>
      </w:r>
    </w:p>
    <w:p w14:paraId="7F92055F">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采购文件获取日期：</w:t>
      </w:r>
      <w:r>
        <w:rPr>
          <w:rFonts w:hint="eastAsia" w:ascii="微软雅黑" w:hAnsi="微软雅黑" w:eastAsia="微软雅黑" w:cs="微软雅黑"/>
          <w:color w:val="auto"/>
          <w:sz w:val="22"/>
          <w:szCs w:val="22"/>
          <w:highlight w:val="none"/>
          <w:u w:val="single"/>
        </w:rPr>
        <w:t xml:space="preserve">                                           </w:t>
      </w:r>
    </w:p>
    <w:p w14:paraId="20239DC7">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bCs/>
          <w:color w:val="auto"/>
          <w:sz w:val="22"/>
          <w:szCs w:val="22"/>
          <w:highlight w:val="none"/>
        </w:rPr>
      </w:pPr>
      <w:r>
        <w:rPr>
          <w:rFonts w:hint="eastAsia" w:ascii="微软雅黑" w:hAnsi="微软雅黑" w:eastAsia="微软雅黑" w:cs="微软雅黑"/>
          <w:bCs/>
          <w:color w:val="auto"/>
          <w:sz w:val="22"/>
          <w:szCs w:val="22"/>
          <w:highlight w:val="none"/>
        </w:rPr>
        <w:t>三、质疑事项具体内容</w:t>
      </w:r>
    </w:p>
    <w:p w14:paraId="56D389E8">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u w:val="dotted"/>
        </w:rPr>
      </w:pPr>
      <w:r>
        <w:rPr>
          <w:rFonts w:hint="eastAsia" w:ascii="微软雅黑" w:hAnsi="微软雅黑" w:eastAsia="微软雅黑" w:cs="微软雅黑"/>
          <w:color w:val="auto"/>
          <w:sz w:val="22"/>
          <w:szCs w:val="22"/>
          <w:highlight w:val="none"/>
        </w:rPr>
        <w:t>质疑事项1：</w:t>
      </w:r>
      <w:r>
        <w:rPr>
          <w:rFonts w:hint="eastAsia" w:ascii="微软雅黑" w:hAnsi="微软雅黑" w:eastAsia="微软雅黑" w:cs="微软雅黑"/>
          <w:color w:val="auto"/>
          <w:sz w:val="22"/>
          <w:szCs w:val="22"/>
          <w:highlight w:val="none"/>
          <w:u w:val="single"/>
        </w:rPr>
        <w:t xml:space="preserve">                                         </w:t>
      </w:r>
    </w:p>
    <w:p w14:paraId="6B07C011">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事实依据：</w:t>
      </w:r>
      <w:r>
        <w:rPr>
          <w:rFonts w:hint="eastAsia" w:ascii="微软雅黑" w:hAnsi="微软雅黑" w:eastAsia="微软雅黑" w:cs="微软雅黑"/>
          <w:color w:val="auto"/>
          <w:sz w:val="22"/>
          <w:szCs w:val="22"/>
          <w:highlight w:val="none"/>
          <w:u w:val="single"/>
        </w:rPr>
        <w:t xml:space="preserve">                                          </w:t>
      </w:r>
    </w:p>
    <w:p w14:paraId="0674E56D">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u w:val="single"/>
        </w:rPr>
        <w:t xml:space="preserve">                                                       </w:t>
      </w:r>
    </w:p>
    <w:p w14:paraId="5C18E5FF">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法律依据：</w:t>
      </w:r>
      <w:r>
        <w:rPr>
          <w:rFonts w:hint="eastAsia" w:ascii="微软雅黑" w:hAnsi="微软雅黑" w:eastAsia="微软雅黑" w:cs="微软雅黑"/>
          <w:color w:val="auto"/>
          <w:sz w:val="22"/>
          <w:szCs w:val="22"/>
          <w:highlight w:val="none"/>
          <w:u w:val="single"/>
        </w:rPr>
        <w:t xml:space="preserve">                                          </w:t>
      </w:r>
    </w:p>
    <w:p w14:paraId="78234772">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u w:val="dotted"/>
        </w:rPr>
      </w:pPr>
      <w:r>
        <w:rPr>
          <w:rFonts w:hint="eastAsia" w:ascii="微软雅黑" w:hAnsi="微软雅黑" w:eastAsia="微软雅黑" w:cs="微软雅黑"/>
          <w:color w:val="auto"/>
          <w:sz w:val="22"/>
          <w:szCs w:val="22"/>
          <w:highlight w:val="none"/>
          <w:u w:val="single"/>
        </w:rPr>
        <w:t xml:space="preserve">                                                     </w:t>
      </w:r>
    </w:p>
    <w:p w14:paraId="62E2F915">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u w:val="dotted"/>
        </w:rPr>
      </w:pPr>
      <w:r>
        <w:rPr>
          <w:rFonts w:hint="eastAsia" w:ascii="微软雅黑" w:hAnsi="微软雅黑" w:eastAsia="微软雅黑" w:cs="微软雅黑"/>
          <w:color w:val="auto"/>
          <w:sz w:val="22"/>
          <w:szCs w:val="22"/>
          <w:highlight w:val="none"/>
        </w:rPr>
        <w:t>质疑事项2</w:t>
      </w:r>
    </w:p>
    <w:p w14:paraId="6608230F">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w:t>
      </w:r>
    </w:p>
    <w:p w14:paraId="2ABB10F9">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bCs/>
          <w:color w:val="auto"/>
          <w:sz w:val="22"/>
          <w:szCs w:val="22"/>
          <w:highlight w:val="none"/>
        </w:rPr>
      </w:pPr>
      <w:r>
        <w:rPr>
          <w:rFonts w:hint="eastAsia" w:ascii="微软雅黑" w:hAnsi="微软雅黑" w:eastAsia="微软雅黑" w:cs="微软雅黑"/>
          <w:bCs/>
          <w:color w:val="auto"/>
          <w:sz w:val="22"/>
          <w:szCs w:val="22"/>
          <w:highlight w:val="none"/>
        </w:rPr>
        <w:t>四、与质疑事项相关的质疑请求</w:t>
      </w:r>
    </w:p>
    <w:p w14:paraId="3991885A">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请求：</w:t>
      </w:r>
      <w:r>
        <w:rPr>
          <w:rFonts w:hint="eastAsia" w:ascii="微软雅黑" w:hAnsi="微软雅黑" w:eastAsia="微软雅黑" w:cs="微软雅黑"/>
          <w:color w:val="auto"/>
          <w:sz w:val="22"/>
          <w:szCs w:val="22"/>
          <w:highlight w:val="none"/>
          <w:u w:val="single"/>
        </w:rPr>
        <w:t xml:space="preserve">                                               </w:t>
      </w:r>
    </w:p>
    <w:p w14:paraId="08A7E2EE">
      <w:pPr>
        <w:pageBreakBefore w:val="0"/>
        <w:kinsoku/>
        <w:wordWrap/>
        <w:overflowPunct/>
        <w:topLinePunct w:val="0"/>
        <w:bidi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签字(签章)：                   公章：                      </w:t>
      </w:r>
    </w:p>
    <w:p w14:paraId="18A29468">
      <w:pPr>
        <w:pageBreakBefore w:val="0"/>
        <w:kinsoku/>
        <w:wordWrap/>
        <w:overflowPunct/>
        <w:topLinePunct w:val="0"/>
        <w:bidi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日期：    </w:t>
      </w:r>
    </w:p>
    <w:p w14:paraId="01B2F34C">
      <w:pPr>
        <w:pageBreakBefore w:val="0"/>
        <w:kinsoku/>
        <w:wordWrap/>
        <w:overflowPunct/>
        <w:topLinePunct w:val="0"/>
        <w:bidi w:val="0"/>
        <w:spacing w:line="360" w:lineRule="exact"/>
        <w:ind w:left="0" w:leftChars="0"/>
        <w:textAlignment w:val="auto"/>
        <w:rPr>
          <w:rFonts w:hint="eastAsia" w:ascii="微软雅黑" w:hAnsi="微软雅黑" w:eastAsia="微软雅黑" w:cs="微软雅黑"/>
          <w:b/>
          <w:color w:val="auto"/>
          <w:sz w:val="22"/>
          <w:szCs w:val="22"/>
          <w:highlight w:val="none"/>
        </w:rPr>
      </w:pPr>
    </w:p>
    <w:p w14:paraId="67024FB2">
      <w:pPr>
        <w:pageBreakBefore w:val="0"/>
        <w:kinsoku/>
        <w:wordWrap/>
        <w:overflowPunct/>
        <w:topLinePunct w:val="0"/>
        <w:bidi w:val="0"/>
        <w:spacing w:line="360" w:lineRule="exact"/>
        <w:ind w:left="0" w:leftChars="0"/>
        <w:textAlignment w:val="auto"/>
        <w:rPr>
          <w:rFonts w:hint="eastAsia" w:ascii="微软雅黑" w:hAnsi="微软雅黑" w:eastAsia="微软雅黑" w:cs="微软雅黑"/>
          <w:b/>
          <w:color w:val="auto"/>
          <w:sz w:val="22"/>
          <w:szCs w:val="22"/>
          <w:highlight w:val="none"/>
        </w:rPr>
      </w:pPr>
      <w:r>
        <w:rPr>
          <w:rFonts w:hint="eastAsia" w:ascii="微软雅黑" w:hAnsi="微软雅黑" w:eastAsia="微软雅黑" w:cs="微软雅黑"/>
          <w:b/>
          <w:color w:val="auto"/>
          <w:sz w:val="22"/>
          <w:szCs w:val="22"/>
          <w:highlight w:val="none"/>
        </w:rPr>
        <w:t>质疑函制作说明：</w:t>
      </w:r>
    </w:p>
    <w:p w14:paraId="549D379E">
      <w:pPr>
        <w:pageBreakBefore w:val="0"/>
        <w:widowControl/>
        <w:kinsoku/>
        <w:wordWrap/>
        <w:overflowPunct/>
        <w:topLinePunct w:val="0"/>
        <w:bidi w:val="0"/>
        <w:spacing w:line="360" w:lineRule="exact"/>
        <w:ind w:left="0" w:leftChars="0" w:firstLine="440" w:firstLineChars="2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1.供应商提出质疑时，应提交质疑函和必要的证明材料。</w:t>
      </w:r>
    </w:p>
    <w:p w14:paraId="40610E4E">
      <w:pPr>
        <w:pageBreakBefore w:val="0"/>
        <w:widowControl/>
        <w:kinsoku/>
        <w:wordWrap/>
        <w:overflowPunct/>
        <w:topLinePunct w:val="0"/>
        <w:bidi w:val="0"/>
        <w:spacing w:line="360" w:lineRule="exact"/>
        <w:ind w:left="0" w:leftChars="0" w:firstLine="440" w:firstLineChars="2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2.质疑供应商若委托代理人进行质疑的，质疑函应按要求列明“授权代表”的有关内容，并在附件中提交由质疑</w:t>
      </w:r>
      <w:r>
        <w:rPr>
          <w:rFonts w:hint="eastAsia" w:ascii="微软雅黑" w:hAnsi="微软雅黑" w:eastAsia="微软雅黑" w:cs="微软雅黑"/>
          <w:color w:val="auto"/>
          <w:kern w:val="0"/>
          <w:sz w:val="22"/>
          <w:szCs w:val="22"/>
          <w:highlight w:val="none"/>
        </w:rPr>
        <w:t>供应商签署的授权委托书。授权委托书应载明代理人的姓名或者名称、代理事项、具体权限、期限和相关事项。</w:t>
      </w:r>
    </w:p>
    <w:p w14:paraId="139219A9">
      <w:pPr>
        <w:pageBreakBefore w:val="0"/>
        <w:widowControl/>
        <w:kinsoku/>
        <w:wordWrap/>
        <w:overflowPunct/>
        <w:topLinePunct w:val="0"/>
        <w:bidi w:val="0"/>
        <w:spacing w:line="360" w:lineRule="exact"/>
        <w:ind w:left="0" w:leftChars="0" w:firstLine="440" w:firstLineChars="2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3.质疑供应商若对项目的某一分包进行质疑，质疑函中应列明具体分包号。</w:t>
      </w:r>
    </w:p>
    <w:p w14:paraId="6F846E34">
      <w:pPr>
        <w:pageBreakBefore w:val="0"/>
        <w:widowControl/>
        <w:kinsoku/>
        <w:wordWrap/>
        <w:overflowPunct/>
        <w:topLinePunct w:val="0"/>
        <w:bidi w:val="0"/>
        <w:spacing w:line="360" w:lineRule="exact"/>
        <w:ind w:left="0" w:leftChars="0" w:firstLine="440" w:firstLineChars="2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4.质疑函的质疑事项应具体、明确，并有必要的事实依据和法律依据。</w:t>
      </w:r>
    </w:p>
    <w:p w14:paraId="35603C23">
      <w:pPr>
        <w:pageBreakBefore w:val="0"/>
        <w:widowControl/>
        <w:kinsoku/>
        <w:wordWrap/>
        <w:overflowPunct/>
        <w:topLinePunct w:val="0"/>
        <w:bidi w:val="0"/>
        <w:spacing w:line="360" w:lineRule="exact"/>
        <w:ind w:left="0" w:leftChars="0" w:firstLine="440" w:firstLineChars="2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5.质疑函的质疑请求应与质疑事项相关。</w:t>
      </w:r>
    </w:p>
    <w:p w14:paraId="0BAB5A81">
      <w:pPr>
        <w:pageBreakBefore w:val="0"/>
        <w:widowControl/>
        <w:kinsoku/>
        <w:wordWrap/>
        <w:overflowPunct/>
        <w:topLinePunct w:val="0"/>
        <w:bidi w:val="0"/>
        <w:spacing w:line="360" w:lineRule="exact"/>
        <w:ind w:left="0" w:leftChars="0" w:firstLine="440" w:firstLineChars="2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6.质疑供应商为自然人的，质疑函应由本人签字；质疑供应商为法人或者其他组织的，质疑函应由法定代表人、主要负责人，或者其授权代表签字或者盖章，并加盖公章。</w:t>
      </w:r>
    </w:p>
    <w:p w14:paraId="01423D0A">
      <w:pPr>
        <w:pStyle w:val="3"/>
        <w:spacing w:line="400" w:lineRule="exact"/>
        <w:ind w:firstLine="0"/>
        <w:rPr>
          <w:rFonts w:hint="eastAsia" w:ascii="微软雅黑" w:hAnsi="微软雅黑" w:eastAsia="微软雅黑" w:cs="微软雅黑"/>
          <w:color w:val="auto"/>
          <w:kern w:val="2"/>
          <w:sz w:val="20"/>
          <w:szCs w:val="20"/>
          <w:highlight w:val="none"/>
        </w:rPr>
      </w:pPr>
      <w:r>
        <w:rPr>
          <w:rFonts w:hint="eastAsia" w:ascii="微软雅黑" w:hAnsi="微软雅黑" w:eastAsia="微软雅黑" w:cs="微软雅黑"/>
          <w:b/>
          <w:color w:val="auto"/>
          <w:sz w:val="22"/>
          <w:szCs w:val="22"/>
          <w:highlight w:val="none"/>
        </w:rPr>
        <w:br w:type="page"/>
      </w:r>
    </w:p>
    <w:p w14:paraId="69233570">
      <w:pPr>
        <w:pStyle w:val="5"/>
        <w:keepNext/>
        <w:keepLines/>
        <w:pageBreakBefore w:val="0"/>
        <w:widowControl w:val="0"/>
        <w:kinsoku/>
        <w:wordWrap/>
        <w:overflowPunct/>
        <w:topLinePunct w:val="0"/>
        <w:autoSpaceDE w:val="0"/>
        <w:autoSpaceDN w:val="0"/>
        <w:bidi w:val="0"/>
        <w:adjustRightInd w:val="0"/>
        <w:snapToGrid/>
        <w:spacing w:before="0" w:after="0" w:line="240" w:lineRule="atLeast"/>
        <w:ind w:left="0"/>
        <w:jc w:val="center"/>
        <w:textAlignment w:val="auto"/>
        <w:rPr>
          <w:rFonts w:hint="eastAsia" w:ascii="微软雅黑" w:hAnsi="微软雅黑" w:eastAsia="微软雅黑" w:cs="微软雅黑"/>
          <w:b/>
          <w:bCs/>
          <w:color w:val="auto"/>
          <w:sz w:val="28"/>
          <w:szCs w:val="28"/>
          <w:highlight w:val="none"/>
        </w:rPr>
      </w:pPr>
      <w:bookmarkStart w:id="1742" w:name="_Toc702"/>
      <w:bookmarkStart w:id="1743" w:name="_Toc29770"/>
      <w:bookmarkStart w:id="1744" w:name="_Toc3574"/>
      <w:bookmarkStart w:id="1745" w:name="_Toc515647802"/>
      <w:bookmarkStart w:id="1746" w:name="_Toc9670"/>
      <w:bookmarkStart w:id="1747" w:name="_Toc728"/>
      <w:bookmarkStart w:id="1748" w:name="_Toc216582812"/>
      <w:r>
        <w:rPr>
          <w:rFonts w:hint="eastAsia" w:ascii="微软雅黑" w:hAnsi="微软雅黑" w:eastAsia="微软雅黑" w:cs="微软雅黑"/>
          <w:b/>
          <w:bCs/>
          <w:color w:val="auto"/>
          <w:sz w:val="28"/>
          <w:szCs w:val="28"/>
          <w:highlight w:val="none"/>
        </w:rPr>
        <w:t>第2章   投标文件格式</w:t>
      </w:r>
      <w:bookmarkEnd w:id="1742"/>
      <w:bookmarkEnd w:id="1743"/>
      <w:bookmarkEnd w:id="1744"/>
      <w:bookmarkEnd w:id="1745"/>
      <w:bookmarkEnd w:id="1746"/>
      <w:bookmarkEnd w:id="1747"/>
      <w:bookmarkEnd w:id="1748"/>
    </w:p>
    <w:p w14:paraId="7E0903CC">
      <w:pPr>
        <w:pStyle w:val="6"/>
        <w:spacing w:before="0" w:line="240" w:lineRule="atLeast"/>
        <w:ind w:left="1080" w:leftChars="257" w:hanging="540"/>
        <w:rPr>
          <w:rFonts w:hint="eastAsia" w:ascii="微软雅黑" w:hAnsi="微软雅黑" w:eastAsia="微软雅黑" w:cs="微软雅黑"/>
          <w:color w:val="auto"/>
          <w:sz w:val="28"/>
          <w:szCs w:val="20"/>
          <w:highlight w:val="none"/>
        </w:rPr>
      </w:pPr>
      <w:bookmarkStart w:id="1749" w:name="_Toc515647803"/>
      <w:bookmarkStart w:id="1750" w:name="_Toc22572"/>
      <w:bookmarkStart w:id="1751" w:name="_Toc10544"/>
      <w:bookmarkStart w:id="1752" w:name="_Toc18974"/>
      <w:bookmarkStart w:id="1753" w:name="_Toc18694"/>
      <w:bookmarkStart w:id="1754" w:name="_Toc32079"/>
      <w:bookmarkStart w:id="1755" w:name="_Toc32123"/>
      <w:bookmarkStart w:id="1756" w:name="_Toc16568"/>
      <w:bookmarkStart w:id="1757" w:name="_Toc29091"/>
      <w:bookmarkStart w:id="1758" w:name="_Toc3620"/>
      <w:bookmarkStart w:id="1759" w:name="_Toc515647804"/>
      <w:bookmarkStart w:id="1760" w:name="_Toc21614"/>
      <w:bookmarkStart w:id="1761" w:name="_Toc16750"/>
      <w:bookmarkStart w:id="1762" w:name="_Toc11138"/>
      <w:bookmarkStart w:id="1763" w:name="_Toc13595"/>
      <w:bookmarkStart w:id="1764" w:name="_Toc14118"/>
      <w:bookmarkStart w:id="1765" w:name="_Toc30630"/>
      <w:bookmarkStart w:id="1766" w:name="_Toc522"/>
      <w:bookmarkStart w:id="1767" w:name="_Toc30524"/>
      <w:bookmarkStart w:id="1768" w:name="_Toc1244"/>
      <w:bookmarkStart w:id="1769" w:name="_Toc480942349"/>
      <w:bookmarkStart w:id="1770" w:name="_Toc216582813"/>
      <w:bookmarkStart w:id="1771" w:name="_Toc30653"/>
      <w:bookmarkStart w:id="1772" w:name="_Toc22967"/>
      <w:bookmarkStart w:id="1773" w:name="_Toc11180"/>
      <w:bookmarkStart w:id="1774" w:name="_Toc18263"/>
      <w:bookmarkStart w:id="1775" w:name="_Ref467988698"/>
      <w:bookmarkStart w:id="1776" w:name="_Toc515647816"/>
      <w:bookmarkStart w:id="1777" w:name="_Toc15346"/>
      <w:bookmarkStart w:id="1778" w:name="_Toc520356217"/>
      <w:r>
        <w:rPr>
          <w:rFonts w:hint="eastAsia" w:ascii="微软雅黑" w:hAnsi="微软雅黑" w:eastAsia="微软雅黑" w:cs="微软雅黑"/>
          <w:color w:val="auto"/>
          <w:sz w:val="24"/>
          <w:szCs w:val="24"/>
          <w:highlight w:val="none"/>
        </w:rPr>
        <w:t>第一部分 开标一览表及资格证明文件</w:t>
      </w:r>
      <w:bookmarkEnd w:id="1749"/>
      <w:bookmarkEnd w:id="1750"/>
      <w:bookmarkEnd w:id="1751"/>
      <w:bookmarkEnd w:id="1752"/>
      <w:bookmarkEnd w:id="1753"/>
      <w:bookmarkEnd w:id="1754"/>
      <w:bookmarkEnd w:id="1755"/>
    </w:p>
    <w:bookmarkEnd w:id="1756"/>
    <w:bookmarkEnd w:id="1757"/>
    <w:bookmarkEnd w:id="1758"/>
    <w:bookmarkEnd w:id="1759"/>
    <w:bookmarkEnd w:id="1760"/>
    <w:bookmarkEnd w:id="1761"/>
    <w:bookmarkEnd w:id="1762"/>
    <w:bookmarkEnd w:id="1763"/>
    <w:bookmarkEnd w:id="1764"/>
    <w:bookmarkEnd w:id="1765"/>
    <w:bookmarkEnd w:id="1766"/>
    <w:bookmarkEnd w:id="1767"/>
    <w:p w14:paraId="1D3F131C">
      <w:pPr>
        <w:keepNext w:val="0"/>
        <w:keepLines w:val="0"/>
        <w:pageBreakBefore w:val="0"/>
        <w:widowControl w:val="0"/>
        <w:tabs>
          <w:tab w:val="left" w:pos="5580"/>
        </w:tabs>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kern w:val="0"/>
          <w:sz w:val="22"/>
          <w:szCs w:val="22"/>
          <w:highlight w:val="none"/>
        </w:rPr>
        <w:t>1</w:t>
      </w:r>
      <w:r>
        <w:rPr>
          <w:rFonts w:hint="eastAsia" w:ascii="微软雅黑" w:hAnsi="微软雅黑" w:eastAsia="微软雅黑" w:cs="微软雅黑"/>
          <w:color w:val="auto"/>
          <w:kern w:val="0"/>
          <w:sz w:val="22"/>
          <w:szCs w:val="22"/>
          <w:highlight w:val="none"/>
          <w:lang w:eastAsia="zh-CN"/>
        </w:rPr>
        <w:t>、</w:t>
      </w:r>
      <w:r>
        <w:rPr>
          <w:rFonts w:hint="eastAsia" w:ascii="微软雅黑" w:hAnsi="微软雅黑" w:eastAsia="微软雅黑" w:cs="微软雅黑"/>
          <w:color w:val="auto"/>
          <w:kern w:val="0"/>
          <w:sz w:val="22"/>
          <w:szCs w:val="22"/>
          <w:highlight w:val="none"/>
        </w:rPr>
        <w:t>开标一览表</w:t>
      </w:r>
      <w:r>
        <w:rPr>
          <w:rFonts w:hint="eastAsia" w:ascii="微软雅黑" w:hAnsi="微软雅黑" w:eastAsia="微软雅黑" w:cs="微软雅黑"/>
          <w:color w:val="auto"/>
          <w:sz w:val="22"/>
          <w:szCs w:val="22"/>
          <w:highlight w:val="none"/>
        </w:rPr>
        <w:t>;</w:t>
      </w:r>
    </w:p>
    <w:p w14:paraId="52B31019">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w:t>
      </w:r>
      <w:r>
        <w:rPr>
          <w:rFonts w:hint="eastAsia" w:ascii="微软雅黑" w:hAnsi="微软雅黑" w:eastAsia="微软雅黑" w:cs="微软雅黑"/>
          <w:color w:val="auto"/>
          <w:sz w:val="22"/>
          <w:szCs w:val="22"/>
          <w:highlight w:val="none"/>
          <w:lang w:eastAsia="zh-CN"/>
        </w:rPr>
        <w:t>、具有有效的营业执照</w:t>
      </w:r>
      <w:r>
        <w:rPr>
          <w:rFonts w:hint="eastAsia" w:ascii="微软雅黑" w:hAnsi="微软雅黑" w:eastAsia="微软雅黑" w:cs="微软雅黑"/>
          <w:color w:val="auto"/>
          <w:sz w:val="22"/>
          <w:szCs w:val="22"/>
          <w:highlight w:val="none"/>
        </w:rPr>
        <w:t>；</w:t>
      </w:r>
    </w:p>
    <w:p w14:paraId="331C776C">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w:t>
      </w:r>
      <w:r>
        <w:rPr>
          <w:rFonts w:hint="eastAsia" w:ascii="微软雅黑" w:hAnsi="微软雅黑" w:eastAsia="微软雅黑" w:cs="微软雅黑"/>
          <w:color w:val="auto"/>
          <w:sz w:val="22"/>
          <w:szCs w:val="22"/>
          <w:highlight w:val="none"/>
          <w:lang w:eastAsia="zh-CN"/>
        </w:rPr>
        <w:t>、法定代表人资格证明(法定代表人投标需提供法定代表人身份证)</w:t>
      </w:r>
      <w:r>
        <w:rPr>
          <w:rFonts w:hint="eastAsia" w:ascii="微软雅黑" w:hAnsi="微软雅黑" w:eastAsia="微软雅黑" w:cs="微软雅黑"/>
          <w:color w:val="auto"/>
          <w:sz w:val="22"/>
          <w:szCs w:val="22"/>
          <w:highlight w:val="none"/>
        </w:rPr>
        <w:t>；</w:t>
      </w:r>
    </w:p>
    <w:p w14:paraId="42B9EB27">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rPr>
        <w:t>4</w:t>
      </w:r>
      <w:r>
        <w:rPr>
          <w:rFonts w:hint="eastAsia" w:ascii="微软雅黑" w:hAnsi="微软雅黑" w:eastAsia="微软雅黑" w:cs="微软雅黑"/>
          <w:color w:val="auto"/>
          <w:sz w:val="22"/>
          <w:szCs w:val="22"/>
          <w:highlight w:val="none"/>
          <w:lang w:eastAsia="zh-CN"/>
        </w:rPr>
        <w:t>、投标人为制造商的须提供《医疗器械生产许可证》、投标人为经销商的须提供《医疗器械经营许可证》；所有证件均应在有效期内；</w:t>
      </w:r>
    </w:p>
    <w:p w14:paraId="3DE41796">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5、</w:t>
      </w:r>
      <w:r>
        <w:rPr>
          <w:rFonts w:hint="eastAsia" w:ascii="微软雅黑" w:hAnsi="微软雅黑" w:eastAsia="微软雅黑" w:cs="微软雅黑"/>
          <w:color w:val="auto"/>
          <w:sz w:val="22"/>
          <w:szCs w:val="22"/>
          <w:highlight w:val="none"/>
          <w:lang w:eastAsia="zh-CN"/>
        </w:rPr>
        <w:t>提供近两年2023年或2024年任意一年的财务审计报告（成立未满12个月的新公司可提供近三个月内任意一个月的银行资信证明）；</w:t>
      </w:r>
    </w:p>
    <w:p w14:paraId="4E038F3C">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6、</w:t>
      </w:r>
      <w:r>
        <w:rPr>
          <w:rFonts w:hint="eastAsia" w:ascii="微软雅黑" w:hAnsi="微软雅黑" w:eastAsia="微软雅黑" w:cs="微软雅黑"/>
          <w:color w:val="auto"/>
          <w:sz w:val="22"/>
          <w:szCs w:val="22"/>
          <w:highlight w:val="none"/>
          <w:lang w:eastAsia="zh-CN"/>
        </w:rPr>
        <w:t>提供依法缴纳近6个月任意1个月的社会保险证明</w:t>
      </w:r>
      <w:r>
        <w:rPr>
          <w:rFonts w:hint="eastAsia" w:ascii="微软雅黑" w:hAnsi="微软雅黑" w:eastAsia="微软雅黑" w:cs="微软雅黑"/>
          <w:color w:val="auto"/>
          <w:sz w:val="22"/>
          <w:szCs w:val="22"/>
          <w:highlight w:val="none"/>
        </w:rPr>
        <w:t>；</w:t>
      </w:r>
    </w:p>
    <w:p w14:paraId="471BABBC">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7、</w:t>
      </w:r>
      <w:r>
        <w:rPr>
          <w:rFonts w:hint="eastAsia" w:ascii="微软雅黑" w:hAnsi="微软雅黑" w:eastAsia="微软雅黑" w:cs="微软雅黑"/>
          <w:color w:val="auto"/>
          <w:sz w:val="22"/>
          <w:szCs w:val="22"/>
          <w:highlight w:val="none"/>
          <w:lang w:eastAsia="zh-CN"/>
        </w:rPr>
        <w:t>提供依法缴纳近6个月任意1个月的税收证明</w:t>
      </w:r>
      <w:r>
        <w:rPr>
          <w:rFonts w:hint="eastAsia" w:ascii="微软雅黑" w:hAnsi="微软雅黑" w:eastAsia="微软雅黑" w:cs="微软雅黑"/>
          <w:color w:val="auto"/>
          <w:sz w:val="22"/>
          <w:szCs w:val="22"/>
          <w:highlight w:val="none"/>
        </w:rPr>
        <w:t>；</w:t>
      </w:r>
    </w:p>
    <w:p w14:paraId="0DE1C227">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8、根据《财政部关于在政府采购活动中查询及使用信用记录有关问题的通知》（财库﹝2016﹞125号）的要求，凡拟参加本次招标项目的投标人，如在“信用中国”网站（https://www.creditchina.gov.cn/）被列入失信被执行人、重大税收违法失信主体名单（首页-信用公示-失信被执行人查询/重大税收违法失信主体名单-搜索栏输入单位全称）、中国政府采购网（https://www.ccgp.gov.cn/search/cr/）严重违法失信行为信息记录名单（尚在处罚期内的），将拒绝其参加本次招标活动（以采购代理机构或采购人查询为准）；</w:t>
      </w:r>
    </w:p>
    <w:p w14:paraId="70721189">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9、</w:t>
      </w:r>
      <w:r>
        <w:rPr>
          <w:rFonts w:hint="eastAsia" w:ascii="微软雅黑" w:hAnsi="微软雅黑" w:eastAsia="微软雅黑" w:cs="微软雅黑"/>
          <w:color w:val="auto"/>
          <w:sz w:val="22"/>
          <w:szCs w:val="22"/>
          <w:highlight w:val="none"/>
          <w:lang w:eastAsia="zh-CN"/>
        </w:rPr>
        <w:t>提供参加政府采购活动前3年内在经营活动中没有重大违法记录的书面声明函</w:t>
      </w:r>
      <w:r>
        <w:rPr>
          <w:rFonts w:hint="eastAsia" w:ascii="微软雅黑" w:hAnsi="微软雅黑" w:eastAsia="微软雅黑" w:cs="微软雅黑"/>
          <w:color w:val="auto"/>
          <w:sz w:val="22"/>
          <w:szCs w:val="22"/>
          <w:highlight w:val="none"/>
        </w:rPr>
        <w:t>；</w:t>
      </w:r>
    </w:p>
    <w:p w14:paraId="30E1849C">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10</w:t>
      </w:r>
      <w:r>
        <w:rPr>
          <w:rFonts w:hint="eastAsia" w:ascii="微软雅黑" w:hAnsi="微软雅黑" w:eastAsia="微软雅黑" w:cs="微软雅黑"/>
          <w:color w:val="auto"/>
          <w:sz w:val="22"/>
          <w:szCs w:val="22"/>
          <w:highlight w:val="none"/>
        </w:rPr>
        <w:t>、提供针对本次项目《反商业贿赂承诺书》；</w:t>
      </w:r>
    </w:p>
    <w:p w14:paraId="5029EBBF">
      <w:pPr>
        <w:keepNext w:val="0"/>
        <w:keepLines w:val="0"/>
        <w:pageBreakBefore w:val="0"/>
        <w:widowControl w:val="0"/>
        <w:tabs>
          <w:tab w:val="left" w:pos="5580"/>
        </w:tabs>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11、</w:t>
      </w:r>
      <w:r>
        <w:rPr>
          <w:rFonts w:hint="eastAsia" w:ascii="微软雅黑" w:hAnsi="微软雅黑" w:eastAsia="微软雅黑" w:cs="微软雅黑"/>
          <w:color w:val="auto"/>
          <w:sz w:val="22"/>
          <w:szCs w:val="22"/>
          <w:highlight w:val="none"/>
          <w:lang w:eastAsia="zh-CN"/>
        </w:rPr>
        <w:t>缴纳投标保证金有效凭证</w:t>
      </w:r>
      <w:r>
        <w:rPr>
          <w:rFonts w:hint="eastAsia" w:ascii="微软雅黑" w:hAnsi="微软雅黑" w:eastAsia="微软雅黑" w:cs="微软雅黑"/>
          <w:color w:val="auto"/>
          <w:sz w:val="22"/>
          <w:szCs w:val="22"/>
          <w:highlight w:val="none"/>
        </w:rPr>
        <w:t>；</w:t>
      </w:r>
    </w:p>
    <w:p w14:paraId="453864D2">
      <w:pPr>
        <w:keepNext w:val="0"/>
        <w:keepLines w:val="0"/>
        <w:pageBreakBefore w:val="0"/>
        <w:widowControl w:val="0"/>
        <w:tabs>
          <w:tab w:val="left" w:pos="5580"/>
        </w:tabs>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12、供应商可提供有利于投标的其他资格证明材料。</w:t>
      </w:r>
    </w:p>
    <w:p w14:paraId="1CBCB057">
      <w:pPr>
        <w:pStyle w:val="14"/>
        <w:ind w:left="0" w:leftChars="0" w:firstLine="0" w:firstLineChars="0"/>
        <w:rPr>
          <w:rFonts w:hint="eastAsia" w:ascii="微软雅黑" w:hAnsi="微软雅黑" w:eastAsia="微软雅黑" w:cs="微软雅黑"/>
          <w:color w:val="auto"/>
          <w:sz w:val="22"/>
          <w:szCs w:val="22"/>
          <w:highlight w:val="none"/>
        </w:rPr>
      </w:pPr>
    </w:p>
    <w:p w14:paraId="433443E0">
      <w:pPr>
        <w:keepNext w:val="0"/>
        <w:keepLines w:val="0"/>
        <w:pageBreakBefore w:val="0"/>
        <w:widowControl/>
        <w:kinsoku/>
        <w:wordWrap/>
        <w:overflowPunct/>
        <w:topLinePunct w:val="0"/>
        <w:autoSpaceDE/>
        <w:autoSpaceDN/>
        <w:bidi w:val="0"/>
        <w:adjustRightInd/>
        <w:snapToGrid w:val="0"/>
        <w:spacing w:before="0" w:beforeAutospacing="0" w:after="0" w:afterAutospacing="0" w:line="300" w:lineRule="exact"/>
        <w:ind w:left="0" w:leftChars="0"/>
        <w:jc w:val="left"/>
        <w:textAlignment w:val="baseline"/>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注：“</w:t>
      </w:r>
      <w:r>
        <w:rPr>
          <w:rFonts w:hint="eastAsia" w:ascii="微软雅黑" w:hAnsi="微软雅黑" w:eastAsia="微软雅黑" w:cs="微软雅黑"/>
          <w:b/>
          <w:bCs/>
          <w:color w:val="auto"/>
          <w:sz w:val="22"/>
          <w:szCs w:val="22"/>
          <w:highlight w:val="none"/>
          <w:lang w:eastAsia="zh-CN"/>
        </w:rPr>
        <w:t>提供依法缴纳近6个月任意1个月的税收证明</w:t>
      </w:r>
      <w:r>
        <w:rPr>
          <w:rFonts w:hint="eastAsia" w:ascii="微软雅黑" w:hAnsi="微软雅黑" w:eastAsia="微软雅黑" w:cs="微软雅黑"/>
          <w:b/>
          <w:bCs/>
          <w:color w:val="auto"/>
          <w:sz w:val="22"/>
          <w:szCs w:val="22"/>
          <w:highlight w:val="none"/>
        </w:rPr>
        <w:t>”：①若供应商某月税收为零申报，</w:t>
      </w:r>
      <w:r>
        <w:rPr>
          <w:rFonts w:hint="eastAsia" w:ascii="微软雅黑" w:hAnsi="微软雅黑" w:eastAsia="微软雅黑" w:cs="微软雅黑"/>
          <w:b/>
          <w:bCs/>
          <w:color w:val="auto"/>
          <w:sz w:val="22"/>
          <w:szCs w:val="22"/>
          <w:highlight w:val="none"/>
          <w:lang w:eastAsia="zh-CN"/>
        </w:rPr>
        <w:t>须提供加盖税务局公章的无欠税证明</w:t>
      </w:r>
      <w:r>
        <w:rPr>
          <w:rFonts w:hint="eastAsia" w:ascii="微软雅黑" w:hAnsi="微软雅黑" w:eastAsia="微软雅黑" w:cs="微软雅黑"/>
          <w:b/>
          <w:bCs/>
          <w:color w:val="auto"/>
          <w:sz w:val="22"/>
          <w:szCs w:val="22"/>
          <w:highlight w:val="none"/>
        </w:rPr>
        <w:t>或“国家税务总局电子税务局（12366.chinatax.gov.cn/bsfw/onlinetaxation/main）”的申报结果查询截图。②完税证明中“税种”非养老保险、医疗保险、失业保险、工伤保险和生育保险。请各供应商注意！</w:t>
      </w:r>
    </w:p>
    <w:p w14:paraId="6B0CC02D">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br w:type="page"/>
      </w:r>
    </w:p>
    <w:p w14:paraId="0EF6EBCE">
      <w:pPr>
        <w:pStyle w:val="6"/>
        <w:spacing w:before="0" w:line="400" w:lineRule="exact"/>
        <w:ind w:left="1080" w:leftChars="257" w:hanging="540"/>
        <w:rPr>
          <w:rFonts w:hint="eastAsia" w:ascii="微软雅黑" w:hAnsi="微软雅黑" w:eastAsia="微软雅黑" w:cs="微软雅黑"/>
          <w:color w:val="auto"/>
          <w:sz w:val="22"/>
          <w:szCs w:val="22"/>
          <w:highlight w:val="none"/>
        </w:rPr>
      </w:pPr>
      <w:bookmarkStart w:id="1779" w:name="_Toc30815"/>
      <w:r>
        <w:rPr>
          <w:rFonts w:hint="eastAsia" w:ascii="微软雅黑" w:hAnsi="微软雅黑" w:eastAsia="微软雅黑" w:cs="微软雅黑"/>
          <w:color w:val="auto"/>
          <w:sz w:val="22"/>
          <w:szCs w:val="22"/>
          <w:highlight w:val="none"/>
        </w:rPr>
        <w:t>1、开标一览表</w:t>
      </w:r>
      <w:bookmarkEnd w:id="1768"/>
      <w:bookmarkEnd w:id="1779"/>
    </w:p>
    <w:p w14:paraId="43A49162">
      <w:pPr>
        <w:pStyle w:val="3"/>
        <w:tabs>
          <w:tab w:val="left" w:pos="5580"/>
        </w:tabs>
        <w:spacing w:line="400" w:lineRule="exact"/>
        <w:ind w:left="1080" w:leftChars="257" w:hanging="540"/>
        <w:jc w:val="center"/>
        <w:rPr>
          <w:rFonts w:hint="eastAsia" w:ascii="微软雅黑" w:hAnsi="微软雅黑" w:eastAsia="微软雅黑" w:cs="微软雅黑"/>
          <w:color w:val="auto"/>
          <w:sz w:val="22"/>
          <w:szCs w:val="22"/>
          <w:highlight w:val="none"/>
        </w:rPr>
      </w:pPr>
      <w:bookmarkStart w:id="1780" w:name="_Hlt520356241"/>
      <w:bookmarkEnd w:id="1780"/>
      <w:bookmarkStart w:id="1781" w:name="_Toc494296984"/>
      <w:r>
        <w:rPr>
          <w:rFonts w:hint="eastAsia" w:ascii="微软雅黑" w:hAnsi="微软雅黑" w:eastAsia="微软雅黑" w:cs="微软雅黑"/>
          <w:b/>
          <w:color w:val="auto"/>
          <w:sz w:val="22"/>
          <w:szCs w:val="22"/>
          <w:highlight w:val="none"/>
        </w:rPr>
        <w:t>开标一览表</w:t>
      </w:r>
      <w:bookmarkEnd w:id="1781"/>
    </w:p>
    <w:p w14:paraId="402773FE">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 xml:space="preserve">项目名称：　                  项目编号：                          </w:t>
      </w:r>
    </w:p>
    <w:p w14:paraId="6DF87985">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eastAsia="zh-CN"/>
        </w:rPr>
        <w:t>报价单位：人民币</w:t>
      </w:r>
      <w:r>
        <w:rPr>
          <w:rFonts w:hint="eastAsia" w:ascii="微软雅黑" w:hAnsi="微软雅黑" w:eastAsia="微软雅黑" w:cs="微软雅黑"/>
          <w:color w:val="auto"/>
          <w:sz w:val="22"/>
          <w:szCs w:val="22"/>
          <w:highlight w:val="none"/>
          <w:lang w:val="en-US" w:eastAsia="zh-CN"/>
        </w:rPr>
        <w:t xml:space="preserve"> </w:t>
      </w:r>
      <w:r>
        <w:rPr>
          <w:rFonts w:hint="eastAsia" w:ascii="微软雅黑" w:hAnsi="微软雅黑" w:eastAsia="微软雅黑" w:cs="微软雅黑"/>
          <w:b/>
          <w:bCs/>
          <w:color w:val="auto"/>
          <w:sz w:val="22"/>
          <w:szCs w:val="22"/>
          <w:highlight w:val="none"/>
          <w:lang w:eastAsia="zh-CN"/>
        </w:rPr>
        <w:t>元</w:t>
      </w:r>
      <w:r>
        <w:rPr>
          <w:rFonts w:hint="eastAsia" w:ascii="微软雅黑" w:hAnsi="微软雅黑" w:eastAsia="微软雅黑" w:cs="微软雅黑"/>
          <w:b/>
          <w:bCs/>
          <w:color w:val="auto"/>
          <w:sz w:val="22"/>
          <w:szCs w:val="22"/>
          <w:highlight w:val="none"/>
          <w:lang w:val="en-US" w:eastAsia="zh-CN"/>
        </w:rPr>
        <w:t xml:space="preserve"> </w:t>
      </w:r>
      <w:r>
        <w:rPr>
          <w:rFonts w:hint="eastAsia" w:ascii="微软雅黑" w:hAnsi="微软雅黑" w:eastAsia="微软雅黑" w:cs="微软雅黑"/>
          <w:color w:val="auto"/>
          <w:sz w:val="22"/>
          <w:szCs w:val="22"/>
          <w:highlight w:val="none"/>
          <w:lang w:val="en-US" w:eastAsia="zh-CN"/>
        </w:rPr>
        <w:t xml:space="preserve">          标项：（如有）</w:t>
      </w:r>
    </w:p>
    <w:tbl>
      <w:tblPr>
        <w:tblStyle w:val="31"/>
        <w:tblW w:w="9155" w:type="dxa"/>
        <w:tblInd w:w="-61" w:type="dxa"/>
        <w:tblLayout w:type="fixed"/>
        <w:tblCellMar>
          <w:top w:w="0" w:type="dxa"/>
          <w:left w:w="0" w:type="dxa"/>
          <w:bottom w:w="0" w:type="dxa"/>
          <w:right w:w="0" w:type="dxa"/>
        </w:tblCellMar>
      </w:tblPr>
      <w:tblGrid>
        <w:gridCol w:w="1420"/>
        <w:gridCol w:w="2468"/>
        <w:gridCol w:w="1585"/>
        <w:gridCol w:w="1488"/>
        <w:gridCol w:w="1234"/>
        <w:gridCol w:w="960"/>
      </w:tblGrid>
      <w:tr w14:paraId="245641AE">
        <w:tblPrEx>
          <w:tblCellMar>
            <w:top w:w="0" w:type="dxa"/>
            <w:left w:w="0" w:type="dxa"/>
            <w:bottom w:w="0" w:type="dxa"/>
            <w:right w:w="0" w:type="dxa"/>
          </w:tblCellMar>
        </w:tblPrEx>
        <w:trPr>
          <w:trHeight w:val="662" w:hRule="atLeast"/>
        </w:trPr>
        <w:tc>
          <w:tcPr>
            <w:tcW w:w="1420" w:type="dxa"/>
            <w:tcBorders>
              <w:top w:val="single" w:color="auto" w:sz="4" w:space="0"/>
              <w:left w:val="single" w:color="auto" w:sz="4" w:space="0"/>
              <w:bottom w:val="single" w:color="auto" w:sz="4" w:space="0"/>
              <w:right w:val="single" w:color="auto" w:sz="4" w:space="0"/>
            </w:tcBorders>
            <w:vAlign w:val="center"/>
          </w:tcPr>
          <w:p w14:paraId="78E97D0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项目名称</w:t>
            </w:r>
          </w:p>
        </w:tc>
        <w:tc>
          <w:tcPr>
            <w:tcW w:w="2468" w:type="dxa"/>
            <w:tcBorders>
              <w:top w:val="single" w:color="auto" w:sz="4" w:space="0"/>
              <w:left w:val="single" w:color="auto" w:sz="4" w:space="0"/>
              <w:bottom w:val="single" w:color="auto" w:sz="4" w:space="0"/>
              <w:right w:val="single" w:color="auto" w:sz="4" w:space="0"/>
            </w:tcBorders>
            <w:vAlign w:val="center"/>
          </w:tcPr>
          <w:p w14:paraId="787B284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投标总价</w:t>
            </w:r>
          </w:p>
        </w:tc>
        <w:tc>
          <w:tcPr>
            <w:tcW w:w="1585" w:type="dxa"/>
            <w:tcBorders>
              <w:top w:val="single" w:color="auto" w:sz="4" w:space="0"/>
              <w:left w:val="single" w:color="auto" w:sz="4" w:space="0"/>
              <w:bottom w:val="single" w:color="auto" w:sz="4" w:space="0"/>
              <w:right w:val="single" w:color="auto" w:sz="4" w:space="0"/>
            </w:tcBorders>
            <w:vAlign w:val="center"/>
          </w:tcPr>
          <w:p w14:paraId="21F6D6E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投标保证金</w:t>
            </w:r>
          </w:p>
        </w:tc>
        <w:tc>
          <w:tcPr>
            <w:tcW w:w="1488" w:type="dxa"/>
            <w:tcBorders>
              <w:top w:val="single" w:color="auto" w:sz="4" w:space="0"/>
              <w:left w:val="single" w:color="auto" w:sz="4" w:space="0"/>
              <w:bottom w:val="single" w:color="auto" w:sz="4" w:space="0"/>
              <w:right w:val="single" w:color="auto" w:sz="4" w:space="0"/>
            </w:tcBorders>
            <w:vAlign w:val="center"/>
          </w:tcPr>
          <w:p w14:paraId="1C1F73C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到货期</w:t>
            </w:r>
          </w:p>
        </w:tc>
        <w:tc>
          <w:tcPr>
            <w:tcW w:w="1234" w:type="dxa"/>
            <w:tcBorders>
              <w:top w:val="single" w:color="auto" w:sz="4" w:space="0"/>
              <w:left w:val="single" w:color="auto" w:sz="4" w:space="0"/>
              <w:bottom w:val="single" w:color="auto" w:sz="4" w:space="0"/>
              <w:right w:val="single" w:color="auto" w:sz="4" w:space="0"/>
            </w:tcBorders>
            <w:vAlign w:val="center"/>
          </w:tcPr>
          <w:p w14:paraId="2FE813F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到货地点</w:t>
            </w:r>
          </w:p>
        </w:tc>
        <w:tc>
          <w:tcPr>
            <w:tcW w:w="960" w:type="dxa"/>
            <w:tcBorders>
              <w:top w:val="single" w:color="auto" w:sz="4" w:space="0"/>
              <w:left w:val="single" w:color="auto" w:sz="4" w:space="0"/>
              <w:bottom w:val="single" w:color="auto" w:sz="4" w:space="0"/>
              <w:right w:val="single" w:color="auto" w:sz="4" w:space="0"/>
            </w:tcBorders>
            <w:vAlign w:val="center"/>
          </w:tcPr>
          <w:p w14:paraId="66178F6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质保期</w:t>
            </w:r>
          </w:p>
        </w:tc>
      </w:tr>
      <w:tr w14:paraId="0A1BA50B">
        <w:tblPrEx>
          <w:tblCellMar>
            <w:top w:w="0" w:type="dxa"/>
            <w:left w:w="0" w:type="dxa"/>
            <w:bottom w:w="0" w:type="dxa"/>
            <w:right w:w="0" w:type="dxa"/>
          </w:tblCellMar>
        </w:tblPrEx>
        <w:trPr>
          <w:cantSplit/>
          <w:trHeight w:val="1640" w:hRule="atLeast"/>
        </w:trPr>
        <w:tc>
          <w:tcPr>
            <w:tcW w:w="1420" w:type="dxa"/>
            <w:tcBorders>
              <w:top w:val="single" w:color="auto" w:sz="4" w:space="0"/>
              <w:left w:val="single" w:color="auto" w:sz="4" w:space="0"/>
              <w:bottom w:val="single" w:color="auto" w:sz="4" w:space="0"/>
              <w:right w:val="single" w:color="auto" w:sz="4" w:space="0"/>
            </w:tcBorders>
            <w:vAlign w:val="center"/>
          </w:tcPr>
          <w:p w14:paraId="32DAE9AB">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p>
        </w:tc>
        <w:tc>
          <w:tcPr>
            <w:tcW w:w="2468" w:type="dxa"/>
            <w:tcBorders>
              <w:top w:val="single" w:color="auto" w:sz="4" w:space="0"/>
              <w:left w:val="single" w:color="auto" w:sz="4" w:space="0"/>
              <w:bottom w:val="single" w:color="auto" w:sz="4" w:space="0"/>
              <w:right w:val="single" w:color="auto" w:sz="4" w:space="0"/>
            </w:tcBorders>
            <w:vAlign w:val="center"/>
          </w:tcPr>
          <w:p w14:paraId="7DC3B5E0">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大写：</w:t>
            </w:r>
          </w:p>
          <w:p w14:paraId="47F22E3F">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小写：</w:t>
            </w:r>
          </w:p>
        </w:tc>
        <w:tc>
          <w:tcPr>
            <w:tcW w:w="1585" w:type="dxa"/>
            <w:tcBorders>
              <w:top w:val="single" w:color="auto" w:sz="4" w:space="0"/>
              <w:left w:val="single" w:color="auto" w:sz="4" w:space="0"/>
              <w:bottom w:val="single" w:color="auto" w:sz="4" w:space="0"/>
              <w:right w:val="single" w:color="auto" w:sz="4" w:space="0"/>
            </w:tcBorders>
            <w:vAlign w:val="center"/>
          </w:tcPr>
          <w:p w14:paraId="65531E70">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p>
        </w:tc>
        <w:tc>
          <w:tcPr>
            <w:tcW w:w="1488" w:type="dxa"/>
            <w:tcBorders>
              <w:top w:val="single" w:color="auto" w:sz="4" w:space="0"/>
              <w:left w:val="single" w:color="auto" w:sz="4" w:space="0"/>
              <w:bottom w:val="single" w:color="auto" w:sz="4" w:space="0"/>
              <w:right w:val="single" w:color="auto" w:sz="4" w:space="0"/>
            </w:tcBorders>
            <w:vAlign w:val="center"/>
          </w:tcPr>
          <w:p w14:paraId="3766D321">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p>
        </w:tc>
        <w:tc>
          <w:tcPr>
            <w:tcW w:w="1234" w:type="dxa"/>
            <w:tcBorders>
              <w:top w:val="single" w:color="auto" w:sz="4" w:space="0"/>
              <w:left w:val="single" w:color="auto" w:sz="4" w:space="0"/>
              <w:bottom w:val="single" w:color="auto" w:sz="4" w:space="0"/>
              <w:right w:val="single" w:color="auto" w:sz="4" w:space="0"/>
            </w:tcBorders>
            <w:vAlign w:val="center"/>
          </w:tcPr>
          <w:p w14:paraId="599F7AAA">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p>
        </w:tc>
        <w:tc>
          <w:tcPr>
            <w:tcW w:w="960" w:type="dxa"/>
            <w:tcBorders>
              <w:top w:val="single" w:color="auto" w:sz="4" w:space="0"/>
              <w:left w:val="single" w:color="auto" w:sz="4" w:space="0"/>
              <w:bottom w:val="single" w:color="auto" w:sz="4" w:space="0"/>
              <w:right w:val="single" w:color="auto" w:sz="4" w:space="0"/>
            </w:tcBorders>
            <w:vAlign w:val="center"/>
          </w:tcPr>
          <w:p w14:paraId="764A335E">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p>
        </w:tc>
      </w:tr>
    </w:tbl>
    <w:p w14:paraId="3F659743">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p>
    <w:p w14:paraId="0988C788">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p>
    <w:p w14:paraId="48DE5FF9">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 xml:space="preserve">供应商名称（公章）：                       </w:t>
      </w:r>
    </w:p>
    <w:p w14:paraId="5F27A7EE">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法定代表人(签</w:t>
      </w:r>
      <w:r>
        <w:rPr>
          <w:rFonts w:hint="eastAsia" w:ascii="微软雅黑" w:hAnsi="微软雅黑" w:eastAsia="微软雅黑" w:cs="微软雅黑"/>
          <w:color w:val="auto"/>
          <w:sz w:val="22"/>
          <w:szCs w:val="22"/>
          <w:highlight w:val="none"/>
          <w:lang w:val="en-US" w:eastAsia="zh-CN"/>
        </w:rPr>
        <w:t>/章</w:t>
      </w:r>
      <w:r>
        <w:rPr>
          <w:rFonts w:hint="eastAsia" w:ascii="微软雅黑" w:hAnsi="微软雅黑" w:eastAsia="微软雅黑" w:cs="微软雅黑"/>
          <w:color w:val="auto"/>
          <w:sz w:val="22"/>
          <w:szCs w:val="22"/>
          <w:highlight w:val="none"/>
          <w:lang w:eastAsia="zh-CN"/>
        </w:rPr>
        <w:t>):</w:t>
      </w:r>
      <w:r>
        <w:rPr>
          <w:rFonts w:hint="eastAsia" w:ascii="微软雅黑" w:hAnsi="微软雅黑" w:eastAsia="微软雅黑" w:cs="微软雅黑"/>
          <w:color w:val="auto"/>
          <w:sz w:val="22"/>
          <w:szCs w:val="22"/>
          <w:highlight w:val="none"/>
          <w:lang w:eastAsia="zh-CN"/>
        </w:rPr>
        <w:tab/>
      </w:r>
    </w:p>
    <w:p w14:paraId="6926536E">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p>
    <w:p w14:paraId="103DBFC6">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注:1、此表中，投标总价应和投标分项报价表的总价相一致。</w:t>
      </w:r>
    </w:p>
    <w:p w14:paraId="397D9CE1">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val="en-US" w:eastAsia="zh-CN"/>
        </w:rPr>
        <w:t>2</w:t>
      </w:r>
      <w:r>
        <w:rPr>
          <w:rFonts w:hint="eastAsia" w:ascii="微软雅黑" w:hAnsi="微软雅黑" w:eastAsia="微软雅黑" w:cs="微软雅黑"/>
          <w:color w:val="auto"/>
          <w:sz w:val="22"/>
          <w:szCs w:val="22"/>
          <w:highlight w:val="none"/>
          <w:lang w:eastAsia="zh-CN"/>
        </w:rPr>
        <w:t>、投标商报价时包含税费等一切与本次项目相关的费用。</w:t>
      </w:r>
    </w:p>
    <w:p w14:paraId="6CA44D96">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p>
    <w:p w14:paraId="5606868E">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p>
    <w:p w14:paraId="7EF01A8B">
      <w:pPr>
        <w:pStyle w:val="16"/>
        <w:tabs>
          <w:tab w:val="left" w:pos="5580"/>
        </w:tabs>
        <w:spacing w:line="240" w:lineRule="atLeast"/>
        <w:rPr>
          <w:rFonts w:hint="eastAsia" w:ascii="微软雅黑" w:hAnsi="微软雅黑" w:eastAsia="微软雅黑" w:cs="微软雅黑"/>
          <w:b/>
          <w:color w:val="auto"/>
          <w:sz w:val="22"/>
          <w:szCs w:val="22"/>
          <w:highlight w:val="none"/>
        </w:rPr>
      </w:pPr>
    </w:p>
    <w:p w14:paraId="1E027255">
      <w:pPr>
        <w:pStyle w:val="16"/>
        <w:tabs>
          <w:tab w:val="left" w:pos="5580"/>
        </w:tabs>
        <w:spacing w:line="240" w:lineRule="atLeast"/>
        <w:rPr>
          <w:rFonts w:hint="eastAsia" w:ascii="微软雅黑" w:hAnsi="微软雅黑" w:eastAsia="微软雅黑" w:cs="微软雅黑"/>
          <w:b/>
          <w:color w:val="auto"/>
          <w:sz w:val="22"/>
          <w:szCs w:val="22"/>
          <w:highlight w:val="none"/>
        </w:rPr>
      </w:pPr>
    </w:p>
    <w:p w14:paraId="3AA0288E">
      <w:pPr>
        <w:pStyle w:val="16"/>
        <w:tabs>
          <w:tab w:val="left" w:pos="5580"/>
        </w:tabs>
        <w:spacing w:line="240" w:lineRule="atLeast"/>
        <w:rPr>
          <w:rFonts w:hint="eastAsia" w:ascii="微软雅黑" w:hAnsi="微软雅黑" w:eastAsia="微软雅黑" w:cs="微软雅黑"/>
          <w:b/>
          <w:color w:val="auto"/>
          <w:sz w:val="22"/>
          <w:szCs w:val="22"/>
          <w:highlight w:val="none"/>
        </w:rPr>
      </w:pPr>
    </w:p>
    <w:p w14:paraId="6820D7A7">
      <w:pPr>
        <w:pStyle w:val="16"/>
        <w:tabs>
          <w:tab w:val="left" w:pos="5580"/>
        </w:tabs>
        <w:spacing w:line="240" w:lineRule="atLeast"/>
        <w:rPr>
          <w:rFonts w:hint="eastAsia" w:ascii="微软雅黑" w:hAnsi="微软雅黑" w:eastAsia="微软雅黑" w:cs="微软雅黑"/>
          <w:b/>
          <w:color w:val="auto"/>
          <w:sz w:val="22"/>
          <w:szCs w:val="22"/>
          <w:highlight w:val="none"/>
        </w:rPr>
      </w:pPr>
    </w:p>
    <w:p w14:paraId="65B848E6">
      <w:pPr>
        <w:pStyle w:val="16"/>
        <w:numPr>
          <w:ilvl w:val="0"/>
          <w:numId w:val="0"/>
        </w:numPr>
        <w:tabs>
          <w:tab w:val="left" w:pos="5580"/>
        </w:tabs>
        <w:spacing w:line="400" w:lineRule="exact"/>
        <w:jc w:val="left"/>
        <w:outlineLvl w:val="1"/>
        <w:rPr>
          <w:rFonts w:hint="eastAsia" w:ascii="微软雅黑" w:hAnsi="微软雅黑" w:eastAsia="微软雅黑" w:cs="微软雅黑"/>
          <w:b/>
          <w:color w:val="auto"/>
          <w:sz w:val="22"/>
          <w:szCs w:val="22"/>
          <w:highlight w:val="none"/>
        </w:rPr>
      </w:pPr>
      <w:bookmarkStart w:id="1782" w:name="_Toc5887"/>
      <w:bookmarkStart w:id="1783" w:name="_Toc26385"/>
      <w:r>
        <w:rPr>
          <w:rFonts w:hint="eastAsia" w:ascii="微软雅黑" w:hAnsi="微软雅黑" w:eastAsia="微软雅黑" w:cs="微软雅黑"/>
          <w:b/>
          <w:color w:val="auto"/>
          <w:kern w:val="2"/>
          <w:sz w:val="22"/>
          <w:szCs w:val="22"/>
          <w:highlight w:val="none"/>
          <w:lang w:val="en-US" w:eastAsia="zh-CN" w:bidi="ar-SA"/>
        </w:rPr>
        <w:t>2、</w:t>
      </w:r>
      <w:r>
        <w:rPr>
          <w:rFonts w:hint="eastAsia" w:ascii="微软雅黑" w:hAnsi="微软雅黑" w:eastAsia="微软雅黑" w:cs="微软雅黑"/>
          <w:b/>
          <w:color w:val="auto"/>
          <w:sz w:val="22"/>
          <w:szCs w:val="22"/>
          <w:highlight w:val="none"/>
          <w:lang w:eastAsia="zh-CN"/>
        </w:rPr>
        <w:t>具有有效的营业执照</w:t>
      </w:r>
      <w:r>
        <w:rPr>
          <w:rFonts w:hint="eastAsia" w:ascii="微软雅黑" w:hAnsi="微软雅黑" w:eastAsia="微软雅黑" w:cs="微软雅黑"/>
          <w:b/>
          <w:color w:val="auto"/>
          <w:sz w:val="22"/>
          <w:szCs w:val="22"/>
          <w:highlight w:val="none"/>
        </w:rPr>
        <w:t>；</w:t>
      </w:r>
      <w:bookmarkEnd w:id="1782"/>
      <w:bookmarkEnd w:id="1783"/>
    </w:p>
    <w:p w14:paraId="50D7C0D0">
      <w:pPr>
        <w:pStyle w:val="16"/>
        <w:tabs>
          <w:tab w:val="left" w:pos="5580"/>
        </w:tabs>
        <w:spacing w:line="240" w:lineRule="atLeast"/>
        <w:jc w:val="center"/>
        <w:rPr>
          <w:rFonts w:hint="eastAsia" w:ascii="微软雅黑" w:hAnsi="微软雅黑" w:eastAsia="微软雅黑" w:cs="微软雅黑"/>
          <w:b/>
          <w:color w:val="auto"/>
          <w:sz w:val="22"/>
          <w:szCs w:val="22"/>
          <w:highlight w:val="none"/>
        </w:rPr>
      </w:pPr>
    </w:p>
    <w:p w14:paraId="7661F494">
      <w:pPr>
        <w:pStyle w:val="16"/>
        <w:tabs>
          <w:tab w:val="left" w:pos="5580"/>
        </w:tabs>
        <w:spacing w:line="240" w:lineRule="atLeast"/>
        <w:jc w:val="center"/>
        <w:rPr>
          <w:rFonts w:hint="eastAsia" w:ascii="微软雅黑" w:hAnsi="微软雅黑" w:eastAsia="微软雅黑" w:cs="微软雅黑"/>
          <w:b/>
          <w:color w:val="auto"/>
          <w:sz w:val="22"/>
          <w:szCs w:val="22"/>
          <w:highlight w:val="none"/>
        </w:rPr>
      </w:pPr>
    </w:p>
    <w:p w14:paraId="702E755F">
      <w:pPr>
        <w:pStyle w:val="16"/>
        <w:tabs>
          <w:tab w:val="left" w:pos="5580"/>
        </w:tabs>
        <w:spacing w:line="240" w:lineRule="atLeast"/>
        <w:jc w:val="center"/>
        <w:rPr>
          <w:rFonts w:hint="eastAsia" w:ascii="微软雅黑" w:hAnsi="微软雅黑" w:eastAsia="微软雅黑" w:cs="微软雅黑"/>
          <w:b/>
          <w:color w:val="auto"/>
          <w:sz w:val="22"/>
          <w:szCs w:val="22"/>
          <w:highlight w:val="none"/>
        </w:rPr>
      </w:pPr>
    </w:p>
    <w:p w14:paraId="030BA254">
      <w:pPr>
        <w:pStyle w:val="16"/>
        <w:tabs>
          <w:tab w:val="left" w:pos="5580"/>
        </w:tabs>
        <w:spacing w:line="240" w:lineRule="atLeast"/>
        <w:rPr>
          <w:rFonts w:hint="eastAsia" w:ascii="微软雅黑" w:hAnsi="微软雅黑" w:eastAsia="微软雅黑" w:cs="微软雅黑"/>
          <w:b/>
          <w:color w:val="auto"/>
          <w:sz w:val="22"/>
          <w:szCs w:val="22"/>
          <w:highlight w:val="none"/>
        </w:rPr>
      </w:pPr>
    </w:p>
    <w:p w14:paraId="774BD7CD">
      <w:pPr>
        <w:pStyle w:val="16"/>
        <w:tabs>
          <w:tab w:val="left" w:pos="5580"/>
        </w:tabs>
        <w:spacing w:line="240" w:lineRule="atLeast"/>
        <w:rPr>
          <w:rFonts w:hint="eastAsia" w:ascii="微软雅黑" w:hAnsi="微软雅黑" w:eastAsia="微软雅黑" w:cs="微软雅黑"/>
          <w:b/>
          <w:color w:val="auto"/>
          <w:sz w:val="22"/>
          <w:szCs w:val="22"/>
          <w:highlight w:val="none"/>
        </w:rPr>
      </w:pPr>
    </w:p>
    <w:p w14:paraId="44A62498">
      <w:pPr>
        <w:pStyle w:val="16"/>
        <w:tabs>
          <w:tab w:val="left" w:pos="5580"/>
        </w:tabs>
        <w:spacing w:line="240" w:lineRule="atLeast"/>
        <w:rPr>
          <w:rFonts w:hint="eastAsia" w:ascii="微软雅黑" w:hAnsi="微软雅黑" w:eastAsia="微软雅黑" w:cs="微软雅黑"/>
          <w:b/>
          <w:color w:val="auto"/>
          <w:sz w:val="22"/>
          <w:szCs w:val="22"/>
          <w:highlight w:val="none"/>
        </w:rPr>
      </w:pPr>
    </w:p>
    <w:p w14:paraId="730F99AE">
      <w:pPr>
        <w:pStyle w:val="16"/>
        <w:tabs>
          <w:tab w:val="left" w:pos="5580"/>
        </w:tabs>
        <w:spacing w:line="240" w:lineRule="atLeast"/>
        <w:rPr>
          <w:rFonts w:hint="eastAsia" w:ascii="微软雅黑" w:hAnsi="微软雅黑" w:eastAsia="微软雅黑" w:cs="微软雅黑"/>
          <w:b/>
          <w:color w:val="auto"/>
          <w:sz w:val="22"/>
          <w:szCs w:val="22"/>
          <w:highlight w:val="none"/>
        </w:rPr>
      </w:pPr>
    </w:p>
    <w:p w14:paraId="0BC66C9B">
      <w:pPr>
        <w:pStyle w:val="16"/>
        <w:tabs>
          <w:tab w:val="left" w:pos="5580"/>
        </w:tabs>
        <w:spacing w:line="240" w:lineRule="atLeast"/>
        <w:rPr>
          <w:rFonts w:hint="eastAsia" w:ascii="微软雅黑" w:hAnsi="微软雅黑" w:eastAsia="微软雅黑" w:cs="微软雅黑"/>
          <w:b/>
          <w:color w:val="auto"/>
          <w:sz w:val="22"/>
          <w:szCs w:val="22"/>
          <w:highlight w:val="none"/>
        </w:rPr>
      </w:pPr>
    </w:p>
    <w:p w14:paraId="752BB4D0">
      <w:pPr>
        <w:pStyle w:val="16"/>
        <w:tabs>
          <w:tab w:val="left" w:pos="5580"/>
        </w:tabs>
        <w:spacing w:line="240" w:lineRule="atLeast"/>
        <w:rPr>
          <w:rFonts w:hint="eastAsia" w:ascii="微软雅黑" w:hAnsi="微软雅黑" w:eastAsia="微软雅黑" w:cs="微软雅黑"/>
          <w:b/>
          <w:color w:val="auto"/>
          <w:sz w:val="22"/>
          <w:szCs w:val="22"/>
          <w:highlight w:val="none"/>
        </w:rPr>
      </w:pPr>
    </w:p>
    <w:p w14:paraId="175AEBA9">
      <w:pPr>
        <w:pStyle w:val="16"/>
        <w:tabs>
          <w:tab w:val="left" w:pos="5580"/>
        </w:tabs>
        <w:spacing w:line="240" w:lineRule="atLeast"/>
        <w:rPr>
          <w:rFonts w:hint="eastAsia" w:ascii="微软雅黑" w:hAnsi="微软雅黑" w:eastAsia="微软雅黑" w:cs="微软雅黑"/>
          <w:b/>
          <w:color w:val="auto"/>
          <w:sz w:val="22"/>
          <w:szCs w:val="22"/>
          <w:highlight w:val="none"/>
        </w:rPr>
      </w:pPr>
    </w:p>
    <w:p w14:paraId="4CE64828">
      <w:pPr>
        <w:rPr>
          <w:rFonts w:hint="eastAsia" w:ascii="微软雅黑" w:hAnsi="微软雅黑" w:eastAsia="微软雅黑" w:cs="微软雅黑"/>
          <w:b/>
          <w:color w:val="auto"/>
          <w:sz w:val="22"/>
          <w:szCs w:val="22"/>
          <w:highlight w:val="none"/>
        </w:rPr>
      </w:pPr>
      <w:bookmarkStart w:id="1784" w:name="_Toc28979"/>
      <w:bookmarkStart w:id="1785" w:name="_Toc32302"/>
      <w:bookmarkStart w:id="1786" w:name="_Toc16184"/>
      <w:bookmarkStart w:id="1787" w:name="_Toc3087"/>
      <w:bookmarkStart w:id="1788" w:name="_Toc11840"/>
      <w:bookmarkStart w:id="1789" w:name="_Toc6475"/>
      <w:bookmarkStart w:id="1790" w:name="_Toc1957"/>
      <w:bookmarkStart w:id="1791" w:name="_Toc6321"/>
      <w:r>
        <w:rPr>
          <w:rFonts w:hint="eastAsia" w:ascii="微软雅黑" w:hAnsi="微软雅黑" w:eastAsia="微软雅黑" w:cs="微软雅黑"/>
          <w:b/>
          <w:color w:val="auto"/>
          <w:sz w:val="22"/>
          <w:szCs w:val="22"/>
          <w:highlight w:val="none"/>
        </w:rPr>
        <w:br w:type="page"/>
      </w:r>
    </w:p>
    <w:p w14:paraId="4D24AD10">
      <w:pPr>
        <w:tabs>
          <w:tab w:val="left" w:pos="5580"/>
        </w:tabs>
        <w:spacing w:line="400" w:lineRule="exact"/>
        <w:outlineLvl w:val="1"/>
        <w:rPr>
          <w:rFonts w:hint="eastAsia" w:ascii="微软雅黑" w:hAnsi="微软雅黑" w:eastAsia="微软雅黑" w:cs="微软雅黑"/>
          <w:b/>
          <w:bCs/>
          <w:color w:val="auto"/>
          <w:sz w:val="22"/>
          <w:szCs w:val="22"/>
          <w:highlight w:val="none"/>
          <w:lang w:val="en-US" w:eastAsia="zh-CN"/>
        </w:rPr>
      </w:pPr>
      <w:bookmarkStart w:id="1792" w:name="_Toc3398"/>
      <w:r>
        <w:rPr>
          <w:rFonts w:hint="eastAsia" w:ascii="微软雅黑" w:hAnsi="微软雅黑" w:eastAsia="微软雅黑" w:cs="微软雅黑"/>
          <w:b/>
          <w:color w:val="auto"/>
          <w:sz w:val="22"/>
          <w:szCs w:val="22"/>
          <w:highlight w:val="none"/>
        </w:rPr>
        <w:t>3</w:t>
      </w:r>
      <w:bookmarkEnd w:id="1784"/>
      <w:bookmarkEnd w:id="1785"/>
      <w:bookmarkEnd w:id="1786"/>
      <w:bookmarkEnd w:id="1787"/>
      <w:bookmarkEnd w:id="1788"/>
      <w:bookmarkEnd w:id="1789"/>
      <w:bookmarkEnd w:id="1790"/>
      <w:r>
        <w:rPr>
          <w:rFonts w:hint="eastAsia" w:ascii="微软雅黑" w:hAnsi="微软雅黑" w:eastAsia="微软雅黑" w:cs="微软雅黑"/>
          <w:b/>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法定代表人资格证明(法定代表人投标需提供法定代表人身份证)；</w:t>
      </w:r>
      <w:bookmarkEnd w:id="1791"/>
      <w:bookmarkEnd w:id="1792"/>
    </w:p>
    <w:p w14:paraId="1180BA65">
      <w:pPr>
        <w:keepNext w:val="0"/>
        <w:keepLines w:val="0"/>
        <w:pageBreakBefore w:val="0"/>
        <w:widowControl w:val="0"/>
        <w:kinsoku/>
        <w:wordWrap/>
        <w:overflowPunct/>
        <w:topLinePunct w:val="0"/>
        <w:bidi w:val="0"/>
        <w:adjustRightInd w:val="0"/>
        <w:snapToGrid w:val="0"/>
        <w:spacing w:before="240" w:beforeLines="100" w:after="240" w:afterLines="100" w:line="500" w:lineRule="atLeast"/>
        <w:jc w:val="center"/>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b/>
          <w:color w:val="auto"/>
          <w:sz w:val="22"/>
          <w:szCs w:val="22"/>
          <w:highlight w:val="none"/>
        </w:rPr>
        <w:t>法定代表人身份证明</w:t>
      </w:r>
    </w:p>
    <w:p w14:paraId="430B768A">
      <w:pPr>
        <w:keepNext w:val="0"/>
        <w:keepLines w:val="0"/>
        <w:pageBreakBefore w:val="0"/>
        <w:widowControl w:val="0"/>
        <w:kinsoku/>
        <w:wordWrap/>
        <w:overflowPunct/>
        <w:topLinePunct w:val="0"/>
        <w:bidi w:val="0"/>
        <w:spacing w:line="500" w:lineRule="atLeas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               同志，现任我单位          职务，为法定代表人，特此证明。</w:t>
      </w:r>
    </w:p>
    <w:p w14:paraId="08594178">
      <w:pPr>
        <w:keepNext w:val="0"/>
        <w:keepLines w:val="0"/>
        <w:pageBreakBefore w:val="0"/>
        <w:widowControl w:val="0"/>
        <w:kinsoku/>
        <w:wordWrap/>
        <w:overflowPunct/>
        <w:topLinePunct w:val="0"/>
        <w:bidi w:val="0"/>
        <w:spacing w:line="500" w:lineRule="atLeast"/>
        <w:ind w:firstLine="220" w:firstLineChars="1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单位：            </w:t>
      </w:r>
    </w:p>
    <w:p w14:paraId="459D380B">
      <w:pPr>
        <w:keepNext w:val="0"/>
        <w:keepLines w:val="0"/>
        <w:pageBreakBefore w:val="0"/>
        <w:widowControl w:val="0"/>
        <w:kinsoku/>
        <w:wordWrap/>
        <w:overflowPunct/>
        <w:topLinePunct w:val="0"/>
        <w:bidi w:val="0"/>
        <w:spacing w:line="500" w:lineRule="atLeast"/>
        <w:ind w:firstLine="220" w:firstLineChars="1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附：性别：            年龄：           身份证号码：</w:t>
      </w:r>
    </w:p>
    <w:p w14:paraId="0FD7E1EC">
      <w:pPr>
        <w:keepNext w:val="0"/>
        <w:keepLines w:val="0"/>
        <w:pageBreakBefore w:val="0"/>
        <w:widowControl w:val="0"/>
        <w:kinsoku/>
        <w:wordWrap/>
        <w:overflowPunct/>
        <w:topLinePunct w:val="0"/>
        <w:bidi w:val="0"/>
        <w:spacing w:line="500" w:lineRule="atLeast"/>
        <w:ind w:firstLine="220" w:firstLineChars="1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联系电话：</w:t>
      </w:r>
    </w:p>
    <w:p w14:paraId="33551184">
      <w:pPr>
        <w:keepNext w:val="0"/>
        <w:keepLines w:val="0"/>
        <w:pageBreakBefore w:val="0"/>
        <w:widowControl w:val="0"/>
        <w:kinsoku/>
        <w:wordWrap/>
        <w:overflowPunct/>
        <w:topLinePunct w:val="0"/>
        <w:bidi w:val="0"/>
        <w:spacing w:line="500" w:lineRule="atLeast"/>
        <w:ind w:firstLine="220" w:firstLineChars="1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统一社会信用代码：            </w:t>
      </w:r>
      <w:r>
        <w:rPr>
          <w:rFonts w:hint="eastAsia" w:ascii="微软雅黑" w:hAnsi="微软雅黑" w:eastAsia="微软雅黑" w:cs="微软雅黑"/>
          <w:color w:val="auto"/>
          <w:sz w:val="22"/>
          <w:szCs w:val="22"/>
          <w:highlight w:val="none"/>
          <w:lang w:val="en-US" w:eastAsia="zh-CN"/>
        </w:rPr>
        <w:t xml:space="preserve">       </w:t>
      </w:r>
      <w:r>
        <w:rPr>
          <w:rFonts w:hint="eastAsia" w:ascii="微软雅黑" w:hAnsi="微软雅黑" w:eastAsia="微软雅黑" w:cs="微软雅黑"/>
          <w:color w:val="auto"/>
          <w:sz w:val="22"/>
          <w:szCs w:val="22"/>
          <w:highlight w:val="none"/>
        </w:rPr>
        <w:t xml:space="preserve">  经济性质：</w:t>
      </w:r>
    </w:p>
    <w:p w14:paraId="7FBF27F0">
      <w:pPr>
        <w:keepNext w:val="0"/>
        <w:keepLines w:val="0"/>
        <w:pageBreakBefore w:val="0"/>
        <w:widowControl w:val="0"/>
        <w:kinsoku/>
        <w:wordWrap/>
        <w:overflowPunct/>
        <w:topLinePunct w:val="0"/>
        <w:bidi w:val="0"/>
        <w:spacing w:line="500" w:lineRule="atLeas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说明：</w:t>
      </w:r>
    </w:p>
    <w:p w14:paraId="3B13AEF6">
      <w:pPr>
        <w:keepNext w:val="0"/>
        <w:keepLines w:val="0"/>
        <w:pageBreakBefore w:val="0"/>
        <w:widowControl w:val="0"/>
        <w:kinsoku/>
        <w:wordWrap/>
        <w:overflowPunct/>
        <w:topLinePunct w:val="0"/>
        <w:bidi w:val="0"/>
        <w:spacing w:line="500" w:lineRule="atLeast"/>
        <w:ind w:firstLine="220" w:firstLineChars="1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1、法定代表人为企业</w:t>
      </w:r>
      <w:r>
        <w:rPr>
          <w:rFonts w:hint="eastAsia" w:ascii="微软雅黑" w:hAnsi="微软雅黑" w:eastAsia="微软雅黑" w:cs="微软雅黑"/>
          <w:color w:val="auto"/>
          <w:sz w:val="22"/>
          <w:szCs w:val="22"/>
          <w:highlight w:val="none"/>
          <w:lang w:eastAsia="zh-CN"/>
        </w:rPr>
        <w:t>或</w:t>
      </w:r>
      <w:r>
        <w:rPr>
          <w:rFonts w:hint="eastAsia" w:ascii="微软雅黑" w:hAnsi="微软雅黑" w:eastAsia="微软雅黑" w:cs="微软雅黑"/>
          <w:color w:val="auto"/>
          <w:sz w:val="22"/>
          <w:szCs w:val="22"/>
          <w:highlight w:val="none"/>
        </w:rPr>
        <w:t>事业单位、</w:t>
      </w:r>
      <w:r>
        <w:rPr>
          <w:rFonts w:hint="eastAsia" w:ascii="微软雅黑" w:hAnsi="微软雅黑" w:eastAsia="微软雅黑" w:cs="微软雅黑"/>
          <w:color w:val="auto"/>
          <w:sz w:val="22"/>
          <w:szCs w:val="22"/>
          <w:highlight w:val="none"/>
          <w:lang w:eastAsia="zh-CN"/>
        </w:rPr>
        <w:t>或</w:t>
      </w:r>
      <w:r>
        <w:rPr>
          <w:rFonts w:hint="eastAsia" w:ascii="微软雅黑" w:hAnsi="微软雅黑" w:eastAsia="微软雅黑" w:cs="微软雅黑"/>
          <w:color w:val="auto"/>
          <w:sz w:val="22"/>
          <w:szCs w:val="22"/>
          <w:highlight w:val="none"/>
        </w:rPr>
        <w:t>国家机关、</w:t>
      </w:r>
      <w:r>
        <w:rPr>
          <w:rFonts w:hint="eastAsia" w:ascii="微软雅黑" w:hAnsi="微软雅黑" w:eastAsia="微软雅黑" w:cs="微软雅黑"/>
          <w:color w:val="auto"/>
          <w:sz w:val="22"/>
          <w:szCs w:val="22"/>
          <w:highlight w:val="none"/>
          <w:lang w:eastAsia="zh-CN"/>
        </w:rPr>
        <w:t>或</w:t>
      </w:r>
      <w:r>
        <w:rPr>
          <w:rFonts w:hint="eastAsia" w:ascii="微软雅黑" w:hAnsi="微软雅黑" w:eastAsia="微软雅黑" w:cs="微软雅黑"/>
          <w:color w:val="auto"/>
          <w:sz w:val="22"/>
          <w:szCs w:val="22"/>
          <w:highlight w:val="none"/>
        </w:rPr>
        <w:t>社会团体的主要行政负责人。</w:t>
      </w:r>
    </w:p>
    <w:p w14:paraId="2405DD83">
      <w:pPr>
        <w:keepNext w:val="0"/>
        <w:keepLines w:val="0"/>
        <w:pageBreakBefore w:val="0"/>
        <w:widowControl w:val="0"/>
        <w:kinsoku/>
        <w:wordWrap/>
        <w:overflowPunct/>
        <w:topLinePunct w:val="0"/>
        <w:bidi w:val="0"/>
        <w:spacing w:line="500" w:lineRule="atLeast"/>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rPr>
        <w:t xml:space="preserve">  2、内容必须填写真实、清楚、涂改无效，不得转让。</w:t>
      </w:r>
    </w:p>
    <w:p w14:paraId="1733239B">
      <w:pPr>
        <w:keepNext w:val="0"/>
        <w:keepLines w:val="0"/>
        <w:pageBreakBefore w:val="0"/>
        <w:widowControl w:val="0"/>
        <w:kinsoku/>
        <w:wordWrap/>
        <w:overflowPunct/>
        <w:topLinePunct w:val="0"/>
        <w:bidi w:val="0"/>
        <w:spacing w:line="500" w:lineRule="atLeas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mc:AlternateContent>
          <mc:Choice Requires="wps">
            <w:drawing>
              <wp:anchor distT="0" distB="0" distL="0" distR="0" simplePos="0" relativeHeight="251659264" behindDoc="0" locked="0" layoutInCell="1" allowOverlap="1">
                <wp:simplePos x="0" y="0"/>
                <wp:positionH relativeFrom="column">
                  <wp:posOffset>2729230</wp:posOffset>
                </wp:positionH>
                <wp:positionV relativeFrom="paragraph">
                  <wp:posOffset>28575</wp:posOffset>
                </wp:positionV>
                <wp:extent cx="2266315" cy="1385570"/>
                <wp:effectExtent l="7620" t="7620" r="12065" b="8890"/>
                <wp:wrapNone/>
                <wp:docPr id="1026" name="圆角矩形 18"/>
                <wp:cNvGraphicFramePr/>
                <a:graphic xmlns:a="http://schemas.openxmlformats.org/drawingml/2006/main">
                  <a:graphicData uri="http://schemas.microsoft.com/office/word/2010/wordprocessingShape">
                    <wps:wsp>
                      <wps:cNvSpPr/>
                      <wps:spPr>
                        <a:xfrm>
                          <a:off x="0" y="0"/>
                          <a:ext cx="2266314" cy="1385570"/>
                        </a:xfrm>
                        <a:prstGeom prst="roundRect">
                          <a:avLst>
                            <a:gd name="adj" fmla="val 16667"/>
                          </a:avLst>
                        </a:prstGeom>
                        <a:solidFill>
                          <a:srgbClr val="FFFFFF"/>
                        </a:solidFill>
                        <a:ln w="15875" cap="flat" cmpd="sng">
                          <a:solidFill>
                            <a:srgbClr val="808080"/>
                          </a:solidFill>
                          <a:prstDash val="solid"/>
                          <a:round/>
                          <a:headEnd type="none" w="med" len="med"/>
                          <a:tailEnd type="none" w="med" len="med"/>
                        </a:ln>
                      </wps:spPr>
                      <wps:txbx>
                        <w:txbxContent>
                          <w:p w14:paraId="6EFA063E">
                            <w:pPr>
                              <w:jc w:val="center"/>
                              <w:rPr>
                                <w:rFonts w:hAnsi="宋体"/>
                                <w:szCs w:val="21"/>
                              </w:rPr>
                            </w:pPr>
                            <w:r>
                              <w:rPr>
                                <w:rFonts w:hint="eastAsia" w:hAnsi="宋体"/>
                                <w:szCs w:val="21"/>
                              </w:rPr>
                              <w:t xml:space="preserve">  </w:t>
                            </w:r>
                          </w:p>
                          <w:p w14:paraId="45F64478">
                            <w:pPr>
                              <w:jc w:val="center"/>
                              <w:rPr>
                                <w:rFonts w:hAnsi="宋体"/>
                                <w:szCs w:val="21"/>
                              </w:rPr>
                            </w:pPr>
                          </w:p>
                          <w:p w14:paraId="1C4810F2">
                            <w:pPr>
                              <w:jc w:val="both"/>
                              <w:rPr>
                                <w:rFonts w:hint="eastAsia" w:hAnsi="宋体"/>
                                <w:szCs w:val="21"/>
                              </w:rPr>
                            </w:pPr>
                          </w:p>
                          <w:p w14:paraId="28045F8B">
                            <w:pPr>
                              <w:jc w:val="center"/>
                              <w:rPr>
                                <w:rFonts w:hint="default" w:eastAsia="宋体"/>
                                <w:szCs w:val="21"/>
                                <w:lang w:val="en-US" w:eastAsia="zh-CN"/>
                              </w:rPr>
                            </w:pPr>
                            <w:r>
                              <w:rPr>
                                <w:rFonts w:hint="eastAsia" w:hAnsi="宋体"/>
                                <w:szCs w:val="21"/>
                              </w:rPr>
                              <w:t>法定代表人身份</w:t>
                            </w:r>
                            <w:r>
                              <w:rPr>
                                <w:rFonts w:hint="eastAsia" w:hAnsi="宋体"/>
                                <w:szCs w:val="21"/>
                                <w:lang w:eastAsia="zh-CN"/>
                              </w:rPr>
                              <w:t>证</w:t>
                            </w:r>
                            <w:r>
                              <w:rPr>
                                <w:rFonts w:hint="eastAsia" w:hAnsi="宋体"/>
                                <w:szCs w:val="21"/>
                                <w:lang w:val="en-US" w:eastAsia="zh-CN"/>
                              </w:rPr>
                              <w:t>复印件</w:t>
                            </w:r>
                          </w:p>
                          <w:p w14:paraId="6ADFE005"/>
                          <w:p w14:paraId="5389E7A1">
                            <w:pPr>
                              <w:pStyle w:val="3"/>
                            </w:pPr>
                          </w:p>
                          <w:p w14:paraId="21B922DF">
                            <w:pPr>
                              <w:pStyle w:val="3"/>
                            </w:pPr>
                          </w:p>
                          <w:p w14:paraId="7190C077">
                            <w:pPr>
                              <w:pStyle w:val="3"/>
                            </w:pPr>
                          </w:p>
                          <w:p w14:paraId="17EFC22A">
                            <w:pPr>
                              <w:pStyle w:val="3"/>
                            </w:pPr>
                          </w:p>
                        </w:txbxContent>
                      </wps:txbx>
                      <wps:bodyPr upright="1"/>
                    </wps:wsp>
                  </a:graphicData>
                </a:graphic>
              </wp:anchor>
            </w:drawing>
          </mc:Choice>
          <mc:Fallback>
            <w:pict>
              <v:roundrect id="圆角矩形 18" o:spid="_x0000_s1026" o:spt="2" style="position:absolute;left:0pt;margin-left:214.9pt;margin-top:2.25pt;height:109.1pt;width:178.45pt;z-index:251659264;mso-width-relative:page;mso-height-relative:page;" fillcolor="#FFFFFF" filled="t" stroked="t" coordsize="21600,21600" arcsize="0.166666666666667" o:gfxdata="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Zn6QvaAAAACQEAAA8AAAAAAAAAAQAgAAAAIgAAAGRycy9kb3ducmV2LnhtbFBL&#10;AQIUABQAAAAIAIdO4kAet4fULQIAAGYEAAAOAAAAAAAAAAEAIAAAACkBAABkcnMvZTJvRG9jLnht&#10;bFBLBQYAAAAABgAGAFkBAADIBQAAAAA=&#10;">
                <v:fill on="t" focussize="0,0"/>
                <v:stroke weight="1.25pt" color="#808080" joinstyle="round"/>
                <v:imagedata o:title=""/>
                <o:lock v:ext="edit" aspectratio="f"/>
                <v:textbox>
                  <w:txbxContent>
                    <w:p w14:paraId="6EFA063E">
                      <w:pPr>
                        <w:jc w:val="center"/>
                        <w:rPr>
                          <w:rFonts w:hAnsi="宋体"/>
                          <w:szCs w:val="21"/>
                        </w:rPr>
                      </w:pPr>
                      <w:r>
                        <w:rPr>
                          <w:rFonts w:hint="eastAsia" w:hAnsi="宋体"/>
                          <w:szCs w:val="21"/>
                        </w:rPr>
                        <w:t xml:space="preserve">  </w:t>
                      </w:r>
                    </w:p>
                    <w:p w14:paraId="45F64478">
                      <w:pPr>
                        <w:jc w:val="center"/>
                        <w:rPr>
                          <w:rFonts w:hAnsi="宋体"/>
                          <w:szCs w:val="21"/>
                        </w:rPr>
                      </w:pPr>
                    </w:p>
                    <w:p w14:paraId="1C4810F2">
                      <w:pPr>
                        <w:jc w:val="both"/>
                        <w:rPr>
                          <w:rFonts w:hint="eastAsia" w:hAnsi="宋体"/>
                          <w:szCs w:val="21"/>
                        </w:rPr>
                      </w:pPr>
                    </w:p>
                    <w:p w14:paraId="28045F8B">
                      <w:pPr>
                        <w:jc w:val="center"/>
                        <w:rPr>
                          <w:rFonts w:hint="default" w:eastAsia="宋体"/>
                          <w:szCs w:val="21"/>
                          <w:lang w:val="en-US" w:eastAsia="zh-CN"/>
                        </w:rPr>
                      </w:pPr>
                      <w:r>
                        <w:rPr>
                          <w:rFonts w:hint="eastAsia" w:hAnsi="宋体"/>
                          <w:szCs w:val="21"/>
                        </w:rPr>
                        <w:t>法定代表人身份</w:t>
                      </w:r>
                      <w:r>
                        <w:rPr>
                          <w:rFonts w:hint="eastAsia" w:hAnsi="宋体"/>
                          <w:szCs w:val="21"/>
                          <w:lang w:eastAsia="zh-CN"/>
                        </w:rPr>
                        <w:t>证</w:t>
                      </w:r>
                      <w:r>
                        <w:rPr>
                          <w:rFonts w:hint="eastAsia" w:hAnsi="宋体"/>
                          <w:szCs w:val="21"/>
                          <w:lang w:val="en-US" w:eastAsia="zh-CN"/>
                        </w:rPr>
                        <w:t>复印件</w:t>
                      </w:r>
                    </w:p>
                    <w:p w14:paraId="6ADFE005"/>
                    <w:p w14:paraId="5389E7A1">
                      <w:pPr>
                        <w:pStyle w:val="3"/>
                      </w:pPr>
                    </w:p>
                    <w:p w14:paraId="21B922DF">
                      <w:pPr>
                        <w:pStyle w:val="3"/>
                      </w:pPr>
                    </w:p>
                    <w:p w14:paraId="7190C077">
                      <w:pPr>
                        <w:pStyle w:val="3"/>
                      </w:pPr>
                    </w:p>
                    <w:p w14:paraId="17EFC22A">
                      <w:pPr>
                        <w:pStyle w:val="3"/>
                      </w:pPr>
                    </w:p>
                  </w:txbxContent>
                </v:textbox>
              </v:roundrect>
            </w:pict>
          </mc:Fallback>
        </mc:AlternateContent>
      </w:r>
      <w:r>
        <w:rPr>
          <w:rFonts w:hint="eastAsia" w:ascii="微软雅黑" w:hAnsi="微软雅黑" w:eastAsia="微软雅黑" w:cs="微软雅黑"/>
          <w:color w:val="auto"/>
          <w:sz w:val="22"/>
          <w:szCs w:val="22"/>
          <w:highlight w:val="none"/>
        </w:rPr>
        <mc:AlternateContent>
          <mc:Choice Requires="wps">
            <w:drawing>
              <wp:anchor distT="0" distB="0" distL="0" distR="0" simplePos="0" relativeHeight="251659264" behindDoc="0" locked="0" layoutInCell="1" allowOverlap="1">
                <wp:simplePos x="0" y="0"/>
                <wp:positionH relativeFrom="column">
                  <wp:posOffset>52705</wp:posOffset>
                </wp:positionH>
                <wp:positionV relativeFrom="paragraph">
                  <wp:posOffset>10795</wp:posOffset>
                </wp:positionV>
                <wp:extent cx="2216150" cy="1375410"/>
                <wp:effectExtent l="4445" t="4445" r="19685" b="6985"/>
                <wp:wrapNone/>
                <wp:docPr id="1027" name="流程图: 可选过程 14"/>
                <wp:cNvGraphicFramePr/>
                <a:graphic xmlns:a="http://schemas.openxmlformats.org/drawingml/2006/main">
                  <a:graphicData uri="http://schemas.microsoft.com/office/word/2010/wordprocessingShape">
                    <wps:wsp>
                      <wps:cNvSpPr/>
                      <wps:spPr>
                        <a:xfrm>
                          <a:off x="0" y="0"/>
                          <a:ext cx="2216150" cy="137541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D11D41F">
                            <w:pPr>
                              <w:jc w:val="center"/>
                              <w:rPr>
                                <w:rFonts w:hAnsi="宋体"/>
                                <w:szCs w:val="21"/>
                              </w:rPr>
                            </w:pPr>
                          </w:p>
                          <w:p w14:paraId="27389ABF">
                            <w:pPr>
                              <w:jc w:val="center"/>
                              <w:rPr>
                                <w:rFonts w:hAnsi="宋体"/>
                                <w:szCs w:val="21"/>
                              </w:rPr>
                            </w:pPr>
                          </w:p>
                          <w:p w14:paraId="0C3A2AB9">
                            <w:pPr>
                              <w:jc w:val="both"/>
                              <w:rPr>
                                <w:rFonts w:hint="eastAsia" w:hAnsi="宋体"/>
                                <w:szCs w:val="21"/>
                              </w:rPr>
                            </w:pPr>
                          </w:p>
                          <w:p w14:paraId="02784D0F">
                            <w:pPr>
                              <w:jc w:val="center"/>
                              <w:rPr>
                                <w:rFonts w:hint="default" w:eastAsia="宋体"/>
                                <w:szCs w:val="21"/>
                                <w:lang w:val="en-US" w:eastAsia="zh-CN"/>
                              </w:rPr>
                            </w:pPr>
                            <w:r>
                              <w:rPr>
                                <w:rFonts w:hint="eastAsia" w:hAnsi="宋体"/>
                                <w:szCs w:val="21"/>
                                <w:highlight w:val="none"/>
                              </w:rPr>
                              <w:t>法定代表人身份</w:t>
                            </w:r>
                            <w:r>
                              <w:rPr>
                                <w:rFonts w:hint="eastAsia" w:hAnsi="宋体"/>
                                <w:szCs w:val="21"/>
                              </w:rPr>
                              <w:t>证</w:t>
                            </w:r>
                            <w:r>
                              <w:rPr>
                                <w:rFonts w:hint="eastAsia" w:hAnsi="宋体"/>
                                <w:szCs w:val="21"/>
                                <w:lang w:val="en-US" w:eastAsia="zh-CN"/>
                              </w:rPr>
                              <w:t>复印件</w:t>
                            </w:r>
                          </w:p>
                        </w:txbxContent>
                      </wps:txbx>
                      <wps:bodyPr upright="1"/>
                    </wps:wsp>
                  </a:graphicData>
                </a:graphic>
              </wp:anchor>
            </w:drawing>
          </mc:Choice>
          <mc:Fallback>
            <w:pict>
              <v:shape id="流程图: 可选过程 14" o:spid="_x0000_s1026" o:spt="176" type="#_x0000_t176" style="position:absolute;left:0pt;margin-left:4.15pt;margin-top:0.85pt;height:108.3pt;width:174.5pt;z-index:251659264;mso-width-relative:page;mso-height-relative:page;" fillcolor="#FFFFFF" filled="t" stroked="t" coordsize="21600,21600" o:gfxdata="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QZS5zTAAAABwEAAA8AAAAAAAAAAQAgAAAAIgAAAGRycy9kb3ducmV2LnhtbFBLAQIUABQA&#10;AAAIAIdO4kD/w1QLLgIAAFQEAAAOAAAAAAAAAAEAIAAAACIBAABkcnMvZTJvRG9jLnhtbFBLBQYA&#10;AAAABgAGAFkBAADCBQAAAAA=&#10;">
                <v:fill on="t" focussize="0,0"/>
                <v:stroke color="#000000" joinstyle="miter"/>
                <v:imagedata o:title=""/>
                <o:lock v:ext="edit" aspectratio="f"/>
                <v:textbox>
                  <w:txbxContent>
                    <w:p w14:paraId="3D11D41F">
                      <w:pPr>
                        <w:jc w:val="center"/>
                        <w:rPr>
                          <w:rFonts w:hAnsi="宋体"/>
                          <w:szCs w:val="21"/>
                        </w:rPr>
                      </w:pPr>
                    </w:p>
                    <w:p w14:paraId="27389ABF">
                      <w:pPr>
                        <w:jc w:val="center"/>
                        <w:rPr>
                          <w:rFonts w:hAnsi="宋体"/>
                          <w:szCs w:val="21"/>
                        </w:rPr>
                      </w:pPr>
                    </w:p>
                    <w:p w14:paraId="0C3A2AB9">
                      <w:pPr>
                        <w:jc w:val="both"/>
                        <w:rPr>
                          <w:rFonts w:hint="eastAsia" w:hAnsi="宋体"/>
                          <w:szCs w:val="21"/>
                        </w:rPr>
                      </w:pPr>
                    </w:p>
                    <w:p w14:paraId="02784D0F">
                      <w:pPr>
                        <w:jc w:val="center"/>
                        <w:rPr>
                          <w:rFonts w:hint="default" w:eastAsia="宋体"/>
                          <w:szCs w:val="21"/>
                          <w:lang w:val="en-US" w:eastAsia="zh-CN"/>
                        </w:rPr>
                      </w:pPr>
                      <w:r>
                        <w:rPr>
                          <w:rFonts w:hint="eastAsia" w:hAnsi="宋体"/>
                          <w:szCs w:val="21"/>
                          <w:highlight w:val="none"/>
                        </w:rPr>
                        <w:t>法定代表人身份</w:t>
                      </w:r>
                      <w:r>
                        <w:rPr>
                          <w:rFonts w:hint="eastAsia" w:hAnsi="宋体"/>
                          <w:szCs w:val="21"/>
                        </w:rPr>
                        <w:t>证</w:t>
                      </w:r>
                      <w:r>
                        <w:rPr>
                          <w:rFonts w:hint="eastAsia" w:hAnsi="宋体"/>
                          <w:szCs w:val="21"/>
                          <w:lang w:val="en-US" w:eastAsia="zh-CN"/>
                        </w:rPr>
                        <w:t>复印件</w:t>
                      </w:r>
                    </w:p>
                  </w:txbxContent>
                </v:textbox>
              </v:shape>
            </w:pict>
          </mc:Fallback>
        </mc:AlternateContent>
      </w:r>
    </w:p>
    <w:p w14:paraId="6FC2AB10">
      <w:pPr>
        <w:keepNext w:val="0"/>
        <w:keepLines w:val="0"/>
        <w:pageBreakBefore w:val="0"/>
        <w:widowControl w:val="0"/>
        <w:kinsoku/>
        <w:wordWrap/>
        <w:overflowPunct/>
        <w:topLinePunct w:val="0"/>
        <w:bidi w:val="0"/>
        <w:spacing w:line="500" w:lineRule="atLeast"/>
        <w:textAlignment w:val="auto"/>
        <w:rPr>
          <w:rFonts w:hint="eastAsia" w:ascii="微软雅黑" w:hAnsi="微软雅黑" w:eastAsia="微软雅黑" w:cs="微软雅黑"/>
          <w:color w:val="auto"/>
          <w:sz w:val="22"/>
          <w:szCs w:val="22"/>
          <w:highlight w:val="none"/>
        </w:rPr>
      </w:pPr>
    </w:p>
    <w:p w14:paraId="5B9A2B09">
      <w:pPr>
        <w:keepNext w:val="0"/>
        <w:keepLines w:val="0"/>
        <w:pageBreakBefore w:val="0"/>
        <w:widowControl w:val="0"/>
        <w:kinsoku/>
        <w:wordWrap/>
        <w:overflowPunct/>
        <w:topLinePunct w:val="0"/>
        <w:bidi w:val="0"/>
        <w:spacing w:line="500" w:lineRule="atLeast"/>
        <w:textAlignment w:val="auto"/>
        <w:rPr>
          <w:rFonts w:hint="eastAsia" w:ascii="微软雅黑" w:hAnsi="微软雅黑" w:eastAsia="微软雅黑" w:cs="微软雅黑"/>
          <w:color w:val="auto"/>
          <w:sz w:val="22"/>
          <w:szCs w:val="22"/>
          <w:highlight w:val="none"/>
        </w:rPr>
      </w:pPr>
    </w:p>
    <w:p w14:paraId="34F94B54">
      <w:pPr>
        <w:keepNext w:val="0"/>
        <w:keepLines w:val="0"/>
        <w:pageBreakBefore w:val="0"/>
        <w:widowControl w:val="0"/>
        <w:kinsoku/>
        <w:wordWrap/>
        <w:overflowPunct/>
        <w:topLinePunct w:val="0"/>
        <w:autoSpaceDE w:val="0"/>
        <w:autoSpaceDN w:val="0"/>
        <w:bidi w:val="0"/>
        <w:adjustRightInd w:val="0"/>
        <w:spacing w:line="500" w:lineRule="atLeast"/>
        <w:ind w:right="246"/>
        <w:textAlignment w:val="auto"/>
        <w:rPr>
          <w:rFonts w:hint="eastAsia" w:ascii="微软雅黑" w:hAnsi="微软雅黑" w:eastAsia="微软雅黑" w:cs="微软雅黑"/>
          <w:color w:val="auto"/>
          <w:sz w:val="22"/>
          <w:szCs w:val="22"/>
          <w:highlight w:val="none"/>
        </w:rPr>
      </w:pPr>
    </w:p>
    <w:p w14:paraId="1C30B9E7">
      <w:pPr>
        <w:keepNext w:val="0"/>
        <w:keepLines w:val="0"/>
        <w:pageBreakBefore w:val="0"/>
        <w:widowControl w:val="0"/>
        <w:kinsoku/>
        <w:wordWrap/>
        <w:overflowPunct/>
        <w:topLinePunct w:val="0"/>
        <w:bidi w:val="0"/>
        <w:adjustRightInd w:val="0"/>
        <w:snapToGrid w:val="0"/>
        <w:spacing w:line="500" w:lineRule="atLeast"/>
        <w:textAlignment w:val="auto"/>
        <w:rPr>
          <w:rFonts w:hint="eastAsia" w:ascii="微软雅黑" w:hAnsi="微软雅黑" w:eastAsia="微软雅黑" w:cs="微软雅黑"/>
          <w:color w:val="auto"/>
          <w:sz w:val="22"/>
          <w:szCs w:val="22"/>
          <w:highlight w:val="none"/>
        </w:rPr>
      </w:pPr>
    </w:p>
    <w:p w14:paraId="61E3431C">
      <w:pPr>
        <w:pStyle w:val="3"/>
        <w:ind w:left="0" w:leftChars="0" w:firstLine="0" w:firstLineChars="0"/>
        <w:rPr>
          <w:rFonts w:hint="eastAsia" w:ascii="微软雅黑" w:hAnsi="微软雅黑" w:eastAsia="微软雅黑" w:cs="微软雅黑"/>
          <w:sz w:val="22"/>
          <w:szCs w:val="18"/>
          <w:highlight w:val="none"/>
        </w:rPr>
      </w:pPr>
    </w:p>
    <w:p w14:paraId="1ACB666A">
      <w:pPr>
        <w:keepNext w:val="0"/>
        <w:keepLines w:val="0"/>
        <w:pageBreakBefore w:val="0"/>
        <w:widowControl w:val="0"/>
        <w:kinsoku/>
        <w:wordWrap/>
        <w:overflowPunct/>
        <w:topLinePunct w:val="0"/>
        <w:bidi w:val="0"/>
        <w:spacing w:line="500" w:lineRule="atLeast"/>
        <w:textAlignment w:val="auto"/>
        <w:outlineLvl w:val="9"/>
        <w:rPr>
          <w:rFonts w:hint="eastAsia" w:ascii="微软雅黑" w:hAnsi="微软雅黑" w:eastAsia="微软雅黑" w:cs="微软雅黑"/>
          <w:b/>
          <w:bCs/>
          <w:color w:val="auto"/>
          <w:sz w:val="22"/>
          <w:szCs w:val="22"/>
          <w:highlight w:val="none"/>
          <w:u w:val="none"/>
          <w:lang w:eastAsia="zh-CN"/>
        </w:rPr>
      </w:pPr>
      <w:r>
        <w:rPr>
          <w:rFonts w:hint="eastAsia" w:ascii="微软雅黑" w:hAnsi="微软雅黑" w:eastAsia="微软雅黑" w:cs="微软雅黑"/>
          <w:b/>
          <w:bCs/>
          <w:color w:val="auto"/>
          <w:sz w:val="22"/>
          <w:szCs w:val="22"/>
          <w:highlight w:val="none"/>
          <w:u w:val="none"/>
          <w:lang w:eastAsia="zh-CN"/>
        </w:rPr>
        <w:t>注：须提供身份证正反面。</w:t>
      </w:r>
    </w:p>
    <w:p w14:paraId="5168D3D1">
      <w:pPr>
        <w:pStyle w:val="16"/>
        <w:keepNext w:val="0"/>
        <w:keepLines w:val="0"/>
        <w:pageBreakBefore w:val="0"/>
        <w:widowControl w:val="0"/>
        <w:tabs>
          <w:tab w:val="left" w:pos="5580"/>
        </w:tabs>
        <w:kinsoku/>
        <w:wordWrap/>
        <w:overflowPunct/>
        <w:topLinePunct w:val="0"/>
        <w:bidi w:val="0"/>
        <w:spacing w:line="500" w:lineRule="atLeas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供应商名称（公章）：</w:t>
      </w:r>
      <w:r>
        <w:rPr>
          <w:rFonts w:hint="eastAsia" w:ascii="微软雅黑" w:hAnsi="微软雅黑" w:eastAsia="微软雅黑" w:cs="微软雅黑"/>
          <w:color w:val="auto"/>
          <w:sz w:val="22"/>
          <w:szCs w:val="22"/>
          <w:highlight w:val="none"/>
          <w:u w:val="single"/>
        </w:rPr>
        <w:t xml:space="preserve">                       </w:t>
      </w:r>
    </w:p>
    <w:p w14:paraId="21274D5A">
      <w:pPr>
        <w:keepNext w:val="0"/>
        <w:keepLines w:val="0"/>
        <w:pageBreakBefore w:val="0"/>
        <w:widowControl w:val="0"/>
        <w:kinsoku/>
        <w:wordWrap/>
        <w:overflowPunct/>
        <w:topLinePunct w:val="0"/>
        <w:bidi w:val="0"/>
        <w:adjustRightInd w:val="0"/>
        <w:snapToGrid w:val="0"/>
        <w:spacing w:line="500" w:lineRule="atLeast"/>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法定代表人（签/章）：</w:t>
      </w:r>
      <w:r>
        <w:rPr>
          <w:rFonts w:hint="eastAsia" w:ascii="微软雅黑" w:hAnsi="微软雅黑" w:eastAsia="微软雅黑" w:cs="微软雅黑"/>
          <w:color w:val="auto"/>
          <w:sz w:val="22"/>
          <w:szCs w:val="22"/>
          <w:highlight w:val="none"/>
          <w:u w:val="single"/>
          <w:lang w:val="en-US" w:eastAsia="zh-CN"/>
        </w:rPr>
        <w:t xml:space="preserve">                 </w:t>
      </w:r>
      <w:r>
        <w:rPr>
          <w:rFonts w:hint="eastAsia" w:ascii="微软雅黑" w:hAnsi="微软雅黑" w:eastAsia="微软雅黑" w:cs="微软雅黑"/>
          <w:color w:val="auto"/>
          <w:sz w:val="22"/>
          <w:szCs w:val="22"/>
          <w:highlight w:val="none"/>
        </w:rPr>
        <w:t xml:space="preserve">                    </w:t>
      </w:r>
    </w:p>
    <w:p w14:paraId="354B0DD8">
      <w:pPr>
        <w:keepNext w:val="0"/>
        <w:keepLines w:val="0"/>
        <w:pageBreakBefore w:val="0"/>
        <w:widowControl w:val="0"/>
        <w:kinsoku/>
        <w:wordWrap/>
        <w:overflowPunct/>
        <w:topLinePunct w:val="0"/>
        <w:bidi w:val="0"/>
        <w:adjustRightInd w:val="0"/>
        <w:snapToGrid w:val="0"/>
        <w:spacing w:line="500" w:lineRule="atLeast"/>
        <w:ind w:firstLine="719" w:firstLineChars="327"/>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日期：</w:t>
      </w:r>
      <w:r>
        <w:rPr>
          <w:rFonts w:hint="eastAsia" w:ascii="微软雅黑" w:hAnsi="微软雅黑" w:eastAsia="微软雅黑" w:cs="微软雅黑"/>
          <w:color w:val="auto"/>
          <w:sz w:val="22"/>
          <w:szCs w:val="22"/>
          <w:highlight w:val="none"/>
          <w:u w:val="single"/>
          <w:lang w:val="en-US" w:eastAsia="zh-CN"/>
        </w:rPr>
        <w:t xml:space="preserve">                      </w:t>
      </w:r>
      <w:r>
        <w:rPr>
          <w:rFonts w:hint="eastAsia" w:ascii="微软雅黑" w:hAnsi="微软雅黑" w:eastAsia="微软雅黑" w:cs="微软雅黑"/>
          <w:color w:val="auto"/>
          <w:sz w:val="22"/>
          <w:szCs w:val="22"/>
          <w:highlight w:val="none"/>
        </w:rPr>
        <w:t xml:space="preserve">     </w:t>
      </w:r>
    </w:p>
    <w:p w14:paraId="66DF15FC">
      <w:pPr>
        <w:keepNext w:val="0"/>
        <w:keepLines w:val="0"/>
        <w:pageBreakBefore w:val="0"/>
        <w:widowControl w:val="0"/>
        <w:kinsoku/>
        <w:wordWrap/>
        <w:overflowPunct/>
        <w:topLinePunct w:val="0"/>
        <w:bidi w:val="0"/>
        <w:adjustRightInd w:val="0"/>
        <w:snapToGrid w:val="0"/>
        <w:spacing w:line="500" w:lineRule="atLeast"/>
        <w:ind w:firstLine="719" w:firstLineChars="327"/>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                                  </w:t>
      </w:r>
    </w:p>
    <w:p w14:paraId="0AEB9E50">
      <w:pPr>
        <w:pStyle w:val="16"/>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bookmarkStart w:id="1793" w:name="_Toc515647807"/>
      <w:bookmarkStart w:id="1794" w:name="_Toc5436"/>
      <w:bookmarkStart w:id="1795" w:name="_Toc1083"/>
      <w:bookmarkStart w:id="1796" w:name="_Toc13107"/>
      <w:bookmarkStart w:id="1797" w:name="_Toc6829"/>
      <w:bookmarkStart w:id="1798" w:name="_Toc22472"/>
      <w:bookmarkStart w:id="1799" w:name="_Toc16640"/>
      <w:bookmarkStart w:id="1800" w:name="_Toc21867"/>
    </w:p>
    <w:p w14:paraId="2B0BC76F">
      <w:pPr>
        <w:pStyle w:val="16"/>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p>
    <w:p w14:paraId="7E41AB96">
      <w:pPr>
        <w:pStyle w:val="16"/>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p>
    <w:p w14:paraId="239D731E">
      <w:pPr>
        <w:pStyle w:val="16"/>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p>
    <w:p w14:paraId="5927BFE0">
      <w:pPr>
        <w:pStyle w:val="16"/>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p>
    <w:p w14:paraId="10200D59">
      <w:pPr>
        <w:rPr>
          <w:rFonts w:hint="eastAsia" w:ascii="微软雅黑" w:hAnsi="微软雅黑" w:eastAsia="微软雅黑" w:cs="微软雅黑"/>
          <w:b/>
          <w:bCs/>
          <w:color w:val="auto"/>
          <w:sz w:val="22"/>
          <w:szCs w:val="22"/>
          <w:highlight w:val="none"/>
        </w:rPr>
      </w:pPr>
      <w:bookmarkStart w:id="1801" w:name="_Toc32380"/>
      <w:bookmarkStart w:id="1802" w:name="_Toc6179"/>
      <w:bookmarkStart w:id="1803" w:name="_Toc24769"/>
      <w:r>
        <w:rPr>
          <w:rFonts w:hint="eastAsia" w:ascii="微软雅黑" w:hAnsi="微软雅黑" w:eastAsia="微软雅黑" w:cs="微软雅黑"/>
          <w:b/>
          <w:bCs/>
          <w:color w:val="auto"/>
          <w:sz w:val="22"/>
          <w:szCs w:val="22"/>
          <w:highlight w:val="none"/>
        </w:rPr>
        <w:br w:type="page"/>
      </w:r>
    </w:p>
    <w:bookmarkEnd w:id="1793"/>
    <w:bookmarkEnd w:id="1794"/>
    <w:bookmarkEnd w:id="1795"/>
    <w:bookmarkEnd w:id="1796"/>
    <w:bookmarkEnd w:id="1797"/>
    <w:bookmarkEnd w:id="1798"/>
    <w:bookmarkEnd w:id="1799"/>
    <w:bookmarkEnd w:id="1800"/>
    <w:bookmarkEnd w:id="1801"/>
    <w:bookmarkEnd w:id="1802"/>
    <w:bookmarkEnd w:id="1803"/>
    <w:p w14:paraId="20DC13C8">
      <w:pPr>
        <w:pStyle w:val="16"/>
        <w:tabs>
          <w:tab w:val="left" w:pos="5580"/>
        </w:tabs>
        <w:spacing w:line="400" w:lineRule="exact"/>
        <w:outlineLvl w:val="1"/>
        <w:rPr>
          <w:rFonts w:hint="eastAsia" w:ascii="微软雅黑" w:hAnsi="微软雅黑" w:eastAsia="微软雅黑" w:cs="微软雅黑"/>
          <w:b/>
          <w:color w:val="auto"/>
          <w:kern w:val="0"/>
          <w:sz w:val="22"/>
          <w:szCs w:val="22"/>
          <w:highlight w:val="none"/>
          <w:lang w:val="en-US" w:eastAsia="zh-CN" w:bidi="ar-SA"/>
        </w:rPr>
      </w:pPr>
      <w:bookmarkStart w:id="1804" w:name="_Toc26119"/>
      <w:bookmarkStart w:id="1805" w:name="_Toc4076"/>
      <w:r>
        <w:rPr>
          <w:rFonts w:hint="eastAsia" w:ascii="微软雅黑" w:hAnsi="微软雅黑" w:eastAsia="微软雅黑" w:cs="微软雅黑"/>
          <w:b/>
          <w:color w:val="auto"/>
          <w:kern w:val="0"/>
          <w:sz w:val="22"/>
          <w:szCs w:val="22"/>
          <w:highlight w:val="none"/>
          <w:lang w:val="en-US" w:eastAsia="zh-CN" w:bidi="ar-SA"/>
        </w:rPr>
        <w:t>4、</w:t>
      </w:r>
      <w:bookmarkEnd w:id="1804"/>
      <w:r>
        <w:rPr>
          <w:rFonts w:hint="eastAsia" w:ascii="微软雅黑" w:hAnsi="微软雅黑" w:eastAsia="微软雅黑" w:cs="微软雅黑"/>
          <w:b/>
          <w:color w:val="auto"/>
          <w:kern w:val="0"/>
          <w:sz w:val="22"/>
          <w:szCs w:val="22"/>
          <w:highlight w:val="none"/>
          <w:lang w:val="en-US" w:eastAsia="zh-CN" w:bidi="ar-SA"/>
        </w:rPr>
        <w:t>投标人为制造商的须提供《医疗器械生产许可证》、投标人为经销商的须提供《医疗器械经营许可证》；所有证件均应在有效期内；</w:t>
      </w:r>
      <w:bookmarkEnd w:id="1805"/>
    </w:p>
    <w:p w14:paraId="39BD967C">
      <w:pPr>
        <w:pStyle w:val="16"/>
        <w:tabs>
          <w:tab w:val="left" w:pos="5580"/>
        </w:tabs>
        <w:spacing w:line="400" w:lineRule="exact"/>
        <w:ind w:left="1080" w:leftChars="257" w:hanging="540"/>
        <w:rPr>
          <w:rFonts w:hint="eastAsia" w:ascii="微软雅黑" w:hAnsi="微软雅黑" w:eastAsia="微软雅黑" w:cs="微软雅黑"/>
          <w:b/>
          <w:color w:val="auto"/>
          <w:kern w:val="0"/>
          <w:sz w:val="22"/>
          <w:szCs w:val="22"/>
          <w:highlight w:val="none"/>
        </w:rPr>
      </w:pPr>
    </w:p>
    <w:p w14:paraId="6B66DE4B">
      <w:pPr>
        <w:pStyle w:val="16"/>
        <w:tabs>
          <w:tab w:val="left" w:pos="5580"/>
        </w:tabs>
        <w:spacing w:line="400" w:lineRule="exact"/>
        <w:rPr>
          <w:rFonts w:hint="eastAsia" w:ascii="微软雅黑" w:hAnsi="微软雅黑" w:eastAsia="微软雅黑" w:cs="微软雅黑"/>
          <w:b/>
          <w:color w:val="auto"/>
          <w:kern w:val="0"/>
          <w:sz w:val="22"/>
          <w:szCs w:val="22"/>
          <w:highlight w:val="none"/>
        </w:rPr>
      </w:pPr>
    </w:p>
    <w:p w14:paraId="5B67CC59">
      <w:pPr>
        <w:pStyle w:val="14"/>
        <w:numPr>
          <w:ilvl w:val="0"/>
          <w:numId w:val="0"/>
        </w:numPr>
        <w:spacing w:line="400" w:lineRule="exact"/>
        <w:outlineLvl w:val="1"/>
        <w:rPr>
          <w:rFonts w:hint="eastAsia" w:ascii="微软雅黑" w:hAnsi="微软雅黑" w:eastAsia="微软雅黑" w:cs="微软雅黑"/>
          <w:b/>
          <w:color w:val="auto"/>
          <w:kern w:val="0"/>
          <w:sz w:val="22"/>
          <w:szCs w:val="22"/>
          <w:highlight w:val="none"/>
        </w:rPr>
      </w:pPr>
      <w:bookmarkStart w:id="1806" w:name="_Toc15796"/>
      <w:bookmarkStart w:id="1807" w:name="_Toc947"/>
      <w:r>
        <w:rPr>
          <w:rFonts w:hint="eastAsia" w:ascii="微软雅黑" w:hAnsi="微软雅黑" w:eastAsia="微软雅黑" w:cs="微软雅黑"/>
          <w:b/>
          <w:color w:val="auto"/>
          <w:kern w:val="0"/>
          <w:sz w:val="22"/>
          <w:szCs w:val="22"/>
          <w:highlight w:val="none"/>
          <w:lang w:val="en-US" w:eastAsia="zh-CN"/>
        </w:rPr>
        <w:t>5、</w:t>
      </w:r>
      <w:bookmarkEnd w:id="1806"/>
      <w:r>
        <w:rPr>
          <w:rFonts w:hint="eastAsia" w:ascii="微软雅黑" w:hAnsi="微软雅黑" w:eastAsia="微软雅黑" w:cs="微软雅黑"/>
          <w:b/>
          <w:color w:val="auto"/>
          <w:kern w:val="0"/>
          <w:sz w:val="22"/>
          <w:szCs w:val="22"/>
          <w:highlight w:val="none"/>
          <w:lang w:eastAsia="zh-CN"/>
        </w:rPr>
        <w:t>提供近两年2023年或2024年任意一年的财务审计报告（成立未满12个月的新公司可提供近三个月内任意一个月的银行资信证明）；</w:t>
      </w:r>
      <w:bookmarkEnd w:id="1807"/>
    </w:p>
    <w:p w14:paraId="47EB9A36">
      <w:pPr>
        <w:pStyle w:val="14"/>
        <w:spacing w:line="400" w:lineRule="exact"/>
        <w:ind w:firstLine="0" w:firstLineChars="0"/>
        <w:rPr>
          <w:rFonts w:hint="eastAsia" w:ascii="微软雅黑" w:hAnsi="微软雅黑" w:eastAsia="微软雅黑" w:cs="微软雅黑"/>
          <w:b/>
          <w:color w:val="auto"/>
          <w:kern w:val="0"/>
          <w:sz w:val="22"/>
          <w:szCs w:val="22"/>
          <w:highlight w:val="none"/>
        </w:rPr>
      </w:pPr>
    </w:p>
    <w:p w14:paraId="1385FE7B">
      <w:pPr>
        <w:pStyle w:val="25"/>
        <w:widowControl w:val="0"/>
        <w:numPr>
          <w:ilvl w:val="0"/>
          <w:numId w:val="0"/>
        </w:numPr>
        <w:snapToGrid w:val="0"/>
        <w:jc w:val="left"/>
        <w:rPr>
          <w:rFonts w:hint="eastAsia" w:ascii="微软雅黑" w:hAnsi="微软雅黑" w:eastAsia="微软雅黑" w:cs="微软雅黑"/>
          <w:b w:val="0"/>
          <w:bCs w:val="0"/>
          <w:i w:val="0"/>
          <w:caps w:val="0"/>
          <w:color w:val="auto"/>
          <w:spacing w:val="0"/>
          <w:w w:val="100"/>
          <w:sz w:val="22"/>
          <w:szCs w:val="22"/>
          <w:highlight w:val="none"/>
          <w:lang w:val="en-US" w:eastAsia="zh-CN"/>
        </w:rPr>
      </w:pPr>
      <w:r>
        <w:rPr>
          <w:rFonts w:hint="eastAsia" w:ascii="微软雅黑" w:hAnsi="微软雅黑" w:eastAsia="微软雅黑" w:cs="微软雅黑"/>
          <w:b w:val="0"/>
          <w:bCs w:val="0"/>
          <w:i w:val="0"/>
          <w:caps w:val="0"/>
          <w:color w:val="auto"/>
          <w:spacing w:val="0"/>
          <w:w w:val="100"/>
          <w:sz w:val="22"/>
          <w:szCs w:val="22"/>
          <w:highlight w:val="none"/>
          <w:lang w:val="en-US" w:eastAsia="zh-CN"/>
        </w:rPr>
        <w:t>说明：审计报告中须包括资产负债表、利润表、现金流量表、所有者权益变动表、附注。</w:t>
      </w:r>
    </w:p>
    <w:p w14:paraId="47B9071D">
      <w:pPr>
        <w:pStyle w:val="14"/>
        <w:spacing w:line="400" w:lineRule="exact"/>
        <w:ind w:firstLine="0" w:firstLineChars="0"/>
        <w:rPr>
          <w:rFonts w:hint="eastAsia" w:ascii="微软雅黑" w:hAnsi="微软雅黑" w:eastAsia="微软雅黑" w:cs="微软雅黑"/>
          <w:b/>
          <w:color w:val="auto"/>
          <w:kern w:val="0"/>
          <w:sz w:val="22"/>
          <w:szCs w:val="22"/>
          <w:highlight w:val="none"/>
        </w:rPr>
      </w:pPr>
    </w:p>
    <w:p w14:paraId="651B63AB">
      <w:pPr>
        <w:pStyle w:val="14"/>
        <w:numPr>
          <w:ilvl w:val="0"/>
          <w:numId w:val="0"/>
        </w:numPr>
        <w:spacing w:line="400" w:lineRule="exact"/>
        <w:outlineLvl w:val="1"/>
        <w:rPr>
          <w:rFonts w:hint="eastAsia" w:ascii="微软雅黑" w:hAnsi="微软雅黑" w:eastAsia="微软雅黑" w:cs="微软雅黑"/>
          <w:b/>
          <w:color w:val="auto"/>
          <w:kern w:val="0"/>
          <w:sz w:val="22"/>
          <w:szCs w:val="22"/>
          <w:highlight w:val="none"/>
        </w:rPr>
      </w:pPr>
      <w:bookmarkStart w:id="1808" w:name="_Toc22192"/>
      <w:bookmarkStart w:id="1809" w:name="_Toc28840"/>
      <w:r>
        <w:rPr>
          <w:rFonts w:hint="eastAsia" w:ascii="微软雅黑" w:hAnsi="微软雅黑" w:eastAsia="微软雅黑" w:cs="微软雅黑"/>
          <w:b/>
          <w:color w:val="auto"/>
          <w:kern w:val="0"/>
          <w:sz w:val="22"/>
          <w:szCs w:val="22"/>
          <w:highlight w:val="none"/>
          <w:lang w:val="en-US" w:eastAsia="zh-CN"/>
        </w:rPr>
        <w:t>6、</w:t>
      </w:r>
      <w:r>
        <w:rPr>
          <w:rFonts w:hint="eastAsia" w:ascii="微软雅黑" w:hAnsi="微软雅黑" w:eastAsia="微软雅黑" w:cs="微软雅黑"/>
          <w:b/>
          <w:color w:val="auto"/>
          <w:kern w:val="0"/>
          <w:sz w:val="22"/>
          <w:szCs w:val="22"/>
          <w:highlight w:val="none"/>
          <w:lang w:eastAsia="zh-CN"/>
        </w:rPr>
        <w:t>提供依法缴纳近6个月任意1个月的社会保险证明</w:t>
      </w:r>
      <w:r>
        <w:rPr>
          <w:rFonts w:hint="eastAsia" w:ascii="微软雅黑" w:hAnsi="微软雅黑" w:eastAsia="微软雅黑" w:cs="微软雅黑"/>
          <w:b/>
          <w:color w:val="auto"/>
          <w:kern w:val="0"/>
          <w:sz w:val="22"/>
          <w:szCs w:val="22"/>
          <w:highlight w:val="none"/>
        </w:rPr>
        <w:t>；</w:t>
      </w:r>
      <w:bookmarkEnd w:id="1808"/>
      <w:bookmarkEnd w:id="1809"/>
    </w:p>
    <w:p w14:paraId="0E2B29E1">
      <w:pPr>
        <w:pStyle w:val="14"/>
        <w:widowControl w:val="0"/>
        <w:numPr>
          <w:ilvl w:val="0"/>
          <w:numId w:val="0"/>
        </w:numPr>
        <w:spacing w:line="400" w:lineRule="exact"/>
        <w:jc w:val="both"/>
        <w:rPr>
          <w:rFonts w:hint="eastAsia" w:ascii="微软雅黑" w:hAnsi="微软雅黑" w:eastAsia="微软雅黑" w:cs="微软雅黑"/>
          <w:b/>
          <w:color w:val="auto"/>
          <w:kern w:val="0"/>
          <w:sz w:val="22"/>
          <w:szCs w:val="22"/>
          <w:highlight w:val="none"/>
        </w:rPr>
      </w:pPr>
    </w:p>
    <w:p w14:paraId="329063EF">
      <w:pPr>
        <w:pStyle w:val="3"/>
        <w:rPr>
          <w:rFonts w:hint="eastAsia" w:ascii="微软雅黑" w:hAnsi="微软雅黑" w:eastAsia="微软雅黑" w:cs="微软雅黑"/>
          <w:sz w:val="22"/>
          <w:szCs w:val="18"/>
          <w:highlight w:val="none"/>
        </w:rPr>
      </w:pPr>
    </w:p>
    <w:p w14:paraId="317DB0D8">
      <w:pPr>
        <w:pStyle w:val="4"/>
        <w:rPr>
          <w:rFonts w:hint="eastAsia"/>
        </w:rPr>
      </w:pPr>
    </w:p>
    <w:p w14:paraId="2C146521">
      <w:pPr>
        <w:pStyle w:val="14"/>
        <w:spacing w:line="400" w:lineRule="exact"/>
        <w:ind w:firstLine="0" w:firstLineChars="0"/>
        <w:outlineLvl w:val="1"/>
        <w:rPr>
          <w:rFonts w:hint="eastAsia" w:ascii="微软雅黑" w:hAnsi="微软雅黑" w:eastAsia="微软雅黑" w:cs="微软雅黑"/>
          <w:color w:val="auto"/>
          <w:sz w:val="22"/>
          <w:szCs w:val="22"/>
          <w:highlight w:val="none"/>
        </w:rPr>
      </w:pPr>
      <w:bookmarkStart w:id="1810" w:name="_Toc24226"/>
      <w:bookmarkStart w:id="1811" w:name="_Toc30357"/>
      <w:r>
        <w:rPr>
          <w:rFonts w:hint="eastAsia" w:ascii="微软雅黑" w:hAnsi="微软雅黑" w:eastAsia="微软雅黑" w:cs="微软雅黑"/>
          <w:b/>
          <w:color w:val="auto"/>
          <w:kern w:val="0"/>
          <w:sz w:val="22"/>
          <w:szCs w:val="22"/>
          <w:highlight w:val="none"/>
          <w:lang w:val="en-US" w:eastAsia="zh-CN"/>
        </w:rPr>
        <w:t>7</w:t>
      </w:r>
      <w:r>
        <w:rPr>
          <w:rFonts w:hint="eastAsia" w:ascii="微软雅黑" w:hAnsi="微软雅黑" w:eastAsia="微软雅黑" w:cs="微软雅黑"/>
          <w:b/>
          <w:color w:val="auto"/>
          <w:kern w:val="0"/>
          <w:sz w:val="22"/>
          <w:szCs w:val="22"/>
          <w:highlight w:val="none"/>
        </w:rPr>
        <w:t>、</w:t>
      </w:r>
      <w:r>
        <w:rPr>
          <w:rFonts w:hint="eastAsia" w:ascii="微软雅黑" w:hAnsi="微软雅黑" w:eastAsia="微软雅黑" w:cs="微软雅黑"/>
          <w:b/>
          <w:color w:val="auto"/>
          <w:kern w:val="0"/>
          <w:sz w:val="22"/>
          <w:szCs w:val="22"/>
          <w:highlight w:val="none"/>
          <w:lang w:eastAsia="zh-CN"/>
        </w:rPr>
        <w:t>提供依法缴纳近6个月任意1个月的税收证明</w:t>
      </w:r>
      <w:r>
        <w:rPr>
          <w:rFonts w:hint="eastAsia" w:ascii="微软雅黑" w:hAnsi="微软雅黑" w:eastAsia="微软雅黑" w:cs="微软雅黑"/>
          <w:b/>
          <w:bCs/>
          <w:color w:val="auto"/>
          <w:sz w:val="22"/>
          <w:szCs w:val="22"/>
          <w:highlight w:val="none"/>
          <w:lang w:val="en-US" w:eastAsia="zh-CN"/>
        </w:rPr>
        <w:t>；</w:t>
      </w:r>
      <w:bookmarkEnd w:id="1810"/>
      <w:bookmarkEnd w:id="1811"/>
    </w:p>
    <w:p w14:paraId="414DE22C">
      <w:pPr>
        <w:pStyle w:val="25"/>
        <w:widowControl w:val="0"/>
        <w:numPr>
          <w:ilvl w:val="0"/>
          <w:numId w:val="0"/>
        </w:numPr>
        <w:snapToGrid w:val="0"/>
        <w:jc w:val="left"/>
        <w:rPr>
          <w:rFonts w:hint="eastAsia" w:ascii="微软雅黑" w:hAnsi="微软雅黑" w:eastAsia="微软雅黑" w:cs="微软雅黑"/>
          <w:b w:val="0"/>
          <w:bCs w:val="0"/>
          <w:i w:val="0"/>
          <w:caps w:val="0"/>
          <w:color w:val="auto"/>
          <w:spacing w:val="0"/>
          <w:w w:val="100"/>
          <w:sz w:val="22"/>
          <w:szCs w:val="22"/>
          <w:highlight w:val="none"/>
          <w:lang w:val="en-US" w:eastAsia="zh-CN"/>
        </w:rPr>
      </w:pPr>
      <w:r>
        <w:rPr>
          <w:rFonts w:hint="eastAsia" w:ascii="微软雅黑" w:hAnsi="微软雅黑" w:eastAsia="微软雅黑" w:cs="微软雅黑"/>
          <w:b w:val="0"/>
          <w:bCs w:val="0"/>
          <w:i w:val="0"/>
          <w:caps w:val="0"/>
          <w:color w:val="auto"/>
          <w:spacing w:val="0"/>
          <w:w w:val="100"/>
          <w:sz w:val="22"/>
          <w:szCs w:val="22"/>
          <w:highlight w:val="none"/>
          <w:lang w:val="en-US" w:eastAsia="zh-CN"/>
        </w:rPr>
        <w:t>注：“提供依法缴纳近6个月任意1个月的税收证明”：①若供应商某月税收为零申报，须提供加盖税务局公章的无欠税证明或“国家税务总局电子税务局（12366.chinatax.gov.cn/bsfw/onlinetaxation/main）”的申报结果查询截图。②完税证明中“税种”非养老保险、医疗保险、失业保险、工伤保险和生育保险。请各供应商注意！</w:t>
      </w:r>
    </w:p>
    <w:p w14:paraId="7F9C6D97">
      <w:pPr>
        <w:pStyle w:val="16"/>
        <w:tabs>
          <w:tab w:val="left" w:pos="5580"/>
        </w:tabs>
        <w:spacing w:line="400" w:lineRule="exact"/>
        <w:rPr>
          <w:rFonts w:hint="eastAsia" w:ascii="微软雅黑" w:hAnsi="微软雅黑" w:eastAsia="微软雅黑" w:cs="微软雅黑"/>
          <w:b/>
          <w:color w:val="auto"/>
          <w:kern w:val="0"/>
          <w:sz w:val="22"/>
          <w:szCs w:val="22"/>
          <w:highlight w:val="none"/>
        </w:rPr>
      </w:pPr>
    </w:p>
    <w:p w14:paraId="06980046">
      <w:pPr>
        <w:pStyle w:val="16"/>
        <w:tabs>
          <w:tab w:val="left" w:pos="5580"/>
        </w:tabs>
        <w:spacing w:line="400" w:lineRule="exact"/>
        <w:ind w:left="1080" w:leftChars="257" w:hanging="540"/>
        <w:rPr>
          <w:rFonts w:hint="eastAsia" w:ascii="微软雅黑" w:hAnsi="微软雅黑" w:eastAsia="微软雅黑" w:cs="微软雅黑"/>
          <w:b/>
          <w:color w:val="auto"/>
          <w:kern w:val="0"/>
          <w:sz w:val="22"/>
          <w:szCs w:val="22"/>
          <w:highlight w:val="none"/>
        </w:rPr>
      </w:pPr>
    </w:p>
    <w:p w14:paraId="3B9F8F04">
      <w:pPr>
        <w:pStyle w:val="16"/>
        <w:tabs>
          <w:tab w:val="left" w:pos="5580"/>
        </w:tabs>
        <w:spacing w:line="400" w:lineRule="exact"/>
        <w:ind w:left="1080" w:leftChars="257" w:hanging="540"/>
        <w:rPr>
          <w:rFonts w:hint="eastAsia" w:ascii="微软雅黑" w:hAnsi="微软雅黑" w:eastAsia="微软雅黑" w:cs="微软雅黑"/>
          <w:b/>
          <w:color w:val="auto"/>
          <w:kern w:val="0"/>
          <w:sz w:val="22"/>
          <w:szCs w:val="22"/>
          <w:highlight w:val="none"/>
        </w:rPr>
      </w:pPr>
    </w:p>
    <w:p w14:paraId="368D45B9">
      <w:pPr>
        <w:spacing w:line="400" w:lineRule="exact"/>
        <w:outlineLvl w:val="1"/>
        <w:rPr>
          <w:rFonts w:hint="eastAsia" w:ascii="微软雅黑" w:hAnsi="微软雅黑" w:eastAsia="微软雅黑" w:cs="微软雅黑"/>
          <w:b/>
          <w:color w:val="auto"/>
          <w:kern w:val="0"/>
          <w:sz w:val="22"/>
          <w:szCs w:val="22"/>
          <w:highlight w:val="none"/>
        </w:rPr>
      </w:pPr>
      <w:bookmarkStart w:id="1812" w:name="_Toc5258"/>
      <w:bookmarkStart w:id="1813" w:name="_Toc3353"/>
      <w:r>
        <w:rPr>
          <w:rFonts w:hint="eastAsia" w:ascii="微软雅黑" w:hAnsi="微软雅黑" w:eastAsia="微软雅黑" w:cs="微软雅黑"/>
          <w:b/>
          <w:color w:val="auto"/>
          <w:kern w:val="0"/>
          <w:sz w:val="22"/>
          <w:szCs w:val="22"/>
          <w:highlight w:val="none"/>
          <w:lang w:val="en-US" w:eastAsia="zh-CN"/>
        </w:rPr>
        <w:t>8</w:t>
      </w:r>
      <w:r>
        <w:rPr>
          <w:rFonts w:hint="eastAsia" w:ascii="微软雅黑" w:hAnsi="微软雅黑" w:eastAsia="微软雅黑" w:cs="微软雅黑"/>
          <w:b/>
          <w:color w:val="auto"/>
          <w:kern w:val="0"/>
          <w:sz w:val="22"/>
          <w:szCs w:val="22"/>
          <w:highlight w:val="none"/>
        </w:rPr>
        <w:t>、</w:t>
      </w:r>
      <w:bookmarkEnd w:id="1812"/>
      <w:r>
        <w:rPr>
          <w:rFonts w:hint="eastAsia" w:ascii="微软雅黑" w:hAnsi="微软雅黑" w:eastAsia="微软雅黑" w:cs="微软雅黑"/>
          <w:b/>
          <w:bCs/>
          <w:i w:val="0"/>
          <w:caps w:val="0"/>
          <w:color w:val="auto"/>
          <w:spacing w:val="0"/>
          <w:w w:val="100"/>
          <w:sz w:val="22"/>
          <w:szCs w:val="22"/>
          <w:highlight w:val="none"/>
          <w:lang w:val="en-US" w:eastAsia="zh-CN"/>
        </w:rPr>
        <w:t>根据《财政部关于在政府采购活动中查询及使用信用记录有关问题的通知》（财库﹝2016﹞125号）的要求，凡拟参加本次招标项目的投标人，如在“信用中国”网站（https://www.creditchina.gov.cn/）被列入失信被执行人、重大税收违法失信主体名单（首页-信用公示-失信被执行人查询/重大税收违法失信主体名单-搜索栏输入单位全称）、中国政府采购网（https://www.ccgp.gov.cn/search/cr/）严重违法失信行为信息记录名单（尚在处罚期内的），将拒绝其参加本次招标活动（以采购代理机构或采购人查询为准）；</w:t>
      </w:r>
      <w:bookmarkEnd w:id="1813"/>
    </w:p>
    <w:p w14:paraId="6F89130B">
      <w:pPr>
        <w:pStyle w:val="16"/>
        <w:tabs>
          <w:tab w:val="left" w:pos="5580"/>
        </w:tabs>
        <w:spacing w:line="400" w:lineRule="exact"/>
        <w:ind w:left="1080" w:leftChars="257" w:hanging="540"/>
        <w:rPr>
          <w:rFonts w:hint="eastAsia" w:ascii="微软雅黑" w:hAnsi="微软雅黑" w:eastAsia="微软雅黑" w:cs="微软雅黑"/>
          <w:b/>
          <w:color w:val="auto"/>
          <w:kern w:val="0"/>
          <w:sz w:val="22"/>
          <w:szCs w:val="22"/>
          <w:highlight w:val="none"/>
        </w:rPr>
      </w:pPr>
    </w:p>
    <w:p w14:paraId="0E71BC66">
      <w:pPr>
        <w:pStyle w:val="16"/>
        <w:tabs>
          <w:tab w:val="left" w:pos="5580"/>
        </w:tabs>
        <w:spacing w:line="400" w:lineRule="exact"/>
        <w:ind w:left="1080" w:leftChars="257" w:hanging="540"/>
        <w:rPr>
          <w:rFonts w:hint="eastAsia" w:ascii="微软雅黑" w:hAnsi="微软雅黑" w:eastAsia="微软雅黑" w:cs="微软雅黑"/>
          <w:b/>
          <w:color w:val="auto"/>
          <w:kern w:val="0"/>
          <w:sz w:val="22"/>
          <w:szCs w:val="22"/>
          <w:highlight w:val="none"/>
        </w:rPr>
      </w:pPr>
    </w:p>
    <w:p w14:paraId="55A03C94">
      <w:pPr>
        <w:pStyle w:val="16"/>
        <w:tabs>
          <w:tab w:val="left" w:pos="5580"/>
        </w:tabs>
        <w:spacing w:line="400" w:lineRule="exact"/>
        <w:rPr>
          <w:rFonts w:hint="eastAsia" w:ascii="微软雅黑" w:hAnsi="微软雅黑" w:eastAsia="微软雅黑" w:cs="微软雅黑"/>
          <w:b/>
          <w:color w:val="auto"/>
          <w:kern w:val="0"/>
          <w:sz w:val="22"/>
          <w:szCs w:val="22"/>
          <w:highlight w:val="none"/>
        </w:rPr>
      </w:pPr>
    </w:p>
    <w:p w14:paraId="04A7D7AC">
      <w:pPr>
        <w:pStyle w:val="16"/>
        <w:tabs>
          <w:tab w:val="left" w:pos="5580"/>
        </w:tabs>
        <w:spacing w:line="400" w:lineRule="exact"/>
        <w:rPr>
          <w:rFonts w:hint="eastAsia" w:ascii="微软雅黑" w:hAnsi="微软雅黑" w:eastAsia="微软雅黑" w:cs="微软雅黑"/>
          <w:b/>
          <w:color w:val="auto"/>
          <w:kern w:val="0"/>
          <w:sz w:val="22"/>
          <w:szCs w:val="22"/>
          <w:highlight w:val="none"/>
        </w:rPr>
      </w:pPr>
    </w:p>
    <w:p w14:paraId="5B5197CD">
      <w:pPr>
        <w:pageBreakBefore w:val="0"/>
        <w:widowControl w:val="0"/>
        <w:kinsoku/>
        <w:wordWrap/>
        <w:overflowPunct/>
        <w:topLinePunct w:val="0"/>
        <w:bidi w:val="0"/>
        <w:spacing w:line="360" w:lineRule="exact"/>
        <w:textAlignment w:val="auto"/>
        <w:outlineLvl w:val="1"/>
        <w:rPr>
          <w:rFonts w:hint="eastAsia" w:ascii="微软雅黑" w:hAnsi="微软雅黑" w:eastAsia="微软雅黑" w:cs="微软雅黑"/>
          <w:b/>
          <w:bCs/>
          <w:color w:val="auto"/>
          <w:sz w:val="22"/>
          <w:szCs w:val="22"/>
          <w:highlight w:val="none"/>
          <w:lang w:val="en-US" w:eastAsia="zh-CN"/>
        </w:rPr>
      </w:pPr>
      <w:bookmarkStart w:id="1814" w:name="_Toc18226"/>
      <w:bookmarkStart w:id="1815" w:name="_Toc5044"/>
      <w:r>
        <w:rPr>
          <w:rFonts w:hint="eastAsia" w:ascii="微软雅黑" w:hAnsi="微软雅黑" w:eastAsia="微软雅黑" w:cs="微软雅黑"/>
          <w:b/>
          <w:color w:val="auto"/>
          <w:kern w:val="0"/>
          <w:sz w:val="22"/>
          <w:szCs w:val="22"/>
          <w:highlight w:val="none"/>
          <w:lang w:val="en-US" w:eastAsia="zh-CN"/>
        </w:rPr>
        <w:t>9</w:t>
      </w:r>
      <w:r>
        <w:rPr>
          <w:rFonts w:hint="eastAsia" w:ascii="微软雅黑" w:hAnsi="微软雅黑" w:eastAsia="微软雅黑" w:cs="微软雅黑"/>
          <w:b/>
          <w:color w:val="auto"/>
          <w:kern w:val="0"/>
          <w:sz w:val="22"/>
          <w:szCs w:val="22"/>
          <w:highlight w:val="none"/>
        </w:rPr>
        <w:t>、</w:t>
      </w:r>
      <w:r>
        <w:rPr>
          <w:rFonts w:hint="eastAsia" w:ascii="微软雅黑" w:hAnsi="微软雅黑" w:eastAsia="微软雅黑" w:cs="微软雅黑"/>
          <w:b/>
          <w:color w:val="auto"/>
          <w:kern w:val="0"/>
          <w:sz w:val="22"/>
          <w:szCs w:val="22"/>
          <w:highlight w:val="none"/>
          <w:lang w:eastAsia="zh-CN"/>
        </w:rPr>
        <w:t>提供参加政府采购活动前3年内在经营活动中没有重大违法记录的书面声明函</w:t>
      </w:r>
      <w:r>
        <w:rPr>
          <w:rFonts w:hint="eastAsia" w:ascii="微软雅黑" w:hAnsi="微软雅黑" w:eastAsia="微软雅黑" w:cs="微软雅黑"/>
          <w:b/>
          <w:bCs/>
          <w:color w:val="auto"/>
          <w:sz w:val="22"/>
          <w:szCs w:val="22"/>
          <w:highlight w:val="none"/>
          <w:lang w:val="en-US" w:eastAsia="zh-CN"/>
        </w:rPr>
        <w:t>；</w:t>
      </w:r>
      <w:bookmarkEnd w:id="1814"/>
      <w:bookmarkEnd w:id="1815"/>
    </w:p>
    <w:p w14:paraId="16A2EAF9">
      <w:pPr>
        <w:rPr>
          <w:rFonts w:hint="eastAsia" w:ascii="微软雅黑" w:hAnsi="微软雅黑" w:eastAsia="微软雅黑" w:cs="微软雅黑"/>
          <w:b/>
          <w:color w:val="auto"/>
          <w:kern w:val="0"/>
          <w:sz w:val="22"/>
          <w:szCs w:val="22"/>
          <w:highlight w:val="none"/>
          <w:lang w:val="en-US" w:eastAsia="zh-CN" w:bidi="ar-SA"/>
        </w:rPr>
      </w:pPr>
      <w:r>
        <w:rPr>
          <w:rFonts w:hint="eastAsia" w:ascii="微软雅黑" w:hAnsi="微软雅黑" w:eastAsia="微软雅黑" w:cs="微软雅黑"/>
          <w:b/>
          <w:color w:val="auto"/>
          <w:kern w:val="0"/>
          <w:sz w:val="22"/>
          <w:szCs w:val="22"/>
          <w:highlight w:val="none"/>
          <w:lang w:val="en-US" w:eastAsia="zh-CN" w:bidi="ar-SA"/>
        </w:rPr>
        <w:br w:type="page"/>
      </w:r>
    </w:p>
    <w:p w14:paraId="5149A3EE">
      <w:pPr>
        <w:pStyle w:val="25"/>
        <w:outlineLvl w:val="1"/>
        <w:rPr>
          <w:rFonts w:hint="eastAsia" w:ascii="微软雅黑" w:hAnsi="微软雅黑" w:eastAsia="微软雅黑" w:cs="微软雅黑"/>
          <w:b/>
          <w:color w:val="auto"/>
          <w:kern w:val="0"/>
          <w:sz w:val="22"/>
          <w:szCs w:val="22"/>
          <w:highlight w:val="none"/>
          <w:lang w:val="en-US" w:eastAsia="zh-CN" w:bidi="ar-SA"/>
        </w:rPr>
      </w:pPr>
      <w:bookmarkStart w:id="1816" w:name="_Toc6225"/>
      <w:r>
        <w:rPr>
          <w:rFonts w:hint="eastAsia" w:ascii="微软雅黑" w:hAnsi="微软雅黑" w:eastAsia="微软雅黑" w:cs="微软雅黑"/>
          <w:b/>
          <w:color w:val="auto"/>
          <w:kern w:val="0"/>
          <w:sz w:val="22"/>
          <w:szCs w:val="22"/>
          <w:highlight w:val="none"/>
          <w:lang w:val="en-US" w:eastAsia="zh-CN" w:bidi="ar-SA"/>
        </w:rPr>
        <w:t>10、提供针对本次项目《反商业贿赂承诺书》；</w:t>
      </w:r>
      <w:bookmarkEnd w:id="1816"/>
    </w:p>
    <w:p w14:paraId="24C6C3C5">
      <w:pPr>
        <w:pStyle w:val="16"/>
        <w:tabs>
          <w:tab w:val="left" w:pos="5580"/>
        </w:tabs>
        <w:spacing w:line="400" w:lineRule="exact"/>
        <w:rPr>
          <w:rFonts w:hint="eastAsia" w:ascii="微软雅黑" w:hAnsi="微软雅黑" w:eastAsia="微软雅黑" w:cs="微软雅黑"/>
          <w:b/>
          <w:color w:val="auto"/>
          <w:kern w:val="0"/>
          <w:sz w:val="22"/>
          <w:szCs w:val="22"/>
          <w:highlight w:val="none"/>
        </w:rPr>
      </w:pPr>
    </w:p>
    <w:p w14:paraId="6C693BA8">
      <w:pPr>
        <w:pStyle w:val="16"/>
        <w:tabs>
          <w:tab w:val="left" w:pos="5580"/>
        </w:tabs>
        <w:spacing w:line="400" w:lineRule="exact"/>
        <w:rPr>
          <w:rFonts w:hint="eastAsia" w:ascii="微软雅黑" w:hAnsi="微软雅黑" w:eastAsia="微软雅黑" w:cs="微软雅黑"/>
          <w:b/>
          <w:color w:val="auto"/>
          <w:kern w:val="0"/>
          <w:sz w:val="22"/>
          <w:szCs w:val="22"/>
          <w:highlight w:val="none"/>
        </w:rPr>
      </w:pPr>
    </w:p>
    <w:p w14:paraId="053ADA2E">
      <w:pPr>
        <w:pStyle w:val="16"/>
        <w:tabs>
          <w:tab w:val="left" w:pos="5580"/>
        </w:tabs>
        <w:spacing w:line="400" w:lineRule="exact"/>
        <w:rPr>
          <w:rFonts w:hint="eastAsia" w:ascii="微软雅黑" w:hAnsi="微软雅黑" w:eastAsia="微软雅黑" w:cs="微软雅黑"/>
          <w:b/>
          <w:color w:val="auto"/>
          <w:kern w:val="0"/>
          <w:sz w:val="22"/>
          <w:szCs w:val="22"/>
          <w:highlight w:val="none"/>
        </w:rPr>
      </w:pPr>
    </w:p>
    <w:p w14:paraId="48E1EE8E">
      <w:pPr>
        <w:numPr>
          <w:ilvl w:val="0"/>
          <w:numId w:val="0"/>
        </w:numPr>
        <w:outlineLvl w:val="1"/>
        <w:rPr>
          <w:rFonts w:hint="eastAsia" w:ascii="微软雅黑" w:hAnsi="微软雅黑" w:eastAsia="微软雅黑" w:cs="微软雅黑"/>
          <w:color w:val="auto"/>
          <w:sz w:val="22"/>
          <w:szCs w:val="22"/>
          <w:highlight w:val="none"/>
        </w:rPr>
      </w:pPr>
      <w:bookmarkStart w:id="1817" w:name="_Toc30110"/>
      <w:bookmarkStart w:id="1818" w:name="_Toc15598"/>
      <w:r>
        <w:rPr>
          <w:rFonts w:hint="eastAsia" w:ascii="微软雅黑" w:hAnsi="微软雅黑" w:eastAsia="微软雅黑" w:cs="微软雅黑"/>
          <w:b/>
          <w:color w:val="auto"/>
          <w:kern w:val="0"/>
          <w:sz w:val="22"/>
          <w:szCs w:val="22"/>
          <w:highlight w:val="none"/>
          <w:lang w:val="en-US" w:eastAsia="zh-CN"/>
        </w:rPr>
        <w:t>11</w:t>
      </w:r>
      <w:r>
        <w:rPr>
          <w:rFonts w:hint="eastAsia" w:ascii="微软雅黑" w:hAnsi="微软雅黑" w:eastAsia="微软雅黑" w:cs="微软雅黑"/>
          <w:b/>
          <w:color w:val="auto"/>
          <w:kern w:val="0"/>
          <w:sz w:val="22"/>
          <w:szCs w:val="22"/>
          <w:highlight w:val="none"/>
        </w:rPr>
        <w:t>、</w:t>
      </w:r>
      <w:bookmarkEnd w:id="1817"/>
      <w:r>
        <w:rPr>
          <w:rFonts w:hint="eastAsia" w:ascii="微软雅黑" w:hAnsi="微软雅黑" w:eastAsia="微软雅黑" w:cs="微软雅黑"/>
          <w:b/>
          <w:bCs/>
          <w:color w:val="auto"/>
          <w:sz w:val="22"/>
          <w:szCs w:val="22"/>
          <w:highlight w:val="none"/>
          <w:lang w:val="en-US" w:eastAsia="zh-CN"/>
        </w:rPr>
        <w:t>缴纳投标保证金有效凭证；</w:t>
      </w:r>
      <w:bookmarkEnd w:id="1818"/>
    </w:p>
    <w:tbl>
      <w:tblPr>
        <w:tblStyle w:val="31"/>
        <w:tblpPr w:leftFromText="180" w:rightFromText="180" w:vertAnchor="text" w:horzAnchor="page" w:tblpXSpec="center" w:tblpY="393"/>
        <w:tblOverlap w:val="never"/>
        <w:tblW w:w="78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9"/>
      </w:tblGrid>
      <w:tr w14:paraId="251FC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6" w:hRule="atLeast"/>
        </w:trPr>
        <w:tc>
          <w:tcPr>
            <w:tcW w:w="7879" w:type="dxa"/>
          </w:tcPr>
          <w:p w14:paraId="306DA669">
            <w:pPr>
              <w:shd w:val="clear" w:color="auto" w:fill="auto"/>
              <w:snapToGrid w:val="0"/>
              <w:spacing w:before="0" w:beforeAutospacing="0" w:after="0" w:afterAutospacing="0" w:line="360" w:lineRule="exact"/>
              <w:jc w:val="both"/>
              <w:textAlignment w:val="baseline"/>
              <w:rPr>
                <w:rFonts w:hint="eastAsia" w:ascii="微软雅黑" w:hAnsi="微软雅黑" w:eastAsia="微软雅黑" w:cs="微软雅黑"/>
                <w:b w:val="0"/>
                <w:i w:val="0"/>
                <w:caps w:val="0"/>
                <w:color w:val="auto"/>
                <w:spacing w:val="0"/>
                <w:w w:val="100"/>
                <w:sz w:val="22"/>
                <w:szCs w:val="22"/>
                <w:highlight w:val="none"/>
              </w:rPr>
            </w:pPr>
          </w:p>
          <w:p w14:paraId="117F5CBA">
            <w:pPr>
              <w:shd w:val="clear" w:color="auto" w:fill="auto"/>
              <w:snapToGrid w:val="0"/>
              <w:spacing w:before="0" w:beforeAutospacing="0" w:after="0" w:afterAutospacing="0" w:line="360" w:lineRule="exact"/>
              <w:jc w:val="both"/>
              <w:textAlignment w:val="baseline"/>
              <w:rPr>
                <w:rFonts w:hint="eastAsia" w:ascii="微软雅黑" w:hAnsi="微软雅黑" w:eastAsia="微软雅黑" w:cs="微软雅黑"/>
                <w:b w:val="0"/>
                <w:i w:val="0"/>
                <w:caps w:val="0"/>
                <w:color w:val="auto"/>
                <w:spacing w:val="0"/>
                <w:w w:val="100"/>
                <w:sz w:val="22"/>
                <w:szCs w:val="22"/>
                <w:highlight w:val="none"/>
              </w:rPr>
            </w:pPr>
          </w:p>
          <w:p w14:paraId="67055662">
            <w:pPr>
              <w:shd w:val="clear" w:color="auto" w:fill="auto"/>
              <w:snapToGrid w:val="0"/>
              <w:spacing w:before="0" w:beforeAutospacing="0" w:after="0" w:afterAutospacing="0" w:line="360" w:lineRule="exact"/>
              <w:jc w:val="center"/>
              <w:textAlignment w:val="baseline"/>
              <w:rPr>
                <w:rFonts w:hint="eastAsia" w:ascii="微软雅黑" w:hAnsi="微软雅黑" w:eastAsia="微软雅黑" w:cs="微软雅黑"/>
                <w:b w:val="0"/>
                <w:i w:val="0"/>
                <w:caps w:val="0"/>
                <w:color w:val="auto"/>
                <w:spacing w:val="0"/>
                <w:w w:val="100"/>
                <w:sz w:val="22"/>
                <w:szCs w:val="22"/>
                <w:highlight w:val="none"/>
                <w:lang w:eastAsia="zh-CN"/>
              </w:rPr>
            </w:pPr>
            <w:r>
              <w:rPr>
                <w:rFonts w:hint="eastAsia" w:ascii="微软雅黑" w:hAnsi="微软雅黑" w:eastAsia="微软雅黑" w:cs="微软雅黑"/>
                <w:b w:val="0"/>
                <w:i w:val="0"/>
                <w:caps w:val="0"/>
                <w:color w:val="auto"/>
                <w:spacing w:val="0"/>
                <w:w w:val="100"/>
                <w:sz w:val="22"/>
                <w:szCs w:val="22"/>
                <w:highlight w:val="none"/>
                <w:lang w:eastAsia="zh-CN"/>
              </w:rPr>
              <w:t>缴纳投标保证金的有效凭证</w:t>
            </w:r>
            <w:r>
              <w:rPr>
                <w:rFonts w:hint="eastAsia" w:ascii="微软雅黑" w:hAnsi="微软雅黑" w:eastAsia="微软雅黑" w:cs="微软雅黑"/>
                <w:b w:val="0"/>
                <w:i w:val="0"/>
                <w:caps w:val="0"/>
                <w:color w:val="auto"/>
                <w:spacing w:val="0"/>
                <w:w w:val="100"/>
                <w:sz w:val="22"/>
                <w:szCs w:val="22"/>
                <w:highlight w:val="none"/>
              </w:rPr>
              <w:t>复印件</w:t>
            </w:r>
            <w:r>
              <w:rPr>
                <w:rFonts w:hint="eastAsia" w:ascii="微软雅黑" w:hAnsi="微软雅黑" w:eastAsia="微软雅黑" w:cs="微软雅黑"/>
                <w:b w:val="0"/>
                <w:i w:val="0"/>
                <w:caps w:val="0"/>
                <w:color w:val="auto"/>
                <w:spacing w:val="0"/>
                <w:w w:val="100"/>
                <w:sz w:val="22"/>
                <w:szCs w:val="22"/>
                <w:highlight w:val="none"/>
                <w:lang w:eastAsia="zh-CN"/>
              </w:rPr>
              <w:t>（</w:t>
            </w:r>
            <w:r>
              <w:rPr>
                <w:rFonts w:hint="eastAsia" w:ascii="微软雅黑" w:hAnsi="微软雅黑" w:eastAsia="微软雅黑" w:cs="微软雅黑"/>
                <w:b/>
                <w:bCs/>
                <w:i w:val="0"/>
                <w:caps w:val="0"/>
                <w:color w:val="auto"/>
                <w:spacing w:val="0"/>
                <w:w w:val="100"/>
                <w:sz w:val="22"/>
                <w:szCs w:val="22"/>
                <w:highlight w:val="none"/>
                <w:lang w:eastAsia="zh-CN"/>
              </w:rPr>
              <w:t>银行回执单</w:t>
            </w:r>
            <w:r>
              <w:rPr>
                <w:rFonts w:hint="eastAsia" w:ascii="微软雅黑" w:hAnsi="微软雅黑" w:eastAsia="微软雅黑" w:cs="微软雅黑"/>
                <w:b/>
                <w:bCs/>
                <w:i w:val="0"/>
                <w:caps w:val="0"/>
                <w:color w:val="auto"/>
                <w:spacing w:val="0"/>
                <w:w w:val="100"/>
                <w:sz w:val="22"/>
                <w:szCs w:val="22"/>
                <w:highlight w:val="none"/>
                <w:lang w:val="en-US" w:eastAsia="zh-CN"/>
              </w:rPr>
              <w:t>或保函等</w:t>
            </w:r>
            <w:r>
              <w:rPr>
                <w:rFonts w:hint="eastAsia" w:ascii="微软雅黑" w:hAnsi="微软雅黑" w:eastAsia="微软雅黑" w:cs="微软雅黑"/>
                <w:b w:val="0"/>
                <w:i w:val="0"/>
                <w:caps w:val="0"/>
                <w:color w:val="auto"/>
                <w:spacing w:val="0"/>
                <w:w w:val="100"/>
                <w:sz w:val="22"/>
                <w:szCs w:val="22"/>
                <w:highlight w:val="none"/>
                <w:lang w:eastAsia="zh-CN"/>
              </w:rPr>
              <w:t>）</w:t>
            </w:r>
          </w:p>
        </w:tc>
      </w:tr>
    </w:tbl>
    <w:p w14:paraId="0348370F">
      <w:pPr>
        <w:pStyle w:val="25"/>
        <w:rPr>
          <w:rFonts w:hint="eastAsia" w:ascii="微软雅黑" w:hAnsi="微软雅黑" w:eastAsia="微软雅黑" w:cs="微软雅黑"/>
          <w:color w:val="auto"/>
          <w:sz w:val="22"/>
          <w:szCs w:val="22"/>
          <w:highlight w:val="none"/>
        </w:rPr>
      </w:pPr>
    </w:p>
    <w:p w14:paraId="04EAA79C">
      <w:pPr>
        <w:shd w:val="clear" w:color="auto" w:fill="auto"/>
        <w:snapToGrid w:val="0"/>
        <w:spacing w:before="0" w:beforeAutospacing="0" w:after="0" w:afterAutospacing="0" w:line="360" w:lineRule="exact"/>
        <w:jc w:val="both"/>
        <w:textAlignment w:val="baseline"/>
        <w:rPr>
          <w:rFonts w:hint="eastAsia" w:ascii="微软雅黑" w:hAnsi="微软雅黑" w:eastAsia="微软雅黑" w:cs="微软雅黑"/>
          <w:b/>
          <w:bCs/>
          <w:i w:val="0"/>
          <w:caps w:val="0"/>
          <w:color w:val="auto"/>
          <w:spacing w:val="0"/>
          <w:w w:val="100"/>
          <w:sz w:val="22"/>
          <w:szCs w:val="22"/>
          <w:highlight w:val="none"/>
        </w:rPr>
      </w:pPr>
      <w:r>
        <w:rPr>
          <w:rFonts w:hint="eastAsia" w:ascii="微软雅黑" w:hAnsi="微软雅黑" w:eastAsia="微软雅黑" w:cs="微软雅黑"/>
          <w:b/>
          <w:bCs/>
          <w:i w:val="0"/>
          <w:caps w:val="0"/>
          <w:color w:val="auto"/>
          <w:spacing w:val="0"/>
          <w:w w:val="100"/>
          <w:sz w:val="22"/>
          <w:szCs w:val="22"/>
          <w:highlight w:val="none"/>
        </w:rPr>
        <w:t>注：本项目以</w:t>
      </w:r>
      <w:r>
        <w:rPr>
          <w:rFonts w:hint="eastAsia" w:ascii="微软雅黑" w:hAnsi="微软雅黑" w:eastAsia="微软雅黑" w:cs="微软雅黑"/>
          <w:b/>
          <w:bCs/>
          <w:i w:val="0"/>
          <w:caps w:val="0"/>
          <w:color w:val="auto"/>
          <w:spacing w:val="0"/>
          <w:w w:val="100"/>
          <w:sz w:val="22"/>
          <w:szCs w:val="22"/>
          <w:highlight w:val="none"/>
          <w:lang w:eastAsia="zh-CN"/>
        </w:rPr>
        <w:t>缴纳投标保证金的有效凭证</w:t>
      </w:r>
      <w:r>
        <w:rPr>
          <w:rFonts w:hint="eastAsia" w:ascii="微软雅黑" w:hAnsi="微软雅黑" w:eastAsia="微软雅黑" w:cs="微软雅黑"/>
          <w:b/>
          <w:bCs/>
          <w:i w:val="0"/>
          <w:caps w:val="0"/>
          <w:color w:val="auto"/>
          <w:spacing w:val="0"/>
          <w:w w:val="100"/>
          <w:sz w:val="22"/>
          <w:szCs w:val="22"/>
          <w:highlight w:val="none"/>
        </w:rPr>
        <w:t>复印件盖公章为准；</w:t>
      </w:r>
    </w:p>
    <w:p w14:paraId="557E6E3E">
      <w:pPr>
        <w:pStyle w:val="16"/>
        <w:tabs>
          <w:tab w:val="left" w:pos="5580"/>
        </w:tabs>
        <w:spacing w:line="400" w:lineRule="exact"/>
        <w:ind w:left="540" w:leftChars="257"/>
        <w:rPr>
          <w:rFonts w:hint="eastAsia" w:ascii="微软雅黑" w:hAnsi="微软雅黑" w:eastAsia="微软雅黑" w:cs="微软雅黑"/>
          <w:b/>
          <w:color w:val="auto"/>
          <w:kern w:val="0"/>
          <w:sz w:val="22"/>
          <w:szCs w:val="22"/>
          <w:highlight w:val="none"/>
        </w:rPr>
      </w:pPr>
    </w:p>
    <w:p w14:paraId="36D78C04">
      <w:pPr>
        <w:pStyle w:val="16"/>
        <w:tabs>
          <w:tab w:val="left" w:pos="5580"/>
        </w:tabs>
        <w:spacing w:line="400" w:lineRule="exact"/>
        <w:ind w:left="540" w:leftChars="257"/>
        <w:rPr>
          <w:rFonts w:hint="eastAsia" w:ascii="微软雅黑" w:hAnsi="微软雅黑" w:eastAsia="微软雅黑" w:cs="微软雅黑"/>
          <w:b/>
          <w:color w:val="auto"/>
          <w:kern w:val="0"/>
          <w:sz w:val="22"/>
          <w:szCs w:val="22"/>
          <w:highlight w:val="none"/>
        </w:rPr>
      </w:pPr>
    </w:p>
    <w:p w14:paraId="5E5AB1F1">
      <w:pPr>
        <w:pStyle w:val="16"/>
        <w:tabs>
          <w:tab w:val="left" w:pos="5580"/>
        </w:tabs>
        <w:spacing w:line="400" w:lineRule="exact"/>
        <w:ind w:left="540" w:leftChars="257"/>
        <w:rPr>
          <w:rFonts w:hint="eastAsia" w:ascii="微软雅黑" w:hAnsi="微软雅黑" w:eastAsia="微软雅黑" w:cs="微软雅黑"/>
          <w:b/>
          <w:color w:val="auto"/>
          <w:kern w:val="0"/>
          <w:sz w:val="22"/>
          <w:szCs w:val="22"/>
          <w:highlight w:val="none"/>
        </w:rPr>
      </w:pPr>
    </w:p>
    <w:p w14:paraId="04B9AC2B">
      <w:pPr>
        <w:pStyle w:val="16"/>
        <w:tabs>
          <w:tab w:val="left" w:pos="5580"/>
        </w:tabs>
        <w:spacing w:line="400" w:lineRule="exact"/>
        <w:ind w:left="540" w:leftChars="257"/>
        <w:rPr>
          <w:rFonts w:hint="eastAsia" w:ascii="微软雅黑" w:hAnsi="微软雅黑" w:eastAsia="微软雅黑" w:cs="微软雅黑"/>
          <w:b/>
          <w:color w:val="auto"/>
          <w:kern w:val="0"/>
          <w:sz w:val="22"/>
          <w:szCs w:val="22"/>
          <w:highlight w:val="none"/>
        </w:rPr>
      </w:pPr>
    </w:p>
    <w:p w14:paraId="27F37E8E">
      <w:pPr>
        <w:pStyle w:val="16"/>
        <w:tabs>
          <w:tab w:val="left" w:pos="5580"/>
        </w:tabs>
        <w:spacing w:line="400" w:lineRule="exact"/>
        <w:rPr>
          <w:rFonts w:hint="eastAsia" w:ascii="微软雅黑" w:hAnsi="微软雅黑" w:eastAsia="微软雅黑" w:cs="微软雅黑"/>
          <w:b/>
          <w:color w:val="auto"/>
          <w:kern w:val="0"/>
          <w:sz w:val="22"/>
          <w:szCs w:val="22"/>
          <w:highlight w:val="none"/>
        </w:rPr>
      </w:pPr>
    </w:p>
    <w:p w14:paraId="1AEC8FB4">
      <w:pPr>
        <w:pStyle w:val="25"/>
        <w:rPr>
          <w:rFonts w:hint="eastAsia" w:ascii="微软雅黑" w:hAnsi="微软雅黑" w:eastAsia="微软雅黑" w:cs="微软雅黑"/>
          <w:color w:val="auto"/>
          <w:sz w:val="22"/>
          <w:szCs w:val="22"/>
          <w:highlight w:val="none"/>
        </w:rPr>
      </w:pPr>
    </w:p>
    <w:p w14:paraId="7FBD0643">
      <w:pPr>
        <w:pStyle w:val="25"/>
        <w:rPr>
          <w:rFonts w:hint="eastAsia" w:ascii="微软雅黑" w:hAnsi="微软雅黑" w:eastAsia="微软雅黑" w:cs="微软雅黑"/>
          <w:color w:val="auto"/>
          <w:sz w:val="22"/>
          <w:szCs w:val="22"/>
          <w:highlight w:val="none"/>
        </w:rPr>
      </w:pPr>
    </w:p>
    <w:p w14:paraId="5CB6ED78">
      <w:pPr>
        <w:pStyle w:val="25"/>
        <w:rPr>
          <w:rFonts w:hint="eastAsia" w:ascii="微软雅黑" w:hAnsi="微软雅黑" w:eastAsia="微软雅黑" w:cs="微软雅黑"/>
          <w:color w:val="auto"/>
          <w:sz w:val="22"/>
          <w:szCs w:val="22"/>
          <w:highlight w:val="none"/>
        </w:rPr>
      </w:pPr>
    </w:p>
    <w:p w14:paraId="039EC9D1">
      <w:pPr>
        <w:numPr>
          <w:ilvl w:val="0"/>
          <w:numId w:val="0"/>
        </w:numPr>
        <w:outlineLvl w:val="1"/>
        <w:rPr>
          <w:rFonts w:hint="eastAsia" w:ascii="微软雅黑" w:hAnsi="微软雅黑" w:eastAsia="微软雅黑" w:cs="微软雅黑"/>
          <w:b/>
          <w:color w:val="auto"/>
          <w:kern w:val="0"/>
          <w:sz w:val="22"/>
          <w:szCs w:val="22"/>
          <w:highlight w:val="none"/>
          <w:lang w:val="en-US" w:eastAsia="zh-CN" w:bidi="ar-SA"/>
        </w:rPr>
      </w:pPr>
      <w:bookmarkStart w:id="1819" w:name="_Toc25288"/>
      <w:bookmarkStart w:id="1820" w:name="_Toc19935"/>
      <w:r>
        <w:rPr>
          <w:rFonts w:hint="eastAsia" w:ascii="微软雅黑" w:hAnsi="微软雅黑" w:eastAsia="微软雅黑" w:cs="微软雅黑"/>
          <w:b/>
          <w:bCs/>
          <w:color w:val="auto"/>
          <w:sz w:val="22"/>
          <w:szCs w:val="22"/>
          <w:highlight w:val="none"/>
          <w:lang w:val="en-US" w:eastAsia="zh-CN"/>
        </w:rPr>
        <w:t>12</w:t>
      </w:r>
      <w:r>
        <w:rPr>
          <w:rFonts w:hint="eastAsia" w:ascii="微软雅黑" w:hAnsi="微软雅黑" w:eastAsia="微软雅黑" w:cs="微软雅黑"/>
          <w:b/>
          <w:bCs/>
          <w:color w:val="auto"/>
          <w:sz w:val="22"/>
          <w:szCs w:val="22"/>
          <w:highlight w:val="none"/>
        </w:rPr>
        <w:t>、</w:t>
      </w:r>
      <w:r>
        <w:rPr>
          <w:rFonts w:hint="eastAsia" w:ascii="微软雅黑" w:hAnsi="微软雅黑" w:eastAsia="微软雅黑" w:cs="微软雅黑"/>
          <w:b/>
          <w:color w:val="auto"/>
          <w:kern w:val="0"/>
          <w:sz w:val="22"/>
          <w:szCs w:val="22"/>
          <w:highlight w:val="none"/>
          <w:lang w:val="en-US" w:eastAsia="zh-CN" w:bidi="ar-SA"/>
        </w:rPr>
        <w:t>供应商可提供有利于投标的其他资格证明材料。</w:t>
      </w:r>
      <w:bookmarkEnd w:id="1819"/>
      <w:bookmarkEnd w:id="1820"/>
    </w:p>
    <w:p w14:paraId="0FC6FB2C">
      <w:pPr>
        <w:rPr>
          <w:rFonts w:hint="eastAsia" w:ascii="微软雅黑" w:hAnsi="微软雅黑" w:eastAsia="微软雅黑" w:cs="微软雅黑"/>
          <w:b/>
          <w:color w:val="auto"/>
          <w:kern w:val="0"/>
          <w:sz w:val="22"/>
          <w:szCs w:val="22"/>
          <w:highlight w:val="none"/>
        </w:rPr>
      </w:pPr>
    </w:p>
    <w:p w14:paraId="21FBF468">
      <w:pPr>
        <w:rPr>
          <w:rFonts w:hint="eastAsia" w:ascii="微软雅黑" w:hAnsi="微软雅黑" w:eastAsia="微软雅黑" w:cs="微软雅黑"/>
          <w:color w:val="auto"/>
          <w:sz w:val="22"/>
          <w:szCs w:val="22"/>
          <w:highlight w:val="none"/>
        </w:rPr>
      </w:pPr>
    </w:p>
    <w:p w14:paraId="24C8B0C9">
      <w:pPr>
        <w:pStyle w:val="25"/>
        <w:rPr>
          <w:rFonts w:hint="eastAsia" w:ascii="微软雅黑" w:hAnsi="微软雅黑" w:eastAsia="微软雅黑" w:cs="微软雅黑"/>
          <w:color w:val="auto"/>
          <w:sz w:val="22"/>
          <w:szCs w:val="22"/>
          <w:highlight w:val="none"/>
        </w:rPr>
      </w:pPr>
    </w:p>
    <w:p w14:paraId="602CC378">
      <w:pPr>
        <w:rPr>
          <w:rFonts w:hint="eastAsia" w:ascii="微软雅黑" w:hAnsi="微软雅黑" w:eastAsia="微软雅黑" w:cs="微软雅黑"/>
          <w:color w:val="auto"/>
          <w:sz w:val="22"/>
          <w:szCs w:val="22"/>
          <w:highlight w:val="none"/>
        </w:rPr>
      </w:pPr>
    </w:p>
    <w:p w14:paraId="71DC3A9A">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br w:type="page"/>
      </w:r>
    </w:p>
    <w:p w14:paraId="7049C8DC">
      <w:pPr>
        <w:pStyle w:val="6"/>
        <w:spacing w:before="0" w:line="400" w:lineRule="exact"/>
        <w:ind w:left="540" w:leftChars="257"/>
        <w:jc w:val="center"/>
        <w:rPr>
          <w:rFonts w:hint="eastAsia" w:ascii="微软雅黑" w:hAnsi="微软雅黑" w:eastAsia="微软雅黑" w:cs="微软雅黑"/>
          <w:color w:val="auto"/>
          <w:sz w:val="22"/>
          <w:szCs w:val="22"/>
          <w:highlight w:val="none"/>
        </w:rPr>
      </w:pPr>
      <w:bookmarkStart w:id="1821" w:name="_Toc29080"/>
      <w:bookmarkStart w:id="1822" w:name="_Toc4650"/>
      <w:r>
        <w:rPr>
          <w:rFonts w:hint="eastAsia" w:ascii="微软雅黑" w:hAnsi="微软雅黑" w:eastAsia="微软雅黑" w:cs="微软雅黑"/>
          <w:color w:val="auto"/>
          <w:sz w:val="22"/>
          <w:szCs w:val="22"/>
          <w:highlight w:val="none"/>
        </w:rPr>
        <w:t>第二部分  商务及技术文件</w:t>
      </w:r>
      <w:bookmarkEnd w:id="1821"/>
      <w:bookmarkEnd w:id="1822"/>
    </w:p>
    <w:p w14:paraId="58B13988">
      <w:pPr>
        <w:pStyle w:val="16"/>
        <w:spacing w:line="400" w:lineRule="exact"/>
        <w:ind w:left="1079" w:leftChars="257" w:hanging="539"/>
        <w:rPr>
          <w:rFonts w:hint="eastAsia" w:ascii="微软雅黑" w:hAnsi="微软雅黑" w:eastAsia="微软雅黑" w:cs="微软雅黑"/>
          <w:color w:val="auto"/>
          <w:sz w:val="22"/>
          <w:szCs w:val="22"/>
          <w:highlight w:val="none"/>
        </w:rPr>
      </w:pPr>
      <w:bookmarkStart w:id="1823" w:name="_Toc2041"/>
      <w:bookmarkStart w:id="1824" w:name="_Toc515647817"/>
      <w:bookmarkStart w:id="1825" w:name="_Toc14915"/>
      <w:r>
        <w:rPr>
          <w:rFonts w:hint="eastAsia" w:ascii="微软雅黑" w:hAnsi="微软雅黑" w:eastAsia="微软雅黑" w:cs="微软雅黑"/>
          <w:color w:val="auto"/>
          <w:sz w:val="22"/>
          <w:szCs w:val="22"/>
          <w:highlight w:val="none"/>
        </w:rPr>
        <w:t>1、投标书</w:t>
      </w:r>
    </w:p>
    <w:p w14:paraId="66290D67">
      <w:pPr>
        <w:pStyle w:val="16"/>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2、投标分项报价表</w:t>
      </w:r>
    </w:p>
    <w:p w14:paraId="4BFD62FE">
      <w:pPr>
        <w:pStyle w:val="16"/>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w:t>
      </w:r>
      <w:r>
        <w:rPr>
          <w:rFonts w:hint="eastAsia" w:ascii="微软雅黑" w:hAnsi="微软雅黑" w:eastAsia="微软雅黑" w:cs="微软雅黑"/>
          <w:color w:val="auto"/>
          <w:sz w:val="22"/>
          <w:szCs w:val="22"/>
          <w:highlight w:val="none"/>
          <w:lang w:val="en-US" w:eastAsia="zh-CN"/>
        </w:rPr>
        <w:t>货物</w:t>
      </w:r>
      <w:r>
        <w:rPr>
          <w:rFonts w:hint="eastAsia" w:ascii="微软雅黑" w:hAnsi="微软雅黑" w:eastAsia="微软雅黑" w:cs="微软雅黑"/>
          <w:color w:val="auto"/>
          <w:sz w:val="22"/>
          <w:szCs w:val="22"/>
          <w:highlight w:val="none"/>
        </w:rPr>
        <w:t>说明一览表</w:t>
      </w:r>
    </w:p>
    <w:p w14:paraId="09C92E92">
      <w:pPr>
        <w:pStyle w:val="16"/>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4、</w:t>
      </w:r>
      <w:r>
        <w:rPr>
          <w:rFonts w:hint="eastAsia" w:ascii="微软雅黑" w:hAnsi="微软雅黑" w:eastAsia="微软雅黑" w:cs="微软雅黑"/>
          <w:color w:val="auto"/>
          <w:sz w:val="22"/>
          <w:szCs w:val="22"/>
          <w:highlight w:val="none"/>
          <w:lang w:val="en-US" w:eastAsia="zh-CN"/>
        </w:rPr>
        <w:t>技术</w:t>
      </w:r>
      <w:r>
        <w:rPr>
          <w:rFonts w:hint="eastAsia" w:ascii="微软雅黑" w:hAnsi="微软雅黑" w:eastAsia="微软雅黑" w:cs="微软雅黑"/>
          <w:color w:val="auto"/>
          <w:sz w:val="22"/>
          <w:szCs w:val="22"/>
          <w:highlight w:val="none"/>
        </w:rPr>
        <w:t>规格偏离表</w:t>
      </w:r>
    </w:p>
    <w:p w14:paraId="6EFF35C3">
      <w:pPr>
        <w:pStyle w:val="16"/>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5、商务条款偏离表</w:t>
      </w:r>
    </w:p>
    <w:p w14:paraId="0B4178F8">
      <w:pPr>
        <w:pStyle w:val="16"/>
        <w:spacing w:line="400" w:lineRule="exact"/>
        <w:ind w:left="311" w:leftChars="148" w:firstLine="228"/>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rPr>
        <w:t>6-1中小企业声明函</w:t>
      </w:r>
      <w:r>
        <w:rPr>
          <w:rFonts w:hint="eastAsia" w:ascii="微软雅黑" w:hAnsi="微软雅黑" w:eastAsia="微软雅黑" w:cs="微软雅黑"/>
          <w:color w:val="auto"/>
          <w:sz w:val="22"/>
          <w:szCs w:val="22"/>
          <w:highlight w:val="none"/>
          <w:lang w:eastAsia="zh-CN"/>
        </w:rPr>
        <w:t>（</w:t>
      </w:r>
      <w:r>
        <w:rPr>
          <w:rFonts w:hint="eastAsia" w:ascii="微软雅黑" w:hAnsi="微软雅黑" w:eastAsia="微软雅黑" w:cs="微软雅黑"/>
          <w:color w:val="auto"/>
          <w:sz w:val="22"/>
          <w:szCs w:val="22"/>
          <w:highlight w:val="none"/>
          <w:lang w:val="en-US" w:eastAsia="zh-CN"/>
        </w:rPr>
        <w:t>货物</w:t>
      </w:r>
      <w:r>
        <w:rPr>
          <w:rFonts w:hint="eastAsia" w:ascii="微软雅黑" w:hAnsi="微软雅黑" w:eastAsia="微软雅黑" w:cs="微软雅黑"/>
          <w:color w:val="auto"/>
          <w:sz w:val="22"/>
          <w:szCs w:val="22"/>
          <w:highlight w:val="none"/>
          <w:lang w:eastAsia="zh-CN"/>
        </w:rPr>
        <w:t>）</w:t>
      </w:r>
    </w:p>
    <w:p w14:paraId="729E8AB6">
      <w:pPr>
        <w:pStyle w:val="16"/>
        <w:spacing w:line="400" w:lineRule="exact"/>
        <w:ind w:left="311" w:leftChars="148" w:firstLine="228"/>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6-2《残疾人福利性单位声明函》</w:t>
      </w:r>
    </w:p>
    <w:p w14:paraId="3DB284A9">
      <w:pPr>
        <w:pStyle w:val="16"/>
        <w:spacing w:line="400" w:lineRule="exact"/>
        <w:ind w:left="311" w:leftChars="148" w:firstLine="228"/>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7、供应商关联单位的说明</w:t>
      </w:r>
    </w:p>
    <w:p w14:paraId="33FE9B19">
      <w:pPr>
        <w:pStyle w:val="16"/>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8、供应商可提供有利于投标的其他资格证明材料</w:t>
      </w:r>
    </w:p>
    <w:p w14:paraId="4FBB5542">
      <w:pPr>
        <w:pStyle w:val="16"/>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9</w:t>
      </w:r>
      <w:r>
        <w:rPr>
          <w:rFonts w:hint="eastAsia" w:ascii="微软雅黑" w:hAnsi="微软雅黑" w:eastAsia="微软雅黑" w:cs="微软雅黑"/>
          <w:color w:val="auto"/>
          <w:sz w:val="22"/>
          <w:szCs w:val="22"/>
          <w:highlight w:val="none"/>
          <w:lang w:eastAsia="zh-CN"/>
        </w:rPr>
        <w:t>、</w:t>
      </w:r>
      <w:r>
        <w:rPr>
          <w:rFonts w:hint="eastAsia" w:ascii="微软雅黑" w:hAnsi="微软雅黑" w:eastAsia="微软雅黑" w:cs="微软雅黑"/>
          <w:color w:val="auto"/>
          <w:sz w:val="22"/>
          <w:szCs w:val="22"/>
          <w:highlight w:val="none"/>
        </w:rPr>
        <w:t>投标文件格式范本</w:t>
      </w:r>
    </w:p>
    <w:p w14:paraId="4FE490D0">
      <w:pPr>
        <w:spacing w:line="360" w:lineRule="auto"/>
        <w:rPr>
          <w:rFonts w:hint="eastAsia" w:ascii="微软雅黑" w:hAnsi="微软雅黑" w:eastAsia="微软雅黑" w:cs="微软雅黑"/>
          <w:b/>
          <w:bCs/>
          <w:color w:val="auto"/>
          <w:sz w:val="22"/>
          <w:szCs w:val="22"/>
          <w:highlight w:val="none"/>
        </w:rPr>
      </w:pPr>
    </w:p>
    <w:p w14:paraId="0CED6E04">
      <w:pPr>
        <w:pStyle w:val="3"/>
        <w:rPr>
          <w:rFonts w:hint="eastAsia" w:ascii="微软雅黑" w:hAnsi="微软雅黑" w:eastAsia="微软雅黑" w:cs="微软雅黑"/>
          <w:b/>
          <w:bCs/>
          <w:color w:val="auto"/>
          <w:sz w:val="22"/>
          <w:szCs w:val="22"/>
          <w:highlight w:val="none"/>
        </w:rPr>
      </w:pPr>
    </w:p>
    <w:p w14:paraId="5449DA76">
      <w:pPr>
        <w:pStyle w:val="3"/>
        <w:rPr>
          <w:rFonts w:hint="eastAsia" w:ascii="微软雅黑" w:hAnsi="微软雅黑" w:eastAsia="微软雅黑" w:cs="微软雅黑"/>
          <w:b/>
          <w:bCs/>
          <w:color w:val="auto"/>
          <w:sz w:val="22"/>
          <w:szCs w:val="22"/>
          <w:highlight w:val="none"/>
        </w:rPr>
      </w:pPr>
    </w:p>
    <w:p w14:paraId="646EEE1E">
      <w:pPr>
        <w:pStyle w:val="3"/>
        <w:rPr>
          <w:rFonts w:hint="eastAsia" w:ascii="微软雅黑" w:hAnsi="微软雅黑" w:eastAsia="微软雅黑" w:cs="微软雅黑"/>
          <w:b/>
          <w:bCs/>
          <w:color w:val="auto"/>
          <w:sz w:val="22"/>
          <w:szCs w:val="22"/>
          <w:highlight w:val="none"/>
        </w:rPr>
      </w:pPr>
    </w:p>
    <w:p w14:paraId="765F8DEC">
      <w:pPr>
        <w:pStyle w:val="3"/>
        <w:rPr>
          <w:rFonts w:hint="eastAsia" w:ascii="微软雅黑" w:hAnsi="微软雅黑" w:eastAsia="微软雅黑" w:cs="微软雅黑"/>
          <w:b/>
          <w:bCs/>
          <w:color w:val="auto"/>
          <w:sz w:val="22"/>
          <w:szCs w:val="22"/>
          <w:highlight w:val="none"/>
        </w:rPr>
      </w:pPr>
    </w:p>
    <w:p w14:paraId="3E111240">
      <w:pPr>
        <w:pStyle w:val="3"/>
        <w:rPr>
          <w:rFonts w:hint="eastAsia" w:ascii="微软雅黑" w:hAnsi="微软雅黑" w:eastAsia="微软雅黑" w:cs="微软雅黑"/>
          <w:b/>
          <w:bCs/>
          <w:color w:val="auto"/>
          <w:sz w:val="22"/>
          <w:szCs w:val="22"/>
          <w:highlight w:val="none"/>
        </w:rPr>
      </w:pPr>
    </w:p>
    <w:p w14:paraId="191FC312">
      <w:pPr>
        <w:pStyle w:val="3"/>
        <w:rPr>
          <w:rFonts w:hint="eastAsia" w:ascii="微软雅黑" w:hAnsi="微软雅黑" w:eastAsia="微软雅黑" w:cs="微软雅黑"/>
          <w:b/>
          <w:bCs/>
          <w:color w:val="auto"/>
          <w:sz w:val="22"/>
          <w:szCs w:val="22"/>
          <w:highlight w:val="none"/>
        </w:rPr>
      </w:pPr>
    </w:p>
    <w:p w14:paraId="223B5249">
      <w:pPr>
        <w:spacing w:line="360" w:lineRule="auto"/>
        <w:rPr>
          <w:rFonts w:hint="eastAsia" w:ascii="微软雅黑" w:hAnsi="微软雅黑" w:eastAsia="微软雅黑" w:cs="微软雅黑"/>
          <w:color w:val="auto"/>
          <w:sz w:val="22"/>
          <w:szCs w:val="22"/>
          <w:highlight w:val="none"/>
        </w:rPr>
      </w:pPr>
    </w:p>
    <w:p w14:paraId="572AFB24">
      <w:pPr>
        <w:pStyle w:val="16"/>
        <w:tabs>
          <w:tab w:val="left" w:pos="5580"/>
        </w:tabs>
        <w:spacing w:line="240" w:lineRule="atLeast"/>
        <w:rPr>
          <w:rFonts w:hint="eastAsia" w:ascii="微软雅黑" w:hAnsi="微软雅黑" w:eastAsia="微软雅黑" w:cs="微软雅黑"/>
          <w:color w:val="auto"/>
          <w:sz w:val="22"/>
          <w:szCs w:val="22"/>
          <w:highlight w:val="none"/>
        </w:rPr>
      </w:pPr>
    </w:p>
    <w:p w14:paraId="1D9785D0">
      <w:pPr>
        <w:pStyle w:val="16"/>
        <w:tabs>
          <w:tab w:val="left" w:pos="5580"/>
        </w:tabs>
        <w:spacing w:line="240" w:lineRule="atLeast"/>
        <w:rPr>
          <w:rFonts w:hint="eastAsia" w:ascii="微软雅黑" w:hAnsi="微软雅黑" w:eastAsia="微软雅黑" w:cs="微软雅黑"/>
          <w:color w:val="auto"/>
          <w:sz w:val="22"/>
          <w:szCs w:val="22"/>
          <w:highlight w:val="none"/>
        </w:rPr>
      </w:pPr>
    </w:p>
    <w:p w14:paraId="0FB4123F">
      <w:pPr>
        <w:pStyle w:val="16"/>
        <w:tabs>
          <w:tab w:val="left" w:pos="5580"/>
        </w:tabs>
        <w:spacing w:line="240" w:lineRule="atLeast"/>
        <w:rPr>
          <w:rFonts w:hint="eastAsia" w:ascii="微软雅黑" w:hAnsi="微软雅黑" w:eastAsia="微软雅黑" w:cs="微软雅黑"/>
          <w:color w:val="auto"/>
          <w:sz w:val="22"/>
          <w:szCs w:val="22"/>
          <w:highlight w:val="none"/>
        </w:rPr>
      </w:pPr>
    </w:p>
    <w:p w14:paraId="3FFD0EEE">
      <w:pPr>
        <w:pStyle w:val="16"/>
        <w:tabs>
          <w:tab w:val="left" w:pos="5580"/>
        </w:tabs>
        <w:spacing w:line="240" w:lineRule="atLeast"/>
        <w:rPr>
          <w:rFonts w:hint="eastAsia" w:ascii="微软雅黑" w:hAnsi="微软雅黑" w:eastAsia="微软雅黑" w:cs="微软雅黑"/>
          <w:color w:val="auto"/>
          <w:sz w:val="22"/>
          <w:szCs w:val="22"/>
          <w:highlight w:val="none"/>
        </w:rPr>
      </w:pPr>
    </w:p>
    <w:p w14:paraId="4070BDB0">
      <w:pPr>
        <w:pStyle w:val="16"/>
        <w:tabs>
          <w:tab w:val="left" w:pos="5580"/>
        </w:tabs>
        <w:spacing w:line="240" w:lineRule="atLeast"/>
        <w:rPr>
          <w:rFonts w:hint="eastAsia" w:ascii="微软雅黑" w:hAnsi="微软雅黑" w:eastAsia="微软雅黑" w:cs="微软雅黑"/>
          <w:color w:val="auto"/>
          <w:sz w:val="22"/>
          <w:szCs w:val="22"/>
          <w:highlight w:val="none"/>
        </w:rPr>
      </w:pPr>
    </w:p>
    <w:p w14:paraId="520940B1">
      <w:pPr>
        <w:pStyle w:val="16"/>
        <w:tabs>
          <w:tab w:val="left" w:pos="5580"/>
        </w:tabs>
        <w:spacing w:line="240" w:lineRule="atLeast"/>
        <w:rPr>
          <w:rFonts w:hint="eastAsia" w:ascii="微软雅黑" w:hAnsi="微软雅黑" w:eastAsia="微软雅黑" w:cs="微软雅黑"/>
          <w:color w:val="auto"/>
          <w:sz w:val="22"/>
          <w:szCs w:val="22"/>
          <w:highlight w:val="none"/>
        </w:rPr>
      </w:pPr>
    </w:p>
    <w:p w14:paraId="4A01D806">
      <w:pPr>
        <w:pStyle w:val="16"/>
        <w:tabs>
          <w:tab w:val="left" w:pos="5580"/>
        </w:tabs>
        <w:spacing w:line="240" w:lineRule="atLeast"/>
        <w:rPr>
          <w:rFonts w:hint="eastAsia" w:ascii="微软雅黑" w:hAnsi="微软雅黑" w:eastAsia="微软雅黑" w:cs="微软雅黑"/>
          <w:color w:val="auto"/>
          <w:sz w:val="22"/>
          <w:szCs w:val="22"/>
          <w:highlight w:val="none"/>
        </w:rPr>
      </w:pPr>
    </w:p>
    <w:p w14:paraId="27B282DA">
      <w:pPr>
        <w:pStyle w:val="16"/>
        <w:tabs>
          <w:tab w:val="left" w:pos="5580"/>
        </w:tabs>
        <w:spacing w:line="240" w:lineRule="atLeast"/>
        <w:rPr>
          <w:rFonts w:hint="eastAsia" w:ascii="微软雅黑" w:hAnsi="微软雅黑" w:eastAsia="微软雅黑" w:cs="微软雅黑"/>
          <w:color w:val="auto"/>
          <w:sz w:val="22"/>
          <w:szCs w:val="22"/>
          <w:highlight w:val="none"/>
        </w:rPr>
      </w:pPr>
    </w:p>
    <w:p w14:paraId="59DF2244">
      <w:pPr>
        <w:pStyle w:val="16"/>
        <w:tabs>
          <w:tab w:val="left" w:pos="5580"/>
        </w:tabs>
        <w:spacing w:line="240" w:lineRule="atLeast"/>
        <w:rPr>
          <w:rFonts w:hint="eastAsia" w:ascii="微软雅黑" w:hAnsi="微软雅黑" w:eastAsia="微软雅黑" w:cs="微软雅黑"/>
          <w:color w:val="auto"/>
          <w:sz w:val="22"/>
          <w:szCs w:val="22"/>
          <w:highlight w:val="none"/>
        </w:rPr>
      </w:pPr>
    </w:p>
    <w:p w14:paraId="5010C961">
      <w:pPr>
        <w:pStyle w:val="16"/>
        <w:tabs>
          <w:tab w:val="left" w:pos="5580"/>
        </w:tabs>
        <w:spacing w:line="240" w:lineRule="atLeast"/>
        <w:rPr>
          <w:rFonts w:hint="eastAsia" w:ascii="微软雅黑" w:hAnsi="微软雅黑" w:eastAsia="微软雅黑" w:cs="微软雅黑"/>
          <w:color w:val="auto"/>
          <w:sz w:val="22"/>
          <w:szCs w:val="22"/>
          <w:highlight w:val="none"/>
        </w:rPr>
      </w:pPr>
    </w:p>
    <w:p w14:paraId="2C64EED0">
      <w:pPr>
        <w:rPr>
          <w:rFonts w:hint="eastAsia" w:ascii="微软雅黑" w:hAnsi="微软雅黑" w:eastAsia="微软雅黑" w:cs="微软雅黑"/>
          <w:b/>
          <w:bCs/>
          <w:color w:val="auto"/>
          <w:sz w:val="22"/>
          <w:szCs w:val="22"/>
          <w:highlight w:val="none"/>
        </w:rPr>
      </w:pPr>
      <w:bookmarkStart w:id="1826" w:name="_Toc29625"/>
      <w:bookmarkStart w:id="1827" w:name="_Toc25918"/>
      <w:bookmarkStart w:id="1828" w:name="_Toc30408"/>
      <w:bookmarkStart w:id="1829" w:name="_Toc21772"/>
      <w:r>
        <w:rPr>
          <w:rFonts w:hint="eastAsia" w:ascii="微软雅黑" w:hAnsi="微软雅黑" w:eastAsia="微软雅黑" w:cs="微软雅黑"/>
          <w:b/>
          <w:bCs/>
          <w:color w:val="auto"/>
          <w:sz w:val="22"/>
          <w:szCs w:val="22"/>
          <w:highlight w:val="none"/>
        </w:rPr>
        <w:br w:type="page"/>
      </w:r>
    </w:p>
    <w:p w14:paraId="1A8726AC">
      <w:pPr>
        <w:pStyle w:val="16"/>
        <w:tabs>
          <w:tab w:val="left" w:pos="5580"/>
        </w:tabs>
        <w:spacing w:line="400" w:lineRule="exact"/>
        <w:jc w:val="center"/>
        <w:outlineLvl w:val="1"/>
        <w:rPr>
          <w:rFonts w:hint="eastAsia" w:ascii="微软雅黑" w:hAnsi="微软雅黑" w:eastAsia="微软雅黑" w:cs="微软雅黑"/>
          <w:color w:val="auto"/>
          <w:sz w:val="22"/>
          <w:szCs w:val="22"/>
          <w:highlight w:val="none"/>
        </w:rPr>
      </w:pPr>
      <w:bookmarkStart w:id="1830" w:name="_Toc4026"/>
      <w:bookmarkStart w:id="1831" w:name="_Toc7342"/>
      <w:r>
        <w:rPr>
          <w:rFonts w:hint="eastAsia" w:ascii="微软雅黑" w:hAnsi="微软雅黑" w:eastAsia="微软雅黑" w:cs="微软雅黑"/>
          <w:b/>
          <w:bCs/>
          <w:color w:val="auto"/>
          <w:sz w:val="22"/>
          <w:szCs w:val="22"/>
          <w:highlight w:val="none"/>
        </w:rPr>
        <w:t>1</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rPr>
        <w:t>投标书</w:t>
      </w:r>
      <w:bookmarkEnd w:id="1823"/>
      <w:bookmarkEnd w:id="1824"/>
      <w:bookmarkEnd w:id="1825"/>
      <w:bookmarkEnd w:id="1826"/>
      <w:bookmarkEnd w:id="1827"/>
      <w:bookmarkEnd w:id="1828"/>
      <w:bookmarkEnd w:id="1829"/>
      <w:bookmarkEnd w:id="1830"/>
      <w:bookmarkEnd w:id="1831"/>
    </w:p>
    <w:p w14:paraId="66814B02">
      <w:pPr>
        <w:tabs>
          <w:tab w:val="left" w:pos="5580"/>
        </w:tabs>
        <w:spacing w:line="400" w:lineRule="exact"/>
        <w:ind w:left="1080" w:hanging="108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rPr>
        <w:t>致：</w:t>
      </w:r>
      <w:r>
        <w:rPr>
          <w:rFonts w:hint="eastAsia" w:ascii="微软雅黑" w:hAnsi="微软雅黑" w:eastAsia="微软雅黑" w:cs="微软雅黑"/>
          <w:color w:val="auto"/>
          <w:sz w:val="22"/>
          <w:szCs w:val="22"/>
          <w:highlight w:val="none"/>
          <w:lang w:eastAsia="zh-CN"/>
        </w:rPr>
        <w:t>（</w:t>
      </w:r>
      <w:r>
        <w:rPr>
          <w:rFonts w:hint="eastAsia" w:ascii="微软雅黑" w:hAnsi="微软雅黑" w:eastAsia="微软雅黑" w:cs="微软雅黑"/>
          <w:color w:val="auto"/>
          <w:sz w:val="22"/>
          <w:szCs w:val="22"/>
          <w:highlight w:val="none"/>
          <w:lang w:val="en-US" w:eastAsia="zh-CN"/>
        </w:rPr>
        <w:t>采购单位或代理机构</w:t>
      </w:r>
      <w:r>
        <w:rPr>
          <w:rFonts w:hint="eastAsia" w:ascii="微软雅黑" w:hAnsi="微软雅黑" w:eastAsia="微软雅黑" w:cs="微软雅黑"/>
          <w:color w:val="auto"/>
          <w:sz w:val="22"/>
          <w:szCs w:val="22"/>
          <w:highlight w:val="none"/>
          <w:lang w:eastAsia="zh-CN"/>
        </w:rPr>
        <w:t>）</w:t>
      </w:r>
    </w:p>
    <w:p w14:paraId="788B0038">
      <w:pPr>
        <w:pStyle w:val="16"/>
        <w:tabs>
          <w:tab w:val="left" w:pos="5580"/>
        </w:tabs>
        <w:spacing w:line="400" w:lineRule="exact"/>
        <w:ind w:left="2" w:leftChars="1" w:firstLine="440" w:firstLineChars="20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根据贵方(</w:t>
      </w:r>
      <w:r>
        <w:rPr>
          <w:rFonts w:hint="eastAsia" w:ascii="微软雅黑" w:hAnsi="微软雅黑" w:eastAsia="微软雅黑" w:cs="微软雅黑"/>
          <w:i/>
          <w:color w:val="auto"/>
          <w:sz w:val="22"/>
          <w:szCs w:val="22"/>
          <w:highlight w:val="none"/>
          <w:u w:val="single"/>
        </w:rPr>
        <w:t>项目名称</w:t>
      </w:r>
      <w:r>
        <w:rPr>
          <w:rFonts w:hint="eastAsia" w:ascii="微软雅黑" w:hAnsi="微软雅黑" w:eastAsia="微软雅黑" w:cs="微软雅黑"/>
          <w:color w:val="auto"/>
          <w:sz w:val="22"/>
          <w:szCs w:val="22"/>
          <w:highlight w:val="none"/>
        </w:rPr>
        <w:t>)项目的投标邀请(</w:t>
      </w:r>
      <w:r>
        <w:rPr>
          <w:rFonts w:hint="eastAsia" w:ascii="微软雅黑" w:hAnsi="微软雅黑" w:eastAsia="微软雅黑" w:cs="微软雅黑"/>
          <w:i/>
          <w:color w:val="auto"/>
          <w:sz w:val="22"/>
          <w:szCs w:val="22"/>
          <w:highlight w:val="none"/>
          <w:u w:val="single"/>
        </w:rPr>
        <w:t>项目编号</w:t>
      </w:r>
      <w:r>
        <w:rPr>
          <w:rFonts w:hint="eastAsia" w:ascii="微软雅黑" w:hAnsi="微软雅黑" w:eastAsia="微软雅黑" w:cs="微软雅黑"/>
          <w:color w:val="auto"/>
          <w:sz w:val="22"/>
          <w:szCs w:val="22"/>
          <w:highlight w:val="none"/>
        </w:rPr>
        <w:t>),签字代表(</w:t>
      </w:r>
      <w:r>
        <w:rPr>
          <w:rFonts w:hint="eastAsia" w:ascii="微软雅黑" w:hAnsi="微软雅黑" w:eastAsia="微软雅黑" w:cs="微软雅黑"/>
          <w:i/>
          <w:color w:val="auto"/>
          <w:sz w:val="22"/>
          <w:szCs w:val="22"/>
          <w:highlight w:val="none"/>
          <w:u w:val="single"/>
        </w:rPr>
        <w:t>姓名、职务</w:t>
      </w:r>
      <w:r>
        <w:rPr>
          <w:rFonts w:hint="eastAsia" w:ascii="微软雅黑" w:hAnsi="微软雅黑" w:eastAsia="微软雅黑" w:cs="微软雅黑"/>
          <w:color w:val="auto"/>
          <w:sz w:val="22"/>
          <w:szCs w:val="22"/>
          <w:highlight w:val="none"/>
        </w:rPr>
        <w:t>)经正式授权并代表供应商（</w:t>
      </w:r>
      <w:r>
        <w:rPr>
          <w:rFonts w:hint="eastAsia" w:ascii="微软雅黑" w:hAnsi="微软雅黑" w:eastAsia="微软雅黑" w:cs="微软雅黑"/>
          <w:i/>
          <w:color w:val="auto"/>
          <w:sz w:val="22"/>
          <w:szCs w:val="22"/>
          <w:highlight w:val="none"/>
          <w:u w:val="single"/>
        </w:rPr>
        <w:t>名称、地址</w:t>
      </w: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val="en-US" w:eastAsia="zh-CN"/>
        </w:rPr>
        <w:t>上传投标</w:t>
      </w:r>
      <w:r>
        <w:rPr>
          <w:rFonts w:hint="eastAsia" w:ascii="微软雅黑" w:hAnsi="微软雅黑" w:eastAsia="微软雅黑" w:cs="微软雅黑"/>
          <w:color w:val="auto"/>
          <w:sz w:val="22"/>
          <w:szCs w:val="22"/>
          <w:highlight w:val="none"/>
        </w:rPr>
        <w:t>文件，并以</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形式出具的金额为人民币</w:t>
      </w:r>
      <w:r>
        <w:rPr>
          <w:rFonts w:hint="eastAsia" w:ascii="微软雅黑" w:hAnsi="微软雅黑" w:eastAsia="微软雅黑" w:cs="微软雅黑"/>
          <w:color w:val="auto"/>
          <w:sz w:val="22"/>
          <w:szCs w:val="22"/>
          <w:highlight w:val="none"/>
          <w:u w:val="single"/>
        </w:rPr>
        <w:t>　　　　</w:t>
      </w:r>
      <w:r>
        <w:rPr>
          <w:rFonts w:hint="eastAsia" w:ascii="微软雅黑" w:hAnsi="微软雅黑" w:eastAsia="微软雅黑" w:cs="微软雅黑"/>
          <w:color w:val="auto"/>
          <w:sz w:val="22"/>
          <w:szCs w:val="22"/>
          <w:highlight w:val="none"/>
        </w:rPr>
        <w:t>元的投标保证金。</w:t>
      </w:r>
    </w:p>
    <w:p w14:paraId="68874DED">
      <w:pPr>
        <w:pStyle w:val="16"/>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据此，签字代表宣布同意如下：</w:t>
      </w:r>
    </w:p>
    <w:p w14:paraId="1DEEE1E8">
      <w:pPr>
        <w:pStyle w:val="16"/>
        <w:tabs>
          <w:tab w:val="left" w:pos="720"/>
          <w:tab w:val="left" w:pos="900"/>
        </w:tabs>
        <w:spacing w:line="400" w:lineRule="exact"/>
        <w:ind w:left="769" w:leftChars="257" w:hanging="229"/>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（1）附投标价格表中规定的应提供</w:t>
      </w:r>
      <w:r>
        <w:rPr>
          <w:rFonts w:hint="eastAsia" w:ascii="微软雅黑" w:hAnsi="微软雅黑" w:eastAsia="微软雅黑" w:cs="微软雅黑"/>
          <w:color w:val="auto"/>
          <w:sz w:val="22"/>
          <w:szCs w:val="22"/>
          <w:highlight w:val="none"/>
          <w:lang w:val="en-US" w:eastAsia="zh-CN"/>
        </w:rPr>
        <w:t>货物</w:t>
      </w:r>
      <w:r>
        <w:rPr>
          <w:rFonts w:hint="eastAsia" w:ascii="微软雅黑" w:hAnsi="微软雅黑" w:eastAsia="微软雅黑" w:cs="微软雅黑"/>
          <w:color w:val="auto"/>
          <w:sz w:val="22"/>
          <w:szCs w:val="22"/>
          <w:highlight w:val="none"/>
        </w:rPr>
        <w:t>的投标总价详见开标一览表，</w:t>
      </w:r>
      <w:r>
        <w:rPr>
          <w:rFonts w:hint="eastAsia" w:ascii="微软雅黑" w:hAnsi="微软雅黑" w:eastAsia="微软雅黑" w:cs="微软雅黑"/>
          <w:color w:val="auto"/>
          <w:sz w:val="22"/>
          <w:szCs w:val="22"/>
          <w:highlight w:val="none"/>
          <w:u w:val="single"/>
        </w:rPr>
        <w:t>其中由小型和</w:t>
      </w:r>
      <w:r>
        <w:rPr>
          <w:rFonts w:hint="eastAsia" w:ascii="微软雅黑" w:hAnsi="微软雅黑" w:eastAsia="微软雅黑" w:cs="微软雅黑"/>
          <w:color w:val="auto"/>
          <w:sz w:val="22"/>
          <w:szCs w:val="22"/>
          <w:highlight w:val="none"/>
        </w:rPr>
        <w:t>微型企业制造产品的价格为</w:t>
      </w:r>
      <w:r>
        <w:rPr>
          <w:rFonts w:hint="eastAsia" w:ascii="微软雅黑" w:hAnsi="微软雅黑" w:eastAsia="微软雅黑" w:cs="微软雅黑"/>
          <w:color w:val="auto"/>
          <w:sz w:val="22"/>
          <w:szCs w:val="22"/>
          <w:highlight w:val="none"/>
          <w:u w:val="single"/>
        </w:rPr>
        <w:t>　　  （用文字和数字表示），占投标总价   %</w:t>
      </w:r>
      <w:r>
        <w:rPr>
          <w:rFonts w:hint="eastAsia" w:ascii="微软雅黑" w:hAnsi="微软雅黑" w:eastAsia="微软雅黑" w:cs="微软雅黑"/>
          <w:color w:val="auto"/>
          <w:sz w:val="22"/>
          <w:szCs w:val="22"/>
          <w:highlight w:val="none"/>
        </w:rPr>
        <w:t>。</w:t>
      </w:r>
    </w:p>
    <w:p w14:paraId="35FEF232">
      <w:pPr>
        <w:pStyle w:val="16"/>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（2）本投标有效期为自投标截止之日起</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个日历日。</w:t>
      </w:r>
    </w:p>
    <w:p w14:paraId="17A70696">
      <w:pPr>
        <w:pStyle w:val="16"/>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（3）联合体中的大中型企业和其他自然人、法人或者非法人组织，与联合体中的小型、微型企业之间</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存在、不存在）投资关系（如果是联合体的话）。</w:t>
      </w:r>
    </w:p>
    <w:p w14:paraId="4FE39015">
      <w:pPr>
        <w:pStyle w:val="16"/>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（4）已详细审查全部招标文件，包括所有补充通知（如果有的话），完全理解并同意放弃对这方面有不明、误解和质疑的权力。</w:t>
      </w:r>
    </w:p>
    <w:p w14:paraId="2C25D0A3">
      <w:pPr>
        <w:pStyle w:val="16"/>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（5）在规定的开标时间后，遵守招标文件中有关保证金的规定。</w:t>
      </w:r>
    </w:p>
    <w:p w14:paraId="1A51789B">
      <w:pPr>
        <w:pStyle w:val="16"/>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（6）我方不是为本项目提供整体设计、规范编制或者项目管理、监理、检测等</w:t>
      </w:r>
      <w:r>
        <w:rPr>
          <w:rFonts w:hint="eastAsia" w:ascii="微软雅黑" w:hAnsi="微软雅黑" w:eastAsia="微软雅黑" w:cs="微软雅黑"/>
          <w:color w:val="auto"/>
          <w:sz w:val="22"/>
          <w:szCs w:val="22"/>
          <w:highlight w:val="none"/>
          <w:lang w:val="en-US" w:eastAsia="zh-CN"/>
        </w:rPr>
        <w:t>货物</w:t>
      </w:r>
      <w:r>
        <w:rPr>
          <w:rFonts w:hint="eastAsia" w:ascii="微软雅黑" w:hAnsi="微软雅黑" w:eastAsia="微软雅黑" w:cs="微软雅黑"/>
          <w:color w:val="auto"/>
          <w:sz w:val="22"/>
          <w:szCs w:val="22"/>
          <w:highlight w:val="none"/>
        </w:rPr>
        <w:t>的供应商，我方不是采购代理机构的附属机构。</w:t>
      </w:r>
    </w:p>
    <w:p w14:paraId="2ED6DF77">
      <w:pPr>
        <w:pStyle w:val="16"/>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（7）在领取中标通知书的同时按招标文件规定的形式，向贵方一次性支付中标服务费。</w:t>
      </w:r>
    </w:p>
    <w:p w14:paraId="5103A056">
      <w:pPr>
        <w:pStyle w:val="16"/>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（8）按照贵方可能要求，提供与其投标有关的一切数据或资料，完全理解贵方不一定接受最低价的投标或收到的任何投标。</w:t>
      </w:r>
    </w:p>
    <w:p w14:paraId="701887B5">
      <w:pPr>
        <w:pStyle w:val="16"/>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（9）按照招标文件的规定履行合同责任和义务。</w:t>
      </w:r>
    </w:p>
    <w:p w14:paraId="63931A09">
      <w:pPr>
        <w:pStyle w:val="16"/>
        <w:tabs>
          <w:tab w:val="left" w:pos="5580"/>
        </w:tabs>
        <w:spacing w:line="400" w:lineRule="exact"/>
        <w:ind w:left="341" w:leftChars="68" w:hanging="198" w:hangingChars="9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  与本投标有关的一切正式往来信函请寄：</w:t>
      </w:r>
    </w:p>
    <w:p w14:paraId="592E3110">
      <w:pPr>
        <w:pStyle w:val="16"/>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地址</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 xml:space="preserve">     传真</w:t>
      </w:r>
      <w:r>
        <w:rPr>
          <w:rFonts w:hint="eastAsia" w:ascii="微软雅黑" w:hAnsi="微软雅黑" w:eastAsia="微软雅黑" w:cs="微软雅黑"/>
          <w:color w:val="auto"/>
          <w:sz w:val="22"/>
          <w:szCs w:val="22"/>
          <w:highlight w:val="none"/>
          <w:u w:val="single"/>
        </w:rPr>
        <w:t xml:space="preserve">                             </w:t>
      </w:r>
    </w:p>
    <w:p w14:paraId="12BC5771">
      <w:pPr>
        <w:pStyle w:val="16"/>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电话</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 xml:space="preserve">     电子函件</w:t>
      </w:r>
      <w:r>
        <w:rPr>
          <w:rFonts w:hint="eastAsia" w:ascii="微软雅黑" w:hAnsi="微软雅黑" w:eastAsia="微软雅黑" w:cs="微软雅黑"/>
          <w:color w:val="auto"/>
          <w:sz w:val="22"/>
          <w:szCs w:val="22"/>
          <w:highlight w:val="none"/>
          <w:u w:val="single"/>
        </w:rPr>
        <w:t xml:space="preserve">                         </w:t>
      </w:r>
    </w:p>
    <w:p w14:paraId="2D3B6ECC">
      <w:pPr>
        <w:pStyle w:val="16"/>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法定代表人（签/章）</w:t>
      </w:r>
      <w:r>
        <w:rPr>
          <w:rFonts w:hint="eastAsia" w:ascii="微软雅黑" w:hAnsi="微软雅黑" w:eastAsia="微软雅黑" w:cs="微软雅黑"/>
          <w:color w:val="auto"/>
          <w:sz w:val="22"/>
          <w:szCs w:val="22"/>
          <w:highlight w:val="none"/>
          <w:u w:val="single"/>
        </w:rPr>
        <w:t xml:space="preserve">       </w:t>
      </w:r>
    </w:p>
    <w:p w14:paraId="29957B09">
      <w:pPr>
        <w:pStyle w:val="16"/>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供应商</w:t>
      </w:r>
      <w:r>
        <w:rPr>
          <w:rFonts w:hint="eastAsia" w:ascii="微软雅黑" w:hAnsi="微软雅黑" w:eastAsia="微软雅黑" w:cs="微软雅黑"/>
          <w:color w:val="auto"/>
          <w:sz w:val="22"/>
          <w:szCs w:val="22"/>
          <w:highlight w:val="none"/>
          <w:lang w:eastAsia="zh-CN"/>
        </w:rPr>
        <w:t>名称</w:t>
      </w:r>
      <w:r>
        <w:rPr>
          <w:rFonts w:hint="eastAsia" w:ascii="微软雅黑" w:hAnsi="微软雅黑" w:eastAsia="微软雅黑" w:cs="微软雅黑"/>
          <w:color w:val="auto"/>
          <w:sz w:val="22"/>
          <w:szCs w:val="22"/>
          <w:highlight w:val="none"/>
        </w:rPr>
        <w:t>（公章）</w:t>
      </w:r>
      <w:r>
        <w:rPr>
          <w:rFonts w:hint="eastAsia" w:ascii="微软雅黑" w:hAnsi="微软雅黑" w:eastAsia="微软雅黑" w:cs="微软雅黑"/>
          <w:color w:val="auto"/>
          <w:sz w:val="22"/>
          <w:szCs w:val="22"/>
          <w:highlight w:val="none"/>
          <w:u w:val="single"/>
        </w:rPr>
        <w:t xml:space="preserve">               </w:t>
      </w:r>
    </w:p>
    <w:p w14:paraId="7E5633B8">
      <w:pPr>
        <w:pStyle w:val="16"/>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供应商开户银行（全称）</w:t>
      </w:r>
      <w:r>
        <w:rPr>
          <w:rFonts w:hint="eastAsia" w:ascii="微软雅黑" w:hAnsi="微软雅黑" w:eastAsia="微软雅黑" w:cs="微软雅黑"/>
          <w:color w:val="auto"/>
          <w:sz w:val="22"/>
          <w:szCs w:val="22"/>
          <w:highlight w:val="none"/>
          <w:u w:val="single"/>
        </w:rPr>
        <w:t xml:space="preserve">　　　　　　 </w:t>
      </w:r>
    </w:p>
    <w:p w14:paraId="4E5A2497">
      <w:pPr>
        <w:pStyle w:val="16"/>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供应商银行帐号</w:t>
      </w:r>
      <w:r>
        <w:rPr>
          <w:rFonts w:hint="eastAsia" w:ascii="微软雅黑" w:hAnsi="微软雅黑" w:eastAsia="微软雅黑" w:cs="微软雅黑"/>
          <w:color w:val="auto"/>
          <w:sz w:val="22"/>
          <w:szCs w:val="22"/>
          <w:highlight w:val="none"/>
          <w:u w:val="single"/>
        </w:rPr>
        <w:t>　　　　　　　　 　　</w:t>
      </w:r>
    </w:p>
    <w:p w14:paraId="3C82CA2A">
      <w:pPr>
        <w:pStyle w:val="16"/>
        <w:tabs>
          <w:tab w:val="left" w:pos="5580"/>
        </w:tabs>
        <w:spacing w:line="400" w:lineRule="exact"/>
        <w:ind w:left="1080" w:leftChars="257" w:hanging="540"/>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日</w:t>
      </w:r>
      <w:r>
        <w:rPr>
          <w:rFonts w:hint="eastAsia" w:ascii="微软雅黑" w:hAnsi="微软雅黑" w:eastAsia="微软雅黑" w:cs="微软雅黑"/>
          <w:color w:val="auto"/>
          <w:sz w:val="22"/>
          <w:szCs w:val="22"/>
          <w:highlight w:val="none"/>
          <w:lang w:val="en-US" w:eastAsia="zh-CN"/>
        </w:rPr>
        <w:t xml:space="preserve"> </w:t>
      </w:r>
      <w:r>
        <w:rPr>
          <w:rFonts w:hint="eastAsia" w:ascii="微软雅黑" w:hAnsi="微软雅黑" w:eastAsia="微软雅黑" w:cs="微软雅黑"/>
          <w:color w:val="auto"/>
          <w:sz w:val="22"/>
          <w:szCs w:val="22"/>
          <w:highlight w:val="none"/>
        </w:rPr>
        <w:t>期</w:t>
      </w:r>
      <w:r>
        <w:rPr>
          <w:rFonts w:hint="eastAsia" w:ascii="微软雅黑" w:hAnsi="微软雅黑" w:eastAsia="微软雅黑" w:cs="微软雅黑"/>
          <w:color w:val="auto"/>
          <w:sz w:val="22"/>
          <w:szCs w:val="22"/>
          <w:highlight w:val="none"/>
          <w:u w:val="single"/>
        </w:rPr>
        <w:t xml:space="preserve">                </w:t>
      </w:r>
      <w:bookmarkStart w:id="1832" w:name="_Toc1266"/>
      <w:bookmarkStart w:id="1833" w:name="_Toc19819"/>
      <w:bookmarkStart w:id="1834" w:name="_Toc30947"/>
      <w:bookmarkStart w:id="1835" w:name="_Toc14219"/>
      <w:bookmarkStart w:id="1836" w:name="_Toc23473"/>
      <w:bookmarkStart w:id="1837" w:name="_Toc6738"/>
    </w:p>
    <w:p w14:paraId="0577DCAA">
      <w:pPr>
        <w:rPr>
          <w:rFonts w:hint="eastAsia" w:ascii="微软雅黑" w:hAnsi="微软雅黑" w:eastAsia="微软雅黑" w:cs="微软雅黑"/>
          <w:b/>
          <w:bCs/>
          <w:color w:val="auto"/>
          <w:sz w:val="22"/>
          <w:szCs w:val="22"/>
          <w:highlight w:val="none"/>
        </w:rPr>
      </w:pPr>
      <w:bookmarkStart w:id="1838" w:name="_Toc17187"/>
      <w:r>
        <w:rPr>
          <w:rFonts w:hint="eastAsia" w:ascii="微软雅黑" w:hAnsi="微软雅黑" w:eastAsia="微软雅黑" w:cs="微软雅黑"/>
          <w:b/>
          <w:bCs/>
          <w:color w:val="auto"/>
          <w:sz w:val="22"/>
          <w:szCs w:val="22"/>
          <w:highlight w:val="none"/>
        </w:rPr>
        <w:br w:type="page"/>
      </w:r>
    </w:p>
    <w:bookmarkEnd w:id="1832"/>
    <w:bookmarkEnd w:id="1833"/>
    <w:bookmarkEnd w:id="1834"/>
    <w:bookmarkEnd w:id="1835"/>
    <w:bookmarkEnd w:id="1836"/>
    <w:bookmarkEnd w:id="1837"/>
    <w:bookmarkEnd w:id="1838"/>
    <w:p w14:paraId="71753AED">
      <w:pPr>
        <w:pStyle w:val="16"/>
        <w:spacing w:line="240" w:lineRule="atLeast"/>
        <w:jc w:val="center"/>
        <w:outlineLvl w:val="1"/>
        <w:rPr>
          <w:rFonts w:hint="eastAsia" w:ascii="微软雅黑" w:hAnsi="微软雅黑" w:eastAsia="微软雅黑" w:cs="微软雅黑"/>
          <w:color w:val="auto"/>
          <w:sz w:val="22"/>
          <w:szCs w:val="22"/>
          <w:highlight w:val="none"/>
          <w:lang w:eastAsia="zh-CN"/>
        </w:rPr>
      </w:pPr>
      <w:bookmarkStart w:id="1839" w:name="_Toc15352"/>
      <w:bookmarkStart w:id="1840" w:name="_Toc12941"/>
      <w:bookmarkStart w:id="1841" w:name="_Toc216582817"/>
      <w:bookmarkStart w:id="1842" w:name="_Toc28959"/>
      <w:bookmarkStart w:id="1843" w:name="_Toc22563"/>
      <w:bookmarkStart w:id="1844" w:name="_Toc515647820"/>
      <w:r>
        <w:rPr>
          <w:rFonts w:hint="eastAsia" w:ascii="微软雅黑" w:hAnsi="微软雅黑" w:eastAsia="微软雅黑" w:cs="微软雅黑"/>
          <w:b/>
          <w:bCs/>
          <w:color w:val="auto"/>
          <w:sz w:val="22"/>
          <w:szCs w:val="22"/>
          <w:highlight w:val="none"/>
        </w:rPr>
        <w:t>2</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rPr>
        <w:t>投标分项报价表</w:t>
      </w:r>
      <w:bookmarkEnd w:id="1839"/>
      <w:bookmarkEnd w:id="1840"/>
    </w:p>
    <w:p w14:paraId="796161B0">
      <w:pPr>
        <w:pStyle w:val="16"/>
        <w:keepNext w:val="0"/>
        <w:keepLines w:val="0"/>
        <w:pageBreakBefore w:val="0"/>
        <w:widowControl w:val="0"/>
        <w:kinsoku/>
        <w:wordWrap/>
        <w:overflowPunct/>
        <w:topLinePunct w:val="0"/>
        <w:autoSpaceDE/>
        <w:autoSpaceDN/>
        <w:bidi w:val="0"/>
        <w:adjustRightInd/>
        <w:snapToGrid/>
        <w:spacing w:line="400" w:lineRule="exact"/>
        <w:ind w:left="540" w:leftChars="257" w:firstLine="0"/>
        <w:jc w:val="left"/>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rPr>
        <w:t>项目名称:                      项目编号:                       　 　          报价单位：人民币</w:t>
      </w:r>
      <w:r>
        <w:rPr>
          <w:rFonts w:hint="eastAsia" w:ascii="微软雅黑" w:hAnsi="微软雅黑" w:eastAsia="微软雅黑" w:cs="微软雅黑"/>
          <w:color w:val="auto"/>
          <w:sz w:val="22"/>
          <w:szCs w:val="22"/>
          <w:highlight w:val="none"/>
          <w:lang w:val="en-US" w:eastAsia="zh-CN"/>
        </w:rPr>
        <w:t xml:space="preserve"> </w:t>
      </w:r>
      <w:r>
        <w:rPr>
          <w:rFonts w:hint="eastAsia" w:ascii="微软雅黑" w:hAnsi="微软雅黑" w:eastAsia="微软雅黑" w:cs="微软雅黑"/>
          <w:b/>
          <w:bCs/>
          <w:color w:val="auto"/>
          <w:sz w:val="22"/>
          <w:szCs w:val="22"/>
          <w:highlight w:val="none"/>
        </w:rPr>
        <w:t>元</w:t>
      </w:r>
      <w:r>
        <w:rPr>
          <w:rFonts w:hint="eastAsia" w:ascii="微软雅黑" w:hAnsi="微软雅黑" w:eastAsia="微软雅黑" w:cs="微软雅黑"/>
          <w:b/>
          <w:bCs/>
          <w:color w:val="auto"/>
          <w:sz w:val="22"/>
          <w:szCs w:val="22"/>
          <w:highlight w:val="none"/>
          <w:lang w:val="en-US" w:eastAsia="zh-CN"/>
        </w:rPr>
        <w:t xml:space="preserve">           </w:t>
      </w:r>
      <w:r>
        <w:rPr>
          <w:rFonts w:hint="eastAsia" w:ascii="微软雅黑" w:hAnsi="微软雅黑" w:eastAsia="微软雅黑" w:cs="微软雅黑"/>
          <w:b w:val="0"/>
          <w:bCs w:val="0"/>
          <w:color w:val="auto"/>
          <w:sz w:val="22"/>
          <w:szCs w:val="22"/>
          <w:highlight w:val="none"/>
          <w:lang w:val="en-US" w:eastAsia="zh-CN"/>
        </w:rPr>
        <w:t xml:space="preserve"> </w:t>
      </w:r>
      <w:r>
        <w:rPr>
          <w:rFonts w:hint="eastAsia" w:ascii="微软雅黑" w:hAnsi="微软雅黑" w:eastAsia="微软雅黑" w:cs="微软雅黑"/>
          <w:color w:val="auto"/>
          <w:sz w:val="22"/>
          <w:szCs w:val="22"/>
          <w:highlight w:val="none"/>
          <w:lang w:val="en-US" w:eastAsia="zh-CN"/>
        </w:rPr>
        <w:t>标项：（如有）</w:t>
      </w:r>
    </w:p>
    <w:tbl>
      <w:tblPr>
        <w:tblStyle w:val="97"/>
        <w:tblW w:w="101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
      <w:tblGrid>
        <w:gridCol w:w="384"/>
        <w:gridCol w:w="1151"/>
        <w:gridCol w:w="472"/>
        <w:gridCol w:w="524"/>
        <w:gridCol w:w="524"/>
        <w:gridCol w:w="711"/>
        <w:gridCol w:w="966"/>
        <w:gridCol w:w="770"/>
        <w:gridCol w:w="770"/>
        <w:gridCol w:w="714"/>
        <w:gridCol w:w="691"/>
        <w:gridCol w:w="623"/>
        <w:gridCol w:w="554"/>
        <w:gridCol w:w="1250"/>
      </w:tblGrid>
      <w:tr w14:paraId="1A72F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941" w:hRule="atLeast"/>
          <w:jc w:val="center"/>
        </w:trPr>
        <w:tc>
          <w:tcPr>
            <w:tcW w:w="384" w:type="dxa"/>
            <w:shd w:val="clear" w:color="auto" w:fill="auto"/>
            <w:noWrap w:val="0"/>
            <w:textDirection w:val="tbRlV"/>
            <w:vAlign w:val="center"/>
          </w:tcPr>
          <w:p w14:paraId="013675D8">
            <w:pPr>
              <w:pStyle w:val="115"/>
              <w:shd w:val="clear" w:color="auto" w:fill="auto"/>
              <w:spacing w:before="78" w:line="466" w:lineRule="exact"/>
              <w:ind w:left="199"/>
              <w:jc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编 号</w:t>
            </w:r>
          </w:p>
        </w:tc>
        <w:tc>
          <w:tcPr>
            <w:tcW w:w="1151" w:type="dxa"/>
            <w:shd w:val="clear" w:color="auto" w:fill="auto"/>
            <w:noWrap w:val="0"/>
            <w:vAlign w:val="center"/>
          </w:tcPr>
          <w:p w14:paraId="3EF5B1CF">
            <w:pPr>
              <w:pStyle w:val="115"/>
              <w:shd w:val="clear" w:color="auto" w:fill="auto"/>
              <w:spacing w:before="78" w:line="466" w:lineRule="exact"/>
              <w:ind w:left="199"/>
              <w:jc w:val="center"/>
              <w:rPr>
                <w:rFonts w:hint="eastAsia" w:ascii="微软雅黑" w:hAnsi="微软雅黑" w:eastAsia="微软雅黑" w:cs="微软雅黑"/>
                <w:b w:val="0"/>
                <w:bCs w:val="0"/>
                <w:color w:val="auto"/>
                <w:kern w:val="2"/>
                <w:sz w:val="22"/>
                <w:szCs w:val="22"/>
                <w:highlight w:val="none"/>
                <w:lang w:val="en-US" w:eastAsia="zh-CN" w:bidi="ar-SA"/>
              </w:rPr>
            </w:pPr>
          </w:p>
          <w:p w14:paraId="1B3D08F2">
            <w:pPr>
              <w:pStyle w:val="115"/>
              <w:shd w:val="clear" w:color="auto" w:fill="auto"/>
              <w:spacing w:before="78" w:line="466" w:lineRule="exact"/>
              <w:jc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标的名称</w:t>
            </w:r>
          </w:p>
        </w:tc>
        <w:tc>
          <w:tcPr>
            <w:tcW w:w="472" w:type="dxa"/>
            <w:shd w:val="clear" w:color="auto" w:fill="auto"/>
            <w:noWrap w:val="0"/>
            <w:textDirection w:val="tbRlV"/>
            <w:vAlign w:val="center"/>
          </w:tcPr>
          <w:p w14:paraId="650ADB3E">
            <w:pPr>
              <w:pStyle w:val="115"/>
              <w:shd w:val="clear" w:color="auto" w:fill="auto"/>
              <w:spacing w:before="78" w:line="466" w:lineRule="exact"/>
              <w:ind w:left="199"/>
              <w:jc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品 牌</w:t>
            </w:r>
          </w:p>
        </w:tc>
        <w:tc>
          <w:tcPr>
            <w:tcW w:w="524" w:type="dxa"/>
            <w:shd w:val="clear" w:color="auto" w:fill="auto"/>
            <w:noWrap w:val="0"/>
            <w:vAlign w:val="center"/>
          </w:tcPr>
          <w:p w14:paraId="5E3F616D">
            <w:pPr>
              <w:pStyle w:val="115"/>
              <w:shd w:val="clear" w:color="auto" w:fill="auto"/>
              <w:spacing w:before="78" w:line="466" w:lineRule="exact"/>
              <w:jc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规格</w:t>
            </w:r>
          </w:p>
        </w:tc>
        <w:tc>
          <w:tcPr>
            <w:tcW w:w="524" w:type="dxa"/>
            <w:shd w:val="clear" w:color="auto" w:fill="auto"/>
            <w:noWrap w:val="0"/>
            <w:vAlign w:val="center"/>
          </w:tcPr>
          <w:p w14:paraId="42D48F75">
            <w:pPr>
              <w:pStyle w:val="115"/>
              <w:shd w:val="clear" w:color="auto" w:fill="auto"/>
              <w:spacing w:before="78" w:line="466" w:lineRule="exact"/>
              <w:jc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型号</w:t>
            </w:r>
          </w:p>
        </w:tc>
        <w:tc>
          <w:tcPr>
            <w:tcW w:w="711" w:type="dxa"/>
            <w:shd w:val="clear" w:color="auto" w:fill="auto"/>
            <w:noWrap w:val="0"/>
            <w:vAlign w:val="center"/>
          </w:tcPr>
          <w:p w14:paraId="116FEAC8">
            <w:pPr>
              <w:pStyle w:val="115"/>
              <w:shd w:val="clear" w:color="auto" w:fill="auto"/>
              <w:spacing w:before="78" w:line="466" w:lineRule="exact"/>
              <w:jc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制造商名称</w:t>
            </w:r>
          </w:p>
        </w:tc>
        <w:tc>
          <w:tcPr>
            <w:tcW w:w="966" w:type="dxa"/>
            <w:shd w:val="clear" w:color="auto" w:fill="auto"/>
            <w:noWrap w:val="0"/>
            <w:textDirection w:val="tbRlV"/>
            <w:vAlign w:val="center"/>
          </w:tcPr>
          <w:p w14:paraId="5CBA9209">
            <w:pPr>
              <w:pStyle w:val="115"/>
              <w:shd w:val="clear" w:color="auto" w:fill="auto"/>
              <w:spacing w:before="78" w:line="466" w:lineRule="exact"/>
              <w:jc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制造商名称及规模</w:t>
            </w:r>
          </w:p>
        </w:tc>
        <w:tc>
          <w:tcPr>
            <w:tcW w:w="770" w:type="dxa"/>
            <w:shd w:val="clear" w:color="auto" w:fill="auto"/>
            <w:noWrap w:val="0"/>
            <w:textDirection w:val="tbRlV"/>
            <w:vAlign w:val="center"/>
          </w:tcPr>
          <w:p w14:paraId="6DAD6366">
            <w:pPr>
              <w:pStyle w:val="115"/>
              <w:shd w:val="clear" w:color="auto" w:fill="auto"/>
              <w:spacing w:before="78" w:line="466" w:lineRule="exact"/>
              <w:jc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投标人规模</w:t>
            </w:r>
          </w:p>
        </w:tc>
        <w:tc>
          <w:tcPr>
            <w:tcW w:w="770" w:type="dxa"/>
            <w:shd w:val="clear" w:color="auto" w:fill="auto"/>
            <w:noWrap w:val="0"/>
            <w:textDirection w:val="tbRlV"/>
            <w:vAlign w:val="center"/>
          </w:tcPr>
          <w:p w14:paraId="04EBA4E6">
            <w:pPr>
              <w:pStyle w:val="115"/>
              <w:shd w:val="clear" w:color="auto" w:fill="auto"/>
              <w:spacing w:before="78" w:line="466" w:lineRule="exact"/>
              <w:jc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产 地</w:t>
            </w:r>
          </w:p>
        </w:tc>
        <w:tc>
          <w:tcPr>
            <w:tcW w:w="714" w:type="dxa"/>
            <w:shd w:val="clear" w:color="auto" w:fill="auto"/>
            <w:noWrap w:val="0"/>
            <w:textDirection w:val="tbRlV"/>
            <w:vAlign w:val="center"/>
          </w:tcPr>
          <w:p w14:paraId="580D5CF1">
            <w:pPr>
              <w:pStyle w:val="115"/>
              <w:shd w:val="clear" w:color="auto" w:fill="auto"/>
              <w:spacing w:before="78" w:line="466" w:lineRule="exact"/>
              <w:ind w:left="199"/>
              <w:jc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数 量</w:t>
            </w:r>
          </w:p>
        </w:tc>
        <w:tc>
          <w:tcPr>
            <w:tcW w:w="691" w:type="dxa"/>
            <w:shd w:val="clear" w:color="auto" w:fill="auto"/>
            <w:noWrap w:val="0"/>
            <w:textDirection w:val="tbRlV"/>
            <w:vAlign w:val="center"/>
          </w:tcPr>
          <w:p w14:paraId="20950BEE">
            <w:pPr>
              <w:pStyle w:val="115"/>
              <w:shd w:val="clear" w:color="auto" w:fill="auto"/>
              <w:spacing w:before="78" w:line="466" w:lineRule="exact"/>
              <w:ind w:left="199"/>
              <w:jc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单 位</w:t>
            </w:r>
          </w:p>
        </w:tc>
        <w:tc>
          <w:tcPr>
            <w:tcW w:w="623" w:type="dxa"/>
            <w:shd w:val="clear" w:color="auto" w:fill="auto"/>
            <w:noWrap w:val="0"/>
            <w:textDirection w:val="tbRlV"/>
            <w:vAlign w:val="center"/>
          </w:tcPr>
          <w:p w14:paraId="40272244">
            <w:pPr>
              <w:pStyle w:val="115"/>
              <w:shd w:val="clear" w:color="auto" w:fill="auto"/>
              <w:spacing w:before="78" w:line="466" w:lineRule="exact"/>
              <w:ind w:left="199"/>
              <w:jc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单 价</w:t>
            </w:r>
          </w:p>
        </w:tc>
        <w:tc>
          <w:tcPr>
            <w:tcW w:w="554" w:type="dxa"/>
            <w:shd w:val="clear" w:color="auto" w:fill="auto"/>
            <w:noWrap w:val="0"/>
            <w:textDirection w:val="tbRlV"/>
            <w:vAlign w:val="center"/>
          </w:tcPr>
          <w:p w14:paraId="0203A469">
            <w:pPr>
              <w:pStyle w:val="115"/>
              <w:shd w:val="clear" w:color="auto" w:fill="auto"/>
              <w:spacing w:before="78" w:line="466" w:lineRule="exact"/>
              <w:ind w:left="199"/>
              <w:jc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合 价</w:t>
            </w:r>
          </w:p>
        </w:tc>
        <w:tc>
          <w:tcPr>
            <w:tcW w:w="1250" w:type="dxa"/>
            <w:shd w:val="clear" w:color="auto" w:fill="auto"/>
            <w:noWrap w:val="0"/>
            <w:vAlign w:val="center"/>
          </w:tcPr>
          <w:p w14:paraId="2A873C0F">
            <w:pPr>
              <w:pStyle w:val="115"/>
              <w:shd w:val="clear" w:color="auto" w:fill="auto"/>
              <w:spacing w:before="78" w:line="466" w:lineRule="exact"/>
              <w:jc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备注（产品属性：环保；</w:t>
            </w:r>
          </w:p>
          <w:p w14:paraId="272D758C">
            <w:pPr>
              <w:pStyle w:val="115"/>
              <w:shd w:val="clear" w:color="auto" w:fill="auto"/>
              <w:spacing w:before="78" w:line="466" w:lineRule="exact"/>
              <w:jc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节能，节水；节能，节水，环保；非节能节水环保）</w:t>
            </w:r>
          </w:p>
        </w:tc>
      </w:tr>
      <w:tr w14:paraId="52E4F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91" w:hRule="atLeast"/>
          <w:jc w:val="center"/>
        </w:trPr>
        <w:tc>
          <w:tcPr>
            <w:tcW w:w="384" w:type="dxa"/>
            <w:shd w:val="clear" w:color="auto" w:fill="auto"/>
            <w:noWrap w:val="0"/>
            <w:vAlign w:val="center"/>
          </w:tcPr>
          <w:p w14:paraId="31B476C7">
            <w:pPr>
              <w:keepNext w:val="0"/>
              <w:keepLines w:val="0"/>
              <w:widowControl/>
              <w:suppressLineNumbers w:val="0"/>
              <w:spacing w:line="360" w:lineRule="auto"/>
              <w:jc w:val="center"/>
              <w:textAlignment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1</w:t>
            </w:r>
          </w:p>
        </w:tc>
        <w:tc>
          <w:tcPr>
            <w:tcW w:w="1151" w:type="dxa"/>
            <w:shd w:val="clear" w:color="auto" w:fill="auto"/>
            <w:noWrap w:val="0"/>
            <w:vAlign w:val="top"/>
          </w:tcPr>
          <w:p w14:paraId="66E30CCB">
            <w:pPr>
              <w:pStyle w:val="115"/>
              <w:shd w:val="clear" w:color="auto" w:fill="auto"/>
              <w:spacing w:before="78" w:line="466" w:lineRule="exact"/>
              <w:jc w:val="center"/>
              <w:rPr>
                <w:rFonts w:hint="eastAsia" w:ascii="微软雅黑" w:hAnsi="微软雅黑" w:eastAsia="微软雅黑" w:cs="微软雅黑"/>
                <w:b w:val="0"/>
                <w:bCs w:val="0"/>
                <w:color w:val="auto"/>
                <w:kern w:val="2"/>
                <w:sz w:val="22"/>
                <w:szCs w:val="22"/>
                <w:highlight w:val="none"/>
                <w:lang w:val="en-US" w:eastAsia="zh-CN" w:bidi="ar-SA"/>
              </w:rPr>
            </w:pPr>
          </w:p>
        </w:tc>
        <w:tc>
          <w:tcPr>
            <w:tcW w:w="472" w:type="dxa"/>
            <w:shd w:val="clear" w:color="auto" w:fill="auto"/>
            <w:noWrap w:val="0"/>
            <w:vAlign w:val="top"/>
          </w:tcPr>
          <w:p w14:paraId="3478C64B">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524" w:type="dxa"/>
            <w:shd w:val="clear" w:color="auto" w:fill="auto"/>
            <w:noWrap w:val="0"/>
            <w:vAlign w:val="top"/>
          </w:tcPr>
          <w:p w14:paraId="6C6EAB1B">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524" w:type="dxa"/>
            <w:shd w:val="clear" w:color="auto" w:fill="auto"/>
            <w:noWrap w:val="0"/>
            <w:vAlign w:val="top"/>
          </w:tcPr>
          <w:p w14:paraId="070B6835">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11" w:type="dxa"/>
            <w:shd w:val="clear" w:color="auto" w:fill="auto"/>
            <w:noWrap w:val="0"/>
            <w:vAlign w:val="top"/>
          </w:tcPr>
          <w:p w14:paraId="698060D4">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966" w:type="dxa"/>
            <w:shd w:val="clear" w:color="auto" w:fill="auto"/>
            <w:noWrap w:val="0"/>
            <w:vAlign w:val="top"/>
          </w:tcPr>
          <w:p w14:paraId="5FF0A5D5">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70" w:type="dxa"/>
            <w:shd w:val="clear" w:color="auto" w:fill="auto"/>
            <w:noWrap w:val="0"/>
            <w:vAlign w:val="top"/>
          </w:tcPr>
          <w:p w14:paraId="5ABFF530">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70" w:type="dxa"/>
            <w:shd w:val="clear" w:color="auto" w:fill="auto"/>
            <w:noWrap w:val="0"/>
            <w:vAlign w:val="top"/>
          </w:tcPr>
          <w:p w14:paraId="089D423D">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14" w:type="dxa"/>
            <w:shd w:val="clear" w:color="auto" w:fill="auto"/>
            <w:noWrap w:val="0"/>
            <w:vAlign w:val="top"/>
          </w:tcPr>
          <w:p w14:paraId="6D17C16C">
            <w:pPr>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微软雅黑" w:hAnsi="微软雅黑" w:eastAsia="微软雅黑" w:cs="微软雅黑"/>
                <w:b w:val="0"/>
                <w:bCs w:val="0"/>
                <w:color w:val="auto"/>
                <w:kern w:val="2"/>
                <w:sz w:val="22"/>
                <w:szCs w:val="22"/>
                <w:highlight w:val="none"/>
                <w:lang w:val="en-US" w:eastAsia="zh-CN" w:bidi="ar-SA"/>
              </w:rPr>
            </w:pPr>
          </w:p>
        </w:tc>
        <w:tc>
          <w:tcPr>
            <w:tcW w:w="691" w:type="dxa"/>
            <w:shd w:val="clear" w:color="auto" w:fill="auto"/>
            <w:noWrap w:val="0"/>
            <w:vAlign w:val="top"/>
          </w:tcPr>
          <w:p w14:paraId="501995CC">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623" w:type="dxa"/>
            <w:shd w:val="clear" w:color="auto" w:fill="auto"/>
            <w:noWrap w:val="0"/>
            <w:vAlign w:val="top"/>
          </w:tcPr>
          <w:p w14:paraId="085F2F22">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554" w:type="dxa"/>
            <w:shd w:val="clear" w:color="auto" w:fill="auto"/>
            <w:noWrap w:val="0"/>
            <w:vAlign w:val="top"/>
          </w:tcPr>
          <w:p w14:paraId="2B909DEB">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1250" w:type="dxa"/>
            <w:shd w:val="clear" w:color="auto" w:fill="auto"/>
            <w:noWrap w:val="0"/>
            <w:vAlign w:val="top"/>
          </w:tcPr>
          <w:p w14:paraId="1FABF1CB">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r>
      <w:tr w14:paraId="45B208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91" w:hRule="atLeast"/>
          <w:jc w:val="center"/>
        </w:trPr>
        <w:tc>
          <w:tcPr>
            <w:tcW w:w="384" w:type="dxa"/>
            <w:shd w:val="clear" w:color="auto" w:fill="auto"/>
            <w:noWrap w:val="0"/>
            <w:vAlign w:val="center"/>
          </w:tcPr>
          <w:p w14:paraId="72542FA8">
            <w:pPr>
              <w:keepNext w:val="0"/>
              <w:keepLines w:val="0"/>
              <w:widowControl/>
              <w:suppressLineNumbers w:val="0"/>
              <w:spacing w:line="360" w:lineRule="auto"/>
              <w:jc w:val="center"/>
              <w:textAlignment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2</w:t>
            </w:r>
          </w:p>
        </w:tc>
        <w:tc>
          <w:tcPr>
            <w:tcW w:w="1151" w:type="dxa"/>
            <w:shd w:val="clear" w:color="auto" w:fill="auto"/>
            <w:noWrap w:val="0"/>
            <w:vAlign w:val="top"/>
          </w:tcPr>
          <w:p w14:paraId="7D7BE1F5">
            <w:pPr>
              <w:pStyle w:val="115"/>
              <w:shd w:val="clear" w:color="auto" w:fill="auto"/>
              <w:spacing w:before="78" w:line="466" w:lineRule="exact"/>
              <w:jc w:val="center"/>
              <w:rPr>
                <w:rFonts w:hint="eastAsia" w:ascii="微软雅黑" w:hAnsi="微软雅黑" w:eastAsia="微软雅黑" w:cs="微软雅黑"/>
                <w:b w:val="0"/>
                <w:bCs w:val="0"/>
                <w:color w:val="auto"/>
                <w:kern w:val="2"/>
                <w:sz w:val="22"/>
                <w:szCs w:val="22"/>
                <w:highlight w:val="none"/>
                <w:lang w:val="en-US" w:eastAsia="zh-CN" w:bidi="ar-SA"/>
              </w:rPr>
            </w:pPr>
          </w:p>
        </w:tc>
        <w:tc>
          <w:tcPr>
            <w:tcW w:w="472" w:type="dxa"/>
            <w:shd w:val="clear" w:color="auto" w:fill="auto"/>
            <w:noWrap w:val="0"/>
            <w:vAlign w:val="top"/>
          </w:tcPr>
          <w:p w14:paraId="5CBF2D8E">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524" w:type="dxa"/>
            <w:shd w:val="clear" w:color="auto" w:fill="auto"/>
            <w:noWrap w:val="0"/>
            <w:vAlign w:val="top"/>
          </w:tcPr>
          <w:p w14:paraId="305909BF">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524" w:type="dxa"/>
            <w:shd w:val="clear" w:color="auto" w:fill="auto"/>
            <w:noWrap w:val="0"/>
            <w:vAlign w:val="top"/>
          </w:tcPr>
          <w:p w14:paraId="5002D109">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11" w:type="dxa"/>
            <w:shd w:val="clear" w:color="auto" w:fill="auto"/>
            <w:noWrap w:val="0"/>
            <w:vAlign w:val="top"/>
          </w:tcPr>
          <w:p w14:paraId="7E52BE22">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966" w:type="dxa"/>
            <w:shd w:val="clear" w:color="auto" w:fill="auto"/>
            <w:noWrap w:val="0"/>
            <w:vAlign w:val="top"/>
          </w:tcPr>
          <w:p w14:paraId="31C43D8E">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70" w:type="dxa"/>
            <w:shd w:val="clear" w:color="auto" w:fill="auto"/>
            <w:noWrap w:val="0"/>
            <w:vAlign w:val="top"/>
          </w:tcPr>
          <w:p w14:paraId="7F3D9061">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70" w:type="dxa"/>
            <w:shd w:val="clear" w:color="auto" w:fill="auto"/>
            <w:noWrap w:val="0"/>
            <w:vAlign w:val="top"/>
          </w:tcPr>
          <w:p w14:paraId="6BCEAB31">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14" w:type="dxa"/>
            <w:shd w:val="clear" w:color="auto" w:fill="auto"/>
            <w:noWrap w:val="0"/>
            <w:vAlign w:val="top"/>
          </w:tcPr>
          <w:p w14:paraId="071F0D06">
            <w:pPr>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微软雅黑" w:hAnsi="微软雅黑" w:eastAsia="微软雅黑" w:cs="微软雅黑"/>
                <w:b w:val="0"/>
                <w:bCs w:val="0"/>
                <w:color w:val="auto"/>
                <w:kern w:val="2"/>
                <w:sz w:val="22"/>
                <w:szCs w:val="22"/>
                <w:highlight w:val="none"/>
                <w:lang w:val="en-US" w:eastAsia="zh-CN" w:bidi="ar-SA"/>
              </w:rPr>
            </w:pPr>
          </w:p>
        </w:tc>
        <w:tc>
          <w:tcPr>
            <w:tcW w:w="691" w:type="dxa"/>
            <w:shd w:val="clear" w:color="auto" w:fill="auto"/>
            <w:noWrap w:val="0"/>
            <w:vAlign w:val="top"/>
          </w:tcPr>
          <w:p w14:paraId="481A88B8">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623" w:type="dxa"/>
            <w:shd w:val="clear" w:color="auto" w:fill="auto"/>
            <w:noWrap w:val="0"/>
            <w:vAlign w:val="top"/>
          </w:tcPr>
          <w:p w14:paraId="51DD03D4">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554" w:type="dxa"/>
            <w:shd w:val="clear" w:color="auto" w:fill="auto"/>
            <w:noWrap w:val="0"/>
            <w:vAlign w:val="top"/>
          </w:tcPr>
          <w:p w14:paraId="58B13C12">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1250" w:type="dxa"/>
            <w:shd w:val="clear" w:color="auto" w:fill="auto"/>
            <w:noWrap w:val="0"/>
            <w:vAlign w:val="top"/>
          </w:tcPr>
          <w:p w14:paraId="57F40D31">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r>
      <w:tr w14:paraId="5F5522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92" w:hRule="atLeast"/>
          <w:jc w:val="center"/>
        </w:trPr>
        <w:tc>
          <w:tcPr>
            <w:tcW w:w="384" w:type="dxa"/>
            <w:shd w:val="clear" w:color="auto" w:fill="auto"/>
            <w:noWrap w:val="0"/>
            <w:vAlign w:val="center"/>
          </w:tcPr>
          <w:p w14:paraId="5C661ED5">
            <w:pPr>
              <w:keepNext w:val="0"/>
              <w:keepLines w:val="0"/>
              <w:widowControl/>
              <w:suppressLineNumbers w:val="0"/>
              <w:spacing w:line="360" w:lineRule="auto"/>
              <w:jc w:val="center"/>
              <w:textAlignment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3</w:t>
            </w:r>
          </w:p>
        </w:tc>
        <w:tc>
          <w:tcPr>
            <w:tcW w:w="1151" w:type="dxa"/>
            <w:shd w:val="clear" w:color="auto" w:fill="auto"/>
            <w:noWrap w:val="0"/>
            <w:vAlign w:val="top"/>
          </w:tcPr>
          <w:p w14:paraId="7F1DB8C2">
            <w:pPr>
              <w:pStyle w:val="115"/>
              <w:shd w:val="clear" w:color="auto" w:fill="auto"/>
              <w:spacing w:before="78" w:line="466" w:lineRule="exact"/>
              <w:jc w:val="center"/>
              <w:rPr>
                <w:rFonts w:hint="eastAsia" w:ascii="微软雅黑" w:hAnsi="微软雅黑" w:eastAsia="微软雅黑" w:cs="微软雅黑"/>
                <w:b w:val="0"/>
                <w:bCs w:val="0"/>
                <w:color w:val="auto"/>
                <w:kern w:val="2"/>
                <w:sz w:val="22"/>
                <w:szCs w:val="22"/>
                <w:highlight w:val="none"/>
                <w:lang w:val="en-US" w:eastAsia="zh-CN" w:bidi="ar-SA"/>
              </w:rPr>
            </w:pPr>
          </w:p>
        </w:tc>
        <w:tc>
          <w:tcPr>
            <w:tcW w:w="472" w:type="dxa"/>
            <w:shd w:val="clear" w:color="auto" w:fill="auto"/>
            <w:noWrap w:val="0"/>
            <w:vAlign w:val="top"/>
          </w:tcPr>
          <w:p w14:paraId="3A4C0418">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524" w:type="dxa"/>
            <w:shd w:val="clear" w:color="auto" w:fill="auto"/>
            <w:noWrap w:val="0"/>
            <w:vAlign w:val="top"/>
          </w:tcPr>
          <w:p w14:paraId="7E642EB0">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524" w:type="dxa"/>
            <w:shd w:val="clear" w:color="auto" w:fill="auto"/>
            <w:noWrap w:val="0"/>
            <w:vAlign w:val="top"/>
          </w:tcPr>
          <w:p w14:paraId="357F56B8">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11" w:type="dxa"/>
            <w:shd w:val="clear" w:color="auto" w:fill="auto"/>
            <w:noWrap w:val="0"/>
            <w:vAlign w:val="top"/>
          </w:tcPr>
          <w:p w14:paraId="0155E133">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966" w:type="dxa"/>
            <w:shd w:val="clear" w:color="auto" w:fill="auto"/>
            <w:noWrap w:val="0"/>
            <w:vAlign w:val="top"/>
          </w:tcPr>
          <w:p w14:paraId="1E195E70">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70" w:type="dxa"/>
            <w:shd w:val="clear" w:color="auto" w:fill="auto"/>
            <w:noWrap w:val="0"/>
            <w:vAlign w:val="top"/>
          </w:tcPr>
          <w:p w14:paraId="193198F5">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70" w:type="dxa"/>
            <w:shd w:val="clear" w:color="auto" w:fill="auto"/>
            <w:noWrap w:val="0"/>
            <w:vAlign w:val="top"/>
          </w:tcPr>
          <w:p w14:paraId="75C057E7">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14" w:type="dxa"/>
            <w:shd w:val="clear" w:color="auto" w:fill="auto"/>
            <w:noWrap w:val="0"/>
            <w:vAlign w:val="top"/>
          </w:tcPr>
          <w:p w14:paraId="1E9067B5">
            <w:pPr>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微软雅黑" w:hAnsi="微软雅黑" w:eastAsia="微软雅黑" w:cs="微软雅黑"/>
                <w:b w:val="0"/>
                <w:bCs w:val="0"/>
                <w:color w:val="auto"/>
                <w:kern w:val="2"/>
                <w:sz w:val="22"/>
                <w:szCs w:val="22"/>
                <w:highlight w:val="none"/>
                <w:lang w:val="en-US" w:eastAsia="zh-CN" w:bidi="ar-SA"/>
              </w:rPr>
            </w:pPr>
          </w:p>
        </w:tc>
        <w:tc>
          <w:tcPr>
            <w:tcW w:w="691" w:type="dxa"/>
            <w:shd w:val="clear" w:color="auto" w:fill="auto"/>
            <w:noWrap w:val="0"/>
            <w:vAlign w:val="top"/>
          </w:tcPr>
          <w:p w14:paraId="03E7A6D9">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623" w:type="dxa"/>
            <w:shd w:val="clear" w:color="auto" w:fill="auto"/>
            <w:noWrap w:val="0"/>
            <w:vAlign w:val="top"/>
          </w:tcPr>
          <w:p w14:paraId="0C30760F">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554" w:type="dxa"/>
            <w:shd w:val="clear" w:color="auto" w:fill="auto"/>
            <w:noWrap w:val="0"/>
            <w:vAlign w:val="top"/>
          </w:tcPr>
          <w:p w14:paraId="0F8E231E">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1250" w:type="dxa"/>
            <w:shd w:val="clear" w:color="auto" w:fill="auto"/>
            <w:noWrap w:val="0"/>
            <w:vAlign w:val="top"/>
          </w:tcPr>
          <w:p w14:paraId="6F00E27E">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r>
      <w:tr w14:paraId="32365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92" w:hRule="atLeast"/>
          <w:jc w:val="center"/>
        </w:trPr>
        <w:tc>
          <w:tcPr>
            <w:tcW w:w="384" w:type="dxa"/>
            <w:shd w:val="clear" w:color="auto" w:fill="auto"/>
            <w:noWrap w:val="0"/>
            <w:vAlign w:val="center"/>
          </w:tcPr>
          <w:p w14:paraId="2E86A176">
            <w:pPr>
              <w:keepNext w:val="0"/>
              <w:keepLines w:val="0"/>
              <w:widowControl/>
              <w:suppressLineNumbers w:val="0"/>
              <w:spacing w:line="360" w:lineRule="auto"/>
              <w:jc w:val="center"/>
              <w:textAlignment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4</w:t>
            </w:r>
          </w:p>
        </w:tc>
        <w:tc>
          <w:tcPr>
            <w:tcW w:w="1151" w:type="dxa"/>
            <w:shd w:val="clear" w:color="auto" w:fill="auto"/>
            <w:noWrap w:val="0"/>
            <w:vAlign w:val="top"/>
          </w:tcPr>
          <w:p w14:paraId="3CAF5C4A">
            <w:pPr>
              <w:pStyle w:val="115"/>
              <w:shd w:val="clear" w:color="auto" w:fill="auto"/>
              <w:spacing w:before="78" w:line="466" w:lineRule="exact"/>
              <w:jc w:val="center"/>
              <w:rPr>
                <w:rFonts w:hint="eastAsia" w:ascii="微软雅黑" w:hAnsi="微软雅黑" w:eastAsia="微软雅黑" w:cs="微软雅黑"/>
                <w:b w:val="0"/>
                <w:bCs w:val="0"/>
                <w:color w:val="auto"/>
                <w:kern w:val="2"/>
                <w:sz w:val="22"/>
                <w:szCs w:val="22"/>
                <w:highlight w:val="none"/>
                <w:lang w:val="en-US" w:eastAsia="zh-CN" w:bidi="ar-SA"/>
              </w:rPr>
            </w:pPr>
          </w:p>
        </w:tc>
        <w:tc>
          <w:tcPr>
            <w:tcW w:w="472" w:type="dxa"/>
            <w:shd w:val="clear" w:color="auto" w:fill="auto"/>
            <w:noWrap w:val="0"/>
            <w:vAlign w:val="top"/>
          </w:tcPr>
          <w:p w14:paraId="7A5BB98D">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524" w:type="dxa"/>
            <w:shd w:val="clear" w:color="auto" w:fill="auto"/>
            <w:noWrap w:val="0"/>
            <w:vAlign w:val="top"/>
          </w:tcPr>
          <w:p w14:paraId="611B4BD1">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524" w:type="dxa"/>
            <w:shd w:val="clear" w:color="auto" w:fill="auto"/>
            <w:noWrap w:val="0"/>
            <w:vAlign w:val="top"/>
          </w:tcPr>
          <w:p w14:paraId="67DADAC0">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11" w:type="dxa"/>
            <w:shd w:val="clear" w:color="auto" w:fill="auto"/>
            <w:noWrap w:val="0"/>
            <w:vAlign w:val="top"/>
          </w:tcPr>
          <w:p w14:paraId="0C5E47A9">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966" w:type="dxa"/>
            <w:shd w:val="clear" w:color="auto" w:fill="auto"/>
            <w:noWrap w:val="0"/>
            <w:vAlign w:val="top"/>
          </w:tcPr>
          <w:p w14:paraId="2CFA8E7B">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70" w:type="dxa"/>
            <w:shd w:val="clear" w:color="auto" w:fill="auto"/>
            <w:noWrap w:val="0"/>
            <w:vAlign w:val="top"/>
          </w:tcPr>
          <w:p w14:paraId="5419A491">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70" w:type="dxa"/>
            <w:shd w:val="clear" w:color="auto" w:fill="auto"/>
            <w:noWrap w:val="0"/>
            <w:vAlign w:val="top"/>
          </w:tcPr>
          <w:p w14:paraId="7C522318">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14" w:type="dxa"/>
            <w:shd w:val="clear" w:color="auto" w:fill="auto"/>
            <w:noWrap w:val="0"/>
            <w:vAlign w:val="top"/>
          </w:tcPr>
          <w:p w14:paraId="022D9795">
            <w:pPr>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微软雅黑" w:hAnsi="微软雅黑" w:eastAsia="微软雅黑" w:cs="微软雅黑"/>
                <w:b w:val="0"/>
                <w:bCs w:val="0"/>
                <w:color w:val="auto"/>
                <w:kern w:val="2"/>
                <w:sz w:val="22"/>
                <w:szCs w:val="22"/>
                <w:highlight w:val="none"/>
                <w:lang w:val="en-US" w:eastAsia="zh-CN" w:bidi="ar-SA"/>
              </w:rPr>
            </w:pPr>
          </w:p>
        </w:tc>
        <w:tc>
          <w:tcPr>
            <w:tcW w:w="691" w:type="dxa"/>
            <w:shd w:val="clear" w:color="auto" w:fill="auto"/>
            <w:noWrap w:val="0"/>
            <w:vAlign w:val="top"/>
          </w:tcPr>
          <w:p w14:paraId="74E05DA3">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623" w:type="dxa"/>
            <w:shd w:val="clear" w:color="auto" w:fill="auto"/>
            <w:noWrap w:val="0"/>
            <w:vAlign w:val="top"/>
          </w:tcPr>
          <w:p w14:paraId="7872AF4B">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554" w:type="dxa"/>
            <w:shd w:val="clear" w:color="auto" w:fill="auto"/>
            <w:noWrap w:val="0"/>
            <w:vAlign w:val="top"/>
          </w:tcPr>
          <w:p w14:paraId="5C60353E">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1250" w:type="dxa"/>
            <w:shd w:val="clear" w:color="auto" w:fill="auto"/>
            <w:noWrap w:val="0"/>
            <w:vAlign w:val="top"/>
          </w:tcPr>
          <w:p w14:paraId="28DF76D0">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r>
      <w:tr w14:paraId="5C779E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92" w:hRule="atLeast"/>
          <w:jc w:val="center"/>
        </w:trPr>
        <w:tc>
          <w:tcPr>
            <w:tcW w:w="384" w:type="dxa"/>
            <w:shd w:val="clear" w:color="auto" w:fill="auto"/>
            <w:noWrap w:val="0"/>
            <w:vAlign w:val="center"/>
          </w:tcPr>
          <w:p w14:paraId="35C7AE7B">
            <w:pPr>
              <w:keepNext w:val="0"/>
              <w:keepLines w:val="0"/>
              <w:widowControl/>
              <w:suppressLineNumbers w:val="0"/>
              <w:spacing w:line="360" w:lineRule="auto"/>
              <w:jc w:val="center"/>
              <w:textAlignment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5</w:t>
            </w:r>
          </w:p>
        </w:tc>
        <w:tc>
          <w:tcPr>
            <w:tcW w:w="1151" w:type="dxa"/>
            <w:shd w:val="clear" w:color="auto" w:fill="auto"/>
            <w:noWrap w:val="0"/>
            <w:vAlign w:val="top"/>
          </w:tcPr>
          <w:p w14:paraId="103FAF85">
            <w:pPr>
              <w:pStyle w:val="115"/>
              <w:shd w:val="clear" w:color="auto" w:fill="auto"/>
              <w:spacing w:before="78" w:line="466" w:lineRule="exact"/>
              <w:jc w:val="center"/>
              <w:rPr>
                <w:rFonts w:hint="eastAsia" w:ascii="微软雅黑" w:hAnsi="微软雅黑" w:eastAsia="微软雅黑" w:cs="微软雅黑"/>
                <w:b w:val="0"/>
                <w:bCs w:val="0"/>
                <w:color w:val="auto"/>
                <w:kern w:val="2"/>
                <w:sz w:val="22"/>
                <w:szCs w:val="22"/>
                <w:highlight w:val="none"/>
                <w:lang w:val="en-US" w:eastAsia="zh-CN" w:bidi="ar-SA"/>
              </w:rPr>
            </w:pPr>
          </w:p>
        </w:tc>
        <w:tc>
          <w:tcPr>
            <w:tcW w:w="472" w:type="dxa"/>
            <w:shd w:val="clear" w:color="auto" w:fill="auto"/>
            <w:noWrap w:val="0"/>
            <w:vAlign w:val="top"/>
          </w:tcPr>
          <w:p w14:paraId="088E59A6">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524" w:type="dxa"/>
            <w:shd w:val="clear" w:color="auto" w:fill="auto"/>
            <w:noWrap w:val="0"/>
            <w:vAlign w:val="top"/>
          </w:tcPr>
          <w:p w14:paraId="4F9094BB">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524" w:type="dxa"/>
            <w:shd w:val="clear" w:color="auto" w:fill="auto"/>
            <w:noWrap w:val="0"/>
            <w:vAlign w:val="top"/>
          </w:tcPr>
          <w:p w14:paraId="631F622E">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11" w:type="dxa"/>
            <w:shd w:val="clear" w:color="auto" w:fill="auto"/>
            <w:noWrap w:val="0"/>
            <w:vAlign w:val="top"/>
          </w:tcPr>
          <w:p w14:paraId="4AE74729">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966" w:type="dxa"/>
            <w:shd w:val="clear" w:color="auto" w:fill="auto"/>
            <w:noWrap w:val="0"/>
            <w:vAlign w:val="top"/>
          </w:tcPr>
          <w:p w14:paraId="610E20FB">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70" w:type="dxa"/>
            <w:shd w:val="clear" w:color="auto" w:fill="auto"/>
            <w:noWrap w:val="0"/>
            <w:vAlign w:val="top"/>
          </w:tcPr>
          <w:p w14:paraId="2955D678">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70" w:type="dxa"/>
            <w:shd w:val="clear" w:color="auto" w:fill="auto"/>
            <w:noWrap w:val="0"/>
            <w:vAlign w:val="top"/>
          </w:tcPr>
          <w:p w14:paraId="3F07EE13">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14" w:type="dxa"/>
            <w:shd w:val="clear" w:color="auto" w:fill="auto"/>
            <w:noWrap w:val="0"/>
            <w:vAlign w:val="top"/>
          </w:tcPr>
          <w:p w14:paraId="56AFCCC2">
            <w:pPr>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微软雅黑" w:hAnsi="微软雅黑" w:eastAsia="微软雅黑" w:cs="微软雅黑"/>
                <w:b w:val="0"/>
                <w:bCs w:val="0"/>
                <w:color w:val="auto"/>
                <w:kern w:val="2"/>
                <w:sz w:val="22"/>
                <w:szCs w:val="22"/>
                <w:highlight w:val="none"/>
                <w:lang w:val="en-US" w:eastAsia="zh-CN" w:bidi="ar-SA"/>
              </w:rPr>
            </w:pPr>
          </w:p>
        </w:tc>
        <w:tc>
          <w:tcPr>
            <w:tcW w:w="691" w:type="dxa"/>
            <w:shd w:val="clear" w:color="auto" w:fill="auto"/>
            <w:noWrap w:val="0"/>
            <w:vAlign w:val="top"/>
          </w:tcPr>
          <w:p w14:paraId="5D7CE373">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623" w:type="dxa"/>
            <w:shd w:val="clear" w:color="auto" w:fill="auto"/>
            <w:noWrap w:val="0"/>
            <w:vAlign w:val="top"/>
          </w:tcPr>
          <w:p w14:paraId="5253849D">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554" w:type="dxa"/>
            <w:shd w:val="clear" w:color="auto" w:fill="auto"/>
            <w:noWrap w:val="0"/>
            <w:vAlign w:val="top"/>
          </w:tcPr>
          <w:p w14:paraId="4C4507FA">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1250" w:type="dxa"/>
            <w:shd w:val="clear" w:color="auto" w:fill="auto"/>
            <w:noWrap w:val="0"/>
            <w:vAlign w:val="top"/>
          </w:tcPr>
          <w:p w14:paraId="336B933E">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r>
      <w:tr w14:paraId="2D8718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60" w:hRule="atLeast"/>
          <w:jc w:val="center"/>
        </w:trPr>
        <w:tc>
          <w:tcPr>
            <w:tcW w:w="384" w:type="dxa"/>
            <w:shd w:val="clear" w:color="auto" w:fill="auto"/>
            <w:noWrap w:val="0"/>
            <w:vAlign w:val="center"/>
          </w:tcPr>
          <w:p w14:paraId="77AA1931">
            <w:pPr>
              <w:keepNext w:val="0"/>
              <w:keepLines w:val="0"/>
              <w:widowControl/>
              <w:suppressLineNumbers w:val="0"/>
              <w:spacing w:line="360" w:lineRule="auto"/>
              <w:jc w:val="center"/>
              <w:textAlignment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6</w:t>
            </w:r>
          </w:p>
        </w:tc>
        <w:tc>
          <w:tcPr>
            <w:tcW w:w="1151" w:type="dxa"/>
            <w:shd w:val="clear" w:color="auto" w:fill="auto"/>
            <w:noWrap w:val="0"/>
            <w:vAlign w:val="top"/>
          </w:tcPr>
          <w:p w14:paraId="37A808D6">
            <w:pPr>
              <w:pStyle w:val="115"/>
              <w:shd w:val="clear" w:color="auto" w:fill="auto"/>
              <w:spacing w:before="78" w:line="466" w:lineRule="exact"/>
              <w:jc w:val="center"/>
              <w:rPr>
                <w:rFonts w:hint="eastAsia" w:ascii="微软雅黑" w:hAnsi="微软雅黑" w:eastAsia="微软雅黑" w:cs="微软雅黑"/>
                <w:b w:val="0"/>
                <w:bCs w:val="0"/>
                <w:color w:val="auto"/>
                <w:kern w:val="2"/>
                <w:sz w:val="22"/>
                <w:szCs w:val="22"/>
                <w:highlight w:val="none"/>
                <w:lang w:val="en-US" w:eastAsia="zh-CN" w:bidi="ar-SA"/>
              </w:rPr>
            </w:pPr>
          </w:p>
        </w:tc>
        <w:tc>
          <w:tcPr>
            <w:tcW w:w="472" w:type="dxa"/>
            <w:shd w:val="clear" w:color="auto" w:fill="auto"/>
            <w:noWrap w:val="0"/>
            <w:vAlign w:val="top"/>
          </w:tcPr>
          <w:p w14:paraId="78E1D882">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524" w:type="dxa"/>
            <w:shd w:val="clear" w:color="auto" w:fill="auto"/>
            <w:noWrap w:val="0"/>
            <w:vAlign w:val="top"/>
          </w:tcPr>
          <w:p w14:paraId="6FB3FB1D">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524" w:type="dxa"/>
            <w:shd w:val="clear" w:color="auto" w:fill="auto"/>
            <w:noWrap w:val="0"/>
            <w:vAlign w:val="top"/>
          </w:tcPr>
          <w:p w14:paraId="1C03AEDC">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11" w:type="dxa"/>
            <w:shd w:val="clear" w:color="auto" w:fill="auto"/>
            <w:noWrap w:val="0"/>
            <w:vAlign w:val="top"/>
          </w:tcPr>
          <w:p w14:paraId="04031377">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966" w:type="dxa"/>
            <w:shd w:val="clear" w:color="auto" w:fill="auto"/>
            <w:noWrap w:val="0"/>
            <w:vAlign w:val="top"/>
          </w:tcPr>
          <w:p w14:paraId="748E92DB">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70" w:type="dxa"/>
            <w:shd w:val="clear" w:color="auto" w:fill="auto"/>
            <w:noWrap w:val="0"/>
            <w:vAlign w:val="top"/>
          </w:tcPr>
          <w:p w14:paraId="24DA7989">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70" w:type="dxa"/>
            <w:shd w:val="clear" w:color="auto" w:fill="auto"/>
            <w:noWrap w:val="0"/>
            <w:vAlign w:val="top"/>
          </w:tcPr>
          <w:p w14:paraId="49BC505B">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14" w:type="dxa"/>
            <w:shd w:val="clear" w:color="auto" w:fill="auto"/>
            <w:noWrap w:val="0"/>
            <w:vAlign w:val="top"/>
          </w:tcPr>
          <w:p w14:paraId="3BF340B9">
            <w:pPr>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微软雅黑" w:hAnsi="微软雅黑" w:eastAsia="微软雅黑" w:cs="微软雅黑"/>
                <w:b w:val="0"/>
                <w:bCs w:val="0"/>
                <w:color w:val="auto"/>
                <w:kern w:val="2"/>
                <w:sz w:val="22"/>
                <w:szCs w:val="22"/>
                <w:highlight w:val="none"/>
                <w:lang w:val="en-US" w:eastAsia="zh-CN" w:bidi="ar-SA"/>
              </w:rPr>
            </w:pPr>
          </w:p>
        </w:tc>
        <w:tc>
          <w:tcPr>
            <w:tcW w:w="691" w:type="dxa"/>
            <w:shd w:val="clear" w:color="auto" w:fill="auto"/>
            <w:noWrap w:val="0"/>
            <w:vAlign w:val="top"/>
          </w:tcPr>
          <w:p w14:paraId="291F956A">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623" w:type="dxa"/>
            <w:shd w:val="clear" w:color="auto" w:fill="auto"/>
            <w:noWrap w:val="0"/>
            <w:vAlign w:val="top"/>
          </w:tcPr>
          <w:p w14:paraId="267CB06A">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554" w:type="dxa"/>
            <w:shd w:val="clear" w:color="auto" w:fill="auto"/>
            <w:noWrap w:val="0"/>
            <w:vAlign w:val="top"/>
          </w:tcPr>
          <w:p w14:paraId="28BEFCCE">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1250" w:type="dxa"/>
            <w:shd w:val="clear" w:color="auto" w:fill="auto"/>
            <w:noWrap w:val="0"/>
            <w:vAlign w:val="top"/>
          </w:tcPr>
          <w:p w14:paraId="039084FD">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r>
      <w:tr w14:paraId="1CAB1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60" w:hRule="atLeast"/>
          <w:jc w:val="center"/>
        </w:trPr>
        <w:tc>
          <w:tcPr>
            <w:tcW w:w="384" w:type="dxa"/>
            <w:shd w:val="clear" w:color="auto" w:fill="auto"/>
            <w:noWrap w:val="0"/>
            <w:vAlign w:val="center"/>
          </w:tcPr>
          <w:p w14:paraId="1A022016">
            <w:pPr>
              <w:keepNext w:val="0"/>
              <w:keepLines w:val="0"/>
              <w:widowControl/>
              <w:suppressLineNumbers w:val="0"/>
              <w:spacing w:line="360" w:lineRule="auto"/>
              <w:jc w:val="center"/>
              <w:textAlignment w:val="center"/>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w:t>
            </w:r>
          </w:p>
        </w:tc>
        <w:tc>
          <w:tcPr>
            <w:tcW w:w="1151" w:type="dxa"/>
            <w:shd w:val="clear" w:color="auto" w:fill="auto"/>
            <w:noWrap w:val="0"/>
            <w:vAlign w:val="top"/>
          </w:tcPr>
          <w:p w14:paraId="7D7CE8FF">
            <w:pPr>
              <w:pStyle w:val="115"/>
              <w:shd w:val="clear" w:color="auto" w:fill="auto"/>
              <w:spacing w:before="78" w:line="466" w:lineRule="exact"/>
              <w:jc w:val="center"/>
              <w:rPr>
                <w:rFonts w:hint="eastAsia" w:ascii="微软雅黑" w:hAnsi="微软雅黑" w:eastAsia="微软雅黑" w:cs="微软雅黑"/>
                <w:b w:val="0"/>
                <w:bCs w:val="0"/>
                <w:color w:val="auto"/>
                <w:kern w:val="2"/>
                <w:sz w:val="22"/>
                <w:szCs w:val="22"/>
                <w:highlight w:val="none"/>
                <w:lang w:val="en-US" w:eastAsia="zh-CN" w:bidi="ar-SA"/>
              </w:rPr>
            </w:pPr>
          </w:p>
        </w:tc>
        <w:tc>
          <w:tcPr>
            <w:tcW w:w="472" w:type="dxa"/>
            <w:shd w:val="clear" w:color="auto" w:fill="auto"/>
            <w:noWrap w:val="0"/>
            <w:vAlign w:val="top"/>
          </w:tcPr>
          <w:p w14:paraId="0D8F2EDB">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524" w:type="dxa"/>
            <w:shd w:val="clear" w:color="auto" w:fill="auto"/>
            <w:noWrap w:val="0"/>
            <w:vAlign w:val="top"/>
          </w:tcPr>
          <w:p w14:paraId="293637BA">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524" w:type="dxa"/>
            <w:shd w:val="clear" w:color="auto" w:fill="auto"/>
            <w:noWrap w:val="0"/>
            <w:vAlign w:val="top"/>
          </w:tcPr>
          <w:p w14:paraId="0298D2E6">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11" w:type="dxa"/>
            <w:shd w:val="clear" w:color="auto" w:fill="auto"/>
            <w:noWrap w:val="0"/>
            <w:vAlign w:val="top"/>
          </w:tcPr>
          <w:p w14:paraId="202C57AD">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966" w:type="dxa"/>
            <w:shd w:val="clear" w:color="auto" w:fill="auto"/>
            <w:noWrap w:val="0"/>
            <w:vAlign w:val="top"/>
          </w:tcPr>
          <w:p w14:paraId="6247CD4C">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70" w:type="dxa"/>
            <w:shd w:val="clear" w:color="auto" w:fill="auto"/>
            <w:noWrap w:val="0"/>
            <w:vAlign w:val="top"/>
          </w:tcPr>
          <w:p w14:paraId="72AC86D3">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70" w:type="dxa"/>
            <w:shd w:val="clear" w:color="auto" w:fill="auto"/>
            <w:noWrap w:val="0"/>
            <w:vAlign w:val="top"/>
          </w:tcPr>
          <w:p w14:paraId="03D3296A">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714" w:type="dxa"/>
            <w:shd w:val="clear" w:color="auto" w:fill="auto"/>
            <w:noWrap w:val="0"/>
            <w:vAlign w:val="top"/>
          </w:tcPr>
          <w:p w14:paraId="6B887CDD">
            <w:pPr>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微软雅黑" w:hAnsi="微软雅黑" w:eastAsia="微软雅黑" w:cs="微软雅黑"/>
                <w:b w:val="0"/>
                <w:bCs w:val="0"/>
                <w:color w:val="auto"/>
                <w:kern w:val="2"/>
                <w:sz w:val="22"/>
                <w:szCs w:val="22"/>
                <w:highlight w:val="none"/>
                <w:lang w:val="en-US" w:eastAsia="zh-CN" w:bidi="ar-SA"/>
              </w:rPr>
            </w:pPr>
          </w:p>
        </w:tc>
        <w:tc>
          <w:tcPr>
            <w:tcW w:w="691" w:type="dxa"/>
            <w:shd w:val="clear" w:color="auto" w:fill="auto"/>
            <w:noWrap w:val="0"/>
            <w:vAlign w:val="top"/>
          </w:tcPr>
          <w:p w14:paraId="6310ECE2">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623" w:type="dxa"/>
            <w:shd w:val="clear" w:color="auto" w:fill="auto"/>
            <w:noWrap w:val="0"/>
            <w:vAlign w:val="top"/>
          </w:tcPr>
          <w:p w14:paraId="468534DF">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554" w:type="dxa"/>
            <w:shd w:val="clear" w:color="auto" w:fill="auto"/>
            <w:noWrap w:val="0"/>
            <w:vAlign w:val="top"/>
          </w:tcPr>
          <w:p w14:paraId="2C1C398C">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c>
          <w:tcPr>
            <w:tcW w:w="1250" w:type="dxa"/>
            <w:shd w:val="clear" w:color="auto" w:fill="auto"/>
            <w:noWrap w:val="0"/>
            <w:vAlign w:val="top"/>
          </w:tcPr>
          <w:p w14:paraId="3A2CE8D2">
            <w:pPr>
              <w:shd w:val="clear" w:color="auto" w:fill="auto"/>
              <w:rPr>
                <w:rFonts w:hint="eastAsia" w:ascii="微软雅黑" w:hAnsi="微软雅黑" w:eastAsia="微软雅黑" w:cs="微软雅黑"/>
                <w:b w:val="0"/>
                <w:bCs w:val="0"/>
                <w:color w:val="auto"/>
                <w:kern w:val="2"/>
                <w:sz w:val="22"/>
                <w:szCs w:val="22"/>
                <w:highlight w:val="none"/>
                <w:lang w:val="en-US" w:eastAsia="zh-CN" w:bidi="ar-SA"/>
              </w:rPr>
            </w:pPr>
          </w:p>
        </w:tc>
      </w:tr>
      <w:tr w14:paraId="13BD6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jc w:val="center"/>
        </w:trPr>
        <w:tc>
          <w:tcPr>
            <w:tcW w:w="8854" w:type="dxa"/>
            <w:gridSpan w:val="13"/>
            <w:shd w:val="clear" w:color="auto" w:fill="auto"/>
            <w:noWrap w:val="0"/>
            <w:vAlign w:val="top"/>
          </w:tcPr>
          <w:p w14:paraId="7FA966B2">
            <w:pPr>
              <w:pStyle w:val="115"/>
              <w:shd w:val="clear" w:color="auto" w:fill="auto"/>
              <w:spacing w:before="40" w:line="218" w:lineRule="auto"/>
              <w:rPr>
                <w:rFonts w:hint="eastAsia" w:ascii="微软雅黑" w:hAnsi="微软雅黑" w:eastAsia="微软雅黑" w:cs="微软雅黑"/>
                <w:b w:val="0"/>
                <w:bCs w:val="0"/>
                <w:color w:val="auto"/>
                <w:sz w:val="22"/>
                <w:szCs w:val="22"/>
                <w:highlight w:val="none"/>
                <w:lang w:eastAsia="zh-CN"/>
              </w:rPr>
            </w:pPr>
            <w:r>
              <w:rPr>
                <w:rFonts w:hint="eastAsia" w:ascii="微软雅黑" w:hAnsi="微软雅黑" w:eastAsia="微软雅黑" w:cs="微软雅黑"/>
                <w:b w:val="0"/>
                <w:bCs w:val="0"/>
                <w:color w:val="auto"/>
                <w:spacing w:val="-4"/>
                <w:sz w:val="22"/>
                <w:szCs w:val="22"/>
                <w:highlight w:val="none"/>
              </w:rPr>
              <w:t>总价（元）</w:t>
            </w:r>
            <w:r>
              <w:rPr>
                <w:rFonts w:hint="eastAsia" w:ascii="微软雅黑" w:hAnsi="微软雅黑" w:eastAsia="微软雅黑" w:cs="微软雅黑"/>
                <w:b w:val="0"/>
                <w:bCs w:val="0"/>
                <w:color w:val="auto"/>
                <w:spacing w:val="-4"/>
                <w:sz w:val="22"/>
                <w:szCs w:val="22"/>
                <w:highlight w:val="none"/>
                <w:lang w:eastAsia="zh-CN"/>
              </w:rPr>
              <w:t>：</w:t>
            </w:r>
          </w:p>
        </w:tc>
        <w:tc>
          <w:tcPr>
            <w:tcW w:w="1250" w:type="dxa"/>
            <w:shd w:val="clear" w:color="auto" w:fill="auto"/>
            <w:noWrap w:val="0"/>
            <w:vAlign w:val="top"/>
          </w:tcPr>
          <w:p w14:paraId="1D433985">
            <w:pPr>
              <w:shd w:val="clear" w:color="auto" w:fill="auto"/>
              <w:rPr>
                <w:rFonts w:hint="eastAsia" w:ascii="微软雅黑" w:hAnsi="微软雅黑" w:eastAsia="微软雅黑" w:cs="微软雅黑"/>
                <w:b w:val="0"/>
                <w:bCs w:val="0"/>
                <w:color w:val="auto"/>
                <w:sz w:val="22"/>
                <w:szCs w:val="22"/>
                <w:highlight w:val="none"/>
              </w:rPr>
            </w:pPr>
          </w:p>
        </w:tc>
      </w:tr>
    </w:tbl>
    <w:p w14:paraId="6F44D589">
      <w:pPr>
        <w:pStyle w:val="16"/>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法定代表人（签/章）:</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u w:val="single"/>
        </w:rPr>
        <w:tab/>
      </w:r>
      <w:r>
        <w:rPr>
          <w:rFonts w:hint="eastAsia" w:ascii="微软雅黑" w:hAnsi="微软雅黑" w:eastAsia="微软雅黑" w:cs="微软雅黑"/>
          <w:color w:val="auto"/>
          <w:sz w:val="22"/>
          <w:szCs w:val="22"/>
          <w:highlight w:val="none"/>
          <w:u w:val="single"/>
        </w:rPr>
        <w:t xml:space="preserve">                 </w:t>
      </w:r>
    </w:p>
    <w:p w14:paraId="751D3070">
      <w:pPr>
        <w:pStyle w:val="16"/>
        <w:tabs>
          <w:tab w:val="left" w:pos="537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供应商</w:t>
      </w:r>
      <w:r>
        <w:rPr>
          <w:rFonts w:hint="eastAsia" w:ascii="微软雅黑" w:hAnsi="微软雅黑" w:eastAsia="微软雅黑" w:cs="微软雅黑"/>
          <w:color w:val="auto"/>
          <w:sz w:val="22"/>
          <w:szCs w:val="22"/>
          <w:highlight w:val="none"/>
          <w:lang w:eastAsia="zh-CN"/>
        </w:rPr>
        <w:t>名称</w:t>
      </w:r>
      <w:r>
        <w:rPr>
          <w:rFonts w:hint="eastAsia" w:ascii="微软雅黑" w:hAnsi="微软雅黑" w:eastAsia="微软雅黑" w:cs="微软雅黑"/>
          <w:color w:val="auto"/>
          <w:sz w:val="22"/>
          <w:szCs w:val="22"/>
          <w:highlight w:val="none"/>
        </w:rPr>
        <w:t>(公章):</w:t>
      </w:r>
      <w:r>
        <w:rPr>
          <w:rFonts w:hint="eastAsia" w:ascii="微软雅黑" w:hAnsi="微软雅黑" w:eastAsia="微软雅黑" w:cs="微软雅黑"/>
          <w:color w:val="auto"/>
          <w:sz w:val="22"/>
          <w:szCs w:val="22"/>
          <w:highlight w:val="none"/>
          <w:u w:val="single"/>
        </w:rPr>
        <w:tab/>
      </w:r>
    </w:p>
    <w:p w14:paraId="3DA54EBA">
      <w:pPr>
        <w:pStyle w:val="16"/>
        <w:keepNext w:val="0"/>
        <w:keepLines w:val="0"/>
        <w:pageBreakBefore w:val="0"/>
        <w:widowControl w:val="0"/>
        <w:kinsoku/>
        <w:wordWrap/>
        <w:overflowPunct/>
        <w:topLinePunct w:val="0"/>
        <w:autoSpaceDE/>
        <w:autoSpaceDN/>
        <w:bidi w:val="0"/>
        <w:adjustRightInd/>
        <w:snapToGrid/>
        <w:spacing w:line="380" w:lineRule="exact"/>
        <w:ind w:left="0" w:leftChars="0" w:firstLine="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注:1.</w:t>
      </w:r>
      <w:r>
        <w:rPr>
          <w:rFonts w:hint="eastAsia" w:ascii="微软雅黑" w:hAnsi="微软雅黑" w:eastAsia="微软雅黑" w:cs="微软雅黑"/>
          <w:color w:val="auto"/>
          <w:sz w:val="22"/>
          <w:szCs w:val="22"/>
          <w:highlight w:val="none"/>
          <w:lang w:val="en-US" w:eastAsia="zh-CN"/>
        </w:rPr>
        <w:t>投标人须提供单价、合价，品牌、型号、规格，根据所投产品如实填写</w:t>
      </w:r>
      <w:r>
        <w:rPr>
          <w:rFonts w:hint="eastAsia" w:ascii="微软雅黑" w:hAnsi="微软雅黑" w:eastAsia="微软雅黑" w:cs="微软雅黑"/>
          <w:color w:val="auto"/>
          <w:sz w:val="22"/>
          <w:szCs w:val="22"/>
          <w:highlight w:val="none"/>
        </w:rPr>
        <w:t>。</w:t>
      </w:r>
    </w:p>
    <w:p w14:paraId="55EFCA8A">
      <w:pPr>
        <w:pStyle w:val="16"/>
        <w:keepNext w:val="0"/>
        <w:keepLines w:val="0"/>
        <w:pageBreakBefore w:val="0"/>
        <w:widowControl w:val="0"/>
        <w:kinsoku/>
        <w:wordWrap/>
        <w:overflowPunct/>
        <w:topLinePunct w:val="0"/>
        <w:autoSpaceDE/>
        <w:autoSpaceDN/>
        <w:bidi w:val="0"/>
        <w:adjustRightInd/>
        <w:snapToGrid/>
        <w:spacing w:line="380" w:lineRule="exact"/>
        <w:ind w:left="0" w:leftChars="0" w:firstLine="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2.各设备单价不得超过采购需求清单所列最高限制单价，</w:t>
      </w:r>
      <w:r>
        <w:rPr>
          <w:rFonts w:hint="eastAsia" w:ascii="微软雅黑" w:hAnsi="微软雅黑" w:eastAsia="微软雅黑" w:cs="微软雅黑"/>
          <w:color w:val="auto"/>
          <w:sz w:val="22"/>
          <w:szCs w:val="22"/>
          <w:highlight w:val="none"/>
        </w:rPr>
        <w:t xml:space="preserve">如果按单价计算的结果与总价不一致,以单价为准修正总价。 </w:t>
      </w:r>
    </w:p>
    <w:p w14:paraId="16E3EBC4">
      <w:pPr>
        <w:pStyle w:val="16"/>
        <w:keepNext w:val="0"/>
        <w:keepLines w:val="0"/>
        <w:pageBreakBefore w:val="0"/>
        <w:widowControl w:val="0"/>
        <w:kinsoku/>
        <w:wordWrap/>
        <w:overflowPunct/>
        <w:topLinePunct w:val="0"/>
        <w:autoSpaceDE/>
        <w:autoSpaceDN/>
        <w:bidi w:val="0"/>
        <w:adjustRightInd/>
        <w:snapToGrid/>
        <w:spacing w:line="380" w:lineRule="exact"/>
        <w:ind w:left="0" w:leftChars="0" w:firstLine="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3.如果不提供详细分项报价将视为没有实质性响应招标文件。</w:t>
      </w:r>
    </w:p>
    <w:p w14:paraId="3D9B90F8">
      <w:pPr>
        <w:pStyle w:val="16"/>
        <w:keepNext w:val="0"/>
        <w:keepLines w:val="0"/>
        <w:pageBreakBefore w:val="0"/>
        <w:widowControl w:val="0"/>
        <w:kinsoku/>
        <w:wordWrap/>
        <w:overflowPunct/>
        <w:topLinePunct w:val="0"/>
        <w:autoSpaceDE/>
        <w:autoSpaceDN/>
        <w:bidi w:val="0"/>
        <w:adjustRightInd/>
        <w:snapToGrid/>
        <w:spacing w:line="380" w:lineRule="exact"/>
        <w:ind w:left="0" w:leftChars="0" w:firstLine="0"/>
        <w:jc w:val="left"/>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4.如果开标一览表（报价表）内容与投标文件中明细表内容不一致的，以开标一览表（报价表）内容为准。</w:t>
      </w:r>
    </w:p>
    <w:p w14:paraId="5CBFBD34">
      <w:pPr>
        <w:pStyle w:val="16"/>
        <w:keepNext w:val="0"/>
        <w:keepLines w:val="0"/>
        <w:pageBreakBefore w:val="0"/>
        <w:widowControl w:val="0"/>
        <w:kinsoku/>
        <w:wordWrap/>
        <w:overflowPunct/>
        <w:topLinePunct w:val="0"/>
        <w:autoSpaceDE/>
        <w:autoSpaceDN/>
        <w:bidi w:val="0"/>
        <w:adjustRightInd/>
        <w:snapToGrid/>
        <w:spacing w:line="380" w:lineRule="exact"/>
        <w:ind w:left="0" w:leftChars="0" w:firstLine="0"/>
        <w:jc w:val="left"/>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5.因政采云合同录入须填写财政报表数据，因此各投标人须如实填写每一个货物制造商规模（小微型企业、中型企业、大型企业）和投标人规模（小微型企业、中型企业、大型企业）。</w:t>
      </w:r>
    </w:p>
    <w:p w14:paraId="43344152">
      <w:pPr>
        <w:pStyle w:val="16"/>
        <w:keepNext w:val="0"/>
        <w:keepLines w:val="0"/>
        <w:pageBreakBefore w:val="0"/>
        <w:widowControl w:val="0"/>
        <w:kinsoku/>
        <w:wordWrap/>
        <w:overflowPunct/>
        <w:topLinePunct w:val="0"/>
        <w:autoSpaceDE/>
        <w:autoSpaceDN/>
        <w:bidi w:val="0"/>
        <w:adjustRightInd/>
        <w:snapToGrid/>
        <w:spacing w:line="380" w:lineRule="exact"/>
        <w:ind w:left="0" w:leftChars="0" w:firstLine="0"/>
        <w:jc w:val="left"/>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6.备注（产品属性分四类：①环保；②节能，节水；③节能，节水，环保；④非节能节水环保）</w:t>
      </w:r>
    </w:p>
    <w:p w14:paraId="7E69BECA">
      <w:pPr>
        <w:spacing w:line="360" w:lineRule="auto"/>
        <w:jc w:val="center"/>
        <w:outlineLvl w:val="9"/>
        <w:rPr>
          <w:rFonts w:hint="eastAsia" w:ascii="微软雅黑" w:hAnsi="微软雅黑" w:eastAsia="微软雅黑" w:cs="微软雅黑"/>
          <w:b/>
          <w:sz w:val="28"/>
          <w:szCs w:val="28"/>
          <w:highlight w:val="none"/>
        </w:rPr>
      </w:pPr>
      <w:bookmarkStart w:id="1845" w:name="_Toc12483"/>
      <w:bookmarkStart w:id="1846" w:name="_Toc16798"/>
      <w:bookmarkStart w:id="1847" w:name="_Toc6864"/>
      <w:bookmarkStart w:id="1848" w:name="_Toc27721"/>
      <w:bookmarkStart w:id="1849" w:name="_Toc8012"/>
      <w:bookmarkStart w:id="1850" w:name="_Toc10486"/>
      <w:bookmarkStart w:id="1851" w:name="_Toc13950"/>
      <w:bookmarkStart w:id="1852" w:name="_Toc6480"/>
      <w:bookmarkStart w:id="1853" w:name="_Toc30209"/>
      <w:bookmarkStart w:id="1854" w:name="_Toc16166"/>
      <w:bookmarkStart w:id="1855" w:name="_Toc28199"/>
      <w:bookmarkStart w:id="1856" w:name="_Toc26185"/>
      <w:bookmarkStart w:id="1857" w:name="_Toc32439"/>
      <w:bookmarkStart w:id="1858" w:name="_Toc3096"/>
      <w:bookmarkStart w:id="1859" w:name="_Toc22837"/>
      <w:r>
        <w:rPr>
          <w:rFonts w:hint="eastAsia" w:ascii="微软雅黑" w:hAnsi="微软雅黑" w:eastAsia="微软雅黑" w:cs="微软雅黑"/>
          <w:b/>
          <w:bCs/>
          <w:kern w:val="0"/>
          <w:sz w:val="22"/>
          <w:szCs w:val="22"/>
          <w:highlight w:val="none"/>
        </w:rPr>
        <w:t>备品备件设备分项报价表（</w:t>
      </w:r>
      <w:r>
        <w:rPr>
          <w:rFonts w:hint="eastAsia" w:ascii="微软雅黑" w:hAnsi="微软雅黑" w:eastAsia="微软雅黑" w:cs="微软雅黑"/>
          <w:b/>
          <w:bCs/>
          <w:kern w:val="0"/>
          <w:sz w:val="22"/>
          <w:szCs w:val="22"/>
          <w:highlight w:val="none"/>
          <w:lang w:val="en-US" w:eastAsia="zh-CN"/>
        </w:rPr>
        <w:t>如有</w:t>
      </w:r>
      <w:r>
        <w:rPr>
          <w:rFonts w:hint="eastAsia" w:ascii="微软雅黑" w:hAnsi="微软雅黑" w:eastAsia="微软雅黑" w:cs="微软雅黑"/>
          <w:b/>
          <w:bCs/>
          <w:kern w:val="0"/>
          <w:sz w:val="22"/>
          <w:szCs w:val="22"/>
          <w:highlight w:val="none"/>
        </w:rPr>
        <w:t>）</w:t>
      </w:r>
      <w:bookmarkEnd w:id="1845"/>
      <w:bookmarkEnd w:id="1846"/>
      <w:bookmarkEnd w:id="1847"/>
      <w:bookmarkEnd w:id="1848"/>
      <w:bookmarkEnd w:id="1849"/>
      <w:bookmarkEnd w:id="1850"/>
      <w:bookmarkEnd w:id="1851"/>
      <w:bookmarkEnd w:id="1852"/>
      <w:bookmarkEnd w:id="1853"/>
      <w:bookmarkEnd w:id="1854"/>
      <w:bookmarkEnd w:id="1855"/>
    </w:p>
    <w:tbl>
      <w:tblPr>
        <w:tblStyle w:val="31"/>
        <w:tblW w:w="9154"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573"/>
        <w:gridCol w:w="808"/>
        <w:gridCol w:w="573"/>
        <w:gridCol w:w="808"/>
        <w:gridCol w:w="1043"/>
        <w:gridCol w:w="573"/>
        <w:gridCol w:w="706"/>
        <w:gridCol w:w="643"/>
        <w:gridCol w:w="676"/>
        <w:gridCol w:w="677"/>
        <w:gridCol w:w="796"/>
      </w:tblGrid>
      <w:tr w14:paraId="25659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trPr>
        <w:tc>
          <w:tcPr>
            <w:tcW w:w="1278" w:type="dxa"/>
            <w:vAlign w:val="center"/>
          </w:tcPr>
          <w:p w14:paraId="67283038">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56511472">
            <w:pPr>
              <w:spacing w:line="400" w:lineRule="exact"/>
              <w:jc w:val="center"/>
              <w:rPr>
                <w:rFonts w:hint="eastAsia" w:ascii="微软雅黑" w:hAnsi="微软雅黑" w:eastAsia="微软雅黑" w:cs="微软雅黑"/>
                <w:sz w:val="22"/>
                <w:szCs w:val="22"/>
                <w:highlight w:val="none"/>
                <w:lang w:eastAsia="zh-CN"/>
              </w:rPr>
            </w:pPr>
            <w:r>
              <w:rPr>
                <w:rFonts w:hint="eastAsia" w:ascii="微软雅黑" w:hAnsi="微软雅黑" w:eastAsia="微软雅黑" w:cs="微软雅黑"/>
                <w:sz w:val="22"/>
                <w:szCs w:val="22"/>
                <w:highlight w:val="none"/>
                <w:lang w:val="en-US" w:eastAsia="zh-CN"/>
              </w:rPr>
              <w:t>序号</w:t>
            </w:r>
          </w:p>
        </w:tc>
        <w:tc>
          <w:tcPr>
            <w:tcW w:w="808" w:type="dxa"/>
            <w:vAlign w:val="center"/>
          </w:tcPr>
          <w:p w14:paraId="0D597411">
            <w:pPr>
              <w:spacing w:line="400" w:lineRule="exact"/>
              <w:jc w:val="center"/>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名称</w:t>
            </w:r>
          </w:p>
        </w:tc>
        <w:tc>
          <w:tcPr>
            <w:tcW w:w="573" w:type="dxa"/>
            <w:vAlign w:val="center"/>
          </w:tcPr>
          <w:p w14:paraId="5C3A76BE">
            <w:pPr>
              <w:spacing w:line="400" w:lineRule="exact"/>
              <w:jc w:val="center"/>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品牌</w:t>
            </w:r>
          </w:p>
        </w:tc>
        <w:tc>
          <w:tcPr>
            <w:tcW w:w="808" w:type="dxa"/>
            <w:vAlign w:val="center"/>
          </w:tcPr>
          <w:p w14:paraId="4110CE2A">
            <w:pPr>
              <w:spacing w:line="400" w:lineRule="exact"/>
              <w:jc w:val="center"/>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规格型号</w:t>
            </w:r>
          </w:p>
        </w:tc>
        <w:tc>
          <w:tcPr>
            <w:tcW w:w="1043" w:type="dxa"/>
            <w:vAlign w:val="center"/>
          </w:tcPr>
          <w:p w14:paraId="00095761">
            <w:pPr>
              <w:spacing w:line="400" w:lineRule="exact"/>
              <w:jc w:val="center"/>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供货厂商名称</w:t>
            </w:r>
          </w:p>
        </w:tc>
        <w:tc>
          <w:tcPr>
            <w:tcW w:w="573" w:type="dxa"/>
            <w:vAlign w:val="center"/>
          </w:tcPr>
          <w:p w14:paraId="4F227525">
            <w:pPr>
              <w:spacing w:line="400" w:lineRule="exact"/>
              <w:jc w:val="center"/>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产地</w:t>
            </w:r>
          </w:p>
        </w:tc>
        <w:tc>
          <w:tcPr>
            <w:tcW w:w="706" w:type="dxa"/>
            <w:vAlign w:val="center"/>
          </w:tcPr>
          <w:p w14:paraId="583E120E">
            <w:pPr>
              <w:spacing w:line="400" w:lineRule="exact"/>
              <w:jc w:val="center"/>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数量</w:t>
            </w:r>
          </w:p>
        </w:tc>
        <w:tc>
          <w:tcPr>
            <w:tcW w:w="643" w:type="dxa"/>
            <w:vAlign w:val="center"/>
          </w:tcPr>
          <w:p w14:paraId="6A1D9FD7">
            <w:pPr>
              <w:spacing w:line="400" w:lineRule="exact"/>
              <w:jc w:val="center"/>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单位</w:t>
            </w:r>
          </w:p>
        </w:tc>
        <w:tc>
          <w:tcPr>
            <w:tcW w:w="676" w:type="dxa"/>
            <w:vAlign w:val="center"/>
          </w:tcPr>
          <w:p w14:paraId="5E067C38">
            <w:pPr>
              <w:spacing w:line="400" w:lineRule="exact"/>
              <w:jc w:val="center"/>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单价</w:t>
            </w:r>
          </w:p>
        </w:tc>
        <w:tc>
          <w:tcPr>
            <w:tcW w:w="677" w:type="dxa"/>
            <w:vAlign w:val="center"/>
          </w:tcPr>
          <w:p w14:paraId="2F995E15">
            <w:pPr>
              <w:spacing w:line="400" w:lineRule="exact"/>
              <w:jc w:val="center"/>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合价</w:t>
            </w:r>
          </w:p>
        </w:tc>
        <w:tc>
          <w:tcPr>
            <w:tcW w:w="796" w:type="dxa"/>
            <w:vAlign w:val="center"/>
          </w:tcPr>
          <w:p w14:paraId="3AC02267">
            <w:pPr>
              <w:spacing w:line="400" w:lineRule="exact"/>
              <w:jc w:val="center"/>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备注</w:t>
            </w:r>
          </w:p>
        </w:tc>
      </w:tr>
      <w:tr w14:paraId="32593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278" w:type="dxa"/>
            <w:vMerge w:val="restart"/>
            <w:vAlign w:val="center"/>
          </w:tcPr>
          <w:p w14:paraId="79A94AE4">
            <w:pPr>
              <w:spacing w:line="400" w:lineRule="exact"/>
              <w:jc w:val="center"/>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lang w:val="en-US" w:eastAsia="zh-CN"/>
              </w:rPr>
              <w:t>质保期外</w:t>
            </w:r>
            <w:r>
              <w:rPr>
                <w:rFonts w:hint="eastAsia" w:ascii="微软雅黑" w:hAnsi="微软雅黑" w:eastAsia="微软雅黑" w:cs="微软雅黑"/>
                <w:sz w:val="22"/>
                <w:szCs w:val="22"/>
                <w:highlight w:val="none"/>
              </w:rPr>
              <w:t>设备报价</w:t>
            </w:r>
          </w:p>
        </w:tc>
        <w:tc>
          <w:tcPr>
            <w:tcW w:w="573" w:type="dxa"/>
            <w:vAlign w:val="center"/>
          </w:tcPr>
          <w:p w14:paraId="5B7F70FC">
            <w:pPr>
              <w:spacing w:line="400" w:lineRule="exact"/>
              <w:jc w:val="center"/>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1</w:t>
            </w:r>
          </w:p>
        </w:tc>
        <w:tc>
          <w:tcPr>
            <w:tcW w:w="808" w:type="dxa"/>
            <w:vAlign w:val="center"/>
          </w:tcPr>
          <w:p w14:paraId="58775B49">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42069C39">
            <w:pPr>
              <w:spacing w:line="400" w:lineRule="exact"/>
              <w:jc w:val="center"/>
              <w:rPr>
                <w:rFonts w:hint="eastAsia" w:ascii="微软雅黑" w:hAnsi="微软雅黑" w:eastAsia="微软雅黑" w:cs="微软雅黑"/>
                <w:sz w:val="22"/>
                <w:szCs w:val="22"/>
                <w:highlight w:val="none"/>
              </w:rPr>
            </w:pPr>
          </w:p>
        </w:tc>
        <w:tc>
          <w:tcPr>
            <w:tcW w:w="808" w:type="dxa"/>
            <w:vAlign w:val="center"/>
          </w:tcPr>
          <w:p w14:paraId="6DE2A466">
            <w:pPr>
              <w:spacing w:line="400" w:lineRule="exact"/>
              <w:jc w:val="center"/>
              <w:rPr>
                <w:rFonts w:hint="eastAsia" w:ascii="微软雅黑" w:hAnsi="微软雅黑" w:eastAsia="微软雅黑" w:cs="微软雅黑"/>
                <w:sz w:val="22"/>
                <w:szCs w:val="22"/>
                <w:highlight w:val="none"/>
              </w:rPr>
            </w:pPr>
          </w:p>
        </w:tc>
        <w:tc>
          <w:tcPr>
            <w:tcW w:w="1043" w:type="dxa"/>
            <w:vAlign w:val="center"/>
          </w:tcPr>
          <w:p w14:paraId="7CA3D695">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54D2CB91">
            <w:pPr>
              <w:spacing w:line="400" w:lineRule="exact"/>
              <w:jc w:val="center"/>
              <w:rPr>
                <w:rFonts w:hint="eastAsia" w:ascii="微软雅黑" w:hAnsi="微软雅黑" w:eastAsia="微软雅黑" w:cs="微软雅黑"/>
                <w:sz w:val="22"/>
                <w:szCs w:val="22"/>
                <w:highlight w:val="none"/>
              </w:rPr>
            </w:pPr>
          </w:p>
        </w:tc>
        <w:tc>
          <w:tcPr>
            <w:tcW w:w="706" w:type="dxa"/>
            <w:vAlign w:val="center"/>
          </w:tcPr>
          <w:p w14:paraId="6CB38A29">
            <w:pPr>
              <w:spacing w:line="400" w:lineRule="exact"/>
              <w:jc w:val="center"/>
              <w:rPr>
                <w:rFonts w:hint="eastAsia" w:ascii="微软雅黑" w:hAnsi="微软雅黑" w:eastAsia="微软雅黑" w:cs="微软雅黑"/>
                <w:sz w:val="22"/>
                <w:szCs w:val="22"/>
                <w:highlight w:val="none"/>
              </w:rPr>
            </w:pPr>
          </w:p>
        </w:tc>
        <w:tc>
          <w:tcPr>
            <w:tcW w:w="643" w:type="dxa"/>
            <w:vAlign w:val="center"/>
          </w:tcPr>
          <w:p w14:paraId="4BA71037">
            <w:pPr>
              <w:spacing w:line="400" w:lineRule="exact"/>
              <w:jc w:val="center"/>
              <w:rPr>
                <w:rFonts w:hint="eastAsia" w:ascii="微软雅黑" w:hAnsi="微软雅黑" w:eastAsia="微软雅黑" w:cs="微软雅黑"/>
                <w:sz w:val="22"/>
                <w:szCs w:val="22"/>
                <w:highlight w:val="none"/>
              </w:rPr>
            </w:pPr>
          </w:p>
        </w:tc>
        <w:tc>
          <w:tcPr>
            <w:tcW w:w="676" w:type="dxa"/>
            <w:vAlign w:val="center"/>
          </w:tcPr>
          <w:p w14:paraId="1BF80D7B">
            <w:pPr>
              <w:spacing w:line="400" w:lineRule="exact"/>
              <w:jc w:val="center"/>
              <w:rPr>
                <w:rFonts w:hint="eastAsia" w:ascii="微软雅黑" w:hAnsi="微软雅黑" w:eastAsia="微软雅黑" w:cs="微软雅黑"/>
                <w:sz w:val="22"/>
                <w:szCs w:val="22"/>
                <w:highlight w:val="none"/>
              </w:rPr>
            </w:pPr>
          </w:p>
        </w:tc>
        <w:tc>
          <w:tcPr>
            <w:tcW w:w="677" w:type="dxa"/>
            <w:vAlign w:val="center"/>
          </w:tcPr>
          <w:p w14:paraId="2F1CE2F3">
            <w:pPr>
              <w:spacing w:line="400" w:lineRule="exact"/>
              <w:jc w:val="center"/>
              <w:rPr>
                <w:rFonts w:hint="eastAsia" w:ascii="微软雅黑" w:hAnsi="微软雅黑" w:eastAsia="微软雅黑" w:cs="微软雅黑"/>
                <w:sz w:val="22"/>
                <w:szCs w:val="22"/>
                <w:highlight w:val="none"/>
              </w:rPr>
            </w:pPr>
          </w:p>
        </w:tc>
        <w:tc>
          <w:tcPr>
            <w:tcW w:w="796" w:type="dxa"/>
            <w:vAlign w:val="center"/>
          </w:tcPr>
          <w:p w14:paraId="66F9D79D">
            <w:pPr>
              <w:spacing w:line="400" w:lineRule="exact"/>
              <w:jc w:val="center"/>
              <w:rPr>
                <w:rFonts w:hint="eastAsia" w:ascii="微软雅黑" w:hAnsi="微软雅黑" w:eastAsia="微软雅黑" w:cs="微软雅黑"/>
                <w:sz w:val="22"/>
                <w:szCs w:val="22"/>
                <w:highlight w:val="none"/>
              </w:rPr>
            </w:pPr>
          </w:p>
        </w:tc>
      </w:tr>
      <w:tr w14:paraId="09BCD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278" w:type="dxa"/>
            <w:vMerge w:val="continue"/>
            <w:vAlign w:val="center"/>
          </w:tcPr>
          <w:p w14:paraId="416734C6">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65C2307C">
            <w:pPr>
              <w:spacing w:line="400" w:lineRule="exact"/>
              <w:jc w:val="center"/>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2</w:t>
            </w:r>
          </w:p>
        </w:tc>
        <w:tc>
          <w:tcPr>
            <w:tcW w:w="808" w:type="dxa"/>
            <w:vAlign w:val="center"/>
          </w:tcPr>
          <w:p w14:paraId="688A8F81">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3FFB1CB0">
            <w:pPr>
              <w:spacing w:line="400" w:lineRule="exact"/>
              <w:jc w:val="center"/>
              <w:rPr>
                <w:rFonts w:hint="eastAsia" w:ascii="微软雅黑" w:hAnsi="微软雅黑" w:eastAsia="微软雅黑" w:cs="微软雅黑"/>
                <w:sz w:val="22"/>
                <w:szCs w:val="22"/>
                <w:highlight w:val="none"/>
              </w:rPr>
            </w:pPr>
          </w:p>
        </w:tc>
        <w:tc>
          <w:tcPr>
            <w:tcW w:w="808" w:type="dxa"/>
            <w:vAlign w:val="center"/>
          </w:tcPr>
          <w:p w14:paraId="50E88F46">
            <w:pPr>
              <w:spacing w:line="400" w:lineRule="exact"/>
              <w:jc w:val="center"/>
              <w:rPr>
                <w:rFonts w:hint="eastAsia" w:ascii="微软雅黑" w:hAnsi="微软雅黑" w:eastAsia="微软雅黑" w:cs="微软雅黑"/>
                <w:sz w:val="22"/>
                <w:szCs w:val="22"/>
                <w:highlight w:val="none"/>
              </w:rPr>
            </w:pPr>
          </w:p>
        </w:tc>
        <w:tc>
          <w:tcPr>
            <w:tcW w:w="1043" w:type="dxa"/>
            <w:vAlign w:val="center"/>
          </w:tcPr>
          <w:p w14:paraId="08962E33">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65C6A442">
            <w:pPr>
              <w:spacing w:line="400" w:lineRule="exact"/>
              <w:jc w:val="center"/>
              <w:rPr>
                <w:rFonts w:hint="eastAsia" w:ascii="微软雅黑" w:hAnsi="微软雅黑" w:eastAsia="微软雅黑" w:cs="微软雅黑"/>
                <w:sz w:val="22"/>
                <w:szCs w:val="22"/>
                <w:highlight w:val="none"/>
              </w:rPr>
            </w:pPr>
          </w:p>
        </w:tc>
        <w:tc>
          <w:tcPr>
            <w:tcW w:w="706" w:type="dxa"/>
            <w:vAlign w:val="center"/>
          </w:tcPr>
          <w:p w14:paraId="783E7E2A">
            <w:pPr>
              <w:spacing w:line="400" w:lineRule="exact"/>
              <w:jc w:val="center"/>
              <w:rPr>
                <w:rFonts w:hint="eastAsia" w:ascii="微软雅黑" w:hAnsi="微软雅黑" w:eastAsia="微软雅黑" w:cs="微软雅黑"/>
                <w:sz w:val="22"/>
                <w:szCs w:val="22"/>
                <w:highlight w:val="none"/>
              </w:rPr>
            </w:pPr>
          </w:p>
        </w:tc>
        <w:tc>
          <w:tcPr>
            <w:tcW w:w="643" w:type="dxa"/>
            <w:vAlign w:val="center"/>
          </w:tcPr>
          <w:p w14:paraId="1F8E80F5">
            <w:pPr>
              <w:spacing w:line="400" w:lineRule="exact"/>
              <w:jc w:val="center"/>
              <w:rPr>
                <w:rFonts w:hint="eastAsia" w:ascii="微软雅黑" w:hAnsi="微软雅黑" w:eastAsia="微软雅黑" w:cs="微软雅黑"/>
                <w:sz w:val="22"/>
                <w:szCs w:val="22"/>
                <w:highlight w:val="none"/>
              </w:rPr>
            </w:pPr>
          </w:p>
        </w:tc>
        <w:tc>
          <w:tcPr>
            <w:tcW w:w="676" w:type="dxa"/>
            <w:vAlign w:val="center"/>
          </w:tcPr>
          <w:p w14:paraId="4611C281">
            <w:pPr>
              <w:spacing w:line="400" w:lineRule="exact"/>
              <w:jc w:val="center"/>
              <w:rPr>
                <w:rFonts w:hint="eastAsia" w:ascii="微软雅黑" w:hAnsi="微软雅黑" w:eastAsia="微软雅黑" w:cs="微软雅黑"/>
                <w:sz w:val="22"/>
                <w:szCs w:val="22"/>
                <w:highlight w:val="none"/>
              </w:rPr>
            </w:pPr>
          </w:p>
        </w:tc>
        <w:tc>
          <w:tcPr>
            <w:tcW w:w="677" w:type="dxa"/>
            <w:vAlign w:val="center"/>
          </w:tcPr>
          <w:p w14:paraId="5F0FB092">
            <w:pPr>
              <w:spacing w:line="400" w:lineRule="exact"/>
              <w:jc w:val="center"/>
              <w:rPr>
                <w:rFonts w:hint="eastAsia" w:ascii="微软雅黑" w:hAnsi="微软雅黑" w:eastAsia="微软雅黑" w:cs="微软雅黑"/>
                <w:sz w:val="22"/>
                <w:szCs w:val="22"/>
                <w:highlight w:val="none"/>
              </w:rPr>
            </w:pPr>
          </w:p>
        </w:tc>
        <w:tc>
          <w:tcPr>
            <w:tcW w:w="796" w:type="dxa"/>
            <w:vAlign w:val="center"/>
          </w:tcPr>
          <w:p w14:paraId="63551C52">
            <w:pPr>
              <w:spacing w:line="400" w:lineRule="exact"/>
              <w:jc w:val="center"/>
              <w:rPr>
                <w:rFonts w:hint="eastAsia" w:ascii="微软雅黑" w:hAnsi="微软雅黑" w:eastAsia="微软雅黑" w:cs="微软雅黑"/>
                <w:sz w:val="22"/>
                <w:szCs w:val="22"/>
                <w:highlight w:val="none"/>
              </w:rPr>
            </w:pPr>
          </w:p>
        </w:tc>
      </w:tr>
      <w:tr w14:paraId="72E19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278" w:type="dxa"/>
            <w:vMerge w:val="continue"/>
            <w:vAlign w:val="center"/>
          </w:tcPr>
          <w:p w14:paraId="38665411">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351F9CEB">
            <w:pPr>
              <w:spacing w:line="400" w:lineRule="exact"/>
              <w:jc w:val="center"/>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3</w:t>
            </w:r>
          </w:p>
        </w:tc>
        <w:tc>
          <w:tcPr>
            <w:tcW w:w="808" w:type="dxa"/>
            <w:vAlign w:val="center"/>
          </w:tcPr>
          <w:p w14:paraId="3A4222D8">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59BA4D82">
            <w:pPr>
              <w:spacing w:line="400" w:lineRule="exact"/>
              <w:jc w:val="center"/>
              <w:rPr>
                <w:rFonts w:hint="eastAsia" w:ascii="微软雅黑" w:hAnsi="微软雅黑" w:eastAsia="微软雅黑" w:cs="微软雅黑"/>
                <w:sz w:val="22"/>
                <w:szCs w:val="22"/>
                <w:highlight w:val="none"/>
              </w:rPr>
            </w:pPr>
          </w:p>
        </w:tc>
        <w:tc>
          <w:tcPr>
            <w:tcW w:w="808" w:type="dxa"/>
            <w:vAlign w:val="center"/>
          </w:tcPr>
          <w:p w14:paraId="2DAE6676">
            <w:pPr>
              <w:spacing w:line="400" w:lineRule="exact"/>
              <w:jc w:val="center"/>
              <w:rPr>
                <w:rFonts w:hint="eastAsia" w:ascii="微软雅黑" w:hAnsi="微软雅黑" w:eastAsia="微软雅黑" w:cs="微软雅黑"/>
                <w:sz w:val="22"/>
                <w:szCs w:val="22"/>
                <w:highlight w:val="none"/>
              </w:rPr>
            </w:pPr>
          </w:p>
        </w:tc>
        <w:tc>
          <w:tcPr>
            <w:tcW w:w="1043" w:type="dxa"/>
            <w:vAlign w:val="center"/>
          </w:tcPr>
          <w:p w14:paraId="7D7B4702">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4F16448D">
            <w:pPr>
              <w:spacing w:line="400" w:lineRule="exact"/>
              <w:jc w:val="center"/>
              <w:rPr>
                <w:rFonts w:hint="eastAsia" w:ascii="微软雅黑" w:hAnsi="微软雅黑" w:eastAsia="微软雅黑" w:cs="微软雅黑"/>
                <w:sz w:val="22"/>
                <w:szCs w:val="22"/>
                <w:highlight w:val="none"/>
              </w:rPr>
            </w:pPr>
          </w:p>
        </w:tc>
        <w:tc>
          <w:tcPr>
            <w:tcW w:w="706" w:type="dxa"/>
            <w:vAlign w:val="center"/>
          </w:tcPr>
          <w:p w14:paraId="4932B863">
            <w:pPr>
              <w:spacing w:line="400" w:lineRule="exact"/>
              <w:jc w:val="center"/>
              <w:rPr>
                <w:rFonts w:hint="eastAsia" w:ascii="微软雅黑" w:hAnsi="微软雅黑" w:eastAsia="微软雅黑" w:cs="微软雅黑"/>
                <w:sz w:val="22"/>
                <w:szCs w:val="22"/>
                <w:highlight w:val="none"/>
              </w:rPr>
            </w:pPr>
          </w:p>
        </w:tc>
        <w:tc>
          <w:tcPr>
            <w:tcW w:w="643" w:type="dxa"/>
            <w:vAlign w:val="center"/>
          </w:tcPr>
          <w:p w14:paraId="77638B8C">
            <w:pPr>
              <w:spacing w:line="400" w:lineRule="exact"/>
              <w:jc w:val="center"/>
              <w:rPr>
                <w:rFonts w:hint="eastAsia" w:ascii="微软雅黑" w:hAnsi="微软雅黑" w:eastAsia="微软雅黑" w:cs="微软雅黑"/>
                <w:sz w:val="22"/>
                <w:szCs w:val="22"/>
                <w:highlight w:val="none"/>
              </w:rPr>
            </w:pPr>
          </w:p>
        </w:tc>
        <w:tc>
          <w:tcPr>
            <w:tcW w:w="676" w:type="dxa"/>
            <w:vAlign w:val="center"/>
          </w:tcPr>
          <w:p w14:paraId="3B917D48">
            <w:pPr>
              <w:spacing w:line="400" w:lineRule="exact"/>
              <w:jc w:val="center"/>
              <w:rPr>
                <w:rFonts w:hint="eastAsia" w:ascii="微软雅黑" w:hAnsi="微软雅黑" w:eastAsia="微软雅黑" w:cs="微软雅黑"/>
                <w:sz w:val="22"/>
                <w:szCs w:val="22"/>
                <w:highlight w:val="none"/>
              </w:rPr>
            </w:pPr>
          </w:p>
        </w:tc>
        <w:tc>
          <w:tcPr>
            <w:tcW w:w="677" w:type="dxa"/>
            <w:vAlign w:val="center"/>
          </w:tcPr>
          <w:p w14:paraId="00938A68">
            <w:pPr>
              <w:spacing w:line="400" w:lineRule="exact"/>
              <w:jc w:val="center"/>
              <w:rPr>
                <w:rFonts w:hint="eastAsia" w:ascii="微软雅黑" w:hAnsi="微软雅黑" w:eastAsia="微软雅黑" w:cs="微软雅黑"/>
                <w:sz w:val="22"/>
                <w:szCs w:val="22"/>
                <w:highlight w:val="none"/>
              </w:rPr>
            </w:pPr>
          </w:p>
        </w:tc>
        <w:tc>
          <w:tcPr>
            <w:tcW w:w="796" w:type="dxa"/>
            <w:vAlign w:val="center"/>
          </w:tcPr>
          <w:p w14:paraId="0AAF9B70">
            <w:pPr>
              <w:spacing w:line="400" w:lineRule="exact"/>
              <w:jc w:val="center"/>
              <w:rPr>
                <w:rFonts w:hint="eastAsia" w:ascii="微软雅黑" w:hAnsi="微软雅黑" w:eastAsia="微软雅黑" w:cs="微软雅黑"/>
                <w:sz w:val="22"/>
                <w:szCs w:val="22"/>
                <w:highlight w:val="none"/>
              </w:rPr>
            </w:pPr>
          </w:p>
        </w:tc>
      </w:tr>
      <w:tr w14:paraId="3616B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278" w:type="dxa"/>
            <w:vMerge w:val="continue"/>
            <w:vAlign w:val="center"/>
          </w:tcPr>
          <w:p w14:paraId="0731B6C0">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33A7C45A">
            <w:pPr>
              <w:spacing w:line="400" w:lineRule="exact"/>
              <w:jc w:val="center"/>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4</w:t>
            </w:r>
          </w:p>
        </w:tc>
        <w:tc>
          <w:tcPr>
            <w:tcW w:w="808" w:type="dxa"/>
            <w:vAlign w:val="center"/>
          </w:tcPr>
          <w:p w14:paraId="4BBEDE82">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0263DB87">
            <w:pPr>
              <w:spacing w:line="400" w:lineRule="exact"/>
              <w:jc w:val="center"/>
              <w:rPr>
                <w:rFonts w:hint="eastAsia" w:ascii="微软雅黑" w:hAnsi="微软雅黑" w:eastAsia="微软雅黑" w:cs="微软雅黑"/>
                <w:sz w:val="22"/>
                <w:szCs w:val="22"/>
                <w:highlight w:val="none"/>
              </w:rPr>
            </w:pPr>
          </w:p>
        </w:tc>
        <w:tc>
          <w:tcPr>
            <w:tcW w:w="808" w:type="dxa"/>
            <w:vAlign w:val="center"/>
          </w:tcPr>
          <w:p w14:paraId="270CDA9E">
            <w:pPr>
              <w:spacing w:line="400" w:lineRule="exact"/>
              <w:jc w:val="center"/>
              <w:rPr>
                <w:rFonts w:hint="eastAsia" w:ascii="微软雅黑" w:hAnsi="微软雅黑" w:eastAsia="微软雅黑" w:cs="微软雅黑"/>
                <w:sz w:val="22"/>
                <w:szCs w:val="22"/>
                <w:highlight w:val="none"/>
              </w:rPr>
            </w:pPr>
          </w:p>
        </w:tc>
        <w:tc>
          <w:tcPr>
            <w:tcW w:w="1043" w:type="dxa"/>
            <w:vAlign w:val="center"/>
          </w:tcPr>
          <w:p w14:paraId="3B604EA2">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30570FDB">
            <w:pPr>
              <w:spacing w:line="400" w:lineRule="exact"/>
              <w:jc w:val="center"/>
              <w:rPr>
                <w:rFonts w:hint="eastAsia" w:ascii="微软雅黑" w:hAnsi="微软雅黑" w:eastAsia="微软雅黑" w:cs="微软雅黑"/>
                <w:sz w:val="22"/>
                <w:szCs w:val="22"/>
                <w:highlight w:val="none"/>
              </w:rPr>
            </w:pPr>
          </w:p>
        </w:tc>
        <w:tc>
          <w:tcPr>
            <w:tcW w:w="706" w:type="dxa"/>
            <w:vAlign w:val="center"/>
          </w:tcPr>
          <w:p w14:paraId="1A7B8EE1">
            <w:pPr>
              <w:spacing w:line="400" w:lineRule="exact"/>
              <w:jc w:val="center"/>
              <w:rPr>
                <w:rFonts w:hint="eastAsia" w:ascii="微软雅黑" w:hAnsi="微软雅黑" w:eastAsia="微软雅黑" w:cs="微软雅黑"/>
                <w:sz w:val="22"/>
                <w:szCs w:val="22"/>
                <w:highlight w:val="none"/>
              </w:rPr>
            </w:pPr>
          </w:p>
        </w:tc>
        <w:tc>
          <w:tcPr>
            <w:tcW w:w="643" w:type="dxa"/>
            <w:vAlign w:val="center"/>
          </w:tcPr>
          <w:p w14:paraId="24A2C9AC">
            <w:pPr>
              <w:spacing w:line="400" w:lineRule="exact"/>
              <w:jc w:val="center"/>
              <w:rPr>
                <w:rFonts w:hint="eastAsia" w:ascii="微软雅黑" w:hAnsi="微软雅黑" w:eastAsia="微软雅黑" w:cs="微软雅黑"/>
                <w:sz w:val="22"/>
                <w:szCs w:val="22"/>
                <w:highlight w:val="none"/>
              </w:rPr>
            </w:pPr>
          </w:p>
        </w:tc>
        <w:tc>
          <w:tcPr>
            <w:tcW w:w="676" w:type="dxa"/>
            <w:vAlign w:val="center"/>
          </w:tcPr>
          <w:p w14:paraId="6BB395B7">
            <w:pPr>
              <w:spacing w:line="400" w:lineRule="exact"/>
              <w:jc w:val="center"/>
              <w:rPr>
                <w:rFonts w:hint="eastAsia" w:ascii="微软雅黑" w:hAnsi="微软雅黑" w:eastAsia="微软雅黑" w:cs="微软雅黑"/>
                <w:sz w:val="22"/>
                <w:szCs w:val="22"/>
                <w:highlight w:val="none"/>
              </w:rPr>
            </w:pPr>
          </w:p>
        </w:tc>
        <w:tc>
          <w:tcPr>
            <w:tcW w:w="677" w:type="dxa"/>
            <w:vAlign w:val="center"/>
          </w:tcPr>
          <w:p w14:paraId="13779AA5">
            <w:pPr>
              <w:spacing w:line="400" w:lineRule="exact"/>
              <w:jc w:val="center"/>
              <w:rPr>
                <w:rFonts w:hint="eastAsia" w:ascii="微软雅黑" w:hAnsi="微软雅黑" w:eastAsia="微软雅黑" w:cs="微软雅黑"/>
                <w:sz w:val="22"/>
                <w:szCs w:val="22"/>
                <w:highlight w:val="none"/>
              </w:rPr>
            </w:pPr>
          </w:p>
        </w:tc>
        <w:tc>
          <w:tcPr>
            <w:tcW w:w="796" w:type="dxa"/>
            <w:vAlign w:val="center"/>
          </w:tcPr>
          <w:p w14:paraId="3CA3F784">
            <w:pPr>
              <w:spacing w:line="400" w:lineRule="exact"/>
              <w:jc w:val="center"/>
              <w:rPr>
                <w:rFonts w:hint="eastAsia" w:ascii="微软雅黑" w:hAnsi="微软雅黑" w:eastAsia="微软雅黑" w:cs="微软雅黑"/>
                <w:sz w:val="22"/>
                <w:szCs w:val="22"/>
                <w:highlight w:val="none"/>
              </w:rPr>
            </w:pPr>
          </w:p>
        </w:tc>
      </w:tr>
      <w:tr w14:paraId="41493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278" w:type="dxa"/>
            <w:vAlign w:val="center"/>
          </w:tcPr>
          <w:p w14:paraId="51CCF449">
            <w:pPr>
              <w:spacing w:line="400" w:lineRule="exact"/>
              <w:jc w:val="center"/>
              <w:rPr>
                <w:rFonts w:hint="eastAsia" w:ascii="微软雅黑" w:hAnsi="微软雅黑" w:eastAsia="微软雅黑" w:cs="微软雅黑"/>
                <w:sz w:val="22"/>
                <w:szCs w:val="22"/>
                <w:highlight w:val="none"/>
              </w:rPr>
            </w:pPr>
          </w:p>
        </w:tc>
        <w:tc>
          <w:tcPr>
            <w:tcW w:w="7876" w:type="dxa"/>
            <w:gridSpan w:val="11"/>
            <w:vAlign w:val="center"/>
          </w:tcPr>
          <w:p w14:paraId="4B212F10">
            <w:pPr>
              <w:spacing w:line="400" w:lineRule="exact"/>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合计总价：</w:t>
            </w:r>
          </w:p>
        </w:tc>
      </w:tr>
      <w:tr w14:paraId="0B88A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278" w:type="dxa"/>
            <w:vMerge w:val="restart"/>
            <w:vAlign w:val="center"/>
          </w:tcPr>
          <w:p w14:paraId="4506D028">
            <w:pPr>
              <w:spacing w:line="400" w:lineRule="exact"/>
              <w:jc w:val="center"/>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lang w:val="en-US" w:eastAsia="zh-CN"/>
              </w:rPr>
              <w:t>质保期内</w:t>
            </w:r>
            <w:r>
              <w:rPr>
                <w:rFonts w:hint="eastAsia" w:ascii="微软雅黑" w:hAnsi="微软雅黑" w:eastAsia="微软雅黑" w:cs="微软雅黑"/>
                <w:color w:val="auto"/>
                <w:sz w:val="22"/>
                <w:szCs w:val="22"/>
                <w:highlight w:val="none"/>
                <w:lang w:val="en-US" w:eastAsia="zh-CN"/>
              </w:rPr>
              <w:t>配备</w:t>
            </w:r>
            <w:r>
              <w:rPr>
                <w:rFonts w:hint="eastAsia" w:ascii="微软雅黑" w:hAnsi="微软雅黑" w:eastAsia="微软雅黑" w:cs="微软雅黑"/>
                <w:color w:val="auto"/>
                <w:sz w:val="22"/>
                <w:szCs w:val="22"/>
                <w:highlight w:val="none"/>
              </w:rPr>
              <w:t>设</w:t>
            </w:r>
            <w:r>
              <w:rPr>
                <w:rFonts w:hint="eastAsia" w:ascii="微软雅黑" w:hAnsi="微软雅黑" w:eastAsia="微软雅黑" w:cs="微软雅黑"/>
                <w:sz w:val="22"/>
                <w:szCs w:val="22"/>
                <w:highlight w:val="none"/>
              </w:rPr>
              <w:t>备</w:t>
            </w:r>
          </w:p>
        </w:tc>
        <w:tc>
          <w:tcPr>
            <w:tcW w:w="573" w:type="dxa"/>
            <w:vAlign w:val="center"/>
          </w:tcPr>
          <w:p w14:paraId="37A0DFD0">
            <w:pPr>
              <w:spacing w:line="400" w:lineRule="exact"/>
              <w:jc w:val="center"/>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5</w:t>
            </w:r>
          </w:p>
        </w:tc>
        <w:tc>
          <w:tcPr>
            <w:tcW w:w="808" w:type="dxa"/>
            <w:vAlign w:val="center"/>
          </w:tcPr>
          <w:p w14:paraId="00F7C294">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5D2B6681">
            <w:pPr>
              <w:spacing w:line="400" w:lineRule="exact"/>
              <w:jc w:val="center"/>
              <w:rPr>
                <w:rFonts w:hint="eastAsia" w:ascii="微软雅黑" w:hAnsi="微软雅黑" w:eastAsia="微软雅黑" w:cs="微软雅黑"/>
                <w:sz w:val="22"/>
                <w:szCs w:val="22"/>
                <w:highlight w:val="none"/>
              </w:rPr>
            </w:pPr>
          </w:p>
        </w:tc>
        <w:tc>
          <w:tcPr>
            <w:tcW w:w="808" w:type="dxa"/>
            <w:vAlign w:val="center"/>
          </w:tcPr>
          <w:p w14:paraId="4B9E4D41">
            <w:pPr>
              <w:spacing w:line="400" w:lineRule="exact"/>
              <w:jc w:val="center"/>
              <w:rPr>
                <w:rFonts w:hint="eastAsia" w:ascii="微软雅黑" w:hAnsi="微软雅黑" w:eastAsia="微软雅黑" w:cs="微软雅黑"/>
                <w:sz w:val="22"/>
                <w:szCs w:val="22"/>
                <w:highlight w:val="none"/>
              </w:rPr>
            </w:pPr>
          </w:p>
        </w:tc>
        <w:tc>
          <w:tcPr>
            <w:tcW w:w="1043" w:type="dxa"/>
            <w:vAlign w:val="center"/>
          </w:tcPr>
          <w:p w14:paraId="6476DEFC">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2AA3C919">
            <w:pPr>
              <w:spacing w:line="400" w:lineRule="exact"/>
              <w:jc w:val="center"/>
              <w:rPr>
                <w:rFonts w:hint="eastAsia" w:ascii="微软雅黑" w:hAnsi="微软雅黑" w:eastAsia="微软雅黑" w:cs="微软雅黑"/>
                <w:sz w:val="22"/>
                <w:szCs w:val="22"/>
                <w:highlight w:val="none"/>
              </w:rPr>
            </w:pPr>
          </w:p>
        </w:tc>
        <w:tc>
          <w:tcPr>
            <w:tcW w:w="706" w:type="dxa"/>
            <w:vAlign w:val="center"/>
          </w:tcPr>
          <w:p w14:paraId="022FB7D7">
            <w:pPr>
              <w:spacing w:line="400" w:lineRule="exact"/>
              <w:jc w:val="center"/>
              <w:rPr>
                <w:rFonts w:hint="eastAsia" w:ascii="微软雅黑" w:hAnsi="微软雅黑" w:eastAsia="微软雅黑" w:cs="微软雅黑"/>
                <w:sz w:val="22"/>
                <w:szCs w:val="22"/>
                <w:highlight w:val="none"/>
              </w:rPr>
            </w:pPr>
          </w:p>
        </w:tc>
        <w:tc>
          <w:tcPr>
            <w:tcW w:w="643" w:type="dxa"/>
            <w:vMerge w:val="restart"/>
            <w:vAlign w:val="center"/>
          </w:tcPr>
          <w:p w14:paraId="438861F4">
            <w:pPr>
              <w:spacing w:line="400" w:lineRule="exact"/>
              <w:jc w:val="center"/>
              <w:rPr>
                <w:rFonts w:hint="eastAsia" w:ascii="微软雅黑" w:hAnsi="微软雅黑" w:eastAsia="微软雅黑" w:cs="微软雅黑"/>
                <w:sz w:val="22"/>
                <w:szCs w:val="22"/>
                <w:highlight w:val="none"/>
              </w:rPr>
            </w:pPr>
          </w:p>
        </w:tc>
        <w:tc>
          <w:tcPr>
            <w:tcW w:w="676" w:type="dxa"/>
            <w:vAlign w:val="center"/>
          </w:tcPr>
          <w:p w14:paraId="3BD40B80">
            <w:pPr>
              <w:spacing w:line="400" w:lineRule="exact"/>
              <w:jc w:val="center"/>
              <w:rPr>
                <w:rFonts w:hint="eastAsia" w:ascii="微软雅黑" w:hAnsi="微软雅黑" w:eastAsia="微软雅黑" w:cs="微软雅黑"/>
                <w:sz w:val="22"/>
                <w:szCs w:val="22"/>
                <w:highlight w:val="none"/>
              </w:rPr>
            </w:pPr>
          </w:p>
        </w:tc>
        <w:tc>
          <w:tcPr>
            <w:tcW w:w="677" w:type="dxa"/>
            <w:vAlign w:val="center"/>
          </w:tcPr>
          <w:p w14:paraId="42CFE993">
            <w:pPr>
              <w:spacing w:line="400" w:lineRule="exact"/>
              <w:jc w:val="center"/>
              <w:rPr>
                <w:rFonts w:hint="eastAsia" w:ascii="微软雅黑" w:hAnsi="微软雅黑" w:eastAsia="微软雅黑" w:cs="微软雅黑"/>
                <w:sz w:val="22"/>
                <w:szCs w:val="22"/>
                <w:highlight w:val="none"/>
              </w:rPr>
            </w:pPr>
          </w:p>
        </w:tc>
        <w:tc>
          <w:tcPr>
            <w:tcW w:w="796" w:type="dxa"/>
            <w:vAlign w:val="center"/>
          </w:tcPr>
          <w:p w14:paraId="5058763E">
            <w:pPr>
              <w:spacing w:line="400" w:lineRule="exact"/>
              <w:jc w:val="center"/>
              <w:rPr>
                <w:rFonts w:hint="eastAsia" w:ascii="微软雅黑" w:hAnsi="微软雅黑" w:eastAsia="微软雅黑" w:cs="微软雅黑"/>
                <w:sz w:val="22"/>
                <w:szCs w:val="22"/>
                <w:highlight w:val="none"/>
              </w:rPr>
            </w:pPr>
          </w:p>
        </w:tc>
      </w:tr>
      <w:tr w14:paraId="285B0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278" w:type="dxa"/>
            <w:vMerge w:val="continue"/>
            <w:vAlign w:val="center"/>
          </w:tcPr>
          <w:p w14:paraId="402E4CD0">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3BF618CC">
            <w:pPr>
              <w:spacing w:line="400" w:lineRule="exact"/>
              <w:jc w:val="center"/>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6</w:t>
            </w:r>
          </w:p>
        </w:tc>
        <w:tc>
          <w:tcPr>
            <w:tcW w:w="808" w:type="dxa"/>
            <w:vAlign w:val="center"/>
          </w:tcPr>
          <w:p w14:paraId="5A5043FF">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4C523690">
            <w:pPr>
              <w:spacing w:line="400" w:lineRule="exact"/>
              <w:jc w:val="center"/>
              <w:rPr>
                <w:rFonts w:hint="eastAsia" w:ascii="微软雅黑" w:hAnsi="微软雅黑" w:eastAsia="微软雅黑" w:cs="微软雅黑"/>
                <w:sz w:val="22"/>
                <w:szCs w:val="22"/>
                <w:highlight w:val="none"/>
              </w:rPr>
            </w:pPr>
          </w:p>
        </w:tc>
        <w:tc>
          <w:tcPr>
            <w:tcW w:w="808" w:type="dxa"/>
            <w:vAlign w:val="center"/>
          </w:tcPr>
          <w:p w14:paraId="2B416EF4">
            <w:pPr>
              <w:spacing w:line="400" w:lineRule="exact"/>
              <w:jc w:val="center"/>
              <w:rPr>
                <w:rFonts w:hint="eastAsia" w:ascii="微软雅黑" w:hAnsi="微软雅黑" w:eastAsia="微软雅黑" w:cs="微软雅黑"/>
                <w:sz w:val="22"/>
                <w:szCs w:val="22"/>
                <w:highlight w:val="none"/>
              </w:rPr>
            </w:pPr>
          </w:p>
        </w:tc>
        <w:tc>
          <w:tcPr>
            <w:tcW w:w="1043" w:type="dxa"/>
            <w:vAlign w:val="center"/>
          </w:tcPr>
          <w:p w14:paraId="2F9FF022">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5CCF4895">
            <w:pPr>
              <w:spacing w:line="400" w:lineRule="exact"/>
              <w:jc w:val="center"/>
              <w:rPr>
                <w:rFonts w:hint="eastAsia" w:ascii="微软雅黑" w:hAnsi="微软雅黑" w:eastAsia="微软雅黑" w:cs="微软雅黑"/>
                <w:sz w:val="22"/>
                <w:szCs w:val="22"/>
                <w:highlight w:val="none"/>
              </w:rPr>
            </w:pPr>
          </w:p>
        </w:tc>
        <w:tc>
          <w:tcPr>
            <w:tcW w:w="706" w:type="dxa"/>
            <w:vAlign w:val="center"/>
          </w:tcPr>
          <w:p w14:paraId="11B9A5F2">
            <w:pPr>
              <w:spacing w:line="400" w:lineRule="exact"/>
              <w:jc w:val="center"/>
              <w:rPr>
                <w:rFonts w:hint="eastAsia" w:ascii="微软雅黑" w:hAnsi="微软雅黑" w:eastAsia="微软雅黑" w:cs="微软雅黑"/>
                <w:sz w:val="22"/>
                <w:szCs w:val="22"/>
                <w:highlight w:val="none"/>
              </w:rPr>
            </w:pPr>
          </w:p>
        </w:tc>
        <w:tc>
          <w:tcPr>
            <w:tcW w:w="643" w:type="dxa"/>
            <w:vMerge w:val="continue"/>
            <w:vAlign w:val="center"/>
          </w:tcPr>
          <w:p w14:paraId="1BF7E0EC">
            <w:pPr>
              <w:spacing w:line="400" w:lineRule="exact"/>
              <w:jc w:val="center"/>
              <w:rPr>
                <w:rFonts w:hint="eastAsia" w:ascii="微软雅黑" w:hAnsi="微软雅黑" w:eastAsia="微软雅黑" w:cs="微软雅黑"/>
                <w:sz w:val="22"/>
                <w:szCs w:val="22"/>
                <w:highlight w:val="none"/>
              </w:rPr>
            </w:pPr>
          </w:p>
        </w:tc>
        <w:tc>
          <w:tcPr>
            <w:tcW w:w="676" w:type="dxa"/>
            <w:vAlign w:val="center"/>
          </w:tcPr>
          <w:p w14:paraId="286DD02C">
            <w:pPr>
              <w:spacing w:line="400" w:lineRule="exact"/>
              <w:jc w:val="center"/>
              <w:rPr>
                <w:rFonts w:hint="eastAsia" w:ascii="微软雅黑" w:hAnsi="微软雅黑" w:eastAsia="微软雅黑" w:cs="微软雅黑"/>
                <w:sz w:val="22"/>
                <w:szCs w:val="22"/>
                <w:highlight w:val="none"/>
              </w:rPr>
            </w:pPr>
          </w:p>
        </w:tc>
        <w:tc>
          <w:tcPr>
            <w:tcW w:w="677" w:type="dxa"/>
            <w:vAlign w:val="center"/>
          </w:tcPr>
          <w:p w14:paraId="74D3E2F7">
            <w:pPr>
              <w:spacing w:line="400" w:lineRule="exact"/>
              <w:jc w:val="center"/>
              <w:rPr>
                <w:rFonts w:hint="eastAsia" w:ascii="微软雅黑" w:hAnsi="微软雅黑" w:eastAsia="微软雅黑" w:cs="微软雅黑"/>
                <w:sz w:val="22"/>
                <w:szCs w:val="22"/>
                <w:highlight w:val="none"/>
              </w:rPr>
            </w:pPr>
          </w:p>
        </w:tc>
        <w:tc>
          <w:tcPr>
            <w:tcW w:w="796" w:type="dxa"/>
            <w:vAlign w:val="center"/>
          </w:tcPr>
          <w:p w14:paraId="4352D56E">
            <w:pPr>
              <w:spacing w:line="400" w:lineRule="exact"/>
              <w:jc w:val="center"/>
              <w:rPr>
                <w:rFonts w:hint="eastAsia" w:ascii="微软雅黑" w:hAnsi="微软雅黑" w:eastAsia="微软雅黑" w:cs="微软雅黑"/>
                <w:sz w:val="22"/>
                <w:szCs w:val="22"/>
                <w:highlight w:val="none"/>
              </w:rPr>
            </w:pPr>
          </w:p>
        </w:tc>
      </w:tr>
      <w:tr w14:paraId="174BB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278" w:type="dxa"/>
            <w:vMerge w:val="continue"/>
            <w:vAlign w:val="center"/>
          </w:tcPr>
          <w:p w14:paraId="288EF1EC">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1C4C9A43">
            <w:pPr>
              <w:spacing w:line="400" w:lineRule="exact"/>
              <w:jc w:val="center"/>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7</w:t>
            </w:r>
          </w:p>
        </w:tc>
        <w:tc>
          <w:tcPr>
            <w:tcW w:w="808" w:type="dxa"/>
            <w:vAlign w:val="center"/>
          </w:tcPr>
          <w:p w14:paraId="34B8D446">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5D2BB903">
            <w:pPr>
              <w:spacing w:line="400" w:lineRule="exact"/>
              <w:jc w:val="center"/>
              <w:rPr>
                <w:rFonts w:hint="eastAsia" w:ascii="微软雅黑" w:hAnsi="微软雅黑" w:eastAsia="微软雅黑" w:cs="微软雅黑"/>
                <w:sz w:val="22"/>
                <w:szCs w:val="22"/>
                <w:highlight w:val="none"/>
              </w:rPr>
            </w:pPr>
          </w:p>
        </w:tc>
        <w:tc>
          <w:tcPr>
            <w:tcW w:w="808" w:type="dxa"/>
            <w:vAlign w:val="center"/>
          </w:tcPr>
          <w:p w14:paraId="3C23690F">
            <w:pPr>
              <w:spacing w:line="400" w:lineRule="exact"/>
              <w:jc w:val="center"/>
              <w:rPr>
                <w:rFonts w:hint="eastAsia" w:ascii="微软雅黑" w:hAnsi="微软雅黑" w:eastAsia="微软雅黑" w:cs="微软雅黑"/>
                <w:sz w:val="22"/>
                <w:szCs w:val="22"/>
                <w:highlight w:val="none"/>
              </w:rPr>
            </w:pPr>
          </w:p>
        </w:tc>
        <w:tc>
          <w:tcPr>
            <w:tcW w:w="1043" w:type="dxa"/>
            <w:vAlign w:val="center"/>
          </w:tcPr>
          <w:p w14:paraId="419D0623">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2FFD64E5">
            <w:pPr>
              <w:spacing w:line="400" w:lineRule="exact"/>
              <w:jc w:val="center"/>
              <w:rPr>
                <w:rFonts w:hint="eastAsia" w:ascii="微软雅黑" w:hAnsi="微软雅黑" w:eastAsia="微软雅黑" w:cs="微软雅黑"/>
                <w:sz w:val="22"/>
                <w:szCs w:val="22"/>
                <w:highlight w:val="none"/>
              </w:rPr>
            </w:pPr>
          </w:p>
        </w:tc>
        <w:tc>
          <w:tcPr>
            <w:tcW w:w="706" w:type="dxa"/>
            <w:vAlign w:val="center"/>
          </w:tcPr>
          <w:p w14:paraId="5861805C">
            <w:pPr>
              <w:spacing w:line="400" w:lineRule="exact"/>
              <w:jc w:val="center"/>
              <w:rPr>
                <w:rFonts w:hint="eastAsia" w:ascii="微软雅黑" w:hAnsi="微软雅黑" w:eastAsia="微软雅黑" w:cs="微软雅黑"/>
                <w:sz w:val="22"/>
                <w:szCs w:val="22"/>
                <w:highlight w:val="none"/>
              </w:rPr>
            </w:pPr>
          </w:p>
        </w:tc>
        <w:tc>
          <w:tcPr>
            <w:tcW w:w="643" w:type="dxa"/>
            <w:vMerge w:val="continue"/>
            <w:vAlign w:val="center"/>
          </w:tcPr>
          <w:p w14:paraId="060875D0">
            <w:pPr>
              <w:spacing w:line="400" w:lineRule="exact"/>
              <w:jc w:val="center"/>
              <w:rPr>
                <w:rFonts w:hint="eastAsia" w:ascii="微软雅黑" w:hAnsi="微软雅黑" w:eastAsia="微软雅黑" w:cs="微软雅黑"/>
                <w:sz w:val="22"/>
                <w:szCs w:val="22"/>
                <w:highlight w:val="none"/>
              </w:rPr>
            </w:pPr>
          </w:p>
        </w:tc>
        <w:tc>
          <w:tcPr>
            <w:tcW w:w="676" w:type="dxa"/>
            <w:vAlign w:val="center"/>
          </w:tcPr>
          <w:p w14:paraId="7D1967F3">
            <w:pPr>
              <w:spacing w:line="400" w:lineRule="exact"/>
              <w:jc w:val="center"/>
              <w:rPr>
                <w:rFonts w:hint="eastAsia" w:ascii="微软雅黑" w:hAnsi="微软雅黑" w:eastAsia="微软雅黑" w:cs="微软雅黑"/>
                <w:sz w:val="22"/>
                <w:szCs w:val="22"/>
                <w:highlight w:val="none"/>
              </w:rPr>
            </w:pPr>
          </w:p>
        </w:tc>
        <w:tc>
          <w:tcPr>
            <w:tcW w:w="677" w:type="dxa"/>
            <w:vAlign w:val="center"/>
          </w:tcPr>
          <w:p w14:paraId="40016141">
            <w:pPr>
              <w:spacing w:line="400" w:lineRule="exact"/>
              <w:jc w:val="center"/>
              <w:rPr>
                <w:rFonts w:hint="eastAsia" w:ascii="微软雅黑" w:hAnsi="微软雅黑" w:eastAsia="微软雅黑" w:cs="微软雅黑"/>
                <w:sz w:val="22"/>
                <w:szCs w:val="22"/>
                <w:highlight w:val="none"/>
              </w:rPr>
            </w:pPr>
          </w:p>
        </w:tc>
        <w:tc>
          <w:tcPr>
            <w:tcW w:w="796" w:type="dxa"/>
            <w:vAlign w:val="center"/>
          </w:tcPr>
          <w:p w14:paraId="4341CEC2">
            <w:pPr>
              <w:spacing w:line="400" w:lineRule="exact"/>
              <w:jc w:val="center"/>
              <w:rPr>
                <w:rFonts w:hint="eastAsia" w:ascii="微软雅黑" w:hAnsi="微软雅黑" w:eastAsia="微软雅黑" w:cs="微软雅黑"/>
                <w:sz w:val="22"/>
                <w:szCs w:val="22"/>
                <w:highlight w:val="none"/>
              </w:rPr>
            </w:pPr>
          </w:p>
        </w:tc>
      </w:tr>
      <w:tr w14:paraId="54CBB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278" w:type="dxa"/>
            <w:vMerge w:val="continue"/>
            <w:vAlign w:val="center"/>
          </w:tcPr>
          <w:p w14:paraId="3E2FDE04">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2FB5299E">
            <w:pPr>
              <w:spacing w:line="400" w:lineRule="exact"/>
              <w:jc w:val="center"/>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8</w:t>
            </w:r>
          </w:p>
        </w:tc>
        <w:tc>
          <w:tcPr>
            <w:tcW w:w="808" w:type="dxa"/>
            <w:vAlign w:val="center"/>
          </w:tcPr>
          <w:p w14:paraId="77A1B870">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7D32DFB8">
            <w:pPr>
              <w:spacing w:line="400" w:lineRule="exact"/>
              <w:jc w:val="center"/>
              <w:rPr>
                <w:rFonts w:hint="eastAsia" w:ascii="微软雅黑" w:hAnsi="微软雅黑" w:eastAsia="微软雅黑" w:cs="微软雅黑"/>
                <w:sz w:val="22"/>
                <w:szCs w:val="22"/>
                <w:highlight w:val="none"/>
              </w:rPr>
            </w:pPr>
          </w:p>
        </w:tc>
        <w:tc>
          <w:tcPr>
            <w:tcW w:w="808" w:type="dxa"/>
            <w:vAlign w:val="center"/>
          </w:tcPr>
          <w:p w14:paraId="6873B33D">
            <w:pPr>
              <w:spacing w:line="400" w:lineRule="exact"/>
              <w:jc w:val="center"/>
              <w:rPr>
                <w:rFonts w:hint="eastAsia" w:ascii="微软雅黑" w:hAnsi="微软雅黑" w:eastAsia="微软雅黑" w:cs="微软雅黑"/>
                <w:sz w:val="22"/>
                <w:szCs w:val="22"/>
                <w:highlight w:val="none"/>
              </w:rPr>
            </w:pPr>
          </w:p>
        </w:tc>
        <w:tc>
          <w:tcPr>
            <w:tcW w:w="1043" w:type="dxa"/>
            <w:vAlign w:val="center"/>
          </w:tcPr>
          <w:p w14:paraId="11E6141A">
            <w:pPr>
              <w:spacing w:line="400" w:lineRule="exact"/>
              <w:jc w:val="center"/>
              <w:rPr>
                <w:rFonts w:hint="eastAsia" w:ascii="微软雅黑" w:hAnsi="微软雅黑" w:eastAsia="微软雅黑" w:cs="微软雅黑"/>
                <w:sz w:val="22"/>
                <w:szCs w:val="22"/>
                <w:highlight w:val="none"/>
              </w:rPr>
            </w:pPr>
          </w:p>
        </w:tc>
        <w:tc>
          <w:tcPr>
            <w:tcW w:w="573" w:type="dxa"/>
            <w:vAlign w:val="center"/>
          </w:tcPr>
          <w:p w14:paraId="6925DA02">
            <w:pPr>
              <w:spacing w:line="400" w:lineRule="exact"/>
              <w:jc w:val="center"/>
              <w:rPr>
                <w:rFonts w:hint="eastAsia" w:ascii="微软雅黑" w:hAnsi="微软雅黑" w:eastAsia="微软雅黑" w:cs="微软雅黑"/>
                <w:sz w:val="22"/>
                <w:szCs w:val="22"/>
                <w:highlight w:val="none"/>
              </w:rPr>
            </w:pPr>
          </w:p>
        </w:tc>
        <w:tc>
          <w:tcPr>
            <w:tcW w:w="706" w:type="dxa"/>
            <w:vAlign w:val="center"/>
          </w:tcPr>
          <w:p w14:paraId="6079621E">
            <w:pPr>
              <w:spacing w:line="400" w:lineRule="exact"/>
              <w:jc w:val="center"/>
              <w:rPr>
                <w:rFonts w:hint="eastAsia" w:ascii="微软雅黑" w:hAnsi="微软雅黑" w:eastAsia="微软雅黑" w:cs="微软雅黑"/>
                <w:sz w:val="22"/>
                <w:szCs w:val="22"/>
                <w:highlight w:val="none"/>
              </w:rPr>
            </w:pPr>
          </w:p>
        </w:tc>
        <w:tc>
          <w:tcPr>
            <w:tcW w:w="643" w:type="dxa"/>
            <w:vAlign w:val="center"/>
          </w:tcPr>
          <w:p w14:paraId="53EC4E2D">
            <w:pPr>
              <w:spacing w:line="400" w:lineRule="exact"/>
              <w:jc w:val="center"/>
              <w:rPr>
                <w:rFonts w:hint="eastAsia" w:ascii="微软雅黑" w:hAnsi="微软雅黑" w:eastAsia="微软雅黑" w:cs="微软雅黑"/>
                <w:sz w:val="22"/>
                <w:szCs w:val="22"/>
                <w:highlight w:val="none"/>
              </w:rPr>
            </w:pPr>
          </w:p>
        </w:tc>
        <w:tc>
          <w:tcPr>
            <w:tcW w:w="676" w:type="dxa"/>
            <w:vAlign w:val="center"/>
          </w:tcPr>
          <w:p w14:paraId="723955D0">
            <w:pPr>
              <w:spacing w:line="400" w:lineRule="exact"/>
              <w:jc w:val="center"/>
              <w:rPr>
                <w:rFonts w:hint="eastAsia" w:ascii="微软雅黑" w:hAnsi="微软雅黑" w:eastAsia="微软雅黑" w:cs="微软雅黑"/>
                <w:sz w:val="22"/>
                <w:szCs w:val="22"/>
                <w:highlight w:val="none"/>
              </w:rPr>
            </w:pPr>
          </w:p>
        </w:tc>
        <w:tc>
          <w:tcPr>
            <w:tcW w:w="677" w:type="dxa"/>
            <w:vAlign w:val="center"/>
          </w:tcPr>
          <w:p w14:paraId="3ECD23CF">
            <w:pPr>
              <w:spacing w:line="400" w:lineRule="exact"/>
              <w:jc w:val="center"/>
              <w:rPr>
                <w:rFonts w:hint="eastAsia" w:ascii="微软雅黑" w:hAnsi="微软雅黑" w:eastAsia="微软雅黑" w:cs="微软雅黑"/>
                <w:sz w:val="22"/>
                <w:szCs w:val="22"/>
                <w:highlight w:val="none"/>
              </w:rPr>
            </w:pPr>
          </w:p>
        </w:tc>
        <w:tc>
          <w:tcPr>
            <w:tcW w:w="796" w:type="dxa"/>
            <w:vAlign w:val="center"/>
          </w:tcPr>
          <w:p w14:paraId="57DE3A7C">
            <w:pPr>
              <w:spacing w:line="400" w:lineRule="exact"/>
              <w:jc w:val="center"/>
              <w:rPr>
                <w:rFonts w:hint="eastAsia" w:ascii="微软雅黑" w:hAnsi="微软雅黑" w:eastAsia="微软雅黑" w:cs="微软雅黑"/>
                <w:sz w:val="22"/>
                <w:szCs w:val="22"/>
                <w:highlight w:val="none"/>
              </w:rPr>
            </w:pPr>
          </w:p>
        </w:tc>
      </w:tr>
    </w:tbl>
    <w:p w14:paraId="41F55724">
      <w:pPr>
        <w:spacing w:line="400" w:lineRule="exact"/>
        <w:rPr>
          <w:rFonts w:hint="eastAsia" w:ascii="微软雅黑" w:hAnsi="微软雅黑" w:eastAsia="微软雅黑" w:cs="微软雅黑"/>
          <w:b/>
          <w:sz w:val="22"/>
          <w:szCs w:val="22"/>
          <w:highlight w:val="none"/>
        </w:rPr>
      </w:pPr>
    </w:p>
    <w:p w14:paraId="70207916">
      <w:pPr>
        <w:spacing w:line="400" w:lineRule="exact"/>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供应商名称（公章）：</w:t>
      </w:r>
    </w:p>
    <w:p w14:paraId="578E303D">
      <w:pPr>
        <w:spacing w:line="400" w:lineRule="exact"/>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 xml:space="preserve">法定代表人（签/章）：                    </w:t>
      </w:r>
    </w:p>
    <w:p w14:paraId="678315A6">
      <w:pPr>
        <w:pStyle w:val="3"/>
        <w:spacing w:line="400" w:lineRule="exact"/>
        <w:ind w:firstLine="0"/>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 xml:space="preserve">日       期 ：   </w:t>
      </w:r>
    </w:p>
    <w:p w14:paraId="7CD8561D">
      <w:pPr>
        <w:spacing w:line="400" w:lineRule="exact"/>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注：1.表格长度方向可做扩展根据需求可补充相关资料，但不可减少。</w:t>
      </w:r>
    </w:p>
    <w:p w14:paraId="21DBC0F7">
      <w:pPr>
        <w:spacing w:line="400" w:lineRule="exact"/>
        <w:ind w:firstLine="440" w:firstLineChars="200"/>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rPr>
        <w:t>2.备品备件设备分项报价仅供采购人在设备发生故障情况下采用此报价，填写此表时请谨慎。备品备件分为两部分（</w:t>
      </w:r>
      <w:r>
        <w:rPr>
          <w:rFonts w:hint="eastAsia" w:ascii="微软雅黑" w:hAnsi="微软雅黑" w:eastAsia="微软雅黑" w:cs="微软雅黑"/>
          <w:color w:val="auto"/>
          <w:sz w:val="22"/>
          <w:szCs w:val="22"/>
          <w:highlight w:val="none"/>
        </w:rPr>
        <w:t>1、</w:t>
      </w:r>
      <w:r>
        <w:rPr>
          <w:rFonts w:hint="eastAsia" w:ascii="微软雅黑" w:hAnsi="微软雅黑" w:eastAsia="微软雅黑" w:cs="微软雅黑"/>
          <w:color w:val="auto"/>
          <w:sz w:val="22"/>
          <w:szCs w:val="22"/>
          <w:highlight w:val="none"/>
          <w:lang w:eastAsia="zh-CN"/>
        </w:rPr>
        <w:t>质保期内配备</w:t>
      </w:r>
      <w:r>
        <w:rPr>
          <w:rFonts w:hint="eastAsia" w:ascii="微软雅黑" w:hAnsi="微软雅黑" w:eastAsia="微软雅黑" w:cs="微软雅黑"/>
          <w:color w:val="auto"/>
          <w:sz w:val="22"/>
          <w:szCs w:val="22"/>
          <w:highlight w:val="none"/>
        </w:rPr>
        <w:t>的备</w:t>
      </w:r>
      <w:r>
        <w:rPr>
          <w:rFonts w:hint="eastAsia" w:ascii="微软雅黑" w:hAnsi="微软雅黑" w:eastAsia="微软雅黑" w:cs="微软雅黑"/>
          <w:sz w:val="22"/>
          <w:szCs w:val="22"/>
          <w:highlight w:val="none"/>
        </w:rPr>
        <w:t xml:space="preserve">品备件、2、备品备件报价）                 </w:t>
      </w:r>
    </w:p>
    <w:p w14:paraId="0B5C8C3C">
      <w:pPr>
        <w:pStyle w:val="3"/>
        <w:spacing w:line="400" w:lineRule="exact"/>
        <w:ind w:firstLine="440" w:firstLineChars="200"/>
        <w:rPr>
          <w:rFonts w:hint="eastAsia" w:ascii="微软雅黑" w:hAnsi="微软雅黑" w:eastAsia="微软雅黑" w:cs="微软雅黑"/>
          <w:kern w:val="2"/>
          <w:sz w:val="22"/>
          <w:szCs w:val="22"/>
          <w:highlight w:val="none"/>
        </w:rPr>
      </w:pPr>
      <w:r>
        <w:rPr>
          <w:rFonts w:hint="eastAsia" w:ascii="微软雅黑" w:hAnsi="微软雅黑" w:eastAsia="微软雅黑" w:cs="微软雅黑"/>
          <w:kern w:val="2"/>
          <w:sz w:val="22"/>
          <w:szCs w:val="22"/>
          <w:highlight w:val="none"/>
        </w:rPr>
        <w:t>3.备品备件设备分项报价不合计于开标一览表总价，单独名列即可。</w:t>
      </w:r>
    </w:p>
    <w:p w14:paraId="04F3119C">
      <w:pPr>
        <w:pStyle w:val="3"/>
        <w:spacing w:line="400" w:lineRule="exact"/>
        <w:ind w:firstLine="440" w:firstLineChars="200"/>
        <w:rPr>
          <w:rFonts w:hint="eastAsia" w:ascii="微软雅黑" w:hAnsi="微软雅黑" w:eastAsia="微软雅黑" w:cs="微软雅黑"/>
          <w:kern w:val="2"/>
          <w:sz w:val="22"/>
          <w:szCs w:val="22"/>
          <w:highlight w:val="none"/>
        </w:rPr>
      </w:pPr>
      <w:r>
        <w:rPr>
          <w:rFonts w:hint="eastAsia" w:ascii="微软雅黑" w:hAnsi="微软雅黑" w:eastAsia="微软雅黑" w:cs="微软雅黑"/>
          <w:kern w:val="2"/>
          <w:sz w:val="22"/>
          <w:szCs w:val="22"/>
          <w:highlight w:val="none"/>
        </w:rPr>
        <w:t>4.在设备维修和维护过程中，用来更换已经磨损，不能继续使用或损坏的零件和修复件。而为了缩短设备维修的停机维修时间，减少停机损失，供应质量优良的备件，可以保证修理质量和修理周期，提高设备的可靠性，有效率。备件管理工作的重点首先是满足关键设备对维修备件的需要，保证关键设备的正常运行，尽量减少停机损失。</w:t>
      </w:r>
    </w:p>
    <w:p w14:paraId="5796FEBD">
      <w:pPr>
        <w:pStyle w:val="3"/>
        <w:spacing w:line="400" w:lineRule="exact"/>
        <w:ind w:firstLine="440" w:firstLineChars="200"/>
        <w:rPr>
          <w:rFonts w:hint="eastAsia" w:ascii="微软雅黑" w:hAnsi="微软雅黑" w:eastAsia="微软雅黑" w:cs="微软雅黑"/>
          <w:kern w:val="2"/>
          <w:sz w:val="22"/>
          <w:szCs w:val="22"/>
          <w:highlight w:val="none"/>
        </w:rPr>
      </w:pPr>
    </w:p>
    <w:p w14:paraId="6C3378AB">
      <w:pPr>
        <w:pStyle w:val="4"/>
        <w:rPr>
          <w:rFonts w:hint="eastAsia" w:ascii="微软雅黑" w:hAnsi="微软雅黑" w:eastAsia="微软雅黑" w:cs="微软雅黑"/>
          <w:kern w:val="2"/>
          <w:sz w:val="20"/>
          <w:szCs w:val="22"/>
          <w:highlight w:val="none"/>
        </w:rPr>
      </w:pPr>
    </w:p>
    <w:p w14:paraId="70069DD2">
      <w:pPr>
        <w:rPr>
          <w:rFonts w:hint="eastAsia" w:ascii="微软雅黑" w:hAnsi="微软雅黑" w:eastAsia="微软雅黑" w:cs="微软雅黑"/>
          <w:kern w:val="2"/>
          <w:sz w:val="20"/>
          <w:szCs w:val="22"/>
          <w:highlight w:val="none"/>
        </w:rPr>
      </w:pPr>
    </w:p>
    <w:p w14:paraId="021C34D6">
      <w:pPr>
        <w:pStyle w:val="14"/>
        <w:rPr>
          <w:rFonts w:hint="eastAsia" w:ascii="微软雅黑" w:hAnsi="微软雅黑" w:eastAsia="微软雅黑" w:cs="微软雅黑"/>
          <w:sz w:val="22"/>
          <w:szCs w:val="22"/>
          <w:highlight w:val="none"/>
        </w:rPr>
      </w:pPr>
    </w:p>
    <w:p w14:paraId="4880D125">
      <w:pPr>
        <w:rPr>
          <w:rFonts w:hint="eastAsia" w:ascii="微软雅黑" w:hAnsi="微软雅黑" w:eastAsia="微软雅黑" w:cs="微软雅黑"/>
          <w:sz w:val="20"/>
          <w:szCs w:val="22"/>
          <w:highlight w:val="none"/>
        </w:rPr>
      </w:pPr>
    </w:p>
    <w:p w14:paraId="69E1A76C">
      <w:pPr>
        <w:jc w:val="center"/>
        <w:outlineLvl w:val="1"/>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br w:type="page"/>
      </w:r>
      <w:bookmarkStart w:id="1860" w:name="_Toc31644"/>
      <w:r>
        <w:rPr>
          <w:rFonts w:hint="eastAsia" w:ascii="微软雅黑" w:hAnsi="微软雅黑" w:eastAsia="微软雅黑" w:cs="微软雅黑"/>
          <w:b/>
          <w:bCs/>
          <w:color w:val="auto"/>
          <w:sz w:val="22"/>
          <w:szCs w:val="22"/>
          <w:highlight w:val="none"/>
        </w:rPr>
        <w:t>3</w:t>
      </w:r>
      <w:bookmarkEnd w:id="1856"/>
      <w:bookmarkEnd w:id="1857"/>
      <w:bookmarkEnd w:id="1858"/>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货物</w:t>
      </w:r>
      <w:r>
        <w:rPr>
          <w:rFonts w:hint="eastAsia" w:ascii="微软雅黑" w:hAnsi="微软雅黑" w:eastAsia="微软雅黑" w:cs="微软雅黑"/>
          <w:b/>
          <w:bCs/>
          <w:color w:val="auto"/>
          <w:sz w:val="22"/>
          <w:szCs w:val="22"/>
          <w:highlight w:val="none"/>
        </w:rPr>
        <w:t>说明一览表</w:t>
      </w:r>
      <w:bookmarkEnd w:id="1859"/>
      <w:bookmarkEnd w:id="1860"/>
    </w:p>
    <w:p w14:paraId="6ECDD31A">
      <w:pPr>
        <w:pStyle w:val="16"/>
        <w:spacing w:line="360" w:lineRule="exact"/>
        <w:ind w:left="1080" w:leftChars="257" w:hanging="540"/>
        <w:jc w:val="lef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项目名称:                    </w:t>
      </w:r>
      <w:r>
        <w:rPr>
          <w:rFonts w:hint="eastAsia" w:ascii="微软雅黑" w:hAnsi="微软雅黑" w:eastAsia="微软雅黑" w:cs="微软雅黑"/>
          <w:color w:val="auto"/>
          <w:sz w:val="22"/>
          <w:szCs w:val="22"/>
          <w:highlight w:val="none"/>
          <w:lang w:eastAsia="zh-CN"/>
        </w:rPr>
        <w:t>项目编号</w:t>
      </w:r>
      <w:r>
        <w:rPr>
          <w:rFonts w:hint="eastAsia" w:ascii="微软雅黑" w:hAnsi="微软雅黑" w:eastAsia="微软雅黑" w:cs="微软雅黑"/>
          <w:color w:val="auto"/>
          <w:sz w:val="22"/>
          <w:szCs w:val="22"/>
          <w:highlight w:val="none"/>
        </w:rPr>
        <w:t xml:space="preserve">:         </w:t>
      </w:r>
      <w:r>
        <w:rPr>
          <w:rFonts w:hint="eastAsia" w:ascii="微软雅黑" w:hAnsi="微软雅黑" w:eastAsia="微软雅黑" w:cs="微软雅黑"/>
          <w:color w:val="auto"/>
          <w:sz w:val="22"/>
          <w:szCs w:val="22"/>
          <w:highlight w:val="none"/>
          <w:lang w:val="en-US" w:eastAsia="zh-CN"/>
        </w:rPr>
        <w:t>标项：（如有）</w:t>
      </w:r>
      <w:r>
        <w:rPr>
          <w:rFonts w:hint="eastAsia" w:ascii="微软雅黑" w:hAnsi="微软雅黑" w:eastAsia="微软雅黑" w:cs="微软雅黑"/>
          <w:color w:val="auto"/>
          <w:sz w:val="22"/>
          <w:szCs w:val="22"/>
          <w:highlight w:val="none"/>
        </w:rPr>
        <w:t xml:space="preserve">                            </w:t>
      </w:r>
    </w:p>
    <w:tbl>
      <w:tblPr>
        <w:tblStyle w:val="31"/>
        <w:tblpPr w:leftFromText="180" w:rightFromText="180" w:vertAnchor="text" w:horzAnchor="page" w:tblpX="1350" w:tblpY="242"/>
        <w:tblOverlap w:val="never"/>
        <w:tblW w:w="97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751"/>
        <w:gridCol w:w="1463"/>
        <w:gridCol w:w="1547"/>
        <w:gridCol w:w="1153"/>
        <w:gridCol w:w="1195"/>
        <w:gridCol w:w="972"/>
        <w:gridCol w:w="972"/>
      </w:tblGrid>
      <w:tr w14:paraId="045A5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42" w:type="dxa"/>
            <w:vAlign w:val="center"/>
          </w:tcPr>
          <w:p w14:paraId="025F08D4">
            <w:pPr>
              <w:pStyle w:val="16"/>
              <w:spacing w:line="36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序号</w:t>
            </w:r>
          </w:p>
        </w:tc>
        <w:tc>
          <w:tcPr>
            <w:tcW w:w="1751" w:type="dxa"/>
            <w:vAlign w:val="center"/>
          </w:tcPr>
          <w:p w14:paraId="0FF444B2">
            <w:pPr>
              <w:pStyle w:val="16"/>
              <w:spacing w:line="36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货物</w:t>
            </w:r>
            <w:r>
              <w:rPr>
                <w:rFonts w:hint="eastAsia" w:ascii="微软雅黑" w:hAnsi="微软雅黑" w:eastAsia="微软雅黑" w:cs="微软雅黑"/>
                <w:color w:val="auto"/>
                <w:sz w:val="22"/>
                <w:szCs w:val="22"/>
                <w:highlight w:val="none"/>
              </w:rPr>
              <w:t>名称</w:t>
            </w:r>
          </w:p>
        </w:tc>
        <w:tc>
          <w:tcPr>
            <w:tcW w:w="1463" w:type="dxa"/>
            <w:vAlign w:val="center"/>
          </w:tcPr>
          <w:p w14:paraId="169454C9">
            <w:pPr>
              <w:pStyle w:val="16"/>
              <w:spacing w:line="36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主要规格</w:t>
            </w:r>
          </w:p>
        </w:tc>
        <w:tc>
          <w:tcPr>
            <w:tcW w:w="1547" w:type="dxa"/>
            <w:vAlign w:val="center"/>
          </w:tcPr>
          <w:p w14:paraId="72627CA0">
            <w:pPr>
              <w:pStyle w:val="16"/>
              <w:spacing w:line="36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数量</w:t>
            </w:r>
          </w:p>
        </w:tc>
        <w:tc>
          <w:tcPr>
            <w:tcW w:w="1153" w:type="dxa"/>
            <w:vAlign w:val="center"/>
          </w:tcPr>
          <w:p w14:paraId="74A8A001">
            <w:pPr>
              <w:pStyle w:val="16"/>
              <w:spacing w:line="360" w:lineRule="exact"/>
              <w:jc w:val="center"/>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val="en-US" w:eastAsia="zh-CN"/>
              </w:rPr>
              <w:t>到货期</w:t>
            </w:r>
          </w:p>
        </w:tc>
        <w:tc>
          <w:tcPr>
            <w:tcW w:w="1195" w:type="dxa"/>
            <w:vAlign w:val="center"/>
          </w:tcPr>
          <w:p w14:paraId="7C9D3ECB">
            <w:pPr>
              <w:pStyle w:val="16"/>
              <w:spacing w:line="36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到货地点</w:t>
            </w:r>
          </w:p>
        </w:tc>
        <w:tc>
          <w:tcPr>
            <w:tcW w:w="972" w:type="dxa"/>
            <w:vAlign w:val="center"/>
          </w:tcPr>
          <w:p w14:paraId="79EBE080">
            <w:pPr>
              <w:pStyle w:val="16"/>
              <w:spacing w:line="360" w:lineRule="exact"/>
              <w:jc w:val="center"/>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质保期</w:t>
            </w:r>
          </w:p>
        </w:tc>
        <w:tc>
          <w:tcPr>
            <w:tcW w:w="972" w:type="dxa"/>
            <w:vAlign w:val="center"/>
          </w:tcPr>
          <w:p w14:paraId="531B12E1">
            <w:pPr>
              <w:pStyle w:val="16"/>
              <w:spacing w:line="360" w:lineRule="exact"/>
              <w:jc w:val="center"/>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val="en-US" w:eastAsia="zh-CN"/>
              </w:rPr>
              <w:t>备注</w:t>
            </w:r>
          </w:p>
        </w:tc>
      </w:tr>
      <w:tr w14:paraId="46112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742" w:type="dxa"/>
          </w:tcPr>
          <w:p w14:paraId="50D7FE64">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751" w:type="dxa"/>
          </w:tcPr>
          <w:p w14:paraId="025928A1">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463" w:type="dxa"/>
          </w:tcPr>
          <w:p w14:paraId="2FFA5F7E">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547" w:type="dxa"/>
          </w:tcPr>
          <w:p w14:paraId="2892098C">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153" w:type="dxa"/>
          </w:tcPr>
          <w:p w14:paraId="35B85C32">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195" w:type="dxa"/>
          </w:tcPr>
          <w:p w14:paraId="32829361">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972" w:type="dxa"/>
          </w:tcPr>
          <w:p w14:paraId="4A275072">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972" w:type="dxa"/>
          </w:tcPr>
          <w:p w14:paraId="7B70F707">
            <w:pPr>
              <w:pStyle w:val="16"/>
              <w:spacing w:line="360" w:lineRule="exact"/>
              <w:ind w:left="1080" w:leftChars="257" w:hanging="540"/>
              <w:rPr>
                <w:rFonts w:hint="eastAsia" w:ascii="微软雅黑" w:hAnsi="微软雅黑" w:eastAsia="微软雅黑" w:cs="微软雅黑"/>
                <w:color w:val="auto"/>
                <w:sz w:val="22"/>
                <w:szCs w:val="22"/>
                <w:highlight w:val="none"/>
              </w:rPr>
            </w:pPr>
          </w:p>
        </w:tc>
      </w:tr>
      <w:tr w14:paraId="15069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742" w:type="dxa"/>
          </w:tcPr>
          <w:p w14:paraId="6EF8ACAD">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751" w:type="dxa"/>
          </w:tcPr>
          <w:p w14:paraId="648F5FAC">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463" w:type="dxa"/>
          </w:tcPr>
          <w:p w14:paraId="2BE72677">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547" w:type="dxa"/>
          </w:tcPr>
          <w:p w14:paraId="3FA2FC2B">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153" w:type="dxa"/>
          </w:tcPr>
          <w:p w14:paraId="58DC7E3F">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195" w:type="dxa"/>
          </w:tcPr>
          <w:p w14:paraId="4C37130C">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972" w:type="dxa"/>
          </w:tcPr>
          <w:p w14:paraId="1B88D332">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972" w:type="dxa"/>
          </w:tcPr>
          <w:p w14:paraId="08E23C69">
            <w:pPr>
              <w:pStyle w:val="16"/>
              <w:spacing w:line="360" w:lineRule="exact"/>
              <w:ind w:left="1080" w:leftChars="257" w:hanging="540"/>
              <w:rPr>
                <w:rFonts w:hint="eastAsia" w:ascii="微软雅黑" w:hAnsi="微软雅黑" w:eastAsia="微软雅黑" w:cs="微软雅黑"/>
                <w:color w:val="auto"/>
                <w:sz w:val="22"/>
                <w:szCs w:val="22"/>
                <w:highlight w:val="none"/>
              </w:rPr>
            </w:pPr>
          </w:p>
        </w:tc>
      </w:tr>
      <w:tr w14:paraId="761A6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742" w:type="dxa"/>
          </w:tcPr>
          <w:p w14:paraId="1F4B7E76">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751" w:type="dxa"/>
          </w:tcPr>
          <w:p w14:paraId="06A5006C">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463" w:type="dxa"/>
          </w:tcPr>
          <w:p w14:paraId="001368DB">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547" w:type="dxa"/>
          </w:tcPr>
          <w:p w14:paraId="4F46B075">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153" w:type="dxa"/>
          </w:tcPr>
          <w:p w14:paraId="53F936F7">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195" w:type="dxa"/>
          </w:tcPr>
          <w:p w14:paraId="6624640E">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972" w:type="dxa"/>
          </w:tcPr>
          <w:p w14:paraId="4CBB47AB">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972" w:type="dxa"/>
          </w:tcPr>
          <w:p w14:paraId="7B05F6AB">
            <w:pPr>
              <w:pStyle w:val="16"/>
              <w:spacing w:line="360" w:lineRule="exact"/>
              <w:ind w:left="1080" w:leftChars="257" w:hanging="540"/>
              <w:rPr>
                <w:rFonts w:hint="eastAsia" w:ascii="微软雅黑" w:hAnsi="微软雅黑" w:eastAsia="微软雅黑" w:cs="微软雅黑"/>
                <w:color w:val="auto"/>
                <w:sz w:val="22"/>
                <w:szCs w:val="22"/>
                <w:highlight w:val="none"/>
              </w:rPr>
            </w:pPr>
          </w:p>
        </w:tc>
      </w:tr>
      <w:tr w14:paraId="0D194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742" w:type="dxa"/>
          </w:tcPr>
          <w:p w14:paraId="6435F93B">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751" w:type="dxa"/>
          </w:tcPr>
          <w:p w14:paraId="6CCE6981">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463" w:type="dxa"/>
          </w:tcPr>
          <w:p w14:paraId="2CF1EFD4">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547" w:type="dxa"/>
          </w:tcPr>
          <w:p w14:paraId="0F5A90D7">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153" w:type="dxa"/>
          </w:tcPr>
          <w:p w14:paraId="1CC23F79">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195" w:type="dxa"/>
          </w:tcPr>
          <w:p w14:paraId="47FD607E">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972" w:type="dxa"/>
          </w:tcPr>
          <w:p w14:paraId="52A5AB63">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972" w:type="dxa"/>
          </w:tcPr>
          <w:p w14:paraId="2E92D491">
            <w:pPr>
              <w:pStyle w:val="16"/>
              <w:spacing w:line="360" w:lineRule="exact"/>
              <w:ind w:left="1080" w:leftChars="257" w:hanging="540"/>
              <w:rPr>
                <w:rFonts w:hint="eastAsia" w:ascii="微软雅黑" w:hAnsi="微软雅黑" w:eastAsia="微软雅黑" w:cs="微软雅黑"/>
                <w:color w:val="auto"/>
                <w:sz w:val="22"/>
                <w:szCs w:val="22"/>
                <w:highlight w:val="none"/>
              </w:rPr>
            </w:pPr>
          </w:p>
        </w:tc>
      </w:tr>
      <w:tr w14:paraId="0CD16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742" w:type="dxa"/>
          </w:tcPr>
          <w:p w14:paraId="04D9CF9B">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751" w:type="dxa"/>
          </w:tcPr>
          <w:p w14:paraId="1B33BD31">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463" w:type="dxa"/>
          </w:tcPr>
          <w:p w14:paraId="772D00C8">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547" w:type="dxa"/>
          </w:tcPr>
          <w:p w14:paraId="011DDDF2">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153" w:type="dxa"/>
          </w:tcPr>
          <w:p w14:paraId="020DD304">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195" w:type="dxa"/>
          </w:tcPr>
          <w:p w14:paraId="5B819988">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972" w:type="dxa"/>
          </w:tcPr>
          <w:p w14:paraId="73F87DEB">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972" w:type="dxa"/>
          </w:tcPr>
          <w:p w14:paraId="59C358E8">
            <w:pPr>
              <w:pStyle w:val="16"/>
              <w:spacing w:line="360" w:lineRule="exact"/>
              <w:ind w:left="1080" w:leftChars="257" w:hanging="540"/>
              <w:rPr>
                <w:rFonts w:hint="eastAsia" w:ascii="微软雅黑" w:hAnsi="微软雅黑" w:eastAsia="微软雅黑" w:cs="微软雅黑"/>
                <w:color w:val="auto"/>
                <w:sz w:val="22"/>
                <w:szCs w:val="22"/>
                <w:highlight w:val="none"/>
              </w:rPr>
            </w:pPr>
          </w:p>
        </w:tc>
      </w:tr>
      <w:tr w14:paraId="57935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742" w:type="dxa"/>
          </w:tcPr>
          <w:p w14:paraId="3FD9E419">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751" w:type="dxa"/>
          </w:tcPr>
          <w:p w14:paraId="2C36E205">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463" w:type="dxa"/>
          </w:tcPr>
          <w:p w14:paraId="4364FE15">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547" w:type="dxa"/>
          </w:tcPr>
          <w:p w14:paraId="4AD468A8">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153" w:type="dxa"/>
          </w:tcPr>
          <w:p w14:paraId="4D7B6333">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195" w:type="dxa"/>
          </w:tcPr>
          <w:p w14:paraId="10ACD2B5">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972" w:type="dxa"/>
          </w:tcPr>
          <w:p w14:paraId="6CE3CA2B">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972" w:type="dxa"/>
          </w:tcPr>
          <w:p w14:paraId="5F4F8CA4">
            <w:pPr>
              <w:pStyle w:val="16"/>
              <w:spacing w:line="360" w:lineRule="exact"/>
              <w:ind w:left="1080" w:leftChars="257" w:hanging="540"/>
              <w:rPr>
                <w:rFonts w:hint="eastAsia" w:ascii="微软雅黑" w:hAnsi="微软雅黑" w:eastAsia="微软雅黑" w:cs="微软雅黑"/>
                <w:color w:val="auto"/>
                <w:sz w:val="22"/>
                <w:szCs w:val="22"/>
                <w:highlight w:val="none"/>
              </w:rPr>
            </w:pPr>
          </w:p>
        </w:tc>
      </w:tr>
      <w:tr w14:paraId="19611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742" w:type="dxa"/>
          </w:tcPr>
          <w:p w14:paraId="0943BA46">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751" w:type="dxa"/>
          </w:tcPr>
          <w:p w14:paraId="0F3462F1">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463" w:type="dxa"/>
          </w:tcPr>
          <w:p w14:paraId="4BF059A4">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547" w:type="dxa"/>
          </w:tcPr>
          <w:p w14:paraId="5F77B3CF">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153" w:type="dxa"/>
          </w:tcPr>
          <w:p w14:paraId="26040E1F">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195" w:type="dxa"/>
          </w:tcPr>
          <w:p w14:paraId="5B025F7F">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972" w:type="dxa"/>
          </w:tcPr>
          <w:p w14:paraId="7463FD88">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972" w:type="dxa"/>
          </w:tcPr>
          <w:p w14:paraId="051BA372">
            <w:pPr>
              <w:pStyle w:val="16"/>
              <w:spacing w:line="360" w:lineRule="exact"/>
              <w:ind w:left="1080" w:leftChars="257" w:hanging="540"/>
              <w:rPr>
                <w:rFonts w:hint="eastAsia" w:ascii="微软雅黑" w:hAnsi="微软雅黑" w:eastAsia="微软雅黑" w:cs="微软雅黑"/>
                <w:color w:val="auto"/>
                <w:sz w:val="22"/>
                <w:szCs w:val="22"/>
                <w:highlight w:val="none"/>
              </w:rPr>
            </w:pPr>
          </w:p>
        </w:tc>
      </w:tr>
      <w:tr w14:paraId="6DCB5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742" w:type="dxa"/>
          </w:tcPr>
          <w:p w14:paraId="2F35DC73">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751" w:type="dxa"/>
          </w:tcPr>
          <w:p w14:paraId="0469672C">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463" w:type="dxa"/>
          </w:tcPr>
          <w:p w14:paraId="36F3C258">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547" w:type="dxa"/>
          </w:tcPr>
          <w:p w14:paraId="5710FC25">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153" w:type="dxa"/>
          </w:tcPr>
          <w:p w14:paraId="55ADFA61">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1195" w:type="dxa"/>
          </w:tcPr>
          <w:p w14:paraId="5548614A">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972" w:type="dxa"/>
          </w:tcPr>
          <w:p w14:paraId="218FC2A0">
            <w:pPr>
              <w:pStyle w:val="16"/>
              <w:spacing w:line="360" w:lineRule="exact"/>
              <w:ind w:left="1080" w:leftChars="257" w:hanging="540"/>
              <w:rPr>
                <w:rFonts w:hint="eastAsia" w:ascii="微软雅黑" w:hAnsi="微软雅黑" w:eastAsia="微软雅黑" w:cs="微软雅黑"/>
                <w:color w:val="auto"/>
                <w:sz w:val="22"/>
                <w:szCs w:val="22"/>
                <w:highlight w:val="none"/>
              </w:rPr>
            </w:pPr>
          </w:p>
        </w:tc>
        <w:tc>
          <w:tcPr>
            <w:tcW w:w="972" w:type="dxa"/>
          </w:tcPr>
          <w:p w14:paraId="13CE2AC3">
            <w:pPr>
              <w:pStyle w:val="16"/>
              <w:spacing w:line="360" w:lineRule="exact"/>
              <w:ind w:left="1080" w:leftChars="257" w:hanging="540"/>
              <w:rPr>
                <w:rFonts w:hint="eastAsia" w:ascii="微软雅黑" w:hAnsi="微软雅黑" w:eastAsia="微软雅黑" w:cs="微软雅黑"/>
                <w:color w:val="auto"/>
                <w:sz w:val="22"/>
                <w:szCs w:val="22"/>
                <w:highlight w:val="none"/>
              </w:rPr>
            </w:pPr>
          </w:p>
        </w:tc>
      </w:tr>
    </w:tbl>
    <w:p w14:paraId="4EF5F493">
      <w:pPr>
        <w:pStyle w:val="16"/>
        <w:spacing w:line="360" w:lineRule="exact"/>
        <w:ind w:left="1080" w:leftChars="257" w:hanging="540"/>
        <w:rPr>
          <w:rFonts w:hint="eastAsia" w:ascii="微软雅黑" w:hAnsi="微软雅黑" w:eastAsia="微软雅黑" w:cs="微软雅黑"/>
          <w:color w:val="auto"/>
          <w:sz w:val="22"/>
          <w:szCs w:val="22"/>
          <w:highlight w:val="none"/>
        </w:rPr>
      </w:pPr>
    </w:p>
    <w:p w14:paraId="043BC81D">
      <w:pPr>
        <w:pStyle w:val="16"/>
        <w:spacing w:line="400" w:lineRule="exact"/>
        <w:ind w:left="1080" w:leftChars="257" w:hanging="540"/>
        <w:rPr>
          <w:rFonts w:hint="eastAsia" w:ascii="微软雅黑" w:hAnsi="微软雅黑" w:eastAsia="微软雅黑" w:cs="微软雅黑"/>
          <w:color w:val="auto"/>
          <w:sz w:val="22"/>
          <w:szCs w:val="22"/>
          <w:highlight w:val="none"/>
        </w:rPr>
      </w:pPr>
    </w:p>
    <w:p w14:paraId="3FD8653C">
      <w:pPr>
        <w:pStyle w:val="16"/>
        <w:spacing w:line="400" w:lineRule="exact"/>
        <w:ind w:left="1080" w:leftChars="257" w:hanging="540"/>
        <w:rPr>
          <w:rFonts w:hint="eastAsia" w:ascii="微软雅黑" w:hAnsi="微软雅黑" w:eastAsia="微软雅黑" w:cs="微软雅黑"/>
          <w:color w:val="auto"/>
          <w:sz w:val="22"/>
          <w:szCs w:val="22"/>
          <w:highlight w:val="none"/>
        </w:rPr>
      </w:pPr>
    </w:p>
    <w:p w14:paraId="50D3DD9B">
      <w:pPr>
        <w:pStyle w:val="16"/>
        <w:spacing w:line="400" w:lineRule="exact"/>
        <w:ind w:left="1080" w:leftChars="257" w:hanging="540"/>
        <w:rPr>
          <w:rFonts w:hint="eastAsia" w:ascii="微软雅黑" w:hAnsi="微软雅黑" w:eastAsia="微软雅黑" w:cs="微软雅黑"/>
          <w:color w:val="auto"/>
          <w:sz w:val="22"/>
          <w:szCs w:val="22"/>
          <w:highlight w:val="none"/>
        </w:rPr>
      </w:pPr>
    </w:p>
    <w:p w14:paraId="35642E64">
      <w:pPr>
        <w:pStyle w:val="16"/>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法定代表人（签/章）:</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u w:val="single"/>
        </w:rPr>
        <w:tab/>
      </w:r>
      <w:r>
        <w:rPr>
          <w:rFonts w:hint="eastAsia" w:ascii="微软雅黑" w:hAnsi="微软雅黑" w:eastAsia="微软雅黑" w:cs="微软雅黑"/>
          <w:color w:val="auto"/>
          <w:sz w:val="22"/>
          <w:szCs w:val="22"/>
          <w:highlight w:val="none"/>
          <w:u w:val="single"/>
        </w:rPr>
        <w:t xml:space="preserve">                 </w:t>
      </w:r>
    </w:p>
    <w:p w14:paraId="11C3FD6A">
      <w:pPr>
        <w:pStyle w:val="16"/>
        <w:tabs>
          <w:tab w:val="left" w:pos="537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供应商</w:t>
      </w:r>
      <w:r>
        <w:rPr>
          <w:rFonts w:hint="eastAsia" w:ascii="微软雅黑" w:hAnsi="微软雅黑" w:eastAsia="微软雅黑" w:cs="微软雅黑"/>
          <w:color w:val="auto"/>
          <w:sz w:val="22"/>
          <w:szCs w:val="22"/>
          <w:highlight w:val="none"/>
          <w:lang w:eastAsia="zh-CN"/>
        </w:rPr>
        <w:t>名称</w:t>
      </w:r>
      <w:r>
        <w:rPr>
          <w:rFonts w:hint="eastAsia" w:ascii="微软雅黑" w:hAnsi="微软雅黑" w:eastAsia="微软雅黑" w:cs="微软雅黑"/>
          <w:color w:val="auto"/>
          <w:sz w:val="22"/>
          <w:szCs w:val="22"/>
          <w:highlight w:val="none"/>
        </w:rPr>
        <w:t>(公章):</w:t>
      </w:r>
      <w:r>
        <w:rPr>
          <w:rFonts w:hint="eastAsia" w:ascii="微软雅黑" w:hAnsi="微软雅黑" w:eastAsia="微软雅黑" w:cs="微软雅黑"/>
          <w:color w:val="auto"/>
          <w:sz w:val="22"/>
          <w:szCs w:val="22"/>
          <w:highlight w:val="none"/>
          <w:u w:val="single"/>
        </w:rPr>
        <w:tab/>
      </w:r>
    </w:p>
    <w:p w14:paraId="1B2C4D62">
      <w:pPr>
        <w:pStyle w:val="16"/>
        <w:spacing w:line="400" w:lineRule="exact"/>
        <w:ind w:left="1080" w:leftChars="257" w:hanging="540"/>
        <w:rPr>
          <w:rFonts w:hint="eastAsia" w:ascii="微软雅黑" w:hAnsi="微软雅黑" w:eastAsia="微软雅黑" w:cs="微软雅黑"/>
          <w:b/>
          <w:bCs/>
          <w:color w:val="auto"/>
          <w:sz w:val="22"/>
          <w:szCs w:val="22"/>
          <w:highlight w:val="none"/>
          <w:lang w:eastAsia="zh-CN"/>
        </w:rPr>
      </w:pPr>
      <w:r>
        <w:rPr>
          <w:rFonts w:hint="eastAsia" w:ascii="微软雅黑" w:hAnsi="微软雅黑" w:eastAsia="微软雅黑" w:cs="微软雅黑"/>
          <w:color w:val="auto"/>
          <w:sz w:val="22"/>
          <w:szCs w:val="22"/>
          <w:highlight w:val="none"/>
        </w:rPr>
        <w:t>注: 各项</w:t>
      </w:r>
      <w:r>
        <w:rPr>
          <w:rFonts w:hint="eastAsia" w:ascii="微软雅黑" w:hAnsi="微软雅黑" w:eastAsia="微软雅黑" w:cs="微软雅黑"/>
          <w:color w:val="auto"/>
          <w:sz w:val="22"/>
          <w:szCs w:val="22"/>
          <w:highlight w:val="none"/>
          <w:lang w:val="en-US" w:eastAsia="zh-CN"/>
        </w:rPr>
        <w:t>货物</w:t>
      </w:r>
      <w:r>
        <w:rPr>
          <w:rFonts w:hint="eastAsia" w:ascii="微软雅黑" w:hAnsi="微软雅黑" w:eastAsia="微软雅黑" w:cs="微软雅黑"/>
          <w:color w:val="auto"/>
          <w:sz w:val="22"/>
          <w:szCs w:val="22"/>
          <w:highlight w:val="none"/>
        </w:rPr>
        <w:t>详细技术性能应另页描述</w:t>
      </w:r>
      <w:r>
        <w:rPr>
          <w:rFonts w:hint="eastAsia" w:ascii="微软雅黑" w:hAnsi="微软雅黑" w:eastAsia="微软雅黑" w:cs="微软雅黑"/>
          <w:color w:val="auto"/>
          <w:sz w:val="22"/>
          <w:szCs w:val="22"/>
          <w:highlight w:val="none"/>
          <w:lang w:eastAsia="zh-CN"/>
        </w:rPr>
        <w:t>。</w:t>
      </w:r>
    </w:p>
    <w:p w14:paraId="30733F59">
      <w:pPr>
        <w:pStyle w:val="16"/>
        <w:spacing w:line="240" w:lineRule="atLeast"/>
        <w:rPr>
          <w:rFonts w:hint="eastAsia" w:ascii="微软雅黑" w:hAnsi="微软雅黑" w:eastAsia="微软雅黑" w:cs="微软雅黑"/>
          <w:b/>
          <w:bCs/>
          <w:color w:val="auto"/>
          <w:sz w:val="22"/>
          <w:szCs w:val="22"/>
          <w:highlight w:val="none"/>
        </w:rPr>
      </w:pPr>
    </w:p>
    <w:p w14:paraId="623F66D2">
      <w:pPr>
        <w:pStyle w:val="16"/>
        <w:spacing w:line="240" w:lineRule="atLeast"/>
        <w:rPr>
          <w:rFonts w:hint="eastAsia" w:ascii="微软雅黑" w:hAnsi="微软雅黑" w:eastAsia="微软雅黑" w:cs="微软雅黑"/>
          <w:b/>
          <w:bCs/>
          <w:color w:val="auto"/>
          <w:sz w:val="22"/>
          <w:szCs w:val="22"/>
          <w:highlight w:val="none"/>
        </w:rPr>
      </w:pPr>
    </w:p>
    <w:p w14:paraId="35C31EDA">
      <w:pPr>
        <w:pStyle w:val="16"/>
        <w:spacing w:line="240" w:lineRule="atLeast"/>
        <w:rPr>
          <w:rFonts w:hint="eastAsia" w:ascii="微软雅黑" w:hAnsi="微软雅黑" w:eastAsia="微软雅黑" w:cs="微软雅黑"/>
          <w:b/>
          <w:bCs/>
          <w:color w:val="auto"/>
          <w:sz w:val="22"/>
          <w:szCs w:val="22"/>
          <w:highlight w:val="none"/>
        </w:rPr>
      </w:pPr>
    </w:p>
    <w:p w14:paraId="6D9F5284">
      <w:pPr>
        <w:pStyle w:val="16"/>
        <w:spacing w:line="240" w:lineRule="atLeast"/>
        <w:rPr>
          <w:rFonts w:hint="eastAsia" w:ascii="微软雅黑" w:hAnsi="微软雅黑" w:eastAsia="微软雅黑" w:cs="微软雅黑"/>
          <w:b/>
          <w:bCs/>
          <w:color w:val="auto"/>
          <w:sz w:val="22"/>
          <w:szCs w:val="22"/>
          <w:highlight w:val="none"/>
        </w:rPr>
      </w:pPr>
    </w:p>
    <w:p w14:paraId="74BA0B67">
      <w:pPr>
        <w:pStyle w:val="16"/>
        <w:spacing w:line="240" w:lineRule="atLeast"/>
        <w:rPr>
          <w:rFonts w:hint="eastAsia" w:ascii="微软雅黑" w:hAnsi="微软雅黑" w:eastAsia="微软雅黑" w:cs="微软雅黑"/>
          <w:b/>
          <w:bCs/>
          <w:color w:val="auto"/>
          <w:sz w:val="22"/>
          <w:szCs w:val="22"/>
          <w:highlight w:val="none"/>
        </w:rPr>
      </w:pPr>
    </w:p>
    <w:p w14:paraId="09739C3F">
      <w:pPr>
        <w:pStyle w:val="16"/>
        <w:spacing w:line="240" w:lineRule="atLeast"/>
        <w:rPr>
          <w:rFonts w:hint="eastAsia" w:ascii="微软雅黑" w:hAnsi="微软雅黑" w:eastAsia="微软雅黑" w:cs="微软雅黑"/>
          <w:b/>
          <w:bCs/>
          <w:color w:val="auto"/>
          <w:sz w:val="22"/>
          <w:szCs w:val="22"/>
          <w:highlight w:val="none"/>
        </w:rPr>
      </w:pPr>
    </w:p>
    <w:p w14:paraId="3C21B5BF">
      <w:pPr>
        <w:pStyle w:val="16"/>
        <w:spacing w:line="240" w:lineRule="atLeast"/>
        <w:rPr>
          <w:rFonts w:hint="eastAsia" w:ascii="微软雅黑" w:hAnsi="微软雅黑" w:eastAsia="微软雅黑" w:cs="微软雅黑"/>
          <w:b/>
          <w:bCs/>
          <w:color w:val="auto"/>
          <w:sz w:val="22"/>
          <w:szCs w:val="22"/>
          <w:highlight w:val="none"/>
        </w:rPr>
      </w:pPr>
    </w:p>
    <w:p w14:paraId="1090ADB4">
      <w:pPr>
        <w:pStyle w:val="16"/>
        <w:spacing w:line="240" w:lineRule="atLeast"/>
        <w:rPr>
          <w:rFonts w:hint="eastAsia" w:ascii="微软雅黑" w:hAnsi="微软雅黑" w:eastAsia="微软雅黑" w:cs="微软雅黑"/>
          <w:b/>
          <w:bCs/>
          <w:color w:val="auto"/>
          <w:sz w:val="22"/>
          <w:szCs w:val="22"/>
          <w:highlight w:val="none"/>
        </w:rPr>
      </w:pPr>
    </w:p>
    <w:p w14:paraId="72A0B77B">
      <w:pPr>
        <w:pStyle w:val="16"/>
        <w:spacing w:line="240" w:lineRule="atLeast"/>
        <w:rPr>
          <w:rFonts w:hint="eastAsia" w:ascii="微软雅黑" w:hAnsi="微软雅黑" w:eastAsia="微软雅黑" w:cs="微软雅黑"/>
          <w:b/>
          <w:bCs/>
          <w:color w:val="auto"/>
          <w:sz w:val="22"/>
          <w:szCs w:val="22"/>
          <w:highlight w:val="none"/>
        </w:rPr>
      </w:pPr>
    </w:p>
    <w:p w14:paraId="18C4AE7D">
      <w:pPr>
        <w:pStyle w:val="16"/>
        <w:spacing w:line="240" w:lineRule="atLeast"/>
        <w:rPr>
          <w:rFonts w:hint="eastAsia" w:ascii="微软雅黑" w:hAnsi="微软雅黑" w:eastAsia="微软雅黑" w:cs="微软雅黑"/>
          <w:b/>
          <w:bCs/>
          <w:color w:val="auto"/>
          <w:sz w:val="22"/>
          <w:szCs w:val="22"/>
          <w:highlight w:val="none"/>
        </w:rPr>
      </w:pPr>
    </w:p>
    <w:p w14:paraId="377E7E70">
      <w:pPr>
        <w:pStyle w:val="16"/>
        <w:spacing w:line="240" w:lineRule="atLeast"/>
        <w:rPr>
          <w:rFonts w:hint="eastAsia" w:ascii="微软雅黑" w:hAnsi="微软雅黑" w:eastAsia="微软雅黑" w:cs="微软雅黑"/>
          <w:b/>
          <w:bCs/>
          <w:color w:val="auto"/>
          <w:sz w:val="22"/>
          <w:szCs w:val="22"/>
          <w:highlight w:val="none"/>
        </w:rPr>
      </w:pPr>
    </w:p>
    <w:p w14:paraId="22A9923E">
      <w:pPr>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br w:type="page"/>
      </w:r>
    </w:p>
    <w:bookmarkEnd w:id="1841"/>
    <w:bookmarkEnd w:id="1842"/>
    <w:bookmarkEnd w:id="1843"/>
    <w:bookmarkEnd w:id="1844"/>
    <w:p w14:paraId="2945C8B0">
      <w:pPr>
        <w:pStyle w:val="16"/>
        <w:spacing w:line="240" w:lineRule="atLeast"/>
        <w:ind w:left="1080" w:leftChars="257" w:hanging="540"/>
        <w:jc w:val="center"/>
        <w:outlineLvl w:val="1"/>
        <w:rPr>
          <w:rFonts w:hint="eastAsia" w:ascii="微软雅黑" w:hAnsi="微软雅黑" w:eastAsia="微软雅黑" w:cs="微软雅黑"/>
          <w:color w:val="auto"/>
          <w:sz w:val="22"/>
          <w:szCs w:val="22"/>
          <w:highlight w:val="none"/>
        </w:rPr>
      </w:pPr>
      <w:bookmarkStart w:id="1861" w:name="_Toc2718"/>
      <w:bookmarkStart w:id="1862" w:name="_Toc10335"/>
      <w:bookmarkStart w:id="1863" w:name="_Toc20557"/>
      <w:bookmarkStart w:id="1864" w:name="_Toc31439"/>
      <w:bookmarkStart w:id="1865" w:name="_Toc216582818"/>
      <w:bookmarkStart w:id="1866" w:name="_Toc23"/>
      <w:bookmarkStart w:id="1867" w:name="_Toc515647821"/>
      <w:bookmarkStart w:id="1868" w:name="_Toc1980"/>
      <w:r>
        <w:rPr>
          <w:rFonts w:hint="eastAsia" w:ascii="微软雅黑" w:hAnsi="微软雅黑" w:eastAsia="微软雅黑" w:cs="微软雅黑"/>
          <w:b/>
          <w:bCs/>
          <w:color w:val="auto"/>
          <w:sz w:val="22"/>
          <w:szCs w:val="22"/>
          <w:highlight w:val="none"/>
        </w:rPr>
        <w:t>4</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技术</w:t>
      </w:r>
      <w:r>
        <w:rPr>
          <w:rFonts w:hint="eastAsia" w:ascii="微软雅黑" w:hAnsi="微软雅黑" w:eastAsia="微软雅黑" w:cs="微软雅黑"/>
          <w:b/>
          <w:bCs/>
          <w:color w:val="auto"/>
          <w:sz w:val="22"/>
          <w:szCs w:val="22"/>
          <w:highlight w:val="none"/>
        </w:rPr>
        <w:t>规格偏离表</w:t>
      </w:r>
      <w:bookmarkEnd w:id="1861"/>
      <w:bookmarkEnd w:id="1862"/>
      <w:bookmarkEnd w:id="1863"/>
    </w:p>
    <w:p w14:paraId="4B012D5C">
      <w:pPr>
        <w:pStyle w:val="16"/>
        <w:spacing w:line="400" w:lineRule="exact"/>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rPr>
        <w:t xml:space="preserve">项目名称:                       项目编号:                  </w:t>
      </w:r>
      <w:r>
        <w:rPr>
          <w:rFonts w:hint="eastAsia" w:ascii="微软雅黑" w:hAnsi="微软雅黑" w:eastAsia="微软雅黑" w:cs="微软雅黑"/>
          <w:color w:val="auto"/>
          <w:sz w:val="22"/>
          <w:szCs w:val="22"/>
          <w:highlight w:val="none"/>
          <w:lang w:val="en-US" w:eastAsia="zh-CN"/>
        </w:rPr>
        <w:t>标项：（如有）</w:t>
      </w:r>
    </w:p>
    <w:tbl>
      <w:tblPr>
        <w:tblStyle w:val="31"/>
        <w:tblW w:w="9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30"/>
        <w:gridCol w:w="2472"/>
        <w:gridCol w:w="1331"/>
        <w:gridCol w:w="1331"/>
        <w:gridCol w:w="950"/>
        <w:gridCol w:w="1353"/>
      </w:tblGrid>
      <w:tr w14:paraId="74F76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vAlign w:val="center"/>
          </w:tcPr>
          <w:p w14:paraId="59E6AB8D">
            <w:pPr>
              <w:pStyle w:val="16"/>
              <w:spacing w:line="40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序号</w:t>
            </w:r>
          </w:p>
        </w:tc>
        <w:tc>
          <w:tcPr>
            <w:tcW w:w="1330" w:type="dxa"/>
            <w:vAlign w:val="center"/>
          </w:tcPr>
          <w:p w14:paraId="2A9BC557">
            <w:pPr>
              <w:pStyle w:val="16"/>
              <w:spacing w:line="40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货物</w:t>
            </w:r>
            <w:r>
              <w:rPr>
                <w:rFonts w:hint="eastAsia" w:ascii="微软雅黑" w:hAnsi="微软雅黑" w:eastAsia="微软雅黑" w:cs="微软雅黑"/>
                <w:color w:val="auto"/>
                <w:sz w:val="22"/>
                <w:szCs w:val="22"/>
                <w:highlight w:val="none"/>
              </w:rPr>
              <w:t>名称</w:t>
            </w:r>
          </w:p>
        </w:tc>
        <w:tc>
          <w:tcPr>
            <w:tcW w:w="2472" w:type="dxa"/>
            <w:vAlign w:val="center"/>
          </w:tcPr>
          <w:p w14:paraId="743D0ED0">
            <w:pPr>
              <w:pStyle w:val="16"/>
              <w:spacing w:line="400" w:lineRule="exact"/>
              <w:ind w:left="269" w:leftChars="128"/>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招标文件条款号</w:t>
            </w:r>
          </w:p>
        </w:tc>
        <w:tc>
          <w:tcPr>
            <w:tcW w:w="1331" w:type="dxa"/>
            <w:vAlign w:val="center"/>
          </w:tcPr>
          <w:p w14:paraId="0DB7BD26">
            <w:pPr>
              <w:pStyle w:val="16"/>
              <w:spacing w:line="40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招标规格</w:t>
            </w:r>
          </w:p>
        </w:tc>
        <w:tc>
          <w:tcPr>
            <w:tcW w:w="1331" w:type="dxa"/>
            <w:vAlign w:val="center"/>
          </w:tcPr>
          <w:p w14:paraId="069EC5F1">
            <w:pPr>
              <w:pStyle w:val="16"/>
              <w:spacing w:line="40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投标规格</w:t>
            </w:r>
          </w:p>
        </w:tc>
        <w:tc>
          <w:tcPr>
            <w:tcW w:w="950" w:type="dxa"/>
            <w:vAlign w:val="center"/>
          </w:tcPr>
          <w:p w14:paraId="16C07FAB">
            <w:pPr>
              <w:pStyle w:val="16"/>
              <w:spacing w:line="40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偏离</w:t>
            </w:r>
          </w:p>
        </w:tc>
        <w:tc>
          <w:tcPr>
            <w:tcW w:w="1353" w:type="dxa"/>
            <w:vAlign w:val="center"/>
          </w:tcPr>
          <w:p w14:paraId="008A9A6D">
            <w:pPr>
              <w:pStyle w:val="16"/>
              <w:spacing w:line="400" w:lineRule="exact"/>
              <w:jc w:val="center"/>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rPr>
              <w:t>说明</w:t>
            </w:r>
            <w:r>
              <w:rPr>
                <w:rFonts w:hint="eastAsia" w:ascii="微软雅黑" w:hAnsi="微软雅黑" w:eastAsia="微软雅黑" w:cs="微软雅黑"/>
                <w:color w:val="auto"/>
                <w:sz w:val="22"/>
                <w:szCs w:val="22"/>
                <w:highlight w:val="none"/>
                <w:lang w:eastAsia="zh-CN"/>
              </w:rPr>
              <w:t>（必填）</w:t>
            </w:r>
          </w:p>
        </w:tc>
      </w:tr>
      <w:tr w14:paraId="74072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14:paraId="7CB3E041">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30" w:type="dxa"/>
          </w:tcPr>
          <w:p w14:paraId="0185D7A4">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472" w:type="dxa"/>
          </w:tcPr>
          <w:p w14:paraId="5570C590">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31" w:type="dxa"/>
          </w:tcPr>
          <w:p w14:paraId="5C22D48C">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31" w:type="dxa"/>
          </w:tcPr>
          <w:p w14:paraId="5DB8CE51">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950" w:type="dxa"/>
          </w:tcPr>
          <w:p w14:paraId="61CDC131">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53" w:type="dxa"/>
          </w:tcPr>
          <w:p w14:paraId="6267CAA0">
            <w:pPr>
              <w:pStyle w:val="16"/>
              <w:spacing w:line="400" w:lineRule="exact"/>
              <w:ind w:left="1080" w:leftChars="257" w:hanging="540"/>
              <w:rPr>
                <w:rFonts w:hint="eastAsia" w:ascii="微软雅黑" w:hAnsi="微软雅黑" w:eastAsia="微软雅黑" w:cs="微软雅黑"/>
                <w:color w:val="auto"/>
                <w:sz w:val="22"/>
                <w:szCs w:val="22"/>
                <w:highlight w:val="none"/>
              </w:rPr>
            </w:pPr>
          </w:p>
        </w:tc>
      </w:tr>
      <w:tr w14:paraId="09719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14:paraId="1FA2D28A">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30" w:type="dxa"/>
          </w:tcPr>
          <w:p w14:paraId="75AF0227">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472" w:type="dxa"/>
          </w:tcPr>
          <w:p w14:paraId="5E3B5584">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31" w:type="dxa"/>
          </w:tcPr>
          <w:p w14:paraId="2A9592C1">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31" w:type="dxa"/>
          </w:tcPr>
          <w:p w14:paraId="67D75D21">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950" w:type="dxa"/>
          </w:tcPr>
          <w:p w14:paraId="153BFD10">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53" w:type="dxa"/>
          </w:tcPr>
          <w:p w14:paraId="7E7E87DC">
            <w:pPr>
              <w:pStyle w:val="16"/>
              <w:spacing w:line="400" w:lineRule="exact"/>
              <w:ind w:left="1080" w:leftChars="257" w:hanging="540"/>
              <w:rPr>
                <w:rFonts w:hint="eastAsia" w:ascii="微软雅黑" w:hAnsi="微软雅黑" w:eastAsia="微软雅黑" w:cs="微软雅黑"/>
                <w:color w:val="auto"/>
                <w:sz w:val="22"/>
                <w:szCs w:val="22"/>
                <w:highlight w:val="none"/>
              </w:rPr>
            </w:pPr>
          </w:p>
        </w:tc>
      </w:tr>
      <w:tr w14:paraId="28924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14:paraId="5BFCF4FD">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30" w:type="dxa"/>
          </w:tcPr>
          <w:p w14:paraId="5DCA6351">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472" w:type="dxa"/>
          </w:tcPr>
          <w:p w14:paraId="4F972659">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31" w:type="dxa"/>
          </w:tcPr>
          <w:p w14:paraId="2D266A54">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31" w:type="dxa"/>
          </w:tcPr>
          <w:p w14:paraId="06F5E553">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950" w:type="dxa"/>
          </w:tcPr>
          <w:p w14:paraId="640394CC">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53" w:type="dxa"/>
          </w:tcPr>
          <w:p w14:paraId="0B14001F">
            <w:pPr>
              <w:pStyle w:val="16"/>
              <w:spacing w:line="400" w:lineRule="exact"/>
              <w:ind w:left="1080" w:leftChars="257" w:hanging="540"/>
              <w:rPr>
                <w:rFonts w:hint="eastAsia" w:ascii="微软雅黑" w:hAnsi="微软雅黑" w:eastAsia="微软雅黑" w:cs="微软雅黑"/>
                <w:color w:val="auto"/>
                <w:sz w:val="22"/>
                <w:szCs w:val="22"/>
                <w:highlight w:val="none"/>
              </w:rPr>
            </w:pPr>
          </w:p>
        </w:tc>
      </w:tr>
      <w:tr w14:paraId="50CE9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14:paraId="3A0DF947">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30" w:type="dxa"/>
          </w:tcPr>
          <w:p w14:paraId="42592F4A">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472" w:type="dxa"/>
          </w:tcPr>
          <w:p w14:paraId="0F6D52E4">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31" w:type="dxa"/>
          </w:tcPr>
          <w:p w14:paraId="7E3FF63B">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31" w:type="dxa"/>
          </w:tcPr>
          <w:p w14:paraId="1635AEEE">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950" w:type="dxa"/>
          </w:tcPr>
          <w:p w14:paraId="038DB46A">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53" w:type="dxa"/>
          </w:tcPr>
          <w:p w14:paraId="629B2ACD">
            <w:pPr>
              <w:pStyle w:val="16"/>
              <w:spacing w:line="400" w:lineRule="exact"/>
              <w:ind w:left="1080" w:leftChars="257" w:hanging="540"/>
              <w:rPr>
                <w:rFonts w:hint="eastAsia" w:ascii="微软雅黑" w:hAnsi="微软雅黑" w:eastAsia="微软雅黑" w:cs="微软雅黑"/>
                <w:color w:val="auto"/>
                <w:sz w:val="22"/>
                <w:szCs w:val="22"/>
                <w:highlight w:val="none"/>
              </w:rPr>
            </w:pPr>
          </w:p>
        </w:tc>
      </w:tr>
      <w:tr w14:paraId="5D3D8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14:paraId="6A792134">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30" w:type="dxa"/>
          </w:tcPr>
          <w:p w14:paraId="45054549">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472" w:type="dxa"/>
          </w:tcPr>
          <w:p w14:paraId="79274F79">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31" w:type="dxa"/>
          </w:tcPr>
          <w:p w14:paraId="6D0EAC45">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31" w:type="dxa"/>
          </w:tcPr>
          <w:p w14:paraId="0E091261">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950" w:type="dxa"/>
          </w:tcPr>
          <w:p w14:paraId="27496656">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53" w:type="dxa"/>
          </w:tcPr>
          <w:p w14:paraId="776B2E8D">
            <w:pPr>
              <w:pStyle w:val="16"/>
              <w:spacing w:line="400" w:lineRule="exact"/>
              <w:ind w:left="1080" w:leftChars="257" w:hanging="540"/>
              <w:rPr>
                <w:rFonts w:hint="eastAsia" w:ascii="微软雅黑" w:hAnsi="微软雅黑" w:eastAsia="微软雅黑" w:cs="微软雅黑"/>
                <w:color w:val="auto"/>
                <w:sz w:val="22"/>
                <w:szCs w:val="22"/>
                <w:highlight w:val="none"/>
              </w:rPr>
            </w:pPr>
          </w:p>
        </w:tc>
      </w:tr>
      <w:tr w14:paraId="52A05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14:paraId="3AD2E359">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30" w:type="dxa"/>
          </w:tcPr>
          <w:p w14:paraId="28A70A45">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472" w:type="dxa"/>
          </w:tcPr>
          <w:p w14:paraId="3DE4687E">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31" w:type="dxa"/>
          </w:tcPr>
          <w:p w14:paraId="4347613C">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31" w:type="dxa"/>
          </w:tcPr>
          <w:p w14:paraId="609CA951">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950" w:type="dxa"/>
          </w:tcPr>
          <w:p w14:paraId="5821D956">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53" w:type="dxa"/>
          </w:tcPr>
          <w:p w14:paraId="5B0051EC">
            <w:pPr>
              <w:pStyle w:val="16"/>
              <w:spacing w:line="400" w:lineRule="exact"/>
              <w:ind w:left="1080" w:leftChars="257" w:hanging="540"/>
              <w:rPr>
                <w:rFonts w:hint="eastAsia" w:ascii="微软雅黑" w:hAnsi="微软雅黑" w:eastAsia="微软雅黑" w:cs="微软雅黑"/>
                <w:color w:val="auto"/>
                <w:sz w:val="22"/>
                <w:szCs w:val="22"/>
                <w:highlight w:val="none"/>
              </w:rPr>
            </w:pPr>
          </w:p>
        </w:tc>
      </w:tr>
      <w:tr w14:paraId="4FCAA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875" w:type="dxa"/>
          </w:tcPr>
          <w:p w14:paraId="21A090F5">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30" w:type="dxa"/>
          </w:tcPr>
          <w:p w14:paraId="7B658BA8">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472" w:type="dxa"/>
          </w:tcPr>
          <w:p w14:paraId="40BFBD2C">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31" w:type="dxa"/>
          </w:tcPr>
          <w:p w14:paraId="62B7909A">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31" w:type="dxa"/>
          </w:tcPr>
          <w:p w14:paraId="5C20FF3C">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950" w:type="dxa"/>
          </w:tcPr>
          <w:p w14:paraId="58BDFA73">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353" w:type="dxa"/>
          </w:tcPr>
          <w:p w14:paraId="48EFA4E3">
            <w:pPr>
              <w:pStyle w:val="16"/>
              <w:spacing w:line="400" w:lineRule="exact"/>
              <w:ind w:left="1080" w:leftChars="257" w:hanging="540"/>
              <w:rPr>
                <w:rFonts w:hint="eastAsia" w:ascii="微软雅黑" w:hAnsi="微软雅黑" w:eastAsia="微软雅黑" w:cs="微软雅黑"/>
                <w:color w:val="auto"/>
                <w:sz w:val="22"/>
                <w:szCs w:val="22"/>
                <w:highlight w:val="none"/>
              </w:rPr>
            </w:pPr>
          </w:p>
        </w:tc>
      </w:tr>
    </w:tbl>
    <w:p w14:paraId="06637069">
      <w:pPr>
        <w:pStyle w:val="16"/>
        <w:spacing w:line="400" w:lineRule="exact"/>
        <w:ind w:left="1080" w:leftChars="257" w:hanging="540"/>
        <w:rPr>
          <w:rFonts w:hint="eastAsia" w:ascii="微软雅黑" w:hAnsi="微软雅黑" w:eastAsia="微软雅黑" w:cs="微软雅黑"/>
          <w:color w:val="auto"/>
          <w:sz w:val="22"/>
          <w:szCs w:val="22"/>
          <w:highlight w:val="none"/>
        </w:rPr>
      </w:pPr>
    </w:p>
    <w:p w14:paraId="56667F49">
      <w:pPr>
        <w:pStyle w:val="16"/>
        <w:spacing w:line="400" w:lineRule="exact"/>
        <w:rPr>
          <w:rFonts w:hint="eastAsia" w:ascii="微软雅黑" w:hAnsi="微软雅黑" w:eastAsia="微软雅黑" w:cs="微软雅黑"/>
          <w:b w:val="0"/>
          <w:i w:val="0"/>
          <w:caps w:val="0"/>
          <w:color w:val="auto"/>
          <w:spacing w:val="0"/>
          <w:w w:val="100"/>
          <w:sz w:val="22"/>
          <w:szCs w:val="22"/>
          <w:highlight w:val="none"/>
        </w:rPr>
      </w:pPr>
      <w:r>
        <w:rPr>
          <w:rFonts w:hint="eastAsia" w:ascii="微软雅黑" w:hAnsi="微软雅黑" w:eastAsia="微软雅黑" w:cs="微软雅黑"/>
          <w:b w:val="0"/>
          <w:i w:val="0"/>
          <w:caps w:val="0"/>
          <w:color w:val="auto"/>
          <w:spacing w:val="0"/>
          <w:w w:val="100"/>
          <w:sz w:val="22"/>
          <w:szCs w:val="22"/>
          <w:highlight w:val="none"/>
        </w:rPr>
        <w:t>备注：1.技术要求不限于参数规格（如材料、尺寸、结构）或者服务内容和标准等；投标人要将投标文件和招标文件在参数规格部分汇集成表。</w:t>
      </w:r>
    </w:p>
    <w:p w14:paraId="6BEC319A">
      <w:pPr>
        <w:pStyle w:val="16"/>
        <w:spacing w:line="400" w:lineRule="exact"/>
        <w:rPr>
          <w:rFonts w:hint="eastAsia" w:ascii="微软雅黑" w:hAnsi="微软雅黑" w:eastAsia="微软雅黑" w:cs="微软雅黑"/>
          <w:b w:val="0"/>
          <w:i w:val="0"/>
          <w:caps w:val="0"/>
          <w:color w:val="auto"/>
          <w:spacing w:val="0"/>
          <w:w w:val="100"/>
          <w:sz w:val="22"/>
          <w:szCs w:val="22"/>
          <w:highlight w:val="none"/>
        </w:rPr>
      </w:pPr>
      <w:r>
        <w:rPr>
          <w:rFonts w:hint="eastAsia" w:ascii="微软雅黑" w:hAnsi="微软雅黑" w:eastAsia="微软雅黑" w:cs="微软雅黑"/>
          <w:b w:val="0"/>
          <w:i w:val="0"/>
          <w:caps w:val="0"/>
          <w:color w:val="auto"/>
          <w:spacing w:val="0"/>
          <w:w w:val="100"/>
          <w:sz w:val="22"/>
          <w:szCs w:val="22"/>
          <w:highlight w:val="none"/>
        </w:rPr>
        <w:t>2.投标人应根据投标产品的性能指标、对照招标文件要求在“偏离情况”栏注明“正偏离”、“负偏离”或“无偏离”。</w:t>
      </w:r>
    </w:p>
    <w:p w14:paraId="2A9E865E">
      <w:pPr>
        <w:pStyle w:val="16"/>
        <w:spacing w:line="400" w:lineRule="exact"/>
        <w:rPr>
          <w:rFonts w:hint="eastAsia" w:ascii="微软雅黑" w:hAnsi="微软雅黑" w:eastAsia="微软雅黑" w:cs="微软雅黑"/>
          <w:b w:val="0"/>
          <w:i w:val="0"/>
          <w:caps w:val="0"/>
          <w:color w:val="auto"/>
          <w:spacing w:val="0"/>
          <w:w w:val="100"/>
          <w:sz w:val="22"/>
          <w:szCs w:val="22"/>
          <w:highlight w:val="none"/>
        </w:rPr>
      </w:pPr>
      <w:r>
        <w:rPr>
          <w:rFonts w:hint="eastAsia" w:ascii="微软雅黑" w:hAnsi="微软雅黑" w:eastAsia="微软雅黑" w:cs="微软雅黑"/>
          <w:b w:val="0"/>
          <w:i w:val="0"/>
          <w:caps w:val="0"/>
          <w:color w:val="auto"/>
          <w:spacing w:val="0"/>
          <w:w w:val="100"/>
          <w:sz w:val="22"/>
          <w:szCs w:val="22"/>
          <w:highlight w:val="none"/>
        </w:rPr>
        <w:t>3</w:t>
      </w:r>
      <w:r>
        <w:rPr>
          <w:rFonts w:hint="eastAsia" w:ascii="微软雅黑" w:hAnsi="微软雅黑" w:eastAsia="微软雅黑" w:cs="微软雅黑"/>
          <w:b/>
          <w:bCs/>
          <w:i w:val="0"/>
          <w:caps w:val="0"/>
          <w:color w:val="auto"/>
          <w:spacing w:val="0"/>
          <w:w w:val="100"/>
          <w:sz w:val="22"/>
          <w:szCs w:val="22"/>
          <w:highlight w:val="none"/>
        </w:rPr>
        <w:t>.请投标人根据投标文件技术偏离表响应情况将印证资料放置页码具体详细的填写在说明栏中。</w:t>
      </w:r>
    </w:p>
    <w:p w14:paraId="4EA9D456">
      <w:pPr>
        <w:pStyle w:val="16"/>
        <w:spacing w:line="400" w:lineRule="exact"/>
        <w:rPr>
          <w:rFonts w:hint="eastAsia" w:ascii="微软雅黑" w:hAnsi="微软雅黑" w:eastAsia="微软雅黑" w:cs="微软雅黑"/>
          <w:color w:val="auto"/>
          <w:sz w:val="22"/>
          <w:szCs w:val="22"/>
          <w:highlight w:val="none"/>
        </w:rPr>
      </w:pPr>
    </w:p>
    <w:p w14:paraId="5D93BE44">
      <w:pPr>
        <w:pStyle w:val="16"/>
        <w:spacing w:line="400" w:lineRule="exact"/>
        <w:ind w:left="1080" w:leftChars="257" w:hanging="540"/>
        <w:rPr>
          <w:rFonts w:hint="eastAsia" w:ascii="微软雅黑" w:hAnsi="微软雅黑" w:eastAsia="微软雅黑" w:cs="微软雅黑"/>
          <w:color w:val="auto"/>
          <w:sz w:val="22"/>
          <w:szCs w:val="22"/>
          <w:highlight w:val="none"/>
        </w:rPr>
      </w:pPr>
    </w:p>
    <w:p w14:paraId="57D6363E">
      <w:pPr>
        <w:pStyle w:val="16"/>
        <w:spacing w:line="400" w:lineRule="exact"/>
        <w:ind w:left="1080" w:leftChars="257" w:hanging="540"/>
        <w:rPr>
          <w:rFonts w:hint="eastAsia" w:ascii="微软雅黑" w:hAnsi="微软雅黑" w:eastAsia="微软雅黑" w:cs="微软雅黑"/>
          <w:color w:val="auto"/>
          <w:sz w:val="22"/>
          <w:szCs w:val="22"/>
          <w:highlight w:val="none"/>
        </w:rPr>
      </w:pPr>
    </w:p>
    <w:p w14:paraId="5F3BC67A">
      <w:pPr>
        <w:pStyle w:val="16"/>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法定代表人（签/章）:</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u w:val="single"/>
        </w:rPr>
        <w:tab/>
      </w:r>
      <w:r>
        <w:rPr>
          <w:rFonts w:hint="eastAsia" w:ascii="微软雅黑" w:hAnsi="微软雅黑" w:eastAsia="微软雅黑" w:cs="微软雅黑"/>
          <w:color w:val="auto"/>
          <w:sz w:val="22"/>
          <w:szCs w:val="22"/>
          <w:highlight w:val="none"/>
          <w:u w:val="single"/>
        </w:rPr>
        <w:t xml:space="preserve">                 </w:t>
      </w:r>
    </w:p>
    <w:p w14:paraId="53618567">
      <w:pPr>
        <w:pStyle w:val="16"/>
        <w:tabs>
          <w:tab w:val="left" w:pos="5370"/>
        </w:tabs>
        <w:spacing w:line="400" w:lineRule="exact"/>
        <w:ind w:left="1080" w:leftChars="257" w:hanging="540"/>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供应商</w:t>
      </w:r>
      <w:r>
        <w:rPr>
          <w:rFonts w:hint="eastAsia" w:ascii="微软雅黑" w:hAnsi="微软雅黑" w:eastAsia="微软雅黑" w:cs="微软雅黑"/>
          <w:color w:val="auto"/>
          <w:sz w:val="22"/>
          <w:szCs w:val="22"/>
          <w:highlight w:val="none"/>
          <w:lang w:eastAsia="zh-CN"/>
        </w:rPr>
        <w:t>名称</w:t>
      </w:r>
      <w:r>
        <w:rPr>
          <w:rFonts w:hint="eastAsia" w:ascii="微软雅黑" w:hAnsi="微软雅黑" w:eastAsia="微软雅黑" w:cs="微软雅黑"/>
          <w:color w:val="auto"/>
          <w:sz w:val="22"/>
          <w:szCs w:val="22"/>
          <w:highlight w:val="none"/>
        </w:rPr>
        <w:t>(公章):</w:t>
      </w:r>
      <w:r>
        <w:rPr>
          <w:rFonts w:hint="eastAsia" w:ascii="微软雅黑" w:hAnsi="微软雅黑" w:eastAsia="微软雅黑" w:cs="微软雅黑"/>
          <w:color w:val="auto"/>
          <w:sz w:val="22"/>
          <w:szCs w:val="22"/>
          <w:highlight w:val="none"/>
          <w:u w:val="single"/>
        </w:rPr>
        <w:tab/>
      </w:r>
    </w:p>
    <w:p w14:paraId="7EDE494C">
      <w:pPr>
        <w:pStyle w:val="16"/>
        <w:tabs>
          <w:tab w:val="left" w:pos="5370"/>
        </w:tabs>
        <w:spacing w:line="400" w:lineRule="exact"/>
        <w:ind w:left="1080" w:leftChars="257" w:hanging="540"/>
        <w:rPr>
          <w:rFonts w:hint="eastAsia" w:ascii="微软雅黑" w:hAnsi="微软雅黑" w:eastAsia="微软雅黑" w:cs="微软雅黑"/>
          <w:color w:val="auto"/>
          <w:sz w:val="22"/>
          <w:szCs w:val="22"/>
          <w:highlight w:val="none"/>
          <w:u w:val="single"/>
        </w:rPr>
      </w:pPr>
    </w:p>
    <w:p w14:paraId="57E715A1">
      <w:pPr>
        <w:pStyle w:val="16"/>
        <w:tabs>
          <w:tab w:val="left" w:pos="5370"/>
        </w:tabs>
        <w:spacing w:line="400" w:lineRule="exact"/>
        <w:ind w:left="1080" w:leftChars="257" w:hanging="540"/>
        <w:rPr>
          <w:rFonts w:hint="eastAsia" w:ascii="微软雅黑" w:hAnsi="微软雅黑" w:eastAsia="微软雅黑" w:cs="微软雅黑"/>
          <w:color w:val="auto"/>
          <w:sz w:val="22"/>
          <w:szCs w:val="22"/>
          <w:highlight w:val="none"/>
          <w:u w:val="single"/>
        </w:rPr>
      </w:pPr>
    </w:p>
    <w:p w14:paraId="18BFF70B">
      <w:pPr>
        <w:pStyle w:val="16"/>
        <w:tabs>
          <w:tab w:val="left" w:pos="5370"/>
        </w:tabs>
        <w:spacing w:line="400" w:lineRule="exact"/>
        <w:ind w:left="1080" w:leftChars="257" w:hanging="540"/>
        <w:rPr>
          <w:rFonts w:hint="eastAsia" w:ascii="微软雅黑" w:hAnsi="微软雅黑" w:eastAsia="微软雅黑" w:cs="微软雅黑"/>
          <w:color w:val="auto"/>
          <w:sz w:val="22"/>
          <w:szCs w:val="22"/>
          <w:highlight w:val="none"/>
          <w:u w:val="single"/>
        </w:rPr>
      </w:pPr>
    </w:p>
    <w:p w14:paraId="61D62853">
      <w:pPr>
        <w:pStyle w:val="16"/>
        <w:tabs>
          <w:tab w:val="left" w:pos="5370"/>
        </w:tabs>
        <w:spacing w:line="400" w:lineRule="exact"/>
        <w:ind w:left="1080" w:leftChars="257" w:hanging="540"/>
        <w:rPr>
          <w:rFonts w:hint="eastAsia" w:ascii="微软雅黑" w:hAnsi="微软雅黑" w:eastAsia="微软雅黑" w:cs="微软雅黑"/>
          <w:color w:val="auto"/>
          <w:sz w:val="22"/>
          <w:szCs w:val="22"/>
          <w:highlight w:val="none"/>
          <w:u w:val="single"/>
        </w:rPr>
      </w:pPr>
    </w:p>
    <w:p w14:paraId="1ABC5C20">
      <w:pPr>
        <w:rPr>
          <w:rFonts w:hint="eastAsia" w:ascii="微软雅黑" w:hAnsi="微软雅黑" w:eastAsia="微软雅黑" w:cs="微软雅黑"/>
          <w:color w:val="auto"/>
          <w:sz w:val="22"/>
          <w:szCs w:val="22"/>
          <w:highlight w:val="none"/>
        </w:rPr>
      </w:pPr>
      <w:bookmarkStart w:id="1869" w:name="_Toc14887"/>
      <w:bookmarkStart w:id="1870" w:name="_Toc12914"/>
      <w:bookmarkStart w:id="1871" w:name="_Toc22109"/>
      <w:r>
        <w:rPr>
          <w:rFonts w:hint="eastAsia" w:ascii="微软雅黑" w:hAnsi="微软雅黑" w:eastAsia="微软雅黑" w:cs="微软雅黑"/>
          <w:color w:val="auto"/>
          <w:sz w:val="22"/>
          <w:szCs w:val="22"/>
          <w:highlight w:val="none"/>
        </w:rPr>
        <w:br w:type="page"/>
      </w:r>
    </w:p>
    <w:p w14:paraId="22DF4555">
      <w:pPr>
        <w:pStyle w:val="6"/>
        <w:spacing w:before="0" w:line="240" w:lineRule="atLeast"/>
        <w:jc w:val="center"/>
        <w:rPr>
          <w:rFonts w:hint="eastAsia" w:ascii="微软雅黑" w:hAnsi="微软雅黑" w:eastAsia="微软雅黑" w:cs="微软雅黑"/>
          <w:color w:val="auto"/>
          <w:sz w:val="22"/>
          <w:szCs w:val="22"/>
          <w:highlight w:val="none"/>
        </w:rPr>
      </w:pPr>
      <w:bookmarkStart w:id="1872" w:name="_Toc15792"/>
      <w:bookmarkStart w:id="1873" w:name="_Toc13651"/>
      <w:r>
        <w:rPr>
          <w:rFonts w:hint="eastAsia" w:ascii="微软雅黑" w:hAnsi="微软雅黑" w:eastAsia="微软雅黑" w:cs="微软雅黑"/>
          <w:color w:val="auto"/>
          <w:sz w:val="22"/>
          <w:szCs w:val="22"/>
          <w:highlight w:val="none"/>
        </w:rPr>
        <w:t>5</w:t>
      </w:r>
      <w:r>
        <w:rPr>
          <w:rFonts w:hint="eastAsia" w:ascii="微软雅黑" w:hAnsi="微软雅黑" w:eastAsia="微软雅黑" w:cs="微软雅黑"/>
          <w:color w:val="auto"/>
          <w:sz w:val="22"/>
          <w:szCs w:val="22"/>
          <w:highlight w:val="none"/>
          <w:lang w:eastAsia="zh-CN"/>
        </w:rPr>
        <w:t>、</w:t>
      </w:r>
      <w:r>
        <w:rPr>
          <w:rFonts w:hint="eastAsia" w:ascii="微软雅黑" w:hAnsi="微软雅黑" w:eastAsia="微软雅黑" w:cs="微软雅黑"/>
          <w:color w:val="auto"/>
          <w:sz w:val="22"/>
          <w:szCs w:val="22"/>
          <w:highlight w:val="none"/>
        </w:rPr>
        <w:t>商务条款偏离表</w:t>
      </w:r>
      <w:bookmarkEnd w:id="1864"/>
      <w:bookmarkEnd w:id="1865"/>
      <w:bookmarkEnd w:id="1866"/>
      <w:bookmarkEnd w:id="1867"/>
      <w:bookmarkEnd w:id="1868"/>
      <w:bookmarkEnd w:id="1869"/>
      <w:bookmarkEnd w:id="1870"/>
      <w:bookmarkEnd w:id="1871"/>
      <w:bookmarkEnd w:id="1872"/>
      <w:bookmarkEnd w:id="1873"/>
    </w:p>
    <w:p w14:paraId="0BAE766C">
      <w:pPr>
        <w:pStyle w:val="16"/>
        <w:spacing w:line="400" w:lineRule="exact"/>
        <w:ind w:left="1080" w:leftChars="257" w:hanging="54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rPr>
        <w:t xml:space="preserve">项目名称:                      项目编号:             </w:t>
      </w:r>
      <w:r>
        <w:rPr>
          <w:rFonts w:hint="eastAsia" w:ascii="微软雅黑" w:hAnsi="微软雅黑" w:eastAsia="微软雅黑" w:cs="微软雅黑"/>
          <w:color w:val="auto"/>
          <w:sz w:val="22"/>
          <w:szCs w:val="22"/>
          <w:highlight w:val="none"/>
          <w:lang w:val="en-US" w:eastAsia="zh-CN"/>
        </w:rPr>
        <w:t>标项：（如有）</w:t>
      </w:r>
    </w:p>
    <w:tbl>
      <w:tblPr>
        <w:tblStyle w:val="31"/>
        <w:tblW w:w="90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2040"/>
        <w:gridCol w:w="2520"/>
        <w:gridCol w:w="2520"/>
        <w:gridCol w:w="1014"/>
      </w:tblGrid>
      <w:tr w14:paraId="4CD03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vAlign w:val="center"/>
          </w:tcPr>
          <w:p w14:paraId="64F9F440">
            <w:pPr>
              <w:pStyle w:val="16"/>
              <w:spacing w:line="40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序号</w:t>
            </w:r>
          </w:p>
        </w:tc>
        <w:tc>
          <w:tcPr>
            <w:tcW w:w="2040" w:type="dxa"/>
            <w:vAlign w:val="center"/>
          </w:tcPr>
          <w:p w14:paraId="6ED971B6">
            <w:pPr>
              <w:pStyle w:val="16"/>
              <w:spacing w:line="40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招标文件条款号</w:t>
            </w:r>
          </w:p>
        </w:tc>
        <w:tc>
          <w:tcPr>
            <w:tcW w:w="2520" w:type="dxa"/>
            <w:vAlign w:val="center"/>
          </w:tcPr>
          <w:p w14:paraId="5C1D82CC">
            <w:pPr>
              <w:pStyle w:val="16"/>
              <w:spacing w:line="40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招标文件的商务条款</w:t>
            </w:r>
          </w:p>
        </w:tc>
        <w:tc>
          <w:tcPr>
            <w:tcW w:w="2520" w:type="dxa"/>
            <w:vAlign w:val="center"/>
          </w:tcPr>
          <w:p w14:paraId="3F5125D7">
            <w:pPr>
              <w:pStyle w:val="16"/>
              <w:spacing w:line="40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投标文件的商务条款</w:t>
            </w:r>
          </w:p>
        </w:tc>
        <w:tc>
          <w:tcPr>
            <w:tcW w:w="1014" w:type="dxa"/>
            <w:vAlign w:val="center"/>
          </w:tcPr>
          <w:p w14:paraId="223FC6AE">
            <w:pPr>
              <w:pStyle w:val="16"/>
              <w:spacing w:line="400" w:lineRule="exact"/>
              <w:jc w:val="center"/>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偏离</w:t>
            </w:r>
          </w:p>
        </w:tc>
      </w:tr>
      <w:tr w14:paraId="3403B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14:paraId="62F7BD39">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040" w:type="dxa"/>
          </w:tcPr>
          <w:p w14:paraId="50FA36ED">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0B07AFE3">
            <w:pPr>
              <w:pStyle w:val="16"/>
              <w:spacing w:line="400" w:lineRule="exact"/>
              <w:ind w:left="1080" w:leftChars="257" w:hanging="540"/>
              <w:jc w:val="center"/>
              <w:rPr>
                <w:rFonts w:hint="eastAsia" w:ascii="微软雅黑" w:hAnsi="微软雅黑" w:eastAsia="微软雅黑" w:cs="微软雅黑"/>
                <w:color w:val="auto"/>
                <w:sz w:val="22"/>
                <w:szCs w:val="22"/>
                <w:highlight w:val="none"/>
              </w:rPr>
            </w:pPr>
          </w:p>
        </w:tc>
        <w:tc>
          <w:tcPr>
            <w:tcW w:w="2520" w:type="dxa"/>
          </w:tcPr>
          <w:p w14:paraId="18CD476A">
            <w:pPr>
              <w:pStyle w:val="16"/>
              <w:spacing w:line="400" w:lineRule="exact"/>
              <w:ind w:left="1080" w:leftChars="257" w:hanging="540"/>
              <w:jc w:val="center"/>
              <w:rPr>
                <w:rFonts w:hint="eastAsia" w:ascii="微软雅黑" w:hAnsi="微软雅黑" w:eastAsia="微软雅黑" w:cs="微软雅黑"/>
                <w:color w:val="auto"/>
                <w:sz w:val="22"/>
                <w:szCs w:val="22"/>
                <w:highlight w:val="none"/>
              </w:rPr>
            </w:pPr>
          </w:p>
        </w:tc>
        <w:tc>
          <w:tcPr>
            <w:tcW w:w="1014" w:type="dxa"/>
          </w:tcPr>
          <w:p w14:paraId="7C80562F">
            <w:pPr>
              <w:pStyle w:val="16"/>
              <w:spacing w:line="400" w:lineRule="exact"/>
              <w:ind w:left="1080" w:leftChars="257" w:hanging="540"/>
              <w:rPr>
                <w:rFonts w:hint="eastAsia" w:ascii="微软雅黑" w:hAnsi="微软雅黑" w:eastAsia="微软雅黑" w:cs="微软雅黑"/>
                <w:color w:val="auto"/>
                <w:sz w:val="22"/>
                <w:szCs w:val="22"/>
                <w:highlight w:val="none"/>
              </w:rPr>
            </w:pPr>
          </w:p>
        </w:tc>
      </w:tr>
      <w:tr w14:paraId="2DA85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948" w:type="dxa"/>
          </w:tcPr>
          <w:p w14:paraId="201E55B8">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040" w:type="dxa"/>
          </w:tcPr>
          <w:p w14:paraId="0B923338">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5C410380">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5CA10455">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2997D7E2">
            <w:pPr>
              <w:pStyle w:val="16"/>
              <w:spacing w:line="400" w:lineRule="exact"/>
              <w:ind w:left="1080" w:leftChars="257" w:hanging="540"/>
              <w:rPr>
                <w:rFonts w:hint="eastAsia" w:ascii="微软雅黑" w:hAnsi="微软雅黑" w:eastAsia="微软雅黑" w:cs="微软雅黑"/>
                <w:color w:val="auto"/>
                <w:sz w:val="22"/>
                <w:szCs w:val="22"/>
                <w:highlight w:val="none"/>
              </w:rPr>
            </w:pPr>
          </w:p>
        </w:tc>
      </w:tr>
      <w:tr w14:paraId="0F8E5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14:paraId="0D8BEB8C">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040" w:type="dxa"/>
          </w:tcPr>
          <w:p w14:paraId="42E0F61E">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469C694A">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5E4AE735">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1AD085E4">
            <w:pPr>
              <w:pStyle w:val="16"/>
              <w:spacing w:line="400" w:lineRule="exact"/>
              <w:ind w:left="1080" w:leftChars="257" w:hanging="540"/>
              <w:rPr>
                <w:rFonts w:hint="eastAsia" w:ascii="微软雅黑" w:hAnsi="微软雅黑" w:eastAsia="微软雅黑" w:cs="微软雅黑"/>
                <w:color w:val="auto"/>
                <w:sz w:val="22"/>
                <w:szCs w:val="22"/>
                <w:highlight w:val="none"/>
              </w:rPr>
            </w:pPr>
          </w:p>
        </w:tc>
      </w:tr>
      <w:tr w14:paraId="6992B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14:paraId="17781F49">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040" w:type="dxa"/>
          </w:tcPr>
          <w:p w14:paraId="5FA23F6E">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1194BEF9">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01282A3E">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25C033DD">
            <w:pPr>
              <w:pStyle w:val="16"/>
              <w:spacing w:line="400" w:lineRule="exact"/>
              <w:ind w:left="1080" w:leftChars="257" w:hanging="540"/>
              <w:rPr>
                <w:rFonts w:hint="eastAsia" w:ascii="微软雅黑" w:hAnsi="微软雅黑" w:eastAsia="微软雅黑" w:cs="微软雅黑"/>
                <w:color w:val="auto"/>
                <w:sz w:val="22"/>
                <w:szCs w:val="22"/>
                <w:highlight w:val="none"/>
              </w:rPr>
            </w:pPr>
          </w:p>
        </w:tc>
      </w:tr>
      <w:tr w14:paraId="1E7A7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14:paraId="6A42F089">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040" w:type="dxa"/>
          </w:tcPr>
          <w:p w14:paraId="47EBBE08">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090D2D87">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7CD1C075">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218C386B">
            <w:pPr>
              <w:pStyle w:val="16"/>
              <w:spacing w:line="400" w:lineRule="exact"/>
              <w:ind w:left="1080" w:leftChars="257" w:hanging="540"/>
              <w:rPr>
                <w:rFonts w:hint="eastAsia" w:ascii="微软雅黑" w:hAnsi="微软雅黑" w:eastAsia="微软雅黑" w:cs="微软雅黑"/>
                <w:color w:val="auto"/>
                <w:sz w:val="22"/>
                <w:szCs w:val="22"/>
                <w:highlight w:val="none"/>
              </w:rPr>
            </w:pPr>
          </w:p>
        </w:tc>
      </w:tr>
      <w:tr w14:paraId="6BDF1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14:paraId="5959D47C">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040" w:type="dxa"/>
          </w:tcPr>
          <w:p w14:paraId="0C346E43">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054FD87E">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2FCDC8FD">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1C611708">
            <w:pPr>
              <w:pStyle w:val="16"/>
              <w:spacing w:line="400" w:lineRule="exact"/>
              <w:ind w:left="1080" w:leftChars="257" w:hanging="540"/>
              <w:rPr>
                <w:rFonts w:hint="eastAsia" w:ascii="微软雅黑" w:hAnsi="微软雅黑" w:eastAsia="微软雅黑" w:cs="微软雅黑"/>
                <w:color w:val="auto"/>
                <w:sz w:val="22"/>
                <w:szCs w:val="22"/>
                <w:highlight w:val="none"/>
              </w:rPr>
            </w:pPr>
          </w:p>
        </w:tc>
      </w:tr>
      <w:tr w14:paraId="3219A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14:paraId="248DD529">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040" w:type="dxa"/>
          </w:tcPr>
          <w:p w14:paraId="365919DA">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4D89CA2E">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26987683">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35F9B77D">
            <w:pPr>
              <w:pStyle w:val="16"/>
              <w:spacing w:line="400" w:lineRule="exact"/>
              <w:ind w:left="1080" w:leftChars="257" w:hanging="540"/>
              <w:rPr>
                <w:rFonts w:hint="eastAsia" w:ascii="微软雅黑" w:hAnsi="微软雅黑" w:eastAsia="微软雅黑" w:cs="微软雅黑"/>
                <w:color w:val="auto"/>
                <w:sz w:val="22"/>
                <w:szCs w:val="22"/>
                <w:highlight w:val="none"/>
              </w:rPr>
            </w:pPr>
          </w:p>
        </w:tc>
      </w:tr>
      <w:tr w14:paraId="758EC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14:paraId="3E46A96D">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040" w:type="dxa"/>
          </w:tcPr>
          <w:p w14:paraId="05FA46FF">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62481BAB">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04A1E565">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04EB0B75">
            <w:pPr>
              <w:pStyle w:val="16"/>
              <w:spacing w:line="400" w:lineRule="exact"/>
              <w:ind w:left="1080" w:leftChars="257" w:hanging="540"/>
              <w:rPr>
                <w:rFonts w:hint="eastAsia" w:ascii="微软雅黑" w:hAnsi="微软雅黑" w:eastAsia="微软雅黑" w:cs="微软雅黑"/>
                <w:color w:val="auto"/>
                <w:sz w:val="22"/>
                <w:szCs w:val="22"/>
                <w:highlight w:val="none"/>
              </w:rPr>
            </w:pPr>
          </w:p>
        </w:tc>
      </w:tr>
      <w:tr w14:paraId="572B6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14:paraId="515AA066">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040" w:type="dxa"/>
          </w:tcPr>
          <w:p w14:paraId="33D81B1A">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5B3D8A09">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2E2CC53F">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1550C707">
            <w:pPr>
              <w:pStyle w:val="16"/>
              <w:spacing w:line="400" w:lineRule="exact"/>
              <w:ind w:left="1080" w:leftChars="257" w:hanging="540"/>
              <w:rPr>
                <w:rFonts w:hint="eastAsia" w:ascii="微软雅黑" w:hAnsi="微软雅黑" w:eastAsia="微软雅黑" w:cs="微软雅黑"/>
                <w:color w:val="auto"/>
                <w:sz w:val="22"/>
                <w:szCs w:val="22"/>
                <w:highlight w:val="none"/>
              </w:rPr>
            </w:pPr>
          </w:p>
        </w:tc>
      </w:tr>
      <w:tr w14:paraId="70925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14:paraId="3694A83D">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040" w:type="dxa"/>
          </w:tcPr>
          <w:p w14:paraId="1FFB4F0B">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5DC89D62">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54754FD8">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66053972">
            <w:pPr>
              <w:pStyle w:val="16"/>
              <w:spacing w:line="400" w:lineRule="exact"/>
              <w:ind w:left="1080" w:leftChars="257" w:hanging="540"/>
              <w:rPr>
                <w:rFonts w:hint="eastAsia" w:ascii="微软雅黑" w:hAnsi="微软雅黑" w:eastAsia="微软雅黑" w:cs="微软雅黑"/>
                <w:color w:val="auto"/>
                <w:sz w:val="22"/>
                <w:szCs w:val="22"/>
                <w:highlight w:val="none"/>
              </w:rPr>
            </w:pPr>
          </w:p>
        </w:tc>
      </w:tr>
      <w:tr w14:paraId="6FD05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14:paraId="5D7B6E1E">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040" w:type="dxa"/>
          </w:tcPr>
          <w:p w14:paraId="139E3E1C">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128457BB">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08C73021">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4D708F5D">
            <w:pPr>
              <w:pStyle w:val="16"/>
              <w:spacing w:line="400" w:lineRule="exact"/>
              <w:ind w:left="1080" w:leftChars="257" w:hanging="540"/>
              <w:rPr>
                <w:rFonts w:hint="eastAsia" w:ascii="微软雅黑" w:hAnsi="微软雅黑" w:eastAsia="微软雅黑" w:cs="微软雅黑"/>
                <w:color w:val="auto"/>
                <w:sz w:val="22"/>
                <w:szCs w:val="22"/>
                <w:highlight w:val="none"/>
              </w:rPr>
            </w:pPr>
          </w:p>
        </w:tc>
      </w:tr>
      <w:tr w14:paraId="38A9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14:paraId="365F755A">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040" w:type="dxa"/>
          </w:tcPr>
          <w:p w14:paraId="19CA1C15">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1E253F7B">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7B40E94B">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621E5538">
            <w:pPr>
              <w:pStyle w:val="16"/>
              <w:spacing w:line="400" w:lineRule="exact"/>
              <w:ind w:left="1080" w:leftChars="257" w:hanging="540"/>
              <w:rPr>
                <w:rFonts w:hint="eastAsia" w:ascii="微软雅黑" w:hAnsi="微软雅黑" w:eastAsia="微软雅黑" w:cs="微软雅黑"/>
                <w:color w:val="auto"/>
                <w:sz w:val="22"/>
                <w:szCs w:val="22"/>
                <w:highlight w:val="none"/>
              </w:rPr>
            </w:pPr>
          </w:p>
        </w:tc>
      </w:tr>
      <w:tr w14:paraId="33F39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14:paraId="582651E5">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040" w:type="dxa"/>
          </w:tcPr>
          <w:p w14:paraId="3BA226CD">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4548E6E3">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7879D046">
            <w:pPr>
              <w:pStyle w:val="16"/>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388062CB">
            <w:pPr>
              <w:pStyle w:val="16"/>
              <w:spacing w:line="400" w:lineRule="exact"/>
              <w:ind w:left="1080" w:leftChars="257" w:hanging="540"/>
              <w:rPr>
                <w:rFonts w:hint="eastAsia" w:ascii="微软雅黑" w:hAnsi="微软雅黑" w:eastAsia="微软雅黑" w:cs="微软雅黑"/>
                <w:color w:val="auto"/>
                <w:sz w:val="22"/>
                <w:szCs w:val="22"/>
                <w:highlight w:val="none"/>
              </w:rPr>
            </w:pPr>
          </w:p>
        </w:tc>
      </w:tr>
    </w:tbl>
    <w:p w14:paraId="29C8953F">
      <w:pPr>
        <w:pStyle w:val="16"/>
        <w:spacing w:line="40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b w:val="0"/>
          <w:i w:val="0"/>
          <w:caps w:val="0"/>
          <w:color w:val="auto"/>
          <w:spacing w:val="0"/>
          <w:w w:val="100"/>
          <w:sz w:val="22"/>
          <w:szCs w:val="22"/>
          <w:highlight w:val="none"/>
        </w:rPr>
        <w:t>备注：以上表格内容中除“偏离”一列，其余表格填写不得出现“空白、无、/”等情形，否则视为实质性条款不响应，按无效投标处理。</w:t>
      </w:r>
    </w:p>
    <w:p w14:paraId="6B0F2DC4">
      <w:pPr>
        <w:pStyle w:val="16"/>
        <w:spacing w:line="400" w:lineRule="exact"/>
        <w:ind w:left="1080" w:leftChars="257" w:hanging="540"/>
        <w:rPr>
          <w:rFonts w:hint="eastAsia" w:ascii="微软雅黑" w:hAnsi="微软雅黑" w:eastAsia="微软雅黑" w:cs="微软雅黑"/>
          <w:color w:val="auto"/>
          <w:sz w:val="22"/>
          <w:szCs w:val="22"/>
          <w:highlight w:val="none"/>
        </w:rPr>
      </w:pPr>
    </w:p>
    <w:p w14:paraId="21D5FA73">
      <w:pPr>
        <w:pStyle w:val="16"/>
        <w:spacing w:line="400" w:lineRule="exact"/>
        <w:ind w:left="1080" w:leftChars="257" w:hanging="540"/>
        <w:rPr>
          <w:rFonts w:hint="eastAsia" w:ascii="微软雅黑" w:hAnsi="微软雅黑" w:eastAsia="微软雅黑" w:cs="微软雅黑"/>
          <w:color w:val="auto"/>
          <w:sz w:val="22"/>
          <w:szCs w:val="22"/>
          <w:highlight w:val="none"/>
        </w:rPr>
      </w:pPr>
    </w:p>
    <w:p w14:paraId="7662076D">
      <w:pPr>
        <w:pStyle w:val="16"/>
        <w:spacing w:line="400" w:lineRule="exact"/>
        <w:ind w:left="1080" w:leftChars="257" w:hanging="540"/>
        <w:rPr>
          <w:rFonts w:hint="eastAsia" w:ascii="微软雅黑" w:hAnsi="微软雅黑" w:eastAsia="微软雅黑" w:cs="微软雅黑"/>
          <w:color w:val="auto"/>
          <w:sz w:val="22"/>
          <w:szCs w:val="22"/>
          <w:highlight w:val="none"/>
        </w:rPr>
      </w:pPr>
    </w:p>
    <w:p w14:paraId="410D0DA1">
      <w:pPr>
        <w:pStyle w:val="16"/>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法定代表人（签/章）:</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u w:val="single"/>
        </w:rPr>
        <w:tab/>
      </w:r>
      <w:r>
        <w:rPr>
          <w:rFonts w:hint="eastAsia" w:ascii="微软雅黑" w:hAnsi="微软雅黑" w:eastAsia="微软雅黑" w:cs="微软雅黑"/>
          <w:color w:val="auto"/>
          <w:sz w:val="22"/>
          <w:szCs w:val="22"/>
          <w:highlight w:val="none"/>
          <w:u w:val="single"/>
        </w:rPr>
        <w:t xml:space="preserve">                 </w:t>
      </w:r>
    </w:p>
    <w:p w14:paraId="2F873B10">
      <w:pPr>
        <w:pStyle w:val="16"/>
        <w:tabs>
          <w:tab w:val="left" w:pos="5370"/>
        </w:tabs>
        <w:spacing w:line="400" w:lineRule="exact"/>
        <w:ind w:left="1080" w:leftChars="257" w:hanging="540"/>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供应商</w:t>
      </w:r>
      <w:r>
        <w:rPr>
          <w:rFonts w:hint="eastAsia" w:ascii="微软雅黑" w:hAnsi="微软雅黑" w:eastAsia="微软雅黑" w:cs="微软雅黑"/>
          <w:color w:val="auto"/>
          <w:sz w:val="22"/>
          <w:szCs w:val="22"/>
          <w:highlight w:val="none"/>
          <w:lang w:eastAsia="zh-CN"/>
        </w:rPr>
        <w:t>名称</w:t>
      </w:r>
      <w:r>
        <w:rPr>
          <w:rFonts w:hint="eastAsia" w:ascii="微软雅黑" w:hAnsi="微软雅黑" w:eastAsia="微软雅黑" w:cs="微软雅黑"/>
          <w:color w:val="auto"/>
          <w:sz w:val="22"/>
          <w:szCs w:val="22"/>
          <w:highlight w:val="none"/>
        </w:rPr>
        <w:t>(公章):</w:t>
      </w:r>
      <w:r>
        <w:rPr>
          <w:rFonts w:hint="eastAsia" w:ascii="微软雅黑" w:hAnsi="微软雅黑" w:eastAsia="微软雅黑" w:cs="微软雅黑"/>
          <w:color w:val="auto"/>
          <w:sz w:val="22"/>
          <w:szCs w:val="22"/>
          <w:highlight w:val="none"/>
          <w:u w:val="single"/>
        </w:rPr>
        <w:tab/>
      </w:r>
    </w:p>
    <w:p w14:paraId="08C06B76">
      <w:pPr>
        <w:pStyle w:val="16"/>
        <w:tabs>
          <w:tab w:val="left" w:pos="5370"/>
        </w:tabs>
        <w:spacing w:line="400" w:lineRule="exact"/>
        <w:ind w:left="1080" w:leftChars="257" w:hanging="540"/>
        <w:rPr>
          <w:rFonts w:hint="eastAsia" w:ascii="微软雅黑" w:hAnsi="微软雅黑" w:eastAsia="微软雅黑" w:cs="微软雅黑"/>
          <w:color w:val="auto"/>
          <w:sz w:val="22"/>
          <w:szCs w:val="22"/>
          <w:highlight w:val="none"/>
          <w:u w:val="single"/>
        </w:rPr>
      </w:pPr>
    </w:p>
    <w:p w14:paraId="446021AD">
      <w:pPr>
        <w:pStyle w:val="16"/>
        <w:tabs>
          <w:tab w:val="left" w:pos="5370"/>
        </w:tabs>
        <w:spacing w:line="400" w:lineRule="exact"/>
        <w:ind w:left="1080" w:leftChars="257" w:hanging="540"/>
        <w:rPr>
          <w:rFonts w:hint="eastAsia" w:ascii="微软雅黑" w:hAnsi="微软雅黑" w:eastAsia="微软雅黑" w:cs="微软雅黑"/>
          <w:color w:val="auto"/>
          <w:sz w:val="22"/>
          <w:szCs w:val="22"/>
          <w:highlight w:val="none"/>
          <w:u w:val="single"/>
        </w:rPr>
      </w:pPr>
    </w:p>
    <w:p w14:paraId="625781E5">
      <w:pPr>
        <w:pStyle w:val="16"/>
        <w:tabs>
          <w:tab w:val="left" w:pos="5370"/>
        </w:tabs>
        <w:spacing w:line="400" w:lineRule="exact"/>
        <w:ind w:left="1080" w:leftChars="257" w:hanging="540"/>
        <w:rPr>
          <w:rFonts w:hint="eastAsia" w:ascii="微软雅黑" w:hAnsi="微软雅黑" w:eastAsia="微软雅黑" w:cs="微软雅黑"/>
          <w:color w:val="auto"/>
          <w:sz w:val="22"/>
          <w:szCs w:val="22"/>
          <w:highlight w:val="none"/>
          <w:u w:val="single"/>
        </w:rPr>
      </w:pPr>
    </w:p>
    <w:p w14:paraId="62272B10">
      <w:pPr>
        <w:pStyle w:val="16"/>
        <w:tabs>
          <w:tab w:val="left" w:pos="5370"/>
        </w:tabs>
        <w:spacing w:line="400" w:lineRule="exact"/>
        <w:ind w:left="1080" w:leftChars="257" w:hanging="540"/>
        <w:rPr>
          <w:rFonts w:hint="eastAsia" w:ascii="微软雅黑" w:hAnsi="微软雅黑" w:eastAsia="微软雅黑" w:cs="微软雅黑"/>
          <w:color w:val="auto"/>
          <w:sz w:val="22"/>
          <w:szCs w:val="22"/>
          <w:highlight w:val="none"/>
          <w:u w:val="single"/>
        </w:rPr>
      </w:pPr>
    </w:p>
    <w:p w14:paraId="0836EF31">
      <w:pPr>
        <w:pStyle w:val="16"/>
        <w:tabs>
          <w:tab w:val="left" w:pos="5370"/>
        </w:tabs>
        <w:spacing w:line="400" w:lineRule="exact"/>
        <w:ind w:left="1080" w:leftChars="257" w:hanging="540"/>
        <w:rPr>
          <w:rFonts w:hint="eastAsia" w:ascii="微软雅黑" w:hAnsi="微软雅黑" w:eastAsia="微软雅黑" w:cs="微软雅黑"/>
          <w:color w:val="auto"/>
          <w:sz w:val="22"/>
          <w:szCs w:val="22"/>
          <w:highlight w:val="none"/>
          <w:u w:val="single"/>
        </w:rPr>
      </w:pPr>
    </w:p>
    <w:p w14:paraId="5DBD1453">
      <w:pPr>
        <w:rPr>
          <w:rFonts w:hint="eastAsia" w:ascii="微软雅黑" w:hAnsi="微软雅黑" w:eastAsia="微软雅黑" w:cs="微软雅黑"/>
          <w:color w:val="auto"/>
          <w:sz w:val="22"/>
          <w:szCs w:val="22"/>
          <w:highlight w:val="none"/>
        </w:rPr>
      </w:pPr>
      <w:bookmarkStart w:id="1874" w:name="_Toc21312"/>
      <w:bookmarkStart w:id="1875" w:name="_Toc27043"/>
      <w:bookmarkStart w:id="1876" w:name="_Toc17820"/>
      <w:bookmarkStart w:id="1877" w:name="_Toc25797"/>
      <w:bookmarkStart w:id="1878" w:name="_Toc515647823"/>
      <w:bookmarkStart w:id="1879" w:name="_Toc10725"/>
      <w:bookmarkStart w:id="1880" w:name="_Toc31694"/>
      <w:r>
        <w:rPr>
          <w:rFonts w:hint="eastAsia" w:ascii="微软雅黑" w:hAnsi="微软雅黑" w:eastAsia="微软雅黑" w:cs="微软雅黑"/>
          <w:color w:val="auto"/>
          <w:sz w:val="22"/>
          <w:szCs w:val="22"/>
          <w:highlight w:val="none"/>
        </w:rPr>
        <w:br w:type="page"/>
      </w:r>
      <w:bookmarkEnd w:id="1874"/>
      <w:bookmarkEnd w:id="1875"/>
      <w:bookmarkEnd w:id="1876"/>
      <w:bookmarkEnd w:id="1877"/>
      <w:bookmarkEnd w:id="1878"/>
      <w:bookmarkEnd w:id="1879"/>
      <w:bookmarkEnd w:id="1880"/>
    </w:p>
    <w:p w14:paraId="1A38A307">
      <w:pPr>
        <w:pStyle w:val="6"/>
        <w:spacing w:before="0" w:line="400" w:lineRule="exact"/>
        <w:jc w:val="center"/>
        <w:rPr>
          <w:rFonts w:hint="eastAsia" w:ascii="微软雅黑" w:hAnsi="微软雅黑" w:eastAsia="微软雅黑" w:cs="微软雅黑"/>
          <w:b/>
          <w:i w:val="0"/>
          <w:caps w:val="0"/>
          <w:color w:val="auto"/>
          <w:spacing w:val="0"/>
          <w:w w:val="100"/>
          <w:kern w:val="0"/>
          <w:sz w:val="22"/>
          <w:szCs w:val="22"/>
          <w:highlight w:val="none"/>
          <w:lang w:eastAsia="zh-CN"/>
        </w:rPr>
      </w:pPr>
      <w:bookmarkStart w:id="1881" w:name="_Toc7133"/>
      <w:bookmarkStart w:id="1882" w:name="_Toc4229"/>
      <w:bookmarkStart w:id="1883" w:name="_Toc17637"/>
      <w:r>
        <w:rPr>
          <w:rFonts w:hint="eastAsia" w:ascii="微软雅黑" w:hAnsi="微软雅黑" w:eastAsia="微软雅黑" w:cs="微软雅黑"/>
          <w:color w:val="auto"/>
          <w:sz w:val="22"/>
          <w:szCs w:val="22"/>
          <w:highlight w:val="none"/>
        </w:rPr>
        <w:t>6-1  中小企业声明函</w:t>
      </w:r>
      <w:bookmarkEnd w:id="1881"/>
      <w:bookmarkEnd w:id="1882"/>
      <w:bookmarkStart w:id="1884" w:name="_Toc515647824"/>
      <w:bookmarkStart w:id="1885" w:name="_Toc11803"/>
      <w:bookmarkStart w:id="1886" w:name="_Toc2709"/>
      <w:bookmarkStart w:id="1887" w:name="_Toc11343"/>
      <w:bookmarkStart w:id="1888" w:name="_Toc21610"/>
      <w:bookmarkStart w:id="1889" w:name="_Toc9687"/>
      <w:bookmarkStart w:id="1890" w:name="_Toc10977"/>
      <w:r>
        <w:rPr>
          <w:rFonts w:hint="eastAsia" w:ascii="微软雅黑" w:hAnsi="微软雅黑" w:eastAsia="微软雅黑" w:cs="微软雅黑"/>
          <w:color w:val="auto"/>
          <w:sz w:val="22"/>
          <w:szCs w:val="22"/>
          <w:highlight w:val="none"/>
          <w:lang w:eastAsia="zh-CN"/>
        </w:rPr>
        <w:t>（货物）</w:t>
      </w:r>
      <w:bookmarkEnd w:id="1883"/>
    </w:p>
    <w:p w14:paraId="2C90E282">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sz w:val="22"/>
          <w:szCs w:val="22"/>
          <w:highlight w:val="none"/>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本公司（联合体）郑重声明，根据《政府采购促进中小企业发展管理办法》（财库﹝2020﹞46 号）的规定，本公司（联合体）参加</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（单位名称）</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的</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（项目名称）</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采购活动，提供的货物全部由符合政策要求的中小企业制造。相关企业（含联合体中的中小企业、签订分包意向协议的中小企业）的具体情况如下：</w:t>
      </w:r>
    </w:p>
    <w:p w14:paraId="25776DDC">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sz w:val="22"/>
          <w:szCs w:val="22"/>
          <w:highlight w:val="none"/>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1.</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（标的名称）</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，属于</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（采购文件中明确的所属行业）</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行业；制造商为</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（企业名称）</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，从业人员</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人，营业收入为</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万元，资产总额为</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万元，属于</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（中型企业、小型企业、微型企业）</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w:t>
      </w:r>
    </w:p>
    <w:p w14:paraId="1A05A745">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sz w:val="22"/>
          <w:szCs w:val="22"/>
          <w:highlight w:val="none"/>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2.</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（标的名称）</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，属于</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（采购文件中明确的所属行业）</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行业；制造商为</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（企业名称）</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，从业人员</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人，营业收入为</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万元，资产总额为</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万元，属于</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（中型企业、小型企业、微型企业）</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w:t>
      </w:r>
    </w:p>
    <w:p w14:paraId="1AABC810">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sz w:val="22"/>
          <w:szCs w:val="22"/>
          <w:highlight w:val="none"/>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w:t>
      </w:r>
    </w:p>
    <w:p w14:paraId="67D5286D">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sz w:val="22"/>
          <w:szCs w:val="22"/>
          <w:highlight w:val="none"/>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以上企业，不属于大企业的分支机构，不存在控股股东为大企业的情形，也不存在与大企业的负责人为同一人的情形。</w:t>
      </w:r>
    </w:p>
    <w:p w14:paraId="5B67FFD3">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sz w:val="22"/>
          <w:szCs w:val="22"/>
          <w:highlight w:val="none"/>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本企业对上述声明内容的真实性负责。如有虚假，将依法承担相应责任。</w:t>
      </w:r>
    </w:p>
    <w:p w14:paraId="632B58CA">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sz w:val="22"/>
          <w:szCs w:val="22"/>
          <w:highlight w:val="none"/>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 </w:t>
      </w:r>
    </w:p>
    <w:p w14:paraId="170FD22A">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sz w:val="22"/>
          <w:szCs w:val="22"/>
          <w:highlight w:val="none"/>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 </w:t>
      </w:r>
    </w:p>
    <w:p w14:paraId="1ECF4CA1">
      <w:pPr>
        <w:keepNext w:val="0"/>
        <w:keepLines w:val="0"/>
        <w:widowControl/>
        <w:suppressLineNumbers w:val="0"/>
        <w:shd w:val="clear" w:color="auto" w:fill="auto"/>
        <w:spacing w:before="0" w:beforeAutospacing="1" w:after="0" w:afterAutospacing="1" w:line="348" w:lineRule="atLeast"/>
        <w:ind w:left="0" w:right="0" w:firstLine="4224"/>
        <w:jc w:val="left"/>
        <w:rPr>
          <w:rFonts w:hint="eastAsia" w:ascii="微软雅黑" w:hAnsi="微软雅黑" w:eastAsia="微软雅黑" w:cs="微软雅黑"/>
          <w:i w:val="0"/>
          <w:iCs w:val="0"/>
          <w:caps w:val="0"/>
          <w:color w:val="auto"/>
          <w:spacing w:val="0"/>
          <w:sz w:val="22"/>
          <w:szCs w:val="22"/>
          <w:highlight w:val="none"/>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企业名称（盖章）：</w:t>
      </w:r>
    </w:p>
    <w:p w14:paraId="57ADEB5E">
      <w:pPr>
        <w:keepNext w:val="0"/>
        <w:keepLines w:val="0"/>
        <w:widowControl/>
        <w:suppressLineNumbers w:val="0"/>
        <w:shd w:val="clear" w:color="auto" w:fill="auto"/>
        <w:spacing w:before="0" w:beforeAutospacing="1" w:after="0" w:afterAutospacing="1" w:line="348" w:lineRule="atLeast"/>
        <w:ind w:left="0" w:right="0" w:firstLine="4224"/>
        <w:jc w:val="left"/>
        <w:rPr>
          <w:rFonts w:hint="eastAsia" w:ascii="微软雅黑" w:hAnsi="微软雅黑" w:eastAsia="微软雅黑" w:cs="微软雅黑"/>
          <w:i w:val="0"/>
          <w:iCs w:val="0"/>
          <w:caps w:val="0"/>
          <w:color w:val="auto"/>
          <w:spacing w:val="0"/>
          <w:sz w:val="22"/>
          <w:szCs w:val="22"/>
          <w:highlight w:val="none"/>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日 期：</w:t>
      </w:r>
    </w:p>
    <w:p w14:paraId="273CC85C">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b/>
          <w:bCs/>
          <w:color w:val="auto"/>
          <w:kern w:val="0"/>
          <w:sz w:val="28"/>
          <w:szCs w:val="28"/>
          <w:highlight w:val="none"/>
          <w:lang w:val="en-US" w:eastAsia="zh-CN"/>
        </w:rPr>
        <w:t>本项目所属行业为</w:t>
      </w:r>
      <w:r>
        <w:rPr>
          <w:rFonts w:hint="eastAsia" w:ascii="微软雅黑" w:hAnsi="微软雅黑" w:eastAsia="微软雅黑" w:cs="微软雅黑"/>
          <w:b/>
          <w:bCs/>
          <w:color w:val="FF0000"/>
          <w:kern w:val="0"/>
          <w:sz w:val="28"/>
          <w:szCs w:val="28"/>
          <w:highlight w:val="none"/>
          <w:lang w:val="en-US" w:eastAsia="zh-CN"/>
        </w:rPr>
        <w:t>工业</w:t>
      </w:r>
      <w:r>
        <w:rPr>
          <w:rFonts w:hint="eastAsia" w:ascii="微软雅黑" w:hAnsi="微软雅黑" w:eastAsia="微软雅黑" w:cs="微软雅黑"/>
          <w:b/>
          <w:bCs/>
          <w:color w:val="auto"/>
          <w:kern w:val="0"/>
          <w:sz w:val="28"/>
          <w:szCs w:val="28"/>
          <w:highlight w:val="none"/>
          <w:lang w:val="en-US" w:eastAsia="zh-CN"/>
        </w:rPr>
        <w:t>。</w:t>
      </w:r>
    </w:p>
    <w:p w14:paraId="4ABDE969">
      <w:pPr>
        <w:rPr>
          <w:rFonts w:hint="eastAsia" w:ascii="微软雅黑" w:hAnsi="微软雅黑" w:eastAsia="微软雅黑" w:cs="微软雅黑"/>
          <w:b/>
          <w:bCs/>
          <w:color w:val="auto"/>
          <w:sz w:val="22"/>
          <w:szCs w:val="22"/>
          <w:highlight w:val="none"/>
          <w:lang w:eastAsia="zh-CN"/>
        </w:rPr>
      </w:pPr>
      <w:r>
        <w:rPr>
          <w:rFonts w:hint="eastAsia" w:ascii="微软雅黑" w:hAnsi="微软雅黑" w:eastAsia="微软雅黑" w:cs="微软雅黑"/>
          <w:b/>
          <w:bCs/>
          <w:color w:val="auto"/>
          <w:sz w:val="22"/>
          <w:szCs w:val="22"/>
          <w:highlight w:val="none"/>
          <w:lang w:val="en-US" w:eastAsia="zh-CN"/>
        </w:rPr>
        <w:t>注：</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1</w:t>
      </w:r>
      <w:r>
        <w:rPr>
          <w:rFonts w:hint="eastAsia" w:ascii="微软雅黑" w:hAnsi="微软雅黑" w:eastAsia="微软雅黑" w:cs="微软雅黑"/>
          <w:b/>
          <w:bCs/>
          <w:color w:val="auto"/>
          <w:sz w:val="22"/>
          <w:szCs w:val="22"/>
          <w:highlight w:val="none"/>
          <w:lang w:eastAsia="zh-CN"/>
        </w:rPr>
        <w:t>）从业人员、营业收入、资产总额填报上一年度数据，无上一年度数据的新成立企业可不填报。</w:t>
      </w:r>
    </w:p>
    <w:p w14:paraId="08F8126C">
      <w:pPr>
        <w:rPr>
          <w:rFonts w:hint="eastAsia" w:ascii="微软雅黑" w:hAnsi="微软雅黑" w:eastAsia="微软雅黑" w:cs="微软雅黑"/>
          <w:b/>
          <w:bCs/>
          <w:color w:val="auto"/>
          <w:kern w:val="0"/>
          <w:sz w:val="22"/>
          <w:szCs w:val="22"/>
          <w:highlight w:val="none"/>
          <w:lang w:eastAsia="zh-CN"/>
        </w:rPr>
      </w:pP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2</w:t>
      </w:r>
      <w:r>
        <w:rPr>
          <w:rFonts w:hint="eastAsia" w:ascii="微软雅黑" w:hAnsi="微软雅黑" w:eastAsia="微软雅黑" w:cs="微软雅黑"/>
          <w:b/>
          <w:bCs/>
          <w:color w:val="auto"/>
          <w:sz w:val="22"/>
          <w:szCs w:val="22"/>
          <w:highlight w:val="none"/>
          <w:lang w:eastAsia="zh-CN"/>
        </w:rPr>
        <w:t>）投标产品的</w:t>
      </w:r>
      <w:r>
        <w:rPr>
          <w:rFonts w:hint="eastAsia" w:ascii="微软雅黑" w:hAnsi="微软雅黑" w:eastAsia="微软雅黑" w:cs="微软雅黑"/>
          <w:b/>
          <w:bCs/>
          <w:color w:val="auto"/>
          <w:sz w:val="22"/>
          <w:szCs w:val="22"/>
          <w:highlight w:val="none"/>
          <w:lang w:val="en-US" w:eastAsia="zh-CN"/>
        </w:rPr>
        <w:t>制造商</w:t>
      </w:r>
      <w:r>
        <w:rPr>
          <w:rFonts w:hint="eastAsia" w:ascii="微软雅黑" w:hAnsi="微软雅黑" w:eastAsia="微软雅黑" w:cs="微软雅黑"/>
          <w:b/>
          <w:bCs/>
          <w:color w:val="auto"/>
          <w:sz w:val="22"/>
          <w:szCs w:val="22"/>
          <w:highlight w:val="none"/>
          <w:lang w:eastAsia="zh-CN"/>
        </w:rPr>
        <w:t>属于中小微企业的，潜在投标企业请在投标文件中提供“中小企业声明函”，如果未提供或提供虛假的“中小企业声明函”，投标企业将承担由此造成的一切不利后果。</w:t>
      </w:r>
    </w:p>
    <w:p w14:paraId="6EC67DB0">
      <w:pPr>
        <w:rPr>
          <w:rFonts w:hint="eastAsia" w:ascii="微软雅黑" w:hAnsi="微软雅黑" w:eastAsia="微软雅黑" w:cs="微软雅黑"/>
          <w:b/>
          <w:bCs/>
          <w:color w:val="auto"/>
          <w:kern w:val="0"/>
          <w:sz w:val="24"/>
          <w:szCs w:val="24"/>
          <w:highlight w:val="none"/>
        </w:rPr>
      </w:pPr>
      <w:r>
        <w:rPr>
          <w:rFonts w:hint="eastAsia" w:ascii="微软雅黑" w:hAnsi="微软雅黑" w:eastAsia="微软雅黑" w:cs="微软雅黑"/>
          <w:b/>
          <w:bCs/>
          <w:color w:val="auto"/>
          <w:kern w:val="0"/>
          <w:sz w:val="24"/>
          <w:szCs w:val="24"/>
          <w:highlight w:val="none"/>
        </w:rPr>
        <w:br w:type="page"/>
      </w:r>
    </w:p>
    <w:p w14:paraId="7F8567F1">
      <w:pPr>
        <w:jc w:val="center"/>
        <w:rPr>
          <w:rFonts w:hint="eastAsia" w:ascii="微软雅黑" w:hAnsi="微软雅黑" w:eastAsia="微软雅黑" w:cs="微软雅黑"/>
          <w:b/>
          <w:bCs/>
          <w:color w:val="auto"/>
          <w:kern w:val="0"/>
          <w:sz w:val="24"/>
          <w:szCs w:val="24"/>
          <w:highlight w:val="none"/>
        </w:rPr>
      </w:pPr>
      <w:r>
        <w:rPr>
          <w:rFonts w:hint="eastAsia" w:ascii="微软雅黑" w:hAnsi="微软雅黑" w:eastAsia="微软雅黑" w:cs="微软雅黑"/>
          <w:b/>
          <w:bCs/>
          <w:color w:val="auto"/>
          <w:kern w:val="0"/>
          <w:sz w:val="24"/>
          <w:szCs w:val="24"/>
          <w:highlight w:val="none"/>
        </w:rPr>
        <w:t>中小微企业划型标准</w:t>
      </w:r>
    </w:p>
    <w:tbl>
      <w:tblPr>
        <w:tblStyle w:val="31"/>
        <w:tblW w:w="9378" w:type="dxa"/>
        <w:jc w:val="center"/>
        <w:tblLayout w:type="fixed"/>
        <w:tblCellMar>
          <w:top w:w="0" w:type="dxa"/>
          <w:left w:w="108" w:type="dxa"/>
          <w:bottom w:w="0" w:type="dxa"/>
          <w:right w:w="108" w:type="dxa"/>
        </w:tblCellMar>
      </w:tblPr>
      <w:tblGrid>
        <w:gridCol w:w="1570"/>
        <w:gridCol w:w="1660"/>
        <w:gridCol w:w="1466"/>
        <w:gridCol w:w="1903"/>
        <w:gridCol w:w="1692"/>
        <w:gridCol w:w="1087"/>
      </w:tblGrid>
      <w:tr w14:paraId="4FFC7841">
        <w:tblPrEx>
          <w:tblCellMar>
            <w:top w:w="0" w:type="dxa"/>
            <w:left w:w="108" w:type="dxa"/>
            <w:bottom w:w="0" w:type="dxa"/>
            <w:right w:w="108" w:type="dxa"/>
          </w:tblCellMar>
        </w:tblPrEx>
        <w:trPr>
          <w:trHeight w:val="252" w:hRule="atLeast"/>
          <w:jc w:val="center"/>
        </w:trPr>
        <w:tc>
          <w:tcPr>
            <w:tcW w:w="1570" w:type="dxa"/>
            <w:tcBorders>
              <w:top w:val="single" w:color="auto" w:sz="4" w:space="0"/>
              <w:left w:val="single" w:color="auto" w:sz="4" w:space="0"/>
              <w:bottom w:val="single" w:color="auto" w:sz="4" w:space="0"/>
              <w:right w:val="single" w:color="auto" w:sz="4" w:space="0"/>
            </w:tcBorders>
            <w:noWrap w:val="0"/>
            <w:vAlign w:val="center"/>
          </w:tcPr>
          <w:p w14:paraId="6BFC3FD8">
            <w:pPr>
              <w:widowControl/>
              <w:snapToGrid w:val="0"/>
              <w:contextualSpacing/>
              <w:jc w:val="center"/>
              <w:rPr>
                <w:rFonts w:hint="eastAsia" w:ascii="微软雅黑" w:hAnsi="微软雅黑" w:eastAsia="微软雅黑" w:cs="微软雅黑"/>
                <w:b/>
                <w:color w:val="auto"/>
                <w:kern w:val="0"/>
                <w:sz w:val="22"/>
                <w:szCs w:val="22"/>
                <w:highlight w:val="none"/>
              </w:rPr>
            </w:pPr>
            <w:r>
              <w:rPr>
                <w:rFonts w:hint="eastAsia" w:ascii="微软雅黑" w:hAnsi="微软雅黑" w:eastAsia="微软雅黑" w:cs="微软雅黑"/>
                <w:b/>
                <w:color w:val="auto"/>
                <w:kern w:val="0"/>
                <w:sz w:val="22"/>
                <w:szCs w:val="22"/>
                <w:highlight w:val="none"/>
              </w:rPr>
              <w:t>行业名称</w:t>
            </w:r>
          </w:p>
        </w:tc>
        <w:tc>
          <w:tcPr>
            <w:tcW w:w="1660" w:type="dxa"/>
            <w:tcBorders>
              <w:top w:val="single" w:color="auto" w:sz="4" w:space="0"/>
              <w:left w:val="nil"/>
              <w:bottom w:val="single" w:color="auto" w:sz="4" w:space="0"/>
              <w:right w:val="single" w:color="auto" w:sz="4" w:space="0"/>
            </w:tcBorders>
            <w:noWrap w:val="0"/>
            <w:vAlign w:val="center"/>
          </w:tcPr>
          <w:p w14:paraId="395F2A9E">
            <w:pPr>
              <w:widowControl/>
              <w:snapToGrid w:val="0"/>
              <w:contextualSpacing/>
              <w:jc w:val="center"/>
              <w:rPr>
                <w:rFonts w:hint="eastAsia" w:ascii="微软雅黑" w:hAnsi="微软雅黑" w:eastAsia="微软雅黑" w:cs="微软雅黑"/>
                <w:b/>
                <w:color w:val="auto"/>
                <w:kern w:val="0"/>
                <w:sz w:val="22"/>
                <w:szCs w:val="22"/>
                <w:highlight w:val="none"/>
              </w:rPr>
            </w:pPr>
            <w:r>
              <w:rPr>
                <w:rFonts w:hint="eastAsia" w:ascii="微软雅黑" w:hAnsi="微软雅黑" w:eastAsia="微软雅黑" w:cs="微软雅黑"/>
                <w:b/>
                <w:color w:val="auto"/>
                <w:kern w:val="0"/>
                <w:sz w:val="22"/>
                <w:szCs w:val="22"/>
                <w:highlight w:val="none"/>
              </w:rPr>
              <w:t>指标名称</w:t>
            </w:r>
          </w:p>
        </w:tc>
        <w:tc>
          <w:tcPr>
            <w:tcW w:w="1466" w:type="dxa"/>
            <w:tcBorders>
              <w:top w:val="single" w:color="auto" w:sz="4" w:space="0"/>
              <w:left w:val="nil"/>
              <w:bottom w:val="single" w:color="auto" w:sz="4" w:space="0"/>
              <w:right w:val="single" w:color="auto" w:sz="4" w:space="0"/>
            </w:tcBorders>
            <w:noWrap w:val="0"/>
            <w:vAlign w:val="center"/>
          </w:tcPr>
          <w:p w14:paraId="08AB9E23">
            <w:pPr>
              <w:widowControl/>
              <w:snapToGrid w:val="0"/>
              <w:contextualSpacing/>
              <w:jc w:val="center"/>
              <w:rPr>
                <w:rFonts w:hint="eastAsia" w:ascii="微软雅黑" w:hAnsi="微软雅黑" w:eastAsia="微软雅黑" w:cs="微软雅黑"/>
                <w:b/>
                <w:color w:val="auto"/>
                <w:kern w:val="0"/>
                <w:sz w:val="22"/>
                <w:szCs w:val="22"/>
                <w:highlight w:val="none"/>
              </w:rPr>
            </w:pPr>
            <w:r>
              <w:rPr>
                <w:rFonts w:hint="eastAsia" w:ascii="微软雅黑" w:hAnsi="微软雅黑" w:eastAsia="微软雅黑" w:cs="微软雅黑"/>
                <w:b/>
                <w:color w:val="auto"/>
                <w:kern w:val="0"/>
                <w:sz w:val="22"/>
                <w:szCs w:val="22"/>
                <w:highlight w:val="none"/>
              </w:rPr>
              <w:t>计量单位</w:t>
            </w:r>
          </w:p>
        </w:tc>
        <w:tc>
          <w:tcPr>
            <w:tcW w:w="1903" w:type="dxa"/>
            <w:tcBorders>
              <w:top w:val="single" w:color="auto" w:sz="4" w:space="0"/>
              <w:left w:val="nil"/>
              <w:bottom w:val="single" w:color="auto" w:sz="4" w:space="0"/>
              <w:right w:val="single" w:color="auto" w:sz="4" w:space="0"/>
            </w:tcBorders>
            <w:noWrap w:val="0"/>
            <w:vAlign w:val="center"/>
          </w:tcPr>
          <w:p w14:paraId="7202B9C4">
            <w:pPr>
              <w:widowControl/>
              <w:snapToGrid w:val="0"/>
              <w:contextualSpacing/>
              <w:jc w:val="center"/>
              <w:rPr>
                <w:rFonts w:hint="eastAsia" w:ascii="微软雅黑" w:hAnsi="微软雅黑" w:eastAsia="微软雅黑" w:cs="微软雅黑"/>
                <w:b/>
                <w:color w:val="auto"/>
                <w:kern w:val="0"/>
                <w:sz w:val="22"/>
                <w:szCs w:val="22"/>
                <w:highlight w:val="none"/>
              </w:rPr>
            </w:pPr>
            <w:r>
              <w:rPr>
                <w:rFonts w:hint="eastAsia" w:ascii="微软雅黑" w:hAnsi="微软雅黑" w:eastAsia="微软雅黑" w:cs="微软雅黑"/>
                <w:b/>
                <w:color w:val="auto"/>
                <w:kern w:val="0"/>
                <w:sz w:val="22"/>
                <w:szCs w:val="22"/>
                <w:highlight w:val="none"/>
              </w:rPr>
              <w:t>中型</w:t>
            </w:r>
          </w:p>
        </w:tc>
        <w:tc>
          <w:tcPr>
            <w:tcW w:w="1692" w:type="dxa"/>
            <w:tcBorders>
              <w:top w:val="single" w:color="auto" w:sz="4" w:space="0"/>
              <w:left w:val="nil"/>
              <w:bottom w:val="single" w:color="auto" w:sz="4" w:space="0"/>
              <w:right w:val="single" w:color="auto" w:sz="4" w:space="0"/>
            </w:tcBorders>
            <w:noWrap w:val="0"/>
            <w:vAlign w:val="center"/>
          </w:tcPr>
          <w:p w14:paraId="7AFCF476">
            <w:pPr>
              <w:widowControl/>
              <w:snapToGrid w:val="0"/>
              <w:contextualSpacing/>
              <w:jc w:val="center"/>
              <w:rPr>
                <w:rFonts w:hint="eastAsia" w:ascii="微软雅黑" w:hAnsi="微软雅黑" w:eastAsia="微软雅黑" w:cs="微软雅黑"/>
                <w:b/>
                <w:color w:val="auto"/>
                <w:kern w:val="0"/>
                <w:sz w:val="22"/>
                <w:szCs w:val="22"/>
                <w:highlight w:val="none"/>
              </w:rPr>
            </w:pPr>
            <w:r>
              <w:rPr>
                <w:rFonts w:hint="eastAsia" w:ascii="微软雅黑" w:hAnsi="微软雅黑" w:eastAsia="微软雅黑" w:cs="微软雅黑"/>
                <w:b/>
                <w:color w:val="auto"/>
                <w:kern w:val="0"/>
                <w:sz w:val="22"/>
                <w:szCs w:val="22"/>
                <w:highlight w:val="none"/>
              </w:rPr>
              <w:t>小型</w:t>
            </w:r>
          </w:p>
        </w:tc>
        <w:tc>
          <w:tcPr>
            <w:tcW w:w="1087" w:type="dxa"/>
            <w:tcBorders>
              <w:top w:val="single" w:color="auto" w:sz="4" w:space="0"/>
              <w:left w:val="nil"/>
              <w:bottom w:val="single" w:color="auto" w:sz="4" w:space="0"/>
              <w:right w:val="single" w:color="auto" w:sz="4" w:space="0"/>
            </w:tcBorders>
            <w:noWrap w:val="0"/>
            <w:vAlign w:val="center"/>
          </w:tcPr>
          <w:p w14:paraId="6D9B8146">
            <w:pPr>
              <w:widowControl/>
              <w:snapToGrid w:val="0"/>
              <w:contextualSpacing/>
              <w:jc w:val="center"/>
              <w:rPr>
                <w:rFonts w:hint="eastAsia" w:ascii="微软雅黑" w:hAnsi="微软雅黑" w:eastAsia="微软雅黑" w:cs="微软雅黑"/>
                <w:b/>
                <w:color w:val="auto"/>
                <w:kern w:val="0"/>
                <w:sz w:val="22"/>
                <w:szCs w:val="22"/>
                <w:highlight w:val="none"/>
              </w:rPr>
            </w:pPr>
            <w:r>
              <w:rPr>
                <w:rFonts w:hint="eastAsia" w:ascii="微软雅黑" w:hAnsi="微软雅黑" w:eastAsia="微软雅黑" w:cs="微软雅黑"/>
                <w:b/>
                <w:color w:val="auto"/>
                <w:kern w:val="0"/>
                <w:sz w:val="22"/>
                <w:szCs w:val="22"/>
                <w:highlight w:val="none"/>
              </w:rPr>
              <w:t>微型</w:t>
            </w:r>
          </w:p>
        </w:tc>
      </w:tr>
      <w:tr w14:paraId="6308E7F6">
        <w:tblPrEx>
          <w:tblCellMar>
            <w:top w:w="0" w:type="dxa"/>
            <w:left w:w="108" w:type="dxa"/>
            <w:bottom w:w="0" w:type="dxa"/>
            <w:right w:w="108" w:type="dxa"/>
          </w:tblCellMar>
        </w:tblPrEx>
        <w:trPr>
          <w:trHeight w:val="199" w:hRule="atLeast"/>
          <w:jc w:val="center"/>
        </w:trPr>
        <w:tc>
          <w:tcPr>
            <w:tcW w:w="1570" w:type="dxa"/>
            <w:tcBorders>
              <w:top w:val="nil"/>
              <w:left w:val="single" w:color="auto" w:sz="4" w:space="0"/>
              <w:bottom w:val="single" w:color="auto" w:sz="4" w:space="0"/>
              <w:right w:val="single" w:color="auto" w:sz="4" w:space="0"/>
            </w:tcBorders>
            <w:noWrap w:val="0"/>
            <w:vAlign w:val="center"/>
          </w:tcPr>
          <w:p w14:paraId="6D1094F1">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农、林、牧、渔</w:t>
            </w:r>
          </w:p>
        </w:tc>
        <w:tc>
          <w:tcPr>
            <w:tcW w:w="1660" w:type="dxa"/>
            <w:tcBorders>
              <w:top w:val="nil"/>
              <w:left w:val="nil"/>
              <w:bottom w:val="single" w:color="auto" w:sz="4" w:space="0"/>
              <w:right w:val="single" w:color="auto" w:sz="4" w:space="0"/>
            </w:tcBorders>
            <w:noWrap w:val="0"/>
            <w:vAlign w:val="center"/>
          </w:tcPr>
          <w:p w14:paraId="51365FCF">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营业收入（Y）</w:t>
            </w:r>
          </w:p>
        </w:tc>
        <w:tc>
          <w:tcPr>
            <w:tcW w:w="1466" w:type="dxa"/>
            <w:tcBorders>
              <w:top w:val="nil"/>
              <w:left w:val="nil"/>
              <w:bottom w:val="single" w:color="auto" w:sz="4" w:space="0"/>
              <w:right w:val="single" w:color="auto" w:sz="4" w:space="0"/>
            </w:tcBorders>
            <w:noWrap w:val="0"/>
            <w:vAlign w:val="center"/>
          </w:tcPr>
          <w:p w14:paraId="3E0F3F43">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2E0DDA35">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500≤Y＜20000</w:t>
            </w:r>
          </w:p>
        </w:tc>
        <w:tc>
          <w:tcPr>
            <w:tcW w:w="1692" w:type="dxa"/>
            <w:tcBorders>
              <w:top w:val="nil"/>
              <w:left w:val="nil"/>
              <w:bottom w:val="single" w:color="auto" w:sz="4" w:space="0"/>
              <w:right w:val="single" w:color="auto" w:sz="4" w:space="0"/>
            </w:tcBorders>
            <w:noWrap w:val="0"/>
            <w:vAlign w:val="center"/>
          </w:tcPr>
          <w:p w14:paraId="41C6DE58">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50≤Y＜500</w:t>
            </w:r>
          </w:p>
        </w:tc>
        <w:tc>
          <w:tcPr>
            <w:tcW w:w="1087" w:type="dxa"/>
            <w:tcBorders>
              <w:top w:val="nil"/>
              <w:left w:val="nil"/>
              <w:bottom w:val="single" w:color="auto" w:sz="4" w:space="0"/>
              <w:right w:val="single" w:color="auto" w:sz="4" w:space="0"/>
            </w:tcBorders>
            <w:noWrap w:val="0"/>
            <w:vAlign w:val="center"/>
          </w:tcPr>
          <w:p w14:paraId="12A3BC14">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Y＜50</w:t>
            </w:r>
          </w:p>
        </w:tc>
      </w:tr>
      <w:tr w14:paraId="466A6790">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4016F7B1">
            <w:pPr>
              <w:widowControl/>
              <w:snapToGrid w:val="0"/>
              <w:contextualSpacing/>
              <w:jc w:val="center"/>
              <w:rPr>
                <w:rFonts w:hint="eastAsia" w:ascii="微软雅黑" w:hAnsi="微软雅黑" w:eastAsia="微软雅黑" w:cs="微软雅黑"/>
                <w:b/>
                <w:bCs/>
                <w:color w:val="FF0000"/>
                <w:kern w:val="0"/>
                <w:sz w:val="22"/>
                <w:szCs w:val="22"/>
                <w:highlight w:val="none"/>
              </w:rPr>
            </w:pPr>
            <w:r>
              <w:rPr>
                <w:rFonts w:hint="eastAsia" w:ascii="微软雅黑" w:hAnsi="微软雅黑" w:eastAsia="微软雅黑" w:cs="微软雅黑"/>
                <w:b/>
                <w:bCs/>
                <w:color w:val="FF0000"/>
                <w:kern w:val="0"/>
                <w:sz w:val="22"/>
                <w:szCs w:val="22"/>
                <w:highlight w:val="none"/>
              </w:rPr>
              <w:t>工业</w:t>
            </w:r>
          </w:p>
        </w:tc>
        <w:tc>
          <w:tcPr>
            <w:tcW w:w="1660" w:type="dxa"/>
            <w:tcBorders>
              <w:top w:val="nil"/>
              <w:left w:val="nil"/>
              <w:bottom w:val="single" w:color="auto" w:sz="4" w:space="0"/>
              <w:right w:val="single" w:color="auto" w:sz="4" w:space="0"/>
            </w:tcBorders>
            <w:noWrap w:val="0"/>
            <w:vAlign w:val="center"/>
          </w:tcPr>
          <w:p w14:paraId="6E1C34DE">
            <w:pPr>
              <w:widowControl/>
              <w:snapToGrid w:val="0"/>
              <w:contextualSpacing/>
              <w:jc w:val="center"/>
              <w:rPr>
                <w:rFonts w:hint="eastAsia" w:ascii="微软雅黑" w:hAnsi="微软雅黑" w:eastAsia="微软雅黑" w:cs="微软雅黑"/>
                <w:color w:val="FF0000"/>
                <w:kern w:val="0"/>
                <w:sz w:val="22"/>
                <w:szCs w:val="22"/>
                <w:highlight w:val="none"/>
              </w:rPr>
            </w:pPr>
            <w:r>
              <w:rPr>
                <w:rFonts w:hint="eastAsia" w:ascii="微软雅黑" w:hAnsi="微软雅黑" w:eastAsia="微软雅黑" w:cs="微软雅黑"/>
                <w:color w:val="FF0000"/>
                <w:kern w:val="0"/>
                <w:sz w:val="22"/>
                <w:szCs w:val="22"/>
                <w:highlight w:val="none"/>
              </w:rPr>
              <w:t>从业人员（X）</w:t>
            </w:r>
          </w:p>
        </w:tc>
        <w:tc>
          <w:tcPr>
            <w:tcW w:w="1466" w:type="dxa"/>
            <w:tcBorders>
              <w:top w:val="nil"/>
              <w:left w:val="nil"/>
              <w:bottom w:val="single" w:color="auto" w:sz="4" w:space="0"/>
              <w:right w:val="single" w:color="auto" w:sz="4" w:space="0"/>
            </w:tcBorders>
            <w:noWrap w:val="0"/>
            <w:vAlign w:val="center"/>
          </w:tcPr>
          <w:p w14:paraId="6CB6AD86">
            <w:pPr>
              <w:widowControl/>
              <w:snapToGrid w:val="0"/>
              <w:contextualSpacing/>
              <w:jc w:val="center"/>
              <w:rPr>
                <w:rFonts w:hint="eastAsia" w:ascii="微软雅黑" w:hAnsi="微软雅黑" w:eastAsia="微软雅黑" w:cs="微软雅黑"/>
                <w:color w:val="FF0000"/>
                <w:kern w:val="0"/>
                <w:sz w:val="22"/>
                <w:szCs w:val="22"/>
                <w:highlight w:val="none"/>
              </w:rPr>
            </w:pPr>
            <w:r>
              <w:rPr>
                <w:rFonts w:hint="eastAsia" w:ascii="微软雅黑" w:hAnsi="微软雅黑" w:eastAsia="微软雅黑" w:cs="微软雅黑"/>
                <w:color w:val="FF0000"/>
                <w:kern w:val="0"/>
                <w:sz w:val="22"/>
                <w:szCs w:val="22"/>
                <w:highlight w:val="none"/>
              </w:rPr>
              <w:t>人</w:t>
            </w:r>
          </w:p>
        </w:tc>
        <w:tc>
          <w:tcPr>
            <w:tcW w:w="1903" w:type="dxa"/>
            <w:tcBorders>
              <w:top w:val="nil"/>
              <w:left w:val="nil"/>
              <w:bottom w:val="single" w:color="auto" w:sz="4" w:space="0"/>
              <w:right w:val="single" w:color="auto" w:sz="4" w:space="0"/>
            </w:tcBorders>
            <w:noWrap w:val="0"/>
            <w:vAlign w:val="center"/>
          </w:tcPr>
          <w:p w14:paraId="742FE2ED">
            <w:pPr>
              <w:widowControl/>
              <w:snapToGrid w:val="0"/>
              <w:contextualSpacing/>
              <w:jc w:val="center"/>
              <w:rPr>
                <w:rFonts w:hint="eastAsia" w:ascii="微软雅黑" w:hAnsi="微软雅黑" w:eastAsia="微软雅黑" w:cs="微软雅黑"/>
                <w:color w:val="FF0000"/>
                <w:kern w:val="0"/>
                <w:sz w:val="22"/>
                <w:szCs w:val="22"/>
                <w:highlight w:val="none"/>
              </w:rPr>
            </w:pPr>
            <w:r>
              <w:rPr>
                <w:rFonts w:hint="eastAsia" w:ascii="微软雅黑" w:hAnsi="微软雅黑" w:eastAsia="微软雅黑" w:cs="微软雅黑"/>
                <w:color w:val="FF0000"/>
                <w:kern w:val="0"/>
                <w:sz w:val="22"/>
                <w:szCs w:val="22"/>
                <w:highlight w:val="none"/>
              </w:rPr>
              <w:t>300≤X＜1000</w:t>
            </w:r>
          </w:p>
        </w:tc>
        <w:tc>
          <w:tcPr>
            <w:tcW w:w="1692" w:type="dxa"/>
            <w:tcBorders>
              <w:top w:val="nil"/>
              <w:left w:val="nil"/>
              <w:bottom w:val="single" w:color="auto" w:sz="4" w:space="0"/>
              <w:right w:val="single" w:color="auto" w:sz="4" w:space="0"/>
            </w:tcBorders>
            <w:noWrap w:val="0"/>
            <w:vAlign w:val="center"/>
          </w:tcPr>
          <w:p w14:paraId="09466D32">
            <w:pPr>
              <w:widowControl/>
              <w:snapToGrid w:val="0"/>
              <w:contextualSpacing/>
              <w:jc w:val="center"/>
              <w:rPr>
                <w:rFonts w:hint="eastAsia" w:ascii="微软雅黑" w:hAnsi="微软雅黑" w:eastAsia="微软雅黑" w:cs="微软雅黑"/>
                <w:color w:val="FF0000"/>
                <w:kern w:val="0"/>
                <w:sz w:val="22"/>
                <w:szCs w:val="22"/>
                <w:highlight w:val="none"/>
              </w:rPr>
            </w:pPr>
            <w:r>
              <w:rPr>
                <w:rFonts w:hint="eastAsia" w:ascii="微软雅黑" w:hAnsi="微软雅黑" w:eastAsia="微软雅黑" w:cs="微软雅黑"/>
                <w:color w:val="FF0000"/>
                <w:kern w:val="0"/>
                <w:sz w:val="22"/>
                <w:szCs w:val="22"/>
                <w:highlight w:val="none"/>
              </w:rPr>
              <w:t>20≤X＜300</w:t>
            </w:r>
          </w:p>
        </w:tc>
        <w:tc>
          <w:tcPr>
            <w:tcW w:w="1087" w:type="dxa"/>
            <w:tcBorders>
              <w:top w:val="nil"/>
              <w:left w:val="nil"/>
              <w:bottom w:val="single" w:color="auto" w:sz="4" w:space="0"/>
              <w:right w:val="single" w:color="auto" w:sz="4" w:space="0"/>
            </w:tcBorders>
            <w:noWrap w:val="0"/>
            <w:vAlign w:val="center"/>
          </w:tcPr>
          <w:p w14:paraId="44CFD4AE">
            <w:pPr>
              <w:widowControl/>
              <w:snapToGrid w:val="0"/>
              <w:contextualSpacing/>
              <w:jc w:val="center"/>
              <w:rPr>
                <w:rFonts w:hint="eastAsia" w:ascii="微软雅黑" w:hAnsi="微软雅黑" w:eastAsia="微软雅黑" w:cs="微软雅黑"/>
                <w:color w:val="FF0000"/>
                <w:kern w:val="0"/>
                <w:sz w:val="22"/>
                <w:szCs w:val="22"/>
                <w:highlight w:val="none"/>
              </w:rPr>
            </w:pPr>
            <w:r>
              <w:rPr>
                <w:rFonts w:hint="eastAsia" w:ascii="微软雅黑" w:hAnsi="微软雅黑" w:eastAsia="微软雅黑" w:cs="微软雅黑"/>
                <w:color w:val="FF0000"/>
                <w:kern w:val="0"/>
                <w:sz w:val="22"/>
                <w:szCs w:val="22"/>
                <w:highlight w:val="none"/>
              </w:rPr>
              <w:t>X＜20</w:t>
            </w:r>
          </w:p>
        </w:tc>
      </w:tr>
      <w:tr w14:paraId="304B8DB6">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1D32B1E8">
            <w:pPr>
              <w:widowControl/>
              <w:snapToGrid w:val="0"/>
              <w:contextualSpacing/>
              <w:jc w:val="center"/>
              <w:rPr>
                <w:rFonts w:hint="eastAsia" w:ascii="微软雅黑" w:hAnsi="微软雅黑" w:eastAsia="微软雅黑" w:cs="微软雅黑"/>
                <w:b/>
                <w:bCs/>
                <w:color w:val="FF0000"/>
                <w:kern w:val="0"/>
                <w:sz w:val="22"/>
                <w:szCs w:val="22"/>
                <w:highlight w:val="none"/>
              </w:rPr>
            </w:pPr>
          </w:p>
        </w:tc>
        <w:tc>
          <w:tcPr>
            <w:tcW w:w="1660" w:type="dxa"/>
            <w:tcBorders>
              <w:top w:val="nil"/>
              <w:left w:val="nil"/>
              <w:bottom w:val="single" w:color="auto" w:sz="4" w:space="0"/>
              <w:right w:val="single" w:color="auto" w:sz="4" w:space="0"/>
            </w:tcBorders>
            <w:noWrap w:val="0"/>
            <w:vAlign w:val="center"/>
          </w:tcPr>
          <w:p w14:paraId="7AA8591E">
            <w:pPr>
              <w:widowControl/>
              <w:snapToGrid w:val="0"/>
              <w:contextualSpacing/>
              <w:jc w:val="center"/>
              <w:rPr>
                <w:rFonts w:hint="eastAsia" w:ascii="微软雅黑" w:hAnsi="微软雅黑" w:eastAsia="微软雅黑" w:cs="微软雅黑"/>
                <w:color w:val="FF0000"/>
                <w:kern w:val="0"/>
                <w:sz w:val="22"/>
                <w:szCs w:val="22"/>
                <w:highlight w:val="none"/>
              </w:rPr>
            </w:pPr>
            <w:r>
              <w:rPr>
                <w:rFonts w:hint="eastAsia" w:ascii="微软雅黑" w:hAnsi="微软雅黑" w:eastAsia="微软雅黑" w:cs="微软雅黑"/>
                <w:color w:val="FF0000"/>
                <w:kern w:val="0"/>
                <w:sz w:val="22"/>
                <w:szCs w:val="22"/>
                <w:highlight w:val="none"/>
              </w:rPr>
              <w:t>营业收入（Y）</w:t>
            </w:r>
          </w:p>
        </w:tc>
        <w:tc>
          <w:tcPr>
            <w:tcW w:w="1466" w:type="dxa"/>
            <w:tcBorders>
              <w:top w:val="nil"/>
              <w:left w:val="nil"/>
              <w:bottom w:val="single" w:color="auto" w:sz="4" w:space="0"/>
              <w:right w:val="single" w:color="auto" w:sz="4" w:space="0"/>
            </w:tcBorders>
            <w:noWrap w:val="0"/>
            <w:vAlign w:val="center"/>
          </w:tcPr>
          <w:p w14:paraId="4456FD18">
            <w:pPr>
              <w:widowControl/>
              <w:snapToGrid w:val="0"/>
              <w:contextualSpacing/>
              <w:jc w:val="center"/>
              <w:rPr>
                <w:rFonts w:hint="eastAsia" w:ascii="微软雅黑" w:hAnsi="微软雅黑" w:eastAsia="微软雅黑" w:cs="微软雅黑"/>
                <w:color w:val="FF0000"/>
                <w:kern w:val="0"/>
                <w:sz w:val="22"/>
                <w:szCs w:val="22"/>
                <w:highlight w:val="none"/>
              </w:rPr>
            </w:pPr>
            <w:r>
              <w:rPr>
                <w:rFonts w:hint="eastAsia" w:ascii="微软雅黑" w:hAnsi="微软雅黑" w:eastAsia="微软雅黑" w:cs="微软雅黑"/>
                <w:color w:val="FF0000"/>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44D6AC24">
            <w:pPr>
              <w:widowControl/>
              <w:snapToGrid w:val="0"/>
              <w:contextualSpacing/>
              <w:jc w:val="center"/>
              <w:rPr>
                <w:rFonts w:hint="eastAsia" w:ascii="微软雅黑" w:hAnsi="微软雅黑" w:eastAsia="微软雅黑" w:cs="微软雅黑"/>
                <w:color w:val="FF0000"/>
                <w:kern w:val="0"/>
                <w:sz w:val="22"/>
                <w:szCs w:val="22"/>
                <w:highlight w:val="none"/>
              </w:rPr>
            </w:pPr>
            <w:r>
              <w:rPr>
                <w:rFonts w:hint="eastAsia" w:ascii="微软雅黑" w:hAnsi="微软雅黑" w:eastAsia="微软雅黑" w:cs="微软雅黑"/>
                <w:color w:val="FF0000"/>
                <w:kern w:val="0"/>
                <w:sz w:val="22"/>
                <w:szCs w:val="22"/>
                <w:highlight w:val="none"/>
              </w:rPr>
              <w:t>2000≤Y＜40000</w:t>
            </w:r>
          </w:p>
        </w:tc>
        <w:tc>
          <w:tcPr>
            <w:tcW w:w="1692" w:type="dxa"/>
            <w:tcBorders>
              <w:top w:val="nil"/>
              <w:left w:val="nil"/>
              <w:bottom w:val="single" w:color="auto" w:sz="4" w:space="0"/>
              <w:right w:val="single" w:color="auto" w:sz="4" w:space="0"/>
            </w:tcBorders>
            <w:noWrap w:val="0"/>
            <w:vAlign w:val="center"/>
          </w:tcPr>
          <w:p w14:paraId="47D49909">
            <w:pPr>
              <w:widowControl/>
              <w:snapToGrid w:val="0"/>
              <w:contextualSpacing/>
              <w:jc w:val="center"/>
              <w:rPr>
                <w:rFonts w:hint="eastAsia" w:ascii="微软雅黑" w:hAnsi="微软雅黑" w:eastAsia="微软雅黑" w:cs="微软雅黑"/>
                <w:color w:val="FF0000"/>
                <w:kern w:val="0"/>
                <w:sz w:val="22"/>
                <w:szCs w:val="22"/>
                <w:highlight w:val="none"/>
              </w:rPr>
            </w:pPr>
            <w:r>
              <w:rPr>
                <w:rFonts w:hint="eastAsia" w:ascii="微软雅黑" w:hAnsi="微软雅黑" w:eastAsia="微软雅黑" w:cs="微软雅黑"/>
                <w:color w:val="FF0000"/>
                <w:kern w:val="0"/>
                <w:sz w:val="22"/>
                <w:szCs w:val="22"/>
                <w:highlight w:val="none"/>
              </w:rPr>
              <w:t>300≤Y＜2000</w:t>
            </w:r>
          </w:p>
        </w:tc>
        <w:tc>
          <w:tcPr>
            <w:tcW w:w="1087" w:type="dxa"/>
            <w:tcBorders>
              <w:top w:val="nil"/>
              <w:left w:val="nil"/>
              <w:bottom w:val="single" w:color="auto" w:sz="4" w:space="0"/>
              <w:right w:val="single" w:color="auto" w:sz="4" w:space="0"/>
            </w:tcBorders>
            <w:noWrap w:val="0"/>
            <w:vAlign w:val="center"/>
          </w:tcPr>
          <w:p w14:paraId="57202D2B">
            <w:pPr>
              <w:widowControl/>
              <w:snapToGrid w:val="0"/>
              <w:contextualSpacing/>
              <w:jc w:val="center"/>
              <w:rPr>
                <w:rFonts w:hint="eastAsia" w:ascii="微软雅黑" w:hAnsi="微软雅黑" w:eastAsia="微软雅黑" w:cs="微软雅黑"/>
                <w:color w:val="FF0000"/>
                <w:kern w:val="0"/>
                <w:sz w:val="22"/>
                <w:szCs w:val="22"/>
                <w:highlight w:val="none"/>
              </w:rPr>
            </w:pPr>
            <w:r>
              <w:rPr>
                <w:rFonts w:hint="eastAsia" w:ascii="微软雅黑" w:hAnsi="微软雅黑" w:eastAsia="微软雅黑" w:cs="微软雅黑"/>
                <w:color w:val="FF0000"/>
                <w:kern w:val="0"/>
                <w:sz w:val="22"/>
                <w:szCs w:val="22"/>
                <w:highlight w:val="none"/>
              </w:rPr>
              <w:t>Y＜300</w:t>
            </w:r>
          </w:p>
        </w:tc>
      </w:tr>
      <w:tr w14:paraId="5C165581">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642E9578">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建筑业</w:t>
            </w:r>
          </w:p>
        </w:tc>
        <w:tc>
          <w:tcPr>
            <w:tcW w:w="1660" w:type="dxa"/>
            <w:tcBorders>
              <w:top w:val="nil"/>
              <w:left w:val="nil"/>
              <w:bottom w:val="single" w:color="auto" w:sz="4" w:space="0"/>
              <w:right w:val="single" w:color="auto" w:sz="4" w:space="0"/>
            </w:tcBorders>
            <w:noWrap w:val="0"/>
            <w:vAlign w:val="center"/>
          </w:tcPr>
          <w:p w14:paraId="3443CB27">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营业收入（Y）</w:t>
            </w:r>
          </w:p>
        </w:tc>
        <w:tc>
          <w:tcPr>
            <w:tcW w:w="1466" w:type="dxa"/>
            <w:tcBorders>
              <w:top w:val="nil"/>
              <w:left w:val="nil"/>
              <w:bottom w:val="single" w:color="auto" w:sz="4" w:space="0"/>
              <w:right w:val="single" w:color="auto" w:sz="4" w:space="0"/>
            </w:tcBorders>
            <w:noWrap w:val="0"/>
            <w:vAlign w:val="center"/>
          </w:tcPr>
          <w:p w14:paraId="7CB32833">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7BFEE580">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6000≤Y＜80000</w:t>
            </w:r>
          </w:p>
        </w:tc>
        <w:tc>
          <w:tcPr>
            <w:tcW w:w="1692" w:type="dxa"/>
            <w:tcBorders>
              <w:top w:val="nil"/>
              <w:left w:val="nil"/>
              <w:bottom w:val="single" w:color="auto" w:sz="4" w:space="0"/>
              <w:right w:val="single" w:color="auto" w:sz="4" w:space="0"/>
            </w:tcBorders>
            <w:noWrap w:val="0"/>
            <w:vAlign w:val="center"/>
          </w:tcPr>
          <w:p w14:paraId="10C04D73">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300≤Y＜6000</w:t>
            </w:r>
          </w:p>
        </w:tc>
        <w:tc>
          <w:tcPr>
            <w:tcW w:w="1087" w:type="dxa"/>
            <w:tcBorders>
              <w:top w:val="nil"/>
              <w:left w:val="nil"/>
              <w:bottom w:val="single" w:color="auto" w:sz="4" w:space="0"/>
              <w:right w:val="single" w:color="auto" w:sz="4" w:space="0"/>
            </w:tcBorders>
            <w:noWrap w:val="0"/>
            <w:vAlign w:val="center"/>
          </w:tcPr>
          <w:p w14:paraId="2D403B5C">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Y＜300</w:t>
            </w:r>
          </w:p>
        </w:tc>
      </w:tr>
      <w:tr w14:paraId="2C4DB453">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2A8A6A3E">
            <w:pPr>
              <w:widowControl/>
              <w:snapToGrid w:val="0"/>
              <w:contextualSpacing/>
              <w:jc w:val="center"/>
              <w:rPr>
                <w:rFonts w:hint="eastAsia" w:ascii="微软雅黑" w:hAnsi="微软雅黑" w:eastAsia="微软雅黑" w:cs="微软雅黑"/>
                <w:b/>
                <w:bCs/>
                <w:color w:val="auto"/>
                <w:kern w:val="0"/>
                <w:sz w:val="22"/>
                <w:szCs w:val="22"/>
                <w:highlight w:val="none"/>
              </w:rPr>
            </w:pPr>
          </w:p>
        </w:tc>
        <w:tc>
          <w:tcPr>
            <w:tcW w:w="1660" w:type="dxa"/>
            <w:tcBorders>
              <w:top w:val="nil"/>
              <w:left w:val="nil"/>
              <w:bottom w:val="single" w:color="auto" w:sz="4" w:space="0"/>
              <w:right w:val="single" w:color="auto" w:sz="4" w:space="0"/>
            </w:tcBorders>
            <w:noWrap w:val="0"/>
            <w:vAlign w:val="center"/>
          </w:tcPr>
          <w:p w14:paraId="7F05898C">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资产总额（Z）</w:t>
            </w:r>
          </w:p>
        </w:tc>
        <w:tc>
          <w:tcPr>
            <w:tcW w:w="1466" w:type="dxa"/>
            <w:tcBorders>
              <w:top w:val="nil"/>
              <w:left w:val="nil"/>
              <w:bottom w:val="single" w:color="auto" w:sz="4" w:space="0"/>
              <w:right w:val="single" w:color="auto" w:sz="4" w:space="0"/>
            </w:tcBorders>
            <w:noWrap w:val="0"/>
            <w:vAlign w:val="center"/>
          </w:tcPr>
          <w:p w14:paraId="31915820">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3C4E752D">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5000≤Z＜80000</w:t>
            </w:r>
          </w:p>
        </w:tc>
        <w:tc>
          <w:tcPr>
            <w:tcW w:w="1692" w:type="dxa"/>
            <w:tcBorders>
              <w:top w:val="nil"/>
              <w:left w:val="nil"/>
              <w:bottom w:val="single" w:color="auto" w:sz="4" w:space="0"/>
              <w:right w:val="single" w:color="auto" w:sz="4" w:space="0"/>
            </w:tcBorders>
            <w:noWrap w:val="0"/>
            <w:vAlign w:val="center"/>
          </w:tcPr>
          <w:p w14:paraId="0FB4B580">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300≤Z＜5000</w:t>
            </w:r>
          </w:p>
        </w:tc>
        <w:tc>
          <w:tcPr>
            <w:tcW w:w="1087" w:type="dxa"/>
            <w:tcBorders>
              <w:top w:val="nil"/>
              <w:left w:val="nil"/>
              <w:bottom w:val="single" w:color="auto" w:sz="4" w:space="0"/>
              <w:right w:val="single" w:color="auto" w:sz="4" w:space="0"/>
            </w:tcBorders>
            <w:noWrap w:val="0"/>
            <w:vAlign w:val="center"/>
          </w:tcPr>
          <w:p w14:paraId="3322FEE4">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Z＜300</w:t>
            </w:r>
          </w:p>
        </w:tc>
      </w:tr>
      <w:tr w14:paraId="13D45008">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159FF10A">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批发业</w:t>
            </w:r>
          </w:p>
        </w:tc>
        <w:tc>
          <w:tcPr>
            <w:tcW w:w="1660" w:type="dxa"/>
            <w:tcBorders>
              <w:top w:val="nil"/>
              <w:left w:val="nil"/>
              <w:bottom w:val="single" w:color="auto" w:sz="4" w:space="0"/>
              <w:right w:val="single" w:color="auto" w:sz="4" w:space="0"/>
            </w:tcBorders>
            <w:noWrap w:val="0"/>
            <w:vAlign w:val="center"/>
          </w:tcPr>
          <w:p w14:paraId="07711982">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从业人员（X）</w:t>
            </w:r>
          </w:p>
        </w:tc>
        <w:tc>
          <w:tcPr>
            <w:tcW w:w="1466" w:type="dxa"/>
            <w:tcBorders>
              <w:top w:val="nil"/>
              <w:left w:val="nil"/>
              <w:bottom w:val="single" w:color="auto" w:sz="4" w:space="0"/>
              <w:right w:val="single" w:color="auto" w:sz="4" w:space="0"/>
            </w:tcBorders>
            <w:noWrap w:val="0"/>
            <w:vAlign w:val="center"/>
          </w:tcPr>
          <w:p w14:paraId="462E3235">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人</w:t>
            </w:r>
          </w:p>
        </w:tc>
        <w:tc>
          <w:tcPr>
            <w:tcW w:w="1903" w:type="dxa"/>
            <w:tcBorders>
              <w:top w:val="nil"/>
              <w:left w:val="nil"/>
              <w:bottom w:val="single" w:color="auto" w:sz="4" w:space="0"/>
              <w:right w:val="single" w:color="auto" w:sz="4" w:space="0"/>
            </w:tcBorders>
            <w:noWrap w:val="0"/>
            <w:vAlign w:val="center"/>
          </w:tcPr>
          <w:p w14:paraId="557BDEA0">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20≤X＜200</w:t>
            </w:r>
          </w:p>
        </w:tc>
        <w:tc>
          <w:tcPr>
            <w:tcW w:w="1692" w:type="dxa"/>
            <w:tcBorders>
              <w:top w:val="nil"/>
              <w:left w:val="nil"/>
              <w:bottom w:val="single" w:color="auto" w:sz="4" w:space="0"/>
              <w:right w:val="single" w:color="auto" w:sz="4" w:space="0"/>
            </w:tcBorders>
            <w:noWrap w:val="0"/>
            <w:vAlign w:val="center"/>
          </w:tcPr>
          <w:p w14:paraId="6CB79E41">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5≤X＜20</w:t>
            </w:r>
          </w:p>
        </w:tc>
        <w:tc>
          <w:tcPr>
            <w:tcW w:w="1087" w:type="dxa"/>
            <w:tcBorders>
              <w:top w:val="nil"/>
              <w:left w:val="nil"/>
              <w:bottom w:val="single" w:color="auto" w:sz="4" w:space="0"/>
              <w:right w:val="single" w:color="auto" w:sz="4" w:space="0"/>
            </w:tcBorders>
            <w:noWrap w:val="0"/>
            <w:vAlign w:val="center"/>
          </w:tcPr>
          <w:p w14:paraId="4BC8DE97">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X＜5</w:t>
            </w:r>
          </w:p>
        </w:tc>
      </w:tr>
      <w:tr w14:paraId="431382C7">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62724260">
            <w:pPr>
              <w:widowControl/>
              <w:snapToGrid w:val="0"/>
              <w:contextualSpacing/>
              <w:jc w:val="center"/>
              <w:rPr>
                <w:rFonts w:hint="eastAsia" w:ascii="微软雅黑" w:hAnsi="微软雅黑" w:eastAsia="微软雅黑" w:cs="微软雅黑"/>
                <w:b/>
                <w:bCs/>
                <w:color w:val="auto"/>
                <w:kern w:val="0"/>
                <w:sz w:val="22"/>
                <w:szCs w:val="22"/>
                <w:highlight w:val="none"/>
              </w:rPr>
            </w:pPr>
          </w:p>
        </w:tc>
        <w:tc>
          <w:tcPr>
            <w:tcW w:w="1660" w:type="dxa"/>
            <w:tcBorders>
              <w:top w:val="nil"/>
              <w:left w:val="nil"/>
              <w:bottom w:val="single" w:color="auto" w:sz="4" w:space="0"/>
              <w:right w:val="single" w:color="auto" w:sz="4" w:space="0"/>
            </w:tcBorders>
            <w:noWrap w:val="0"/>
            <w:vAlign w:val="center"/>
          </w:tcPr>
          <w:p w14:paraId="7160ECFE">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营业收入（Y）</w:t>
            </w:r>
          </w:p>
        </w:tc>
        <w:tc>
          <w:tcPr>
            <w:tcW w:w="1466" w:type="dxa"/>
            <w:tcBorders>
              <w:top w:val="nil"/>
              <w:left w:val="nil"/>
              <w:bottom w:val="single" w:color="auto" w:sz="4" w:space="0"/>
              <w:right w:val="single" w:color="auto" w:sz="4" w:space="0"/>
            </w:tcBorders>
            <w:noWrap w:val="0"/>
            <w:vAlign w:val="center"/>
          </w:tcPr>
          <w:p w14:paraId="1308C435">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0426577C">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5000≤Y＜40000</w:t>
            </w:r>
          </w:p>
        </w:tc>
        <w:tc>
          <w:tcPr>
            <w:tcW w:w="1692" w:type="dxa"/>
            <w:tcBorders>
              <w:top w:val="nil"/>
              <w:left w:val="nil"/>
              <w:bottom w:val="single" w:color="auto" w:sz="4" w:space="0"/>
              <w:right w:val="single" w:color="auto" w:sz="4" w:space="0"/>
            </w:tcBorders>
            <w:noWrap w:val="0"/>
            <w:vAlign w:val="center"/>
          </w:tcPr>
          <w:p w14:paraId="1D1C8EB3">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1000≤Y＜5000</w:t>
            </w:r>
          </w:p>
        </w:tc>
        <w:tc>
          <w:tcPr>
            <w:tcW w:w="1087" w:type="dxa"/>
            <w:tcBorders>
              <w:top w:val="nil"/>
              <w:left w:val="nil"/>
              <w:bottom w:val="single" w:color="auto" w:sz="4" w:space="0"/>
              <w:right w:val="single" w:color="auto" w:sz="4" w:space="0"/>
            </w:tcBorders>
            <w:noWrap w:val="0"/>
            <w:vAlign w:val="center"/>
          </w:tcPr>
          <w:p w14:paraId="7EF6FA87">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Y＜1000</w:t>
            </w:r>
          </w:p>
        </w:tc>
      </w:tr>
      <w:tr w14:paraId="56B69149">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4F094A31">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零售业</w:t>
            </w:r>
          </w:p>
        </w:tc>
        <w:tc>
          <w:tcPr>
            <w:tcW w:w="1660" w:type="dxa"/>
            <w:tcBorders>
              <w:top w:val="nil"/>
              <w:left w:val="nil"/>
              <w:bottom w:val="single" w:color="auto" w:sz="4" w:space="0"/>
              <w:right w:val="single" w:color="auto" w:sz="4" w:space="0"/>
            </w:tcBorders>
            <w:noWrap w:val="0"/>
            <w:vAlign w:val="center"/>
          </w:tcPr>
          <w:p w14:paraId="288493B4">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从业人员（X）</w:t>
            </w:r>
          </w:p>
        </w:tc>
        <w:tc>
          <w:tcPr>
            <w:tcW w:w="1466" w:type="dxa"/>
            <w:tcBorders>
              <w:top w:val="nil"/>
              <w:left w:val="nil"/>
              <w:bottom w:val="single" w:color="auto" w:sz="4" w:space="0"/>
              <w:right w:val="single" w:color="auto" w:sz="4" w:space="0"/>
            </w:tcBorders>
            <w:noWrap w:val="0"/>
            <w:vAlign w:val="center"/>
          </w:tcPr>
          <w:p w14:paraId="2EBE69FD">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人</w:t>
            </w:r>
          </w:p>
        </w:tc>
        <w:tc>
          <w:tcPr>
            <w:tcW w:w="1903" w:type="dxa"/>
            <w:tcBorders>
              <w:top w:val="nil"/>
              <w:left w:val="nil"/>
              <w:bottom w:val="single" w:color="auto" w:sz="4" w:space="0"/>
              <w:right w:val="single" w:color="auto" w:sz="4" w:space="0"/>
            </w:tcBorders>
            <w:noWrap w:val="0"/>
            <w:vAlign w:val="center"/>
          </w:tcPr>
          <w:p w14:paraId="688463E2">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50≤X＜300</w:t>
            </w:r>
          </w:p>
        </w:tc>
        <w:tc>
          <w:tcPr>
            <w:tcW w:w="1692" w:type="dxa"/>
            <w:tcBorders>
              <w:top w:val="nil"/>
              <w:left w:val="nil"/>
              <w:bottom w:val="single" w:color="auto" w:sz="4" w:space="0"/>
              <w:right w:val="single" w:color="auto" w:sz="4" w:space="0"/>
            </w:tcBorders>
            <w:noWrap w:val="0"/>
            <w:vAlign w:val="center"/>
          </w:tcPr>
          <w:p w14:paraId="63C6D120">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10≤X＜50</w:t>
            </w:r>
          </w:p>
        </w:tc>
        <w:tc>
          <w:tcPr>
            <w:tcW w:w="1087" w:type="dxa"/>
            <w:tcBorders>
              <w:top w:val="nil"/>
              <w:left w:val="nil"/>
              <w:bottom w:val="single" w:color="auto" w:sz="4" w:space="0"/>
              <w:right w:val="single" w:color="auto" w:sz="4" w:space="0"/>
            </w:tcBorders>
            <w:noWrap w:val="0"/>
            <w:vAlign w:val="center"/>
          </w:tcPr>
          <w:p w14:paraId="35ACB3AD">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X＜10</w:t>
            </w:r>
          </w:p>
        </w:tc>
      </w:tr>
      <w:tr w14:paraId="605B0065">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4CB516C6">
            <w:pPr>
              <w:widowControl/>
              <w:snapToGrid w:val="0"/>
              <w:contextualSpacing/>
              <w:jc w:val="center"/>
              <w:rPr>
                <w:rFonts w:hint="eastAsia" w:ascii="微软雅黑" w:hAnsi="微软雅黑" w:eastAsia="微软雅黑" w:cs="微软雅黑"/>
                <w:b/>
                <w:bCs/>
                <w:color w:val="auto"/>
                <w:kern w:val="0"/>
                <w:sz w:val="22"/>
                <w:szCs w:val="22"/>
                <w:highlight w:val="none"/>
              </w:rPr>
            </w:pPr>
          </w:p>
        </w:tc>
        <w:tc>
          <w:tcPr>
            <w:tcW w:w="1660" w:type="dxa"/>
            <w:tcBorders>
              <w:top w:val="nil"/>
              <w:left w:val="nil"/>
              <w:bottom w:val="single" w:color="auto" w:sz="4" w:space="0"/>
              <w:right w:val="single" w:color="auto" w:sz="4" w:space="0"/>
            </w:tcBorders>
            <w:noWrap w:val="0"/>
            <w:vAlign w:val="center"/>
          </w:tcPr>
          <w:p w14:paraId="264076F7">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营业收入（Y）</w:t>
            </w:r>
          </w:p>
        </w:tc>
        <w:tc>
          <w:tcPr>
            <w:tcW w:w="1466" w:type="dxa"/>
            <w:tcBorders>
              <w:top w:val="nil"/>
              <w:left w:val="nil"/>
              <w:bottom w:val="single" w:color="auto" w:sz="4" w:space="0"/>
              <w:right w:val="single" w:color="auto" w:sz="4" w:space="0"/>
            </w:tcBorders>
            <w:noWrap w:val="0"/>
            <w:vAlign w:val="center"/>
          </w:tcPr>
          <w:p w14:paraId="3702F9A0">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7F93ED08">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500≤Y＜20000</w:t>
            </w:r>
          </w:p>
        </w:tc>
        <w:tc>
          <w:tcPr>
            <w:tcW w:w="1692" w:type="dxa"/>
            <w:tcBorders>
              <w:top w:val="nil"/>
              <w:left w:val="nil"/>
              <w:bottom w:val="single" w:color="auto" w:sz="4" w:space="0"/>
              <w:right w:val="single" w:color="auto" w:sz="4" w:space="0"/>
            </w:tcBorders>
            <w:noWrap w:val="0"/>
            <w:vAlign w:val="center"/>
          </w:tcPr>
          <w:p w14:paraId="36DB4D8F">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100≤Y＜500</w:t>
            </w:r>
          </w:p>
        </w:tc>
        <w:tc>
          <w:tcPr>
            <w:tcW w:w="1087" w:type="dxa"/>
            <w:tcBorders>
              <w:top w:val="nil"/>
              <w:left w:val="nil"/>
              <w:bottom w:val="single" w:color="auto" w:sz="4" w:space="0"/>
              <w:right w:val="single" w:color="auto" w:sz="4" w:space="0"/>
            </w:tcBorders>
            <w:noWrap w:val="0"/>
            <w:vAlign w:val="center"/>
          </w:tcPr>
          <w:p w14:paraId="3D6848A7">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Y＜100</w:t>
            </w:r>
          </w:p>
        </w:tc>
      </w:tr>
      <w:tr w14:paraId="3C79A7A7">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75F7875C">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交通运输业</w:t>
            </w:r>
          </w:p>
        </w:tc>
        <w:tc>
          <w:tcPr>
            <w:tcW w:w="1660" w:type="dxa"/>
            <w:tcBorders>
              <w:top w:val="nil"/>
              <w:left w:val="nil"/>
              <w:bottom w:val="single" w:color="auto" w:sz="4" w:space="0"/>
              <w:right w:val="single" w:color="auto" w:sz="4" w:space="0"/>
            </w:tcBorders>
            <w:noWrap w:val="0"/>
            <w:vAlign w:val="center"/>
          </w:tcPr>
          <w:p w14:paraId="5D8D55EB">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从业人员（X）</w:t>
            </w:r>
          </w:p>
        </w:tc>
        <w:tc>
          <w:tcPr>
            <w:tcW w:w="1466" w:type="dxa"/>
            <w:tcBorders>
              <w:top w:val="nil"/>
              <w:left w:val="nil"/>
              <w:bottom w:val="single" w:color="auto" w:sz="4" w:space="0"/>
              <w:right w:val="single" w:color="auto" w:sz="4" w:space="0"/>
            </w:tcBorders>
            <w:noWrap w:val="0"/>
            <w:vAlign w:val="center"/>
          </w:tcPr>
          <w:p w14:paraId="4B402A10">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人</w:t>
            </w:r>
          </w:p>
        </w:tc>
        <w:tc>
          <w:tcPr>
            <w:tcW w:w="1903" w:type="dxa"/>
            <w:tcBorders>
              <w:top w:val="nil"/>
              <w:left w:val="nil"/>
              <w:bottom w:val="single" w:color="auto" w:sz="4" w:space="0"/>
              <w:right w:val="single" w:color="auto" w:sz="4" w:space="0"/>
            </w:tcBorders>
            <w:noWrap w:val="0"/>
            <w:vAlign w:val="center"/>
          </w:tcPr>
          <w:p w14:paraId="5B5AF828">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300≤X＜1000</w:t>
            </w:r>
          </w:p>
        </w:tc>
        <w:tc>
          <w:tcPr>
            <w:tcW w:w="1692" w:type="dxa"/>
            <w:tcBorders>
              <w:top w:val="nil"/>
              <w:left w:val="nil"/>
              <w:bottom w:val="single" w:color="auto" w:sz="4" w:space="0"/>
              <w:right w:val="single" w:color="auto" w:sz="4" w:space="0"/>
            </w:tcBorders>
            <w:noWrap w:val="0"/>
            <w:vAlign w:val="center"/>
          </w:tcPr>
          <w:p w14:paraId="6F4CEE13">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20≤X＜300</w:t>
            </w:r>
          </w:p>
        </w:tc>
        <w:tc>
          <w:tcPr>
            <w:tcW w:w="1087" w:type="dxa"/>
            <w:tcBorders>
              <w:top w:val="nil"/>
              <w:left w:val="nil"/>
              <w:bottom w:val="single" w:color="auto" w:sz="4" w:space="0"/>
              <w:right w:val="single" w:color="auto" w:sz="4" w:space="0"/>
            </w:tcBorders>
            <w:noWrap w:val="0"/>
            <w:vAlign w:val="center"/>
          </w:tcPr>
          <w:p w14:paraId="61A84A58">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X＜20</w:t>
            </w:r>
          </w:p>
        </w:tc>
      </w:tr>
      <w:tr w14:paraId="03E3ABD0">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78DD2A95">
            <w:pPr>
              <w:widowControl/>
              <w:snapToGrid w:val="0"/>
              <w:contextualSpacing/>
              <w:jc w:val="center"/>
              <w:rPr>
                <w:rFonts w:hint="eastAsia" w:ascii="微软雅黑" w:hAnsi="微软雅黑" w:eastAsia="微软雅黑" w:cs="微软雅黑"/>
                <w:b/>
                <w:bCs/>
                <w:color w:val="auto"/>
                <w:kern w:val="0"/>
                <w:sz w:val="22"/>
                <w:szCs w:val="22"/>
                <w:highlight w:val="none"/>
              </w:rPr>
            </w:pPr>
          </w:p>
        </w:tc>
        <w:tc>
          <w:tcPr>
            <w:tcW w:w="1660" w:type="dxa"/>
            <w:tcBorders>
              <w:top w:val="nil"/>
              <w:left w:val="nil"/>
              <w:bottom w:val="single" w:color="auto" w:sz="4" w:space="0"/>
              <w:right w:val="single" w:color="auto" w:sz="4" w:space="0"/>
            </w:tcBorders>
            <w:noWrap w:val="0"/>
            <w:vAlign w:val="center"/>
          </w:tcPr>
          <w:p w14:paraId="6EC91F77">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营业收入（Y）</w:t>
            </w:r>
          </w:p>
        </w:tc>
        <w:tc>
          <w:tcPr>
            <w:tcW w:w="1466" w:type="dxa"/>
            <w:tcBorders>
              <w:top w:val="nil"/>
              <w:left w:val="nil"/>
              <w:bottom w:val="single" w:color="auto" w:sz="4" w:space="0"/>
              <w:right w:val="single" w:color="auto" w:sz="4" w:space="0"/>
            </w:tcBorders>
            <w:noWrap w:val="0"/>
            <w:vAlign w:val="center"/>
          </w:tcPr>
          <w:p w14:paraId="0E1F8ED8">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414F73FF">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3000≤Y＜30000</w:t>
            </w:r>
          </w:p>
        </w:tc>
        <w:tc>
          <w:tcPr>
            <w:tcW w:w="1692" w:type="dxa"/>
            <w:tcBorders>
              <w:top w:val="nil"/>
              <w:left w:val="nil"/>
              <w:bottom w:val="single" w:color="auto" w:sz="4" w:space="0"/>
              <w:right w:val="single" w:color="auto" w:sz="4" w:space="0"/>
            </w:tcBorders>
            <w:noWrap w:val="0"/>
            <w:vAlign w:val="center"/>
          </w:tcPr>
          <w:p w14:paraId="5000FB86">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200≤Y＜3000</w:t>
            </w:r>
          </w:p>
        </w:tc>
        <w:tc>
          <w:tcPr>
            <w:tcW w:w="1087" w:type="dxa"/>
            <w:tcBorders>
              <w:top w:val="nil"/>
              <w:left w:val="nil"/>
              <w:bottom w:val="single" w:color="auto" w:sz="4" w:space="0"/>
              <w:right w:val="single" w:color="auto" w:sz="4" w:space="0"/>
            </w:tcBorders>
            <w:noWrap w:val="0"/>
            <w:vAlign w:val="center"/>
          </w:tcPr>
          <w:p w14:paraId="79EC997C">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Y＜200</w:t>
            </w:r>
          </w:p>
        </w:tc>
      </w:tr>
      <w:tr w14:paraId="45A8FAB2">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7BCD6AAC">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仓储业</w:t>
            </w:r>
          </w:p>
        </w:tc>
        <w:tc>
          <w:tcPr>
            <w:tcW w:w="1660" w:type="dxa"/>
            <w:tcBorders>
              <w:top w:val="nil"/>
              <w:left w:val="nil"/>
              <w:bottom w:val="single" w:color="auto" w:sz="4" w:space="0"/>
              <w:right w:val="single" w:color="auto" w:sz="4" w:space="0"/>
            </w:tcBorders>
            <w:noWrap w:val="0"/>
            <w:vAlign w:val="center"/>
          </w:tcPr>
          <w:p w14:paraId="3712C754">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从业人员（X）</w:t>
            </w:r>
          </w:p>
        </w:tc>
        <w:tc>
          <w:tcPr>
            <w:tcW w:w="1466" w:type="dxa"/>
            <w:tcBorders>
              <w:top w:val="nil"/>
              <w:left w:val="nil"/>
              <w:bottom w:val="single" w:color="auto" w:sz="4" w:space="0"/>
              <w:right w:val="single" w:color="auto" w:sz="4" w:space="0"/>
            </w:tcBorders>
            <w:noWrap w:val="0"/>
            <w:vAlign w:val="center"/>
          </w:tcPr>
          <w:p w14:paraId="6F2C081E">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人</w:t>
            </w:r>
          </w:p>
        </w:tc>
        <w:tc>
          <w:tcPr>
            <w:tcW w:w="1903" w:type="dxa"/>
            <w:tcBorders>
              <w:top w:val="nil"/>
              <w:left w:val="nil"/>
              <w:bottom w:val="single" w:color="auto" w:sz="4" w:space="0"/>
              <w:right w:val="single" w:color="auto" w:sz="4" w:space="0"/>
            </w:tcBorders>
            <w:noWrap w:val="0"/>
            <w:vAlign w:val="center"/>
          </w:tcPr>
          <w:p w14:paraId="4DFD5EBB">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100≤X＜200</w:t>
            </w:r>
          </w:p>
        </w:tc>
        <w:tc>
          <w:tcPr>
            <w:tcW w:w="1692" w:type="dxa"/>
            <w:tcBorders>
              <w:top w:val="nil"/>
              <w:left w:val="nil"/>
              <w:bottom w:val="single" w:color="auto" w:sz="4" w:space="0"/>
              <w:right w:val="single" w:color="auto" w:sz="4" w:space="0"/>
            </w:tcBorders>
            <w:noWrap w:val="0"/>
            <w:vAlign w:val="center"/>
          </w:tcPr>
          <w:p w14:paraId="5D2128D4">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20≤X＜100</w:t>
            </w:r>
          </w:p>
        </w:tc>
        <w:tc>
          <w:tcPr>
            <w:tcW w:w="1087" w:type="dxa"/>
            <w:tcBorders>
              <w:top w:val="nil"/>
              <w:left w:val="nil"/>
              <w:bottom w:val="single" w:color="auto" w:sz="4" w:space="0"/>
              <w:right w:val="single" w:color="auto" w:sz="4" w:space="0"/>
            </w:tcBorders>
            <w:noWrap w:val="0"/>
            <w:vAlign w:val="center"/>
          </w:tcPr>
          <w:p w14:paraId="73A2F4FC">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X＜20</w:t>
            </w:r>
          </w:p>
        </w:tc>
      </w:tr>
      <w:tr w14:paraId="068649C3">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6B2997C1">
            <w:pPr>
              <w:widowControl/>
              <w:snapToGrid w:val="0"/>
              <w:contextualSpacing/>
              <w:jc w:val="center"/>
              <w:rPr>
                <w:rFonts w:hint="eastAsia" w:ascii="微软雅黑" w:hAnsi="微软雅黑" w:eastAsia="微软雅黑" w:cs="微软雅黑"/>
                <w:b/>
                <w:bCs/>
                <w:color w:val="auto"/>
                <w:kern w:val="0"/>
                <w:sz w:val="22"/>
                <w:szCs w:val="22"/>
                <w:highlight w:val="none"/>
              </w:rPr>
            </w:pPr>
          </w:p>
        </w:tc>
        <w:tc>
          <w:tcPr>
            <w:tcW w:w="1660" w:type="dxa"/>
            <w:tcBorders>
              <w:top w:val="nil"/>
              <w:left w:val="nil"/>
              <w:bottom w:val="single" w:color="auto" w:sz="4" w:space="0"/>
              <w:right w:val="single" w:color="auto" w:sz="4" w:space="0"/>
            </w:tcBorders>
            <w:noWrap w:val="0"/>
            <w:vAlign w:val="center"/>
          </w:tcPr>
          <w:p w14:paraId="15B15FEF">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营业收入（Y）</w:t>
            </w:r>
          </w:p>
        </w:tc>
        <w:tc>
          <w:tcPr>
            <w:tcW w:w="1466" w:type="dxa"/>
            <w:tcBorders>
              <w:top w:val="nil"/>
              <w:left w:val="nil"/>
              <w:bottom w:val="single" w:color="auto" w:sz="4" w:space="0"/>
              <w:right w:val="single" w:color="auto" w:sz="4" w:space="0"/>
            </w:tcBorders>
            <w:noWrap w:val="0"/>
            <w:vAlign w:val="center"/>
          </w:tcPr>
          <w:p w14:paraId="73D223E8">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2668EFEA">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1000≤Y＜30000</w:t>
            </w:r>
          </w:p>
        </w:tc>
        <w:tc>
          <w:tcPr>
            <w:tcW w:w="1692" w:type="dxa"/>
            <w:tcBorders>
              <w:top w:val="nil"/>
              <w:left w:val="nil"/>
              <w:bottom w:val="single" w:color="auto" w:sz="4" w:space="0"/>
              <w:right w:val="single" w:color="auto" w:sz="4" w:space="0"/>
            </w:tcBorders>
            <w:noWrap w:val="0"/>
            <w:vAlign w:val="center"/>
          </w:tcPr>
          <w:p w14:paraId="40B46447">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100≤Y＜1000</w:t>
            </w:r>
          </w:p>
        </w:tc>
        <w:tc>
          <w:tcPr>
            <w:tcW w:w="1087" w:type="dxa"/>
            <w:tcBorders>
              <w:top w:val="nil"/>
              <w:left w:val="nil"/>
              <w:bottom w:val="single" w:color="auto" w:sz="4" w:space="0"/>
              <w:right w:val="single" w:color="auto" w:sz="4" w:space="0"/>
            </w:tcBorders>
            <w:noWrap w:val="0"/>
            <w:vAlign w:val="center"/>
          </w:tcPr>
          <w:p w14:paraId="0FDB3E67">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Y＜100</w:t>
            </w:r>
          </w:p>
        </w:tc>
      </w:tr>
      <w:tr w14:paraId="2762897A">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3D98CC87">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邮政业</w:t>
            </w:r>
          </w:p>
        </w:tc>
        <w:tc>
          <w:tcPr>
            <w:tcW w:w="1660" w:type="dxa"/>
            <w:tcBorders>
              <w:top w:val="nil"/>
              <w:left w:val="nil"/>
              <w:bottom w:val="single" w:color="auto" w:sz="4" w:space="0"/>
              <w:right w:val="single" w:color="auto" w:sz="4" w:space="0"/>
            </w:tcBorders>
            <w:noWrap w:val="0"/>
            <w:vAlign w:val="center"/>
          </w:tcPr>
          <w:p w14:paraId="5477D9D9">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从业人员（X）</w:t>
            </w:r>
          </w:p>
        </w:tc>
        <w:tc>
          <w:tcPr>
            <w:tcW w:w="1466" w:type="dxa"/>
            <w:tcBorders>
              <w:top w:val="nil"/>
              <w:left w:val="nil"/>
              <w:bottom w:val="single" w:color="auto" w:sz="4" w:space="0"/>
              <w:right w:val="single" w:color="auto" w:sz="4" w:space="0"/>
            </w:tcBorders>
            <w:noWrap w:val="0"/>
            <w:vAlign w:val="center"/>
          </w:tcPr>
          <w:p w14:paraId="6BDD4179">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人</w:t>
            </w:r>
          </w:p>
        </w:tc>
        <w:tc>
          <w:tcPr>
            <w:tcW w:w="1903" w:type="dxa"/>
            <w:tcBorders>
              <w:top w:val="nil"/>
              <w:left w:val="nil"/>
              <w:bottom w:val="single" w:color="auto" w:sz="4" w:space="0"/>
              <w:right w:val="single" w:color="auto" w:sz="4" w:space="0"/>
            </w:tcBorders>
            <w:noWrap w:val="0"/>
            <w:vAlign w:val="center"/>
          </w:tcPr>
          <w:p w14:paraId="05DCC4C2">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300≤X＜1000</w:t>
            </w:r>
          </w:p>
        </w:tc>
        <w:tc>
          <w:tcPr>
            <w:tcW w:w="1692" w:type="dxa"/>
            <w:tcBorders>
              <w:top w:val="nil"/>
              <w:left w:val="nil"/>
              <w:bottom w:val="single" w:color="auto" w:sz="4" w:space="0"/>
              <w:right w:val="single" w:color="auto" w:sz="4" w:space="0"/>
            </w:tcBorders>
            <w:noWrap w:val="0"/>
            <w:vAlign w:val="center"/>
          </w:tcPr>
          <w:p w14:paraId="012956B6">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20≤X＜300</w:t>
            </w:r>
          </w:p>
        </w:tc>
        <w:tc>
          <w:tcPr>
            <w:tcW w:w="1087" w:type="dxa"/>
            <w:tcBorders>
              <w:top w:val="nil"/>
              <w:left w:val="nil"/>
              <w:bottom w:val="single" w:color="auto" w:sz="4" w:space="0"/>
              <w:right w:val="single" w:color="auto" w:sz="4" w:space="0"/>
            </w:tcBorders>
            <w:noWrap w:val="0"/>
            <w:vAlign w:val="center"/>
          </w:tcPr>
          <w:p w14:paraId="2BF2C7EE">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X＜20</w:t>
            </w:r>
          </w:p>
        </w:tc>
      </w:tr>
      <w:tr w14:paraId="3EC2D89F">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6EB92A40">
            <w:pPr>
              <w:widowControl/>
              <w:snapToGrid w:val="0"/>
              <w:contextualSpacing/>
              <w:jc w:val="center"/>
              <w:rPr>
                <w:rFonts w:hint="eastAsia" w:ascii="微软雅黑" w:hAnsi="微软雅黑" w:eastAsia="微软雅黑" w:cs="微软雅黑"/>
                <w:b/>
                <w:bCs/>
                <w:color w:val="auto"/>
                <w:kern w:val="0"/>
                <w:sz w:val="22"/>
                <w:szCs w:val="22"/>
                <w:highlight w:val="none"/>
              </w:rPr>
            </w:pPr>
          </w:p>
        </w:tc>
        <w:tc>
          <w:tcPr>
            <w:tcW w:w="1660" w:type="dxa"/>
            <w:tcBorders>
              <w:top w:val="nil"/>
              <w:left w:val="nil"/>
              <w:bottom w:val="single" w:color="auto" w:sz="4" w:space="0"/>
              <w:right w:val="single" w:color="auto" w:sz="4" w:space="0"/>
            </w:tcBorders>
            <w:noWrap w:val="0"/>
            <w:vAlign w:val="center"/>
          </w:tcPr>
          <w:p w14:paraId="64802EBF">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营业收入（Y）</w:t>
            </w:r>
          </w:p>
        </w:tc>
        <w:tc>
          <w:tcPr>
            <w:tcW w:w="1466" w:type="dxa"/>
            <w:tcBorders>
              <w:top w:val="nil"/>
              <w:left w:val="nil"/>
              <w:bottom w:val="single" w:color="auto" w:sz="4" w:space="0"/>
              <w:right w:val="single" w:color="auto" w:sz="4" w:space="0"/>
            </w:tcBorders>
            <w:noWrap w:val="0"/>
            <w:vAlign w:val="center"/>
          </w:tcPr>
          <w:p w14:paraId="65FF6061">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13AF7D53">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2000≤Y＜30000</w:t>
            </w:r>
          </w:p>
        </w:tc>
        <w:tc>
          <w:tcPr>
            <w:tcW w:w="1692" w:type="dxa"/>
            <w:tcBorders>
              <w:top w:val="nil"/>
              <w:left w:val="nil"/>
              <w:bottom w:val="single" w:color="auto" w:sz="4" w:space="0"/>
              <w:right w:val="single" w:color="auto" w:sz="4" w:space="0"/>
            </w:tcBorders>
            <w:noWrap w:val="0"/>
            <w:vAlign w:val="center"/>
          </w:tcPr>
          <w:p w14:paraId="4CCB9126">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100≤Y＜2000</w:t>
            </w:r>
          </w:p>
        </w:tc>
        <w:tc>
          <w:tcPr>
            <w:tcW w:w="1087" w:type="dxa"/>
            <w:tcBorders>
              <w:top w:val="nil"/>
              <w:left w:val="nil"/>
              <w:bottom w:val="single" w:color="auto" w:sz="4" w:space="0"/>
              <w:right w:val="single" w:color="auto" w:sz="4" w:space="0"/>
            </w:tcBorders>
            <w:noWrap w:val="0"/>
            <w:vAlign w:val="center"/>
          </w:tcPr>
          <w:p w14:paraId="0C39D5A3">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Y＜100</w:t>
            </w:r>
          </w:p>
        </w:tc>
      </w:tr>
      <w:tr w14:paraId="236E87AB">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2BC75F8D">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住宿业</w:t>
            </w:r>
          </w:p>
        </w:tc>
        <w:tc>
          <w:tcPr>
            <w:tcW w:w="1660" w:type="dxa"/>
            <w:tcBorders>
              <w:top w:val="nil"/>
              <w:left w:val="nil"/>
              <w:bottom w:val="single" w:color="auto" w:sz="4" w:space="0"/>
              <w:right w:val="single" w:color="auto" w:sz="4" w:space="0"/>
            </w:tcBorders>
            <w:noWrap w:val="0"/>
            <w:vAlign w:val="center"/>
          </w:tcPr>
          <w:p w14:paraId="310E08EF">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从业人员（X）</w:t>
            </w:r>
          </w:p>
        </w:tc>
        <w:tc>
          <w:tcPr>
            <w:tcW w:w="1466" w:type="dxa"/>
            <w:tcBorders>
              <w:top w:val="nil"/>
              <w:left w:val="nil"/>
              <w:bottom w:val="single" w:color="auto" w:sz="4" w:space="0"/>
              <w:right w:val="single" w:color="auto" w:sz="4" w:space="0"/>
            </w:tcBorders>
            <w:noWrap w:val="0"/>
            <w:vAlign w:val="center"/>
          </w:tcPr>
          <w:p w14:paraId="1CF6C805">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人</w:t>
            </w:r>
          </w:p>
        </w:tc>
        <w:tc>
          <w:tcPr>
            <w:tcW w:w="1903" w:type="dxa"/>
            <w:tcBorders>
              <w:top w:val="nil"/>
              <w:left w:val="nil"/>
              <w:bottom w:val="single" w:color="auto" w:sz="4" w:space="0"/>
              <w:right w:val="single" w:color="auto" w:sz="4" w:space="0"/>
            </w:tcBorders>
            <w:noWrap w:val="0"/>
            <w:vAlign w:val="center"/>
          </w:tcPr>
          <w:p w14:paraId="4C9A6E8D">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100≤X＜300</w:t>
            </w:r>
          </w:p>
        </w:tc>
        <w:tc>
          <w:tcPr>
            <w:tcW w:w="1692" w:type="dxa"/>
            <w:tcBorders>
              <w:top w:val="nil"/>
              <w:left w:val="nil"/>
              <w:bottom w:val="single" w:color="auto" w:sz="4" w:space="0"/>
              <w:right w:val="single" w:color="auto" w:sz="4" w:space="0"/>
            </w:tcBorders>
            <w:noWrap w:val="0"/>
            <w:vAlign w:val="center"/>
          </w:tcPr>
          <w:p w14:paraId="67CEB5C6">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10≤X＜100</w:t>
            </w:r>
          </w:p>
        </w:tc>
        <w:tc>
          <w:tcPr>
            <w:tcW w:w="1087" w:type="dxa"/>
            <w:tcBorders>
              <w:top w:val="nil"/>
              <w:left w:val="nil"/>
              <w:bottom w:val="single" w:color="auto" w:sz="4" w:space="0"/>
              <w:right w:val="single" w:color="auto" w:sz="4" w:space="0"/>
            </w:tcBorders>
            <w:noWrap w:val="0"/>
            <w:vAlign w:val="center"/>
          </w:tcPr>
          <w:p w14:paraId="317C71BD">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X＜10</w:t>
            </w:r>
          </w:p>
        </w:tc>
      </w:tr>
      <w:tr w14:paraId="57624192">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13B0193F">
            <w:pPr>
              <w:widowControl/>
              <w:snapToGrid w:val="0"/>
              <w:contextualSpacing/>
              <w:jc w:val="center"/>
              <w:rPr>
                <w:rFonts w:hint="eastAsia" w:ascii="微软雅黑" w:hAnsi="微软雅黑" w:eastAsia="微软雅黑" w:cs="微软雅黑"/>
                <w:b/>
                <w:bCs/>
                <w:color w:val="auto"/>
                <w:kern w:val="0"/>
                <w:sz w:val="22"/>
                <w:szCs w:val="22"/>
                <w:highlight w:val="none"/>
              </w:rPr>
            </w:pPr>
          </w:p>
        </w:tc>
        <w:tc>
          <w:tcPr>
            <w:tcW w:w="1660" w:type="dxa"/>
            <w:tcBorders>
              <w:top w:val="nil"/>
              <w:left w:val="nil"/>
              <w:bottom w:val="single" w:color="auto" w:sz="4" w:space="0"/>
              <w:right w:val="single" w:color="auto" w:sz="4" w:space="0"/>
            </w:tcBorders>
            <w:noWrap w:val="0"/>
            <w:vAlign w:val="center"/>
          </w:tcPr>
          <w:p w14:paraId="07DE9007">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营业收入（Y）</w:t>
            </w:r>
          </w:p>
        </w:tc>
        <w:tc>
          <w:tcPr>
            <w:tcW w:w="1466" w:type="dxa"/>
            <w:tcBorders>
              <w:top w:val="nil"/>
              <w:left w:val="nil"/>
              <w:bottom w:val="single" w:color="auto" w:sz="4" w:space="0"/>
              <w:right w:val="single" w:color="auto" w:sz="4" w:space="0"/>
            </w:tcBorders>
            <w:noWrap w:val="0"/>
            <w:vAlign w:val="center"/>
          </w:tcPr>
          <w:p w14:paraId="6D66242E">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38F6C943">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2000≤Y＜10000</w:t>
            </w:r>
          </w:p>
        </w:tc>
        <w:tc>
          <w:tcPr>
            <w:tcW w:w="1692" w:type="dxa"/>
            <w:tcBorders>
              <w:top w:val="nil"/>
              <w:left w:val="nil"/>
              <w:bottom w:val="single" w:color="auto" w:sz="4" w:space="0"/>
              <w:right w:val="single" w:color="auto" w:sz="4" w:space="0"/>
            </w:tcBorders>
            <w:noWrap w:val="0"/>
            <w:vAlign w:val="center"/>
          </w:tcPr>
          <w:p w14:paraId="29F96A28">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100≤Y＜2000</w:t>
            </w:r>
          </w:p>
        </w:tc>
        <w:tc>
          <w:tcPr>
            <w:tcW w:w="1087" w:type="dxa"/>
            <w:tcBorders>
              <w:top w:val="nil"/>
              <w:left w:val="nil"/>
              <w:bottom w:val="single" w:color="auto" w:sz="4" w:space="0"/>
              <w:right w:val="single" w:color="auto" w:sz="4" w:space="0"/>
            </w:tcBorders>
            <w:noWrap w:val="0"/>
            <w:vAlign w:val="center"/>
          </w:tcPr>
          <w:p w14:paraId="3B982BCB">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Y＜100</w:t>
            </w:r>
          </w:p>
        </w:tc>
      </w:tr>
      <w:tr w14:paraId="2594E307">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69CB910B">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餐饮业</w:t>
            </w:r>
          </w:p>
        </w:tc>
        <w:tc>
          <w:tcPr>
            <w:tcW w:w="1660" w:type="dxa"/>
            <w:tcBorders>
              <w:top w:val="nil"/>
              <w:left w:val="nil"/>
              <w:bottom w:val="single" w:color="auto" w:sz="4" w:space="0"/>
              <w:right w:val="single" w:color="auto" w:sz="4" w:space="0"/>
            </w:tcBorders>
            <w:noWrap w:val="0"/>
            <w:vAlign w:val="center"/>
          </w:tcPr>
          <w:p w14:paraId="32F98604">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从业人员（X）</w:t>
            </w:r>
          </w:p>
        </w:tc>
        <w:tc>
          <w:tcPr>
            <w:tcW w:w="1466" w:type="dxa"/>
            <w:tcBorders>
              <w:top w:val="nil"/>
              <w:left w:val="nil"/>
              <w:bottom w:val="single" w:color="auto" w:sz="4" w:space="0"/>
              <w:right w:val="single" w:color="auto" w:sz="4" w:space="0"/>
            </w:tcBorders>
            <w:noWrap w:val="0"/>
            <w:vAlign w:val="center"/>
          </w:tcPr>
          <w:p w14:paraId="1B107CA8">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人</w:t>
            </w:r>
          </w:p>
        </w:tc>
        <w:tc>
          <w:tcPr>
            <w:tcW w:w="1903" w:type="dxa"/>
            <w:tcBorders>
              <w:top w:val="nil"/>
              <w:left w:val="nil"/>
              <w:bottom w:val="single" w:color="auto" w:sz="4" w:space="0"/>
              <w:right w:val="single" w:color="auto" w:sz="4" w:space="0"/>
            </w:tcBorders>
            <w:noWrap w:val="0"/>
            <w:vAlign w:val="center"/>
          </w:tcPr>
          <w:p w14:paraId="29CA1640">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100≤X＜300</w:t>
            </w:r>
          </w:p>
        </w:tc>
        <w:tc>
          <w:tcPr>
            <w:tcW w:w="1692" w:type="dxa"/>
            <w:tcBorders>
              <w:top w:val="nil"/>
              <w:left w:val="nil"/>
              <w:bottom w:val="single" w:color="auto" w:sz="4" w:space="0"/>
              <w:right w:val="single" w:color="auto" w:sz="4" w:space="0"/>
            </w:tcBorders>
            <w:noWrap w:val="0"/>
            <w:vAlign w:val="center"/>
          </w:tcPr>
          <w:p w14:paraId="651E486D">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10≤X＜100</w:t>
            </w:r>
          </w:p>
        </w:tc>
        <w:tc>
          <w:tcPr>
            <w:tcW w:w="1087" w:type="dxa"/>
            <w:tcBorders>
              <w:top w:val="nil"/>
              <w:left w:val="nil"/>
              <w:bottom w:val="single" w:color="auto" w:sz="4" w:space="0"/>
              <w:right w:val="single" w:color="auto" w:sz="4" w:space="0"/>
            </w:tcBorders>
            <w:noWrap w:val="0"/>
            <w:vAlign w:val="center"/>
          </w:tcPr>
          <w:p w14:paraId="5FDE6A8D">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X＜10</w:t>
            </w:r>
          </w:p>
        </w:tc>
      </w:tr>
      <w:tr w14:paraId="435A1418">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5933BEA9">
            <w:pPr>
              <w:widowControl/>
              <w:snapToGrid w:val="0"/>
              <w:contextualSpacing/>
              <w:jc w:val="center"/>
              <w:rPr>
                <w:rFonts w:hint="eastAsia" w:ascii="微软雅黑" w:hAnsi="微软雅黑" w:eastAsia="微软雅黑" w:cs="微软雅黑"/>
                <w:b/>
                <w:bCs/>
                <w:color w:val="auto"/>
                <w:kern w:val="0"/>
                <w:sz w:val="22"/>
                <w:szCs w:val="22"/>
                <w:highlight w:val="none"/>
              </w:rPr>
            </w:pPr>
          </w:p>
        </w:tc>
        <w:tc>
          <w:tcPr>
            <w:tcW w:w="1660" w:type="dxa"/>
            <w:tcBorders>
              <w:top w:val="nil"/>
              <w:left w:val="nil"/>
              <w:bottom w:val="single" w:color="auto" w:sz="4" w:space="0"/>
              <w:right w:val="single" w:color="auto" w:sz="4" w:space="0"/>
            </w:tcBorders>
            <w:noWrap w:val="0"/>
            <w:vAlign w:val="center"/>
          </w:tcPr>
          <w:p w14:paraId="086996D2">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营业收入（Y）</w:t>
            </w:r>
          </w:p>
        </w:tc>
        <w:tc>
          <w:tcPr>
            <w:tcW w:w="1466" w:type="dxa"/>
            <w:tcBorders>
              <w:top w:val="nil"/>
              <w:left w:val="nil"/>
              <w:bottom w:val="single" w:color="auto" w:sz="4" w:space="0"/>
              <w:right w:val="single" w:color="auto" w:sz="4" w:space="0"/>
            </w:tcBorders>
            <w:noWrap w:val="0"/>
            <w:vAlign w:val="center"/>
          </w:tcPr>
          <w:p w14:paraId="4D80FFE4">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468E687F">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2000≤Y＜10000</w:t>
            </w:r>
          </w:p>
        </w:tc>
        <w:tc>
          <w:tcPr>
            <w:tcW w:w="1692" w:type="dxa"/>
            <w:tcBorders>
              <w:top w:val="nil"/>
              <w:left w:val="nil"/>
              <w:bottom w:val="single" w:color="auto" w:sz="4" w:space="0"/>
              <w:right w:val="single" w:color="auto" w:sz="4" w:space="0"/>
            </w:tcBorders>
            <w:noWrap w:val="0"/>
            <w:vAlign w:val="center"/>
          </w:tcPr>
          <w:p w14:paraId="303FF44A">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100≤Y＜2000</w:t>
            </w:r>
          </w:p>
        </w:tc>
        <w:tc>
          <w:tcPr>
            <w:tcW w:w="1087" w:type="dxa"/>
            <w:tcBorders>
              <w:top w:val="nil"/>
              <w:left w:val="nil"/>
              <w:bottom w:val="single" w:color="auto" w:sz="4" w:space="0"/>
              <w:right w:val="single" w:color="auto" w:sz="4" w:space="0"/>
            </w:tcBorders>
            <w:noWrap w:val="0"/>
            <w:vAlign w:val="center"/>
          </w:tcPr>
          <w:p w14:paraId="492D8BD2">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Y＜100</w:t>
            </w:r>
          </w:p>
        </w:tc>
      </w:tr>
      <w:tr w14:paraId="48DBBC20">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31C19C13">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信息传输业</w:t>
            </w:r>
          </w:p>
        </w:tc>
        <w:tc>
          <w:tcPr>
            <w:tcW w:w="1660" w:type="dxa"/>
            <w:tcBorders>
              <w:top w:val="nil"/>
              <w:left w:val="nil"/>
              <w:bottom w:val="single" w:color="auto" w:sz="4" w:space="0"/>
              <w:right w:val="single" w:color="auto" w:sz="4" w:space="0"/>
            </w:tcBorders>
            <w:noWrap w:val="0"/>
            <w:vAlign w:val="center"/>
          </w:tcPr>
          <w:p w14:paraId="0CC076F5">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从业人员（X）</w:t>
            </w:r>
          </w:p>
        </w:tc>
        <w:tc>
          <w:tcPr>
            <w:tcW w:w="1466" w:type="dxa"/>
            <w:tcBorders>
              <w:top w:val="nil"/>
              <w:left w:val="nil"/>
              <w:bottom w:val="single" w:color="auto" w:sz="4" w:space="0"/>
              <w:right w:val="single" w:color="auto" w:sz="4" w:space="0"/>
            </w:tcBorders>
            <w:noWrap w:val="0"/>
            <w:vAlign w:val="center"/>
          </w:tcPr>
          <w:p w14:paraId="781573AA">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人</w:t>
            </w:r>
          </w:p>
        </w:tc>
        <w:tc>
          <w:tcPr>
            <w:tcW w:w="1903" w:type="dxa"/>
            <w:tcBorders>
              <w:top w:val="nil"/>
              <w:left w:val="nil"/>
              <w:bottom w:val="single" w:color="auto" w:sz="4" w:space="0"/>
              <w:right w:val="single" w:color="auto" w:sz="4" w:space="0"/>
            </w:tcBorders>
            <w:noWrap w:val="0"/>
            <w:vAlign w:val="center"/>
          </w:tcPr>
          <w:p w14:paraId="15333699">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100≤X＜2000</w:t>
            </w:r>
          </w:p>
        </w:tc>
        <w:tc>
          <w:tcPr>
            <w:tcW w:w="1692" w:type="dxa"/>
            <w:tcBorders>
              <w:top w:val="nil"/>
              <w:left w:val="nil"/>
              <w:bottom w:val="single" w:color="auto" w:sz="4" w:space="0"/>
              <w:right w:val="single" w:color="auto" w:sz="4" w:space="0"/>
            </w:tcBorders>
            <w:noWrap w:val="0"/>
            <w:vAlign w:val="center"/>
          </w:tcPr>
          <w:p w14:paraId="029E4C8E">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10≤X＜100</w:t>
            </w:r>
          </w:p>
        </w:tc>
        <w:tc>
          <w:tcPr>
            <w:tcW w:w="1087" w:type="dxa"/>
            <w:tcBorders>
              <w:top w:val="nil"/>
              <w:left w:val="nil"/>
              <w:bottom w:val="single" w:color="auto" w:sz="4" w:space="0"/>
              <w:right w:val="single" w:color="auto" w:sz="4" w:space="0"/>
            </w:tcBorders>
            <w:noWrap w:val="0"/>
            <w:vAlign w:val="center"/>
          </w:tcPr>
          <w:p w14:paraId="7B79A344">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X＜10</w:t>
            </w:r>
          </w:p>
        </w:tc>
      </w:tr>
      <w:tr w14:paraId="7F96A2DF">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01B24030">
            <w:pPr>
              <w:widowControl/>
              <w:snapToGrid w:val="0"/>
              <w:contextualSpacing/>
              <w:jc w:val="center"/>
              <w:rPr>
                <w:rFonts w:hint="eastAsia" w:ascii="微软雅黑" w:hAnsi="微软雅黑" w:eastAsia="微软雅黑" w:cs="微软雅黑"/>
                <w:b/>
                <w:bCs/>
                <w:color w:val="auto"/>
                <w:kern w:val="0"/>
                <w:sz w:val="22"/>
                <w:szCs w:val="22"/>
                <w:highlight w:val="none"/>
              </w:rPr>
            </w:pPr>
          </w:p>
        </w:tc>
        <w:tc>
          <w:tcPr>
            <w:tcW w:w="1660" w:type="dxa"/>
            <w:tcBorders>
              <w:top w:val="nil"/>
              <w:left w:val="nil"/>
              <w:bottom w:val="single" w:color="auto" w:sz="4" w:space="0"/>
              <w:right w:val="single" w:color="auto" w:sz="4" w:space="0"/>
            </w:tcBorders>
            <w:noWrap w:val="0"/>
            <w:vAlign w:val="center"/>
          </w:tcPr>
          <w:p w14:paraId="01022690">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营业收入（Y）</w:t>
            </w:r>
          </w:p>
        </w:tc>
        <w:tc>
          <w:tcPr>
            <w:tcW w:w="1466" w:type="dxa"/>
            <w:tcBorders>
              <w:top w:val="nil"/>
              <w:left w:val="nil"/>
              <w:bottom w:val="single" w:color="auto" w:sz="4" w:space="0"/>
              <w:right w:val="single" w:color="auto" w:sz="4" w:space="0"/>
            </w:tcBorders>
            <w:noWrap w:val="0"/>
            <w:vAlign w:val="center"/>
          </w:tcPr>
          <w:p w14:paraId="7C45B57C">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6E2B457D">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1000≤Y＜100000</w:t>
            </w:r>
          </w:p>
        </w:tc>
        <w:tc>
          <w:tcPr>
            <w:tcW w:w="1692" w:type="dxa"/>
            <w:tcBorders>
              <w:top w:val="nil"/>
              <w:left w:val="nil"/>
              <w:bottom w:val="single" w:color="auto" w:sz="4" w:space="0"/>
              <w:right w:val="single" w:color="auto" w:sz="4" w:space="0"/>
            </w:tcBorders>
            <w:noWrap w:val="0"/>
            <w:vAlign w:val="center"/>
          </w:tcPr>
          <w:p w14:paraId="6464970A">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100≤Y＜1000</w:t>
            </w:r>
          </w:p>
        </w:tc>
        <w:tc>
          <w:tcPr>
            <w:tcW w:w="1087" w:type="dxa"/>
            <w:tcBorders>
              <w:top w:val="nil"/>
              <w:left w:val="nil"/>
              <w:bottom w:val="single" w:color="auto" w:sz="4" w:space="0"/>
              <w:right w:val="single" w:color="auto" w:sz="4" w:space="0"/>
            </w:tcBorders>
            <w:noWrap w:val="0"/>
            <w:vAlign w:val="center"/>
          </w:tcPr>
          <w:p w14:paraId="5204B242">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Y＜100</w:t>
            </w:r>
          </w:p>
        </w:tc>
      </w:tr>
      <w:tr w14:paraId="44941955">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36E78105">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软件和信息技术服务业</w:t>
            </w:r>
          </w:p>
        </w:tc>
        <w:tc>
          <w:tcPr>
            <w:tcW w:w="1660" w:type="dxa"/>
            <w:tcBorders>
              <w:top w:val="nil"/>
              <w:left w:val="nil"/>
              <w:bottom w:val="single" w:color="auto" w:sz="4" w:space="0"/>
              <w:right w:val="single" w:color="auto" w:sz="4" w:space="0"/>
            </w:tcBorders>
            <w:noWrap w:val="0"/>
            <w:vAlign w:val="center"/>
          </w:tcPr>
          <w:p w14:paraId="64FFC01C">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从业人员（X）</w:t>
            </w:r>
          </w:p>
        </w:tc>
        <w:tc>
          <w:tcPr>
            <w:tcW w:w="1466" w:type="dxa"/>
            <w:tcBorders>
              <w:top w:val="nil"/>
              <w:left w:val="nil"/>
              <w:bottom w:val="single" w:color="auto" w:sz="4" w:space="0"/>
              <w:right w:val="single" w:color="auto" w:sz="4" w:space="0"/>
            </w:tcBorders>
            <w:noWrap w:val="0"/>
            <w:vAlign w:val="center"/>
          </w:tcPr>
          <w:p w14:paraId="6CCAE3D1">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人</w:t>
            </w:r>
          </w:p>
        </w:tc>
        <w:tc>
          <w:tcPr>
            <w:tcW w:w="1903" w:type="dxa"/>
            <w:tcBorders>
              <w:top w:val="nil"/>
              <w:left w:val="nil"/>
              <w:bottom w:val="single" w:color="auto" w:sz="4" w:space="0"/>
              <w:right w:val="single" w:color="auto" w:sz="4" w:space="0"/>
            </w:tcBorders>
            <w:noWrap w:val="0"/>
            <w:vAlign w:val="center"/>
          </w:tcPr>
          <w:p w14:paraId="38E8609C">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100≤X＜300</w:t>
            </w:r>
          </w:p>
        </w:tc>
        <w:tc>
          <w:tcPr>
            <w:tcW w:w="1692" w:type="dxa"/>
            <w:tcBorders>
              <w:top w:val="nil"/>
              <w:left w:val="nil"/>
              <w:bottom w:val="single" w:color="auto" w:sz="4" w:space="0"/>
              <w:right w:val="single" w:color="auto" w:sz="4" w:space="0"/>
            </w:tcBorders>
            <w:noWrap w:val="0"/>
            <w:vAlign w:val="center"/>
          </w:tcPr>
          <w:p w14:paraId="5F062BD3">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10≤X＜100</w:t>
            </w:r>
          </w:p>
        </w:tc>
        <w:tc>
          <w:tcPr>
            <w:tcW w:w="1087" w:type="dxa"/>
            <w:tcBorders>
              <w:top w:val="nil"/>
              <w:left w:val="nil"/>
              <w:bottom w:val="single" w:color="auto" w:sz="4" w:space="0"/>
              <w:right w:val="single" w:color="auto" w:sz="4" w:space="0"/>
            </w:tcBorders>
            <w:noWrap w:val="0"/>
            <w:vAlign w:val="center"/>
          </w:tcPr>
          <w:p w14:paraId="05047041">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X＜10</w:t>
            </w:r>
          </w:p>
        </w:tc>
      </w:tr>
      <w:tr w14:paraId="084B3B57">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17167AAB">
            <w:pPr>
              <w:widowControl/>
              <w:snapToGrid w:val="0"/>
              <w:contextualSpacing/>
              <w:jc w:val="center"/>
              <w:rPr>
                <w:rFonts w:hint="eastAsia" w:ascii="微软雅黑" w:hAnsi="微软雅黑" w:eastAsia="微软雅黑" w:cs="微软雅黑"/>
                <w:b/>
                <w:bCs/>
                <w:color w:val="auto"/>
                <w:kern w:val="0"/>
                <w:sz w:val="22"/>
                <w:szCs w:val="22"/>
                <w:highlight w:val="none"/>
              </w:rPr>
            </w:pPr>
          </w:p>
        </w:tc>
        <w:tc>
          <w:tcPr>
            <w:tcW w:w="1660" w:type="dxa"/>
            <w:tcBorders>
              <w:top w:val="nil"/>
              <w:left w:val="nil"/>
              <w:bottom w:val="single" w:color="auto" w:sz="4" w:space="0"/>
              <w:right w:val="single" w:color="auto" w:sz="4" w:space="0"/>
            </w:tcBorders>
            <w:noWrap w:val="0"/>
            <w:vAlign w:val="center"/>
          </w:tcPr>
          <w:p w14:paraId="3A6ECF1A">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营业收入（Y）</w:t>
            </w:r>
          </w:p>
        </w:tc>
        <w:tc>
          <w:tcPr>
            <w:tcW w:w="1466" w:type="dxa"/>
            <w:tcBorders>
              <w:top w:val="nil"/>
              <w:left w:val="nil"/>
              <w:bottom w:val="single" w:color="auto" w:sz="4" w:space="0"/>
              <w:right w:val="single" w:color="auto" w:sz="4" w:space="0"/>
            </w:tcBorders>
            <w:noWrap w:val="0"/>
            <w:vAlign w:val="center"/>
          </w:tcPr>
          <w:p w14:paraId="00A92B66">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3A42EBEB">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1000≤Y＜10000</w:t>
            </w:r>
          </w:p>
        </w:tc>
        <w:tc>
          <w:tcPr>
            <w:tcW w:w="1692" w:type="dxa"/>
            <w:tcBorders>
              <w:top w:val="nil"/>
              <w:left w:val="nil"/>
              <w:bottom w:val="single" w:color="auto" w:sz="4" w:space="0"/>
              <w:right w:val="single" w:color="auto" w:sz="4" w:space="0"/>
            </w:tcBorders>
            <w:noWrap w:val="0"/>
            <w:vAlign w:val="center"/>
          </w:tcPr>
          <w:p w14:paraId="44848B31">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50≤Y＜1000</w:t>
            </w:r>
          </w:p>
        </w:tc>
        <w:tc>
          <w:tcPr>
            <w:tcW w:w="1087" w:type="dxa"/>
            <w:tcBorders>
              <w:top w:val="nil"/>
              <w:left w:val="nil"/>
              <w:bottom w:val="single" w:color="auto" w:sz="4" w:space="0"/>
              <w:right w:val="single" w:color="auto" w:sz="4" w:space="0"/>
            </w:tcBorders>
            <w:noWrap w:val="0"/>
            <w:vAlign w:val="center"/>
          </w:tcPr>
          <w:p w14:paraId="63107E51">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Y＜50</w:t>
            </w:r>
          </w:p>
        </w:tc>
      </w:tr>
      <w:tr w14:paraId="2B543C7D">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61B66644">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房地产开发经营</w:t>
            </w:r>
          </w:p>
        </w:tc>
        <w:tc>
          <w:tcPr>
            <w:tcW w:w="1660" w:type="dxa"/>
            <w:tcBorders>
              <w:top w:val="nil"/>
              <w:left w:val="nil"/>
              <w:bottom w:val="single" w:color="auto" w:sz="4" w:space="0"/>
              <w:right w:val="single" w:color="auto" w:sz="4" w:space="0"/>
            </w:tcBorders>
            <w:noWrap w:val="0"/>
            <w:vAlign w:val="center"/>
          </w:tcPr>
          <w:p w14:paraId="008835F8">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营业收入（Y）</w:t>
            </w:r>
          </w:p>
        </w:tc>
        <w:tc>
          <w:tcPr>
            <w:tcW w:w="1466" w:type="dxa"/>
            <w:tcBorders>
              <w:top w:val="nil"/>
              <w:left w:val="nil"/>
              <w:bottom w:val="single" w:color="auto" w:sz="4" w:space="0"/>
              <w:right w:val="single" w:color="auto" w:sz="4" w:space="0"/>
            </w:tcBorders>
            <w:noWrap w:val="0"/>
            <w:vAlign w:val="center"/>
          </w:tcPr>
          <w:p w14:paraId="53372B6F">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565EA501">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1000≤Y＜200000</w:t>
            </w:r>
          </w:p>
        </w:tc>
        <w:tc>
          <w:tcPr>
            <w:tcW w:w="1692" w:type="dxa"/>
            <w:tcBorders>
              <w:top w:val="nil"/>
              <w:left w:val="nil"/>
              <w:bottom w:val="single" w:color="auto" w:sz="4" w:space="0"/>
              <w:right w:val="single" w:color="auto" w:sz="4" w:space="0"/>
            </w:tcBorders>
            <w:noWrap w:val="0"/>
            <w:vAlign w:val="center"/>
          </w:tcPr>
          <w:p w14:paraId="12708E01">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100≤X＜1000</w:t>
            </w:r>
          </w:p>
        </w:tc>
        <w:tc>
          <w:tcPr>
            <w:tcW w:w="1087" w:type="dxa"/>
            <w:tcBorders>
              <w:top w:val="nil"/>
              <w:left w:val="nil"/>
              <w:bottom w:val="single" w:color="auto" w:sz="4" w:space="0"/>
              <w:right w:val="single" w:color="auto" w:sz="4" w:space="0"/>
            </w:tcBorders>
            <w:noWrap w:val="0"/>
            <w:vAlign w:val="center"/>
          </w:tcPr>
          <w:p w14:paraId="213631D8">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X＜100</w:t>
            </w:r>
          </w:p>
        </w:tc>
      </w:tr>
      <w:tr w14:paraId="07DC41E7">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6F870C8E">
            <w:pPr>
              <w:widowControl/>
              <w:snapToGrid w:val="0"/>
              <w:contextualSpacing/>
              <w:jc w:val="center"/>
              <w:rPr>
                <w:rFonts w:hint="eastAsia" w:ascii="微软雅黑" w:hAnsi="微软雅黑" w:eastAsia="微软雅黑" w:cs="微软雅黑"/>
                <w:b/>
                <w:bCs/>
                <w:color w:val="auto"/>
                <w:kern w:val="0"/>
                <w:sz w:val="22"/>
                <w:szCs w:val="22"/>
                <w:highlight w:val="none"/>
              </w:rPr>
            </w:pPr>
          </w:p>
        </w:tc>
        <w:tc>
          <w:tcPr>
            <w:tcW w:w="1660" w:type="dxa"/>
            <w:tcBorders>
              <w:top w:val="nil"/>
              <w:left w:val="nil"/>
              <w:bottom w:val="single" w:color="auto" w:sz="4" w:space="0"/>
              <w:right w:val="single" w:color="auto" w:sz="4" w:space="0"/>
            </w:tcBorders>
            <w:noWrap w:val="0"/>
            <w:vAlign w:val="center"/>
          </w:tcPr>
          <w:p w14:paraId="4C0BFB42">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资产总额（Z）</w:t>
            </w:r>
          </w:p>
        </w:tc>
        <w:tc>
          <w:tcPr>
            <w:tcW w:w="1466" w:type="dxa"/>
            <w:tcBorders>
              <w:top w:val="nil"/>
              <w:left w:val="nil"/>
              <w:bottom w:val="single" w:color="auto" w:sz="4" w:space="0"/>
              <w:right w:val="single" w:color="auto" w:sz="4" w:space="0"/>
            </w:tcBorders>
            <w:noWrap w:val="0"/>
            <w:vAlign w:val="center"/>
          </w:tcPr>
          <w:p w14:paraId="34F5E698">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6300B9EF">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5000≤Z＜10000</w:t>
            </w:r>
          </w:p>
        </w:tc>
        <w:tc>
          <w:tcPr>
            <w:tcW w:w="1692" w:type="dxa"/>
            <w:tcBorders>
              <w:top w:val="nil"/>
              <w:left w:val="nil"/>
              <w:bottom w:val="single" w:color="auto" w:sz="4" w:space="0"/>
              <w:right w:val="single" w:color="auto" w:sz="4" w:space="0"/>
            </w:tcBorders>
            <w:noWrap w:val="0"/>
            <w:vAlign w:val="center"/>
          </w:tcPr>
          <w:p w14:paraId="6B249346">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2000≤Y＜5000</w:t>
            </w:r>
          </w:p>
        </w:tc>
        <w:tc>
          <w:tcPr>
            <w:tcW w:w="1087" w:type="dxa"/>
            <w:tcBorders>
              <w:top w:val="nil"/>
              <w:left w:val="nil"/>
              <w:bottom w:val="single" w:color="auto" w:sz="4" w:space="0"/>
              <w:right w:val="single" w:color="auto" w:sz="4" w:space="0"/>
            </w:tcBorders>
            <w:noWrap w:val="0"/>
            <w:vAlign w:val="center"/>
          </w:tcPr>
          <w:p w14:paraId="03CA68B7">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Y＜2000</w:t>
            </w:r>
          </w:p>
        </w:tc>
      </w:tr>
      <w:tr w14:paraId="52618AB7">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6ADA3957">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物业管理</w:t>
            </w:r>
          </w:p>
        </w:tc>
        <w:tc>
          <w:tcPr>
            <w:tcW w:w="1660" w:type="dxa"/>
            <w:tcBorders>
              <w:top w:val="nil"/>
              <w:left w:val="nil"/>
              <w:bottom w:val="single" w:color="auto" w:sz="4" w:space="0"/>
              <w:right w:val="single" w:color="auto" w:sz="4" w:space="0"/>
            </w:tcBorders>
            <w:noWrap w:val="0"/>
            <w:vAlign w:val="center"/>
          </w:tcPr>
          <w:p w14:paraId="0463FAD1">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从业人员（X）</w:t>
            </w:r>
          </w:p>
        </w:tc>
        <w:tc>
          <w:tcPr>
            <w:tcW w:w="1466" w:type="dxa"/>
            <w:tcBorders>
              <w:top w:val="nil"/>
              <w:left w:val="nil"/>
              <w:bottom w:val="single" w:color="auto" w:sz="4" w:space="0"/>
              <w:right w:val="single" w:color="auto" w:sz="4" w:space="0"/>
            </w:tcBorders>
            <w:noWrap w:val="0"/>
            <w:vAlign w:val="center"/>
          </w:tcPr>
          <w:p w14:paraId="0922F583">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人</w:t>
            </w:r>
          </w:p>
        </w:tc>
        <w:tc>
          <w:tcPr>
            <w:tcW w:w="1903" w:type="dxa"/>
            <w:tcBorders>
              <w:top w:val="nil"/>
              <w:left w:val="nil"/>
              <w:bottom w:val="single" w:color="auto" w:sz="4" w:space="0"/>
              <w:right w:val="single" w:color="auto" w:sz="4" w:space="0"/>
            </w:tcBorders>
            <w:noWrap w:val="0"/>
            <w:vAlign w:val="center"/>
          </w:tcPr>
          <w:p w14:paraId="39F8A403">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300≤X＜1000</w:t>
            </w:r>
          </w:p>
        </w:tc>
        <w:tc>
          <w:tcPr>
            <w:tcW w:w="1692" w:type="dxa"/>
            <w:tcBorders>
              <w:top w:val="nil"/>
              <w:left w:val="nil"/>
              <w:bottom w:val="single" w:color="auto" w:sz="4" w:space="0"/>
              <w:right w:val="single" w:color="auto" w:sz="4" w:space="0"/>
            </w:tcBorders>
            <w:noWrap w:val="0"/>
            <w:vAlign w:val="center"/>
          </w:tcPr>
          <w:p w14:paraId="3078CD8E">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100≤X＜300</w:t>
            </w:r>
          </w:p>
        </w:tc>
        <w:tc>
          <w:tcPr>
            <w:tcW w:w="1087" w:type="dxa"/>
            <w:tcBorders>
              <w:top w:val="nil"/>
              <w:left w:val="nil"/>
              <w:bottom w:val="single" w:color="auto" w:sz="4" w:space="0"/>
              <w:right w:val="single" w:color="auto" w:sz="4" w:space="0"/>
            </w:tcBorders>
            <w:noWrap w:val="0"/>
            <w:vAlign w:val="center"/>
          </w:tcPr>
          <w:p w14:paraId="3D7E9336">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X＜100</w:t>
            </w:r>
          </w:p>
        </w:tc>
      </w:tr>
      <w:tr w14:paraId="55B76F43">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718CA1F9">
            <w:pPr>
              <w:widowControl/>
              <w:snapToGrid w:val="0"/>
              <w:contextualSpacing/>
              <w:jc w:val="center"/>
              <w:rPr>
                <w:rFonts w:hint="eastAsia" w:ascii="微软雅黑" w:hAnsi="微软雅黑" w:eastAsia="微软雅黑" w:cs="微软雅黑"/>
                <w:b/>
                <w:bCs/>
                <w:color w:val="auto"/>
                <w:kern w:val="0"/>
                <w:sz w:val="22"/>
                <w:szCs w:val="22"/>
                <w:highlight w:val="none"/>
              </w:rPr>
            </w:pPr>
          </w:p>
        </w:tc>
        <w:tc>
          <w:tcPr>
            <w:tcW w:w="1660" w:type="dxa"/>
            <w:tcBorders>
              <w:top w:val="nil"/>
              <w:left w:val="nil"/>
              <w:bottom w:val="single" w:color="auto" w:sz="4" w:space="0"/>
              <w:right w:val="single" w:color="auto" w:sz="4" w:space="0"/>
            </w:tcBorders>
            <w:noWrap w:val="0"/>
            <w:vAlign w:val="center"/>
          </w:tcPr>
          <w:p w14:paraId="3B4C7142">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营业收入（Y）</w:t>
            </w:r>
          </w:p>
        </w:tc>
        <w:tc>
          <w:tcPr>
            <w:tcW w:w="1466" w:type="dxa"/>
            <w:tcBorders>
              <w:top w:val="nil"/>
              <w:left w:val="nil"/>
              <w:bottom w:val="single" w:color="auto" w:sz="4" w:space="0"/>
              <w:right w:val="single" w:color="auto" w:sz="4" w:space="0"/>
            </w:tcBorders>
            <w:noWrap w:val="0"/>
            <w:vAlign w:val="center"/>
          </w:tcPr>
          <w:p w14:paraId="5DC968D4">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76185F8E">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1000≤Y＜5000</w:t>
            </w:r>
          </w:p>
        </w:tc>
        <w:tc>
          <w:tcPr>
            <w:tcW w:w="1692" w:type="dxa"/>
            <w:tcBorders>
              <w:top w:val="nil"/>
              <w:left w:val="nil"/>
              <w:bottom w:val="single" w:color="auto" w:sz="4" w:space="0"/>
              <w:right w:val="single" w:color="auto" w:sz="4" w:space="0"/>
            </w:tcBorders>
            <w:noWrap w:val="0"/>
            <w:vAlign w:val="center"/>
          </w:tcPr>
          <w:p w14:paraId="07BC4257">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500≤Y＜1000</w:t>
            </w:r>
          </w:p>
        </w:tc>
        <w:tc>
          <w:tcPr>
            <w:tcW w:w="1087" w:type="dxa"/>
            <w:tcBorders>
              <w:top w:val="nil"/>
              <w:left w:val="nil"/>
              <w:bottom w:val="single" w:color="auto" w:sz="4" w:space="0"/>
              <w:right w:val="single" w:color="auto" w:sz="4" w:space="0"/>
            </w:tcBorders>
            <w:noWrap w:val="0"/>
            <w:vAlign w:val="center"/>
          </w:tcPr>
          <w:p w14:paraId="1C5116D3">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Y＜500</w:t>
            </w:r>
          </w:p>
        </w:tc>
      </w:tr>
      <w:tr w14:paraId="45F108FB">
        <w:tblPrEx>
          <w:tblCellMar>
            <w:top w:w="0" w:type="dxa"/>
            <w:left w:w="108" w:type="dxa"/>
            <w:bottom w:w="0" w:type="dxa"/>
            <w:right w:w="108" w:type="dxa"/>
          </w:tblCellMar>
        </w:tblPrEx>
        <w:trPr>
          <w:trHeight w:val="242" w:hRule="atLeast"/>
          <w:jc w:val="center"/>
        </w:trPr>
        <w:tc>
          <w:tcPr>
            <w:tcW w:w="1570" w:type="dxa"/>
            <w:vMerge w:val="restart"/>
            <w:tcBorders>
              <w:top w:val="single" w:color="auto" w:sz="4" w:space="0"/>
              <w:left w:val="single" w:color="auto" w:sz="4" w:space="0"/>
              <w:bottom w:val="single" w:color="auto" w:sz="4" w:space="0"/>
              <w:right w:val="single" w:color="auto" w:sz="4" w:space="0"/>
            </w:tcBorders>
            <w:noWrap w:val="0"/>
            <w:vAlign w:val="center"/>
          </w:tcPr>
          <w:p w14:paraId="4A33A63B">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租赁和商务服务业</w:t>
            </w:r>
          </w:p>
        </w:tc>
        <w:tc>
          <w:tcPr>
            <w:tcW w:w="1660" w:type="dxa"/>
            <w:tcBorders>
              <w:top w:val="single" w:color="auto" w:sz="4" w:space="0"/>
              <w:left w:val="single" w:color="auto" w:sz="4" w:space="0"/>
              <w:bottom w:val="single" w:color="auto" w:sz="4" w:space="0"/>
              <w:right w:val="single" w:color="auto" w:sz="4" w:space="0"/>
            </w:tcBorders>
            <w:noWrap w:val="0"/>
            <w:vAlign w:val="center"/>
          </w:tcPr>
          <w:p w14:paraId="4BB509FB">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从业人员（X）</w:t>
            </w:r>
          </w:p>
        </w:tc>
        <w:tc>
          <w:tcPr>
            <w:tcW w:w="1466" w:type="dxa"/>
            <w:tcBorders>
              <w:top w:val="single" w:color="auto" w:sz="4" w:space="0"/>
              <w:left w:val="single" w:color="auto" w:sz="4" w:space="0"/>
              <w:bottom w:val="single" w:color="auto" w:sz="4" w:space="0"/>
              <w:right w:val="single" w:color="auto" w:sz="4" w:space="0"/>
            </w:tcBorders>
            <w:noWrap w:val="0"/>
            <w:vAlign w:val="center"/>
          </w:tcPr>
          <w:p w14:paraId="71211A14">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人</w:t>
            </w:r>
          </w:p>
        </w:tc>
        <w:tc>
          <w:tcPr>
            <w:tcW w:w="1903" w:type="dxa"/>
            <w:tcBorders>
              <w:top w:val="single" w:color="auto" w:sz="4" w:space="0"/>
              <w:left w:val="single" w:color="auto" w:sz="4" w:space="0"/>
              <w:bottom w:val="single" w:color="auto" w:sz="4" w:space="0"/>
              <w:right w:val="single" w:color="auto" w:sz="4" w:space="0"/>
            </w:tcBorders>
            <w:noWrap w:val="0"/>
            <w:vAlign w:val="center"/>
          </w:tcPr>
          <w:p w14:paraId="468687F6">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100≤X＜300</w:t>
            </w:r>
          </w:p>
        </w:tc>
        <w:tc>
          <w:tcPr>
            <w:tcW w:w="1692" w:type="dxa"/>
            <w:tcBorders>
              <w:top w:val="single" w:color="auto" w:sz="4" w:space="0"/>
              <w:left w:val="single" w:color="auto" w:sz="4" w:space="0"/>
              <w:bottom w:val="single" w:color="auto" w:sz="4" w:space="0"/>
              <w:right w:val="single" w:color="auto" w:sz="4" w:space="0"/>
            </w:tcBorders>
            <w:noWrap w:val="0"/>
            <w:vAlign w:val="center"/>
          </w:tcPr>
          <w:p w14:paraId="16355E92">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10≤X＜100</w:t>
            </w:r>
          </w:p>
        </w:tc>
        <w:tc>
          <w:tcPr>
            <w:tcW w:w="1087" w:type="dxa"/>
            <w:tcBorders>
              <w:top w:val="single" w:color="auto" w:sz="4" w:space="0"/>
              <w:left w:val="single" w:color="auto" w:sz="4" w:space="0"/>
              <w:bottom w:val="single" w:color="auto" w:sz="4" w:space="0"/>
              <w:right w:val="single" w:color="auto" w:sz="4" w:space="0"/>
            </w:tcBorders>
            <w:noWrap w:val="0"/>
            <w:vAlign w:val="center"/>
          </w:tcPr>
          <w:p w14:paraId="7EAB8306">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X＜10</w:t>
            </w:r>
          </w:p>
        </w:tc>
      </w:tr>
      <w:tr w14:paraId="53419BAC">
        <w:tblPrEx>
          <w:tblCellMar>
            <w:top w:w="0" w:type="dxa"/>
            <w:left w:w="108" w:type="dxa"/>
            <w:bottom w:w="0" w:type="dxa"/>
            <w:right w:w="108" w:type="dxa"/>
          </w:tblCellMar>
        </w:tblPrEx>
        <w:trPr>
          <w:trHeight w:val="199" w:hRule="atLeast"/>
          <w:jc w:val="center"/>
        </w:trPr>
        <w:tc>
          <w:tcPr>
            <w:tcW w:w="1570" w:type="dxa"/>
            <w:vMerge w:val="continue"/>
            <w:tcBorders>
              <w:top w:val="single" w:color="auto" w:sz="4" w:space="0"/>
              <w:left w:val="single" w:color="auto" w:sz="4" w:space="0"/>
              <w:bottom w:val="single" w:color="auto" w:sz="4" w:space="0"/>
              <w:right w:val="single" w:color="auto" w:sz="4" w:space="0"/>
            </w:tcBorders>
            <w:noWrap w:val="0"/>
            <w:vAlign w:val="center"/>
          </w:tcPr>
          <w:p w14:paraId="4E76FBAB">
            <w:pPr>
              <w:widowControl/>
              <w:snapToGrid w:val="0"/>
              <w:contextualSpacing/>
              <w:jc w:val="center"/>
              <w:rPr>
                <w:rFonts w:hint="eastAsia" w:ascii="微软雅黑" w:hAnsi="微软雅黑" w:eastAsia="微软雅黑" w:cs="微软雅黑"/>
                <w:b/>
                <w:bCs/>
                <w:color w:val="auto"/>
                <w:kern w:val="0"/>
                <w:sz w:val="22"/>
                <w:szCs w:val="22"/>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3818AF98">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资产总额（Z）</w:t>
            </w:r>
          </w:p>
        </w:tc>
        <w:tc>
          <w:tcPr>
            <w:tcW w:w="1466" w:type="dxa"/>
            <w:tcBorders>
              <w:top w:val="single" w:color="auto" w:sz="4" w:space="0"/>
              <w:left w:val="single" w:color="auto" w:sz="4" w:space="0"/>
              <w:bottom w:val="single" w:color="auto" w:sz="4" w:space="0"/>
              <w:right w:val="single" w:color="auto" w:sz="4" w:space="0"/>
            </w:tcBorders>
            <w:noWrap w:val="0"/>
            <w:vAlign w:val="center"/>
          </w:tcPr>
          <w:p w14:paraId="6D45EBE7">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single" w:color="auto" w:sz="4" w:space="0"/>
              <w:left w:val="single" w:color="auto" w:sz="4" w:space="0"/>
              <w:bottom w:val="single" w:color="auto" w:sz="4" w:space="0"/>
              <w:right w:val="single" w:color="auto" w:sz="4" w:space="0"/>
            </w:tcBorders>
            <w:noWrap w:val="0"/>
            <w:vAlign w:val="center"/>
          </w:tcPr>
          <w:p w14:paraId="49D0644C">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8000≤Z＜120000</w:t>
            </w:r>
          </w:p>
        </w:tc>
        <w:tc>
          <w:tcPr>
            <w:tcW w:w="1692" w:type="dxa"/>
            <w:tcBorders>
              <w:top w:val="single" w:color="auto" w:sz="4" w:space="0"/>
              <w:left w:val="single" w:color="auto" w:sz="4" w:space="0"/>
              <w:bottom w:val="single" w:color="auto" w:sz="4" w:space="0"/>
              <w:right w:val="single" w:color="auto" w:sz="4" w:space="0"/>
            </w:tcBorders>
            <w:noWrap w:val="0"/>
            <w:vAlign w:val="center"/>
          </w:tcPr>
          <w:p w14:paraId="4254C63C">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100≤Z＜8000</w:t>
            </w:r>
          </w:p>
        </w:tc>
        <w:tc>
          <w:tcPr>
            <w:tcW w:w="1087" w:type="dxa"/>
            <w:tcBorders>
              <w:top w:val="single" w:color="auto" w:sz="4" w:space="0"/>
              <w:left w:val="single" w:color="auto" w:sz="4" w:space="0"/>
              <w:bottom w:val="single" w:color="auto" w:sz="4" w:space="0"/>
              <w:right w:val="single" w:color="auto" w:sz="4" w:space="0"/>
            </w:tcBorders>
            <w:noWrap w:val="0"/>
            <w:vAlign w:val="center"/>
          </w:tcPr>
          <w:p w14:paraId="45918D0A">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Y＜100</w:t>
            </w:r>
          </w:p>
        </w:tc>
      </w:tr>
      <w:tr w14:paraId="29DC7A5C">
        <w:tblPrEx>
          <w:tblCellMar>
            <w:top w:w="0" w:type="dxa"/>
            <w:left w:w="108" w:type="dxa"/>
            <w:bottom w:w="0" w:type="dxa"/>
            <w:right w:w="108" w:type="dxa"/>
          </w:tblCellMar>
        </w:tblPrEx>
        <w:trPr>
          <w:trHeight w:val="199" w:hRule="atLeast"/>
          <w:jc w:val="center"/>
        </w:trPr>
        <w:tc>
          <w:tcPr>
            <w:tcW w:w="1570" w:type="dxa"/>
            <w:tcBorders>
              <w:top w:val="single" w:color="auto" w:sz="4" w:space="0"/>
              <w:left w:val="single" w:color="auto" w:sz="4" w:space="0"/>
              <w:bottom w:val="single" w:color="auto" w:sz="4" w:space="0"/>
              <w:right w:val="single" w:color="auto" w:sz="4" w:space="0"/>
            </w:tcBorders>
            <w:noWrap w:val="0"/>
            <w:vAlign w:val="center"/>
          </w:tcPr>
          <w:p w14:paraId="20FE917D">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其他未列明行业</w:t>
            </w:r>
          </w:p>
        </w:tc>
        <w:tc>
          <w:tcPr>
            <w:tcW w:w="1660" w:type="dxa"/>
            <w:tcBorders>
              <w:top w:val="single" w:color="auto" w:sz="4" w:space="0"/>
              <w:left w:val="nil"/>
              <w:bottom w:val="single" w:color="auto" w:sz="4" w:space="0"/>
              <w:right w:val="single" w:color="auto" w:sz="4" w:space="0"/>
            </w:tcBorders>
            <w:noWrap w:val="0"/>
            <w:vAlign w:val="center"/>
          </w:tcPr>
          <w:p w14:paraId="066A5B5D">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从业人员（X）</w:t>
            </w:r>
          </w:p>
        </w:tc>
        <w:tc>
          <w:tcPr>
            <w:tcW w:w="1466" w:type="dxa"/>
            <w:tcBorders>
              <w:top w:val="single" w:color="auto" w:sz="4" w:space="0"/>
              <w:left w:val="nil"/>
              <w:bottom w:val="single" w:color="auto" w:sz="4" w:space="0"/>
              <w:right w:val="single" w:color="auto" w:sz="4" w:space="0"/>
            </w:tcBorders>
            <w:noWrap w:val="0"/>
            <w:vAlign w:val="center"/>
          </w:tcPr>
          <w:p w14:paraId="4622DC28">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人</w:t>
            </w:r>
          </w:p>
        </w:tc>
        <w:tc>
          <w:tcPr>
            <w:tcW w:w="1903" w:type="dxa"/>
            <w:tcBorders>
              <w:top w:val="single" w:color="auto" w:sz="4" w:space="0"/>
              <w:left w:val="nil"/>
              <w:bottom w:val="single" w:color="auto" w:sz="4" w:space="0"/>
              <w:right w:val="single" w:color="auto" w:sz="4" w:space="0"/>
            </w:tcBorders>
            <w:noWrap w:val="0"/>
            <w:vAlign w:val="center"/>
          </w:tcPr>
          <w:p w14:paraId="2CB5AD1E">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100≤X＜300</w:t>
            </w:r>
          </w:p>
        </w:tc>
        <w:tc>
          <w:tcPr>
            <w:tcW w:w="1692" w:type="dxa"/>
            <w:tcBorders>
              <w:top w:val="single" w:color="auto" w:sz="4" w:space="0"/>
              <w:left w:val="nil"/>
              <w:bottom w:val="single" w:color="auto" w:sz="4" w:space="0"/>
              <w:right w:val="single" w:color="auto" w:sz="4" w:space="0"/>
            </w:tcBorders>
            <w:noWrap w:val="0"/>
            <w:vAlign w:val="center"/>
          </w:tcPr>
          <w:p w14:paraId="118CD8B9">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10≤X＜100</w:t>
            </w:r>
          </w:p>
        </w:tc>
        <w:tc>
          <w:tcPr>
            <w:tcW w:w="1087" w:type="dxa"/>
            <w:tcBorders>
              <w:top w:val="single" w:color="auto" w:sz="4" w:space="0"/>
              <w:left w:val="nil"/>
              <w:bottom w:val="single" w:color="auto" w:sz="4" w:space="0"/>
              <w:right w:val="single" w:color="auto" w:sz="4" w:space="0"/>
            </w:tcBorders>
            <w:noWrap w:val="0"/>
            <w:vAlign w:val="center"/>
          </w:tcPr>
          <w:p w14:paraId="215808C4">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X＜10</w:t>
            </w:r>
          </w:p>
        </w:tc>
      </w:tr>
    </w:tbl>
    <w:p w14:paraId="08D8E4FC">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pPr>
      <w:r>
        <w:rPr>
          <w:rFonts w:hint="eastAsia" w:ascii="微软雅黑" w:hAnsi="微软雅黑" w:eastAsia="微软雅黑" w:cs="微软雅黑"/>
          <w:b/>
          <w:bCs/>
          <w:i w:val="0"/>
          <w:iCs w:val="0"/>
          <w:caps w:val="0"/>
          <w:color w:val="auto"/>
          <w:spacing w:val="0"/>
          <w:kern w:val="0"/>
          <w:sz w:val="22"/>
          <w:szCs w:val="22"/>
          <w:highlight w:val="none"/>
          <w:shd w:val="clear" w:color="auto" w:fill="FFFFFF"/>
          <w:lang w:val="en-US" w:eastAsia="zh-CN"/>
        </w:rPr>
        <w:t>说明：</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上述标准参照《关于印发中小企业划型标准规定的通知》（工信部联企业[2011]300号），大型、中型和小型企业须同时满足所列指标的下限，否则下划一档；微型企业只须满足所列指标中的一项即可。</w:t>
      </w:r>
    </w:p>
    <w:p w14:paraId="068C0FC0">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本招标文件所称中小企业，是指在中华人民共和国境内依法设立，依据国务院批准的。</w:t>
      </w:r>
    </w:p>
    <w:p w14:paraId="76332E32">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5F855EEF">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（1）在货物采购项目中，货物由中小企业制造，即货物由中小企业生产且使用该中小企业商号或者注册商标，不对其中涉及的工程承建商和服务的承接商作出要求；</w:t>
      </w:r>
    </w:p>
    <w:p w14:paraId="23F37D36">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（2）在工程采购项目中，工程由中小企业承建，即工程施工单位为中小企业，不对其中涉及的货物的制造商和服务的承接商作出要求；</w:t>
      </w:r>
    </w:p>
    <w:p w14:paraId="3F2E38A2">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（3）在服务采购项目中，服务由中小企业承接，即提供服务的人员为中小企业依照《中华人民共和国劳动合同法》订立劳动合同的从业人员，不对其中涉及的货物的制造商和工程承建商作出要求。</w:t>
      </w:r>
    </w:p>
    <w:p w14:paraId="2F3040D6">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14:paraId="7808635A">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依据本招标文件规定享受扶持政策获得政府采购合同的，小微企业不得将合同分包给大中型企业，中型企业不得将合同分包给大型企业。</w:t>
      </w:r>
    </w:p>
    <w:p w14:paraId="7BDD8F2E">
      <w:pPr>
        <w:rPr>
          <w:rFonts w:hint="eastAsia" w:ascii="微软雅黑" w:hAnsi="微软雅黑" w:eastAsia="微软雅黑" w:cs="微软雅黑"/>
          <w:sz w:val="20"/>
          <w:szCs w:val="22"/>
          <w:highlight w:val="none"/>
          <w:lang w:val="en-US" w:eastAsia="zh-CN"/>
        </w:rPr>
      </w:pPr>
    </w:p>
    <w:p w14:paraId="17700664">
      <w:pPr>
        <w:pStyle w:val="15"/>
        <w:rPr>
          <w:rFonts w:hint="eastAsia" w:ascii="微软雅黑" w:hAnsi="微软雅黑" w:eastAsia="微软雅黑" w:cs="微软雅黑"/>
          <w:sz w:val="20"/>
          <w:szCs w:val="22"/>
          <w:highlight w:val="none"/>
          <w:lang w:val="en-US" w:eastAsia="zh-CN"/>
        </w:rPr>
      </w:pPr>
    </w:p>
    <w:p w14:paraId="5AF7F07C">
      <w:pPr>
        <w:rPr>
          <w:rFonts w:hint="eastAsia" w:ascii="微软雅黑" w:hAnsi="微软雅黑" w:eastAsia="微软雅黑" w:cs="微软雅黑"/>
          <w:sz w:val="20"/>
          <w:szCs w:val="22"/>
          <w:highlight w:val="none"/>
          <w:lang w:val="en-US" w:eastAsia="zh-CN"/>
        </w:rPr>
      </w:pPr>
    </w:p>
    <w:p w14:paraId="4EA4BC48">
      <w:pPr>
        <w:pStyle w:val="15"/>
        <w:rPr>
          <w:rFonts w:hint="eastAsia" w:ascii="微软雅黑" w:hAnsi="微软雅黑" w:eastAsia="微软雅黑" w:cs="微软雅黑"/>
          <w:sz w:val="20"/>
          <w:szCs w:val="22"/>
          <w:highlight w:val="none"/>
          <w:lang w:val="en-US" w:eastAsia="zh-CN"/>
        </w:rPr>
      </w:pPr>
    </w:p>
    <w:p w14:paraId="2A730BE5">
      <w:pPr>
        <w:pStyle w:val="6"/>
        <w:spacing w:before="0" w:line="400" w:lineRule="exact"/>
        <w:jc w:val="center"/>
        <w:rPr>
          <w:rFonts w:hint="eastAsia" w:ascii="微软雅黑" w:hAnsi="微软雅黑" w:eastAsia="微软雅黑" w:cs="微软雅黑"/>
          <w:color w:val="auto"/>
          <w:sz w:val="22"/>
          <w:szCs w:val="22"/>
          <w:highlight w:val="none"/>
        </w:rPr>
      </w:pPr>
      <w:bookmarkStart w:id="1891" w:name="_Toc25200"/>
      <w:bookmarkStart w:id="1892" w:name="_Toc19993"/>
      <w:r>
        <w:rPr>
          <w:rFonts w:hint="eastAsia" w:ascii="微软雅黑" w:hAnsi="微软雅黑" w:eastAsia="微软雅黑" w:cs="微软雅黑"/>
          <w:color w:val="auto"/>
          <w:sz w:val="22"/>
          <w:szCs w:val="22"/>
          <w:highlight w:val="none"/>
        </w:rPr>
        <w:t xml:space="preserve">6-2  </w:t>
      </w:r>
      <w:bookmarkEnd w:id="1884"/>
      <w:bookmarkEnd w:id="1885"/>
      <w:bookmarkEnd w:id="1886"/>
      <w:bookmarkEnd w:id="1887"/>
      <w:bookmarkEnd w:id="1888"/>
      <w:bookmarkEnd w:id="1889"/>
      <w:bookmarkEnd w:id="1890"/>
      <w:bookmarkStart w:id="1893" w:name="_Toc31700"/>
      <w:bookmarkStart w:id="1894" w:name="_Toc11516"/>
      <w:bookmarkStart w:id="1895" w:name="_Toc19312"/>
      <w:bookmarkStart w:id="1896" w:name="OLE_LINK13"/>
      <w:bookmarkStart w:id="1897" w:name="OLE_LINK14"/>
      <w:bookmarkStart w:id="1898" w:name="_Toc15294"/>
      <w:bookmarkStart w:id="1899" w:name="_Toc23068"/>
      <w:bookmarkStart w:id="1900" w:name="_Toc19284"/>
      <w:bookmarkStart w:id="1901" w:name="_Toc515647825"/>
      <w:r>
        <w:rPr>
          <w:rFonts w:hint="eastAsia" w:ascii="微软雅黑" w:hAnsi="微软雅黑" w:eastAsia="微软雅黑" w:cs="微软雅黑"/>
          <w:color w:val="auto"/>
          <w:sz w:val="22"/>
          <w:szCs w:val="22"/>
          <w:highlight w:val="none"/>
        </w:rPr>
        <w:t>残疾人福利性单位声明函</w:t>
      </w:r>
      <w:bookmarkEnd w:id="1891"/>
      <w:bookmarkEnd w:id="1892"/>
      <w:bookmarkEnd w:id="1893"/>
      <w:bookmarkEnd w:id="1894"/>
      <w:bookmarkEnd w:id="1895"/>
      <w:bookmarkEnd w:id="1896"/>
      <w:bookmarkEnd w:id="1897"/>
      <w:bookmarkEnd w:id="1898"/>
      <w:bookmarkEnd w:id="1899"/>
      <w:bookmarkEnd w:id="1900"/>
      <w:bookmarkEnd w:id="1901"/>
    </w:p>
    <w:p w14:paraId="333352D5">
      <w:pPr>
        <w:spacing w:line="400" w:lineRule="exact"/>
        <w:ind w:left="1080" w:leftChars="257" w:hanging="540"/>
        <w:jc w:val="center"/>
        <w:rPr>
          <w:rFonts w:hint="eastAsia" w:ascii="微软雅黑" w:hAnsi="微软雅黑" w:eastAsia="微软雅黑" w:cs="微软雅黑"/>
          <w:color w:val="auto"/>
          <w:kern w:val="0"/>
          <w:sz w:val="22"/>
          <w:szCs w:val="22"/>
          <w:highlight w:val="none"/>
        </w:rPr>
      </w:pPr>
    </w:p>
    <w:p w14:paraId="4CA7A185">
      <w:pPr>
        <w:spacing w:line="400" w:lineRule="exact"/>
        <w:ind w:firstLine="567"/>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w:t>
      </w:r>
      <w:r>
        <w:rPr>
          <w:rFonts w:hint="eastAsia" w:ascii="微软雅黑" w:hAnsi="微软雅黑" w:eastAsia="微软雅黑" w:cs="微软雅黑"/>
          <w:color w:val="auto"/>
          <w:kern w:val="0"/>
          <w:sz w:val="22"/>
          <w:szCs w:val="22"/>
          <w:highlight w:val="none"/>
          <w:lang w:val="en-US" w:eastAsia="zh-CN"/>
        </w:rPr>
        <w:t>货物</w:t>
      </w:r>
      <w:r>
        <w:rPr>
          <w:rFonts w:hint="eastAsia" w:ascii="微软雅黑" w:hAnsi="微软雅黑" w:eastAsia="微软雅黑" w:cs="微软雅黑"/>
          <w:color w:val="auto"/>
          <w:kern w:val="0"/>
          <w:sz w:val="22"/>
          <w:szCs w:val="22"/>
          <w:highlight w:val="none"/>
        </w:rPr>
        <w:t>，或者提供其他残疾人福利性单位制造的</w:t>
      </w:r>
      <w:r>
        <w:rPr>
          <w:rFonts w:hint="eastAsia" w:ascii="微软雅黑" w:hAnsi="微软雅黑" w:eastAsia="微软雅黑" w:cs="微软雅黑"/>
          <w:color w:val="auto"/>
          <w:kern w:val="0"/>
          <w:sz w:val="22"/>
          <w:szCs w:val="22"/>
          <w:highlight w:val="none"/>
          <w:lang w:val="en-US" w:eastAsia="zh-CN"/>
        </w:rPr>
        <w:t>货物</w:t>
      </w:r>
      <w:r>
        <w:rPr>
          <w:rFonts w:hint="eastAsia" w:ascii="微软雅黑" w:hAnsi="微软雅黑" w:eastAsia="微软雅黑" w:cs="微软雅黑"/>
          <w:color w:val="auto"/>
          <w:kern w:val="0"/>
          <w:sz w:val="22"/>
          <w:szCs w:val="22"/>
          <w:highlight w:val="none"/>
        </w:rPr>
        <w:t>（不包括使用非残疾人福利性单位注册商标的</w:t>
      </w:r>
      <w:r>
        <w:rPr>
          <w:rFonts w:hint="eastAsia" w:ascii="微软雅黑" w:hAnsi="微软雅黑" w:eastAsia="微软雅黑" w:cs="微软雅黑"/>
          <w:color w:val="auto"/>
          <w:kern w:val="0"/>
          <w:sz w:val="22"/>
          <w:szCs w:val="22"/>
          <w:highlight w:val="none"/>
          <w:lang w:val="en-US" w:eastAsia="zh-CN"/>
        </w:rPr>
        <w:t>货物</w:t>
      </w:r>
      <w:r>
        <w:rPr>
          <w:rFonts w:hint="eastAsia" w:ascii="微软雅黑" w:hAnsi="微软雅黑" w:eastAsia="微软雅黑" w:cs="微软雅黑"/>
          <w:color w:val="auto"/>
          <w:kern w:val="0"/>
          <w:sz w:val="22"/>
          <w:szCs w:val="22"/>
          <w:highlight w:val="none"/>
        </w:rPr>
        <w:t>）。</w:t>
      </w:r>
    </w:p>
    <w:p w14:paraId="5A9B4B2E">
      <w:pPr>
        <w:spacing w:line="400" w:lineRule="exact"/>
        <w:ind w:left="1080" w:leftChars="257" w:hanging="540"/>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本单位对上述声明的真实性负责。如有虚假，将依法承担相应责任。</w:t>
      </w:r>
    </w:p>
    <w:p w14:paraId="4B40127D">
      <w:pPr>
        <w:spacing w:line="400" w:lineRule="exact"/>
        <w:ind w:left="1080" w:leftChars="257" w:hanging="540"/>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 xml:space="preserve">              残疾人福利性单位名称（公章）：______________</w:t>
      </w:r>
    </w:p>
    <w:p w14:paraId="1DD0F817">
      <w:pPr>
        <w:spacing w:line="400" w:lineRule="exact"/>
        <w:ind w:left="1080" w:leftChars="257" w:hanging="540"/>
        <w:jc w:val="center"/>
        <w:rPr>
          <w:rFonts w:hint="eastAsia" w:ascii="微软雅黑" w:hAnsi="微软雅黑" w:eastAsia="微软雅黑" w:cs="微软雅黑"/>
          <w:b/>
          <w:color w:val="auto"/>
          <w:kern w:val="0"/>
          <w:sz w:val="22"/>
          <w:szCs w:val="22"/>
          <w:highlight w:val="none"/>
        </w:rPr>
      </w:pPr>
      <w:r>
        <w:rPr>
          <w:rFonts w:hint="eastAsia" w:ascii="微软雅黑" w:hAnsi="微软雅黑" w:eastAsia="微软雅黑" w:cs="微软雅黑"/>
          <w:color w:val="auto"/>
          <w:kern w:val="0"/>
          <w:sz w:val="22"/>
          <w:szCs w:val="22"/>
          <w:highlight w:val="none"/>
        </w:rPr>
        <w:t xml:space="preserve"> </w:t>
      </w:r>
      <w:r>
        <w:rPr>
          <w:rFonts w:hint="eastAsia" w:ascii="微软雅黑" w:hAnsi="微软雅黑" w:eastAsia="微软雅黑" w:cs="微软雅黑"/>
          <w:color w:val="auto"/>
          <w:kern w:val="0"/>
          <w:sz w:val="22"/>
          <w:szCs w:val="22"/>
          <w:highlight w:val="none"/>
          <w:lang w:val="en-US" w:eastAsia="zh-CN"/>
        </w:rPr>
        <w:t xml:space="preserve">      </w:t>
      </w:r>
      <w:r>
        <w:rPr>
          <w:rFonts w:hint="eastAsia" w:ascii="微软雅黑" w:hAnsi="微软雅黑" w:eastAsia="微软雅黑" w:cs="微软雅黑"/>
          <w:color w:val="auto"/>
          <w:kern w:val="0"/>
          <w:sz w:val="22"/>
          <w:szCs w:val="22"/>
          <w:highlight w:val="none"/>
        </w:rPr>
        <w:t>日  期：_____________________________________________</w:t>
      </w:r>
    </w:p>
    <w:p w14:paraId="187F35E6">
      <w:pPr>
        <w:pStyle w:val="14"/>
        <w:spacing w:line="400" w:lineRule="exact"/>
        <w:ind w:firstLine="480"/>
        <w:rPr>
          <w:rFonts w:hint="eastAsia" w:ascii="微软雅黑" w:hAnsi="微软雅黑" w:eastAsia="微软雅黑" w:cs="微软雅黑"/>
          <w:color w:val="auto"/>
          <w:sz w:val="22"/>
          <w:szCs w:val="22"/>
          <w:highlight w:val="none"/>
        </w:rPr>
      </w:pPr>
    </w:p>
    <w:p w14:paraId="38934997">
      <w:pPr>
        <w:pStyle w:val="3"/>
        <w:rPr>
          <w:rFonts w:hint="eastAsia" w:ascii="微软雅黑" w:hAnsi="微软雅黑" w:eastAsia="微软雅黑" w:cs="微软雅黑"/>
          <w:color w:val="auto"/>
          <w:sz w:val="22"/>
          <w:szCs w:val="22"/>
          <w:highlight w:val="none"/>
        </w:rPr>
      </w:pPr>
    </w:p>
    <w:p w14:paraId="5CF78914">
      <w:pPr>
        <w:pStyle w:val="4"/>
        <w:rPr>
          <w:rFonts w:hint="eastAsia" w:ascii="微软雅黑" w:hAnsi="微软雅黑" w:eastAsia="微软雅黑" w:cs="微软雅黑"/>
          <w:color w:val="auto"/>
          <w:sz w:val="22"/>
          <w:szCs w:val="22"/>
          <w:highlight w:val="none"/>
        </w:rPr>
      </w:pPr>
    </w:p>
    <w:p w14:paraId="21ECD9F4">
      <w:pPr>
        <w:rPr>
          <w:rFonts w:hint="eastAsia" w:ascii="微软雅黑" w:hAnsi="微软雅黑" w:eastAsia="微软雅黑" w:cs="微软雅黑"/>
          <w:sz w:val="20"/>
          <w:szCs w:val="22"/>
          <w:highlight w:val="none"/>
        </w:rPr>
      </w:pPr>
    </w:p>
    <w:p w14:paraId="10CCBB43">
      <w:pPr>
        <w:pStyle w:val="14"/>
        <w:spacing w:line="400" w:lineRule="exact"/>
        <w:ind w:firstLine="480"/>
        <w:rPr>
          <w:rFonts w:hint="eastAsia" w:ascii="微软雅黑" w:hAnsi="微软雅黑" w:eastAsia="微软雅黑" w:cs="微软雅黑"/>
          <w:color w:val="auto"/>
          <w:sz w:val="22"/>
          <w:szCs w:val="22"/>
          <w:highlight w:val="none"/>
        </w:rPr>
      </w:pPr>
    </w:p>
    <w:p w14:paraId="59ADDF7B">
      <w:pPr>
        <w:pStyle w:val="6"/>
        <w:spacing w:before="0" w:line="400" w:lineRule="exact"/>
        <w:jc w:val="both"/>
        <w:rPr>
          <w:rFonts w:hint="eastAsia" w:ascii="微软雅黑" w:hAnsi="微软雅黑" w:eastAsia="微软雅黑" w:cs="微软雅黑"/>
          <w:color w:val="auto"/>
          <w:sz w:val="22"/>
          <w:szCs w:val="22"/>
          <w:highlight w:val="none"/>
        </w:rPr>
      </w:pPr>
      <w:bookmarkStart w:id="1902" w:name="_Toc16863"/>
      <w:bookmarkStart w:id="1903" w:name="_Toc6004"/>
      <w:bookmarkStart w:id="1904" w:name="_Toc30795"/>
      <w:bookmarkStart w:id="1905" w:name="_Toc22102"/>
      <w:bookmarkStart w:id="1906" w:name="_Toc28099"/>
      <w:bookmarkStart w:id="1907" w:name="_Toc19573"/>
      <w:bookmarkStart w:id="1908" w:name="_Toc26573"/>
      <w:bookmarkStart w:id="1909" w:name="_Toc23926"/>
      <w:bookmarkStart w:id="1910" w:name="_Toc515647827"/>
      <w:bookmarkStart w:id="1911" w:name="_Toc17401"/>
      <w:r>
        <w:rPr>
          <w:rFonts w:hint="eastAsia" w:ascii="微软雅黑" w:hAnsi="微软雅黑" w:eastAsia="微软雅黑" w:cs="微软雅黑"/>
          <w:color w:val="auto"/>
          <w:sz w:val="22"/>
          <w:szCs w:val="22"/>
          <w:highlight w:val="none"/>
        </w:rPr>
        <w:t>7</w:t>
      </w:r>
      <w:r>
        <w:rPr>
          <w:rFonts w:hint="eastAsia" w:ascii="微软雅黑" w:hAnsi="微软雅黑" w:eastAsia="微软雅黑" w:cs="微软雅黑"/>
          <w:color w:val="auto"/>
          <w:sz w:val="22"/>
          <w:szCs w:val="22"/>
          <w:highlight w:val="none"/>
          <w:lang w:eastAsia="zh-CN"/>
        </w:rPr>
        <w:t>、</w:t>
      </w:r>
      <w:r>
        <w:rPr>
          <w:rFonts w:hint="eastAsia" w:ascii="微软雅黑" w:hAnsi="微软雅黑" w:eastAsia="微软雅黑" w:cs="微软雅黑"/>
          <w:color w:val="auto"/>
          <w:sz w:val="22"/>
          <w:szCs w:val="22"/>
          <w:highlight w:val="none"/>
        </w:rPr>
        <w:t>供应商关联单位的说明</w:t>
      </w:r>
      <w:bookmarkEnd w:id="1902"/>
      <w:bookmarkEnd w:id="1903"/>
      <w:bookmarkEnd w:id="1904"/>
      <w:bookmarkEnd w:id="1905"/>
      <w:bookmarkEnd w:id="1906"/>
      <w:bookmarkEnd w:id="1907"/>
      <w:bookmarkEnd w:id="1908"/>
      <w:bookmarkEnd w:id="1909"/>
      <w:bookmarkEnd w:id="1910"/>
      <w:bookmarkEnd w:id="1911"/>
    </w:p>
    <w:p w14:paraId="47F586C7">
      <w:pPr>
        <w:pStyle w:val="3"/>
        <w:spacing w:line="400" w:lineRule="exact"/>
        <w:jc w:val="center"/>
        <w:rPr>
          <w:rFonts w:hint="eastAsia" w:ascii="微软雅黑" w:hAnsi="微软雅黑" w:eastAsia="微软雅黑" w:cs="微软雅黑"/>
          <w:color w:val="auto"/>
          <w:sz w:val="22"/>
          <w:szCs w:val="22"/>
          <w:highlight w:val="none"/>
        </w:rPr>
      </w:pPr>
    </w:p>
    <w:p w14:paraId="6399328A">
      <w:pPr>
        <w:pStyle w:val="3"/>
        <w:spacing w:line="400" w:lineRule="exact"/>
        <w:ind w:firstLine="440" w:firstLineChars="20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说明：供应商应当如实披露与本单位存在下列关联关系的单位名称：</w:t>
      </w:r>
    </w:p>
    <w:p w14:paraId="15B91302">
      <w:pPr>
        <w:pStyle w:val="3"/>
        <w:spacing w:line="400" w:lineRule="exact"/>
        <w:ind w:firstLine="880" w:firstLineChars="4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rPr>
        <w:t>（1）与供应商单位负责人为同一人的其他单位；</w:t>
      </w:r>
    </w:p>
    <w:p w14:paraId="02778EEE">
      <w:pPr>
        <w:pStyle w:val="3"/>
        <w:spacing w:line="400" w:lineRule="exact"/>
        <w:ind w:firstLine="440" w:firstLineChars="20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    （2）与供应商存在直接控股、管理关系的其他单位。</w:t>
      </w:r>
    </w:p>
    <w:p w14:paraId="31229BDE">
      <w:pPr>
        <w:pStyle w:val="4"/>
        <w:rPr>
          <w:rFonts w:hint="eastAsia" w:ascii="微软雅黑" w:hAnsi="微软雅黑" w:eastAsia="微软雅黑" w:cs="微软雅黑"/>
          <w:color w:val="auto"/>
          <w:sz w:val="22"/>
          <w:szCs w:val="22"/>
          <w:highlight w:val="none"/>
        </w:rPr>
      </w:pPr>
    </w:p>
    <w:p w14:paraId="077CE885">
      <w:pPr>
        <w:pStyle w:val="25"/>
        <w:rPr>
          <w:rFonts w:hint="eastAsia" w:ascii="微软雅黑" w:hAnsi="微软雅黑" w:eastAsia="微软雅黑" w:cs="微软雅黑"/>
          <w:b/>
          <w:color w:val="auto"/>
          <w:kern w:val="0"/>
          <w:sz w:val="22"/>
          <w:szCs w:val="22"/>
          <w:highlight w:val="none"/>
        </w:rPr>
      </w:pPr>
    </w:p>
    <w:p w14:paraId="60ABE58E">
      <w:pPr>
        <w:pStyle w:val="25"/>
        <w:rPr>
          <w:rFonts w:hint="eastAsia" w:ascii="微软雅黑" w:hAnsi="微软雅黑" w:eastAsia="微软雅黑" w:cs="微软雅黑"/>
          <w:b/>
          <w:color w:val="auto"/>
          <w:kern w:val="0"/>
          <w:sz w:val="22"/>
          <w:szCs w:val="22"/>
          <w:highlight w:val="none"/>
        </w:rPr>
      </w:pPr>
    </w:p>
    <w:p w14:paraId="17ED104D">
      <w:pPr>
        <w:pStyle w:val="25"/>
        <w:rPr>
          <w:rFonts w:hint="eastAsia" w:ascii="微软雅黑" w:hAnsi="微软雅黑" w:eastAsia="微软雅黑" w:cs="微软雅黑"/>
          <w:b/>
          <w:color w:val="auto"/>
          <w:kern w:val="0"/>
          <w:sz w:val="22"/>
          <w:szCs w:val="22"/>
          <w:highlight w:val="none"/>
        </w:rPr>
      </w:pPr>
    </w:p>
    <w:p w14:paraId="2850630C">
      <w:pPr>
        <w:pStyle w:val="25"/>
        <w:rPr>
          <w:rFonts w:hint="eastAsia" w:ascii="微软雅黑" w:hAnsi="微软雅黑" w:eastAsia="微软雅黑" w:cs="微软雅黑"/>
          <w:b/>
          <w:color w:val="auto"/>
          <w:kern w:val="0"/>
          <w:sz w:val="22"/>
          <w:szCs w:val="22"/>
          <w:highlight w:val="none"/>
        </w:rPr>
      </w:pPr>
    </w:p>
    <w:p w14:paraId="5136146A">
      <w:pPr>
        <w:pStyle w:val="3"/>
        <w:ind w:left="0" w:leftChars="0" w:firstLine="0" w:firstLineChars="0"/>
        <w:outlineLvl w:val="1"/>
        <w:rPr>
          <w:rFonts w:hint="eastAsia" w:ascii="微软雅黑" w:hAnsi="微软雅黑" w:eastAsia="微软雅黑" w:cs="微软雅黑"/>
          <w:color w:val="auto"/>
          <w:sz w:val="22"/>
          <w:szCs w:val="22"/>
          <w:highlight w:val="none"/>
        </w:rPr>
      </w:pPr>
      <w:bookmarkStart w:id="1912" w:name="_Toc29270"/>
      <w:bookmarkStart w:id="1913" w:name="_Toc3088"/>
      <w:bookmarkStart w:id="1914" w:name="_Toc17333"/>
      <w:bookmarkStart w:id="1915" w:name="_Toc7414"/>
      <w:bookmarkStart w:id="1916" w:name="_Toc10352"/>
      <w:bookmarkStart w:id="1917" w:name="_Toc515647828"/>
      <w:bookmarkStart w:id="1918" w:name="_Toc10917"/>
      <w:bookmarkStart w:id="1919" w:name="_Toc6979"/>
      <w:bookmarkStart w:id="1920" w:name="_Toc1363"/>
      <w:bookmarkStart w:id="1921" w:name="_Toc4131"/>
      <w:r>
        <w:rPr>
          <w:rFonts w:hint="eastAsia" w:ascii="微软雅黑" w:hAnsi="微软雅黑" w:eastAsia="微软雅黑" w:cs="微软雅黑"/>
          <w:b/>
          <w:bCs/>
          <w:color w:val="auto"/>
          <w:sz w:val="22"/>
          <w:szCs w:val="22"/>
          <w:highlight w:val="none"/>
        </w:rPr>
        <w:t>8</w:t>
      </w:r>
      <w:bookmarkEnd w:id="1912"/>
      <w:bookmarkEnd w:id="1913"/>
      <w:bookmarkEnd w:id="1914"/>
      <w:bookmarkEnd w:id="1915"/>
      <w:bookmarkEnd w:id="1916"/>
      <w:bookmarkEnd w:id="1917"/>
      <w:bookmarkEnd w:id="1918"/>
      <w:r>
        <w:rPr>
          <w:rFonts w:hint="eastAsia" w:ascii="微软雅黑" w:hAnsi="微软雅黑" w:eastAsia="微软雅黑" w:cs="微软雅黑"/>
          <w:b/>
          <w:bCs/>
          <w:color w:val="auto"/>
          <w:sz w:val="22"/>
          <w:szCs w:val="22"/>
          <w:highlight w:val="none"/>
          <w:lang w:val="en-US" w:eastAsia="zh-CN"/>
        </w:rPr>
        <w:t>、</w:t>
      </w:r>
      <w:r>
        <w:rPr>
          <w:rFonts w:hint="eastAsia" w:ascii="微软雅黑" w:hAnsi="微软雅黑" w:eastAsia="微软雅黑" w:cs="微软雅黑"/>
          <w:b/>
          <w:bCs/>
          <w:color w:val="auto"/>
          <w:sz w:val="22"/>
          <w:szCs w:val="22"/>
          <w:highlight w:val="none"/>
        </w:rPr>
        <w:t>供应商可提供有利于投标的其他资格证明材料</w:t>
      </w:r>
      <w:bookmarkEnd w:id="1919"/>
      <w:bookmarkEnd w:id="1920"/>
      <w:bookmarkEnd w:id="1921"/>
    </w:p>
    <w:p w14:paraId="219420F7">
      <w:pPr>
        <w:pStyle w:val="3"/>
        <w:ind w:left="0" w:leftChars="0" w:firstLine="0" w:firstLineChars="0"/>
        <w:rPr>
          <w:rFonts w:hint="eastAsia" w:ascii="微软雅黑" w:hAnsi="微软雅黑" w:eastAsia="微软雅黑" w:cs="微软雅黑"/>
          <w:color w:val="auto"/>
          <w:sz w:val="22"/>
          <w:szCs w:val="22"/>
          <w:highlight w:val="none"/>
        </w:rPr>
      </w:pPr>
    </w:p>
    <w:p w14:paraId="16FA51C8">
      <w:pPr>
        <w:pStyle w:val="4"/>
        <w:rPr>
          <w:rFonts w:hint="eastAsia" w:ascii="微软雅黑" w:hAnsi="微软雅黑" w:eastAsia="微软雅黑" w:cs="微软雅黑"/>
          <w:color w:val="auto"/>
          <w:sz w:val="22"/>
          <w:szCs w:val="22"/>
          <w:highlight w:val="none"/>
        </w:rPr>
      </w:pPr>
    </w:p>
    <w:p w14:paraId="30840AD9">
      <w:pPr>
        <w:rPr>
          <w:rFonts w:hint="eastAsia" w:ascii="微软雅黑" w:hAnsi="微软雅黑" w:eastAsia="微软雅黑" w:cs="微软雅黑"/>
          <w:color w:val="auto"/>
          <w:sz w:val="22"/>
          <w:szCs w:val="22"/>
          <w:highlight w:val="none"/>
        </w:rPr>
      </w:pPr>
    </w:p>
    <w:p w14:paraId="6E297D07">
      <w:pPr>
        <w:pStyle w:val="25"/>
        <w:rPr>
          <w:rFonts w:hint="eastAsia" w:ascii="微软雅黑" w:hAnsi="微软雅黑" w:eastAsia="微软雅黑" w:cs="微软雅黑"/>
          <w:color w:val="auto"/>
          <w:sz w:val="22"/>
          <w:szCs w:val="22"/>
          <w:highlight w:val="none"/>
        </w:rPr>
      </w:pPr>
    </w:p>
    <w:p w14:paraId="2538A36E">
      <w:pPr>
        <w:pStyle w:val="25"/>
        <w:rPr>
          <w:rFonts w:hint="eastAsia" w:ascii="微软雅黑" w:hAnsi="微软雅黑" w:eastAsia="微软雅黑" w:cs="微软雅黑"/>
          <w:color w:val="auto"/>
          <w:sz w:val="22"/>
          <w:szCs w:val="22"/>
          <w:highlight w:val="none"/>
        </w:rPr>
      </w:pPr>
    </w:p>
    <w:p w14:paraId="4F75EC34">
      <w:pPr>
        <w:pStyle w:val="25"/>
        <w:rPr>
          <w:rFonts w:hint="eastAsia" w:ascii="微软雅黑" w:hAnsi="微软雅黑" w:eastAsia="微软雅黑" w:cs="微软雅黑"/>
          <w:color w:val="auto"/>
          <w:sz w:val="22"/>
          <w:szCs w:val="22"/>
          <w:highlight w:val="none"/>
        </w:rPr>
      </w:pPr>
    </w:p>
    <w:p w14:paraId="246ADC07">
      <w:pPr>
        <w:pStyle w:val="25"/>
        <w:rPr>
          <w:rFonts w:hint="eastAsia" w:ascii="微软雅黑" w:hAnsi="微软雅黑" w:eastAsia="微软雅黑" w:cs="微软雅黑"/>
          <w:color w:val="auto"/>
          <w:sz w:val="22"/>
          <w:szCs w:val="22"/>
          <w:highlight w:val="none"/>
        </w:rPr>
      </w:pPr>
    </w:p>
    <w:p w14:paraId="5042121B">
      <w:pPr>
        <w:rPr>
          <w:rFonts w:hint="eastAsia" w:ascii="微软雅黑" w:hAnsi="微软雅黑" w:eastAsia="微软雅黑" w:cs="微软雅黑"/>
          <w:b/>
          <w:color w:val="auto"/>
          <w:kern w:val="0"/>
          <w:sz w:val="22"/>
          <w:szCs w:val="22"/>
          <w:highlight w:val="none"/>
        </w:rPr>
      </w:pPr>
      <w:bookmarkStart w:id="1922" w:name="_Toc1808"/>
      <w:bookmarkStart w:id="1923" w:name="_Toc13460"/>
      <w:r>
        <w:rPr>
          <w:rFonts w:hint="eastAsia" w:ascii="微软雅黑" w:hAnsi="微软雅黑" w:eastAsia="微软雅黑" w:cs="微软雅黑"/>
          <w:b/>
          <w:color w:val="auto"/>
          <w:kern w:val="0"/>
          <w:sz w:val="22"/>
          <w:szCs w:val="22"/>
          <w:highlight w:val="none"/>
        </w:rPr>
        <w:br w:type="page"/>
      </w:r>
    </w:p>
    <w:p w14:paraId="40F99421">
      <w:pPr>
        <w:rPr>
          <w:rFonts w:hint="eastAsia" w:ascii="微软雅黑" w:hAnsi="微软雅黑" w:eastAsia="微软雅黑" w:cs="微软雅黑"/>
          <w:b/>
          <w:color w:val="auto"/>
          <w:kern w:val="0"/>
          <w:sz w:val="22"/>
          <w:szCs w:val="22"/>
          <w:highlight w:val="none"/>
        </w:rPr>
      </w:pPr>
      <w:r>
        <w:rPr>
          <w:rFonts w:hint="eastAsia" w:ascii="微软雅黑" w:hAnsi="微软雅黑" w:eastAsia="微软雅黑" w:cs="微软雅黑"/>
          <w:b/>
          <w:color w:val="auto"/>
          <w:kern w:val="0"/>
          <w:sz w:val="22"/>
          <w:szCs w:val="22"/>
          <w:highlight w:val="none"/>
        </w:rPr>
        <w:t>9</w:t>
      </w:r>
      <w:r>
        <w:rPr>
          <w:rFonts w:hint="eastAsia" w:ascii="微软雅黑" w:hAnsi="微软雅黑" w:eastAsia="微软雅黑" w:cs="微软雅黑"/>
          <w:b/>
          <w:color w:val="auto"/>
          <w:kern w:val="0"/>
          <w:sz w:val="22"/>
          <w:szCs w:val="22"/>
          <w:highlight w:val="none"/>
          <w:lang w:eastAsia="zh-CN"/>
        </w:rPr>
        <w:t>、</w:t>
      </w:r>
      <w:r>
        <w:rPr>
          <w:rFonts w:hint="eastAsia" w:ascii="微软雅黑" w:hAnsi="微软雅黑" w:eastAsia="微软雅黑" w:cs="微软雅黑"/>
          <w:b/>
          <w:color w:val="auto"/>
          <w:kern w:val="0"/>
          <w:sz w:val="22"/>
          <w:szCs w:val="22"/>
          <w:highlight w:val="none"/>
        </w:rPr>
        <w:t>投标文件格式范本</w:t>
      </w:r>
      <w:bookmarkEnd w:id="1922"/>
      <w:bookmarkEnd w:id="1923"/>
    </w:p>
    <w:tbl>
      <w:tblPr>
        <w:tblStyle w:val="31"/>
        <w:tblpPr w:leftFromText="180" w:rightFromText="180" w:vertAnchor="text" w:horzAnchor="page" w:tblpX="1380" w:tblpY="440"/>
        <w:tblOverlap w:val="never"/>
        <w:tblW w:w="9120" w:type="dxa"/>
        <w:tblInd w:w="0" w:type="dxa"/>
        <w:tblBorders>
          <w:top w:val="double" w:color="666699" w:sz="4" w:space="0"/>
          <w:left w:val="double" w:color="666699" w:sz="4" w:space="0"/>
          <w:bottom w:val="double" w:color="666699" w:sz="4" w:space="0"/>
          <w:right w:val="double" w:color="666699" w:sz="4" w:space="0"/>
          <w:insideH w:val="double" w:color="666699" w:sz="4" w:space="0"/>
          <w:insideV w:val="double" w:color="666699" w:sz="4" w:space="0"/>
        </w:tblBorders>
        <w:shd w:val="clear" w:color="auto" w:fill="FCFEEA"/>
        <w:tblLayout w:type="fixed"/>
        <w:tblCellMar>
          <w:top w:w="0" w:type="dxa"/>
          <w:left w:w="108" w:type="dxa"/>
          <w:bottom w:w="0" w:type="dxa"/>
          <w:right w:w="108" w:type="dxa"/>
        </w:tblCellMar>
      </w:tblPr>
      <w:tblGrid>
        <w:gridCol w:w="9120"/>
      </w:tblGrid>
      <w:tr w14:paraId="2B0E2F82">
        <w:tblPrEx>
          <w:tblBorders>
            <w:top w:val="double" w:color="666699" w:sz="4" w:space="0"/>
            <w:left w:val="double" w:color="666699" w:sz="4" w:space="0"/>
            <w:bottom w:val="double" w:color="666699" w:sz="4" w:space="0"/>
            <w:right w:val="double" w:color="666699" w:sz="4" w:space="0"/>
            <w:insideH w:val="double" w:color="666699" w:sz="4" w:space="0"/>
            <w:insideV w:val="double" w:color="666699" w:sz="4" w:space="0"/>
          </w:tblBorders>
          <w:tblCellMar>
            <w:top w:w="0" w:type="dxa"/>
            <w:left w:w="108" w:type="dxa"/>
            <w:bottom w:w="0" w:type="dxa"/>
            <w:right w:w="108" w:type="dxa"/>
          </w:tblCellMar>
        </w:tblPrEx>
        <w:trPr>
          <w:trHeight w:val="11132" w:hRule="atLeast"/>
        </w:trPr>
        <w:tc>
          <w:tcPr>
            <w:tcW w:w="9120" w:type="dxa"/>
            <w:shd w:val="clear" w:color="auto" w:fill="FCFEEA"/>
          </w:tcPr>
          <w:p w14:paraId="3717C513">
            <w:pPr>
              <w:pStyle w:val="12"/>
              <w:jc w:val="center"/>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 xml:space="preserve">                                                </w:t>
            </w:r>
          </w:p>
          <w:p w14:paraId="6EC2EACD">
            <w:pPr>
              <w:pStyle w:val="12"/>
              <w:ind w:firstLine="3302" w:firstLineChars="1500"/>
              <w:rPr>
                <w:rFonts w:hint="eastAsia" w:ascii="微软雅黑" w:hAnsi="微软雅黑" w:eastAsia="微软雅黑" w:cs="微软雅黑"/>
                <w:b/>
                <w:bCs/>
                <w:color w:val="auto"/>
                <w:sz w:val="22"/>
                <w:szCs w:val="22"/>
                <w:highlight w:val="none"/>
              </w:rPr>
            </w:pPr>
          </w:p>
          <w:p w14:paraId="477D6DF0">
            <w:pPr>
              <w:pStyle w:val="12"/>
              <w:ind w:firstLine="3302" w:firstLineChars="1500"/>
              <w:rPr>
                <w:rFonts w:hint="eastAsia" w:ascii="微软雅黑" w:hAnsi="微软雅黑" w:eastAsia="微软雅黑" w:cs="微软雅黑"/>
                <w:b/>
                <w:bCs/>
                <w:color w:val="auto"/>
                <w:sz w:val="22"/>
                <w:szCs w:val="22"/>
                <w:highlight w:val="none"/>
              </w:rPr>
            </w:pPr>
          </w:p>
          <w:p w14:paraId="13975F9B">
            <w:pPr>
              <w:pStyle w:val="12"/>
              <w:rPr>
                <w:rFonts w:hint="eastAsia" w:ascii="微软雅黑" w:hAnsi="微软雅黑" w:eastAsia="微软雅黑" w:cs="微软雅黑"/>
                <w:b/>
                <w:bCs/>
                <w:color w:val="auto"/>
                <w:sz w:val="22"/>
                <w:szCs w:val="22"/>
                <w:highlight w:val="none"/>
              </w:rPr>
            </w:pPr>
          </w:p>
          <w:p w14:paraId="01017D27">
            <w:pPr>
              <w:pStyle w:val="12"/>
              <w:ind w:firstLine="1981" w:firstLineChars="900"/>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＊＊＊＊＊＊＊＊＊＊＊＊＊＊＊＊＊＊＊＊＊项目</w:t>
            </w:r>
          </w:p>
          <w:p w14:paraId="08489A02">
            <w:pPr>
              <w:pStyle w:val="12"/>
              <w:jc w:val="center"/>
              <w:rPr>
                <w:rFonts w:hint="eastAsia" w:ascii="微软雅黑" w:hAnsi="微软雅黑" w:eastAsia="微软雅黑" w:cs="微软雅黑"/>
                <w:b/>
                <w:bCs/>
                <w:color w:val="auto"/>
                <w:sz w:val="22"/>
                <w:szCs w:val="22"/>
                <w:highlight w:val="none"/>
              </w:rPr>
            </w:pPr>
          </w:p>
          <w:p w14:paraId="61DB7EC2">
            <w:pPr>
              <w:pStyle w:val="12"/>
              <w:ind w:firstLine="3302" w:firstLineChars="1500"/>
              <w:rPr>
                <w:rFonts w:hint="eastAsia" w:ascii="微软雅黑" w:hAnsi="微软雅黑" w:eastAsia="微软雅黑" w:cs="微软雅黑"/>
                <w:b/>
                <w:bCs/>
                <w:color w:val="auto"/>
                <w:sz w:val="22"/>
                <w:szCs w:val="22"/>
                <w:highlight w:val="none"/>
                <w:lang w:val="en-US" w:eastAsia="zh-CN"/>
              </w:rPr>
            </w:pPr>
            <w:r>
              <w:rPr>
                <w:rFonts w:hint="eastAsia" w:ascii="微软雅黑" w:hAnsi="微软雅黑" w:eastAsia="微软雅黑" w:cs="微软雅黑"/>
                <w:b/>
                <w:bCs/>
                <w:color w:val="auto"/>
                <w:sz w:val="22"/>
                <w:szCs w:val="22"/>
                <w:highlight w:val="none"/>
              </w:rPr>
              <w:t xml:space="preserve">编号 ＊＊＊      </w:t>
            </w:r>
            <w:r>
              <w:rPr>
                <w:rFonts w:hint="eastAsia" w:ascii="微软雅黑" w:hAnsi="微软雅黑" w:eastAsia="微软雅黑" w:cs="微软雅黑"/>
                <w:b/>
                <w:bCs/>
                <w:color w:val="auto"/>
                <w:sz w:val="22"/>
                <w:szCs w:val="22"/>
                <w:highlight w:val="none"/>
                <w:lang w:val="en-US" w:eastAsia="zh-CN"/>
              </w:rPr>
              <w:t>标项：</w:t>
            </w:r>
            <w:r>
              <w:rPr>
                <w:rFonts w:hint="eastAsia" w:ascii="微软雅黑" w:hAnsi="微软雅黑" w:eastAsia="微软雅黑" w:cs="微软雅黑"/>
                <w:b/>
                <w:bCs/>
                <w:color w:val="auto"/>
                <w:sz w:val="22"/>
                <w:szCs w:val="22"/>
                <w:highlight w:val="none"/>
              </w:rPr>
              <w:t>＊＊＊</w:t>
            </w:r>
          </w:p>
          <w:p w14:paraId="1F4EBD75">
            <w:pPr>
              <w:pStyle w:val="12"/>
              <w:jc w:val="center"/>
              <w:rPr>
                <w:rFonts w:hint="eastAsia" w:ascii="微软雅黑" w:hAnsi="微软雅黑" w:eastAsia="微软雅黑" w:cs="微软雅黑"/>
                <w:b/>
                <w:bCs/>
                <w:color w:val="auto"/>
                <w:sz w:val="22"/>
                <w:szCs w:val="22"/>
                <w:highlight w:val="none"/>
              </w:rPr>
            </w:pPr>
          </w:p>
          <w:p w14:paraId="55B4AB4D">
            <w:pPr>
              <w:pStyle w:val="12"/>
              <w:jc w:val="center"/>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投 标 文 件</w:t>
            </w:r>
          </w:p>
          <w:p w14:paraId="4F966742">
            <w:pPr>
              <w:pStyle w:val="3"/>
              <w:ind w:firstLine="0"/>
              <w:rPr>
                <w:rFonts w:hint="eastAsia" w:ascii="微软雅黑" w:hAnsi="微软雅黑" w:eastAsia="微软雅黑" w:cs="微软雅黑"/>
                <w:b/>
                <w:color w:val="auto"/>
                <w:sz w:val="22"/>
                <w:szCs w:val="22"/>
                <w:highlight w:val="none"/>
              </w:rPr>
            </w:pPr>
          </w:p>
          <w:p w14:paraId="0D4230B8">
            <w:pPr>
              <w:pStyle w:val="3"/>
              <w:rPr>
                <w:rFonts w:hint="eastAsia" w:ascii="微软雅黑" w:hAnsi="微软雅黑" w:eastAsia="微软雅黑" w:cs="微软雅黑"/>
                <w:b/>
                <w:color w:val="auto"/>
                <w:sz w:val="22"/>
                <w:szCs w:val="22"/>
                <w:highlight w:val="none"/>
              </w:rPr>
            </w:pPr>
          </w:p>
          <w:p w14:paraId="1D9A9036">
            <w:pPr>
              <w:spacing w:line="360" w:lineRule="auto"/>
              <w:ind w:left="176" w:leftChars="84" w:firstLine="880" w:firstLineChars="40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供应商：</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（公章）</w:t>
            </w:r>
          </w:p>
          <w:p w14:paraId="2D45D091">
            <w:pPr>
              <w:spacing w:line="360" w:lineRule="auto"/>
              <w:ind w:left="176" w:leftChars="84" w:firstLine="880" w:firstLineChars="400"/>
              <w:rPr>
                <w:rFonts w:hint="eastAsia" w:ascii="微软雅黑" w:hAnsi="微软雅黑" w:eastAsia="微软雅黑" w:cs="微软雅黑"/>
                <w:color w:val="auto"/>
                <w:sz w:val="22"/>
                <w:szCs w:val="22"/>
                <w:highlight w:val="none"/>
                <w:u w:val="single"/>
                <w:lang w:val="en-US" w:eastAsia="zh-CN"/>
              </w:rPr>
            </w:pPr>
            <w:r>
              <w:rPr>
                <w:rFonts w:hint="eastAsia" w:ascii="微软雅黑" w:hAnsi="微软雅黑" w:eastAsia="微软雅黑" w:cs="微软雅黑"/>
                <w:color w:val="auto"/>
                <w:sz w:val="22"/>
                <w:szCs w:val="22"/>
                <w:highlight w:val="none"/>
              </w:rPr>
              <w:t>项目名称：</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u w:val="single"/>
                <w:lang w:val="en-US" w:eastAsia="zh-CN"/>
              </w:rPr>
              <w:t xml:space="preserve"> </w:t>
            </w:r>
          </w:p>
          <w:p w14:paraId="7C1E4F16">
            <w:pPr>
              <w:spacing w:line="360" w:lineRule="auto"/>
              <w:ind w:left="176" w:leftChars="84" w:firstLine="880" w:firstLineChars="400"/>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项目编号：</w:t>
            </w:r>
            <w:r>
              <w:rPr>
                <w:rFonts w:hint="eastAsia" w:ascii="微软雅黑" w:hAnsi="微软雅黑" w:eastAsia="微软雅黑" w:cs="微软雅黑"/>
                <w:color w:val="auto"/>
                <w:sz w:val="22"/>
                <w:szCs w:val="22"/>
                <w:highlight w:val="none"/>
                <w:u w:val="single"/>
              </w:rPr>
              <w:t xml:space="preserve">                                        </w:t>
            </w:r>
          </w:p>
          <w:p w14:paraId="1C45C85D">
            <w:pPr>
              <w:spacing w:line="360" w:lineRule="auto"/>
              <w:ind w:left="176" w:leftChars="84" w:firstLine="880" w:firstLineChars="400"/>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联 系 人：</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u w:val="single"/>
                <w:lang w:val="en-US" w:eastAsia="zh-CN"/>
              </w:rPr>
              <w:t xml:space="preserve"> </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 xml:space="preserve"> </w:t>
            </w:r>
          </w:p>
          <w:p w14:paraId="344E8595">
            <w:pPr>
              <w:spacing w:line="360" w:lineRule="auto"/>
              <w:ind w:left="176" w:leftChars="84" w:firstLine="880" w:firstLineChars="40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电    话：</w:t>
            </w:r>
            <w:r>
              <w:rPr>
                <w:rFonts w:hint="eastAsia" w:ascii="微软雅黑" w:hAnsi="微软雅黑" w:eastAsia="微软雅黑" w:cs="微软雅黑"/>
                <w:color w:val="auto"/>
                <w:sz w:val="22"/>
                <w:szCs w:val="22"/>
                <w:highlight w:val="none"/>
                <w:u w:val="single"/>
              </w:rPr>
              <w:t xml:space="preserve">                                        </w:t>
            </w:r>
          </w:p>
          <w:p w14:paraId="49ACBAB1">
            <w:pPr>
              <w:spacing w:line="360" w:lineRule="auto"/>
              <w:ind w:left="176" w:leftChars="84" w:firstLine="880" w:firstLineChars="400"/>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color w:val="auto"/>
                <w:sz w:val="22"/>
                <w:szCs w:val="22"/>
                <w:highlight w:val="none"/>
              </w:rPr>
              <w:t xml:space="preserve">地    址  ：  </w:t>
            </w:r>
            <w:r>
              <w:rPr>
                <w:rFonts w:hint="eastAsia" w:ascii="微软雅黑" w:hAnsi="微软雅黑" w:eastAsia="微软雅黑" w:cs="微软雅黑"/>
                <w:color w:val="auto"/>
                <w:sz w:val="22"/>
                <w:szCs w:val="22"/>
                <w:highlight w:val="none"/>
                <w:u w:val="single"/>
              </w:rPr>
              <w:t xml:space="preserve">                                    </w:t>
            </w:r>
          </w:p>
          <w:p w14:paraId="6B1120A9">
            <w:pPr>
              <w:jc w:val="center"/>
              <w:rPr>
                <w:rFonts w:hint="eastAsia" w:ascii="微软雅黑" w:hAnsi="微软雅黑" w:eastAsia="微软雅黑" w:cs="微软雅黑"/>
                <w:b/>
                <w:bCs/>
                <w:color w:val="auto"/>
                <w:sz w:val="22"/>
                <w:szCs w:val="22"/>
                <w:highlight w:val="none"/>
              </w:rPr>
            </w:pPr>
          </w:p>
          <w:p w14:paraId="454A1B1D">
            <w:pPr>
              <w:pStyle w:val="3"/>
              <w:rPr>
                <w:rFonts w:hint="eastAsia" w:ascii="微软雅黑" w:hAnsi="微软雅黑" w:eastAsia="微软雅黑" w:cs="微软雅黑"/>
                <w:color w:val="auto"/>
                <w:sz w:val="22"/>
                <w:szCs w:val="22"/>
                <w:highlight w:val="none"/>
              </w:rPr>
            </w:pPr>
          </w:p>
          <w:p w14:paraId="63CB40CE">
            <w:pPr>
              <w:jc w:val="center"/>
              <w:rPr>
                <w:rFonts w:hint="eastAsia" w:ascii="微软雅黑" w:hAnsi="微软雅黑" w:eastAsia="微软雅黑" w:cs="微软雅黑"/>
                <w:b/>
                <w:bCs/>
                <w:color w:val="auto"/>
                <w:sz w:val="22"/>
                <w:szCs w:val="22"/>
                <w:highlight w:val="none"/>
              </w:rPr>
            </w:pPr>
          </w:p>
          <w:p w14:paraId="1D2007C4">
            <w:pPr>
              <w:jc w:val="center"/>
              <w:rPr>
                <w:rFonts w:hint="eastAsia" w:ascii="微软雅黑" w:hAnsi="微软雅黑" w:eastAsia="微软雅黑" w:cs="微软雅黑"/>
                <w:b/>
                <w:bCs/>
                <w:color w:val="auto"/>
                <w:sz w:val="22"/>
                <w:szCs w:val="22"/>
                <w:highlight w:val="none"/>
              </w:rPr>
            </w:pPr>
          </w:p>
          <w:p w14:paraId="6703CF98">
            <w:pPr>
              <w:jc w:val="center"/>
              <w:rPr>
                <w:rFonts w:hint="eastAsia" w:ascii="微软雅黑" w:hAnsi="微软雅黑" w:eastAsia="微软雅黑" w:cs="微软雅黑"/>
                <w:b/>
                <w:bCs/>
                <w:color w:val="auto"/>
                <w:sz w:val="22"/>
                <w:szCs w:val="22"/>
                <w:highlight w:val="none"/>
              </w:rPr>
            </w:pPr>
          </w:p>
        </w:tc>
      </w:tr>
    </w:tbl>
    <w:p w14:paraId="0861E73B">
      <w:pPr>
        <w:spacing w:line="240" w:lineRule="atLeast"/>
        <w:jc w:val="center"/>
        <w:rPr>
          <w:rFonts w:hint="eastAsia" w:ascii="微软雅黑" w:hAnsi="微软雅黑" w:eastAsia="微软雅黑" w:cs="微软雅黑"/>
          <w:b/>
          <w:color w:val="auto"/>
          <w:sz w:val="22"/>
          <w:szCs w:val="22"/>
          <w:highlight w:val="none"/>
        </w:rPr>
      </w:pPr>
    </w:p>
    <w:p w14:paraId="1FAA2660">
      <w:pPr>
        <w:spacing w:line="240" w:lineRule="atLeast"/>
        <w:jc w:val="center"/>
        <w:rPr>
          <w:rFonts w:hint="eastAsia" w:ascii="微软雅黑" w:hAnsi="微软雅黑" w:eastAsia="微软雅黑" w:cs="微软雅黑"/>
          <w:b/>
          <w:color w:val="auto"/>
          <w:sz w:val="22"/>
          <w:szCs w:val="22"/>
          <w:highlight w:val="none"/>
        </w:rPr>
      </w:pPr>
    </w:p>
    <w:p w14:paraId="68C65D02">
      <w:pPr>
        <w:spacing w:line="240" w:lineRule="atLeast"/>
        <w:jc w:val="center"/>
        <w:rPr>
          <w:rFonts w:hint="eastAsia" w:ascii="微软雅黑" w:hAnsi="微软雅黑" w:eastAsia="微软雅黑" w:cs="微软雅黑"/>
          <w:b/>
          <w:color w:val="auto"/>
          <w:sz w:val="22"/>
          <w:szCs w:val="22"/>
          <w:highlight w:val="none"/>
        </w:rPr>
      </w:pPr>
    </w:p>
    <w:p w14:paraId="2744C412">
      <w:pPr>
        <w:spacing w:line="240" w:lineRule="atLeast"/>
        <w:jc w:val="center"/>
        <w:rPr>
          <w:rFonts w:hint="eastAsia" w:ascii="微软雅黑" w:hAnsi="微软雅黑" w:eastAsia="微软雅黑" w:cs="微软雅黑"/>
          <w:b/>
          <w:color w:val="auto"/>
          <w:sz w:val="22"/>
          <w:szCs w:val="22"/>
          <w:highlight w:val="none"/>
        </w:rPr>
      </w:pPr>
    </w:p>
    <w:p w14:paraId="2E851439">
      <w:pPr>
        <w:spacing w:line="240" w:lineRule="atLeast"/>
        <w:rPr>
          <w:rFonts w:hint="eastAsia" w:ascii="微软雅黑" w:hAnsi="微软雅黑" w:eastAsia="微软雅黑" w:cs="微软雅黑"/>
          <w:b/>
          <w:color w:val="auto"/>
          <w:sz w:val="22"/>
          <w:szCs w:val="22"/>
          <w:highlight w:val="none"/>
        </w:rPr>
      </w:pPr>
    </w:p>
    <w:p w14:paraId="6D6661A2">
      <w:pPr>
        <w:spacing w:line="240" w:lineRule="atLeast"/>
        <w:jc w:val="center"/>
        <w:rPr>
          <w:rFonts w:hint="eastAsia" w:ascii="微软雅黑" w:hAnsi="微软雅黑" w:eastAsia="微软雅黑" w:cs="微软雅黑"/>
          <w:b/>
          <w:color w:val="auto"/>
          <w:sz w:val="22"/>
          <w:szCs w:val="22"/>
          <w:highlight w:val="none"/>
        </w:rPr>
      </w:pPr>
    </w:p>
    <w:p w14:paraId="58DD5F9D">
      <w:pPr>
        <w:outlineLvl w:val="9"/>
        <w:rPr>
          <w:rFonts w:hint="eastAsia" w:ascii="微软雅黑" w:hAnsi="微软雅黑" w:eastAsia="微软雅黑" w:cs="微软雅黑"/>
          <w:b/>
          <w:color w:val="auto"/>
          <w:sz w:val="22"/>
          <w:szCs w:val="22"/>
          <w:highlight w:val="none"/>
        </w:rPr>
      </w:pPr>
    </w:p>
    <w:p w14:paraId="30F6B2CA">
      <w:pPr>
        <w:pStyle w:val="3"/>
        <w:outlineLvl w:val="9"/>
        <w:rPr>
          <w:rFonts w:hint="eastAsia" w:ascii="微软雅黑" w:hAnsi="微软雅黑" w:eastAsia="微软雅黑" w:cs="微软雅黑"/>
          <w:b/>
          <w:color w:val="auto"/>
          <w:sz w:val="22"/>
          <w:szCs w:val="22"/>
          <w:highlight w:val="none"/>
        </w:rPr>
      </w:pPr>
    </w:p>
    <w:p w14:paraId="0663C9BF">
      <w:pPr>
        <w:pStyle w:val="4"/>
        <w:outlineLvl w:val="9"/>
        <w:rPr>
          <w:rFonts w:hint="eastAsia" w:ascii="微软雅黑" w:hAnsi="微软雅黑" w:eastAsia="微软雅黑" w:cs="微软雅黑"/>
          <w:b/>
          <w:color w:val="auto"/>
          <w:sz w:val="22"/>
          <w:szCs w:val="22"/>
          <w:highlight w:val="none"/>
        </w:rPr>
      </w:pPr>
    </w:p>
    <w:p w14:paraId="56EF834C">
      <w:pPr>
        <w:rPr>
          <w:rFonts w:hint="eastAsia" w:ascii="微软雅黑" w:hAnsi="微软雅黑" w:eastAsia="微软雅黑" w:cs="微软雅黑"/>
          <w:b/>
          <w:color w:val="auto"/>
          <w:sz w:val="22"/>
          <w:szCs w:val="22"/>
          <w:highlight w:val="none"/>
        </w:rPr>
      </w:pPr>
    </w:p>
    <w:p w14:paraId="00D5BB32">
      <w:pPr>
        <w:rPr>
          <w:rFonts w:hint="eastAsia" w:ascii="微软雅黑" w:hAnsi="微软雅黑" w:eastAsia="微软雅黑" w:cs="微软雅黑"/>
          <w:b/>
          <w:color w:val="auto"/>
          <w:sz w:val="22"/>
          <w:szCs w:val="22"/>
          <w:highlight w:val="none"/>
        </w:rPr>
      </w:pPr>
    </w:p>
    <w:p w14:paraId="2834057D">
      <w:pPr>
        <w:outlineLvl w:val="9"/>
        <w:rPr>
          <w:rFonts w:hint="eastAsia" w:ascii="微软雅黑" w:hAnsi="微软雅黑" w:eastAsia="微软雅黑" w:cs="微软雅黑"/>
          <w:b/>
          <w:color w:val="auto"/>
          <w:sz w:val="22"/>
          <w:szCs w:val="22"/>
          <w:highlight w:val="none"/>
        </w:rPr>
      </w:pPr>
    </w:p>
    <w:p w14:paraId="2D99DBC3">
      <w:pPr>
        <w:outlineLvl w:val="9"/>
        <w:rPr>
          <w:rFonts w:hint="eastAsia" w:ascii="微软雅黑" w:hAnsi="微软雅黑" w:eastAsia="微软雅黑" w:cs="微软雅黑"/>
          <w:color w:val="auto"/>
          <w:sz w:val="20"/>
          <w:szCs w:val="22"/>
          <w:highlight w:val="none"/>
        </w:rPr>
      </w:pPr>
    </w:p>
    <w:p w14:paraId="28A3C3BB">
      <w:pPr>
        <w:pStyle w:val="25"/>
        <w:rPr>
          <w:rFonts w:hint="eastAsia" w:ascii="微软雅黑" w:hAnsi="微软雅黑" w:eastAsia="微软雅黑" w:cs="微软雅黑"/>
          <w:color w:val="auto"/>
          <w:sz w:val="36"/>
          <w:szCs w:val="36"/>
          <w:highlight w:val="none"/>
        </w:rPr>
      </w:pPr>
    </w:p>
    <w:p w14:paraId="427FD436">
      <w:pPr>
        <w:spacing w:line="240" w:lineRule="atLeast"/>
        <w:jc w:val="center"/>
        <w:rPr>
          <w:rFonts w:hint="eastAsia" w:ascii="微软雅黑" w:hAnsi="微软雅黑" w:eastAsia="微软雅黑" w:cs="微软雅黑"/>
          <w:b/>
          <w:color w:val="auto"/>
          <w:sz w:val="36"/>
          <w:szCs w:val="36"/>
          <w:highlight w:val="none"/>
        </w:rPr>
      </w:pPr>
      <w:r>
        <w:rPr>
          <w:rFonts w:hint="eastAsia" w:ascii="微软雅黑" w:hAnsi="微软雅黑" w:eastAsia="微软雅黑" w:cs="微软雅黑"/>
          <w:b/>
          <w:color w:val="auto"/>
          <w:sz w:val="36"/>
          <w:szCs w:val="36"/>
          <w:highlight w:val="none"/>
        </w:rPr>
        <w:t>招 标 文 件</w:t>
      </w:r>
    </w:p>
    <w:p w14:paraId="2FB4E368">
      <w:pPr>
        <w:spacing w:line="360" w:lineRule="auto"/>
        <w:rPr>
          <w:rFonts w:hint="eastAsia" w:ascii="微软雅黑" w:hAnsi="微软雅黑" w:eastAsia="微软雅黑" w:cs="微软雅黑"/>
          <w:b/>
          <w:color w:val="auto"/>
          <w:sz w:val="36"/>
          <w:szCs w:val="36"/>
          <w:highlight w:val="none"/>
        </w:rPr>
      </w:pPr>
      <w:bookmarkStart w:id="1924" w:name="_Toc24900_WPSOffice_Level2"/>
    </w:p>
    <w:p w14:paraId="4D33676D">
      <w:pPr>
        <w:spacing w:line="360" w:lineRule="auto"/>
        <w:jc w:val="center"/>
        <w:rPr>
          <w:rFonts w:hint="default" w:ascii="微软雅黑" w:hAnsi="微软雅黑" w:eastAsia="微软雅黑" w:cs="微软雅黑"/>
          <w:b/>
          <w:color w:val="auto"/>
          <w:sz w:val="36"/>
          <w:szCs w:val="36"/>
          <w:highlight w:val="none"/>
          <w:lang w:val="en-US" w:eastAsia="zh-CN"/>
        </w:rPr>
      </w:pPr>
      <w:r>
        <w:rPr>
          <w:rFonts w:hint="eastAsia" w:ascii="微软雅黑" w:hAnsi="微软雅黑" w:eastAsia="微软雅黑" w:cs="微软雅黑"/>
          <w:b/>
          <w:color w:val="auto"/>
          <w:sz w:val="36"/>
          <w:szCs w:val="36"/>
          <w:highlight w:val="none"/>
        </w:rPr>
        <w:t>项目编号：</w:t>
      </w:r>
      <w:bookmarkEnd w:id="1924"/>
      <w:r>
        <w:rPr>
          <w:rFonts w:hint="eastAsia" w:ascii="微软雅黑" w:hAnsi="微软雅黑" w:eastAsia="微软雅黑" w:cs="微软雅黑"/>
          <w:b/>
          <w:color w:val="auto"/>
          <w:sz w:val="36"/>
          <w:szCs w:val="36"/>
          <w:highlight w:val="none"/>
          <w:lang w:eastAsia="zh-CN"/>
        </w:rPr>
        <w:t>25GJ-(GK）044</w:t>
      </w:r>
      <w:r>
        <w:rPr>
          <w:rFonts w:hint="eastAsia" w:ascii="微软雅黑" w:hAnsi="微软雅黑" w:eastAsia="微软雅黑" w:cs="微软雅黑"/>
          <w:b/>
          <w:color w:val="auto"/>
          <w:sz w:val="36"/>
          <w:szCs w:val="36"/>
          <w:highlight w:val="none"/>
          <w:lang w:val="en-US" w:eastAsia="zh-CN"/>
        </w:rPr>
        <w:t>-3</w:t>
      </w:r>
    </w:p>
    <w:p w14:paraId="29DE12A4">
      <w:pPr>
        <w:spacing w:line="240" w:lineRule="atLeast"/>
        <w:jc w:val="both"/>
        <w:rPr>
          <w:rFonts w:hint="eastAsia" w:ascii="微软雅黑" w:hAnsi="微软雅黑" w:eastAsia="微软雅黑" w:cs="微软雅黑"/>
          <w:b/>
          <w:color w:val="auto"/>
          <w:sz w:val="36"/>
          <w:szCs w:val="36"/>
          <w:highlight w:val="none"/>
        </w:rPr>
      </w:pPr>
    </w:p>
    <w:p w14:paraId="31CA2CAF">
      <w:pPr>
        <w:spacing w:line="240" w:lineRule="atLeast"/>
        <w:jc w:val="center"/>
        <w:rPr>
          <w:rFonts w:hint="eastAsia" w:ascii="微软雅黑" w:hAnsi="微软雅黑" w:eastAsia="微软雅黑" w:cs="微软雅黑"/>
          <w:b/>
          <w:color w:val="auto"/>
          <w:sz w:val="36"/>
          <w:szCs w:val="36"/>
          <w:highlight w:val="none"/>
        </w:rPr>
      </w:pPr>
      <w:r>
        <w:rPr>
          <w:rFonts w:hint="eastAsia" w:ascii="微软雅黑" w:hAnsi="微软雅黑" w:eastAsia="微软雅黑" w:cs="微软雅黑"/>
          <w:b/>
          <w:color w:val="auto"/>
          <w:sz w:val="36"/>
          <w:szCs w:val="36"/>
          <w:highlight w:val="none"/>
        </w:rPr>
        <w:t>第 二 册</w:t>
      </w:r>
    </w:p>
    <w:p w14:paraId="2BBDAE72">
      <w:pPr>
        <w:rPr>
          <w:rFonts w:hint="eastAsia" w:ascii="微软雅黑" w:hAnsi="微软雅黑" w:eastAsia="微软雅黑" w:cs="微软雅黑"/>
          <w:color w:val="auto"/>
          <w:sz w:val="22"/>
          <w:szCs w:val="22"/>
          <w:highlight w:val="none"/>
        </w:rPr>
      </w:pPr>
    </w:p>
    <w:p w14:paraId="59D4F1A4">
      <w:pPr>
        <w:rPr>
          <w:rFonts w:hint="eastAsia" w:ascii="微软雅黑" w:hAnsi="微软雅黑" w:eastAsia="微软雅黑" w:cs="微软雅黑"/>
          <w:color w:val="auto"/>
          <w:sz w:val="40"/>
          <w:szCs w:val="32"/>
          <w:highlight w:val="none"/>
        </w:rPr>
      </w:pPr>
    </w:p>
    <w:p w14:paraId="4353455C">
      <w:pPr>
        <w:pStyle w:val="3"/>
        <w:rPr>
          <w:rFonts w:hint="eastAsia" w:ascii="微软雅黑" w:hAnsi="微软雅黑" w:eastAsia="微软雅黑" w:cs="微软雅黑"/>
          <w:b/>
          <w:color w:val="auto"/>
          <w:sz w:val="40"/>
          <w:szCs w:val="32"/>
          <w:highlight w:val="none"/>
        </w:rPr>
      </w:pPr>
    </w:p>
    <w:p w14:paraId="133370C3">
      <w:pPr>
        <w:pStyle w:val="4"/>
        <w:rPr>
          <w:rFonts w:hint="eastAsia" w:ascii="微软雅黑" w:hAnsi="微软雅黑" w:eastAsia="微软雅黑" w:cs="微软雅黑"/>
          <w:b/>
          <w:color w:val="auto"/>
          <w:sz w:val="40"/>
          <w:szCs w:val="32"/>
          <w:highlight w:val="none"/>
        </w:rPr>
      </w:pPr>
    </w:p>
    <w:p w14:paraId="4EC9045D">
      <w:pPr>
        <w:rPr>
          <w:rFonts w:hint="eastAsia" w:ascii="微软雅黑" w:hAnsi="微软雅黑" w:eastAsia="微软雅黑" w:cs="微软雅黑"/>
          <w:color w:val="auto"/>
          <w:sz w:val="20"/>
          <w:szCs w:val="22"/>
          <w:highlight w:val="none"/>
        </w:rPr>
      </w:pPr>
    </w:p>
    <w:p w14:paraId="5704ADC3">
      <w:pPr>
        <w:rPr>
          <w:rFonts w:hint="eastAsia" w:ascii="微软雅黑" w:hAnsi="微软雅黑" w:eastAsia="微软雅黑" w:cs="微软雅黑"/>
          <w:color w:val="auto"/>
          <w:sz w:val="20"/>
          <w:szCs w:val="22"/>
          <w:highlight w:val="none"/>
        </w:rPr>
      </w:pPr>
    </w:p>
    <w:p w14:paraId="15867FC2">
      <w:pPr>
        <w:spacing w:line="240" w:lineRule="atLeast"/>
        <w:jc w:val="center"/>
        <w:rPr>
          <w:rFonts w:hint="eastAsia" w:ascii="微软雅黑" w:hAnsi="微软雅黑" w:eastAsia="微软雅黑" w:cs="微软雅黑"/>
          <w:b/>
          <w:color w:val="auto"/>
          <w:sz w:val="28"/>
          <w:szCs w:val="22"/>
          <w:highlight w:val="none"/>
        </w:rPr>
      </w:pPr>
    </w:p>
    <w:bookmarkEnd w:id="1769"/>
    <w:bookmarkEnd w:id="1770"/>
    <w:bookmarkEnd w:id="1771"/>
    <w:bookmarkEnd w:id="1772"/>
    <w:bookmarkEnd w:id="1773"/>
    <w:bookmarkEnd w:id="1774"/>
    <w:bookmarkEnd w:id="1775"/>
    <w:bookmarkEnd w:id="1776"/>
    <w:bookmarkEnd w:id="1777"/>
    <w:bookmarkEnd w:id="1778"/>
    <w:p w14:paraId="22C220E5">
      <w:pPr>
        <w:rPr>
          <w:rStyle w:val="46"/>
          <w:rFonts w:hint="eastAsia" w:ascii="微软雅黑" w:hAnsi="微软雅黑" w:eastAsia="微软雅黑" w:cs="微软雅黑"/>
          <w:color w:val="auto"/>
          <w:sz w:val="28"/>
          <w:szCs w:val="18"/>
          <w:highlight w:val="none"/>
        </w:rPr>
      </w:pPr>
      <w:bookmarkStart w:id="1925" w:name="_Toc29715"/>
      <w:bookmarkStart w:id="1926" w:name="_Toc22081"/>
      <w:bookmarkStart w:id="1927" w:name="_Toc515647829"/>
      <w:bookmarkStart w:id="1928" w:name="_Toc16370"/>
      <w:bookmarkStart w:id="1929" w:name="_Toc218935350"/>
      <w:bookmarkStart w:id="1930" w:name="_Toc219175634"/>
      <w:bookmarkStart w:id="1931" w:name="_Toc28765"/>
      <w:bookmarkStart w:id="1932" w:name="_Toc507399902"/>
      <w:bookmarkStart w:id="1933" w:name="_Toc216582822"/>
      <w:r>
        <w:rPr>
          <w:rStyle w:val="46"/>
          <w:rFonts w:hint="eastAsia" w:ascii="微软雅黑" w:hAnsi="微软雅黑" w:eastAsia="微软雅黑" w:cs="微软雅黑"/>
          <w:color w:val="auto"/>
          <w:sz w:val="28"/>
          <w:szCs w:val="18"/>
          <w:highlight w:val="none"/>
        </w:rPr>
        <w:br w:type="page"/>
      </w:r>
    </w:p>
    <w:p w14:paraId="11A06255">
      <w:pPr>
        <w:widowControl/>
        <w:spacing w:line="440" w:lineRule="exact"/>
        <w:jc w:val="center"/>
        <w:outlineLvl w:val="0"/>
        <w:rPr>
          <w:rStyle w:val="46"/>
          <w:rFonts w:hint="eastAsia" w:ascii="微软雅黑" w:hAnsi="微软雅黑" w:eastAsia="微软雅黑" w:cs="微软雅黑"/>
          <w:color w:val="auto"/>
          <w:sz w:val="28"/>
          <w:szCs w:val="18"/>
          <w:highlight w:val="none"/>
        </w:rPr>
      </w:pPr>
      <w:bookmarkStart w:id="1934" w:name="_Toc8919"/>
      <w:r>
        <w:rPr>
          <w:rStyle w:val="46"/>
          <w:rFonts w:hint="eastAsia" w:ascii="微软雅黑" w:hAnsi="微软雅黑" w:eastAsia="微软雅黑" w:cs="微软雅黑"/>
          <w:color w:val="auto"/>
          <w:sz w:val="28"/>
          <w:szCs w:val="18"/>
          <w:highlight w:val="none"/>
        </w:rPr>
        <w:t>第3章  投标邀请</w:t>
      </w:r>
      <w:bookmarkEnd w:id="1925"/>
      <w:bookmarkEnd w:id="1926"/>
      <w:bookmarkEnd w:id="1927"/>
      <w:bookmarkEnd w:id="1928"/>
      <w:bookmarkEnd w:id="1929"/>
      <w:bookmarkEnd w:id="1930"/>
      <w:bookmarkEnd w:id="1931"/>
      <w:bookmarkEnd w:id="1932"/>
      <w:bookmarkEnd w:id="1933"/>
      <w:bookmarkEnd w:id="1934"/>
      <w:bookmarkStart w:id="1935" w:name="_Toc216582823"/>
      <w:bookmarkStart w:id="1936" w:name="_Toc31583"/>
      <w:bookmarkStart w:id="1937" w:name="_Toc5272"/>
      <w:bookmarkStart w:id="1938" w:name="_Toc515647830"/>
      <w:bookmarkStart w:id="1939" w:name="_Toc10488"/>
      <w:bookmarkStart w:id="1940" w:name="_Toc507399903"/>
      <w:bookmarkStart w:id="1941" w:name="_Toc512937850"/>
    </w:p>
    <w:p w14:paraId="56CCC86A">
      <w:pPr>
        <w:keepNext w:val="0"/>
        <w:keepLines w:val="0"/>
        <w:pageBreakBefore w:val="0"/>
        <w:tabs>
          <w:tab w:val="left" w:pos="0"/>
          <w:tab w:val="left" w:pos="3165"/>
          <w:tab w:val="center" w:pos="4153"/>
        </w:tabs>
        <w:kinsoku/>
        <w:overflowPunct/>
        <w:topLinePunct w:val="0"/>
        <w:bidi w:val="0"/>
        <w:snapToGrid/>
        <w:spacing w:before="0" w:after="0" w:line="440" w:lineRule="exact"/>
        <w:jc w:val="center"/>
        <w:textAlignment w:val="auto"/>
        <w:outlineLvl w:val="9"/>
        <w:rPr>
          <w:rFonts w:hint="eastAsia" w:ascii="微软雅黑" w:hAnsi="微软雅黑" w:eastAsia="微软雅黑" w:cs="微软雅黑"/>
          <w:b/>
          <w:bCs/>
          <w:color w:val="auto"/>
          <w:sz w:val="24"/>
          <w:szCs w:val="24"/>
          <w:highlight w:val="none"/>
          <w:lang w:eastAsia="zh-CN"/>
        </w:rPr>
      </w:pPr>
      <w:bookmarkStart w:id="1942" w:name="_Toc29132"/>
      <w:r>
        <w:rPr>
          <w:rFonts w:hint="eastAsia" w:ascii="微软雅黑" w:hAnsi="微软雅黑" w:eastAsia="微软雅黑" w:cs="微软雅黑"/>
          <w:b/>
          <w:bCs/>
          <w:color w:val="auto"/>
          <w:kern w:val="2"/>
          <w:sz w:val="28"/>
          <w:szCs w:val="28"/>
          <w:highlight w:val="none"/>
          <w:lang w:val="en-US" w:eastAsia="zh-CN" w:bidi="ar-SA"/>
        </w:rPr>
        <w:t>新疆共建恒业信息咨询有限责任公司关于喀什地区第一人民医院医疗设备采购项目（标项二）二次</w:t>
      </w:r>
      <w:r>
        <w:rPr>
          <w:rFonts w:hint="eastAsia" w:ascii="微软雅黑" w:hAnsi="微软雅黑" w:eastAsia="微软雅黑" w:cs="微软雅黑"/>
          <w:b/>
          <w:bCs/>
          <w:color w:val="auto"/>
          <w:sz w:val="28"/>
          <w:szCs w:val="28"/>
          <w:highlight w:val="none"/>
          <w:lang w:eastAsia="zh-CN"/>
        </w:rPr>
        <w:t>公开招标公告</w:t>
      </w:r>
    </w:p>
    <w:p w14:paraId="5F00332C">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项目概况</w:t>
      </w:r>
    </w:p>
    <w:p w14:paraId="54DBC687">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b/>
          <w:bCs/>
          <w:color w:val="auto"/>
          <w:sz w:val="22"/>
          <w:szCs w:val="22"/>
          <w:highlight w:val="none"/>
        </w:rPr>
      </w:pPr>
      <w:bookmarkStart w:id="1943" w:name="_Toc28359079"/>
      <w:bookmarkStart w:id="1944" w:name="_Toc28217"/>
      <w:bookmarkStart w:id="1945" w:name="_Toc28359002"/>
      <w:bookmarkStart w:id="1946" w:name="_Toc35393621"/>
      <w:bookmarkStart w:id="1947" w:name="_Toc35393790"/>
      <w:bookmarkStart w:id="1948" w:name="_Toc20970"/>
      <w:bookmarkStart w:id="1949" w:name="_Toc28253"/>
      <w:bookmarkStart w:id="1950" w:name="_Hlk24379207"/>
      <w:r>
        <w:rPr>
          <w:rFonts w:hint="eastAsia" w:ascii="微软雅黑" w:hAnsi="微软雅黑" w:eastAsia="微软雅黑" w:cs="微软雅黑"/>
          <w:color w:val="auto"/>
          <w:sz w:val="22"/>
          <w:szCs w:val="22"/>
          <w:highlight w:val="none"/>
          <w:u w:val="single"/>
          <w:lang w:eastAsia="zh-CN"/>
        </w:rPr>
        <w:t>喀什地区第一人民医院医疗设备采购项目（标项</w:t>
      </w:r>
      <w:r>
        <w:rPr>
          <w:rFonts w:hint="eastAsia" w:ascii="微软雅黑" w:hAnsi="微软雅黑" w:eastAsia="微软雅黑" w:cs="微软雅黑"/>
          <w:color w:val="auto"/>
          <w:sz w:val="22"/>
          <w:szCs w:val="22"/>
          <w:highlight w:val="none"/>
          <w:u w:val="single"/>
          <w:lang w:val="en-US" w:eastAsia="zh-CN"/>
        </w:rPr>
        <w:t>二</w:t>
      </w:r>
      <w:r>
        <w:rPr>
          <w:rFonts w:hint="eastAsia" w:ascii="微软雅黑" w:hAnsi="微软雅黑" w:eastAsia="微软雅黑" w:cs="微软雅黑"/>
          <w:color w:val="auto"/>
          <w:sz w:val="22"/>
          <w:szCs w:val="22"/>
          <w:highlight w:val="none"/>
          <w:u w:val="single"/>
          <w:lang w:eastAsia="zh-CN"/>
        </w:rPr>
        <w:t>）二次</w:t>
      </w:r>
      <w:r>
        <w:rPr>
          <w:rFonts w:hint="eastAsia" w:ascii="微软雅黑" w:hAnsi="微软雅黑" w:eastAsia="微软雅黑" w:cs="微软雅黑"/>
          <w:color w:val="auto"/>
          <w:sz w:val="22"/>
          <w:szCs w:val="22"/>
          <w:highlight w:val="none"/>
        </w:rPr>
        <w:t>的潜在供应商应在</w:t>
      </w:r>
      <w:r>
        <w:rPr>
          <w:rFonts w:hint="eastAsia" w:ascii="微软雅黑" w:hAnsi="微软雅黑" w:eastAsia="微软雅黑" w:cs="微软雅黑"/>
          <w:color w:val="auto"/>
          <w:sz w:val="22"/>
          <w:szCs w:val="22"/>
          <w:highlight w:val="none"/>
          <w:u w:val="single"/>
          <w:lang w:val="en-US" w:eastAsia="zh-CN"/>
        </w:rPr>
        <w:t>政采云平台（https://login.zcygov.cn/user-login/#/login）</w:t>
      </w:r>
      <w:r>
        <w:rPr>
          <w:rFonts w:hint="eastAsia" w:ascii="微软雅黑" w:hAnsi="微软雅黑" w:eastAsia="微软雅黑" w:cs="微软雅黑"/>
          <w:color w:val="auto"/>
          <w:sz w:val="22"/>
          <w:szCs w:val="22"/>
          <w:highlight w:val="none"/>
        </w:rPr>
        <w:t>获取招标文件，并于</w:t>
      </w:r>
      <w:r>
        <w:rPr>
          <w:rFonts w:hint="eastAsia" w:ascii="微软雅黑" w:hAnsi="微软雅黑" w:eastAsia="微软雅黑" w:cs="微软雅黑"/>
          <w:color w:val="auto"/>
          <w:sz w:val="22"/>
          <w:szCs w:val="22"/>
          <w:highlight w:val="none"/>
          <w:u w:val="single"/>
          <w:lang w:eastAsia="zh-CN"/>
        </w:rPr>
        <w:t>202</w:t>
      </w:r>
      <w:r>
        <w:rPr>
          <w:rFonts w:hint="eastAsia" w:ascii="微软雅黑" w:hAnsi="微软雅黑" w:eastAsia="微软雅黑" w:cs="微软雅黑"/>
          <w:color w:val="auto"/>
          <w:sz w:val="22"/>
          <w:szCs w:val="22"/>
          <w:highlight w:val="none"/>
          <w:u w:val="single"/>
          <w:lang w:val="en-US" w:eastAsia="zh-CN"/>
        </w:rPr>
        <w:t>5</w:t>
      </w:r>
      <w:r>
        <w:rPr>
          <w:rFonts w:hint="eastAsia" w:ascii="微软雅黑" w:hAnsi="微软雅黑" w:eastAsia="微软雅黑" w:cs="微软雅黑"/>
          <w:color w:val="auto"/>
          <w:sz w:val="22"/>
          <w:szCs w:val="22"/>
          <w:highlight w:val="none"/>
          <w:u w:val="single"/>
          <w:lang w:eastAsia="zh-CN"/>
        </w:rPr>
        <w:t>年</w:t>
      </w:r>
      <w:r>
        <w:rPr>
          <w:rFonts w:hint="eastAsia" w:ascii="微软雅黑" w:hAnsi="微软雅黑" w:eastAsia="微软雅黑" w:cs="微软雅黑"/>
          <w:color w:val="auto"/>
          <w:sz w:val="22"/>
          <w:szCs w:val="22"/>
          <w:highlight w:val="none"/>
          <w:u w:val="single"/>
          <w:lang w:val="en-US" w:eastAsia="zh-CN"/>
        </w:rPr>
        <w:t>07 月08日11</w:t>
      </w:r>
      <w:r>
        <w:rPr>
          <w:rFonts w:hint="eastAsia" w:ascii="微软雅黑" w:hAnsi="微软雅黑" w:eastAsia="微软雅黑" w:cs="微软雅黑"/>
          <w:color w:val="auto"/>
          <w:sz w:val="22"/>
          <w:szCs w:val="22"/>
          <w:highlight w:val="none"/>
          <w:u w:val="single"/>
          <w:lang w:eastAsia="zh-CN"/>
        </w:rPr>
        <w:t>:00</w:t>
      </w:r>
      <w:r>
        <w:rPr>
          <w:rFonts w:hint="eastAsia" w:ascii="微软雅黑" w:hAnsi="微软雅黑" w:eastAsia="微软雅黑" w:cs="微软雅黑"/>
          <w:color w:val="auto"/>
          <w:sz w:val="22"/>
          <w:szCs w:val="22"/>
          <w:highlight w:val="none"/>
          <w:u w:val="single"/>
        </w:rPr>
        <w:t>（北京时间）</w:t>
      </w:r>
      <w:r>
        <w:rPr>
          <w:rFonts w:hint="eastAsia" w:ascii="微软雅黑" w:hAnsi="微软雅黑" w:eastAsia="微软雅黑" w:cs="微软雅黑"/>
          <w:bCs/>
          <w:color w:val="auto"/>
          <w:sz w:val="22"/>
          <w:szCs w:val="22"/>
          <w:highlight w:val="none"/>
        </w:rPr>
        <w:t>前</w:t>
      </w:r>
      <w:r>
        <w:rPr>
          <w:rFonts w:hint="eastAsia" w:ascii="微软雅黑" w:hAnsi="微软雅黑" w:eastAsia="微软雅黑" w:cs="微软雅黑"/>
          <w:bCs/>
          <w:color w:val="auto"/>
          <w:sz w:val="22"/>
          <w:szCs w:val="22"/>
          <w:highlight w:val="none"/>
          <w:lang w:eastAsia="zh-CN"/>
        </w:rPr>
        <w:t>上传</w:t>
      </w:r>
      <w:r>
        <w:rPr>
          <w:rFonts w:hint="eastAsia" w:ascii="微软雅黑" w:hAnsi="微软雅黑" w:eastAsia="微软雅黑" w:cs="微软雅黑"/>
          <w:bCs/>
          <w:color w:val="auto"/>
          <w:sz w:val="22"/>
          <w:szCs w:val="22"/>
          <w:highlight w:val="none"/>
        </w:rPr>
        <w:t>投标文件</w:t>
      </w:r>
      <w:r>
        <w:rPr>
          <w:rFonts w:hint="eastAsia" w:ascii="微软雅黑" w:hAnsi="微软雅黑" w:eastAsia="微软雅黑" w:cs="微软雅黑"/>
          <w:color w:val="auto"/>
          <w:sz w:val="22"/>
          <w:szCs w:val="22"/>
          <w:highlight w:val="none"/>
        </w:rPr>
        <w:t>。</w:t>
      </w:r>
    </w:p>
    <w:p w14:paraId="57465EAE">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jc w:val="both"/>
        <w:textAlignment w:val="auto"/>
        <w:outlineLvl w:val="9"/>
        <w:rPr>
          <w:rFonts w:hint="eastAsia" w:ascii="微软雅黑" w:hAnsi="微软雅黑" w:eastAsia="微软雅黑" w:cs="微软雅黑"/>
          <w:b/>
          <w:bCs w:val="0"/>
          <w:color w:val="auto"/>
          <w:sz w:val="22"/>
          <w:szCs w:val="22"/>
          <w:highlight w:val="none"/>
        </w:rPr>
      </w:pPr>
      <w:r>
        <w:rPr>
          <w:rFonts w:hint="eastAsia" w:ascii="微软雅黑" w:hAnsi="微软雅黑" w:eastAsia="微软雅黑" w:cs="微软雅黑"/>
          <w:b/>
          <w:bCs w:val="0"/>
          <w:color w:val="auto"/>
          <w:sz w:val="22"/>
          <w:szCs w:val="22"/>
          <w:highlight w:val="none"/>
        </w:rPr>
        <w:t>一、</w:t>
      </w:r>
      <w:bookmarkEnd w:id="1943"/>
      <w:bookmarkEnd w:id="1944"/>
      <w:bookmarkEnd w:id="1945"/>
      <w:bookmarkEnd w:id="1946"/>
      <w:bookmarkEnd w:id="1947"/>
      <w:r>
        <w:rPr>
          <w:rFonts w:hint="eastAsia" w:ascii="微软雅黑" w:hAnsi="微软雅黑" w:eastAsia="微软雅黑" w:cs="微软雅黑"/>
          <w:b/>
          <w:bCs w:val="0"/>
          <w:color w:val="auto"/>
          <w:sz w:val="22"/>
          <w:szCs w:val="22"/>
          <w:highlight w:val="none"/>
        </w:rPr>
        <w:t>项目基本情况</w:t>
      </w:r>
      <w:bookmarkEnd w:id="1948"/>
      <w:bookmarkEnd w:id="1949"/>
    </w:p>
    <w:bookmarkEnd w:id="1950"/>
    <w:p w14:paraId="412C1157">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default" w:ascii="微软雅黑" w:hAnsi="微软雅黑" w:eastAsia="微软雅黑" w:cs="微软雅黑"/>
          <w:color w:val="auto"/>
          <w:sz w:val="22"/>
          <w:szCs w:val="22"/>
          <w:highlight w:val="none"/>
          <w:lang w:val="en-US" w:eastAsia="zh-CN"/>
        </w:rPr>
      </w:pPr>
      <w:bookmarkStart w:id="1951" w:name="_Toc13688"/>
      <w:bookmarkStart w:id="1952" w:name="_Toc28359003"/>
      <w:bookmarkStart w:id="1953" w:name="_Toc28359080"/>
      <w:bookmarkStart w:id="1954" w:name="_Toc29506"/>
      <w:bookmarkStart w:id="1955" w:name="_Toc35393622"/>
      <w:bookmarkStart w:id="1956" w:name="_Toc35393791"/>
      <w:bookmarkStart w:id="1957" w:name="_Toc1145"/>
      <w:bookmarkStart w:id="1958" w:name="_Toc19260"/>
      <w:r>
        <w:rPr>
          <w:rFonts w:hint="eastAsia" w:ascii="微软雅黑" w:hAnsi="微软雅黑" w:eastAsia="微软雅黑" w:cs="微软雅黑"/>
          <w:color w:val="auto"/>
          <w:sz w:val="22"/>
          <w:szCs w:val="22"/>
          <w:highlight w:val="none"/>
          <w:lang w:val="en-US" w:eastAsia="zh-CN"/>
        </w:rPr>
        <w:t>1.</w:t>
      </w:r>
      <w:r>
        <w:rPr>
          <w:rFonts w:hint="eastAsia" w:ascii="微软雅黑" w:hAnsi="微软雅黑" w:eastAsia="微软雅黑" w:cs="微软雅黑"/>
          <w:color w:val="auto"/>
          <w:sz w:val="22"/>
          <w:szCs w:val="22"/>
          <w:highlight w:val="none"/>
        </w:rPr>
        <w:t>项目编号：</w:t>
      </w:r>
      <w:r>
        <w:rPr>
          <w:rFonts w:hint="eastAsia" w:ascii="微软雅黑" w:hAnsi="微软雅黑" w:eastAsia="微软雅黑" w:cs="微软雅黑"/>
          <w:color w:val="auto"/>
          <w:sz w:val="22"/>
          <w:szCs w:val="22"/>
          <w:highlight w:val="none"/>
          <w:lang w:eastAsia="zh-CN"/>
        </w:rPr>
        <w:t>25GJ-(GK）044</w:t>
      </w:r>
      <w:r>
        <w:rPr>
          <w:rFonts w:hint="eastAsia" w:ascii="微软雅黑" w:hAnsi="微软雅黑" w:eastAsia="微软雅黑" w:cs="微软雅黑"/>
          <w:color w:val="auto"/>
          <w:sz w:val="22"/>
          <w:szCs w:val="22"/>
          <w:highlight w:val="none"/>
          <w:lang w:val="en-US" w:eastAsia="zh-CN"/>
        </w:rPr>
        <w:t>-3</w:t>
      </w:r>
    </w:p>
    <w:p w14:paraId="09F20532">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val="en-US" w:eastAsia="zh-CN"/>
        </w:rPr>
        <w:t>2.</w:t>
      </w:r>
      <w:r>
        <w:rPr>
          <w:rFonts w:hint="eastAsia" w:ascii="微软雅黑" w:hAnsi="微软雅黑" w:eastAsia="微软雅黑" w:cs="微软雅黑"/>
          <w:color w:val="auto"/>
          <w:sz w:val="22"/>
          <w:szCs w:val="22"/>
          <w:highlight w:val="none"/>
        </w:rPr>
        <w:t>项目名称：</w:t>
      </w:r>
      <w:r>
        <w:rPr>
          <w:rFonts w:hint="eastAsia" w:ascii="微软雅黑" w:hAnsi="微软雅黑" w:eastAsia="微软雅黑" w:cs="微软雅黑"/>
          <w:color w:val="auto"/>
          <w:sz w:val="22"/>
          <w:szCs w:val="22"/>
          <w:highlight w:val="none"/>
          <w:lang w:eastAsia="zh-CN"/>
        </w:rPr>
        <w:t>喀什地区第一人民医院医疗设备采购项目（标项</w:t>
      </w:r>
      <w:r>
        <w:rPr>
          <w:rFonts w:hint="eastAsia" w:ascii="微软雅黑" w:hAnsi="微软雅黑" w:eastAsia="微软雅黑" w:cs="微软雅黑"/>
          <w:color w:val="auto"/>
          <w:sz w:val="22"/>
          <w:szCs w:val="22"/>
          <w:highlight w:val="none"/>
          <w:lang w:val="en-US" w:eastAsia="zh-CN"/>
        </w:rPr>
        <w:t>二</w:t>
      </w:r>
      <w:r>
        <w:rPr>
          <w:rFonts w:hint="eastAsia" w:ascii="微软雅黑" w:hAnsi="微软雅黑" w:eastAsia="微软雅黑" w:cs="微软雅黑"/>
          <w:color w:val="auto"/>
          <w:sz w:val="22"/>
          <w:szCs w:val="22"/>
          <w:highlight w:val="none"/>
          <w:lang w:eastAsia="zh-CN"/>
        </w:rPr>
        <w:t>）二次</w:t>
      </w:r>
    </w:p>
    <w:p w14:paraId="32426210">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3.采购方式：公开招标</w:t>
      </w:r>
    </w:p>
    <w:p w14:paraId="7C8DEEDD">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default"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4.预算金额（元）：4090000</w:t>
      </w:r>
    </w:p>
    <w:p w14:paraId="035EF031">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5.最高限价（元）：4090000</w:t>
      </w:r>
    </w:p>
    <w:p w14:paraId="0A7C30BA">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6.采购需求：</w:t>
      </w:r>
    </w:p>
    <w:p w14:paraId="2CA63C80">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标项二</w:t>
      </w:r>
    </w:p>
    <w:p w14:paraId="41EC52DC">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val="en-US" w:eastAsia="zh-CN"/>
        </w:rPr>
        <w:t>标项名称：</w:t>
      </w:r>
      <w:r>
        <w:rPr>
          <w:rFonts w:hint="eastAsia" w:ascii="微软雅黑" w:hAnsi="微软雅黑" w:eastAsia="微软雅黑" w:cs="微软雅黑"/>
          <w:color w:val="auto"/>
          <w:sz w:val="22"/>
          <w:szCs w:val="22"/>
          <w:highlight w:val="none"/>
          <w:lang w:eastAsia="zh-CN"/>
        </w:rPr>
        <w:t>喀什地区第一人民医院医疗设备采购项目（标项</w:t>
      </w:r>
      <w:r>
        <w:rPr>
          <w:rFonts w:hint="eastAsia" w:ascii="微软雅黑" w:hAnsi="微软雅黑" w:eastAsia="微软雅黑" w:cs="微软雅黑"/>
          <w:color w:val="auto"/>
          <w:sz w:val="22"/>
          <w:szCs w:val="22"/>
          <w:highlight w:val="none"/>
          <w:lang w:val="en-US" w:eastAsia="zh-CN"/>
        </w:rPr>
        <w:t>二</w:t>
      </w:r>
      <w:r>
        <w:rPr>
          <w:rFonts w:hint="eastAsia" w:ascii="微软雅黑" w:hAnsi="微软雅黑" w:eastAsia="微软雅黑" w:cs="微软雅黑"/>
          <w:color w:val="auto"/>
          <w:sz w:val="22"/>
          <w:szCs w:val="22"/>
          <w:highlight w:val="none"/>
          <w:lang w:eastAsia="zh-CN"/>
        </w:rPr>
        <w:t>）二次</w:t>
      </w:r>
    </w:p>
    <w:p w14:paraId="5881B454">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数量：一批</w:t>
      </w:r>
    </w:p>
    <w:p w14:paraId="062C66F9">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预算金额（元）：4090000</w:t>
      </w:r>
    </w:p>
    <w:p w14:paraId="5944EACF">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简要规格描述或项目基本概况介绍、用途：采购视觉功能训练治疗软件(VR版)、视功能训练治疗软件(裸眼3D)、钬激光碎石系统、强脉冲光干眼治疗仪等一批（规格参数详见招标文件）。</w:t>
      </w:r>
    </w:p>
    <w:p w14:paraId="0CB74D30">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备注：/</w:t>
      </w:r>
    </w:p>
    <w:p w14:paraId="73952708">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7.合同履约期限：详见招标文件。</w:t>
      </w:r>
    </w:p>
    <w:p w14:paraId="3E82C4CA">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8.本项目(否)接受联合体投标。</w:t>
      </w:r>
    </w:p>
    <w:p w14:paraId="19D7003C">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jc w:val="both"/>
        <w:textAlignment w:val="auto"/>
        <w:outlineLvl w:val="9"/>
        <w:rPr>
          <w:rFonts w:hint="eastAsia" w:ascii="微软雅黑" w:hAnsi="微软雅黑" w:eastAsia="微软雅黑" w:cs="微软雅黑"/>
          <w:b/>
          <w:color w:val="auto"/>
          <w:sz w:val="22"/>
          <w:szCs w:val="22"/>
          <w:highlight w:val="none"/>
        </w:rPr>
      </w:pPr>
      <w:r>
        <w:rPr>
          <w:rFonts w:hint="eastAsia" w:ascii="微软雅黑" w:hAnsi="微软雅黑" w:eastAsia="微软雅黑" w:cs="微软雅黑"/>
          <w:b/>
          <w:color w:val="auto"/>
          <w:sz w:val="22"/>
          <w:szCs w:val="22"/>
          <w:highlight w:val="none"/>
        </w:rPr>
        <w:t>二、</w:t>
      </w:r>
      <w:r>
        <w:rPr>
          <w:rFonts w:hint="eastAsia" w:ascii="微软雅黑" w:hAnsi="微软雅黑" w:eastAsia="微软雅黑" w:cs="微软雅黑"/>
          <w:b/>
          <w:color w:val="auto"/>
          <w:sz w:val="22"/>
          <w:szCs w:val="22"/>
          <w:highlight w:val="none"/>
          <w:lang w:val="en-US" w:eastAsia="zh-CN"/>
        </w:rPr>
        <w:t>申请人的</w:t>
      </w:r>
      <w:r>
        <w:rPr>
          <w:rFonts w:hint="eastAsia" w:ascii="微软雅黑" w:hAnsi="微软雅黑" w:eastAsia="微软雅黑" w:cs="微软雅黑"/>
          <w:b/>
          <w:color w:val="auto"/>
          <w:sz w:val="22"/>
          <w:szCs w:val="22"/>
          <w:highlight w:val="none"/>
        </w:rPr>
        <w:t>资格要求：</w:t>
      </w:r>
      <w:bookmarkEnd w:id="1951"/>
      <w:bookmarkEnd w:id="1952"/>
      <w:bookmarkEnd w:id="1953"/>
      <w:bookmarkEnd w:id="1954"/>
      <w:bookmarkEnd w:id="1955"/>
      <w:bookmarkEnd w:id="1956"/>
      <w:bookmarkEnd w:id="1957"/>
      <w:bookmarkEnd w:id="1958"/>
    </w:p>
    <w:p w14:paraId="390C4BAB">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firstLine="440" w:firstLineChars="200"/>
        <w:textAlignment w:val="auto"/>
        <w:outlineLvl w:val="9"/>
        <w:rPr>
          <w:rFonts w:hint="eastAsia" w:ascii="微软雅黑" w:hAnsi="微软雅黑" w:eastAsia="微软雅黑" w:cs="微软雅黑"/>
          <w:b w:val="0"/>
          <w:bCs w:val="0"/>
          <w:color w:val="auto"/>
          <w:sz w:val="22"/>
          <w:szCs w:val="22"/>
          <w:highlight w:val="none"/>
          <w:lang w:val="en-US" w:eastAsia="zh-CN"/>
        </w:rPr>
      </w:pPr>
      <w:r>
        <w:rPr>
          <w:rFonts w:hint="eastAsia" w:ascii="微软雅黑" w:hAnsi="微软雅黑" w:eastAsia="微软雅黑" w:cs="微软雅黑"/>
          <w:b w:val="0"/>
          <w:bCs w:val="0"/>
          <w:color w:val="auto"/>
          <w:sz w:val="22"/>
          <w:szCs w:val="22"/>
          <w:highlight w:val="none"/>
          <w:lang w:val="en-US" w:eastAsia="zh-CN"/>
        </w:rPr>
        <w:t>1.满足《中华人民共和国政府采购法》第二十二条规定；</w:t>
      </w:r>
    </w:p>
    <w:p w14:paraId="622B41B0">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jc w:val="both"/>
        <w:textAlignment w:val="auto"/>
        <w:outlineLvl w:val="9"/>
        <w:rPr>
          <w:rFonts w:hint="eastAsia" w:ascii="微软雅黑" w:hAnsi="微软雅黑" w:eastAsia="微软雅黑" w:cs="微软雅黑"/>
          <w:b w:val="0"/>
          <w:bCs w:val="0"/>
          <w:color w:val="auto"/>
          <w:sz w:val="22"/>
          <w:szCs w:val="22"/>
          <w:highlight w:val="none"/>
          <w:lang w:val="en-US" w:eastAsia="zh-CN"/>
        </w:rPr>
      </w:pPr>
      <w:bookmarkStart w:id="1959" w:name="_Toc27678"/>
      <w:bookmarkStart w:id="1960" w:name="_Toc35393792"/>
      <w:bookmarkStart w:id="1961" w:name="_Toc28359004"/>
      <w:bookmarkStart w:id="1962" w:name="_Toc32226"/>
      <w:bookmarkStart w:id="1963" w:name="_Toc28359081"/>
      <w:bookmarkStart w:id="1964" w:name="_Toc35393623"/>
      <w:r>
        <w:rPr>
          <w:rFonts w:hint="eastAsia" w:ascii="微软雅黑" w:hAnsi="微软雅黑" w:eastAsia="微软雅黑" w:cs="微软雅黑"/>
          <w:b w:val="0"/>
          <w:bCs w:val="0"/>
          <w:color w:val="auto"/>
          <w:sz w:val="22"/>
          <w:szCs w:val="22"/>
          <w:highlight w:val="none"/>
          <w:lang w:val="en-US" w:eastAsia="zh-CN"/>
        </w:rPr>
        <w:t>2.落实政府采购政策需满足的资格要求：标项2：本项目不专门面向中小企业；</w:t>
      </w:r>
    </w:p>
    <w:p w14:paraId="49F852B6">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jc w:val="both"/>
        <w:textAlignment w:val="auto"/>
        <w:outlineLvl w:val="9"/>
        <w:rPr>
          <w:rFonts w:hint="eastAsia" w:ascii="微软雅黑" w:hAnsi="微软雅黑" w:eastAsia="微软雅黑" w:cs="微软雅黑"/>
          <w:b w:val="0"/>
          <w:bCs w:val="0"/>
          <w:color w:val="auto"/>
          <w:sz w:val="22"/>
          <w:szCs w:val="22"/>
          <w:highlight w:val="none"/>
          <w:lang w:val="en-US" w:eastAsia="zh-CN"/>
        </w:rPr>
      </w:pPr>
      <w:r>
        <w:rPr>
          <w:rFonts w:hint="eastAsia" w:ascii="微软雅黑" w:hAnsi="微软雅黑" w:eastAsia="微软雅黑" w:cs="微软雅黑"/>
          <w:b w:val="0"/>
          <w:bCs w:val="0"/>
          <w:color w:val="auto"/>
          <w:sz w:val="22"/>
          <w:szCs w:val="22"/>
          <w:highlight w:val="none"/>
          <w:lang w:val="en-US" w:eastAsia="zh-CN"/>
        </w:rPr>
        <w:t>3.本项目的特定资格要求：【标项2】：投标人为制造商的须提供《医疗器械生产许可证》、投标人为经销商的须提供《医疗器械经营许可证》；所有证件均应在有效期内。</w:t>
      </w:r>
    </w:p>
    <w:p w14:paraId="03C3F418">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textAlignment w:val="auto"/>
        <w:outlineLvl w:val="9"/>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三、获取招标文件</w:t>
      </w:r>
      <w:bookmarkEnd w:id="1959"/>
      <w:bookmarkEnd w:id="1960"/>
      <w:bookmarkEnd w:id="1961"/>
      <w:bookmarkEnd w:id="1962"/>
      <w:bookmarkEnd w:id="1963"/>
      <w:bookmarkEnd w:id="1964"/>
    </w:p>
    <w:p w14:paraId="59E79049">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jc w:val="both"/>
        <w:textAlignment w:val="auto"/>
        <w:outlineLvl w:val="9"/>
        <w:rPr>
          <w:rFonts w:hint="eastAsia" w:ascii="微软雅黑" w:hAnsi="微软雅黑" w:eastAsia="微软雅黑" w:cs="微软雅黑"/>
          <w:b w:val="0"/>
          <w:bCs w:val="0"/>
          <w:color w:val="auto"/>
          <w:sz w:val="22"/>
          <w:szCs w:val="22"/>
          <w:highlight w:val="none"/>
          <w:lang w:val="en-US" w:eastAsia="zh-CN"/>
        </w:rPr>
      </w:pPr>
      <w:bookmarkStart w:id="1965" w:name="_Toc20863"/>
      <w:bookmarkStart w:id="1966" w:name="_Toc35393625"/>
      <w:bookmarkStart w:id="1967" w:name="_Toc32108"/>
      <w:bookmarkStart w:id="1968" w:name="_Toc28359007"/>
      <w:bookmarkStart w:id="1969" w:name="_Toc35393794"/>
      <w:bookmarkStart w:id="1970" w:name="_Toc28359084"/>
      <w:bookmarkStart w:id="1971" w:name="_Toc30400"/>
      <w:bookmarkStart w:id="1972" w:name="_Toc23672"/>
      <w:r>
        <w:rPr>
          <w:rFonts w:hint="eastAsia" w:ascii="微软雅黑" w:hAnsi="微软雅黑" w:eastAsia="微软雅黑" w:cs="微软雅黑"/>
          <w:b w:val="0"/>
          <w:bCs w:val="0"/>
          <w:color w:val="auto"/>
          <w:sz w:val="22"/>
          <w:szCs w:val="22"/>
          <w:highlight w:val="none"/>
          <w:lang w:val="en-US" w:eastAsia="zh-CN"/>
        </w:rPr>
        <w:t>时间：2025年06月17日至2025年06月24日，每天上午10:00至14:00，下午16：00至20:00（北京时间，法定节假日除外）</w:t>
      </w:r>
    </w:p>
    <w:p w14:paraId="79CE0460">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jc w:val="both"/>
        <w:textAlignment w:val="auto"/>
        <w:outlineLvl w:val="9"/>
        <w:rPr>
          <w:rFonts w:hint="eastAsia" w:ascii="微软雅黑" w:hAnsi="微软雅黑" w:eastAsia="微软雅黑" w:cs="微软雅黑"/>
          <w:b w:val="0"/>
          <w:bCs w:val="0"/>
          <w:color w:val="auto"/>
          <w:sz w:val="22"/>
          <w:szCs w:val="22"/>
          <w:highlight w:val="none"/>
          <w:lang w:val="en-US" w:eastAsia="zh-CN"/>
        </w:rPr>
      </w:pPr>
      <w:r>
        <w:rPr>
          <w:rFonts w:hint="eastAsia" w:ascii="微软雅黑" w:hAnsi="微软雅黑" w:eastAsia="微软雅黑" w:cs="微软雅黑"/>
          <w:b w:val="0"/>
          <w:bCs w:val="0"/>
          <w:color w:val="auto"/>
          <w:sz w:val="22"/>
          <w:szCs w:val="22"/>
          <w:highlight w:val="none"/>
          <w:lang w:val="en-US" w:eastAsia="zh-CN"/>
        </w:rPr>
        <w:t>地点：政采云平台线上</w:t>
      </w:r>
    </w:p>
    <w:p w14:paraId="22F303AE">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jc w:val="both"/>
        <w:textAlignment w:val="auto"/>
        <w:outlineLvl w:val="9"/>
        <w:rPr>
          <w:rFonts w:hint="eastAsia" w:ascii="微软雅黑" w:hAnsi="微软雅黑" w:eastAsia="微软雅黑" w:cs="微软雅黑"/>
          <w:b w:val="0"/>
          <w:bCs w:val="0"/>
          <w:color w:val="auto"/>
          <w:sz w:val="22"/>
          <w:szCs w:val="22"/>
          <w:highlight w:val="none"/>
          <w:lang w:val="en-US" w:eastAsia="zh-CN"/>
        </w:rPr>
      </w:pPr>
      <w:r>
        <w:rPr>
          <w:rFonts w:hint="eastAsia" w:ascii="微软雅黑" w:hAnsi="微软雅黑" w:eastAsia="微软雅黑" w:cs="微软雅黑"/>
          <w:b w:val="0"/>
          <w:bCs w:val="0"/>
          <w:color w:val="auto"/>
          <w:sz w:val="22"/>
          <w:szCs w:val="22"/>
          <w:highlight w:val="none"/>
          <w:lang w:val="en-US" w:eastAsia="zh-CN"/>
        </w:rPr>
        <w:t xml:space="preserve">方式：供应商登录政采云平台https://www.zcygov.cn/在线申请获取采购文件（进入“项目采购”应用，在获取采购文件菜单中选择项目，申请获取采购文件），或者点击采购公告底部潜在供应商“获取采购文件”，页面跳转后登陆，直接获取采购文件。 </w:t>
      </w:r>
    </w:p>
    <w:p w14:paraId="4333B910">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jc w:val="both"/>
        <w:textAlignment w:val="auto"/>
        <w:outlineLvl w:val="9"/>
        <w:rPr>
          <w:rFonts w:hint="eastAsia" w:ascii="微软雅黑" w:hAnsi="微软雅黑" w:eastAsia="微软雅黑" w:cs="微软雅黑"/>
          <w:b w:val="0"/>
          <w:bCs w:val="0"/>
          <w:color w:val="auto"/>
          <w:sz w:val="22"/>
          <w:szCs w:val="22"/>
          <w:highlight w:val="none"/>
          <w:lang w:val="en-US" w:eastAsia="zh-CN"/>
        </w:rPr>
      </w:pPr>
      <w:r>
        <w:rPr>
          <w:rFonts w:hint="eastAsia" w:ascii="微软雅黑" w:hAnsi="微软雅黑" w:eastAsia="微软雅黑" w:cs="微软雅黑"/>
          <w:b w:val="0"/>
          <w:bCs w:val="0"/>
          <w:color w:val="auto"/>
          <w:sz w:val="22"/>
          <w:szCs w:val="22"/>
          <w:highlight w:val="none"/>
          <w:lang w:val="en-US" w:eastAsia="zh-CN"/>
        </w:rPr>
        <w:t>售价（元）：0元</w:t>
      </w:r>
    </w:p>
    <w:p w14:paraId="7FAD110A">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jc w:val="both"/>
        <w:textAlignment w:val="auto"/>
        <w:outlineLvl w:val="9"/>
        <w:rPr>
          <w:rFonts w:hint="eastAsia" w:ascii="微软雅黑" w:hAnsi="微软雅黑" w:eastAsia="微软雅黑" w:cs="微软雅黑"/>
          <w:b/>
          <w:bCs w:val="0"/>
          <w:color w:val="auto"/>
          <w:sz w:val="22"/>
          <w:szCs w:val="22"/>
          <w:highlight w:val="none"/>
          <w:u w:val="none"/>
        </w:rPr>
      </w:pPr>
      <w:bookmarkStart w:id="1973" w:name="_Toc28359082"/>
      <w:bookmarkStart w:id="1974" w:name="_Toc28359005"/>
      <w:bookmarkStart w:id="1975" w:name="_Toc2422"/>
      <w:bookmarkStart w:id="1976" w:name="_Toc35393793"/>
      <w:bookmarkStart w:id="1977" w:name="_Toc952"/>
      <w:bookmarkStart w:id="1978" w:name="_Toc9047"/>
      <w:bookmarkStart w:id="1979" w:name="_Toc2532"/>
      <w:bookmarkStart w:id="1980" w:name="_Toc35393624"/>
      <w:r>
        <w:rPr>
          <w:rFonts w:hint="eastAsia" w:ascii="微软雅黑" w:hAnsi="微软雅黑" w:eastAsia="微软雅黑" w:cs="微软雅黑"/>
          <w:b/>
          <w:bCs w:val="0"/>
          <w:color w:val="auto"/>
          <w:sz w:val="22"/>
          <w:szCs w:val="22"/>
          <w:highlight w:val="none"/>
          <w:u w:val="none"/>
        </w:rPr>
        <w:t>四、提交投标文件</w:t>
      </w:r>
      <w:bookmarkEnd w:id="1973"/>
      <w:bookmarkEnd w:id="1974"/>
      <w:r>
        <w:rPr>
          <w:rFonts w:hint="eastAsia" w:ascii="微软雅黑" w:hAnsi="微软雅黑" w:eastAsia="微软雅黑" w:cs="微软雅黑"/>
          <w:b/>
          <w:bCs w:val="0"/>
          <w:color w:val="auto"/>
          <w:sz w:val="22"/>
          <w:szCs w:val="22"/>
          <w:highlight w:val="none"/>
          <w:u w:val="none"/>
        </w:rPr>
        <w:t>截止时间、开标时间和地点</w:t>
      </w:r>
      <w:bookmarkEnd w:id="1975"/>
      <w:bookmarkEnd w:id="1976"/>
      <w:bookmarkEnd w:id="1977"/>
      <w:bookmarkEnd w:id="1978"/>
      <w:bookmarkEnd w:id="1979"/>
      <w:bookmarkEnd w:id="1980"/>
    </w:p>
    <w:p w14:paraId="62C4393B">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jc w:val="both"/>
        <w:textAlignment w:val="auto"/>
        <w:outlineLvl w:val="9"/>
        <w:rPr>
          <w:rFonts w:hint="eastAsia" w:ascii="微软雅黑" w:hAnsi="微软雅黑" w:eastAsia="微软雅黑" w:cs="微软雅黑"/>
          <w:b w:val="0"/>
          <w:bCs w:val="0"/>
          <w:color w:val="auto"/>
          <w:sz w:val="22"/>
          <w:szCs w:val="22"/>
          <w:highlight w:val="none"/>
          <w:lang w:val="en-US" w:eastAsia="zh-CN"/>
        </w:rPr>
      </w:pPr>
      <w:r>
        <w:rPr>
          <w:rFonts w:hint="eastAsia" w:ascii="微软雅黑" w:hAnsi="微软雅黑" w:eastAsia="微软雅黑" w:cs="微软雅黑"/>
          <w:b w:val="0"/>
          <w:bCs w:val="0"/>
          <w:color w:val="auto"/>
          <w:sz w:val="22"/>
          <w:szCs w:val="22"/>
          <w:highlight w:val="none"/>
          <w:lang w:val="en-US" w:eastAsia="zh-CN"/>
        </w:rPr>
        <w:t>提交投标文件截止时间：2025年07月08日11:00（北京时间）</w:t>
      </w:r>
    </w:p>
    <w:p w14:paraId="6A2AD57B">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jc w:val="both"/>
        <w:textAlignment w:val="auto"/>
        <w:outlineLvl w:val="9"/>
        <w:rPr>
          <w:rFonts w:hint="eastAsia" w:ascii="微软雅黑" w:hAnsi="微软雅黑" w:eastAsia="微软雅黑" w:cs="微软雅黑"/>
          <w:b w:val="0"/>
          <w:bCs w:val="0"/>
          <w:color w:val="auto"/>
          <w:sz w:val="22"/>
          <w:szCs w:val="22"/>
          <w:highlight w:val="none"/>
          <w:lang w:val="en-US" w:eastAsia="zh-CN"/>
        </w:rPr>
      </w:pPr>
      <w:r>
        <w:rPr>
          <w:rFonts w:hint="eastAsia" w:ascii="微软雅黑" w:hAnsi="微软雅黑" w:eastAsia="微软雅黑" w:cs="微软雅黑"/>
          <w:b w:val="0"/>
          <w:bCs w:val="0"/>
          <w:color w:val="auto"/>
          <w:sz w:val="22"/>
          <w:szCs w:val="22"/>
          <w:highlight w:val="none"/>
          <w:lang w:val="en-US" w:eastAsia="zh-CN"/>
        </w:rPr>
        <w:t>投标地点：请登录政采云投标客户端投标</w:t>
      </w:r>
    </w:p>
    <w:p w14:paraId="3BA1D517">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jc w:val="both"/>
        <w:textAlignment w:val="auto"/>
        <w:outlineLvl w:val="9"/>
        <w:rPr>
          <w:rFonts w:hint="eastAsia" w:ascii="微软雅黑" w:hAnsi="微软雅黑" w:eastAsia="微软雅黑" w:cs="微软雅黑"/>
          <w:b w:val="0"/>
          <w:bCs w:val="0"/>
          <w:color w:val="auto"/>
          <w:sz w:val="22"/>
          <w:szCs w:val="22"/>
          <w:highlight w:val="none"/>
          <w:lang w:val="en-US" w:eastAsia="zh-CN"/>
        </w:rPr>
      </w:pPr>
      <w:r>
        <w:rPr>
          <w:rFonts w:hint="eastAsia" w:ascii="微软雅黑" w:hAnsi="微软雅黑" w:eastAsia="微软雅黑" w:cs="微软雅黑"/>
          <w:b w:val="0"/>
          <w:bCs w:val="0"/>
          <w:color w:val="auto"/>
          <w:sz w:val="22"/>
          <w:szCs w:val="22"/>
          <w:highlight w:val="none"/>
          <w:lang w:val="en-US" w:eastAsia="zh-CN"/>
        </w:rPr>
        <w:t>开标时间：2025年07月08日11:00（北京时间）</w:t>
      </w:r>
    </w:p>
    <w:p w14:paraId="6FC2AB23">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jc w:val="both"/>
        <w:textAlignment w:val="auto"/>
        <w:outlineLvl w:val="9"/>
        <w:rPr>
          <w:rFonts w:hint="eastAsia" w:ascii="微软雅黑" w:hAnsi="微软雅黑" w:eastAsia="微软雅黑" w:cs="微软雅黑"/>
          <w:b w:val="0"/>
          <w:bCs w:val="0"/>
          <w:color w:val="auto"/>
          <w:sz w:val="22"/>
          <w:szCs w:val="22"/>
          <w:highlight w:val="none"/>
          <w:lang w:val="en-US" w:eastAsia="zh-CN"/>
        </w:rPr>
      </w:pPr>
      <w:r>
        <w:rPr>
          <w:rFonts w:hint="eastAsia" w:ascii="微软雅黑" w:hAnsi="微软雅黑" w:eastAsia="微软雅黑" w:cs="微软雅黑"/>
          <w:b w:val="0"/>
          <w:bCs w:val="0"/>
          <w:color w:val="auto"/>
          <w:sz w:val="22"/>
          <w:szCs w:val="22"/>
          <w:highlight w:val="none"/>
          <w:lang w:val="en-US" w:eastAsia="zh-CN"/>
        </w:rPr>
        <w:t>开标地点：投标人登录政采云平台https://www.zcygov.cn/，进入“项目采购-开标评标-右边选择对应项目点击“进入项目”进入开标大厅。</w:t>
      </w:r>
    </w:p>
    <w:p w14:paraId="2196E390">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jc w:val="both"/>
        <w:textAlignment w:val="auto"/>
        <w:outlineLvl w:val="9"/>
        <w:rPr>
          <w:rFonts w:hint="eastAsia" w:ascii="微软雅黑" w:hAnsi="微软雅黑" w:eastAsia="微软雅黑" w:cs="微软雅黑"/>
          <w:b/>
          <w:bCs w:val="0"/>
          <w:color w:val="auto"/>
          <w:sz w:val="22"/>
          <w:szCs w:val="22"/>
          <w:highlight w:val="none"/>
          <w:u w:val="none"/>
        </w:rPr>
      </w:pPr>
      <w:r>
        <w:rPr>
          <w:rFonts w:hint="eastAsia" w:ascii="微软雅黑" w:hAnsi="微软雅黑" w:eastAsia="微软雅黑" w:cs="微软雅黑"/>
          <w:b/>
          <w:bCs w:val="0"/>
          <w:color w:val="auto"/>
          <w:sz w:val="22"/>
          <w:szCs w:val="22"/>
          <w:highlight w:val="none"/>
          <w:u w:val="none"/>
        </w:rPr>
        <w:t>五、公告期限</w:t>
      </w:r>
      <w:bookmarkEnd w:id="1965"/>
      <w:bookmarkEnd w:id="1966"/>
      <w:bookmarkEnd w:id="1967"/>
      <w:bookmarkEnd w:id="1968"/>
      <w:bookmarkEnd w:id="1969"/>
      <w:bookmarkEnd w:id="1970"/>
      <w:bookmarkEnd w:id="1971"/>
      <w:bookmarkEnd w:id="1972"/>
    </w:p>
    <w:p w14:paraId="0ABA8B20">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自本公告发布之日起5个工作日。</w:t>
      </w:r>
    </w:p>
    <w:p w14:paraId="67BB937F">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jc w:val="both"/>
        <w:textAlignment w:val="auto"/>
        <w:outlineLvl w:val="9"/>
        <w:rPr>
          <w:rFonts w:hint="eastAsia" w:ascii="微软雅黑" w:hAnsi="微软雅黑" w:eastAsia="微软雅黑" w:cs="微软雅黑"/>
          <w:b/>
          <w:bCs w:val="0"/>
          <w:color w:val="auto"/>
          <w:sz w:val="22"/>
          <w:szCs w:val="22"/>
          <w:highlight w:val="none"/>
          <w:lang w:eastAsia="zh-CN"/>
        </w:rPr>
      </w:pPr>
      <w:r>
        <w:rPr>
          <w:rFonts w:hint="eastAsia" w:ascii="微软雅黑" w:hAnsi="微软雅黑" w:eastAsia="微软雅黑" w:cs="微软雅黑"/>
          <w:b/>
          <w:bCs w:val="0"/>
          <w:color w:val="auto"/>
          <w:sz w:val="22"/>
          <w:szCs w:val="22"/>
          <w:highlight w:val="none"/>
          <w:lang w:eastAsia="zh-CN"/>
        </w:rPr>
        <w:t>六、其它补充事宜</w:t>
      </w:r>
    </w:p>
    <w:p w14:paraId="3F255483">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right="0"/>
        <w:textAlignment w:val="auto"/>
        <w:outlineLvl w:val="9"/>
        <w:rPr>
          <w:rFonts w:hint="eastAsia" w:ascii="微软雅黑" w:hAnsi="微软雅黑" w:eastAsia="微软雅黑" w:cs="微软雅黑"/>
          <w:color w:val="auto"/>
          <w:kern w:val="2"/>
          <w:sz w:val="22"/>
          <w:szCs w:val="22"/>
          <w:highlight w:val="none"/>
          <w:lang w:val="en-US" w:eastAsia="zh-CN" w:bidi="ar-SA"/>
        </w:rPr>
      </w:pPr>
      <w:r>
        <w:rPr>
          <w:rFonts w:hint="eastAsia" w:ascii="微软雅黑" w:hAnsi="微软雅黑" w:eastAsia="微软雅黑" w:cs="微软雅黑"/>
          <w:color w:val="auto"/>
          <w:kern w:val="2"/>
          <w:sz w:val="22"/>
          <w:szCs w:val="22"/>
          <w:highlight w:val="none"/>
          <w:lang w:val="en-US" w:eastAsia="zh-CN" w:bidi="ar-SA"/>
        </w:rPr>
        <w:t>1、本项目实行网上投标，采用电子投标文件。</w:t>
      </w:r>
      <w:r>
        <w:rPr>
          <w:rFonts w:hint="eastAsia" w:ascii="微软雅黑" w:hAnsi="微软雅黑" w:eastAsia="微软雅黑" w:cs="微软雅黑"/>
          <w:color w:val="auto"/>
          <w:kern w:val="2"/>
          <w:sz w:val="22"/>
          <w:szCs w:val="22"/>
          <w:highlight w:val="none"/>
          <w:lang w:val="en-US" w:eastAsia="zh-CN" w:bidi="ar-SA"/>
        </w:rPr>
        <w:br w:type="textWrapping"/>
      </w:r>
      <w:r>
        <w:rPr>
          <w:rFonts w:hint="eastAsia" w:ascii="微软雅黑" w:hAnsi="微软雅黑" w:eastAsia="微软雅黑" w:cs="微软雅黑"/>
          <w:color w:val="auto"/>
          <w:kern w:val="2"/>
          <w:sz w:val="22"/>
          <w:szCs w:val="22"/>
          <w:highlight w:val="none"/>
          <w:lang w:val="en-US" w:eastAsia="zh-CN" w:bidi="ar-SA"/>
        </w:rPr>
        <w:t>2、各供应商应在开标前确保成为正式注册入库供应商，并完成CA数字证书(符合国密标准)申领。因未注册入库、未办理CA数字证书等原因造成无法投标或投标失败等后果由供应商自行承担。如需咨询，请联系新疆CA服务热线4000921999。</w:t>
      </w:r>
      <w:r>
        <w:rPr>
          <w:rFonts w:hint="eastAsia" w:ascii="微软雅黑" w:hAnsi="微软雅黑" w:eastAsia="微软雅黑" w:cs="微软雅黑"/>
          <w:color w:val="auto"/>
          <w:kern w:val="2"/>
          <w:sz w:val="22"/>
          <w:szCs w:val="22"/>
          <w:highlight w:val="none"/>
          <w:lang w:val="en-US" w:eastAsia="zh-CN" w:bidi="ar-SA"/>
        </w:rPr>
        <w:br w:type="textWrapping"/>
      </w:r>
      <w:r>
        <w:rPr>
          <w:rFonts w:hint="eastAsia" w:ascii="微软雅黑" w:hAnsi="微软雅黑" w:eastAsia="微软雅黑" w:cs="微软雅黑"/>
          <w:color w:val="auto"/>
          <w:kern w:val="2"/>
          <w:sz w:val="22"/>
          <w:szCs w:val="22"/>
          <w:highlight w:val="none"/>
          <w:lang w:val="en-US" w:eastAsia="zh-CN" w:bidi="ar-SA"/>
        </w:rPr>
        <w:t>3、供应商将政采云电子交易客户端下载、安装完成后，可通过账号密码或CA登录客户端进行投标文件的制作。在使用政采云投标客户端时，建议使用WIN7及以上操作系统。</w:t>
      </w:r>
    </w:p>
    <w:p w14:paraId="4B20B6BF">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left="0" w:right="0" w:firstLine="480"/>
        <w:textAlignment w:val="auto"/>
        <w:outlineLvl w:val="9"/>
        <w:rPr>
          <w:rFonts w:hint="eastAsia" w:ascii="微软雅黑" w:hAnsi="微软雅黑" w:eastAsia="微软雅黑" w:cs="微软雅黑"/>
          <w:color w:val="auto"/>
          <w:kern w:val="2"/>
          <w:sz w:val="22"/>
          <w:szCs w:val="22"/>
          <w:highlight w:val="none"/>
          <w:lang w:val="en-US" w:eastAsia="zh-CN" w:bidi="ar-SA"/>
        </w:rPr>
      </w:pPr>
      <w:r>
        <w:rPr>
          <w:rFonts w:hint="eastAsia" w:ascii="微软雅黑" w:hAnsi="微软雅黑" w:eastAsia="微软雅黑" w:cs="微软雅黑"/>
          <w:color w:val="auto"/>
          <w:kern w:val="2"/>
          <w:sz w:val="22"/>
          <w:szCs w:val="22"/>
          <w:highlight w:val="none"/>
          <w:lang w:val="en-US" w:eastAsia="zh-CN" w:bidi="ar-SA"/>
        </w:rPr>
        <w:t>特别提示：</w:t>
      </w:r>
    </w:p>
    <w:p w14:paraId="700C992E">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left="0" w:right="0" w:firstLine="480"/>
        <w:textAlignment w:val="auto"/>
        <w:outlineLvl w:val="9"/>
        <w:rPr>
          <w:rFonts w:hint="eastAsia" w:ascii="微软雅黑" w:hAnsi="微软雅黑" w:eastAsia="微软雅黑" w:cs="微软雅黑"/>
          <w:color w:val="auto"/>
          <w:kern w:val="2"/>
          <w:sz w:val="22"/>
          <w:szCs w:val="22"/>
          <w:highlight w:val="none"/>
          <w:lang w:val="en-US" w:eastAsia="zh-CN" w:bidi="ar-SA"/>
        </w:rPr>
      </w:pPr>
      <w:r>
        <w:rPr>
          <w:rFonts w:hint="eastAsia" w:ascii="微软雅黑" w:hAnsi="微软雅黑" w:eastAsia="微软雅黑" w:cs="微软雅黑"/>
          <w:color w:val="auto"/>
          <w:kern w:val="2"/>
          <w:sz w:val="22"/>
          <w:szCs w:val="22"/>
          <w:highlight w:val="none"/>
          <w:lang w:val="en-US" w:eastAsia="zh-CN" w:bidi="ar-SA"/>
        </w:rPr>
        <w:t>1、采购限额标准以上，200万元以下的货物和服务采购项目、400万元以下的工程采购项目，适宜由中小企业提供的，采购人应当专门面向中小企业采购。</w:t>
      </w:r>
    </w:p>
    <w:p w14:paraId="54782E6D">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left="0" w:right="0" w:firstLine="480"/>
        <w:textAlignment w:val="auto"/>
        <w:outlineLvl w:val="9"/>
        <w:rPr>
          <w:rFonts w:hint="eastAsia" w:ascii="微软雅黑" w:hAnsi="微软雅黑" w:eastAsia="微软雅黑" w:cs="微软雅黑"/>
          <w:color w:val="auto"/>
          <w:kern w:val="2"/>
          <w:sz w:val="22"/>
          <w:szCs w:val="22"/>
          <w:highlight w:val="none"/>
          <w:lang w:val="en-US" w:eastAsia="zh-CN" w:bidi="ar-SA"/>
        </w:rPr>
      </w:pPr>
      <w:r>
        <w:rPr>
          <w:rFonts w:hint="eastAsia" w:ascii="微软雅黑" w:hAnsi="微软雅黑" w:eastAsia="微软雅黑" w:cs="微软雅黑"/>
          <w:color w:val="auto"/>
          <w:kern w:val="2"/>
          <w:sz w:val="22"/>
          <w:szCs w:val="22"/>
          <w:highlight w:val="none"/>
          <w:lang w:val="en-US" w:eastAsia="zh-CN" w:bidi="ar-SA"/>
        </w:rPr>
        <w:t>2、超过200万元的货物和服务采购项目、超过400万元的工程采购项目中适宜由中小企业提供的，预留该部分采购项目预算总额的30%以上专门面向中小企业采购，其中预留给小微企业的比例不低于60%。</w:t>
      </w:r>
    </w:p>
    <w:p w14:paraId="7103B93F">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left="0" w:right="0" w:firstLine="480"/>
        <w:textAlignment w:val="auto"/>
        <w:outlineLvl w:val="9"/>
        <w:rPr>
          <w:rFonts w:hint="eastAsia" w:ascii="微软雅黑" w:hAnsi="微软雅黑" w:eastAsia="微软雅黑" w:cs="微软雅黑"/>
          <w:color w:val="auto"/>
          <w:kern w:val="2"/>
          <w:sz w:val="22"/>
          <w:szCs w:val="22"/>
          <w:highlight w:val="none"/>
          <w:lang w:val="en-US" w:eastAsia="zh-CN" w:bidi="ar-SA"/>
        </w:rPr>
      </w:pPr>
      <w:r>
        <w:rPr>
          <w:rFonts w:hint="eastAsia" w:ascii="微软雅黑" w:hAnsi="微软雅黑" w:eastAsia="微软雅黑" w:cs="微软雅黑"/>
          <w:color w:val="auto"/>
          <w:kern w:val="2"/>
          <w:sz w:val="22"/>
          <w:szCs w:val="22"/>
          <w:highlight w:val="none"/>
          <w:lang w:val="en-US" w:eastAsia="zh-CN" w:bidi="ar-SA"/>
        </w:rPr>
        <w:t>3、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407412B6">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left="0" w:right="0" w:firstLine="480"/>
        <w:textAlignment w:val="auto"/>
        <w:outlineLvl w:val="9"/>
        <w:rPr>
          <w:rFonts w:hint="eastAsia" w:ascii="微软雅黑" w:hAnsi="微软雅黑" w:eastAsia="微软雅黑" w:cs="微软雅黑"/>
          <w:sz w:val="22"/>
          <w:szCs w:val="22"/>
          <w:highlight w:val="none"/>
          <w:lang w:eastAsia="zh-CN"/>
        </w:rPr>
      </w:pPr>
      <w:r>
        <w:rPr>
          <w:rFonts w:hint="eastAsia" w:ascii="微软雅黑" w:hAnsi="微软雅黑" w:eastAsia="微软雅黑" w:cs="微软雅黑"/>
          <w:color w:val="auto"/>
          <w:kern w:val="2"/>
          <w:sz w:val="22"/>
          <w:szCs w:val="22"/>
          <w:highlight w:val="none"/>
          <w:lang w:val="en-US" w:eastAsia="zh-CN" w:bidi="ar-SA"/>
        </w:rPr>
        <w:t>4、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w:t>
      </w:r>
      <w:r>
        <w:rPr>
          <w:rFonts w:hint="eastAsia" w:ascii="微软雅黑" w:hAnsi="微软雅黑" w:eastAsia="微软雅黑" w:cs="微软雅黑"/>
          <w:color w:val="auto"/>
          <w:kern w:val="2"/>
          <w:sz w:val="22"/>
          <w:szCs w:val="22"/>
          <w:highlight w:val="none"/>
          <w:lang w:val="en-US" w:eastAsia="zh-CN" w:bidi="ar-SA"/>
        </w:rPr>
        <w:tab/>
      </w:r>
      <w:r>
        <w:rPr>
          <w:rFonts w:hint="eastAsia" w:ascii="微软雅黑" w:hAnsi="微软雅黑" w:eastAsia="微软雅黑" w:cs="微软雅黑"/>
          <w:color w:val="auto"/>
          <w:kern w:val="2"/>
          <w:sz w:val="22"/>
          <w:szCs w:val="22"/>
          <w:highlight w:val="none"/>
          <w:lang w:val="en-US" w:eastAsia="zh-CN" w:bidi="ar-SA"/>
        </w:rPr>
        <w:t>价格参加评审。适用招标投标法的政府采购工程建设项目，采用综合评估法但未采用低价优先法计算价格分的，评标时应当在采用原报价进行评分的基础上增加其价格得分的1%~2%作为其价格分。</w:t>
      </w:r>
    </w:p>
    <w:p w14:paraId="48FF33A0">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jc w:val="left"/>
        <w:textAlignment w:val="auto"/>
        <w:outlineLvl w:val="9"/>
        <w:rPr>
          <w:rFonts w:hint="eastAsia" w:ascii="微软雅黑" w:hAnsi="微软雅黑" w:eastAsia="微软雅黑" w:cs="微软雅黑"/>
          <w:b/>
          <w:bCs w:val="0"/>
          <w:color w:val="auto"/>
          <w:sz w:val="22"/>
          <w:szCs w:val="22"/>
          <w:highlight w:val="none"/>
        </w:rPr>
      </w:pPr>
      <w:bookmarkStart w:id="1981" w:name="_Toc35393626"/>
      <w:bookmarkStart w:id="1982" w:name="_Toc35393795"/>
      <w:bookmarkStart w:id="1983" w:name="_Toc647"/>
      <w:bookmarkStart w:id="1984" w:name="_Toc13675"/>
      <w:bookmarkStart w:id="1985" w:name="_Toc18258"/>
      <w:bookmarkStart w:id="1986" w:name="_Toc999"/>
      <w:r>
        <w:rPr>
          <w:rFonts w:hint="eastAsia" w:ascii="微软雅黑" w:hAnsi="微软雅黑" w:eastAsia="微软雅黑" w:cs="微软雅黑"/>
          <w:b/>
          <w:bCs w:val="0"/>
          <w:color w:val="auto"/>
          <w:sz w:val="22"/>
          <w:szCs w:val="22"/>
          <w:highlight w:val="none"/>
          <w:lang w:val="en-US" w:eastAsia="zh-CN"/>
        </w:rPr>
        <w:t>七</w:t>
      </w:r>
      <w:r>
        <w:rPr>
          <w:rFonts w:hint="eastAsia" w:ascii="微软雅黑" w:hAnsi="微软雅黑" w:eastAsia="微软雅黑" w:cs="微软雅黑"/>
          <w:b/>
          <w:bCs w:val="0"/>
          <w:color w:val="auto"/>
          <w:sz w:val="22"/>
          <w:szCs w:val="22"/>
          <w:highlight w:val="none"/>
        </w:rPr>
        <w:t>、</w:t>
      </w:r>
      <w:bookmarkEnd w:id="1981"/>
      <w:bookmarkEnd w:id="1982"/>
      <w:bookmarkStart w:id="1987" w:name="_Toc28359008"/>
      <w:bookmarkStart w:id="1988" w:name="_Toc35393796"/>
      <w:bookmarkStart w:id="1989" w:name="_Toc28359085"/>
      <w:bookmarkStart w:id="1990" w:name="_Toc35393627"/>
      <w:r>
        <w:rPr>
          <w:rFonts w:hint="eastAsia" w:ascii="微软雅黑" w:hAnsi="微软雅黑" w:eastAsia="微软雅黑" w:cs="微软雅黑"/>
          <w:b/>
          <w:bCs w:val="0"/>
          <w:color w:val="auto"/>
          <w:sz w:val="22"/>
          <w:szCs w:val="22"/>
          <w:highlight w:val="none"/>
        </w:rPr>
        <w:t>对本次采购提出询问，请按以下方式联系。</w:t>
      </w:r>
      <w:bookmarkEnd w:id="1983"/>
      <w:bookmarkEnd w:id="1984"/>
      <w:bookmarkEnd w:id="1985"/>
      <w:bookmarkEnd w:id="1986"/>
      <w:bookmarkEnd w:id="1987"/>
      <w:bookmarkEnd w:id="1988"/>
      <w:bookmarkEnd w:id="1989"/>
      <w:bookmarkEnd w:id="1990"/>
    </w:p>
    <w:p w14:paraId="7D4AD982">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1.采购人信息</w:t>
      </w:r>
    </w:p>
    <w:p w14:paraId="791BAEA3">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名 称：喀什地区第一人民医院</w:t>
      </w:r>
    </w:p>
    <w:p w14:paraId="68D4E2AC">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 xml:space="preserve">地 址：喀什市迎宾大道120号 </w:t>
      </w:r>
    </w:p>
    <w:p w14:paraId="3B61F204">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 xml:space="preserve">联系方式：朱宝平0998-2962911    </w:t>
      </w:r>
    </w:p>
    <w:p w14:paraId="4038C1DB">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2.采购代理机构信息</w:t>
      </w:r>
    </w:p>
    <w:p w14:paraId="1C19AED2">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名 称：新疆共建恒业信息咨询有限责任公司</w:t>
      </w:r>
    </w:p>
    <w:p w14:paraId="01E6D4AE">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 xml:space="preserve">地 址：喀什经济开发区深喀大道陕西大厦12楼1208室 </w:t>
      </w:r>
    </w:p>
    <w:p w14:paraId="1852A5CE">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联系方式：刘晶晶 18209987338</w:t>
      </w:r>
    </w:p>
    <w:p w14:paraId="05300214">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3.项目联系方式</w:t>
      </w:r>
    </w:p>
    <w:p w14:paraId="34436F26">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项目联系人：刘晶晶</w:t>
      </w:r>
    </w:p>
    <w:p w14:paraId="3DF50219">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电 话：18209987338</w:t>
      </w:r>
    </w:p>
    <w:p w14:paraId="3F604D3C">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4.同级政府采购监督管理部门</w:t>
      </w:r>
    </w:p>
    <w:p w14:paraId="6099444F">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 xml:space="preserve">名    称：喀什地区财政局政府采购管理办公室            </w:t>
      </w:r>
    </w:p>
    <w:p w14:paraId="1BCBBD12">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 xml:space="preserve">地    址：喀什地区财政局 </w:t>
      </w:r>
    </w:p>
    <w:p w14:paraId="3817BAE8">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 xml:space="preserve">监督投诉电话：09982597000/09982597200 </w:t>
      </w:r>
    </w:p>
    <w:p w14:paraId="30235A91">
      <w:pPr>
        <w:pStyle w:val="14"/>
        <w:keepNext w:val="0"/>
        <w:keepLines w:val="0"/>
        <w:pageBreakBefore w:val="0"/>
        <w:kinsoku/>
        <w:overflowPunct/>
        <w:topLinePunct w:val="0"/>
        <w:bidi w:val="0"/>
        <w:snapToGrid/>
        <w:spacing w:line="440" w:lineRule="exact"/>
        <w:textAlignment w:val="auto"/>
        <w:rPr>
          <w:rFonts w:hint="eastAsia" w:ascii="微软雅黑" w:hAnsi="微软雅黑" w:eastAsia="微软雅黑" w:cs="微软雅黑"/>
          <w:color w:val="auto"/>
          <w:kern w:val="0"/>
          <w:sz w:val="22"/>
          <w:szCs w:val="22"/>
          <w:highlight w:val="none"/>
        </w:rPr>
      </w:pPr>
    </w:p>
    <w:p w14:paraId="636015C2">
      <w:pPr>
        <w:pStyle w:val="4"/>
        <w:keepNext w:val="0"/>
        <w:keepLines w:val="0"/>
        <w:pageBreakBefore w:val="0"/>
        <w:kinsoku/>
        <w:overflowPunct/>
        <w:topLinePunct w:val="0"/>
        <w:bidi w:val="0"/>
        <w:snapToGrid/>
        <w:spacing w:line="440" w:lineRule="exact"/>
        <w:ind w:left="0" w:leftChars="0" w:firstLine="0" w:firstLineChars="0"/>
        <w:textAlignment w:val="auto"/>
        <w:rPr>
          <w:rFonts w:hint="eastAsia" w:ascii="微软雅黑" w:hAnsi="微软雅黑" w:eastAsia="微软雅黑" w:cs="微软雅黑"/>
          <w:sz w:val="20"/>
          <w:szCs w:val="22"/>
          <w:highlight w:val="none"/>
        </w:rPr>
      </w:pPr>
    </w:p>
    <w:p w14:paraId="460E1447">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jc w:val="right"/>
        <w:textAlignment w:val="auto"/>
        <w:outlineLvl w:val="9"/>
        <w:rPr>
          <w:rFonts w:hint="eastAsia" w:ascii="微软雅黑" w:hAnsi="微软雅黑" w:eastAsia="微软雅黑" w:cs="微软雅黑"/>
          <w:color w:val="auto"/>
          <w:kern w:val="0"/>
          <w:sz w:val="22"/>
          <w:szCs w:val="22"/>
          <w:highlight w:val="none"/>
          <w:lang w:eastAsia="zh-CN"/>
        </w:rPr>
      </w:pPr>
      <w:r>
        <w:rPr>
          <w:rFonts w:hint="eastAsia" w:ascii="微软雅黑" w:hAnsi="微软雅黑" w:eastAsia="微软雅黑" w:cs="微软雅黑"/>
          <w:color w:val="auto"/>
          <w:kern w:val="0"/>
          <w:sz w:val="22"/>
          <w:szCs w:val="22"/>
          <w:highlight w:val="none"/>
          <w:lang w:eastAsia="zh-CN"/>
        </w:rPr>
        <w:t>新疆共建恒业信息咨询有限责任公司</w:t>
      </w:r>
    </w:p>
    <w:p w14:paraId="5D45474A">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highlight w:val="none"/>
        </w:rPr>
      </w:pPr>
      <w:r>
        <w:rPr>
          <w:rFonts w:hint="eastAsia" w:ascii="微软雅黑" w:hAnsi="微软雅黑" w:eastAsia="微软雅黑" w:cs="微软雅黑"/>
          <w:color w:val="auto"/>
          <w:kern w:val="0"/>
          <w:sz w:val="22"/>
          <w:szCs w:val="22"/>
          <w:highlight w:val="none"/>
        </w:rPr>
        <w:t xml:space="preserve">                              </w:t>
      </w:r>
      <w:r>
        <w:rPr>
          <w:rFonts w:hint="eastAsia" w:ascii="微软雅黑" w:hAnsi="微软雅黑" w:eastAsia="微软雅黑" w:cs="微软雅黑"/>
          <w:color w:val="auto"/>
          <w:kern w:val="0"/>
          <w:sz w:val="22"/>
          <w:szCs w:val="22"/>
          <w:highlight w:val="none"/>
          <w:lang w:val="en-US" w:eastAsia="zh-CN"/>
        </w:rPr>
        <w:t xml:space="preserve">    </w:t>
      </w:r>
      <w:r>
        <w:rPr>
          <w:rFonts w:hint="eastAsia" w:ascii="微软雅黑" w:hAnsi="微软雅黑" w:eastAsia="微软雅黑" w:cs="微软雅黑"/>
          <w:color w:val="auto"/>
          <w:kern w:val="0"/>
          <w:sz w:val="22"/>
          <w:szCs w:val="22"/>
          <w:highlight w:val="none"/>
        </w:rPr>
        <w:t xml:space="preserve"> </w:t>
      </w:r>
      <w:r>
        <w:rPr>
          <w:rFonts w:hint="eastAsia" w:ascii="微软雅黑" w:hAnsi="微软雅黑" w:eastAsia="微软雅黑" w:cs="微软雅黑"/>
          <w:color w:val="auto"/>
          <w:kern w:val="0"/>
          <w:sz w:val="22"/>
          <w:szCs w:val="22"/>
          <w:highlight w:val="none"/>
          <w:lang w:val="en-US" w:eastAsia="zh-CN"/>
        </w:rPr>
        <w:t xml:space="preserve">           </w:t>
      </w:r>
      <w:r>
        <w:rPr>
          <w:rFonts w:hint="eastAsia" w:ascii="微软雅黑" w:hAnsi="微软雅黑" w:eastAsia="微软雅黑" w:cs="微软雅黑"/>
          <w:color w:val="auto"/>
          <w:sz w:val="22"/>
          <w:szCs w:val="22"/>
          <w:highlight w:val="none"/>
          <w:lang w:eastAsia="zh-CN"/>
        </w:rPr>
        <w:t>20</w:t>
      </w:r>
      <w:r>
        <w:rPr>
          <w:rFonts w:hint="eastAsia" w:ascii="微软雅黑" w:hAnsi="微软雅黑" w:eastAsia="微软雅黑" w:cs="微软雅黑"/>
          <w:color w:val="auto"/>
          <w:sz w:val="22"/>
          <w:szCs w:val="22"/>
          <w:highlight w:val="none"/>
          <w:lang w:val="en-US" w:eastAsia="zh-CN"/>
        </w:rPr>
        <w:t>25</w:t>
      </w:r>
      <w:r>
        <w:rPr>
          <w:rFonts w:hint="eastAsia" w:ascii="微软雅黑" w:hAnsi="微软雅黑" w:eastAsia="微软雅黑" w:cs="微软雅黑"/>
          <w:color w:val="auto"/>
          <w:sz w:val="22"/>
          <w:szCs w:val="22"/>
          <w:highlight w:val="none"/>
          <w:lang w:eastAsia="zh-CN"/>
        </w:rPr>
        <w:t>年</w:t>
      </w:r>
      <w:r>
        <w:rPr>
          <w:rFonts w:hint="eastAsia" w:ascii="微软雅黑" w:hAnsi="微软雅黑" w:eastAsia="微软雅黑" w:cs="微软雅黑"/>
          <w:color w:val="auto"/>
          <w:sz w:val="22"/>
          <w:szCs w:val="22"/>
          <w:highlight w:val="none"/>
          <w:lang w:val="en-US" w:eastAsia="zh-CN"/>
        </w:rPr>
        <w:t>06月16日</w:t>
      </w:r>
    </w:p>
    <w:p w14:paraId="5ACEF60B">
      <w:pPr>
        <w:rPr>
          <w:rFonts w:hint="eastAsia" w:ascii="微软雅黑" w:hAnsi="微软雅黑" w:eastAsia="微软雅黑" w:cs="微软雅黑"/>
          <w:b/>
          <w:bCs/>
          <w:color w:val="auto"/>
          <w:sz w:val="28"/>
          <w:szCs w:val="18"/>
          <w:highlight w:val="none"/>
          <w:lang w:val="en-US" w:eastAsia="zh-CN"/>
        </w:rPr>
      </w:pPr>
      <w:r>
        <w:rPr>
          <w:rFonts w:hint="eastAsia" w:ascii="微软雅黑" w:hAnsi="微软雅黑" w:eastAsia="微软雅黑" w:cs="微软雅黑"/>
          <w:b/>
          <w:bCs/>
          <w:color w:val="auto"/>
          <w:sz w:val="28"/>
          <w:szCs w:val="18"/>
          <w:highlight w:val="none"/>
          <w:lang w:val="en-US" w:eastAsia="zh-CN"/>
        </w:rPr>
        <w:br w:type="page"/>
      </w:r>
    </w:p>
    <w:p w14:paraId="1C28E567">
      <w:pPr>
        <w:pStyle w:val="5"/>
        <w:tabs>
          <w:tab w:val="left" w:pos="0"/>
        </w:tabs>
        <w:spacing w:before="0" w:after="0" w:line="240" w:lineRule="atLeast"/>
        <w:rPr>
          <w:rFonts w:hint="eastAsia" w:ascii="微软雅黑" w:hAnsi="微软雅黑" w:eastAsia="微软雅黑" w:cs="微软雅黑"/>
          <w:b/>
          <w:bCs/>
          <w:color w:val="auto"/>
          <w:sz w:val="28"/>
          <w:szCs w:val="28"/>
          <w:highlight w:val="none"/>
        </w:rPr>
      </w:pPr>
      <w:bookmarkStart w:id="1991" w:name="_Toc26806"/>
      <w:r>
        <w:rPr>
          <w:rFonts w:hint="eastAsia" w:ascii="微软雅黑" w:hAnsi="微软雅黑" w:eastAsia="微软雅黑" w:cs="微软雅黑"/>
          <w:b/>
          <w:bCs/>
          <w:color w:val="auto"/>
          <w:sz w:val="28"/>
          <w:szCs w:val="18"/>
          <w:highlight w:val="none"/>
          <w:lang w:val="en-US" w:eastAsia="zh-CN"/>
        </w:rPr>
        <w:t>第4章</w:t>
      </w:r>
      <w:r>
        <w:rPr>
          <w:rFonts w:hint="eastAsia" w:ascii="微软雅黑" w:hAnsi="微软雅黑" w:eastAsia="微软雅黑" w:cs="微软雅黑"/>
          <w:b/>
          <w:bCs/>
          <w:color w:val="auto"/>
          <w:sz w:val="28"/>
          <w:szCs w:val="18"/>
          <w:highlight w:val="none"/>
        </w:rPr>
        <w:t xml:space="preserve">  供应商须知资料表</w:t>
      </w:r>
      <w:bookmarkEnd w:id="1935"/>
      <w:bookmarkEnd w:id="1936"/>
      <w:bookmarkEnd w:id="1937"/>
      <w:bookmarkEnd w:id="1938"/>
      <w:bookmarkEnd w:id="1939"/>
      <w:bookmarkEnd w:id="1940"/>
      <w:bookmarkEnd w:id="1941"/>
      <w:bookmarkEnd w:id="1942"/>
      <w:bookmarkEnd w:id="1991"/>
    </w:p>
    <w:p w14:paraId="4511BAA5">
      <w:pPr>
        <w:spacing w:line="400" w:lineRule="exact"/>
        <w:ind w:firstLine="330" w:firstLineChars="15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 本表是本招标项目的具体资料，是对供应商须知的具体补充和修改，如有矛盾，应以本资料表为准。</w:t>
      </w:r>
    </w:p>
    <w:tbl>
      <w:tblPr>
        <w:tblStyle w:val="31"/>
        <w:tblW w:w="9260" w:type="dxa"/>
        <w:tblInd w:w="-316"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378"/>
        <w:gridCol w:w="7882"/>
      </w:tblGrid>
      <w:tr w14:paraId="1114DC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6" w:hRule="atLeast"/>
        </w:trPr>
        <w:tc>
          <w:tcPr>
            <w:tcW w:w="1378" w:type="dxa"/>
            <w:vAlign w:val="center"/>
          </w:tcPr>
          <w:p w14:paraId="7CBB8275">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条款号</w:t>
            </w:r>
          </w:p>
        </w:tc>
        <w:tc>
          <w:tcPr>
            <w:tcW w:w="7882" w:type="dxa"/>
            <w:vAlign w:val="center"/>
          </w:tcPr>
          <w:p w14:paraId="5A9C0DDC">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b/>
                <w:color w:val="auto"/>
                <w:sz w:val="22"/>
                <w:szCs w:val="22"/>
                <w:highlight w:val="none"/>
              </w:rPr>
            </w:pPr>
            <w:r>
              <w:rPr>
                <w:rFonts w:hint="eastAsia" w:ascii="微软雅黑" w:hAnsi="微软雅黑" w:eastAsia="微软雅黑" w:cs="微软雅黑"/>
                <w:b/>
                <w:color w:val="auto"/>
                <w:sz w:val="22"/>
                <w:szCs w:val="22"/>
                <w:highlight w:val="none"/>
              </w:rPr>
              <w:t>内      容</w:t>
            </w:r>
          </w:p>
        </w:tc>
      </w:tr>
      <w:tr w14:paraId="3A21C1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78" w:hRule="atLeast"/>
        </w:trPr>
        <w:tc>
          <w:tcPr>
            <w:tcW w:w="1378" w:type="dxa"/>
            <w:vAlign w:val="center"/>
          </w:tcPr>
          <w:p w14:paraId="1C9FCED8">
            <w:pPr>
              <w:keepNext w:val="0"/>
              <w:keepLines w:val="0"/>
              <w:pageBreakBefore w:val="0"/>
              <w:kinsoku/>
              <w:wordWrap/>
              <w:overflowPunct/>
              <w:topLinePunct w:val="0"/>
              <w:autoSpaceDE/>
              <w:autoSpaceDN/>
              <w:bidi w:val="0"/>
              <w:adjustRightInd/>
              <w:snapToGrid/>
              <w:spacing w:line="360" w:lineRule="exact"/>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1.1</w:t>
            </w:r>
          </w:p>
        </w:tc>
        <w:tc>
          <w:tcPr>
            <w:tcW w:w="7882" w:type="dxa"/>
            <w:vAlign w:val="center"/>
          </w:tcPr>
          <w:p w14:paraId="0744002E">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采购人：</w:t>
            </w:r>
            <w:r>
              <w:rPr>
                <w:rFonts w:hint="eastAsia" w:ascii="微软雅黑" w:hAnsi="微软雅黑" w:eastAsia="微软雅黑" w:cs="微软雅黑"/>
                <w:color w:val="auto"/>
                <w:kern w:val="0"/>
                <w:sz w:val="22"/>
                <w:szCs w:val="22"/>
                <w:highlight w:val="none"/>
                <w:u w:val="single"/>
                <w:lang w:eastAsia="zh-CN"/>
              </w:rPr>
              <w:t>喀什地区第一人民医院</w:t>
            </w:r>
          </w:p>
          <w:p w14:paraId="60918702">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rPr>
              <w:t>联系人：</w:t>
            </w:r>
            <w:r>
              <w:rPr>
                <w:rFonts w:hint="eastAsia" w:ascii="微软雅黑" w:hAnsi="微软雅黑" w:eastAsia="微软雅黑" w:cs="微软雅黑"/>
                <w:color w:val="auto"/>
                <w:sz w:val="22"/>
                <w:szCs w:val="22"/>
                <w:highlight w:val="none"/>
                <w:u w:val="single"/>
                <w:lang w:eastAsia="zh-CN"/>
              </w:rPr>
              <w:t>朱宝平</w:t>
            </w:r>
            <w:r>
              <w:rPr>
                <w:rFonts w:hint="eastAsia" w:ascii="微软雅黑" w:hAnsi="微软雅黑" w:eastAsia="微软雅黑" w:cs="微软雅黑"/>
                <w:color w:val="auto"/>
                <w:sz w:val="22"/>
                <w:szCs w:val="22"/>
                <w:highlight w:val="none"/>
              </w:rPr>
              <w:t xml:space="preserve">     联系电话：</w:t>
            </w:r>
            <w:r>
              <w:rPr>
                <w:rFonts w:hint="eastAsia" w:ascii="微软雅黑" w:hAnsi="微软雅黑" w:eastAsia="微软雅黑" w:cs="微软雅黑"/>
                <w:color w:val="auto"/>
                <w:sz w:val="22"/>
                <w:szCs w:val="22"/>
                <w:highlight w:val="none"/>
                <w:u w:val="single"/>
                <w:lang w:eastAsia="zh-CN"/>
              </w:rPr>
              <w:t xml:space="preserve"> 0998-2962911 </w:t>
            </w:r>
          </w:p>
        </w:tc>
      </w:tr>
      <w:tr w14:paraId="449659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48" w:hRule="atLeast"/>
        </w:trPr>
        <w:tc>
          <w:tcPr>
            <w:tcW w:w="1378" w:type="dxa"/>
            <w:vAlign w:val="center"/>
          </w:tcPr>
          <w:p w14:paraId="4D91A89F">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1.2</w:t>
            </w:r>
          </w:p>
        </w:tc>
        <w:tc>
          <w:tcPr>
            <w:tcW w:w="7882" w:type="dxa"/>
            <w:vAlign w:val="center"/>
          </w:tcPr>
          <w:p w14:paraId="2472CBDF">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采购代理机构：</w:t>
            </w:r>
            <w:r>
              <w:rPr>
                <w:rFonts w:hint="eastAsia" w:ascii="微软雅黑" w:hAnsi="微软雅黑" w:eastAsia="微软雅黑" w:cs="微软雅黑"/>
                <w:color w:val="auto"/>
                <w:sz w:val="22"/>
                <w:szCs w:val="22"/>
                <w:highlight w:val="none"/>
                <w:u w:val="single"/>
              </w:rPr>
              <w:t xml:space="preserve">新疆共建恒业信息咨询有限责任公司  </w:t>
            </w:r>
          </w:p>
          <w:p w14:paraId="306EC82A">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地址：</w:t>
            </w:r>
            <w:r>
              <w:rPr>
                <w:rFonts w:hint="eastAsia" w:ascii="微软雅黑" w:hAnsi="微软雅黑" w:eastAsia="微软雅黑" w:cs="微软雅黑"/>
                <w:color w:val="auto"/>
                <w:sz w:val="22"/>
                <w:szCs w:val="22"/>
                <w:highlight w:val="none"/>
                <w:u w:val="single"/>
              </w:rPr>
              <w:t>喀什经济开发区深喀大道陕西大厦12楼1208室</w:t>
            </w:r>
          </w:p>
          <w:p w14:paraId="089B32AA">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业务联系人：</w:t>
            </w:r>
            <w:r>
              <w:rPr>
                <w:rFonts w:hint="eastAsia" w:ascii="微软雅黑" w:hAnsi="微软雅黑" w:eastAsia="微软雅黑" w:cs="微软雅黑"/>
                <w:color w:val="auto"/>
                <w:sz w:val="22"/>
                <w:szCs w:val="22"/>
                <w:highlight w:val="none"/>
                <w:u w:val="single"/>
                <w:lang w:eastAsia="zh-CN"/>
              </w:rPr>
              <w:t>刘晶晶</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 xml:space="preserve">　   联系电话： </w:t>
            </w:r>
            <w:r>
              <w:rPr>
                <w:rFonts w:hint="eastAsia" w:ascii="微软雅黑" w:hAnsi="微软雅黑" w:eastAsia="微软雅黑" w:cs="微软雅黑"/>
                <w:color w:val="auto"/>
                <w:sz w:val="22"/>
                <w:szCs w:val="22"/>
                <w:highlight w:val="none"/>
                <w:u w:val="single"/>
              </w:rPr>
              <w:t>18209987338</w:t>
            </w:r>
          </w:p>
        </w:tc>
      </w:tr>
      <w:tr w14:paraId="711C3E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378" w:type="dxa"/>
            <w:vAlign w:val="center"/>
          </w:tcPr>
          <w:p w14:paraId="6DF05109">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1.3.4</w:t>
            </w:r>
          </w:p>
        </w:tc>
        <w:tc>
          <w:tcPr>
            <w:tcW w:w="7882" w:type="dxa"/>
            <w:vAlign w:val="center"/>
          </w:tcPr>
          <w:p w14:paraId="36E0EBE8">
            <w:pPr>
              <w:widowControl/>
              <w:shd w:val="clear"/>
              <w:snapToGrid w:val="0"/>
              <w:spacing w:line="470" w:lineRule="exact"/>
              <w:jc w:val="left"/>
              <w:textAlignment w:val="baseline"/>
              <w:rPr>
                <w:rFonts w:hint="eastAsia" w:ascii="微软雅黑" w:hAnsi="微软雅黑" w:eastAsia="微软雅黑" w:cs="微软雅黑"/>
                <w:b/>
                <w:bCs/>
                <w:color w:val="auto"/>
                <w:sz w:val="22"/>
                <w:szCs w:val="22"/>
                <w:highlight w:val="none"/>
                <w:lang w:eastAsia="zh-CN"/>
              </w:rPr>
            </w:pPr>
            <w:r>
              <w:rPr>
                <w:rFonts w:hint="eastAsia" w:ascii="微软雅黑" w:hAnsi="微软雅黑" w:eastAsia="微软雅黑" w:cs="微软雅黑"/>
                <w:color w:val="auto"/>
                <w:sz w:val="22"/>
                <w:szCs w:val="22"/>
                <w:highlight w:val="none"/>
              </w:rPr>
              <w:t>合格供应商的其他资格要求：</w:t>
            </w:r>
            <w:r>
              <w:rPr>
                <w:rFonts w:hint="eastAsia" w:ascii="微软雅黑" w:hAnsi="微软雅黑" w:eastAsia="微软雅黑" w:cs="微软雅黑"/>
                <w:b/>
                <w:bCs/>
                <w:color w:val="auto"/>
                <w:sz w:val="22"/>
                <w:szCs w:val="22"/>
                <w:highlight w:val="none"/>
                <w:lang w:val="en-US" w:eastAsia="zh-CN"/>
              </w:rPr>
              <w:t>（须将以下资格证明材料附在投标文件中）</w:t>
            </w:r>
          </w:p>
          <w:p w14:paraId="2CF954F3">
            <w:pPr>
              <w:keepNext w:val="0"/>
              <w:keepLines w:val="0"/>
              <w:pageBreakBefore w:val="0"/>
              <w:widowControl/>
              <w:kinsoku/>
              <w:wordWrap/>
              <w:overflowPunct/>
              <w:topLinePunct w:val="0"/>
              <w:autoSpaceDE/>
              <w:autoSpaceDN/>
              <w:bidi w:val="0"/>
              <w:adjustRightInd/>
              <w:snapToGrid/>
              <w:spacing w:before="0" w:beforeAutospacing="0" w:after="0" w:afterAutospacing="0" w:line="340" w:lineRule="exact"/>
              <w:ind w:left="0" w:leftChars="0"/>
              <w:jc w:val="left"/>
              <w:textAlignment w:val="auto"/>
              <w:rPr>
                <w:rFonts w:hint="eastAsia" w:ascii="微软雅黑" w:hAnsi="微软雅黑" w:eastAsia="微软雅黑" w:cs="微软雅黑"/>
                <w:b/>
                <w:bCs/>
                <w:i w:val="0"/>
                <w:caps w:val="0"/>
                <w:color w:val="auto"/>
                <w:spacing w:val="0"/>
                <w:w w:val="100"/>
                <w:sz w:val="22"/>
                <w:szCs w:val="22"/>
                <w:highlight w:val="none"/>
              </w:rPr>
            </w:pPr>
            <w:r>
              <w:rPr>
                <w:rFonts w:hint="eastAsia" w:ascii="微软雅黑" w:hAnsi="微软雅黑" w:eastAsia="微软雅黑" w:cs="微软雅黑"/>
                <w:b/>
                <w:bCs/>
                <w:i w:val="0"/>
                <w:caps w:val="0"/>
                <w:color w:val="auto"/>
                <w:spacing w:val="0"/>
                <w:w w:val="100"/>
                <w:sz w:val="22"/>
                <w:szCs w:val="22"/>
                <w:highlight w:val="none"/>
              </w:rPr>
              <w:t>1、具有有效的营业执照；</w:t>
            </w:r>
          </w:p>
          <w:p w14:paraId="0289AAE6">
            <w:pPr>
              <w:keepNext w:val="0"/>
              <w:keepLines w:val="0"/>
              <w:pageBreakBefore w:val="0"/>
              <w:widowControl/>
              <w:kinsoku/>
              <w:wordWrap/>
              <w:overflowPunct/>
              <w:topLinePunct w:val="0"/>
              <w:autoSpaceDE/>
              <w:autoSpaceDN/>
              <w:bidi w:val="0"/>
              <w:adjustRightInd/>
              <w:snapToGrid/>
              <w:spacing w:before="0" w:beforeAutospacing="0" w:after="0" w:afterAutospacing="0" w:line="340" w:lineRule="exact"/>
              <w:ind w:left="0" w:leftChars="0"/>
              <w:jc w:val="left"/>
              <w:textAlignment w:val="auto"/>
              <w:rPr>
                <w:rFonts w:hint="eastAsia" w:ascii="微软雅黑" w:hAnsi="微软雅黑" w:eastAsia="微软雅黑" w:cs="微软雅黑"/>
                <w:b/>
                <w:bCs/>
                <w:i w:val="0"/>
                <w:caps w:val="0"/>
                <w:color w:val="auto"/>
                <w:spacing w:val="0"/>
                <w:w w:val="100"/>
                <w:sz w:val="22"/>
                <w:szCs w:val="22"/>
                <w:highlight w:val="none"/>
              </w:rPr>
            </w:pPr>
            <w:r>
              <w:rPr>
                <w:rFonts w:hint="eastAsia" w:ascii="微软雅黑" w:hAnsi="微软雅黑" w:eastAsia="微软雅黑" w:cs="微软雅黑"/>
                <w:b/>
                <w:bCs/>
                <w:i w:val="0"/>
                <w:caps w:val="0"/>
                <w:color w:val="auto"/>
                <w:spacing w:val="0"/>
                <w:w w:val="100"/>
                <w:sz w:val="22"/>
                <w:szCs w:val="22"/>
                <w:highlight w:val="none"/>
              </w:rPr>
              <w:t>2、</w:t>
            </w:r>
            <w:r>
              <w:rPr>
                <w:rFonts w:hint="eastAsia" w:ascii="微软雅黑" w:hAnsi="微软雅黑" w:eastAsia="微软雅黑" w:cs="微软雅黑"/>
                <w:b/>
                <w:bCs/>
                <w:i w:val="0"/>
                <w:caps w:val="0"/>
                <w:color w:val="auto"/>
                <w:spacing w:val="0"/>
                <w:w w:val="100"/>
                <w:sz w:val="22"/>
                <w:szCs w:val="22"/>
                <w:highlight w:val="none"/>
                <w:lang w:eastAsia="zh-CN"/>
              </w:rPr>
              <w:t>法定代表人资格证明(法定代表人投标需提供法定代表人身份证)</w:t>
            </w:r>
            <w:r>
              <w:rPr>
                <w:rFonts w:hint="eastAsia" w:ascii="微软雅黑" w:hAnsi="微软雅黑" w:eastAsia="微软雅黑" w:cs="微软雅黑"/>
                <w:b/>
                <w:bCs/>
                <w:i w:val="0"/>
                <w:caps w:val="0"/>
                <w:color w:val="auto"/>
                <w:spacing w:val="0"/>
                <w:w w:val="100"/>
                <w:sz w:val="22"/>
                <w:szCs w:val="22"/>
                <w:highlight w:val="none"/>
              </w:rPr>
              <w:t>；</w:t>
            </w:r>
          </w:p>
          <w:p w14:paraId="29759308">
            <w:pPr>
              <w:keepNext w:val="0"/>
              <w:keepLines w:val="0"/>
              <w:pageBreakBefore w:val="0"/>
              <w:widowControl/>
              <w:kinsoku/>
              <w:wordWrap/>
              <w:overflowPunct/>
              <w:topLinePunct w:val="0"/>
              <w:autoSpaceDE/>
              <w:autoSpaceDN/>
              <w:bidi w:val="0"/>
              <w:adjustRightInd/>
              <w:snapToGrid/>
              <w:spacing w:before="0" w:beforeAutospacing="0" w:after="0" w:afterAutospacing="0" w:line="340" w:lineRule="exact"/>
              <w:ind w:left="0" w:leftChars="0"/>
              <w:jc w:val="left"/>
              <w:textAlignment w:val="auto"/>
              <w:rPr>
                <w:rFonts w:hint="eastAsia" w:ascii="微软雅黑" w:hAnsi="微软雅黑" w:eastAsia="微软雅黑" w:cs="微软雅黑"/>
                <w:b/>
                <w:bCs/>
                <w:i w:val="0"/>
                <w:caps w:val="0"/>
                <w:color w:val="auto"/>
                <w:spacing w:val="0"/>
                <w:w w:val="100"/>
                <w:sz w:val="22"/>
                <w:szCs w:val="22"/>
                <w:highlight w:val="none"/>
                <w:lang w:eastAsia="zh-CN"/>
              </w:rPr>
            </w:pPr>
            <w:r>
              <w:rPr>
                <w:rFonts w:hint="eastAsia" w:ascii="微软雅黑" w:hAnsi="微软雅黑" w:eastAsia="微软雅黑" w:cs="微软雅黑"/>
                <w:b/>
                <w:bCs/>
                <w:i w:val="0"/>
                <w:caps w:val="0"/>
                <w:color w:val="auto"/>
                <w:spacing w:val="0"/>
                <w:w w:val="100"/>
                <w:sz w:val="22"/>
                <w:szCs w:val="22"/>
                <w:highlight w:val="none"/>
              </w:rPr>
              <w:t>3</w:t>
            </w:r>
            <w:r>
              <w:rPr>
                <w:rFonts w:hint="eastAsia" w:ascii="微软雅黑" w:hAnsi="微软雅黑" w:eastAsia="微软雅黑" w:cs="微软雅黑"/>
                <w:b/>
                <w:bCs/>
                <w:i w:val="0"/>
                <w:caps w:val="0"/>
                <w:color w:val="auto"/>
                <w:spacing w:val="0"/>
                <w:w w:val="100"/>
                <w:sz w:val="22"/>
                <w:szCs w:val="22"/>
                <w:highlight w:val="none"/>
                <w:lang w:eastAsia="zh-CN"/>
              </w:rPr>
              <w:t>、投标人为制造商的须提供《医疗器械生产许可证》、投标人为经销商的须提供《医疗器械经营许可证》；所有证件均应在有效期内；</w:t>
            </w:r>
          </w:p>
          <w:p w14:paraId="47E581A5">
            <w:pPr>
              <w:keepNext w:val="0"/>
              <w:keepLines w:val="0"/>
              <w:pageBreakBefore w:val="0"/>
              <w:widowControl/>
              <w:kinsoku/>
              <w:wordWrap/>
              <w:overflowPunct/>
              <w:topLinePunct w:val="0"/>
              <w:autoSpaceDE/>
              <w:autoSpaceDN/>
              <w:bidi w:val="0"/>
              <w:adjustRightInd/>
              <w:snapToGrid/>
              <w:spacing w:before="0" w:beforeAutospacing="0" w:after="0" w:afterAutospacing="0" w:line="340" w:lineRule="exact"/>
              <w:ind w:left="0" w:leftChars="0"/>
              <w:jc w:val="left"/>
              <w:textAlignment w:val="auto"/>
              <w:rPr>
                <w:rFonts w:hint="eastAsia" w:ascii="微软雅黑" w:hAnsi="微软雅黑" w:eastAsia="微软雅黑" w:cs="微软雅黑"/>
                <w:b/>
                <w:bCs/>
                <w:i w:val="0"/>
                <w:caps w:val="0"/>
                <w:color w:val="auto"/>
                <w:spacing w:val="0"/>
                <w:w w:val="100"/>
                <w:sz w:val="22"/>
                <w:szCs w:val="22"/>
                <w:highlight w:val="none"/>
                <w:lang w:eastAsia="zh-CN"/>
              </w:rPr>
            </w:pPr>
            <w:r>
              <w:rPr>
                <w:rFonts w:hint="eastAsia" w:ascii="微软雅黑" w:hAnsi="微软雅黑" w:eastAsia="微软雅黑" w:cs="微软雅黑"/>
                <w:b/>
                <w:bCs/>
                <w:i w:val="0"/>
                <w:caps w:val="0"/>
                <w:color w:val="auto"/>
                <w:spacing w:val="0"/>
                <w:w w:val="100"/>
                <w:sz w:val="22"/>
                <w:szCs w:val="22"/>
                <w:highlight w:val="none"/>
              </w:rPr>
              <w:t>4</w:t>
            </w:r>
            <w:r>
              <w:rPr>
                <w:rFonts w:hint="eastAsia" w:ascii="微软雅黑" w:hAnsi="微软雅黑" w:eastAsia="微软雅黑" w:cs="微软雅黑"/>
                <w:b/>
                <w:bCs/>
                <w:i w:val="0"/>
                <w:caps w:val="0"/>
                <w:color w:val="auto"/>
                <w:spacing w:val="0"/>
                <w:w w:val="100"/>
                <w:sz w:val="22"/>
                <w:szCs w:val="22"/>
                <w:highlight w:val="none"/>
                <w:lang w:eastAsia="zh-CN"/>
              </w:rPr>
              <w:t>、提供近两年2023年或2024年任意一年的财务审计报告（成立未满12个月的新公司可提供近三个月内任意一个月的银行资信证明）；</w:t>
            </w:r>
          </w:p>
          <w:p w14:paraId="09609417">
            <w:pPr>
              <w:keepNext w:val="0"/>
              <w:keepLines w:val="0"/>
              <w:pageBreakBefore w:val="0"/>
              <w:widowControl/>
              <w:kinsoku/>
              <w:wordWrap/>
              <w:overflowPunct/>
              <w:topLinePunct w:val="0"/>
              <w:autoSpaceDE/>
              <w:autoSpaceDN/>
              <w:bidi w:val="0"/>
              <w:adjustRightInd/>
              <w:snapToGrid/>
              <w:spacing w:before="0" w:beforeAutospacing="0" w:after="0" w:afterAutospacing="0" w:line="340" w:lineRule="exact"/>
              <w:ind w:left="0" w:leftChars="0"/>
              <w:jc w:val="left"/>
              <w:textAlignment w:val="auto"/>
              <w:rPr>
                <w:rFonts w:hint="eastAsia" w:ascii="微软雅黑" w:hAnsi="微软雅黑" w:eastAsia="微软雅黑" w:cs="微软雅黑"/>
                <w:b/>
                <w:bCs/>
                <w:i w:val="0"/>
                <w:caps w:val="0"/>
                <w:color w:val="auto"/>
                <w:spacing w:val="0"/>
                <w:w w:val="100"/>
                <w:sz w:val="22"/>
                <w:szCs w:val="22"/>
                <w:highlight w:val="none"/>
              </w:rPr>
            </w:pPr>
            <w:r>
              <w:rPr>
                <w:rFonts w:hint="eastAsia" w:ascii="微软雅黑" w:hAnsi="微软雅黑" w:eastAsia="微软雅黑" w:cs="微软雅黑"/>
                <w:b/>
                <w:bCs/>
                <w:i w:val="0"/>
                <w:caps w:val="0"/>
                <w:color w:val="auto"/>
                <w:spacing w:val="0"/>
                <w:w w:val="100"/>
                <w:sz w:val="22"/>
                <w:szCs w:val="22"/>
                <w:highlight w:val="none"/>
                <w:lang w:val="en-US" w:eastAsia="zh-CN"/>
              </w:rPr>
              <w:t>5</w:t>
            </w:r>
            <w:r>
              <w:rPr>
                <w:rFonts w:hint="eastAsia" w:ascii="微软雅黑" w:hAnsi="微软雅黑" w:eastAsia="微软雅黑" w:cs="微软雅黑"/>
                <w:b/>
                <w:bCs/>
                <w:i w:val="0"/>
                <w:caps w:val="0"/>
                <w:color w:val="auto"/>
                <w:spacing w:val="0"/>
                <w:w w:val="100"/>
                <w:sz w:val="22"/>
                <w:szCs w:val="22"/>
                <w:highlight w:val="none"/>
              </w:rPr>
              <w:t>、</w:t>
            </w:r>
            <w:r>
              <w:rPr>
                <w:rFonts w:hint="eastAsia" w:ascii="微软雅黑" w:hAnsi="微软雅黑" w:eastAsia="微软雅黑" w:cs="微软雅黑"/>
                <w:b/>
                <w:bCs/>
                <w:i w:val="0"/>
                <w:caps w:val="0"/>
                <w:color w:val="auto"/>
                <w:spacing w:val="0"/>
                <w:w w:val="100"/>
                <w:sz w:val="22"/>
                <w:szCs w:val="22"/>
                <w:highlight w:val="none"/>
                <w:lang w:eastAsia="zh-CN"/>
              </w:rPr>
              <w:t>提供依法缴纳近6个月任意1个月的社会保险证明</w:t>
            </w:r>
            <w:r>
              <w:rPr>
                <w:rFonts w:hint="eastAsia" w:ascii="微软雅黑" w:hAnsi="微软雅黑" w:eastAsia="微软雅黑" w:cs="微软雅黑"/>
                <w:b/>
                <w:bCs/>
                <w:i w:val="0"/>
                <w:caps w:val="0"/>
                <w:color w:val="auto"/>
                <w:spacing w:val="0"/>
                <w:w w:val="100"/>
                <w:sz w:val="22"/>
                <w:szCs w:val="22"/>
                <w:highlight w:val="none"/>
              </w:rPr>
              <w:t>；</w:t>
            </w:r>
          </w:p>
          <w:p w14:paraId="5A17145E">
            <w:pPr>
              <w:keepNext w:val="0"/>
              <w:keepLines w:val="0"/>
              <w:pageBreakBefore w:val="0"/>
              <w:widowControl/>
              <w:kinsoku/>
              <w:wordWrap w:val="0"/>
              <w:overflowPunct/>
              <w:topLinePunct w:val="0"/>
              <w:autoSpaceDE/>
              <w:autoSpaceDN/>
              <w:bidi w:val="0"/>
              <w:adjustRightInd/>
              <w:snapToGrid/>
              <w:spacing w:before="0" w:beforeAutospacing="0" w:after="0" w:afterAutospacing="0" w:line="340" w:lineRule="exact"/>
              <w:ind w:left="0" w:leftChars="0"/>
              <w:jc w:val="left"/>
              <w:textAlignment w:val="auto"/>
              <w:rPr>
                <w:rFonts w:hint="eastAsia" w:ascii="微软雅黑" w:hAnsi="微软雅黑" w:eastAsia="微软雅黑" w:cs="微软雅黑"/>
                <w:b/>
                <w:bCs/>
                <w:i w:val="0"/>
                <w:caps w:val="0"/>
                <w:color w:val="auto"/>
                <w:spacing w:val="0"/>
                <w:w w:val="100"/>
                <w:sz w:val="22"/>
                <w:szCs w:val="22"/>
                <w:highlight w:val="none"/>
              </w:rPr>
            </w:pPr>
            <w:r>
              <w:rPr>
                <w:rFonts w:hint="eastAsia" w:ascii="微软雅黑" w:hAnsi="微软雅黑" w:eastAsia="微软雅黑" w:cs="微软雅黑"/>
                <w:b/>
                <w:bCs/>
                <w:i w:val="0"/>
                <w:caps w:val="0"/>
                <w:color w:val="auto"/>
                <w:spacing w:val="0"/>
                <w:w w:val="100"/>
                <w:sz w:val="22"/>
                <w:szCs w:val="22"/>
                <w:highlight w:val="none"/>
                <w:lang w:val="en-US" w:eastAsia="zh-CN"/>
              </w:rPr>
              <w:t>6</w:t>
            </w:r>
            <w:r>
              <w:rPr>
                <w:rFonts w:hint="eastAsia" w:ascii="微软雅黑" w:hAnsi="微软雅黑" w:eastAsia="微软雅黑" w:cs="微软雅黑"/>
                <w:b/>
                <w:bCs/>
                <w:i w:val="0"/>
                <w:caps w:val="0"/>
                <w:color w:val="auto"/>
                <w:spacing w:val="0"/>
                <w:w w:val="100"/>
                <w:sz w:val="22"/>
                <w:szCs w:val="22"/>
                <w:highlight w:val="none"/>
              </w:rPr>
              <w:t>、提供依法缴纳近6个月任意1个月的税收证明；</w:t>
            </w:r>
          </w:p>
          <w:p w14:paraId="09B9D46B">
            <w:pPr>
              <w:keepNext w:val="0"/>
              <w:keepLines w:val="0"/>
              <w:pageBreakBefore w:val="0"/>
              <w:widowControl/>
              <w:kinsoku/>
              <w:wordWrap w:val="0"/>
              <w:overflowPunct/>
              <w:topLinePunct w:val="0"/>
              <w:autoSpaceDE/>
              <w:autoSpaceDN/>
              <w:bidi w:val="0"/>
              <w:adjustRightInd/>
              <w:snapToGrid/>
              <w:spacing w:before="0" w:beforeAutospacing="0" w:after="0" w:afterAutospacing="0" w:line="340" w:lineRule="exact"/>
              <w:ind w:left="0" w:leftChars="0"/>
              <w:jc w:val="left"/>
              <w:textAlignment w:val="auto"/>
              <w:rPr>
                <w:rFonts w:hint="eastAsia" w:ascii="微软雅黑" w:hAnsi="微软雅黑" w:eastAsia="微软雅黑" w:cs="微软雅黑"/>
                <w:b/>
                <w:bCs/>
                <w:i w:val="0"/>
                <w:caps w:val="0"/>
                <w:color w:val="auto"/>
                <w:spacing w:val="0"/>
                <w:w w:val="100"/>
                <w:sz w:val="22"/>
                <w:szCs w:val="22"/>
                <w:highlight w:val="none"/>
              </w:rPr>
            </w:pPr>
            <w:r>
              <w:rPr>
                <w:rFonts w:hint="eastAsia" w:ascii="微软雅黑" w:hAnsi="微软雅黑" w:eastAsia="微软雅黑" w:cs="微软雅黑"/>
                <w:b/>
                <w:bCs/>
                <w:i w:val="0"/>
                <w:caps w:val="0"/>
                <w:color w:val="auto"/>
                <w:spacing w:val="0"/>
                <w:w w:val="100"/>
                <w:sz w:val="22"/>
                <w:szCs w:val="22"/>
                <w:highlight w:val="none"/>
                <w:lang w:val="en-US" w:eastAsia="zh-CN"/>
              </w:rPr>
              <w:t>7</w:t>
            </w:r>
            <w:r>
              <w:rPr>
                <w:rFonts w:hint="eastAsia" w:ascii="微软雅黑" w:hAnsi="微软雅黑" w:eastAsia="微软雅黑" w:cs="微软雅黑"/>
                <w:b/>
                <w:bCs/>
                <w:i w:val="0"/>
                <w:caps w:val="0"/>
                <w:color w:val="auto"/>
                <w:spacing w:val="0"/>
                <w:w w:val="100"/>
                <w:sz w:val="22"/>
                <w:szCs w:val="22"/>
                <w:highlight w:val="none"/>
              </w:rPr>
              <w:t>、</w:t>
            </w:r>
            <w:r>
              <w:rPr>
                <w:rFonts w:hint="eastAsia" w:ascii="微软雅黑" w:hAnsi="微软雅黑" w:eastAsia="微软雅黑" w:cs="微软雅黑"/>
                <w:b/>
                <w:bCs/>
                <w:i w:val="0"/>
                <w:caps w:val="0"/>
                <w:color w:val="auto"/>
                <w:spacing w:val="0"/>
                <w:w w:val="100"/>
                <w:sz w:val="22"/>
                <w:szCs w:val="22"/>
                <w:highlight w:val="none"/>
                <w:lang w:val="en-US" w:eastAsia="zh-CN"/>
              </w:rPr>
              <w:t>根据《财政部关于在政府采购活动中查询及使用信用记录有关问题的通知》（财库﹝2016﹞125号）的要求，凡拟参加本次招标项目的投标人，如在“信用中国”网站（https://www.creditchina.gov.cn/）被列入失信被执行人、重大税收违法失信主体名单（首页-信用公示-失信被执行人查询/重大税收违法失信主体名单-搜索栏输入单位全称）、中国政府采购网（https://www.ccgp.gov.cn/search/cr/）严重违法失信行为信息记录名单（尚在处罚期内的），将拒绝其参加本次招标活动（以采购代理机构或采购人查询为准）；</w:t>
            </w:r>
          </w:p>
          <w:p w14:paraId="3C7D2F0E">
            <w:pPr>
              <w:keepNext w:val="0"/>
              <w:keepLines w:val="0"/>
              <w:pageBreakBefore w:val="0"/>
              <w:widowControl/>
              <w:kinsoku/>
              <w:wordWrap w:val="0"/>
              <w:overflowPunct/>
              <w:topLinePunct w:val="0"/>
              <w:autoSpaceDE/>
              <w:autoSpaceDN/>
              <w:bidi w:val="0"/>
              <w:adjustRightInd/>
              <w:snapToGrid/>
              <w:spacing w:before="0" w:beforeAutospacing="0" w:after="0" w:afterAutospacing="0" w:line="340" w:lineRule="exact"/>
              <w:ind w:left="0" w:leftChars="0"/>
              <w:jc w:val="left"/>
              <w:textAlignment w:val="auto"/>
              <w:rPr>
                <w:rFonts w:hint="eastAsia" w:ascii="微软雅黑" w:hAnsi="微软雅黑" w:eastAsia="微软雅黑" w:cs="微软雅黑"/>
                <w:b/>
                <w:bCs/>
                <w:i w:val="0"/>
                <w:caps w:val="0"/>
                <w:color w:val="auto"/>
                <w:spacing w:val="0"/>
                <w:w w:val="100"/>
                <w:sz w:val="22"/>
                <w:szCs w:val="22"/>
                <w:highlight w:val="none"/>
              </w:rPr>
            </w:pPr>
            <w:r>
              <w:rPr>
                <w:rFonts w:hint="eastAsia" w:ascii="微软雅黑" w:hAnsi="微软雅黑" w:eastAsia="微软雅黑" w:cs="微软雅黑"/>
                <w:b/>
                <w:bCs/>
                <w:i w:val="0"/>
                <w:caps w:val="0"/>
                <w:color w:val="auto"/>
                <w:spacing w:val="0"/>
                <w:w w:val="100"/>
                <w:sz w:val="22"/>
                <w:szCs w:val="22"/>
                <w:highlight w:val="none"/>
                <w:lang w:val="en-US" w:eastAsia="zh-CN"/>
              </w:rPr>
              <w:t>8</w:t>
            </w:r>
            <w:r>
              <w:rPr>
                <w:rFonts w:hint="eastAsia" w:ascii="微软雅黑" w:hAnsi="微软雅黑" w:eastAsia="微软雅黑" w:cs="微软雅黑"/>
                <w:b/>
                <w:bCs/>
                <w:i w:val="0"/>
                <w:caps w:val="0"/>
                <w:color w:val="auto"/>
                <w:spacing w:val="0"/>
                <w:w w:val="100"/>
                <w:sz w:val="22"/>
                <w:szCs w:val="22"/>
                <w:highlight w:val="none"/>
              </w:rPr>
              <w:t>、</w:t>
            </w:r>
            <w:r>
              <w:rPr>
                <w:rFonts w:hint="eastAsia" w:ascii="微软雅黑" w:hAnsi="微软雅黑" w:eastAsia="微软雅黑" w:cs="微软雅黑"/>
                <w:b/>
                <w:bCs/>
                <w:i w:val="0"/>
                <w:caps w:val="0"/>
                <w:color w:val="auto"/>
                <w:spacing w:val="0"/>
                <w:w w:val="100"/>
                <w:sz w:val="22"/>
                <w:szCs w:val="22"/>
                <w:highlight w:val="none"/>
                <w:lang w:eastAsia="zh-CN"/>
              </w:rPr>
              <w:t>提供参加政府采购活动前3年内在经营活动中没有重大违法记录的书面声明函</w:t>
            </w:r>
            <w:r>
              <w:rPr>
                <w:rFonts w:hint="eastAsia" w:ascii="微软雅黑" w:hAnsi="微软雅黑" w:eastAsia="微软雅黑" w:cs="微软雅黑"/>
                <w:b/>
                <w:bCs/>
                <w:i w:val="0"/>
                <w:caps w:val="0"/>
                <w:color w:val="auto"/>
                <w:spacing w:val="0"/>
                <w:w w:val="100"/>
                <w:sz w:val="22"/>
                <w:szCs w:val="22"/>
                <w:highlight w:val="none"/>
              </w:rPr>
              <w:t>；</w:t>
            </w:r>
          </w:p>
          <w:p w14:paraId="43E3B787">
            <w:pPr>
              <w:keepNext w:val="0"/>
              <w:keepLines w:val="0"/>
              <w:pageBreakBefore w:val="0"/>
              <w:widowControl/>
              <w:kinsoku/>
              <w:wordWrap w:val="0"/>
              <w:overflowPunct/>
              <w:topLinePunct w:val="0"/>
              <w:autoSpaceDE/>
              <w:autoSpaceDN/>
              <w:bidi w:val="0"/>
              <w:adjustRightInd/>
              <w:snapToGrid/>
              <w:spacing w:before="0" w:beforeAutospacing="0" w:after="0" w:afterAutospacing="0" w:line="340" w:lineRule="exact"/>
              <w:ind w:left="0" w:leftChars="0"/>
              <w:jc w:val="left"/>
              <w:textAlignment w:val="auto"/>
              <w:rPr>
                <w:rFonts w:hint="eastAsia" w:ascii="微软雅黑" w:hAnsi="微软雅黑" w:eastAsia="微软雅黑" w:cs="微软雅黑"/>
                <w:b/>
                <w:bCs/>
                <w:i w:val="0"/>
                <w:caps w:val="0"/>
                <w:color w:val="auto"/>
                <w:spacing w:val="0"/>
                <w:w w:val="100"/>
                <w:sz w:val="22"/>
                <w:szCs w:val="22"/>
                <w:highlight w:val="none"/>
              </w:rPr>
            </w:pPr>
            <w:r>
              <w:rPr>
                <w:rFonts w:hint="eastAsia" w:ascii="微软雅黑" w:hAnsi="微软雅黑" w:eastAsia="微软雅黑" w:cs="微软雅黑"/>
                <w:b/>
                <w:bCs/>
                <w:i w:val="0"/>
                <w:caps w:val="0"/>
                <w:color w:val="auto"/>
                <w:spacing w:val="0"/>
                <w:w w:val="100"/>
                <w:sz w:val="22"/>
                <w:szCs w:val="22"/>
                <w:highlight w:val="none"/>
                <w:lang w:val="en-US" w:eastAsia="zh-CN"/>
              </w:rPr>
              <w:t>9</w:t>
            </w:r>
            <w:r>
              <w:rPr>
                <w:rFonts w:hint="eastAsia" w:ascii="微软雅黑" w:hAnsi="微软雅黑" w:eastAsia="微软雅黑" w:cs="微软雅黑"/>
                <w:b/>
                <w:bCs/>
                <w:i w:val="0"/>
                <w:caps w:val="0"/>
                <w:color w:val="auto"/>
                <w:spacing w:val="0"/>
                <w:w w:val="100"/>
                <w:sz w:val="22"/>
                <w:szCs w:val="22"/>
                <w:highlight w:val="none"/>
              </w:rPr>
              <w:t>、提供针对本次项目《反商业贿赂承诺书》；</w:t>
            </w:r>
          </w:p>
          <w:p w14:paraId="38CBECDF">
            <w:pPr>
              <w:keepNext w:val="0"/>
              <w:keepLines w:val="0"/>
              <w:pageBreakBefore w:val="0"/>
              <w:widowControl/>
              <w:kinsoku/>
              <w:wordWrap/>
              <w:overflowPunct/>
              <w:topLinePunct w:val="0"/>
              <w:autoSpaceDE/>
              <w:autoSpaceDN/>
              <w:bidi w:val="0"/>
              <w:adjustRightInd/>
              <w:snapToGrid/>
              <w:spacing w:before="0" w:beforeAutospacing="0" w:after="0" w:afterAutospacing="0" w:line="340" w:lineRule="exact"/>
              <w:ind w:left="0" w:leftChars="0"/>
              <w:jc w:val="left"/>
              <w:textAlignment w:val="auto"/>
              <w:rPr>
                <w:rFonts w:hint="eastAsia" w:ascii="微软雅黑" w:hAnsi="微软雅黑" w:eastAsia="微软雅黑" w:cs="微软雅黑"/>
                <w:b/>
                <w:bCs/>
                <w:i w:val="0"/>
                <w:caps w:val="0"/>
                <w:color w:val="auto"/>
                <w:spacing w:val="0"/>
                <w:w w:val="100"/>
                <w:sz w:val="22"/>
                <w:szCs w:val="22"/>
                <w:highlight w:val="none"/>
              </w:rPr>
            </w:pPr>
            <w:r>
              <w:rPr>
                <w:rFonts w:hint="eastAsia" w:ascii="微软雅黑" w:hAnsi="微软雅黑" w:eastAsia="微软雅黑" w:cs="微软雅黑"/>
                <w:b/>
                <w:bCs/>
                <w:i w:val="0"/>
                <w:caps w:val="0"/>
                <w:color w:val="auto"/>
                <w:spacing w:val="0"/>
                <w:w w:val="100"/>
                <w:sz w:val="22"/>
                <w:szCs w:val="22"/>
                <w:highlight w:val="none"/>
                <w:lang w:val="en-US" w:eastAsia="zh-CN"/>
              </w:rPr>
              <w:t>10</w:t>
            </w:r>
            <w:r>
              <w:rPr>
                <w:rFonts w:hint="eastAsia" w:ascii="微软雅黑" w:hAnsi="微软雅黑" w:eastAsia="微软雅黑" w:cs="微软雅黑"/>
                <w:b/>
                <w:bCs/>
                <w:i w:val="0"/>
                <w:caps w:val="0"/>
                <w:color w:val="auto"/>
                <w:spacing w:val="0"/>
                <w:w w:val="100"/>
                <w:sz w:val="22"/>
                <w:szCs w:val="22"/>
                <w:highlight w:val="none"/>
              </w:rPr>
              <w:t>、缴纳投标保证金有效凭证。</w:t>
            </w:r>
          </w:p>
          <w:p w14:paraId="60CAF401">
            <w:pPr>
              <w:keepNext w:val="0"/>
              <w:keepLines w:val="0"/>
              <w:pageBreakBefore w:val="0"/>
              <w:widowControl/>
              <w:kinsoku/>
              <w:wordWrap/>
              <w:overflowPunct/>
              <w:topLinePunct w:val="0"/>
              <w:autoSpaceDE/>
              <w:autoSpaceDN/>
              <w:bidi w:val="0"/>
              <w:adjustRightInd/>
              <w:snapToGrid/>
              <w:spacing w:before="0" w:beforeAutospacing="0" w:after="0" w:afterAutospacing="0" w:line="34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b/>
                <w:bCs/>
                <w:i w:val="0"/>
                <w:caps w:val="0"/>
                <w:color w:val="auto"/>
                <w:spacing w:val="0"/>
                <w:w w:val="100"/>
                <w:sz w:val="22"/>
                <w:szCs w:val="22"/>
                <w:highlight w:val="none"/>
              </w:rPr>
              <w:t>注：“</w:t>
            </w:r>
            <w:r>
              <w:rPr>
                <w:rFonts w:hint="eastAsia" w:ascii="微软雅黑" w:hAnsi="微软雅黑" w:eastAsia="微软雅黑" w:cs="微软雅黑"/>
                <w:b/>
                <w:bCs/>
                <w:i w:val="0"/>
                <w:caps w:val="0"/>
                <w:color w:val="auto"/>
                <w:spacing w:val="0"/>
                <w:w w:val="100"/>
                <w:sz w:val="22"/>
                <w:szCs w:val="22"/>
                <w:highlight w:val="none"/>
                <w:lang w:eastAsia="zh-CN"/>
              </w:rPr>
              <w:t>提供依法缴纳近6个月任意1个月的税收证明</w:t>
            </w:r>
            <w:r>
              <w:rPr>
                <w:rFonts w:hint="eastAsia" w:ascii="微软雅黑" w:hAnsi="微软雅黑" w:eastAsia="微软雅黑" w:cs="微软雅黑"/>
                <w:b/>
                <w:bCs/>
                <w:i w:val="0"/>
                <w:caps w:val="0"/>
                <w:color w:val="auto"/>
                <w:spacing w:val="0"/>
                <w:w w:val="100"/>
                <w:sz w:val="22"/>
                <w:szCs w:val="22"/>
                <w:highlight w:val="none"/>
              </w:rPr>
              <w:t>”：①若供应商某月税收为零申报，</w:t>
            </w:r>
            <w:r>
              <w:rPr>
                <w:rFonts w:hint="eastAsia" w:ascii="微软雅黑" w:hAnsi="微软雅黑" w:eastAsia="微软雅黑" w:cs="微软雅黑"/>
                <w:b/>
                <w:bCs/>
                <w:i w:val="0"/>
                <w:caps w:val="0"/>
                <w:color w:val="auto"/>
                <w:spacing w:val="0"/>
                <w:w w:val="100"/>
                <w:sz w:val="22"/>
                <w:szCs w:val="22"/>
                <w:highlight w:val="none"/>
                <w:lang w:eastAsia="zh-CN"/>
              </w:rPr>
              <w:t>须提供加盖税务局公章的无欠税证明</w:t>
            </w:r>
            <w:r>
              <w:rPr>
                <w:rFonts w:hint="eastAsia" w:ascii="微软雅黑" w:hAnsi="微软雅黑" w:eastAsia="微软雅黑" w:cs="微软雅黑"/>
                <w:b/>
                <w:bCs/>
                <w:i w:val="0"/>
                <w:caps w:val="0"/>
                <w:color w:val="auto"/>
                <w:spacing w:val="0"/>
                <w:w w:val="100"/>
                <w:sz w:val="22"/>
                <w:szCs w:val="22"/>
                <w:highlight w:val="none"/>
              </w:rPr>
              <w:t>或“国家税务总局电子税务局（12366.chinatax.gov.cn/bsfw/onlinetaxation/main）”的申报结果查询截图。②完税证明中“税种”非养老保险、医疗保险、失业保险、工伤保险和生育保险。请各供应商注意！</w:t>
            </w:r>
          </w:p>
        </w:tc>
      </w:tr>
      <w:tr w14:paraId="5D6B98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2" w:hRule="atLeast"/>
        </w:trPr>
        <w:tc>
          <w:tcPr>
            <w:tcW w:w="1378" w:type="dxa"/>
            <w:vAlign w:val="center"/>
          </w:tcPr>
          <w:p w14:paraId="418EAA8C">
            <w:pPr>
              <w:keepNext w:val="0"/>
              <w:keepLines w:val="0"/>
              <w:pageBreakBefore w:val="0"/>
              <w:kinsoku/>
              <w:wordWrap/>
              <w:overflowPunct/>
              <w:topLinePunct w:val="0"/>
              <w:autoSpaceDE/>
              <w:autoSpaceDN/>
              <w:bidi w:val="0"/>
              <w:adjustRightInd/>
              <w:snapToGrid/>
              <w:spacing w:line="360" w:lineRule="exact"/>
              <w:ind w:left="1080" w:leftChars="257" w:hanging="540" w:firstLine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b w:val="0"/>
                <w:bCs w:val="0"/>
                <w:color w:val="auto"/>
                <w:sz w:val="22"/>
                <w:szCs w:val="22"/>
                <w:highlight w:val="none"/>
              </w:rPr>
              <w:t xml:space="preserve">1.3.5   </w:t>
            </w:r>
          </w:p>
        </w:tc>
        <w:tc>
          <w:tcPr>
            <w:tcW w:w="7882" w:type="dxa"/>
            <w:vAlign w:val="center"/>
          </w:tcPr>
          <w:p w14:paraId="014411F3">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0"/>
                <w:szCs w:val="22"/>
                <w:highlight w:val="none"/>
                <w:lang w:val="en-US" w:eastAsia="zh-CN"/>
              </w:rPr>
            </w:pPr>
            <w:r>
              <w:rPr>
                <w:rFonts w:hint="eastAsia" w:ascii="微软雅黑" w:hAnsi="微软雅黑" w:eastAsia="微软雅黑" w:cs="微软雅黑"/>
                <w:color w:val="auto"/>
                <w:sz w:val="22"/>
                <w:szCs w:val="22"/>
                <w:highlight w:val="none"/>
              </w:rPr>
              <w:t>是否允许采购进口产品</w:t>
            </w:r>
            <w:r>
              <w:rPr>
                <w:rFonts w:hint="eastAsia" w:ascii="微软雅黑" w:hAnsi="微软雅黑" w:eastAsia="微软雅黑" w:cs="微软雅黑"/>
                <w:color w:val="auto"/>
                <w:sz w:val="22"/>
                <w:szCs w:val="22"/>
                <w:highlight w:val="none"/>
                <w:lang w:eastAsia="zh-CN"/>
              </w:rPr>
              <w:t>：</w:t>
            </w:r>
            <w:r>
              <w:rPr>
                <w:rFonts w:hint="eastAsia" w:ascii="微软雅黑" w:hAnsi="微软雅黑" w:eastAsia="微软雅黑" w:cs="微软雅黑"/>
                <w:color w:val="auto"/>
                <w:sz w:val="22"/>
                <w:szCs w:val="22"/>
                <w:highlight w:val="none"/>
                <w:u w:val="single"/>
                <w:lang w:val="en-US" w:eastAsia="zh-CN"/>
              </w:rPr>
              <w:t>否</w:t>
            </w:r>
            <w:r>
              <w:rPr>
                <w:rFonts w:hint="eastAsia" w:ascii="微软雅黑" w:hAnsi="微软雅黑" w:eastAsia="微软雅黑" w:cs="微软雅黑"/>
                <w:color w:val="auto"/>
                <w:sz w:val="22"/>
                <w:szCs w:val="22"/>
                <w:highlight w:val="none"/>
                <w:lang w:eastAsia="zh-CN"/>
              </w:rPr>
              <w:t>（</w:t>
            </w:r>
            <w:r>
              <w:rPr>
                <w:rFonts w:hint="eastAsia" w:ascii="微软雅黑" w:hAnsi="微软雅黑" w:eastAsia="微软雅黑" w:cs="微软雅黑"/>
                <w:color w:val="auto"/>
                <w:sz w:val="22"/>
                <w:szCs w:val="22"/>
                <w:highlight w:val="none"/>
              </w:rPr>
              <w:t>是、否）</w:t>
            </w:r>
          </w:p>
        </w:tc>
      </w:tr>
      <w:tr w14:paraId="1AD7CA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2" w:hRule="atLeast"/>
        </w:trPr>
        <w:tc>
          <w:tcPr>
            <w:tcW w:w="1378" w:type="dxa"/>
            <w:vAlign w:val="center"/>
          </w:tcPr>
          <w:p w14:paraId="38224468">
            <w:pPr>
              <w:keepNext w:val="0"/>
              <w:keepLines w:val="0"/>
              <w:pageBreakBefore w:val="0"/>
              <w:kinsoku/>
              <w:wordWrap/>
              <w:overflowPunct/>
              <w:topLinePunct w:val="0"/>
              <w:autoSpaceDE/>
              <w:autoSpaceDN/>
              <w:bidi w:val="0"/>
              <w:adjustRightInd/>
              <w:snapToGrid/>
              <w:spacing w:line="360" w:lineRule="exact"/>
              <w:ind w:left="1080" w:leftChars="257" w:hanging="540" w:firstLineChars="0"/>
              <w:textAlignment w:val="auto"/>
              <w:rPr>
                <w:rFonts w:hint="eastAsia" w:ascii="微软雅黑" w:hAnsi="微软雅黑" w:eastAsia="微软雅黑" w:cs="微软雅黑"/>
                <w:b w:val="0"/>
                <w:bCs w:val="0"/>
                <w:color w:val="auto"/>
                <w:sz w:val="22"/>
                <w:szCs w:val="22"/>
                <w:highlight w:val="none"/>
              </w:rPr>
            </w:pPr>
            <w:r>
              <w:rPr>
                <w:rFonts w:hint="eastAsia" w:ascii="微软雅黑" w:hAnsi="微软雅黑" w:eastAsia="微软雅黑" w:cs="微软雅黑"/>
                <w:color w:val="auto"/>
                <w:sz w:val="22"/>
                <w:szCs w:val="22"/>
                <w:highlight w:val="none"/>
              </w:rPr>
              <w:t>1.3.6</w:t>
            </w:r>
          </w:p>
        </w:tc>
        <w:tc>
          <w:tcPr>
            <w:tcW w:w="7882" w:type="dxa"/>
            <w:vAlign w:val="center"/>
          </w:tcPr>
          <w:p w14:paraId="2D77E59E">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eastAsia="zh-CN"/>
              </w:rPr>
              <w:t>是否为专门面向中小企业采购：</w:t>
            </w:r>
            <w:r>
              <w:rPr>
                <w:rFonts w:hint="eastAsia" w:ascii="微软雅黑" w:hAnsi="微软雅黑" w:eastAsia="微软雅黑" w:cs="微软雅黑"/>
                <w:color w:val="auto"/>
                <w:sz w:val="22"/>
                <w:szCs w:val="22"/>
                <w:highlight w:val="none"/>
                <w:u w:val="single"/>
                <w:lang w:val="en-US" w:eastAsia="zh-CN"/>
              </w:rPr>
              <w:t xml:space="preserve">  否  </w:t>
            </w:r>
            <w:r>
              <w:rPr>
                <w:rFonts w:hint="eastAsia" w:ascii="微软雅黑" w:hAnsi="微软雅黑" w:eastAsia="微软雅黑" w:cs="微软雅黑"/>
                <w:color w:val="auto"/>
                <w:sz w:val="22"/>
                <w:szCs w:val="22"/>
                <w:highlight w:val="none"/>
                <w:lang w:eastAsia="zh-CN"/>
              </w:rPr>
              <w:t>（是、否）</w:t>
            </w:r>
          </w:p>
        </w:tc>
      </w:tr>
      <w:tr w14:paraId="33F09B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9" w:hRule="atLeast"/>
        </w:trPr>
        <w:tc>
          <w:tcPr>
            <w:tcW w:w="1378" w:type="dxa"/>
            <w:vAlign w:val="center"/>
          </w:tcPr>
          <w:p w14:paraId="05D5A75E">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w:t>
            </w:r>
          </w:p>
        </w:tc>
        <w:tc>
          <w:tcPr>
            <w:tcW w:w="7882" w:type="dxa"/>
            <w:vAlign w:val="center"/>
          </w:tcPr>
          <w:p w14:paraId="2F36B87E">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是否允许联合体投标：</w:t>
            </w:r>
            <w:r>
              <w:rPr>
                <w:rFonts w:hint="eastAsia" w:ascii="微软雅黑" w:hAnsi="微软雅黑" w:eastAsia="微软雅黑" w:cs="微软雅黑"/>
                <w:color w:val="auto"/>
                <w:sz w:val="22"/>
                <w:szCs w:val="22"/>
                <w:highlight w:val="none"/>
                <w:u w:val="single"/>
              </w:rPr>
              <w:t xml:space="preserve">  否  </w:t>
            </w:r>
            <w:r>
              <w:rPr>
                <w:rFonts w:hint="eastAsia" w:ascii="微软雅黑" w:hAnsi="微软雅黑" w:eastAsia="微软雅黑" w:cs="微软雅黑"/>
                <w:i/>
                <w:color w:val="auto"/>
                <w:sz w:val="22"/>
                <w:szCs w:val="22"/>
                <w:highlight w:val="none"/>
              </w:rPr>
              <w:t>（是、否）</w:t>
            </w:r>
          </w:p>
        </w:tc>
      </w:tr>
      <w:tr w14:paraId="5ECD63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0" w:hRule="atLeast"/>
        </w:trPr>
        <w:tc>
          <w:tcPr>
            <w:tcW w:w="1378" w:type="dxa"/>
            <w:vAlign w:val="center"/>
          </w:tcPr>
          <w:p w14:paraId="7A173D6F">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1.4.8</w:t>
            </w:r>
          </w:p>
        </w:tc>
        <w:tc>
          <w:tcPr>
            <w:tcW w:w="7882" w:type="dxa"/>
            <w:vAlign w:val="center"/>
          </w:tcPr>
          <w:p w14:paraId="34EA1116">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联合体的其他资格要求：无</w:t>
            </w:r>
          </w:p>
        </w:tc>
      </w:tr>
      <w:tr w14:paraId="3D7661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5" w:hRule="atLeast"/>
        </w:trPr>
        <w:tc>
          <w:tcPr>
            <w:tcW w:w="1378" w:type="dxa"/>
            <w:vAlign w:val="center"/>
          </w:tcPr>
          <w:p w14:paraId="5B231773">
            <w:pPr>
              <w:keepNext w:val="0"/>
              <w:keepLines w:val="0"/>
              <w:pageBreakBefore w:val="0"/>
              <w:kinsoku/>
              <w:wordWrap/>
              <w:overflowPunct/>
              <w:topLinePunct w:val="0"/>
              <w:autoSpaceDE/>
              <w:autoSpaceDN/>
              <w:bidi w:val="0"/>
              <w:adjustRightInd/>
              <w:snapToGrid/>
              <w:spacing w:line="360" w:lineRule="exact"/>
              <w:ind w:left="1080" w:leftChars="257" w:hanging="540"/>
              <w:jc w:val="both"/>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2.2</w:t>
            </w:r>
          </w:p>
        </w:tc>
        <w:tc>
          <w:tcPr>
            <w:tcW w:w="7882" w:type="dxa"/>
            <w:vAlign w:val="center"/>
          </w:tcPr>
          <w:p w14:paraId="47AF8380">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bCs/>
                <w:color w:val="auto"/>
                <w:kern w:val="2"/>
                <w:sz w:val="22"/>
                <w:szCs w:val="22"/>
                <w:highlight w:val="none"/>
                <w:lang w:val="en-US" w:eastAsia="zh-CN" w:bidi="ar-SA"/>
              </w:rPr>
            </w:pPr>
            <w:r>
              <w:rPr>
                <w:rFonts w:hint="eastAsia" w:ascii="微软雅黑" w:hAnsi="微软雅黑" w:eastAsia="微软雅黑" w:cs="微软雅黑"/>
                <w:b/>
                <w:bCs/>
                <w:color w:val="auto"/>
                <w:kern w:val="2"/>
                <w:sz w:val="22"/>
                <w:szCs w:val="22"/>
                <w:highlight w:val="none"/>
                <w:lang w:val="en-US" w:eastAsia="zh-CN" w:bidi="ar-SA"/>
              </w:rPr>
              <w:t>项目预算金额：</w:t>
            </w:r>
            <w:r>
              <w:rPr>
                <w:rFonts w:hint="eastAsia" w:ascii="微软雅黑" w:hAnsi="微软雅黑" w:eastAsia="微软雅黑" w:cs="微软雅黑"/>
                <w:b/>
                <w:bCs/>
                <w:color w:val="auto"/>
                <w:sz w:val="22"/>
                <w:szCs w:val="22"/>
                <w:highlight w:val="none"/>
                <w:lang w:val="en-US" w:eastAsia="zh-CN"/>
              </w:rPr>
              <w:t>4090000</w:t>
            </w:r>
            <w:r>
              <w:rPr>
                <w:rFonts w:hint="eastAsia" w:ascii="微软雅黑" w:hAnsi="微软雅黑" w:eastAsia="微软雅黑" w:cs="微软雅黑"/>
                <w:b/>
                <w:bCs/>
                <w:color w:val="auto"/>
                <w:kern w:val="2"/>
                <w:sz w:val="22"/>
                <w:szCs w:val="22"/>
                <w:highlight w:val="none"/>
                <w:lang w:val="en-US" w:eastAsia="zh-CN" w:bidi="ar-SA"/>
              </w:rPr>
              <w:t>.00元</w:t>
            </w:r>
          </w:p>
          <w:p w14:paraId="05DBCDC3">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auto"/>
                <w:kern w:val="2"/>
                <w:sz w:val="22"/>
                <w:szCs w:val="22"/>
                <w:highlight w:val="none"/>
                <w:lang w:val="en-US" w:eastAsia="zh-CN" w:bidi="ar-SA"/>
              </w:rPr>
            </w:pPr>
            <w:r>
              <w:rPr>
                <w:rFonts w:hint="eastAsia" w:ascii="微软雅黑" w:hAnsi="微软雅黑" w:eastAsia="微软雅黑" w:cs="微软雅黑"/>
                <w:b/>
                <w:bCs/>
                <w:color w:val="auto"/>
                <w:sz w:val="22"/>
                <w:szCs w:val="22"/>
                <w:highlight w:val="none"/>
                <w:lang w:val="en-US" w:eastAsia="zh-CN"/>
              </w:rPr>
              <w:t>标项二</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4090000</w:t>
            </w:r>
            <w:r>
              <w:rPr>
                <w:rFonts w:hint="eastAsia" w:ascii="微软雅黑" w:hAnsi="微软雅黑" w:eastAsia="微软雅黑" w:cs="微软雅黑"/>
                <w:b/>
                <w:bCs/>
                <w:color w:val="auto"/>
                <w:kern w:val="2"/>
                <w:sz w:val="22"/>
                <w:szCs w:val="22"/>
                <w:highlight w:val="none"/>
                <w:lang w:val="en-US" w:eastAsia="zh-CN" w:bidi="ar-SA"/>
              </w:rPr>
              <w:t>.00元</w:t>
            </w:r>
          </w:p>
        </w:tc>
      </w:tr>
      <w:tr w14:paraId="587FEA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2" w:hRule="atLeast"/>
        </w:trPr>
        <w:tc>
          <w:tcPr>
            <w:tcW w:w="1378" w:type="dxa"/>
            <w:vAlign w:val="center"/>
          </w:tcPr>
          <w:p w14:paraId="5BA8AB8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 xml:space="preserve">   </w:t>
            </w:r>
            <w:r>
              <w:rPr>
                <w:rFonts w:hint="eastAsia" w:ascii="微软雅黑" w:hAnsi="微软雅黑" w:eastAsia="微软雅黑" w:cs="微软雅黑"/>
                <w:color w:val="auto"/>
                <w:sz w:val="22"/>
                <w:szCs w:val="22"/>
                <w:highlight w:val="none"/>
              </w:rPr>
              <w:t>12.1</w:t>
            </w:r>
          </w:p>
        </w:tc>
        <w:tc>
          <w:tcPr>
            <w:tcW w:w="7882" w:type="dxa"/>
            <w:vAlign w:val="center"/>
          </w:tcPr>
          <w:p w14:paraId="2BC97326">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微软雅黑" w:hAnsi="微软雅黑" w:eastAsia="微软雅黑" w:cs="微软雅黑"/>
                <w:b w:val="0"/>
                <w:bCs w:val="0"/>
                <w:color w:val="auto"/>
                <w:sz w:val="22"/>
                <w:szCs w:val="22"/>
                <w:highlight w:val="none"/>
              </w:rPr>
            </w:pPr>
            <w:r>
              <w:rPr>
                <w:rFonts w:hint="eastAsia" w:ascii="微软雅黑" w:hAnsi="微软雅黑" w:eastAsia="微软雅黑" w:cs="微软雅黑"/>
                <w:color w:val="auto"/>
                <w:sz w:val="22"/>
                <w:szCs w:val="22"/>
                <w:highlight w:val="none"/>
              </w:rPr>
              <w:t>投标保证金</w:t>
            </w:r>
            <w:r>
              <w:rPr>
                <w:rFonts w:hint="eastAsia" w:ascii="微软雅黑" w:hAnsi="微软雅黑" w:eastAsia="微软雅黑" w:cs="微软雅黑"/>
                <w:b w:val="0"/>
                <w:bCs w:val="0"/>
                <w:color w:val="auto"/>
                <w:sz w:val="22"/>
                <w:szCs w:val="22"/>
                <w:highlight w:val="none"/>
                <w:lang w:val="en-US" w:eastAsia="zh-CN"/>
              </w:rPr>
              <w:t>形式</w:t>
            </w: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eastAsia="zh-CN"/>
              </w:rPr>
              <w:t>☑保函  ☑电汇  ☑支票  ☑对公转账  ☑汇票  ☑本票</w:t>
            </w:r>
            <w:r>
              <w:rPr>
                <w:rFonts w:hint="eastAsia" w:ascii="微软雅黑" w:hAnsi="微软雅黑" w:eastAsia="微软雅黑" w:cs="微软雅黑"/>
                <w:color w:val="auto"/>
                <w:sz w:val="22"/>
                <w:szCs w:val="22"/>
                <w:highlight w:val="none"/>
              </w:rPr>
              <w:t xml:space="preserve">  </w:t>
            </w:r>
            <w:r>
              <w:rPr>
                <w:rFonts w:hint="eastAsia" w:ascii="微软雅黑" w:hAnsi="微软雅黑" w:eastAsia="微软雅黑" w:cs="微软雅黑"/>
                <w:b w:val="0"/>
                <w:bCs w:val="0"/>
                <w:color w:val="auto"/>
                <w:sz w:val="22"/>
                <w:szCs w:val="22"/>
                <w:highlight w:val="none"/>
              </w:rPr>
              <w:t xml:space="preserve"> </w:t>
            </w:r>
          </w:p>
          <w:p w14:paraId="348E396C">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投标保证金数额：（按照</w:t>
            </w:r>
            <w:r>
              <w:rPr>
                <w:rFonts w:hint="eastAsia" w:ascii="微软雅黑" w:hAnsi="微软雅黑" w:eastAsia="微软雅黑" w:cs="微软雅黑"/>
                <w:color w:val="auto"/>
                <w:sz w:val="22"/>
                <w:szCs w:val="22"/>
                <w:highlight w:val="none"/>
                <w:lang w:val="en-US" w:eastAsia="zh-CN"/>
              </w:rPr>
              <w:t>预算</w:t>
            </w:r>
            <w:r>
              <w:rPr>
                <w:rFonts w:hint="eastAsia" w:ascii="微软雅黑" w:hAnsi="微软雅黑" w:eastAsia="微软雅黑" w:cs="微软雅黑"/>
                <w:color w:val="auto"/>
                <w:sz w:val="22"/>
                <w:szCs w:val="22"/>
                <w:highlight w:val="none"/>
              </w:rPr>
              <w:t>金额2%以内的整数计算）</w:t>
            </w:r>
          </w:p>
          <w:p w14:paraId="38968284">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auto"/>
                <w:sz w:val="22"/>
                <w:szCs w:val="22"/>
                <w:highlight w:val="none"/>
                <w:lang w:eastAsia="zh-CN"/>
              </w:rPr>
            </w:pPr>
            <w:r>
              <w:rPr>
                <w:rFonts w:hint="eastAsia" w:ascii="微软雅黑" w:hAnsi="微软雅黑" w:eastAsia="微软雅黑" w:cs="微软雅黑"/>
                <w:b/>
                <w:bCs/>
                <w:color w:val="auto"/>
                <w:sz w:val="22"/>
                <w:szCs w:val="22"/>
                <w:highlight w:val="none"/>
                <w:lang w:val="en-US" w:eastAsia="zh-CN"/>
              </w:rPr>
              <w:t>标项二</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小写：81800.00</w:t>
            </w:r>
            <w:r>
              <w:rPr>
                <w:rFonts w:hint="eastAsia" w:ascii="微软雅黑" w:hAnsi="微软雅黑" w:eastAsia="微软雅黑" w:cs="微软雅黑"/>
                <w:b/>
                <w:bCs/>
                <w:color w:val="auto"/>
                <w:kern w:val="2"/>
                <w:sz w:val="22"/>
                <w:szCs w:val="22"/>
                <w:highlight w:val="none"/>
                <w:lang w:val="en-US" w:eastAsia="zh-CN" w:bidi="ar-SA"/>
              </w:rPr>
              <w:t>元</w:t>
            </w:r>
            <w:r>
              <w:rPr>
                <w:rFonts w:hint="eastAsia" w:ascii="微软雅黑" w:hAnsi="微软雅黑" w:eastAsia="微软雅黑" w:cs="微软雅黑"/>
                <w:b/>
                <w:bCs/>
                <w:color w:val="auto"/>
                <w:sz w:val="22"/>
                <w:szCs w:val="22"/>
                <w:highlight w:val="none"/>
                <w:lang w:val="en-US" w:eastAsia="zh-CN"/>
              </w:rPr>
              <w:t>（大写：捌万壹仟捌佰元整）</w:t>
            </w:r>
          </w:p>
          <w:p w14:paraId="303F6790">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投标保证金收款单位名称：新疆共建恒业信息咨询有限责任公司</w:t>
            </w:r>
          </w:p>
          <w:p w14:paraId="27C7114C">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开 户 行：乌鲁木齐银行喀什分行（营业部）</w:t>
            </w:r>
          </w:p>
          <w:p w14:paraId="20655516">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账    号：0000020080110025191371（电汇时请在汇款备注栏注明项目名称及</w:t>
            </w:r>
            <w:r>
              <w:rPr>
                <w:rFonts w:hint="eastAsia" w:ascii="微软雅黑" w:hAnsi="微软雅黑" w:eastAsia="微软雅黑" w:cs="微软雅黑"/>
                <w:color w:val="auto"/>
                <w:sz w:val="22"/>
                <w:szCs w:val="22"/>
                <w:highlight w:val="none"/>
                <w:lang w:eastAsia="zh-CN"/>
              </w:rPr>
              <w:t>标项</w:t>
            </w:r>
            <w:r>
              <w:rPr>
                <w:rFonts w:hint="eastAsia" w:ascii="微软雅黑" w:hAnsi="微软雅黑" w:eastAsia="微软雅黑" w:cs="微软雅黑"/>
                <w:color w:val="auto"/>
                <w:sz w:val="22"/>
                <w:szCs w:val="22"/>
                <w:highlight w:val="none"/>
              </w:rPr>
              <w:t>（如有），并注明是投标保证金</w:t>
            </w:r>
            <w:r>
              <w:rPr>
                <w:rFonts w:hint="eastAsia" w:ascii="微软雅黑" w:hAnsi="微软雅黑" w:eastAsia="微软雅黑" w:cs="微软雅黑"/>
                <w:color w:val="auto"/>
                <w:sz w:val="22"/>
                <w:szCs w:val="22"/>
                <w:highlight w:val="none"/>
                <w:lang w:eastAsia="zh-CN"/>
              </w:rPr>
              <w:t>。</w:t>
            </w:r>
            <w:r>
              <w:rPr>
                <w:rFonts w:hint="eastAsia" w:ascii="微软雅黑" w:hAnsi="微软雅黑" w:eastAsia="微软雅黑" w:cs="微软雅黑"/>
                <w:color w:val="auto"/>
                <w:sz w:val="22"/>
                <w:szCs w:val="22"/>
                <w:highlight w:val="none"/>
                <w:lang w:val="en-US" w:eastAsia="zh-CN"/>
              </w:rPr>
              <w:t>否则视为无效投标保证金。</w:t>
            </w:r>
            <w:r>
              <w:rPr>
                <w:rFonts w:hint="eastAsia" w:ascii="微软雅黑" w:hAnsi="微软雅黑" w:eastAsia="微软雅黑" w:cs="微软雅黑"/>
                <w:color w:val="auto"/>
                <w:sz w:val="22"/>
                <w:szCs w:val="22"/>
                <w:highlight w:val="none"/>
              </w:rPr>
              <w:t>）     </w:t>
            </w:r>
          </w:p>
          <w:p w14:paraId="359A0581">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行    号：313894000405</w:t>
            </w:r>
          </w:p>
          <w:p w14:paraId="79DD3685">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财务室联系方式：18209987338</w:t>
            </w:r>
          </w:p>
          <w:p w14:paraId="3014310F">
            <w:pPr>
              <w:spacing w:line="340" w:lineRule="exact"/>
              <w:jc w:val="left"/>
              <w:rPr>
                <w:rFonts w:hint="eastAsia" w:ascii="微软雅黑" w:hAnsi="微软雅黑" w:eastAsia="微软雅黑" w:cs="微软雅黑"/>
                <w:b/>
                <w:bCs/>
                <w:sz w:val="22"/>
                <w:szCs w:val="22"/>
                <w:highlight w:val="none"/>
              </w:rPr>
            </w:pPr>
            <w:r>
              <w:rPr>
                <w:rFonts w:hint="eastAsia" w:ascii="微软雅黑" w:hAnsi="微软雅黑" w:eastAsia="微软雅黑" w:cs="微软雅黑"/>
                <w:b/>
                <w:bCs/>
                <w:sz w:val="22"/>
                <w:szCs w:val="22"/>
                <w:highlight w:val="none"/>
              </w:rPr>
              <w:t>A:缴纳投标保证金要求：</w:t>
            </w:r>
          </w:p>
          <w:p w14:paraId="2180D78E">
            <w:pPr>
              <w:spacing w:line="340" w:lineRule="exact"/>
              <w:jc w:val="left"/>
              <w:rPr>
                <w:rFonts w:hint="eastAsia" w:ascii="微软雅黑" w:hAnsi="微软雅黑" w:eastAsia="微软雅黑" w:cs="微软雅黑"/>
                <w:b/>
                <w:bCs/>
                <w:sz w:val="22"/>
                <w:szCs w:val="22"/>
                <w:highlight w:val="none"/>
              </w:rPr>
            </w:pPr>
            <w:r>
              <w:rPr>
                <w:rFonts w:hint="eastAsia" w:ascii="微软雅黑" w:hAnsi="微软雅黑" w:eastAsia="微软雅黑" w:cs="微软雅黑"/>
                <w:b/>
                <w:bCs/>
                <w:sz w:val="22"/>
                <w:szCs w:val="22"/>
                <w:highlight w:val="none"/>
              </w:rPr>
              <w:t>（1）投标保证金必须在开标前提交到代理机构账户中。不接受现金及任何个人、分公司汇款。供应商向银行办理保证金汇（转）款时，应在用途栏（备注栏）注明项目名称及</w:t>
            </w:r>
            <w:r>
              <w:rPr>
                <w:rFonts w:hint="eastAsia" w:ascii="微软雅黑" w:hAnsi="微软雅黑" w:eastAsia="微软雅黑" w:cs="微软雅黑"/>
                <w:b/>
                <w:bCs/>
                <w:sz w:val="22"/>
                <w:szCs w:val="22"/>
                <w:highlight w:val="none"/>
                <w:lang w:eastAsia="zh-CN"/>
              </w:rPr>
              <w:t>标项</w:t>
            </w:r>
            <w:r>
              <w:rPr>
                <w:rFonts w:hint="eastAsia" w:ascii="微软雅黑" w:hAnsi="微软雅黑" w:eastAsia="微软雅黑" w:cs="微软雅黑"/>
                <w:b/>
                <w:bCs/>
                <w:sz w:val="22"/>
                <w:szCs w:val="22"/>
                <w:highlight w:val="none"/>
              </w:rPr>
              <w:t>（如有），并注明是投标保证金字样，如填写字数有要求可简写项目名称与</w:t>
            </w:r>
            <w:r>
              <w:rPr>
                <w:rFonts w:hint="eastAsia" w:ascii="微软雅黑" w:hAnsi="微软雅黑" w:eastAsia="微软雅黑" w:cs="微软雅黑"/>
                <w:b/>
                <w:bCs/>
                <w:sz w:val="22"/>
                <w:szCs w:val="22"/>
                <w:highlight w:val="none"/>
                <w:lang w:eastAsia="zh-CN"/>
              </w:rPr>
              <w:t>标项</w:t>
            </w:r>
            <w:r>
              <w:rPr>
                <w:rFonts w:hint="eastAsia" w:ascii="微软雅黑" w:hAnsi="微软雅黑" w:eastAsia="微软雅黑" w:cs="微软雅黑"/>
                <w:b/>
                <w:bCs/>
                <w:sz w:val="22"/>
                <w:szCs w:val="22"/>
                <w:highlight w:val="none"/>
              </w:rPr>
              <w:t>（如有），由于未按要求注明信息而导致的一切后果由供应商自行承担。</w:t>
            </w:r>
          </w:p>
          <w:p w14:paraId="25E3B811">
            <w:pPr>
              <w:spacing w:line="340" w:lineRule="exact"/>
              <w:jc w:val="left"/>
              <w:rPr>
                <w:rFonts w:hint="eastAsia" w:ascii="微软雅黑" w:hAnsi="微软雅黑" w:eastAsia="微软雅黑" w:cs="微软雅黑"/>
                <w:b/>
                <w:bCs/>
                <w:sz w:val="22"/>
                <w:szCs w:val="22"/>
                <w:highlight w:val="none"/>
              </w:rPr>
            </w:pPr>
            <w:r>
              <w:rPr>
                <w:rFonts w:hint="eastAsia" w:ascii="微软雅黑" w:hAnsi="微软雅黑" w:eastAsia="微软雅黑" w:cs="微软雅黑"/>
                <w:b/>
                <w:bCs/>
                <w:sz w:val="22"/>
                <w:szCs w:val="22"/>
                <w:highlight w:val="none"/>
              </w:rPr>
              <w:t>（2）供应商以保函形式提交投标保证金的，投标文件须放保函及“银行基本账户开户许可证”或“基本存款账户信息”复印件。以支票形式提供投标保证金的</w:t>
            </w:r>
            <w:r>
              <w:rPr>
                <w:rFonts w:hint="eastAsia" w:ascii="微软雅黑" w:hAnsi="微软雅黑" w:eastAsia="微软雅黑" w:cs="微软雅黑"/>
                <w:b/>
                <w:bCs/>
                <w:sz w:val="22"/>
                <w:szCs w:val="22"/>
                <w:highlight w:val="none"/>
                <w:lang w:eastAsia="zh-CN"/>
              </w:rPr>
              <w:t>，</w:t>
            </w:r>
            <w:r>
              <w:rPr>
                <w:rFonts w:hint="eastAsia" w:ascii="微软雅黑" w:hAnsi="微软雅黑" w:eastAsia="微软雅黑" w:cs="微软雅黑"/>
                <w:b/>
                <w:bCs/>
                <w:sz w:val="22"/>
                <w:szCs w:val="22"/>
                <w:highlight w:val="none"/>
              </w:rPr>
              <w:t>投标文件内须放支票复印件。</w:t>
            </w:r>
          </w:p>
          <w:p w14:paraId="774390C4">
            <w:pPr>
              <w:spacing w:line="340" w:lineRule="exact"/>
              <w:jc w:val="left"/>
              <w:rPr>
                <w:rFonts w:hint="eastAsia" w:ascii="微软雅黑" w:hAnsi="微软雅黑" w:eastAsia="微软雅黑" w:cs="微软雅黑"/>
                <w:b/>
                <w:bCs/>
                <w:sz w:val="22"/>
                <w:szCs w:val="22"/>
                <w:highlight w:val="none"/>
              </w:rPr>
            </w:pPr>
            <w:r>
              <w:rPr>
                <w:rFonts w:hint="eastAsia" w:ascii="微软雅黑" w:hAnsi="微软雅黑" w:eastAsia="微软雅黑" w:cs="微软雅黑"/>
                <w:b/>
                <w:bCs/>
                <w:sz w:val="22"/>
                <w:szCs w:val="22"/>
                <w:highlight w:val="none"/>
              </w:rPr>
              <w:t>B：退投标保证金：</w:t>
            </w:r>
          </w:p>
          <w:p w14:paraId="454860BE">
            <w:pPr>
              <w:spacing w:line="340" w:lineRule="exact"/>
              <w:jc w:val="left"/>
              <w:rPr>
                <w:rFonts w:hint="eastAsia" w:ascii="微软雅黑" w:hAnsi="微软雅黑" w:eastAsia="微软雅黑" w:cs="微软雅黑"/>
                <w:b/>
                <w:bCs/>
                <w:sz w:val="22"/>
                <w:szCs w:val="22"/>
                <w:highlight w:val="none"/>
              </w:rPr>
            </w:pPr>
            <w:r>
              <w:rPr>
                <w:rFonts w:hint="eastAsia" w:ascii="微软雅黑" w:hAnsi="微软雅黑" w:eastAsia="微软雅黑" w:cs="微软雅黑"/>
                <w:b/>
                <w:bCs/>
                <w:sz w:val="22"/>
                <w:szCs w:val="22"/>
                <w:highlight w:val="none"/>
              </w:rPr>
              <w:t>（1）根据中华人民共和国财政部令第87号--《政府采购货物和</w:t>
            </w:r>
            <w:r>
              <w:rPr>
                <w:rFonts w:hint="eastAsia" w:ascii="微软雅黑" w:hAnsi="微软雅黑" w:eastAsia="微软雅黑" w:cs="微软雅黑"/>
                <w:b/>
                <w:bCs/>
                <w:sz w:val="22"/>
                <w:szCs w:val="22"/>
                <w:highlight w:val="none"/>
                <w:lang w:val="en-US" w:eastAsia="zh-CN"/>
              </w:rPr>
              <w:t>服务</w:t>
            </w:r>
            <w:r>
              <w:rPr>
                <w:rFonts w:hint="eastAsia" w:ascii="微软雅黑" w:hAnsi="微软雅黑" w:eastAsia="微软雅黑" w:cs="微软雅黑"/>
                <w:b/>
                <w:bCs/>
                <w:sz w:val="22"/>
                <w:szCs w:val="22"/>
                <w:highlight w:val="none"/>
              </w:rPr>
              <w:t>招标投标管理办法》第三十八条供应商在投标截止时间前撤回已提交的投标文件的，采购人或者采购代理机构应当自收到供应商书面撤回通知之日起５个工作日内，退还已收取的投标保证金，但因供应商自身原因导致无法及时退还的除外。采购人或者采购代理机构应当自中标通知书发出之日起5个工作日内退还未中标供应商的投标保证金，自采购合同签订之日起5个工作日内退还中标供应商的投标保证金。</w:t>
            </w:r>
          </w:p>
          <w:p w14:paraId="6EE213B0">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left"/>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b/>
                <w:bCs/>
                <w:sz w:val="22"/>
                <w:szCs w:val="22"/>
                <w:highlight w:val="none"/>
              </w:rPr>
              <w:t>（2）</w:t>
            </w:r>
            <w:r>
              <w:rPr>
                <w:rFonts w:hint="eastAsia" w:ascii="微软雅黑" w:hAnsi="微软雅黑" w:eastAsia="微软雅黑" w:cs="微软雅黑"/>
                <w:sz w:val="20"/>
                <w:szCs w:val="22"/>
                <w:highlight w:val="none"/>
              </w:rPr>
              <w:fldChar w:fldCharType="begin"/>
            </w:r>
            <w:r>
              <w:rPr>
                <w:rFonts w:hint="eastAsia" w:ascii="微软雅黑" w:hAnsi="微软雅黑" w:eastAsia="微软雅黑" w:cs="微软雅黑"/>
                <w:sz w:val="20"/>
                <w:szCs w:val="22"/>
                <w:highlight w:val="none"/>
              </w:rPr>
              <w:instrText xml:space="preserve"> HYPERLINK "mailto:中标供应商的投标保证金在与采购单位签订合同后，把合同扫描件发送至邮箱3465165565@qq.com后，当日或次日即原账户退回。" </w:instrText>
            </w:r>
            <w:r>
              <w:rPr>
                <w:rFonts w:hint="eastAsia" w:ascii="微软雅黑" w:hAnsi="微软雅黑" w:eastAsia="微软雅黑" w:cs="微软雅黑"/>
                <w:sz w:val="20"/>
                <w:szCs w:val="22"/>
                <w:highlight w:val="none"/>
              </w:rPr>
              <w:fldChar w:fldCharType="separate"/>
            </w:r>
            <w:r>
              <w:rPr>
                <w:rFonts w:hint="eastAsia" w:ascii="微软雅黑" w:hAnsi="微软雅黑" w:eastAsia="微软雅黑" w:cs="微软雅黑"/>
                <w:b/>
                <w:bCs/>
                <w:sz w:val="22"/>
                <w:szCs w:val="22"/>
                <w:highlight w:val="none"/>
              </w:rPr>
              <w:t>中标供应商的投标保证金在与采购单位签订合同后，把合同扫描件发送至邮箱3465165565@qq.com后，当日或次日即原账户退回。</w:t>
            </w:r>
            <w:r>
              <w:rPr>
                <w:rFonts w:hint="eastAsia" w:ascii="微软雅黑" w:hAnsi="微软雅黑" w:eastAsia="微软雅黑" w:cs="微软雅黑"/>
                <w:b/>
                <w:bCs/>
                <w:sz w:val="22"/>
                <w:szCs w:val="22"/>
                <w:highlight w:val="none"/>
              </w:rPr>
              <w:fldChar w:fldCharType="end"/>
            </w:r>
          </w:p>
        </w:tc>
      </w:tr>
      <w:tr w14:paraId="721B46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378" w:type="dxa"/>
            <w:vAlign w:val="center"/>
          </w:tcPr>
          <w:p w14:paraId="1D5B74A2">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13.1</w:t>
            </w:r>
          </w:p>
        </w:tc>
        <w:tc>
          <w:tcPr>
            <w:tcW w:w="7882" w:type="dxa"/>
            <w:vAlign w:val="center"/>
          </w:tcPr>
          <w:p w14:paraId="3B62B2DA">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投标有效期：</w:t>
            </w:r>
            <w:r>
              <w:rPr>
                <w:rFonts w:hint="eastAsia" w:ascii="微软雅黑" w:hAnsi="微软雅黑" w:eastAsia="微软雅黑" w:cs="微软雅黑"/>
                <w:color w:val="auto"/>
                <w:sz w:val="22"/>
                <w:szCs w:val="22"/>
                <w:highlight w:val="none"/>
                <w:u w:val="single"/>
              </w:rPr>
              <w:t>　</w:t>
            </w:r>
            <w:r>
              <w:rPr>
                <w:rFonts w:hint="eastAsia" w:ascii="微软雅黑" w:hAnsi="微软雅黑" w:eastAsia="微软雅黑" w:cs="微软雅黑"/>
                <w:color w:val="auto"/>
                <w:sz w:val="22"/>
                <w:szCs w:val="22"/>
                <w:highlight w:val="none"/>
                <w:u w:val="single"/>
                <w:lang w:val="en-US" w:eastAsia="zh-CN"/>
              </w:rPr>
              <w:t>90</w:t>
            </w:r>
            <w:r>
              <w:rPr>
                <w:rFonts w:hint="eastAsia" w:ascii="微软雅黑" w:hAnsi="微软雅黑" w:eastAsia="微软雅黑" w:cs="微软雅黑"/>
                <w:color w:val="auto"/>
                <w:sz w:val="22"/>
                <w:szCs w:val="22"/>
                <w:highlight w:val="none"/>
                <w:u w:val="single"/>
              </w:rPr>
              <w:t>　</w:t>
            </w:r>
            <w:r>
              <w:rPr>
                <w:rFonts w:hint="eastAsia" w:ascii="微软雅黑" w:hAnsi="微软雅黑" w:eastAsia="微软雅黑" w:cs="微软雅黑"/>
                <w:color w:val="auto"/>
                <w:sz w:val="22"/>
                <w:szCs w:val="22"/>
                <w:highlight w:val="none"/>
              </w:rPr>
              <w:t>日历日</w:t>
            </w:r>
          </w:p>
        </w:tc>
      </w:tr>
      <w:tr w14:paraId="393147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7" w:hRule="atLeast"/>
        </w:trPr>
        <w:tc>
          <w:tcPr>
            <w:tcW w:w="1378" w:type="dxa"/>
            <w:vAlign w:val="center"/>
          </w:tcPr>
          <w:p w14:paraId="16A116D0">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14.1</w:t>
            </w:r>
          </w:p>
        </w:tc>
        <w:tc>
          <w:tcPr>
            <w:tcW w:w="7882" w:type="dxa"/>
            <w:vAlign w:val="center"/>
          </w:tcPr>
          <w:p w14:paraId="431FAD11">
            <w:pPr>
              <w:keepNext w:val="0"/>
              <w:keepLines w:val="0"/>
              <w:pageBreakBefore w:val="0"/>
              <w:widowControl w:val="0"/>
              <w:kinsoku/>
              <w:wordWrap w:val="0"/>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auto"/>
                <w:sz w:val="22"/>
                <w:szCs w:val="22"/>
                <w:highlight w:val="none"/>
                <w:lang w:val="en-US" w:eastAsia="zh-CN"/>
              </w:rPr>
            </w:pPr>
            <w:r>
              <w:rPr>
                <w:rFonts w:hint="eastAsia" w:ascii="微软雅黑" w:hAnsi="微软雅黑" w:eastAsia="微软雅黑" w:cs="微软雅黑"/>
                <w:b/>
                <w:bCs/>
                <w:color w:val="auto"/>
                <w:sz w:val="22"/>
                <w:szCs w:val="22"/>
                <w:highlight w:val="none"/>
              </w:rPr>
              <w:t>（1）本项目为电子招投标，供应商需要使用CA加密设备，凡参加本项目必须可自主通过新疆CA申领渠道“新疆政务通”申请政采云平台可使用的CA设备，如原有兵团或公共资源使用的CA，可与新疆CA联系，申请增加电子证书即可，无需重复申领。如需咨询，请联系新疆CA服务热线</w:t>
            </w:r>
            <w:r>
              <w:rPr>
                <w:rFonts w:hint="eastAsia" w:ascii="微软雅黑" w:hAnsi="微软雅黑" w:eastAsia="微软雅黑" w:cs="微软雅黑"/>
                <w:b/>
                <w:bCs/>
                <w:color w:val="auto"/>
                <w:sz w:val="22"/>
                <w:szCs w:val="22"/>
                <w:highlight w:val="none"/>
                <w:lang w:val="en-US" w:eastAsia="zh-CN"/>
              </w:rPr>
              <w:t>95763</w:t>
            </w:r>
            <w:r>
              <w:rPr>
                <w:rFonts w:hint="eastAsia" w:ascii="微软雅黑" w:hAnsi="微软雅黑" w:eastAsia="微软雅黑" w:cs="微软雅黑"/>
                <w:b/>
                <w:bCs/>
                <w:color w:val="auto"/>
                <w:sz w:val="22"/>
                <w:szCs w:val="22"/>
                <w:highlight w:val="none"/>
              </w:rPr>
              <w:t>（喀什办理地点喀什东城喀什市行政审批局一楼企业服务专区数字证书窗口，联系电话15001465669）</w:t>
            </w:r>
            <w:r>
              <w:rPr>
                <w:rFonts w:hint="eastAsia" w:ascii="微软雅黑" w:hAnsi="微软雅黑" w:eastAsia="微软雅黑" w:cs="微软雅黑"/>
                <w:b/>
                <w:bCs/>
                <w:color w:val="auto"/>
                <w:sz w:val="22"/>
                <w:szCs w:val="22"/>
                <w:highlight w:val="none"/>
                <w:lang w:eastAsia="zh-CN"/>
              </w:rPr>
              <w:t>。</w:t>
            </w:r>
          </w:p>
          <w:p w14:paraId="2328DB52">
            <w:pPr>
              <w:keepNext w:val="0"/>
              <w:keepLines w:val="0"/>
              <w:pageBreakBefore w:val="0"/>
              <w:widowControl w:val="0"/>
              <w:kinsoku/>
              <w:wordWrap w:val="0"/>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（2）本项目实行网上投标，采用电子投标文件(供应商须使用CA加密设备通过政采云电子投标客户端制作投标文件)。若供应商参与投标，自行承担投标一切费用。</w:t>
            </w:r>
          </w:p>
          <w:p w14:paraId="73D0FB7B">
            <w:pPr>
              <w:keepNext w:val="0"/>
              <w:keepLines w:val="0"/>
              <w:pageBreakBefore w:val="0"/>
              <w:widowControl w:val="0"/>
              <w:kinsoku/>
              <w:wordWrap w:val="0"/>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（3）各供应商应在开标前应确保成为新疆政府采购网正式注册入库供应商，并完成CA数字证书申领。因未注册入库、未办理CA数字证书等原因造成无法投标或投标失败等后果由供应商自行承担。</w:t>
            </w:r>
          </w:p>
          <w:p w14:paraId="34D19004">
            <w:pPr>
              <w:keepNext w:val="0"/>
              <w:keepLines w:val="0"/>
              <w:pageBreakBefore w:val="0"/>
              <w:widowControl w:val="0"/>
              <w:kinsoku/>
              <w:wordWrap w:val="0"/>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4）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95763进行咨询。</w:t>
            </w:r>
          </w:p>
          <w:p w14:paraId="11B6930C">
            <w:pPr>
              <w:keepNext w:val="0"/>
              <w:keepLines w:val="0"/>
              <w:pageBreakBefore w:val="0"/>
              <w:widowControl w:val="0"/>
              <w:kinsoku/>
              <w:wordWrap w:val="0"/>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（5）供应商在开标时须使用制作加密电子投标文件所使用的CA锁及电脑，电脑须提前配置好浏览器（建议使用360浏览器或谷歌浏览器），以便开标时解锁。</w:t>
            </w:r>
          </w:p>
          <w:p w14:paraId="5A52EF9B">
            <w:pPr>
              <w:keepNext w:val="0"/>
              <w:keepLines w:val="0"/>
              <w:pageBreakBefore w:val="0"/>
              <w:widowControl w:val="0"/>
              <w:kinsoku/>
              <w:wordWrap w:val="0"/>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（6）投标保证金缴纳及确认时间：凡拟参加本次招标项目的供应商，必须在开标前将投标保证金汇入指定账户。否则，届时其投标将被拒绝。</w:t>
            </w:r>
          </w:p>
          <w:p w14:paraId="0C6DBDCB">
            <w:pPr>
              <w:keepNext w:val="0"/>
              <w:keepLines w:val="0"/>
              <w:pageBreakBefore w:val="0"/>
              <w:widowControl w:val="0"/>
              <w:kinsoku/>
              <w:wordWrap w:val="0"/>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7）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网超供应商服务二十群：35547618（如已加入1-19群，无需重复加入），钉钉工具软件具有回放功能，直播培训结束后可在钉钉群中回放观看学习。</w:t>
            </w:r>
          </w:p>
          <w:p w14:paraId="37931053">
            <w:pPr>
              <w:keepNext w:val="0"/>
              <w:keepLines w:val="0"/>
              <w:pageBreakBefore w:val="0"/>
              <w:widowControl w:val="0"/>
              <w:shd w:val="clear"/>
              <w:kinsoku/>
              <w:wordWrap w:val="0"/>
              <w:overflowPunct/>
              <w:topLinePunct w:val="0"/>
              <w:autoSpaceDE/>
              <w:autoSpaceDN/>
              <w:bidi w:val="0"/>
              <w:adjustRightInd/>
              <w:snapToGrid/>
              <w:spacing w:beforeAutospacing="0" w:afterAutospacing="0" w:line="400" w:lineRule="exact"/>
              <w:jc w:val="left"/>
              <w:textAlignment w:val="auto"/>
              <w:rPr>
                <w:rFonts w:hint="eastAsia" w:ascii="微软雅黑" w:hAnsi="微软雅黑" w:eastAsia="微软雅黑" w:cs="微软雅黑"/>
                <w:b/>
                <w:bCs/>
                <w:color w:val="auto"/>
                <w:sz w:val="22"/>
                <w:szCs w:val="22"/>
                <w:highlight w:val="none"/>
                <w:lang w:val="en-US" w:eastAsia="zh-CN"/>
              </w:rPr>
            </w:pPr>
            <w:r>
              <w:rPr>
                <w:rFonts w:hint="eastAsia" w:ascii="微软雅黑" w:hAnsi="微软雅黑" w:eastAsia="微软雅黑" w:cs="微软雅黑"/>
                <w:b/>
                <w:bCs/>
                <w:color w:val="auto"/>
                <w:sz w:val="22"/>
                <w:szCs w:val="22"/>
                <w:highlight w:val="none"/>
                <w:lang w:val="en-US" w:eastAsia="zh-CN"/>
              </w:rPr>
              <w:t>（8）各供应商须在投标截止时间前完成在系统上递交电子投标文件。投标供应商的电子投标文件是经过CA证书加密后上传提交的，任何单位或个人均无法在投标截止时间(即投标时间)之前查看或篡改，不存在泄密风险。（严格按照政采云电子投标流程制作并上传完整版的电子投标文件后缀为.jmbs，包含第一部分开标一览表及资格证明文件、第二部分商务及技术文件）</w:t>
            </w:r>
          </w:p>
          <w:p w14:paraId="28BE0A22">
            <w:pPr>
              <w:keepNext w:val="0"/>
              <w:keepLines w:val="0"/>
              <w:pageBreakBefore w:val="0"/>
              <w:widowControl w:val="0"/>
              <w:shd w:val="clear"/>
              <w:kinsoku/>
              <w:wordWrap w:val="0"/>
              <w:overflowPunct/>
              <w:topLinePunct w:val="0"/>
              <w:autoSpaceDE/>
              <w:autoSpaceDN/>
              <w:bidi w:val="0"/>
              <w:adjustRightInd/>
              <w:snapToGrid/>
              <w:spacing w:beforeAutospacing="0" w:afterAutospacing="0" w:line="400" w:lineRule="exact"/>
              <w:jc w:val="left"/>
              <w:textAlignment w:val="auto"/>
              <w:rPr>
                <w:rFonts w:hint="eastAsia" w:ascii="微软雅黑" w:hAnsi="微软雅黑" w:eastAsia="微软雅黑" w:cs="微软雅黑"/>
                <w:b/>
                <w:bCs/>
                <w:color w:val="auto"/>
                <w:sz w:val="22"/>
                <w:szCs w:val="22"/>
                <w:highlight w:val="none"/>
                <w:lang w:val="en-US" w:eastAsia="zh-CN"/>
              </w:rPr>
            </w:pPr>
            <w:r>
              <w:rPr>
                <w:rFonts w:hint="eastAsia" w:ascii="微软雅黑" w:hAnsi="微软雅黑" w:eastAsia="微软雅黑" w:cs="微软雅黑"/>
                <w:b/>
                <w:bCs/>
                <w:color w:val="auto"/>
                <w:sz w:val="22"/>
                <w:szCs w:val="22"/>
                <w:highlight w:val="none"/>
                <w:lang w:val="en-US" w:eastAsia="zh-CN"/>
              </w:rPr>
              <w:t>（9）各供应商应完整地按招标文件提供的投标文件格式及要求编写投标文件，根据平台关联点上传对应佐证资料，投标文件应包括“开标一览表及资格证明文件”和“商务及技术文件”两部分，两部分合并成完整一册上传至政采云平台。</w:t>
            </w:r>
          </w:p>
          <w:p w14:paraId="5F0BBE4B">
            <w:pPr>
              <w:pStyle w:val="25"/>
              <w:keepNext w:val="0"/>
              <w:keepLines w:val="0"/>
              <w:pageBreakBefore w:val="0"/>
              <w:widowControl w:val="0"/>
              <w:kinsoku/>
              <w:wordWrap w:val="0"/>
              <w:overflowPunct/>
              <w:topLinePunct w:val="0"/>
              <w:autoSpaceDE/>
              <w:autoSpaceDN/>
              <w:bidi w:val="0"/>
              <w:adjustRightInd/>
              <w:snapToGrid/>
              <w:spacing w:line="340" w:lineRule="exact"/>
              <w:textAlignment w:val="auto"/>
              <w:rPr>
                <w:rFonts w:hint="eastAsia" w:ascii="微软雅黑" w:hAnsi="微软雅黑" w:eastAsia="微软雅黑" w:cs="微软雅黑"/>
                <w:color w:val="auto"/>
                <w:sz w:val="16"/>
                <w:szCs w:val="22"/>
                <w:highlight w:val="none"/>
              </w:rPr>
            </w:pPr>
            <w:r>
              <w:rPr>
                <w:rFonts w:hint="eastAsia" w:ascii="微软雅黑" w:hAnsi="微软雅黑" w:eastAsia="微软雅黑" w:cs="微软雅黑"/>
                <w:b/>
                <w:bCs/>
                <w:color w:val="auto"/>
                <w:sz w:val="22"/>
                <w:szCs w:val="22"/>
                <w:highlight w:val="none"/>
                <w:lang w:val="en-US" w:eastAsia="zh-CN"/>
              </w:rPr>
              <w:t>（10）解密时长为30分钟，超出解密时长，作无效投标处理。</w:t>
            </w:r>
          </w:p>
        </w:tc>
      </w:tr>
      <w:tr w14:paraId="6F388C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7" w:hRule="atLeast"/>
        </w:trPr>
        <w:tc>
          <w:tcPr>
            <w:tcW w:w="1378" w:type="dxa"/>
            <w:vAlign w:val="center"/>
          </w:tcPr>
          <w:p w14:paraId="3ADEF4A6">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16.1</w:t>
            </w:r>
          </w:p>
        </w:tc>
        <w:tc>
          <w:tcPr>
            <w:tcW w:w="7882" w:type="dxa"/>
            <w:vAlign w:val="center"/>
          </w:tcPr>
          <w:p w14:paraId="4D6318AC">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投标截止时间：</w:t>
            </w:r>
            <w:r>
              <w:rPr>
                <w:rFonts w:hint="eastAsia" w:ascii="微软雅黑" w:hAnsi="微软雅黑" w:eastAsia="微软雅黑" w:cs="微软雅黑"/>
                <w:b/>
                <w:bCs/>
                <w:color w:val="auto"/>
                <w:sz w:val="22"/>
                <w:szCs w:val="22"/>
                <w:highlight w:val="none"/>
                <w:u w:val="single"/>
                <w:lang w:val="en-US" w:eastAsia="zh-CN"/>
              </w:rPr>
              <w:t>2025年07月08日</w:t>
            </w:r>
            <w:r>
              <w:rPr>
                <w:rFonts w:hint="eastAsia" w:ascii="微软雅黑" w:hAnsi="微软雅黑" w:eastAsia="微软雅黑" w:cs="微软雅黑"/>
                <w:b/>
                <w:bCs/>
                <w:color w:val="auto"/>
                <w:sz w:val="22"/>
                <w:szCs w:val="22"/>
                <w:highlight w:val="none"/>
                <w:u w:val="single"/>
              </w:rPr>
              <w:t>1</w:t>
            </w:r>
            <w:r>
              <w:rPr>
                <w:rFonts w:hint="eastAsia" w:ascii="微软雅黑" w:hAnsi="微软雅黑" w:eastAsia="微软雅黑" w:cs="微软雅黑"/>
                <w:b/>
                <w:bCs/>
                <w:color w:val="auto"/>
                <w:sz w:val="22"/>
                <w:szCs w:val="22"/>
                <w:highlight w:val="none"/>
                <w:u w:val="single"/>
                <w:lang w:val="en-US" w:eastAsia="zh-CN"/>
              </w:rPr>
              <w:t>1</w:t>
            </w:r>
            <w:r>
              <w:rPr>
                <w:rFonts w:hint="eastAsia" w:ascii="微软雅黑" w:hAnsi="微软雅黑" w:eastAsia="微软雅黑" w:cs="微软雅黑"/>
                <w:b/>
                <w:bCs/>
                <w:color w:val="auto"/>
                <w:sz w:val="22"/>
                <w:szCs w:val="22"/>
                <w:highlight w:val="none"/>
                <w:u w:val="single"/>
              </w:rPr>
              <w:t>:00（北京时间）</w:t>
            </w:r>
          </w:p>
        </w:tc>
      </w:tr>
      <w:tr w14:paraId="0CDA07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0" w:hRule="atLeast"/>
        </w:trPr>
        <w:tc>
          <w:tcPr>
            <w:tcW w:w="1378" w:type="dxa"/>
            <w:vAlign w:val="center"/>
          </w:tcPr>
          <w:p w14:paraId="10000A35">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18.1</w:t>
            </w:r>
          </w:p>
        </w:tc>
        <w:tc>
          <w:tcPr>
            <w:tcW w:w="7882" w:type="dxa"/>
            <w:vAlign w:val="center"/>
          </w:tcPr>
          <w:p w14:paraId="02E00CB3">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auto"/>
                <w:sz w:val="22"/>
                <w:szCs w:val="22"/>
                <w:highlight w:val="none"/>
                <w:u w:val="single"/>
                <w:lang w:eastAsia="zh-CN"/>
              </w:rPr>
            </w:pPr>
            <w:r>
              <w:rPr>
                <w:rFonts w:hint="eastAsia" w:ascii="微软雅黑" w:hAnsi="微软雅黑" w:eastAsia="微软雅黑" w:cs="微软雅黑"/>
                <w:color w:val="auto"/>
                <w:sz w:val="22"/>
                <w:szCs w:val="22"/>
                <w:highlight w:val="none"/>
              </w:rPr>
              <w:t>开标时间：</w:t>
            </w:r>
            <w:r>
              <w:rPr>
                <w:rFonts w:hint="eastAsia" w:ascii="微软雅黑" w:hAnsi="微软雅黑" w:eastAsia="微软雅黑" w:cs="微软雅黑"/>
                <w:b/>
                <w:bCs/>
                <w:color w:val="auto"/>
                <w:sz w:val="22"/>
                <w:szCs w:val="22"/>
                <w:highlight w:val="none"/>
                <w:u w:val="single"/>
                <w:lang w:val="en-US" w:eastAsia="zh-CN"/>
              </w:rPr>
              <w:t>2025年07月08日</w:t>
            </w:r>
            <w:r>
              <w:rPr>
                <w:rFonts w:hint="eastAsia" w:ascii="微软雅黑" w:hAnsi="微软雅黑" w:eastAsia="微软雅黑" w:cs="微软雅黑"/>
                <w:b/>
                <w:bCs/>
                <w:color w:val="auto"/>
                <w:sz w:val="22"/>
                <w:szCs w:val="22"/>
                <w:highlight w:val="none"/>
                <w:u w:val="single"/>
                <w:lang w:eastAsia="zh-CN"/>
              </w:rPr>
              <w:t>1</w:t>
            </w:r>
            <w:r>
              <w:rPr>
                <w:rFonts w:hint="eastAsia" w:ascii="微软雅黑" w:hAnsi="微软雅黑" w:eastAsia="微软雅黑" w:cs="微软雅黑"/>
                <w:b/>
                <w:bCs/>
                <w:color w:val="auto"/>
                <w:sz w:val="22"/>
                <w:szCs w:val="22"/>
                <w:highlight w:val="none"/>
                <w:u w:val="single"/>
                <w:lang w:val="en-US" w:eastAsia="zh-CN"/>
              </w:rPr>
              <w:t>1</w:t>
            </w:r>
            <w:r>
              <w:rPr>
                <w:rFonts w:hint="eastAsia" w:ascii="微软雅黑" w:hAnsi="微软雅黑" w:eastAsia="微软雅黑" w:cs="微软雅黑"/>
                <w:b/>
                <w:bCs/>
                <w:color w:val="auto"/>
                <w:sz w:val="22"/>
                <w:szCs w:val="22"/>
                <w:highlight w:val="none"/>
                <w:u w:val="single"/>
                <w:lang w:eastAsia="zh-CN"/>
              </w:rPr>
              <w:t>:00（北京时间）</w:t>
            </w:r>
          </w:p>
          <w:p w14:paraId="653ADA34">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rPr>
              <w:t>开标地点：</w:t>
            </w:r>
            <w:r>
              <w:rPr>
                <w:rFonts w:hint="eastAsia" w:ascii="微软雅黑" w:hAnsi="微软雅黑" w:eastAsia="微软雅黑" w:cs="微软雅黑"/>
                <w:b/>
                <w:bCs/>
                <w:color w:val="auto"/>
                <w:sz w:val="22"/>
                <w:szCs w:val="22"/>
                <w:highlight w:val="none"/>
                <w:u w:val="single"/>
              </w:rPr>
              <w:t>投标人登录政采云平台https://www.zcygov.cn/，进入“项目采购-开标评标-右边选择对应项目点击“进入项目”进入开标大厅。</w:t>
            </w:r>
          </w:p>
        </w:tc>
      </w:tr>
      <w:tr w14:paraId="0D2901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6" w:hRule="atLeast"/>
        </w:trPr>
        <w:tc>
          <w:tcPr>
            <w:tcW w:w="1378" w:type="dxa"/>
            <w:vAlign w:val="center"/>
          </w:tcPr>
          <w:p w14:paraId="343B2340">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20.4</w:t>
            </w:r>
          </w:p>
        </w:tc>
        <w:tc>
          <w:tcPr>
            <w:tcW w:w="7882" w:type="dxa"/>
            <w:vAlign w:val="center"/>
          </w:tcPr>
          <w:p w14:paraId="3C831DE0">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核心产品:</w:t>
            </w:r>
          </w:p>
          <w:p w14:paraId="3A9B0AB1">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auto"/>
                <w:sz w:val="22"/>
                <w:szCs w:val="22"/>
                <w:highlight w:val="none"/>
                <w:lang w:eastAsia="zh-CN"/>
              </w:rPr>
            </w:pPr>
            <w:r>
              <w:rPr>
                <w:rFonts w:hint="eastAsia" w:ascii="微软雅黑" w:hAnsi="微软雅黑" w:eastAsia="微软雅黑" w:cs="微软雅黑"/>
                <w:b/>
                <w:bCs/>
                <w:color w:val="auto"/>
                <w:sz w:val="22"/>
                <w:szCs w:val="22"/>
                <w:highlight w:val="none"/>
                <w:lang w:val="en-US" w:eastAsia="zh-CN"/>
              </w:rPr>
              <w:t>标项二</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钬激光碎石系统</w:t>
            </w:r>
          </w:p>
          <w:p w14:paraId="3679D752">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b/>
                <w:bCs/>
                <w:color w:val="auto"/>
                <w:sz w:val="22"/>
                <w:szCs w:val="22"/>
                <w:highlight w:val="none"/>
              </w:rPr>
              <w:t>(备注:本项目使用综合评分法，提供相同品牌产品且通过资格审查、符合性审查的不同投标人，多家投标人提供的核心产品品牌相同的，按投标人须知第 20.4条规定处理。)</w:t>
            </w:r>
          </w:p>
        </w:tc>
      </w:tr>
      <w:tr w14:paraId="36D530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7" w:hRule="atLeast"/>
        </w:trPr>
        <w:tc>
          <w:tcPr>
            <w:tcW w:w="1378" w:type="dxa"/>
            <w:vAlign w:val="center"/>
          </w:tcPr>
          <w:p w14:paraId="5E5DAADD">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23.2</w:t>
            </w:r>
          </w:p>
        </w:tc>
        <w:tc>
          <w:tcPr>
            <w:tcW w:w="7882" w:type="dxa"/>
            <w:vAlign w:val="center"/>
          </w:tcPr>
          <w:p w14:paraId="7BF0A29B">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i/>
                <w:color w:val="auto"/>
                <w:sz w:val="22"/>
                <w:szCs w:val="22"/>
                <w:highlight w:val="none"/>
              </w:rPr>
            </w:pPr>
            <w:r>
              <w:rPr>
                <w:rFonts w:hint="eastAsia" w:ascii="微软雅黑" w:hAnsi="微软雅黑" w:eastAsia="微软雅黑" w:cs="微软雅黑"/>
                <w:color w:val="auto"/>
                <w:sz w:val="22"/>
                <w:szCs w:val="22"/>
                <w:highlight w:val="none"/>
              </w:rPr>
              <w:t>评标方法：适用</w:t>
            </w:r>
            <w:r>
              <w:rPr>
                <w:rFonts w:hint="eastAsia" w:ascii="微软雅黑" w:hAnsi="微软雅黑" w:eastAsia="微软雅黑" w:cs="微软雅黑"/>
                <w:color w:val="auto"/>
                <w:sz w:val="22"/>
                <w:szCs w:val="22"/>
                <w:highlight w:val="none"/>
                <w:u w:val="single"/>
              </w:rPr>
              <w:t>　综合评分法　</w:t>
            </w:r>
            <w:r>
              <w:rPr>
                <w:rFonts w:hint="eastAsia" w:ascii="微软雅黑" w:hAnsi="微软雅黑" w:eastAsia="微软雅黑" w:cs="微软雅黑"/>
                <w:color w:val="auto"/>
                <w:sz w:val="22"/>
                <w:szCs w:val="22"/>
                <w:highlight w:val="none"/>
              </w:rPr>
              <w:t>　　　　　</w:t>
            </w:r>
          </w:p>
        </w:tc>
      </w:tr>
      <w:tr w14:paraId="4C7E00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7" w:hRule="atLeast"/>
        </w:trPr>
        <w:tc>
          <w:tcPr>
            <w:tcW w:w="1378" w:type="dxa"/>
            <w:vAlign w:val="center"/>
          </w:tcPr>
          <w:p w14:paraId="15459E4C">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27</w:t>
            </w:r>
          </w:p>
        </w:tc>
        <w:tc>
          <w:tcPr>
            <w:tcW w:w="7882" w:type="dxa"/>
            <w:vAlign w:val="center"/>
          </w:tcPr>
          <w:p w14:paraId="6A76C395">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推荐中标候选供应商的数量：</w:t>
            </w:r>
            <w:r>
              <w:rPr>
                <w:rFonts w:hint="eastAsia" w:ascii="微软雅黑" w:hAnsi="微软雅黑" w:eastAsia="微软雅黑" w:cs="微软雅黑"/>
                <w:color w:val="auto"/>
                <w:sz w:val="22"/>
                <w:szCs w:val="22"/>
                <w:highlight w:val="none"/>
                <w:u w:val="single"/>
              </w:rPr>
              <w:t>　  3 　　</w:t>
            </w:r>
          </w:p>
        </w:tc>
      </w:tr>
      <w:tr w14:paraId="115621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7" w:hRule="atLeast"/>
        </w:trPr>
        <w:tc>
          <w:tcPr>
            <w:tcW w:w="1378" w:type="dxa"/>
            <w:vAlign w:val="center"/>
          </w:tcPr>
          <w:p w14:paraId="768A6479">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27</w:t>
            </w:r>
          </w:p>
        </w:tc>
        <w:tc>
          <w:tcPr>
            <w:tcW w:w="7882" w:type="dxa"/>
            <w:vAlign w:val="center"/>
          </w:tcPr>
          <w:p w14:paraId="5AFE0D65">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eastAsia="zh-CN"/>
              </w:rPr>
              <w:t>采购人</w:t>
            </w:r>
            <w:r>
              <w:rPr>
                <w:rFonts w:hint="eastAsia" w:ascii="微软雅黑" w:hAnsi="微软雅黑" w:eastAsia="微软雅黑" w:cs="微软雅黑"/>
                <w:color w:val="auto"/>
                <w:sz w:val="22"/>
                <w:szCs w:val="22"/>
                <w:highlight w:val="none"/>
              </w:rPr>
              <w:t>是否委托评标委员会直接确定中标人：</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u w:val="single"/>
                <w:lang w:eastAsia="zh-CN"/>
              </w:rPr>
              <w:t>否</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 xml:space="preserve"> </w:t>
            </w:r>
            <w:r>
              <w:rPr>
                <w:rFonts w:hint="eastAsia" w:ascii="微软雅黑" w:hAnsi="微软雅黑" w:eastAsia="微软雅黑" w:cs="微软雅黑"/>
                <w:i/>
                <w:color w:val="auto"/>
                <w:sz w:val="22"/>
                <w:szCs w:val="22"/>
                <w:highlight w:val="none"/>
              </w:rPr>
              <w:t>（是、否）</w:t>
            </w:r>
          </w:p>
        </w:tc>
      </w:tr>
      <w:tr w14:paraId="78F956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378" w:type="dxa"/>
            <w:vAlign w:val="center"/>
          </w:tcPr>
          <w:p w14:paraId="5B919A13">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31.1</w:t>
            </w:r>
          </w:p>
        </w:tc>
        <w:tc>
          <w:tcPr>
            <w:tcW w:w="7882" w:type="dxa"/>
            <w:vAlign w:val="center"/>
          </w:tcPr>
          <w:p w14:paraId="129024D9">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履约保证金金额：合同总价的</w:t>
            </w:r>
            <w:r>
              <w:rPr>
                <w:rFonts w:hint="eastAsia" w:ascii="微软雅黑" w:hAnsi="微软雅黑" w:eastAsia="微软雅黑" w:cs="微软雅黑"/>
                <w:color w:val="auto"/>
                <w:sz w:val="22"/>
                <w:szCs w:val="22"/>
                <w:highlight w:val="none"/>
                <w:u w:val="single"/>
              </w:rPr>
              <w:t>　</w:t>
            </w:r>
            <w:r>
              <w:rPr>
                <w:rFonts w:hint="eastAsia" w:ascii="微软雅黑" w:hAnsi="微软雅黑" w:eastAsia="微软雅黑" w:cs="微软雅黑"/>
                <w:color w:val="auto"/>
                <w:sz w:val="22"/>
                <w:szCs w:val="22"/>
                <w:highlight w:val="none"/>
                <w:u w:val="single"/>
                <w:lang w:val="en-US" w:eastAsia="zh-CN"/>
              </w:rPr>
              <w:t>5</w:t>
            </w:r>
            <w:r>
              <w:rPr>
                <w:rFonts w:hint="eastAsia" w:ascii="微软雅黑" w:hAnsi="微软雅黑" w:eastAsia="微软雅黑" w:cs="微软雅黑"/>
                <w:color w:val="auto"/>
                <w:sz w:val="22"/>
                <w:szCs w:val="22"/>
                <w:highlight w:val="none"/>
                <w:u w:val="single"/>
              </w:rPr>
              <w:t>%　</w:t>
            </w:r>
            <w:r>
              <w:rPr>
                <w:rFonts w:hint="eastAsia" w:ascii="微软雅黑" w:hAnsi="微软雅黑" w:eastAsia="微软雅黑" w:cs="微软雅黑"/>
                <w:color w:val="auto"/>
                <w:sz w:val="22"/>
                <w:szCs w:val="22"/>
                <w:highlight w:val="none"/>
              </w:rPr>
              <w:t>（不得超过政府采购合同金额的10%）</w:t>
            </w:r>
          </w:p>
          <w:p w14:paraId="6A0468DF">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履约保证金形式：</w:t>
            </w:r>
            <w:r>
              <w:rPr>
                <w:rFonts w:hint="eastAsia" w:ascii="微软雅黑" w:hAnsi="微软雅黑" w:eastAsia="微软雅黑" w:cs="微软雅黑"/>
                <w:color w:val="auto"/>
                <w:sz w:val="22"/>
                <w:szCs w:val="22"/>
                <w:highlight w:val="none"/>
                <w:u w:val="single"/>
              </w:rPr>
              <w:t>☑保函  ☑电汇  ☑支票  ☑对公转账  ☑汇票  ☑本票</w:t>
            </w:r>
          </w:p>
          <w:p w14:paraId="6964FE43">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rPr>
              <w:t>提交履约保证金的时间：签订合同前</w:t>
            </w:r>
            <w:r>
              <w:rPr>
                <w:rFonts w:hint="eastAsia" w:ascii="微软雅黑" w:hAnsi="微软雅黑" w:eastAsia="微软雅黑" w:cs="微软雅黑"/>
                <w:color w:val="auto"/>
                <w:sz w:val="22"/>
                <w:szCs w:val="22"/>
                <w:highlight w:val="none"/>
                <w:lang w:val="en-US" w:eastAsia="zh-CN"/>
              </w:rPr>
              <w:t xml:space="preserve"> </w:t>
            </w:r>
          </w:p>
          <w:p w14:paraId="5BAE68D6">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注：</w:t>
            </w:r>
            <w:r>
              <w:rPr>
                <w:rFonts w:hint="eastAsia" w:ascii="微软雅黑" w:hAnsi="微软雅黑" w:eastAsia="微软雅黑" w:cs="微软雅黑"/>
                <w:color w:val="auto"/>
                <w:sz w:val="22"/>
                <w:szCs w:val="22"/>
                <w:highlight w:val="none"/>
                <w:lang w:val="zh-CN"/>
              </w:rPr>
              <w:t>双方可以通过协商另行约定其他退还时间和方式及用途。</w:t>
            </w:r>
          </w:p>
        </w:tc>
      </w:tr>
      <w:tr w14:paraId="1F69B0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6" w:hRule="atLeast"/>
        </w:trPr>
        <w:tc>
          <w:tcPr>
            <w:tcW w:w="1378" w:type="dxa"/>
            <w:vAlign w:val="center"/>
          </w:tcPr>
          <w:p w14:paraId="0D757399">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32</w:t>
            </w:r>
          </w:p>
        </w:tc>
        <w:tc>
          <w:tcPr>
            <w:tcW w:w="7882" w:type="dxa"/>
            <w:vAlign w:val="center"/>
          </w:tcPr>
          <w:p w14:paraId="47F98CC9">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招标</w:t>
            </w:r>
            <w:r>
              <w:rPr>
                <w:rFonts w:hint="eastAsia" w:ascii="微软雅黑" w:hAnsi="微软雅黑" w:eastAsia="微软雅黑" w:cs="微软雅黑"/>
                <w:color w:val="auto"/>
                <w:sz w:val="22"/>
                <w:szCs w:val="22"/>
                <w:highlight w:val="none"/>
                <w:lang w:val="zh-CN"/>
              </w:rPr>
              <w:t>代理服务费：根据(发改价格[2015]299 号文件)，根据国家计委关于印发《招标代理服务收费管理暂行办法》的通知-计价格</w:t>
            </w:r>
            <w:r>
              <w:rPr>
                <w:rFonts w:hint="eastAsia" w:ascii="微软雅黑" w:hAnsi="微软雅黑" w:eastAsia="微软雅黑" w:cs="微软雅黑"/>
                <w:color w:val="auto"/>
                <w:sz w:val="22"/>
                <w:szCs w:val="22"/>
                <w:highlight w:val="none"/>
                <w:lang w:val="zh-CN" w:eastAsia="zh-CN"/>
              </w:rPr>
              <w:t>〔</w:t>
            </w:r>
            <w:r>
              <w:rPr>
                <w:rFonts w:hint="eastAsia" w:ascii="微软雅黑" w:hAnsi="微软雅黑" w:eastAsia="微软雅黑" w:cs="微软雅黑"/>
                <w:color w:val="auto"/>
                <w:sz w:val="22"/>
                <w:szCs w:val="22"/>
                <w:highlight w:val="none"/>
                <w:lang w:val="zh-CN"/>
              </w:rPr>
              <w:t>2002</w:t>
            </w:r>
            <w:r>
              <w:rPr>
                <w:rFonts w:hint="eastAsia" w:ascii="微软雅黑" w:hAnsi="微软雅黑" w:eastAsia="微软雅黑" w:cs="微软雅黑"/>
                <w:color w:val="auto"/>
                <w:sz w:val="22"/>
                <w:szCs w:val="22"/>
                <w:highlight w:val="none"/>
                <w:lang w:val="zh-CN" w:eastAsia="zh-CN"/>
              </w:rPr>
              <w:t>〕</w:t>
            </w:r>
            <w:r>
              <w:rPr>
                <w:rFonts w:hint="eastAsia" w:ascii="微软雅黑" w:hAnsi="微软雅黑" w:eastAsia="微软雅黑" w:cs="微软雅黑"/>
                <w:color w:val="auto"/>
                <w:sz w:val="22"/>
                <w:szCs w:val="22"/>
                <w:highlight w:val="none"/>
                <w:lang w:val="zh-CN"/>
              </w:rPr>
              <w:t>1980号文件为参考，按差额定率累进法计算，以</w:t>
            </w:r>
            <w:r>
              <w:rPr>
                <w:rFonts w:hint="eastAsia" w:ascii="微软雅黑" w:hAnsi="微软雅黑" w:eastAsia="微软雅黑" w:cs="微软雅黑"/>
                <w:color w:val="auto"/>
                <w:sz w:val="22"/>
                <w:szCs w:val="22"/>
                <w:highlight w:val="none"/>
                <w:lang w:val="en-US" w:eastAsia="zh-CN"/>
              </w:rPr>
              <w:t>各标项的</w:t>
            </w:r>
            <w:r>
              <w:rPr>
                <w:rFonts w:hint="eastAsia" w:ascii="微软雅黑" w:hAnsi="微软雅黑" w:eastAsia="微软雅黑" w:cs="微软雅黑"/>
                <w:color w:val="auto"/>
                <w:sz w:val="22"/>
                <w:szCs w:val="22"/>
                <w:highlight w:val="none"/>
                <w:lang w:val="zh-CN"/>
              </w:rPr>
              <w:t>中标价为计算基数，下浮20%收取代理服务费。</w:t>
            </w:r>
            <w:r>
              <w:rPr>
                <w:rFonts w:hint="eastAsia" w:ascii="微软雅黑" w:hAnsi="微软雅黑" w:eastAsia="微软雅黑" w:cs="微软雅黑"/>
                <w:color w:val="auto"/>
                <w:sz w:val="22"/>
                <w:szCs w:val="22"/>
                <w:highlight w:val="none"/>
                <w:lang w:val="en-US" w:eastAsia="zh-CN"/>
              </w:rPr>
              <w:t>（</w:t>
            </w:r>
            <w:r>
              <w:rPr>
                <w:rFonts w:hint="eastAsia" w:ascii="微软雅黑" w:hAnsi="微软雅黑" w:eastAsia="微软雅黑" w:cs="微软雅黑"/>
                <w:color w:val="auto"/>
                <w:sz w:val="22"/>
                <w:szCs w:val="22"/>
                <w:highlight w:val="none"/>
                <w:lang w:val="zh-CN" w:eastAsia="zh-CN"/>
              </w:rPr>
              <w:t>由</w:t>
            </w:r>
            <w:r>
              <w:rPr>
                <w:rFonts w:hint="eastAsia" w:ascii="微软雅黑" w:hAnsi="微软雅黑" w:eastAsia="微软雅黑" w:cs="微软雅黑"/>
                <w:color w:val="auto"/>
                <w:sz w:val="22"/>
                <w:szCs w:val="22"/>
                <w:highlight w:val="none"/>
                <w:lang w:val="en-US" w:eastAsia="zh-CN"/>
              </w:rPr>
              <w:t>中标</w:t>
            </w:r>
            <w:r>
              <w:rPr>
                <w:rFonts w:hint="eastAsia" w:ascii="微软雅黑" w:hAnsi="微软雅黑" w:eastAsia="微软雅黑" w:cs="微软雅黑"/>
                <w:color w:val="auto"/>
                <w:sz w:val="22"/>
                <w:szCs w:val="22"/>
                <w:highlight w:val="none"/>
                <w:lang w:val="zh-CN" w:eastAsia="zh-CN"/>
              </w:rPr>
              <w:t>供应商领取</w:t>
            </w:r>
            <w:r>
              <w:rPr>
                <w:rFonts w:hint="eastAsia" w:ascii="微软雅黑" w:hAnsi="微软雅黑" w:eastAsia="微软雅黑" w:cs="微软雅黑"/>
                <w:color w:val="auto"/>
                <w:sz w:val="22"/>
                <w:szCs w:val="22"/>
                <w:highlight w:val="none"/>
                <w:lang w:val="en-US" w:eastAsia="zh-CN"/>
              </w:rPr>
              <w:t>中标</w:t>
            </w:r>
            <w:r>
              <w:rPr>
                <w:rFonts w:hint="eastAsia" w:ascii="微软雅黑" w:hAnsi="微软雅黑" w:eastAsia="微软雅黑" w:cs="微软雅黑"/>
                <w:color w:val="auto"/>
                <w:sz w:val="22"/>
                <w:szCs w:val="22"/>
                <w:highlight w:val="none"/>
                <w:lang w:val="zh-CN" w:eastAsia="zh-CN"/>
              </w:rPr>
              <w:t>通知书时一次性支付</w:t>
            </w:r>
            <w:r>
              <w:rPr>
                <w:rFonts w:hint="eastAsia" w:ascii="微软雅黑" w:hAnsi="微软雅黑" w:eastAsia="微软雅黑" w:cs="微软雅黑"/>
                <w:color w:val="auto"/>
                <w:sz w:val="22"/>
                <w:szCs w:val="22"/>
                <w:highlight w:val="none"/>
                <w:lang w:val="en-US" w:eastAsia="zh-CN"/>
              </w:rPr>
              <w:t>）。</w:t>
            </w:r>
          </w:p>
          <w:p w14:paraId="073C4A32">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zh-CN"/>
              </w:rPr>
              <w:t>支付时间：领取</w:t>
            </w:r>
            <w:r>
              <w:rPr>
                <w:rFonts w:hint="eastAsia" w:ascii="微软雅黑" w:hAnsi="微软雅黑" w:eastAsia="微软雅黑" w:cs="微软雅黑"/>
                <w:color w:val="auto"/>
                <w:sz w:val="22"/>
                <w:szCs w:val="22"/>
                <w:highlight w:val="none"/>
                <w:lang w:val="en-US" w:eastAsia="zh-CN"/>
              </w:rPr>
              <w:t>中标</w:t>
            </w:r>
            <w:r>
              <w:rPr>
                <w:rFonts w:hint="eastAsia" w:ascii="微软雅黑" w:hAnsi="微软雅黑" w:eastAsia="微软雅黑" w:cs="微软雅黑"/>
                <w:color w:val="auto"/>
                <w:sz w:val="22"/>
                <w:szCs w:val="22"/>
                <w:highlight w:val="none"/>
                <w:lang w:val="zh-CN" w:eastAsia="zh-CN"/>
              </w:rPr>
              <w:t>通知书</w:t>
            </w:r>
            <w:r>
              <w:rPr>
                <w:rFonts w:hint="eastAsia" w:ascii="微软雅黑" w:hAnsi="微软雅黑" w:eastAsia="微软雅黑" w:cs="微软雅黑"/>
                <w:color w:val="auto"/>
                <w:sz w:val="22"/>
                <w:szCs w:val="22"/>
                <w:highlight w:val="none"/>
                <w:lang w:val="zh-CN"/>
              </w:rPr>
              <w:t>时</w:t>
            </w:r>
          </w:p>
        </w:tc>
      </w:tr>
      <w:tr w14:paraId="3FAB3A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7" w:hRule="atLeast"/>
        </w:trPr>
        <w:tc>
          <w:tcPr>
            <w:tcW w:w="1378" w:type="dxa"/>
            <w:vAlign w:val="center"/>
          </w:tcPr>
          <w:p w14:paraId="00FEF2D9">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33.1</w:t>
            </w:r>
          </w:p>
        </w:tc>
        <w:tc>
          <w:tcPr>
            <w:tcW w:w="7882" w:type="dxa"/>
            <w:vAlign w:val="center"/>
          </w:tcPr>
          <w:p w14:paraId="55034D2B">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本项目是否属于信用担保试点范围：</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u w:val="single"/>
                <w:lang w:val="en-US" w:eastAsia="zh-CN"/>
              </w:rPr>
              <w:t>是</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 xml:space="preserve"> </w:t>
            </w:r>
            <w:r>
              <w:rPr>
                <w:rFonts w:hint="eastAsia" w:ascii="微软雅黑" w:hAnsi="微软雅黑" w:eastAsia="微软雅黑" w:cs="微软雅黑"/>
                <w:i/>
                <w:color w:val="auto"/>
                <w:sz w:val="22"/>
                <w:szCs w:val="22"/>
                <w:highlight w:val="none"/>
              </w:rPr>
              <w:t>（是、否）</w:t>
            </w:r>
          </w:p>
        </w:tc>
      </w:tr>
    </w:tbl>
    <w:p w14:paraId="03D75F89">
      <w:pPr>
        <w:spacing w:line="240" w:lineRule="atLeast"/>
        <w:ind w:left="1080" w:leftChars="257" w:hanging="540"/>
        <w:rPr>
          <w:rFonts w:hint="eastAsia" w:ascii="微软雅黑" w:hAnsi="微软雅黑" w:eastAsia="微软雅黑" w:cs="微软雅黑"/>
          <w:color w:val="auto"/>
          <w:sz w:val="22"/>
          <w:szCs w:val="22"/>
          <w:highlight w:val="none"/>
        </w:rPr>
        <w:sectPr>
          <w:headerReference r:id="rId3" w:type="default"/>
          <w:footerReference r:id="rId4" w:type="default"/>
          <w:pgSz w:w="11906" w:h="16838"/>
          <w:pgMar w:top="1440" w:right="1797" w:bottom="1440" w:left="1797" w:header="851" w:footer="992" w:gutter="0"/>
          <w:pgBorders>
            <w:top w:val="none" w:sz="0" w:space="0"/>
            <w:left w:val="none" w:sz="0" w:space="0"/>
            <w:bottom w:val="none" w:sz="0" w:space="0"/>
            <w:right w:val="none" w:sz="0" w:space="0"/>
          </w:pgBorders>
          <w:pgNumType w:fmt="decimal" w:start="1"/>
          <w:cols w:space="720" w:num="1"/>
          <w:docGrid w:linePitch="312" w:charSpace="0"/>
        </w:sectPr>
      </w:pPr>
    </w:p>
    <w:p w14:paraId="387A7649">
      <w:pPr>
        <w:numPr>
          <w:ilvl w:val="0"/>
          <w:numId w:val="0"/>
        </w:numPr>
        <w:spacing w:line="440" w:lineRule="exact"/>
        <w:jc w:val="center"/>
        <w:outlineLvl w:val="0"/>
        <w:rPr>
          <w:rFonts w:hint="eastAsia" w:ascii="微软雅黑" w:hAnsi="微软雅黑" w:eastAsia="微软雅黑" w:cs="微软雅黑"/>
          <w:b/>
          <w:color w:val="auto"/>
          <w:sz w:val="28"/>
          <w:szCs w:val="28"/>
          <w:highlight w:val="none"/>
        </w:rPr>
      </w:pPr>
      <w:bookmarkStart w:id="1992" w:name="_Toc6037"/>
      <w:bookmarkStart w:id="1993" w:name="_Toc512937852"/>
      <w:bookmarkStart w:id="1994" w:name="_Toc27053"/>
      <w:bookmarkStart w:id="1995" w:name="_Toc15092"/>
      <w:r>
        <w:rPr>
          <w:rFonts w:hint="eastAsia" w:ascii="微软雅黑" w:hAnsi="微软雅黑" w:eastAsia="微软雅黑" w:cs="微软雅黑"/>
          <w:b/>
          <w:color w:val="auto"/>
          <w:kern w:val="2"/>
          <w:sz w:val="28"/>
          <w:szCs w:val="28"/>
          <w:highlight w:val="none"/>
          <w:lang w:val="en-US" w:eastAsia="zh-CN" w:bidi="ar-SA"/>
        </w:rPr>
        <w:t>第5章</w:t>
      </w:r>
      <w:r>
        <w:rPr>
          <w:rFonts w:hint="eastAsia" w:ascii="微软雅黑" w:hAnsi="微软雅黑" w:eastAsia="微软雅黑" w:cs="微软雅黑"/>
          <w:b/>
          <w:color w:val="auto"/>
          <w:sz w:val="28"/>
          <w:szCs w:val="28"/>
          <w:highlight w:val="none"/>
        </w:rPr>
        <w:t xml:space="preserve"> </w:t>
      </w:r>
      <w:r>
        <w:rPr>
          <w:rFonts w:hint="eastAsia" w:ascii="微软雅黑" w:hAnsi="微软雅黑" w:eastAsia="微软雅黑" w:cs="微软雅黑"/>
          <w:b/>
          <w:color w:val="auto"/>
          <w:sz w:val="28"/>
          <w:szCs w:val="28"/>
          <w:highlight w:val="none"/>
          <w:lang w:val="en-US" w:eastAsia="zh-CN"/>
        </w:rPr>
        <w:t>货物</w:t>
      </w:r>
      <w:r>
        <w:rPr>
          <w:rFonts w:hint="eastAsia" w:ascii="微软雅黑" w:hAnsi="微软雅黑" w:eastAsia="微软雅黑" w:cs="微软雅黑"/>
          <w:b/>
          <w:color w:val="auto"/>
          <w:sz w:val="28"/>
          <w:szCs w:val="28"/>
          <w:highlight w:val="none"/>
        </w:rPr>
        <w:t>内容及项目要求</w:t>
      </w:r>
      <w:bookmarkEnd w:id="1992"/>
      <w:bookmarkEnd w:id="1993"/>
      <w:bookmarkEnd w:id="1994"/>
      <w:bookmarkEnd w:id="1995"/>
      <w:bookmarkStart w:id="1996" w:name="_Toc9091"/>
    </w:p>
    <w:bookmarkEnd w:id="0"/>
    <w:bookmarkEnd w:id="1"/>
    <w:bookmarkEnd w:id="2"/>
    <w:bookmarkEnd w:id="3"/>
    <w:bookmarkEnd w:id="4"/>
    <w:bookmarkEnd w:id="5"/>
    <w:bookmarkEnd w:id="6"/>
    <w:bookmarkEnd w:id="7"/>
    <w:bookmarkEnd w:id="8"/>
    <w:bookmarkEnd w:id="9"/>
    <w:bookmarkEnd w:id="10"/>
    <w:bookmarkEnd w:id="11"/>
    <w:bookmarkEnd w:id="12"/>
    <w:bookmarkEnd w:id="13"/>
    <w:bookmarkEnd w:id="1996"/>
    <w:p w14:paraId="70908CF1">
      <w:pPr>
        <w:outlineLvl w:val="2"/>
        <w:rPr>
          <w:rFonts w:hint="eastAsia" w:ascii="微软雅黑" w:hAnsi="微软雅黑" w:eastAsia="微软雅黑" w:cs="微软雅黑"/>
          <w:b/>
          <w:bCs/>
          <w:sz w:val="28"/>
          <w:szCs w:val="40"/>
          <w:highlight w:val="none"/>
          <w:lang w:val="en-US" w:eastAsia="zh-CN"/>
        </w:rPr>
      </w:pPr>
      <w:bookmarkStart w:id="1997" w:name="_Toc11691"/>
      <w:bookmarkStart w:id="1998" w:name="_Toc31024"/>
      <w:bookmarkStart w:id="1999" w:name="_Toc23091"/>
      <w:bookmarkStart w:id="2000" w:name="_Toc31651"/>
      <w:bookmarkStart w:id="2001" w:name="_Toc11259"/>
      <w:r>
        <w:rPr>
          <w:rFonts w:hint="eastAsia" w:ascii="微软雅黑" w:hAnsi="微软雅黑" w:eastAsia="微软雅黑" w:cs="微软雅黑"/>
          <w:b/>
          <w:bCs/>
          <w:sz w:val="28"/>
          <w:szCs w:val="40"/>
          <w:highlight w:val="none"/>
          <w:lang w:val="en-US" w:eastAsia="zh-CN"/>
        </w:rPr>
        <w:t>标项二：</w:t>
      </w:r>
      <w:bookmarkEnd w:id="1997"/>
      <w:bookmarkEnd w:id="1998"/>
      <w:bookmarkEnd w:id="1999"/>
    </w:p>
    <w:p w14:paraId="47A641D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outlineLvl w:val="3"/>
        <w:rPr>
          <w:rFonts w:hint="eastAsia" w:ascii="微软雅黑" w:hAnsi="微软雅黑" w:eastAsia="微软雅黑" w:cs="微软雅黑"/>
          <w:b/>
          <w:bCs/>
          <w:sz w:val="28"/>
          <w:szCs w:val="28"/>
          <w:lang w:eastAsia="zh-CN"/>
        </w:rPr>
      </w:pPr>
      <w:r>
        <w:rPr>
          <w:rFonts w:hint="eastAsia" w:ascii="微软雅黑" w:hAnsi="微软雅黑" w:eastAsia="微软雅黑" w:cs="微软雅黑"/>
          <w:b/>
          <w:bCs/>
          <w:sz w:val="28"/>
          <w:szCs w:val="40"/>
          <w:highlight w:val="none"/>
          <w:lang w:val="en-US" w:eastAsia="zh-CN"/>
        </w:rPr>
        <w:t>一、货物需求：</w:t>
      </w:r>
    </w:p>
    <w:tbl>
      <w:tblPr>
        <w:tblStyle w:val="32"/>
        <w:tblW w:w="8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3493"/>
        <w:gridCol w:w="631"/>
        <w:gridCol w:w="1713"/>
        <w:gridCol w:w="1735"/>
        <w:gridCol w:w="708"/>
      </w:tblGrid>
      <w:tr w14:paraId="3DEAE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656" w:type="dxa"/>
            <w:vAlign w:val="center"/>
          </w:tcPr>
          <w:p w14:paraId="287E2316">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sz w:val="24"/>
                <w:szCs w:val="24"/>
                <w:vertAlign w:val="baseline"/>
                <w:lang w:eastAsia="zh-CN"/>
              </w:rPr>
            </w:pPr>
            <w:r>
              <w:rPr>
                <w:rFonts w:hint="eastAsia" w:ascii="微软雅黑" w:hAnsi="微软雅黑" w:eastAsia="微软雅黑" w:cs="微软雅黑"/>
                <w:sz w:val="24"/>
                <w:szCs w:val="24"/>
                <w:vertAlign w:val="baseline"/>
                <w:lang w:eastAsia="zh-CN"/>
              </w:rPr>
              <w:t>序号</w:t>
            </w:r>
          </w:p>
        </w:tc>
        <w:tc>
          <w:tcPr>
            <w:tcW w:w="3493" w:type="dxa"/>
            <w:vAlign w:val="center"/>
          </w:tcPr>
          <w:p w14:paraId="7892A1E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center"/>
              <w:textAlignment w:val="auto"/>
              <w:rPr>
                <w:rFonts w:hint="eastAsia" w:ascii="微软雅黑" w:hAnsi="微软雅黑" w:eastAsia="微软雅黑" w:cs="微软雅黑"/>
                <w:sz w:val="24"/>
                <w:szCs w:val="24"/>
                <w:vertAlign w:val="baseline"/>
                <w:lang w:eastAsia="zh-CN"/>
              </w:rPr>
            </w:pPr>
            <w:r>
              <w:rPr>
                <w:rFonts w:hint="eastAsia" w:ascii="微软雅黑" w:hAnsi="微软雅黑" w:eastAsia="微软雅黑" w:cs="微软雅黑"/>
                <w:sz w:val="24"/>
                <w:szCs w:val="24"/>
                <w:vertAlign w:val="baseline"/>
                <w:lang w:eastAsia="zh-CN"/>
              </w:rPr>
              <w:t>名称</w:t>
            </w:r>
          </w:p>
        </w:tc>
        <w:tc>
          <w:tcPr>
            <w:tcW w:w="631" w:type="dxa"/>
            <w:vAlign w:val="center"/>
          </w:tcPr>
          <w:p w14:paraId="50126CC4">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sz w:val="24"/>
                <w:szCs w:val="24"/>
                <w:vertAlign w:val="baseline"/>
                <w:lang w:eastAsia="zh-CN"/>
              </w:rPr>
            </w:pPr>
            <w:r>
              <w:rPr>
                <w:rFonts w:hint="eastAsia" w:ascii="微软雅黑" w:hAnsi="微软雅黑" w:eastAsia="微软雅黑" w:cs="微软雅黑"/>
                <w:sz w:val="24"/>
                <w:szCs w:val="24"/>
                <w:vertAlign w:val="baseline"/>
                <w:lang w:eastAsia="zh-CN"/>
              </w:rPr>
              <w:t>数量</w:t>
            </w:r>
          </w:p>
        </w:tc>
        <w:tc>
          <w:tcPr>
            <w:tcW w:w="1713" w:type="dxa"/>
            <w:vAlign w:val="center"/>
          </w:tcPr>
          <w:p w14:paraId="1C3D9769">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最高限制</w:t>
            </w:r>
            <w:r>
              <w:rPr>
                <w:rFonts w:hint="eastAsia" w:ascii="微软雅黑" w:hAnsi="微软雅黑" w:eastAsia="微软雅黑" w:cs="微软雅黑"/>
                <w:sz w:val="24"/>
                <w:szCs w:val="24"/>
                <w:vertAlign w:val="baseline"/>
                <w:lang w:eastAsia="zh-CN"/>
              </w:rPr>
              <w:t>单价（</w:t>
            </w:r>
            <w:r>
              <w:rPr>
                <w:rFonts w:hint="eastAsia" w:ascii="微软雅黑" w:hAnsi="微软雅黑" w:eastAsia="微软雅黑" w:cs="微软雅黑"/>
                <w:sz w:val="24"/>
                <w:szCs w:val="24"/>
                <w:vertAlign w:val="baseline"/>
                <w:lang w:val="en-US" w:eastAsia="zh-CN"/>
              </w:rPr>
              <w:t>万元）</w:t>
            </w:r>
          </w:p>
        </w:tc>
        <w:tc>
          <w:tcPr>
            <w:tcW w:w="1735" w:type="dxa"/>
            <w:vAlign w:val="center"/>
          </w:tcPr>
          <w:p w14:paraId="0F492380">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最高限制</w:t>
            </w:r>
            <w:r>
              <w:rPr>
                <w:rFonts w:hint="eastAsia" w:ascii="微软雅黑" w:hAnsi="微软雅黑" w:eastAsia="微软雅黑" w:cs="微软雅黑"/>
                <w:sz w:val="24"/>
                <w:szCs w:val="24"/>
                <w:vertAlign w:val="baseline"/>
                <w:lang w:eastAsia="zh-CN"/>
              </w:rPr>
              <w:t>总价（</w:t>
            </w:r>
            <w:r>
              <w:rPr>
                <w:rFonts w:hint="eastAsia" w:ascii="微软雅黑" w:hAnsi="微软雅黑" w:eastAsia="微软雅黑" w:cs="微软雅黑"/>
                <w:sz w:val="24"/>
                <w:szCs w:val="24"/>
                <w:vertAlign w:val="baseline"/>
                <w:lang w:val="en-US" w:eastAsia="zh-CN"/>
              </w:rPr>
              <w:t>万元）</w:t>
            </w:r>
          </w:p>
        </w:tc>
        <w:tc>
          <w:tcPr>
            <w:tcW w:w="708" w:type="dxa"/>
            <w:vAlign w:val="center"/>
          </w:tcPr>
          <w:p w14:paraId="52A43140">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备注</w:t>
            </w:r>
          </w:p>
        </w:tc>
      </w:tr>
      <w:tr w14:paraId="22BEF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56" w:type="dxa"/>
            <w:vAlign w:val="center"/>
          </w:tcPr>
          <w:p w14:paraId="7A46C4AB">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1</w:t>
            </w:r>
          </w:p>
        </w:tc>
        <w:tc>
          <w:tcPr>
            <w:tcW w:w="3493" w:type="dxa"/>
            <w:shd w:val="clear" w:color="auto" w:fill="auto"/>
            <w:vAlign w:val="center"/>
          </w:tcPr>
          <w:p w14:paraId="6899462D">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视觉功能训练治疗软件(VR版)</w:t>
            </w:r>
          </w:p>
        </w:tc>
        <w:tc>
          <w:tcPr>
            <w:tcW w:w="631" w:type="dxa"/>
            <w:shd w:val="clear" w:color="auto" w:fill="auto"/>
            <w:vAlign w:val="center"/>
          </w:tcPr>
          <w:p w14:paraId="6D33B0FA">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2</w:t>
            </w:r>
          </w:p>
        </w:tc>
        <w:tc>
          <w:tcPr>
            <w:tcW w:w="1713" w:type="dxa"/>
            <w:shd w:val="clear" w:color="auto" w:fill="auto"/>
            <w:vAlign w:val="center"/>
          </w:tcPr>
          <w:p w14:paraId="5C1EF31B">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8.5</w:t>
            </w:r>
          </w:p>
        </w:tc>
        <w:tc>
          <w:tcPr>
            <w:tcW w:w="1735" w:type="dxa"/>
            <w:shd w:val="clear" w:color="auto" w:fill="auto"/>
            <w:vAlign w:val="center"/>
          </w:tcPr>
          <w:p w14:paraId="0F0D67BC">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17</w:t>
            </w:r>
          </w:p>
        </w:tc>
        <w:tc>
          <w:tcPr>
            <w:tcW w:w="708" w:type="dxa"/>
            <w:shd w:val="clear" w:color="auto" w:fill="auto"/>
            <w:vAlign w:val="center"/>
          </w:tcPr>
          <w:p w14:paraId="611579B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jc w:val="center"/>
              <w:textAlignment w:val="auto"/>
              <w:rPr>
                <w:rFonts w:hint="eastAsia" w:ascii="微软雅黑" w:hAnsi="微软雅黑" w:eastAsia="微软雅黑" w:cs="微软雅黑"/>
                <w:kern w:val="2"/>
                <w:sz w:val="24"/>
                <w:szCs w:val="24"/>
                <w:vertAlign w:val="baseline"/>
                <w:lang w:val="en-US" w:eastAsia="zh-CN" w:bidi="ar-SA"/>
              </w:rPr>
            </w:pPr>
          </w:p>
        </w:tc>
      </w:tr>
      <w:tr w14:paraId="24E1D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56" w:type="dxa"/>
            <w:vAlign w:val="center"/>
          </w:tcPr>
          <w:p w14:paraId="0A5AF540">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2</w:t>
            </w:r>
          </w:p>
        </w:tc>
        <w:tc>
          <w:tcPr>
            <w:tcW w:w="3493" w:type="dxa"/>
            <w:shd w:val="clear" w:color="auto" w:fill="auto"/>
            <w:vAlign w:val="center"/>
          </w:tcPr>
          <w:p w14:paraId="551E4E85">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视功能训练治疗软件(裸眼3D)</w:t>
            </w:r>
          </w:p>
        </w:tc>
        <w:tc>
          <w:tcPr>
            <w:tcW w:w="631" w:type="dxa"/>
            <w:shd w:val="clear" w:color="auto" w:fill="auto"/>
            <w:vAlign w:val="center"/>
          </w:tcPr>
          <w:p w14:paraId="072ADDC9">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2</w:t>
            </w:r>
          </w:p>
        </w:tc>
        <w:tc>
          <w:tcPr>
            <w:tcW w:w="1713" w:type="dxa"/>
            <w:shd w:val="clear" w:color="auto" w:fill="auto"/>
            <w:vAlign w:val="center"/>
          </w:tcPr>
          <w:p w14:paraId="3265C93D">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23</w:t>
            </w:r>
          </w:p>
        </w:tc>
        <w:tc>
          <w:tcPr>
            <w:tcW w:w="1735" w:type="dxa"/>
            <w:shd w:val="clear" w:color="auto" w:fill="auto"/>
            <w:vAlign w:val="center"/>
          </w:tcPr>
          <w:p w14:paraId="721BD694">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46</w:t>
            </w:r>
          </w:p>
        </w:tc>
        <w:tc>
          <w:tcPr>
            <w:tcW w:w="708" w:type="dxa"/>
            <w:shd w:val="clear" w:color="auto" w:fill="auto"/>
            <w:vAlign w:val="center"/>
          </w:tcPr>
          <w:p w14:paraId="23E1B94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jc w:val="center"/>
              <w:textAlignment w:val="auto"/>
              <w:rPr>
                <w:rFonts w:hint="eastAsia" w:ascii="微软雅黑" w:hAnsi="微软雅黑" w:eastAsia="微软雅黑" w:cs="微软雅黑"/>
                <w:kern w:val="2"/>
                <w:sz w:val="24"/>
                <w:szCs w:val="24"/>
                <w:vertAlign w:val="baseline"/>
                <w:lang w:val="en-US" w:eastAsia="zh-CN" w:bidi="ar-SA"/>
              </w:rPr>
            </w:pPr>
          </w:p>
        </w:tc>
      </w:tr>
      <w:tr w14:paraId="03893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56" w:type="dxa"/>
            <w:vAlign w:val="center"/>
          </w:tcPr>
          <w:p w14:paraId="195DC72A">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3</w:t>
            </w:r>
          </w:p>
        </w:tc>
        <w:tc>
          <w:tcPr>
            <w:tcW w:w="3493" w:type="dxa"/>
            <w:shd w:val="clear" w:color="auto" w:fill="auto"/>
            <w:vAlign w:val="center"/>
          </w:tcPr>
          <w:p w14:paraId="3EAC767B">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钬激光碎石系统</w:t>
            </w:r>
          </w:p>
        </w:tc>
        <w:tc>
          <w:tcPr>
            <w:tcW w:w="631" w:type="dxa"/>
            <w:shd w:val="clear" w:color="auto" w:fill="auto"/>
            <w:vAlign w:val="center"/>
          </w:tcPr>
          <w:p w14:paraId="3ADFF709">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w:t>
            </w:r>
          </w:p>
        </w:tc>
        <w:tc>
          <w:tcPr>
            <w:tcW w:w="1713" w:type="dxa"/>
            <w:shd w:val="clear" w:color="auto" w:fill="auto"/>
            <w:vAlign w:val="center"/>
          </w:tcPr>
          <w:p w14:paraId="78C9D70F">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80</w:t>
            </w:r>
          </w:p>
        </w:tc>
        <w:tc>
          <w:tcPr>
            <w:tcW w:w="1735" w:type="dxa"/>
            <w:shd w:val="clear" w:color="auto" w:fill="auto"/>
            <w:vAlign w:val="center"/>
          </w:tcPr>
          <w:p w14:paraId="1E12949B">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80</w:t>
            </w:r>
          </w:p>
        </w:tc>
        <w:tc>
          <w:tcPr>
            <w:tcW w:w="708" w:type="dxa"/>
            <w:shd w:val="clear" w:color="auto" w:fill="auto"/>
            <w:vAlign w:val="center"/>
          </w:tcPr>
          <w:p w14:paraId="1E3DAB2A">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kern w:val="2"/>
                <w:sz w:val="24"/>
                <w:szCs w:val="24"/>
                <w:vertAlign w:val="baseline"/>
                <w:lang w:val="en-US" w:eastAsia="zh-CN" w:bidi="ar-SA"/>
              </w:rPr>
            </w:pPr>
          </w:p>
        </w:tc>
      </w:tr>
      <w:tr w14:paraId="20A4B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56" w:type="dxa"/>
            <w:vAlign w:val="center"/>
          </w:tcPr>
          <w:p w14:paraId="4BD7424D">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4</w:t>
            </w:r>
          </w:p>
        </w:tc>
        <w:tc>
          <w:tcPr>
            <w:tcW w:w="3493" w:type="dxa"/>
            <w:shd w:val="clear" w:color="auto" w:fill="auto"/>
            <w:vAlign w:val="center"/>
          </w:tcPr>
          <w:p w14:paraId="4B512965">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非接触式眼压计</w:t>
            </w:r>
          </w:p>
        </w:tc>
        <w:tc>
          <w:tcPr>
            <w:tcW w:w="631" w:type="dxa"/>
            <w:shd w:val="clear" w:color="auto" w:fill="auto"/>
            <w:vAlign w:val="center"/>
          </w:tcPr>
          <w:p w14:paraId="4DE772D3">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3</w:t>
            </w:r>
          </w:p>
        </w:tc>
        <w:tc>
          <w:tcPr>
            <w:tcW w:w="1713" w:type="dxa"/>
            <w:shd w:val="clear" w:color="auto" w:fill="auto"/>
            <w:vAlign w:val="center"/>
          </w:tcPr>
          <w:p w14:paraId="475DF6BD">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12</w:t>
            </w:r>
          </w:p>
        </w:tc>
        <w:tc>
          <w:tcPr>
            <w:tcW w:w="1735" w:type="dxa"/>
            <w:shd w:val="clear" w:color="auto" w:fill="auto"/>
            <w:vAlign w:val="center"/>
          </w:tcPr>
          <w:p w14:paraId="03AEE776">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36</w:t>
            </w:r>
          </w:p>
        </w:tc>
        <w:tc>
          <w:tcPr>
            <w:tcW w:w="708" w:type="dxa"/>
            <w:shd w:val="clear" w:color="auto" w:fill="auto"/>
            <w:vAlign w:val="center"/>
          </w:tcPr>
          <w:p w14:paraId="2A00E69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jc w:val="center"/>
              <w:textAlignment w:val="auto"/>
              <w:rPr>
                <w:rFonts w:hint="eastAsia" w:ascii="微软雅黑" w:hAnsi="微软雅黑" w:eastAsia="微软雅黑" w:cs="微软雅黑"/>
                <w:kern w:val="2"/>
                <w:sz w:val="24"/>
                <w:szCs w:val="24"/>
                <w:vertAlign w:val="baseline"/>
                <w:lang w:val="en-US" w:eastAsia="zh-CN" w:bidi="ar-SA"/>
              </w:rPr>
            </w:pPr>
          </w:p>
        </w:tc>
      </w:tr>
      <w:tr w14:paraId="57DAA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56" w:type="dxa"/>
            <w:vAlign w:val="center"/>
          </w:tcPr>
          <w:p w14:paraId="787A806B">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5</w:t>
            </w:r>
          </w:p>
        </w:tc>
        <w:tc>
          <w:tcPr>
            <w:tcW w:w="3493" w:type="dxa"/>
            <w:shd w:val="clear" w:color="auto" w:fill="auto"/>
            <w:vAlign w:val="center"/>
          </w:tcPr>
          <w:p w14:paraId="293E9FB6">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强脉冲光干眼治疗仪</w:t>
            </w:r>
          </w:p>
        </w:tc>
        <w:tc>
          <w:tcPr>
            <w:tcW w:w="631" w:type="dxa"/>
            <w:shd w:val="clear" w:color="auto" w:fill="auto"/>
            <w:vAlign w:val="center"/>
          </w:tcPr>
          <w:p w14:paraId="43409205">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w:t>
            </w:r>
          </w:p>
        </w:tc>
        <w:tc>
          <w:tcPr>
            <w:tcW w:w="1713" w:type="dxa"/>
            <w:shd w:val="clear" w:color="auto" w:fill="auto"/>
            <w:vAlign w:val="center"/>
          </w:tcPr>
          <w:p w14:paraId="71F5BC59">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50</w:t>
            </w:r>
          </w:p>
        </w:tc>
        <w:tc>
          <w:tcPr>
            <w:tcW w:w="1735" w:type="dxa"/>
            <w:shd w:val="clear" w:color="auto" w:fill="auto"/>
            <w:vAlign w:val="center"/>
          </w:tcPr>
          <w:p w14:paraId="3D9B2F5C">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50</w:t>
            </w:r>
          </w:p>
        </w:tc>
        <w:tc>
          <w:tcPr>
            <w:tcW w:w="708" w:type="dxa"/>
            <w:shd w:val="clear" w:color="auto" w:fill="auto"/>
            <w:vAlign w:val="center"/>
          </w:tcPr>
          <w:p w14:paraId="791F777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jc w:val="center"/>
              <w:textAlignment w:val="auto"/>
              <w:rPr>
                <w:rFonts w:hint="eastAsia" w:ascii="微软雅黑" w:hAnsi="微软雅黑" w:eastAsia="微软雅黑" w:cs="微软雅黑"/>
                <w:kern w:val="2"/>
                <w:sz w:val="24"/>
                <w:szCs w:val="24"/>
                <w:vertAlign w:val="baseline"/>
                <w:lang w:val="en-US" w:eastAsia="zh-CN" w:bidi="ar-SA"/>
              </w:rPr>
            </w:pPr>
          </w:p>
        </w:tc>
      </w:tr>
      <w:tr w14:paraId="7D620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56" w:type="dxa"/>
            <w:vAlign w:val="center"/>
          </w:tcPr>
          <w:p w14:paraId="2153D16C">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6</w:t>
            </w:r>
          </w:p>
        </w:tc>
        <w:tc>
          <w:tcPr>
            <w:tcW w:w="3493" w:type="dxa"/>
            <w:shd w:val="clear" w:color="auto" w:fill="auto"/>
            <w:vAlign w:val="center"/>
          </w:tcPr>
          <w:p w14:paraId="6E677E6C">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验光仪</w:t>
            </w:r>
          </w:p>
        </w:tc>
        <w:tc>
          <w:tcPr>
            <w:tcW w:w="631" w:type="dxa"/>
            <w:shd w:val="clear" w:color="auto" w:fill="auto"/>
            <w:vAlign w:val="center"/>
          </w:tcPr>
          <w:p w14:paraId="507F5AE5">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2</w:t>
            </w:r>
          </w:p>
        </w:tc>
        <w:tc>
          <w:tcPr>
            <w:tcW w:w="1713" w:type="dxa"/>
            <w:shd w:val="clear" w:color="auto" w:fill="auto"/>
            <w:vAlign w:val="center"/>
          </w:tcPr>
          <w:p w14:paraId="43271174">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14</w:t>
            </w:r>
          </w:p>
        </w:tc>
        <w:tc>
          <w:tcPr>
            <w:tcW w:w="1735" w:type="dxa"/>
            <w:shd w:val="clear" w:color="auto" w:fill="auto"/>
            <w:vAlign w:val="center"/>
          </w:tcPr>
          <w:p w14:paraId="49C7B243">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28</w:t>
            </w:r>
          </w:p>
        </w:tc>
        <w:tc>
          <w:tcPr>
            <w:tcW w:w="708" w:type="dxa"/>
            <w:shd w:val="clear" w:color="auto" w:fill="auto"/>
            <w:vAlign w:val="center"/>
          </w:tcPr>
          <w:p w14:paraId="0806D4F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jc w:val="center"/>
              <w:textAlignment w:val="auto"/>
              <w:rPr>
                <w:rFonts w:hint="eastAsia" w:ascii="微软雅黑" w:hAnsi="微软雅黑" w:eastAsia="微软雅黑" w:cs="微软雅黑"/>
                <w:kern w:val="2"/>
                <w:sz w:val="24"/>
                <w:szCs w:val="24"/>
                <w:vertAlign w:val="baseline"/>
                <w:lang w:val="en-US" w:eastAsia="zh-CN" w:bidi="ar-SA"/>
              </w:rPr>
            </w:pPr>
          </w:p>
        </w:tc>
      </w:tr>
      <w:tr w14:paraId="70416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56" w:type="dxa"/>
            <w:vAlign w:val="center"/>
          </w:tcPr>
          <w:p w14:paraId="1A05B7AF">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7</w:t>
            </w:r>
          </w:p>
        </w:tc>
        <w:tc>
          <w:tcPr>
            <w:tcW w:w="3493" w:type="dxa"/>
            <w:shd w:val="clear" w:color="auto" w:fill="auto"/>
            <w:vAlign w:val="center"/>
          </w:tcPr>
          <w:p w14:paraId="4B28BA27">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裂隙灯</w:t>
            </w:r>
          </w:p>
        </w:tc>
        <w:tc>
          <w:tcPr>
            <w:tcW w:w="631" w:type="dxa"/>
            <w:shd w:val="clear" w:color="auto" w:fill="auto"/>
            <w:vAlign w:val="center"/>
          </w:tcPr>
          <w:p w14:paraId="3DE3578F">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4</w:t>
            </w:r>
          </w:p>
        </w:tc>
        <w:tc>
          <w:tcPr>
            <w:tcW w:w="1713" w:type="dxa"/>
            <w:shd w:val="clear" w:color="auto" w:fill="auto"/>
            <w:vAlign w:val="center"/>
          </w:tcPr>
          <w:p w14:paraId="7A218A68">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7</w:t>
            </w:r>
          </w:p>
        </w:tc>
        <w:tc>
          <w:tcPr>
            <w:tcW w:w="1735" w:type="dxa"/>
            <w:shd w:val="clear" w:color="auto" w:fill="auto"/>
            <w:vAlign w:val="center"/>
          </w:tcPr>
          <w:p w14:paraId="6783A82D">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28</w:t>
            </w:r>
          </w:p>
        </w:tc>
        <w:tc>
          <w:tcPr>
            <w:tcW w:w="708" w:type="dxa"/>
            <w:shd w:val="clear" w:color="auto" w:fill="auto"/>
            <w:vAlign w:val="center"/>
          </w:tcPr>
          <w:p w14:paraId="04CB20D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jc w:val="center"/>
              <w:textAlignment w:val="auto"/>
              <w:rPr>
                <w:rFonts w:hint="eastAsia" w:ascii="微软雅黑" w:hAnsi="微软雅黑" w:eastAsia="微软雅黑" w:cs="微软雅黑"/>
                <w:kern w:val="2"/>
                <w:sz w:val="24"/>
                <w:szCs w:val="24"/>
                <w:vertAlign w:val="baseline"/>
                <w:lang w:val="en-US" w:eastAsia="zh-CN" w:bidi="ar-SA"/>
              </w:rPr>
            </w:pPr>
          </w:p>
        </w:tc>
      </w:tr>
      <w:tr w14:paraId="5C3B1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56" w:type="dxa"/>
            <w:vAlign w:val="center"/>
          </w:tcPr>
          <w:p w14:paraId="03082F45">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8</w:t>
            </w:r>
          </w:p>
        </w:tc>
        <w:tc>
          <w:tcPr>
            <w:tcW w:w="3493" w:type="dxa"/>
            <w:shd w:val="clear" w:color="auto" w:fill="auto"/>
            <w:vAlign w:val="center"/>
          </w:tcPr>
          <w:p w14:paraId="42611C35">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超级全高清鼻内窥镜系统</w:t>
            </w:r>
          </w:p>
        </w:tc>
        <w:tc>
          <w:tcPr>
            <w:tcW w:w="631" w:type="dxa"/>
            <w:shd w:val="clear" w:color="auto" w:fill="auto"/>
            <w:vAlign w:val="center"/>
          </w:tcPr>
          <w:p w14:paraId="0616A1CC">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w:t>
            </w:r>
          </w:p>
        </w:tc>
        <w:tc>
          <w:tcPr>
            <w:tcW w:w="1713" w:type="dxa"/>
            <w:shd w:val="clear" w:color="auto" w:fill="auto"/>
            <w:vAlign w:val="center"/>
          </w:tcPr>
          <w:p w14:paraId="33B3CE68">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50</w:t>
            </w:r>
          </w:p>
        </w:tc>
        <w:tc>
          <w:tcPr>
            <w:tcW w:w="1735" w:type="dxa"/>
            <w:shd w:val="clear" w:color="auto" w:fill="auto"/>
            <w:vAlign w:val="center"/>
          </w:tcPr>
          <w:p w14:paraId="4C8E4810">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50</w:t>
            </w:r>
          </w:p>
        </w:tc>
        <w:tc>
          <w:tcPr>
            <w:tcW w:w="708" w:type="dxa"/>
            <w:shd w:val="clear" w:color="auto" w:fill="auto"/>
            <w:vAlign w:val="center"/>
          </w:tcPr>
          <w:p w14:paraId="4C8CF9B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jc w:val="center"/>
              <w:textAlignment w:val="auto"/>
              <w:rPr>
                <w:rFonts w:hint="eastAsia" w:ascii="微软雅黑" w:hAnsi="微软雅黑" w:eastAsia="微软雅黑" w:cs="微软雅黑"/>
                <w:kern w:val="2"/>
                <w:sz w:val="24"/>
                <w:szCs w:val="24"/>
                <w:vertAlign w:val="baseline"/>
                <w:lang w:val="en-US" w:eastAsia="zh-CN" w:bidi="ar-SA"/>
              </w:rPr>
            </w:pPr>
          </w:p>
        </w:tc>
      </w:tr>
      <w:tr w14:paraId="2BB78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656" w:type="dxa"/>
            <w:vAlign w:val="center"/>
          </w:tcPr>
          <w:p w14:paraId="2DC88048">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9</w:t>
            </w:r>
          </w:p>
        </w:tc>
        <w:tc>
          <w:tcPr>
            <w:tcW w:w="3493" w:type="dxa"/>
            <w:shd w:val="clear" w:color="auto" w:fill="auto"/>
            <w:vAlign w:val="center"/>
          </w:tcPr>
          <w:p w14:paraId="491DF2CA">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眼底广角观察镜</w:t>
            </w:r>
          </w:p>
        </w:tc>
        <w:tc>
          <w:tcPr>
            <w:tcW w:w="631" w:type="dxa"/>
            <w:shd w:val="clear" w:color="auto" w:fill="auto"/>
            <w:vAlign w:val="center"/>
          </w:tcPr>
          <w:p w14:paraId="3118680D">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w:t>
            </w:r>
          </w:p>
        </w:tc>
        <w:tc>
          <w:tcPr>
            <w:tcW w:w="1713" w:type="dxa"/>
            <w:shd w:val="clear" w:color="auto" w:fill="auto"/>
            <w:vAlign w:val="center"/>
          </w:tcPr>
          <w:p w14:paraId="79B31FE8">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10</w:t>
            </w:r>
          </w:p>
        </w:tc>
        <w:tc>
          <w:tcPr>
            <w:tcW w:w="1735" w:type="dxa"/>
            <w:shd w:val="clear" w:color="auto" w:fill="auto"/>
            <w:vAlign w:val="center"/>
          </w:tcPr>
          <w:p w14:paraId="7A9CAF5F">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10</w:t>
            </w:r>
          </w:p>
        </w:tc>
        <w:tc>
          <w:tcPr>
            <w:tcW w:w="708" w:type="dxa"/>
            <w:shd w:val="clear" w:color="auto" w:fill="auto"/>
            <w:vAlign w:val="center"/>
          </w:tcPr>
          <w:p w14:paraId="7A19D53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jc w:val="center"/>
              <w:textAlignment w:val="auto"/>
              <w:rPr>
                <w:rFonts w:hint="eastAsia" w:ascii="微软雅黑" w:hAnsi="微软雅黑" w:eastAsia="微软雅黑" w:cs="微软雅黑"/>
                <w:kern w:val="2"/>
                <w:sz w:val="24"/>
                <w:szCs w:val="24"/>
                <w:vertAlign w:val="baseline"/>
                <w:lang w:val="en-US" w:eastAsia="zh-CN" w:bidi="ar-SA"/>
              </w:rPr>
            </w:pPr>
          </w:p>
        </w:tc>
      </w:tr>
      <w:tr w14:paraId="394EC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56" w:type="dxa"/>
            <w:vAlign w:val="center"/>
          </w:tcPr>
          <w:p w14:paraId="69A66D95">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10</w:t>
            </w:r>
          </w:p>
        </w:tc>
        <w:tc>
          <w:tcPr>
            <w:tcW w:w="3493" w:type="dxa"/>
            <w:shd w:val="clear" w:color="auto" w:fill="auto"/>
            <w:vAlign w:val="center"/>
          </w:tcPr>
          <w:p w14:paraId="6DEBD2AC">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干眼检测仪</w:t>
            </w:r>
          </w:p>
        </w:tc>
        <w:tc>
          <w:tcPr>
            <w:tcW w:w="631" w:type="dxa"/>
            <w:shd w:val="clear" w:color="auto" w:fill="auto"/>
            <w:vAlign w:val="center"/>
          </w:tcPr>
          <w:p w14:paraId="7D727967">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w:t>
            </w:r>
          </w:p>
        </w:tc>
        <w:tc>
          <w:tcPr>
            <w:tcW w:w="1713" w:type="dxa"/>
            <w:shd w:val="clear" w:color="auto" w:fill="auto"/>
            <w:vAlign w:val="center"/>
          </w:tcPr>
          <w:p w14:paraId="1C2974F4">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40</w:t>
            </w:r>
          </w:p>
        </w:tc>
        <w:tc>
          <w:tcPr>
            <w:tcW w:w="1735" w:type="dxa"/>
            <w:shd w:val="clear" w:color="auto" w:fill="auto"/>
            <w:vAlign w:val="center"/>
          </w:tcPr>
          <w:p w14:paraId="61D9E908">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40</w:t>
            </w:r>
          </w:p>
        </w:tc>
        <w:tc>
          <w:tcPr>
            <w:tcW w:w="708" w:type="dxa"/>
            <w:shd w:val="clear" w:color="auto" w:fill="auto"/>
            <w:vAlign w:val="center"/>
          </w:tcPr>
          <w:p w14:paraId="231851B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jc w:val="center"/>
              <w:textAlignment w:val="auto"/>
              <w:rPr>
                <w:rFonts w:hint="eastAsia" w:ascii="微软雅黑" w:hAnsi="微软雅黑" w:eastAsia="微软雅黑" w:cs="微软雅黑"/>
                <w:kern w:val="2"/>
                <w:sz w:val="24"/>
                <w:szCs w:val="24"/>
                <w:vertAlign w:val="baseline"/>
                <w:lang w:val="en-US" w:eastAsia="zh-CN" w:bidi="ar-SA"/>
              </w:rPr>
            </w:pPr>
          </w:p>
        </w:tc>
      </w:tr>
      <w:tr w14:paraId="5CB03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56" w:type="dxa"/>
            <w:vAlign w:val="center"/>
          </w:tcPr>
          <w:p w14:paraId="3C4C808F">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11</w:t>
            </w:r>
          </w:p>
        </w:tc>
        <w:tc>
          <w:tcPr>
            <w:tcW w:w="3493" w:type="dxa"/>
            <w:shd w:val="clear" w:color="auto" w:fill="auto"/>
            <w:vAlign w:val="center"/>
          </w:tcPr>
          <w:p w14:paraId="7BBD9D33">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加热式超声雾化器</w:t>
            </w:r>
          </w:p>
        </w:tc>
        <w:tc>
          <w:tcPr>
            <w:tcW w:w="631" w:type="dxa"/>
            <w:shd w:val="clear" w:color="auto" w:fill="auto"/>
            <w:vAlign w:val="center"/>
          </w:tcPr>
          <w:p w14:paraId="553565D5">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w:t>
            </w:r>
          </w:p>
        </w:tc>
        <w:tc>
          <w:tcPr>
            <w:tcW w:w="1713" w:type="dxa"/>
            <w:shd w:val="clear" w:color="auto" w:fill="auto"/>
            <w:vAlign w:val="center"/>
          </w:tcPr>
          <w:p w14:paraId="34FBA028">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5</w:t>
            </w:r>
          </w:p>
        </w:tc>
        <w:tc>
          <w:tcPr>
            <w:tcW w:w="1735" w:type="dxa"/>
            <w:shd w:val="clear" w:color="auto" w:fill="auto"/>
            <w:vAlign w:val="center"/>
          </w:tcPr>
          <w:p w14:paraId="001652D3">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5</w:t>
            </w:r>
          </w:p>
        </w:tc>
        <w:tc>
          <w:tcPr>
            <w:tcW w:w="708" w:type="dxa"/>
            <w:shd w:val="clear" w:color="auto" w:fill="auto"/>
            <w:vAlign w:val="center"/>
          </w:tcPr>
          <w:p w14:paraId="472701C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jc w:val="center"/>
              <w:textAlignment w:val="auto"/>
              <w:rPr>
                <w:rFonts w:hint="eastAsia" w:ascii="微软雅黑" w:hAnsi="微软雅黑" w:eastAsia="微软雅黑" w:cs="微软雅黑"/>
                <w:kern w:val="2"/>
                <w:sz w:val="24"/>
                <w:szCs w:val="24"/>
                <w:vertAlign w:val="baseline"/>
                <w:lang w:val="en-US" w:eastAsia="zh-CN" w:bidi="ar-SA"/>
              </w:rPr>
            </w:pPr>
          </w:p>
        </w:tc>
      </w:tr>
      <w:tr w14:paraId="52AB4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56" w:type="dxa"/>
            <w:vAlign w:val="center"/>
          </w:tcPr>
          <w:p w14:paraId="1D8073C2">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12</w:t>
            </w:r>
          </w:p>
        </w:tc>
        <w:tc>
          <w:tcPr>
            <w:tcW w:w="3493" w:type="dxa"/>
            <w:shd w:val="clear" w:color="auto" w:fill="auto"/>
            <w:vAlign w:val="center"/>
          </w:tcPr>
          <w:p w14:paraId="57F3F3DC">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眼睑清洁仪</w:t>
            </w:r>
          </w:p>
        </w:tc>
        <w:tc>
          <w:tcPr>
            <w:tcW w:w="631" w:type="dxa"/>
            <w:shd w:val="clear" w:color="auto" w:fill="auto"/>
            <w:vAlign w:val="center"/>
          </w:tcPr>
          <w:p w14:paraId="0BED5DC8">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2</w:t>
            </w:r>
          </w:p>
        </w:tc>
        <w:tc>
          <w:tcPr>
            <w:tcW w:w="1713" w:type="dxa"/>
            <w:shd w:val="clear" w:color="auto" w:fill="auto"/>
            <w:vAlign w:val="center"/>
          </w:tcPr>
          <w:p w14:paraId="5569F9AD">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2</w:t>
            </w:r>
          </w:p>
        </w:tc>
        <w:tc>
          <w:tcPr>
            <w:tcW w:w="1735" w:type="dxa"/>
            <w:shd w:val="clear" w:color="auto" w:fill="auto"/>
            <w:vAlign w:val="center"/>
          </w:tcPr>
          <w:p w14:paraId="742E0D1E">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4</w:t>
            </w:r>
          </w:p>
        </w:tc>
        <w:tc>
          <w:tcPr>
            <w:tcW w:w="708" w:type="dxa"/>
            <w:shd w:val="clear" w:color="auto" w:fill="auto"/>
            <w:vAlign w:val="center"/>
          </w:tcPr>
          <w:p w14:paraId="347F363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jc w:val="center"/>
              <w:textAlignment w:val="auto"/>
              <w:rPr>
                <w:rFonts w:hint="eastAsia" w:ascii="微软雅黑" w:hAnsi="微软雅黑" w:eastAsia="微软雅黑" w:cs="微软雅黑"/>
                <w:kern w:val="2"/>
                <w:sz w:val="24"/>
                <w:szCs w:val="24"/>
                <w:vertAlign w:val="baseline"/>
                <w:lang w:val="en-US" w:eastAsia="zh-CN" w:bidi="ar-SA"/>
              </w:rPr>
            </w:pPr>
          </w:p>
        </w:tc>
      </w:tr>
      <w:tr w14:paraId="05879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56" w:type="dxa"/>
            <w:vAlign w:val="center"/>
          </w:tcPr>
          <w:p w14:paraId="35574615">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13</w:t>
            </w:r>
          </w:p>
        </w:tc>
        <w:tc>
          <w:tcPr>
            <w:tcW w:w="3493" w:type="dxa"/>
            <w:shd w:val="clear" w:color="auto" w:fill="auto"/>
            <w:vAlign w:val="center"/>
          </w:tcPr>
          <w:p w14:paraId="2AF3EB59">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裂隙灯显微镜(台面式)</w:t>
            </w:r>
          </w:p>
        </w:tc>
        <w:tc>
          <w:tcPr>
            <w:tcW w:w="631" w:type="dxa"/>
            <w:shd w:val="clear" w:color="auto" w:fill="auto"/>
            <w:vAlign w:val="center"/>
          </w:tcPr>
          <w:p w14:paraId="1E2BCB02">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w:t>
            </w:r>
          </w:p>
        </w:tc>
        <w:tc>
          <w:tcPr>
            <w:tcW w:w="1713" w:type="dxa"/>
            <w:shd w:val="clear" w:color="auto" w:fill="auto"/>
            <w:vAlign w:val="center"/>
          </w:tcPr>
          <w:p w14:paraId="0F08A205">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5</w:t>
            </w:r>
          </w:p>
        </w:tc>
        <w:tc>
          <w:tcPr>
            <w:tcW w:w="1735" w:type="dxa"/>
            <w:shd w:val="clear" w:color="auto" w:fill="auto"/>
            <w:vAlign w:val="center"/>
          </w:tcPr>
          <w:p w14:paraId="65A3DD2A">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5</w:t>
            </w:r>
          </w:p>
        </w:tc>
        <w:tc>
          <w:tcPr>
            <w:tcW w:w="708" w:type="dxa"/>
            <w:shd w:val="clear" w:color="auto" w:fill="auto"/>
            <w:vAlign w:val="center"/>
          </w:tcPr>
          <w:p w14:paraId="2420CF1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jc w:val="center"/>
              <w:textAlignment w:val="auto"/>
              <w:rPr>
                <w:rFonts w:hint="eastAsia" w:ascii="微软雅黑" w:hAnsi="微软雅黑" w:eastAsia="微软雅黑" w:cs="微软雅黑"/>
                <w:kern w:val="2"/>
                <w:sz w:val="24"/>
                <w:szCs w:val="24"/>
                <w:vertAlign w:val="baseline"/>
                <w:lang w:val="en-US" w:eastAsia="zh-CN" w:bidi="ar-SA"/>
              </w:rPr>
            </w:pPr>
          </w:p>
        </w:tc>
      </w:tr>
      <w:tr w14:paraId="6C2C6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56" w:type="dxa"/>
            <w:vAlign w:val="center"/>
          </w:tcPr>
          <w:p w14:paraId="27E67D63">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14</w:t>
            </w:r>
          </w:p>
        </w:tc>
        <w:tc>
          <w:tcPr>
            <w:tcW w:w="3493" w:type="dxa"/>
            <w:shd w:val="clear" w:color="auto" w:fill="auto"/>
            <w:vAlign w:val="center"/>
          </w:tcPr>
          <w:p w14:paraId="658ECBCD">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手持式屈光筛查仪</w:t>
            </w:r>
          </w:p>
        </w:tc>
        <w:tc>
          <w:tcPr>
            <w:tcW w:w="631" w:type="dxa"/>
            <w:shd w:val="clear" w:color="auto" w:fill="auto"/>
            <w:vAlign w:val="center"/>
          </w:tcPr>
          <w:p w14:paraId="4F263E1F">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w:t>
            </w:r>
          </w:p>
        </w:tc>
        <w:tc>
          <w:tcPr>
            <w:tcW w:w="1713" w:type="dxa"/>
            <w:shd w:val="clear" w:color="auto" w:fill="auto"/>
            <w:vAlign w:val="center"/>
          </w:tcPr>
          <w:p w14:paraId="0174A700">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10</w:t>
            </w:r>
          </w:p>
        </w:tc>
        <w:tc>
          <w:tcPr>
            <w:tcW w:w="1735" w:type="dxa"/>
            <w:shd w:val="clear" w:color="auto" w:fill="auto"/>
            <w:vAlign w:val="center"/>
          </w:tcPr>
          <w:p w14:paraId="5419EB59">
            <w:pPr>
              <w:keepNext w:val="0"/>
              <w:keepLines w:val="0"/>
              <w:pageBreakBefore w:val="0"/>
              <w:widowControl/>
              <w:suppressLineNumbers w:val="0"/>
              <w:kinsoku/>
              <w:wordWrap/>
              <w:overflowPunct/>
              <w:topLinePunct w:val="0"/>
              <w:bidi w:val="0"/>
              <w:spacing w:line="440" w:lineRule="exact"/>
              <w:jc w:val="center"/>
              <w:textAlignment w:val="center"/>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10</w:t>
            </w:r>
          </w:p>
        </w:tc>
        <w:tc>
          <w:tcPr>
            <w:tcW w:w="708" w:type="dxa"/>
            <w:shd w:val="clear" w:color="auto" w:fill="auto"/>
            <w:vAlign w:val="center"/>
          </w:tcPr>
          <w:p w14:paraId="0F7D701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jc w:val="center"/>
              <w:textAlignment w:val="auto"/>
              <w:rPr>
                <w:rFonts w:hint="eastAsia" w:ascii="微软雅黑" w:hAnsi="微软雅黑" w:eastAsia="微软雅黑" w:cs="微软雅黑"/>
                <w:kern w:val="2"/>
                <w:sz w:val="24"/>
                <w:szCs w:val="24"/>
                <w:vertAlign w:val="baseline"/>
                <w:lang w:val="en-US" w:eastAsia="zh-CN" w:bidi="ar-SA"/>
              </w:rPr>
            </w:pPr>
          </w:p>
        </w:tc>
      </w:tr>
      <w:tr w14:paraId="0886B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8936" w:type="dxa"/>
            <w:gridSpan w:val="6"/>
            <w:shd w:val="clear" w:color="auto" w:fill="auto"/>
            <w:vAlign w:val="center"/>
          </w:tcPr>
          <w:p w14:paraId="1EBDFA3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b/>
                <w:bCs/>
                <w:sz w:val="24"/>
                <w:szCs w:val="24"/>
                <w:vertAlign w:val="baseline"/>
                <w:lang w:val="en-US" w:eastAsia="zh-CN"/>
              </w:rPr>
              <w:t>备注:本项目投标单价和总价不得超过上述最高限制单价及最高限制总价，否则投标无效。</w:t>
            </w:r>
          </w:p>
        </w:tc>
      </w:tr>
    </w:tbl>
    <w:p w14:paraId="07128346">
      <w:pPr>
        <w:rPr>
          <w:rFonts w:hint="eastAsia" w:ascii="微软雅黑" w:hAnsi="微软雅黑" w:eastAsia="微软雅黑" w:cs="微软雅黑"/>
          <w:b/>
          <w:bCs/>
          <w:kern w:val="0"/>
          <w:sz w:val="28"/>
          <w:szCs w:val="28"/>
          <w:lang w:val="en-US" w:eastAsia="zh-CN" w:bidi="ar-SA"/>
        </w:rPr>
      </w:pPr>
      <w:r>
        <w:rPr>
          <w:rFonts w:hint="eastAsia" w:ascii="微软雅黑" w:hAnsi="微软雅黑" w:eastAsia="微软雅黑" w:cs="微软雅黑"/>
          <w:b/>
          <w:bCs/>
          <w:kern w:val="0"/>
          <w:sz w:val="28"/>
          <w:szCs w:val="28"/>
          <w:lang w:val="en-US" w:eastAsia="zh-CN" w:bidi="ar-SA"/>
        </w:rPr>
        <w:br w:type="page"/>
      </w:r>
    </w:p>
    <w:p w14:paraId="2E0FE3EC">
      <w:pPr>
        <w:pStyle w:val="7"/>
        <w:keepNext w:val="0"/>
        <w:keepLines w:val="0"/>
        <w:pageBreakBefore w:val="0"/>
        <w:numPr>
          <w:ilvl w:val="0"/>
          <w:numId w:val="0"/>
        </w:numPr>
        <w:kinsoku/>
        <w:wordWrap/>
        <w:overflowPunct/>
        <w:topLinePunct w:val="0"/>
        <w:bidi w:val="0"/>
        <w:spacing w:before="0" w:line="440" w:lineRule="exact"/>
        <w:ind w:firstLine="560" w:firstLineChars="200"/>
        <w:outlineLvl w:val="3"/>
        <w:rPr>
          <w:rFonts w:hint="eastAsia" w:ascii="微软雅黑" w:hAnsi="微软雅黑" w:eastAsia="微软雅黑" w:cs="微软雅黑"/>
          <w:b/>
          <w:bCs/>
          <w:sz w:val="28"/>
          <w:szCs w:val="28"/>
          <w:u w:val="none"/>
          <w:lang w:val="en-US" w:eastAsia="zh-CN"/>
        </w:rPr>
      </w:pPr>
      <w:r>
        <w:rPr>
          <w:rFonts w:hint="eastAsia" w:ascii="微软雅黑" w:hAnsi="微软雅黑" w:eastAsia="微软雅黑" w:cs="微软雅黑"/>
          <w:b/>
          <w:bCs/>
          <w:kern w:val="0"/>
          <w:sz w:val="28"/>
          <w:szCs w:val="28"/>
          <w:lang w:val="en-US" w:eastAsia="zh-CN" w:bidi="ar-SA"/>
        </w:rPr>
        <w:t>二、</w:t>
      </w:r>
      <w:r>
        <w:rPr>
          <w:rFonts w:hint="eastAsia" w:ascii="微软雅黑" w:hAnsi="微软雅黑" w:eastAsia="微软雅黑" w:cs="微软雅黑"/>
          <w:b/>
          <w:bCs/>
          <w:sz w:val="28"/>
          <w:szCs w:val="28"/>
          <w:u w:val="none"/>
          <w:lang w:val="en-US" w:eastAsia="zh-CN"/>
        </w:rPr>
        <w:t>技术要求</w:t>
      </w:r>
    </w:p>
    <w:p w14:paraId="76266531">
      <w:pPr>
        <w:pStyle w:val="8"/>
        <w:keepNext w:val="0"/>
        <w:keepLines w:val="0"/>
        <w:pageBreakBefore w:val="0"/>
        <w:numPr>
          <w:ilvl w:val="0"/>
          <w:numId w:val="0"/>
        </w:numPr>
        <w:kinsoku/>
        <w:wordWrap/>
        <w:overflowPunct/>
        <w:topLinePunct w:val="0"/>
        <w:bidi w:val="0"/>
        <w:spacing w:before="0" w:after="0" w:line="440" w:lineRule="exact"/>
        <w:ind w:firstLine="560" w:firstLineChars="200"/>
        <w:jc w:val="center"/>
        <w:outlineLvl w:val="4"/>
        <w:rPr>
          <w:rFonts w:hint="eastAsia" w:ascii="微软雅黑" w:hAnsi="微软雅黑" w:eastAsia="微软雅黑" w:cs="微软雅黑"/>
          <w:b/>
          <w:bCs w:val="0"/>
          <w:sz w:val="28"/>
          <w:szCs w:val="28"/>
          <w:u w:val="none"/>
          <w:lang w:val="en-US" w:eastAsia="zh-CN"/>
        </w:rPr>
      </w:pPr>
      <w:r>
        <w:rPr>
          <w:rFonts w:hint="eastAsia" w:ascii="微软雅黑" w:hAnsi="微软雅黑" w:eastAsia="微软雅黑" w:cs="微软雅黑"/>
          <w:b/>
          <w:bCs w:val="0"/>
          <w:sz w:val="28"/>
          <w:szCs w:val="28"/>
          <w:u w:val="none"/>
          <w:lang w:eastAsia="zh-CN"/>
        </w:rPr>
        <w:t>视觉功能训练治疗软件</w:t>
      </w:r>
      <w:r>
        <w:rPr>
          <w:rFonts w:hint="eastAsia" w:ascii="微软雅黑" w:hAnsi="微软雅黑" w:eastAsia="微软雅黑" w:cs="微软雅黑"/>
          <w:b/>
          <w:bCs w:val="0"/>
          <w:sz w:val="28"/>
          <w:szCs w:val="28"/>
          <w:u w:val="none"/>
          <w:lang w:val="en-US" w:eastAsia="zh-CN"/>
        </w:rPr>
        <w:t>VR版</w:t>
      </w:r>
    </w:p>
    <w:p w14:paraId="0C6654A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1、▲结构及组成：产品预装于计算机交付，主要由精细刺激训练、视觉技巧训练和双眼视功能训练三个模块组成</w:t>
      </w:r>
    </w:p>
    <w:p w14:paraId="19705A5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2、适用于儿童轻、中度弱视及融合功能不足的治疗。</w:t>
      </w:r>
    </w:p>
    <w:p w14:paraId="65D8325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3、▲根据患者的视力和视功能状况，因人而异制定个性化的治疗方案，能让患者进行更有效的弱视康复训练、提高视觉功能。</w:t>
      </w:r>
    </w:p>
    <w:p w14:paraId="01875E3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4、</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软件运行环境要求</w:t>
      </w:r>
    </w:p>
    <w:p w14:paraId="1EC31C6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 xml:space="preserve">4.1 </w:t>
      </w:r>
      <w:r>
        <w:rPr>
          <w:rFonts w:hint="eastAsia" w:ascii="微软雅黑" w:hAnsi="微软雅黑" w:eastAsia="微软雅黑" w:cs="微软雅黑"/>
          <w:sz w:val="24"/>
          <w:szCs w:val="24"/>
          <w:lang w:val="en-US" w:eastAsia="en-US"/>
        </w:rPr>
        <w:t>CPU：</w:t>
      </w:r>
      <w:r>
        <w:rPr>
          <w:rFonts w:hint="eastAsia" w:ascii="微软雅黑" w:hAnsi="微软雅黑" w:eastAsia="微软雅黑" w:cs="微软雅黑"/>
          <w:sz w:val="24"/>
          <w:szCs w:val="24"/>
          <w:lang w:eastAsia="zh-CN"/>
        </w:rPr>
        <w:t>高通骁龙830同等或更高配置；</w:t>
      </w:r>
    </w:p>
    <w:p w14:paraId="61B9FB5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 xml:space="preserve">4.2 </w:t>
      </w:r>
      <w:r>
        <w:rPr>
          <w:rFonts w:hint="eastAsia" w:ascii="微软雅黑" w:hAnsi="微软雅黑" w:eastAsia="微软雅黑" w:cs="微软雅黑"/>
          <w:sz w:val="24"/>
          <w:szCs w:val="24"/>
          <w:lang w:eastAsia="zh-CN"/>
        </w:rPr>
        <w:t>内存：</w:t>
      </w:r>
      <w:r>
        <w:rPr>
          <w:rFonts w:hint="eastAsia" w:ascii="微软雅黑" w:hAnsi="微软雅黑" w:eastAsia="微软雅黑" w:cs="微软雅黑"/>
          <w:sz w:val="24"/>
          <w:szCs w:val="24"/>
          <w:lang w:val="en-US" w:eastAsia="zh-CN"/>
        </w:rPr>
        <w:t>≥8</w:t>
      </w:r>
      <w:r>
        <w:rPr>
          <w:rFonts w:hint="eastAsia" w:ascii="微软雅黑" w:hAnsi="微软雅黑" w:eastAsia="微软雅黑" w:cs="微软雅黑"/>
          <w:sz w:val="24"/>
          <w:szCs w:val="24"/>
          <w:lang w:val="en-US" w:eastAsia="en-US"/>
        </w:rPr>
        <w:t>GB</w:t>
      </w:r>
      <w:r>
        <w:rPr>
          <w:rFonts w:hint="eastAsia" w:ascii="微软雅黑" w:hAnsi="微软雅黑" w:eastAsia="微软雅黑" w:cs="微软雅黑"/>
          <w:sz w:val="24"/>
          <w:szCs w:val="24"/>
          <w:lang w:eastAsia="zh-CN"/>
        </w:rPr>
        <w:t>；</w:t>
      </w:r>
    </w:p>
    <w:p w14:paraId="0BF1B4D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 xml:space="preserve">4.3 </w:t>
      </w:r>
      <w:r>
        <w:rPr>
          <w:rFonts w:hint="eastAsia" w:ascii="微软雅黑" w:hAnsi="微软雅黑" w:eastAsia="微软雅黑" w:cs="微软雅黑"/>
          <w:sz w:val="24"/>
          <w:szCs w:val="24"/>
          <w:lang w:eastAsia="zh-CN"/>
        </w:rPr>
        <w:t>硬盘:</w:t>
      </w:r>
      <w:r>
        <w:rPr>
          <w:rFonts w:hint="eastAsia" w:ascii="微软雅黑" w:hAnsi="微软雅黑" w:eastAsia="微软雅黑" w:cs="微软雅黑"/>
          <w:sz w:val="24"/>
          <w:szCs w:val="24"/>
          <w:lang w:val="en-US" w:eastAsia="zh-CN"/>
        </w:rPr>
        <w:t>≥512</w:t>
      </w:r>
      <w:r>
        <w:rPr>
          <w:rFonts w:hint="eastAsia" w:ascii="微软雅黑" w:hAnsi="微软雅黑" w:eastAsia="微软雅黑" w:cs="微软雅黑"/>
          <w:sz w:val="24"/>
          <w:szCs w:val="24"/>
          <w:lang w:val="en-US" w:eastAsia="en-US"/>
        </w:rPr>
        <w:t>GB</w:t>
      </w:r>
      <w:r>
        <w:rPr>
          <w:rFonts w:hint="eastAsia" w:ascii="微软雅黑" w:hAnsi="微软雅黑" w:eastAsia="微软雅黑" w:cs="微软雅黑"/>
          <w:sz w:val="24"/>
          <w:szCs w:val="24"/>
          <w:lang w:eastAsia="zh-CN"/>
        </w:rPr>
        <w:t>;</w:t>
      </w:r>
    </w:p>
    <w:p w14:paraId="48CAE42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 xml:space="preserve">4.4 </w:t>
      </w:r>
      <w:r>
        <w:rPr>
          <w:rFonts w:hint="eastAsia" w:ascii="微软雅黑" w:hAnsi="微软雅黑" w:eastAsia="微软雅黑" w:cs="微软雅黑"/>
          <w:sz w:val="24"/>
          <w:szCs w:val="24"/>
          <w:lang w:eastAsia="zh-CN"/>
        </w:rPr>
        <w:t>显示器：头戴显示器分辨率</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lang w:val="en-US" w:eastAsia="en-US"/>
        </w:rPr>
        <w:t>1920</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lang w:val="en-US" w:eastAsia="en-US"/>
        </w:rPr>
        <w:t xml:space="preserve">1080 </w:t>
      </w:r>
      <w:r>
        <w:rPr>
          <w:rFonts w:hint="eastAsia" w:ascii="微软雅黑" w:hAnsi="微软雅黑" w:eastAsia="微软雅黑" w:cs="微软雅黑"/>
          <w:sz w:val="24"/>
          <w:szCs w:val="24"/>
          <w:lang w:eastAsia="zh-CN"/>
        </w:rPr>
        <w:t>；</w:t>
      </w:r>
    </w:p>
    <w:p w14:paraId="6CF9228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 xml:space="preserve">4.5 </w:t>
      </w:r>
      <w:r>
        <w:rPr>
          <w:rFonts w:hint="eastAsia" w:ascii="微软雅黑" w:hAnsi="微软雅黑" w:eastAsia="微软雅黑" w:cs="微软雅黑"/>
          <w:sz w:val="24"/>
          <w:szCs w:val="24"/>
          <w:lang w:eastAsia="zh-CN"/>
        </w:rPr>
        <w:t>网络连接：</w:t>
      </w:r>
      <w:r>
        <w:rPr>
          <w:rFonts w:hint="eastAsia" w:ascii="微软雅黑" w:hAnsi="微软雅黑" w:eastAsia="微软雅黑" w:cs="微软雅黑"/>
          <w:i w:val="0"/>
          <w:iCs w:val="0"/>
          <w:color w:val="000000"/>
          <w:kern w:val="0"/>
          <w:sz w:val="24"/>
          <w:szCs w:val="24"/>
          <w:highlight w:val="none"/>
          <w:u w:val="none"/>
          <w:lang w:val="en-US" w:eastAsia="zh-CN" w:bidi="ar"/>
        </w:rPr>
        <w:t>≥</w:t>
      </w:r>
      <w:r>
        <w:rPr>
          <w:rFonts w:hint="eastAsia" w:ascii="微软雅黑" w:hAnsi="微软雅黑" w:eastAsia="微软雅黑" w:cs="微软雅黑"/>
          <w:sz w:val="24"/>
          <w:szCs w:val="24"/>
          <w:highlight w:val="none"/>
          <w:lang w:val="en-US" w:eastAsia="en-US"/>
        </w:rPr>
        <w:t>10M</w:t>
      </w:r>
      <w:r>
        <w:rPr>
          <w:rFonts w:hint="eastAsia" w:ascii="微软雅黑" w:hAnsi="微软雅黑" w:eastAsia="微软雅黑" w:cs="微软雅黑"/>
          <w:sz w:val="24"/>
          <w:szCs w:val="24"/>
          <w:lang w:eastAsia="zh-CN"/>
        </w:rPr>
        <w:t>宽带或无线网络。</w:t>
      </w:r>
    </w:p>
    <w:p w14:paraId="5E2F708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5、显示器1台：</w:t>
      </w:r>
    </w:p>
    <w:p w14:paraId="136A960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lang w:eastAsia="zh-CN"/>
        </w:rPr>
        <w:t>尺寸：≥23英寸</w:t>
      </w:r>
    </w:p>
    <w:p w14:paraId="606E3E0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lang w:eastAsia="zh-CN"/>
        </w:rPr>
        <w:t>屏幕类型：VA</w:t>
      </w:r>
    </w:p>
    <w:p w14:paraId="2CB53D0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lang w:eastAsia="zh-CN"/>
        </w:rPr>
        <w:t>分辨率≥1920</w:t>
      </w: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lang w:eastAsia="zh-CN"/>
        </w:rPr>
        <w:t>1080</w:t>
      </w:r>
    </w:p>
    <w:p w14:paraId="7085C70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lang w:eastAsia="zh-CN"/>
        </w:rPr>
        <w:t>色深：≥8Bit</w:t>
      </w:r>
    </w:p>
    <w:p w14:paraId="0485220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lang w:eastAsia="zh-CN"/>
        </w:rPr>
        <w:t>色域：≥72%NTSC</w:t>
      </w:r>
    </w:p>
    <w:p w14:paraId="03F8E62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lang w:eastAsia="zh-CN"/>
        </w:rPr>
        <w:t>Type-C：</w:t>
      </w:r>
      <w:r>
        <w:rPr>
          <w:rFonts w:hint="eastAsia" w:ascii="微软雅黑" w:hAnsi="微软雅黑" w:eastAsia="微软雅黑" w:cs="微软雅黑"/>
          <w:i w:val="0"/>
          <w:iCs w:val="0"/>
          <w:color w:val="000000"/>
          <w:kern w:val="0"/>
          <w:sz w:val="24"/>
          <w:szCs w:val="24"/>
          <w:highlight w:val="none"/>
          <w:u w:val="none"/>
          <w:lang w:val="en-US" w:eastAsia="zh-CN" w:bidi="ar"/>
        </w:rPr>
        <w:t>≥</w:t>
      </w:r>
      <w:r>
        <w:rPr>
          <w:rFonts w:hint="eastAsia" w:ascii="微软雅黑" w:hAnsi="微软雅黑" w:eastAsia="微软雅黑" w:cs="微软雅黑"/>
          <w:sz w:val="24"/>
          <w:szCs w:val="24"/>
          <w:highlight w:val="none"/>
          <w:lang w:eastAsia="zh-CN"/>
        </w:rPr>
        <w:t>15W</w:t>
      </w:r>
    </w:p>
    <w:p w14:paraId="677B041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lang w:eastAsia="zh-CN"/>
        </w:rPr>
        <w:t>支架：旋转升降</w:t>
      </w:r>
    </w:p>
    <w:p w14:paraId="26A34B7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lang w:eastAsia="zh-CN"/>
        </w:rPr>
        <w:t>接口：HDMI+USB×2+Type C</w:t>
      </w:r>
    </w:p>
    <w:p w14:paraId="4164DA3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eastAsia="zh-CN"/>
        </w:rPr>
        <w:t>亮度：≥250cd/m²</w:t>
      </w:r>
    </w:p>
    <w:p w14:paraId="2109C02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6、训练设备：在符合硬件配置和系统配置要求的虚拟现实头戴显示器（VR）上使用，利用VR技术优势，以游戏的方式训练。</w:t>
      </w:r>
    </w:p>
    <w:p w14:paraId="615CFF3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7、训练刺激模式：双眼分视刺激模式、刺激模式A、刺激模式B等</w:t>
      </w:r>
    </w:p>
    <w:p w14:paraId="3239D8E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8、▲训练项目：软件训练项目≥18个。</w:t>
      </w:r>
    </w:p>
    <w:p w14:paraId="63774CD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9、整机质保5年（含附件）</w:t>
      </w:r>
    </w:p>
    <w:p w14:paraId="4801E7E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10、所用耗材均已在新疆医保平台挂网。</w:t>
      </w:r>
    </w:p>
    <w:p w14:paraId="6CF8A42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11、软件终身升级，不再另外收费。</w:t>
      </w:r>
    </w:p>
    <w:p w14:paraId="22295E1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11、</w:t>
      </w:r>
      <w:r>
        <w:rPr>
          <w:rFonts w:hint="eastAsia" w:ascii="微软雅黑" w:hAnsi="微软雅黑" w:eastAsia="微软雅黑" w:cs="微软雅黑"/>
          <w:sz w:val="24"/>
          <w:szCs w:val="24"/>
          <w:lang w:eastAsia="zh-CN"/>
        </w:rPr>
        <w:t>提供设备状态卡及适应症范围快速操作卡。</w:t>
      </w:r>
    </w:p>
    <w:p w14:paraId="7EC2FC8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red"/>
          <w:lang w:val="en-US" w:eastAsia="zh-CN"/>
        </w:rPr>
      </w:pPr>
      <w:r>
        <w:rPr>
          <w:rFonts w:hint="eastAsia" w:ascii="微软雅黑" w:hAnsi="微软雅黑" w:eastAsia="微软雅黑" w:cs="微软雅黑"/>
          <w:sz w:val="24"/>
          <w:szCs w:val="24"/>
          <w:lang w:val="en-US" w:eastAsia="zh-CN"/>
        </w:rPr>
        <w:t>12、提供的产品需是近一年生产的。</w:t>
      </w:r>
    </w:p>
    <w:p w14:paraId="3537B8FF">
      <w:pPr>
        <w:pStyle w:val="8"/>
        <w:keepNext w:val="0"/>
        <w:keepLines w:val="0"/>
        <w:pageBreakBefore w:val="0"/>
        <w:kinsoku/>
        <w:wordWrap/>
        <w:overflowPunct/>
        <w:topLinePunct w:val="0"/>
        <w:bidi w:val="0"/>
        <w:spacing w:before="0" w:after="0" w:line="440" w:lineRule="exact"/>
        <w:ind w:firstLine="480" w:firstLineChars="200"/>
        <w:jc w:val="center"/>
        <w:outlineLvl w:val="4"/>
        <w:rPr>
          <w:rFonts w:hint="eastAsia" w:ascii="微软雅黑" w:hAnsi="微软雅黑" w:eastAsia="微软雅黑" w:cs="微软雅黑"/>
          <w:b/>
          <w:bCs w:val="0"/>
          <w:sz w:val="24"/>
          <w:szCs w:val="24"/>
          <w:u w:val="none"/>
          <w:lang w:val="en-US" w:eastAsia="zh-CN"/>
        </w:rPr>
      </w:pPr>
      <w:r>
        <w:rPr>
          <w:rFonts w:hint="eastAsia" w:ascii="微软雅黑" w:hAnsi="微软雅黑" w:eastAsia="微软雅黑" w:cs="微软雅黑"/>
          <w:b/>
          <w:bCs w:val="0"/>
          <w:sz w:val="24"/>
          <w:szCs w:val="24"/>
          <w:u w:val="none"/>
          <w:lang w:eastAsia="zh-CN"/>
        </w:rPr>
        <w:t>视觉功能训练治疗软件（</w:t>
      </w:r>
      <w:r>
        <w:rPr>
          <w:rFonts w:hint="eastAsia" w:ascii="微软雅黑" w:hAnsi="微软雅黑" w:eastAsia="微软雅黑" w:cs="微软雅黑"/>
          <w:b/>
          <w:bCs w:val="0"/>
          <w:sz w:val="24"/>
          <w:szCs w:val="24"/>
          <w:u w:val="none"/>
          <w:lang w:val="en-US" w:eastAsia="zh-CN"/>
        </w:rPr>
        <w:t xml:space="preserve">裸眼3D） </w:t>
      </w:r>
    </w:p>
    <w:p w14:paraId="449DF7A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1、由精细刺激训练、视觉技巧训练、双眼视功能训练、Gabor 类训练、对比敏感度训练与信息提取训练等模块组成。</w:t>
      </w:r>
    </w:p>
    <w:p w14:paraId="3E31322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2、用于儿童轻、中度弱视及融合功能不足的治疗。</w:t>
      </w:r>
    </w:p>
    <w:p w14:paraId="48C381F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3、根据患者的视力和视功能状况，因人而异制定个性化的治疗方案，能让患者进行更有效的弱视康复训练、提高视觉功能。</w:t>
      </w:r>
    </w:p>
    <w:p w14:paraId="13D2C05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4、具备从用户管理、病历录入、方案制定、视功能训练管理全流程覆盖。具有患者训练管理、电子病历管理、医护人员的弱视项目绩效管理。</w:t>
      </w:r>
    </w:p>
    <w:p w14:paraId="6E640A9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5、软件环境：支持 Windows 操作系统，系统∶Windows 7、Windows 8/8.1、Windows 10、macOS11或兼容版本。</w:t>
      </w:r>
    </w:p>
    <w:p w14:paraId="26DFD6A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6、训练设备：在符合硬件配置和系统配置要求的设备上使用（裸眼3D设备）</w:t>
      </w:r>
    </w:p>
    <w:p w14:paraId="75DE931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6.1、液晶屏参数</w:t>
      </w:r>
    </w:p>
    <w:p w14:paraId="553C47B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有效画面尺寸：</w:t>
      </w:r>
      <w:r>
        <w:rPr>
          <w:rFonts w:hint="eastAsia" w:ascii="微软雅黑" w:hAnsi="微软雅黑" w:eastAsia="微软雅黑" w:cs="微软雅黑"/>
          <w:i w:val="0"/>
          <w:iCs w:val="0"/>
          <w:color w:val="000000"/>
          <w:kern w:val="0"/>
          <w:sz w:val="24"/>
          <w:szCs w:val="24"/>
          <w:highlight w:val="none"/>
          <w:u w:val="none"/>
          <w:lang w:val="en-US" w:eastAsia="zh-CN" w:bidi="ar"/>
        </w:rPr>
        <w:t>≥</w:t>
      </w:r>
      <w:r>
        <w:rPr>
          <w:rFonts w:hint="eastAsia" w:ascii="微软雅黑" w:hAnsi="微软雅黑" w:eastAsia="微软雅黑" w:cs="微软雅黑"/>
          <w:sz w:val="24"/>
          <w:szCs w:val="24"/>
          <w:highlight w:val="none"/>
          <w:lang w:val="en-US" w:eastAsia="zh-CN"/>
        </w:rPr>
        <w:t>1209.6(H)* 680.4(V) mm</w:t>
      </w:r>
    </w:p>
    <w:p w14:paraId="213E3F1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屏幕分辨率：</w:t>
      </w:r>
      <w:r>
        <w:rPr>
          <w:rFonts w:hint="eastAsia" w:ascii="微软雅黑" w:hAnsi="微软雅黑" w:eastAsia="微软雅黑" w:cs="微软雅黑"/>
          <w:i w:val="0"/>
          <w:iCs w:val="0"/>
          <w:color w:val="000000"/>
          <w:kern w:val="0"/>
          <w:sz w:val="24"/>
          <w:szCs w:val="24"/>
          <w:highlight w:val="none"/>
          <w:u w:val="none"/>
          <w:lang w:val="en-US" w:eastAsia="zh-CN" w:bidi="ar"/>
        </w:rPr>
        <w:t>≥</w:t>
      </w:r>
      <w:r>
        <w:rPr>
          <w:rFonts w:hint="eastAsia" w:ascii="微软雅黑" w:hAnsi="微软雅黑" w:eastAsia="微软雅黑" w:cs="微软雅黑"/>
          <w:sz w:val="24"/>
          <w:szCs w:val="24"/>
          <w:highlight w:val="none"/>
          <w:lang w:val="en-US" w:eastAsia="zh-CN"/>
        </w:rPr>
        <w:t>3840*2160</w:t>
      </w:r>
    </w:p>
    <w:p w14:paraId="3F8F85F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像素间距：0.315 (H) x 0.315(W)</w:t>
      </w:r>
    </w:p>
    <w:p w14:paraId="4F9E902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对比度：4000:1(典型)</w:t>
      </w:r>
    </w:p>
    <w:p w14:paraId="678915A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亮度：</w:t>
      </w:r>
      <w:r>
        <w:rPr>
          <w:rFonts w:hint="eastAsia" w:ascii="微软雅黑" w:hAnsi="微软雅黑" w:eastAsia="微软雅黑" w:cs="微软雅黑"/>
          <w:i w:val="0"/>
          <w:iCs w:val="0"/>
          <w:color w:val="000000"/>
          <w:kern w:val="0"/>
          <w:sz w:val="24"/>
          <w:szCs w:val="24"/>
          <w:highlight w:val="none"/>
          <w:u w:val="none"/>
          <w:lang w:val="en-US" w:eastAsia="zh-CN" w:bidi="ar"/>
        </w:rPr>
        <w:t>≥</w:t>
      </w:r>
      <w:r>
        <w:rPr>
          <w:rFonts w:hint="eastAsia" w:ascii="微软雅黑" w:hAnsi="微软雅黑" w:eastAsia="微软雅黑" w:cs="微软雅黑"/>
          <w:sz w:val="24"/>
          <w:szCs w:val="24"/>
          <w:highlight w:val="none"/>
          <w:lang w:val="en-US" w:eastAsia="zh-CN"/>
        </w:rPr>
        <w:t>450cd/m</w:t>
      </w:r>
      <w:r>
        <w:rPr>
          <w:rFonts w:hint="eastAsia" w:ascii="微软雅黑" w:hAnsi="微软雅黑" w:eastAsia="微软雅黑" w:cs="微软雅黑"/>
          <w:sz w:val="24"/>
          <w:szCs w:val="24"/>
          <w:highlight w:val="none"/>
          <w:vertAlign w:val="superscript"/>
          <w:lang w:val="en-US" w:eastAsia="zh-CN"/>
        </w:rPr>
        <w:t>2</w:t>
      </w:r>
      <w:r>
        <w:rPr>
          <w:rFonts w:hint="eastAsia" w:ascii="微软雅黑" w:hAnsi="微软雅黑" w:eastAsia="微软雅黑" w:cs="微软雅黑"/>
          <w:sz w:val="24"/>
          <w:szCs w:val="24"/>
          <w:highlight w:val="none"/>
          <w:lang w:val="en-US" w:eastAsia="zh-CN"/>
        </w:rPr>
        <w:t>(典型)</w:t>
      </w:r>
    </w:p>
    <w:p w14:paraId="600FB6E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屏幕比例：16:9</w:t>
      </w:r>
    </w:p>
    <w:p w14:paraId="07536D5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响应时间≤8ms</w:t>
      </w:r>
    </w:p>
    <w:p w14:paraId="08AD175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色彩：1.07B</w:t>
      </w:r>
    </w:p>
    <w:p w14:paraId="3F9040B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色域：91% sRGB</w:t>
      </w:r>
    </w:p>
    <w:p w14:paraId="5AABDC1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背光：LED</w:t>
      </w:r>
    </w:p>
    <w:p w14:paraId="69A12BA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可视角度：89/89/89/89(典型)</w:t>
      </w:r>
    </w:p>
    <w:p w14:paraId="61216BF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6.2、裸眼3D参数</w:t>
      </w:r>
    </w:p>
    <w:p w14:paraId="09934AF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6.2.1 3D观看距离：1.2m～2.8m</w:t>
      </w:r>
    </w:p>
    <w:p w14:paraId="5E69F0B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6.2.2最佳3D观看距离：1.6m～2.0m</w:t>
      </w:r>
    </w:p>
    <w:p w14:paraId="2C1CF62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6.2.3 3D观看视角：水平42°，垂直30°;</w:t>
      </w:r>
    </w:p>
    <w:p w14:paraId="7A7075F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6.2.4智能2D/3D切换：支持智能2D/3D切换，有人观看自动切换3D；无人观看切换2D;</w:t>
      </w:r>
    </w:p>
    <w:p w14:paraId="5666B73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6.2.5立体效果：智能 3D 图像处理算法，根据空间位置实时渲染 3D图像，无需佩戴眼镜能看到3D影像，无延时、串扰、重影、抖动等问题。</w:t>
      </w:r>
    </w:p>
    <w:p w14:paraId="2AC2428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6.2.6跟踪方式：基于深度学习的人眼跟踪技术，识别速度快、跟踪稳定性高、跟踪实时性。</w:t>
      </w:r>
    </w:p>
    <w:p w14:paraId="41F2CB0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6.2.7 3D 处理：智能3D图像处理器</w:t>
      </w:r>
    </w:p>
    <w:p w14:paraId="34237A5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6.2.8适宜视差：水平视差≤5.8% 垂直视差 0%</w:t>
      </w:r>
    </w:p>
    <w:p w14:paraId="21AE80B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6.2.9光栅技术：柱镜光栅</w:t>
      </w:r>
    </w:p>
    <w:p w14:paraId="0B5957F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sz w:val="24"/>
          <w:szCs w:val="24"/>
          <w:lang w:val="en-US" w:eastAsia="zh-CN"/>
        </w:rPr>
        <w:t>6.2.10</w:t>
      </w:r>
      <w:r>
        <w:rPr>
          <w:rFonts w:hint="eastAsia" w:ascii="微软雅黑" w:hAnsi="微软雅黑" w:eastAsia="微软雅黑" w:cs="微软雅黑"/>
          <w:color w:val="auto"/>
          <w:sz w:val="24"/>
          <w:szCs w:val="24"/>
          <w:highlight w:val="none"/>
          <w:lang w:val="en-US" w:eastAsia="zh-CN"/>
        </w:rPr>
        <w:t>信号源：支持 4K@60Hz 信号源输入，超高清画质</w:t>
      </w:r>
    </w:p>
    <w:p w14:paraId="34AA723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6.2.11 3D 视频格式：支持左右 3D、4K行交织</w:t>
      </w:r>
    </w:p>
    <w:p w14:paraId="6BE4236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6.2.12 2D 视频格式：支持通用 2D 视频格式</w:t>
      </w:r>
    </w:p>
    <w:p w14:paraId="6ABC277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6.3、HDMI输入HDMI(*2),支持HDMI 2.0协议，支持硬解4K&amp;60Hz信号 ，DP输入DP(*2),支持 DP1.1 和DP1.2，支持硬解4K&amp;60Hz信号</w:t>
      </w:r>
    </w:p>
    <w:p w14:paraId="717B19D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6.4、电气参数</w:t>
      </w:r>
    </w:p>
    <w:p w14:paraId="1EE2F37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输入电压 AC 100V-240V(50/60Hz)</w:t>
      </w:r>
    </w:p>
    <w:p w14:paraId="18945C1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最大功率</w:t>
      </w:r>
      <w:r>
        <w:rPr>
          <w:rFonts w:hint="eastAsia" w:ascii="微软雅黑" w:hAnsi="微软雅黑" w:eastAsia="微软雅黑" w:cs="微软雅黑"/>
          <w:i w:val="0"/>
          <w:iCs w:val="0"/>
          <w:color w:val="auto"/>
          <w:kern w:val="0"/>
          <w:sz w:val="24"/>
          <w:szCs w:val="24"/>
          <w:highlight w:val="none"/>
          <w:u w:val="none"/>
          <w:lang w:val="en-US" w:eastAsia="zh-CN" w:bidi="ar"/>
        </w:rPr>
        <w:t>≥</w:t>
      </w:r>
      <w:r>
        <w:rPr>
          <w:rFonts w:hint="eastAsia" w:ascii="微软雅黑" w:hAnsi="微软雅黑" w:eastAsia="微软雅黑" w:cs="微软雅黑"/>
          <w:color w:val="auto"/>
          <w:sz w:val="24"/>
          <w:szCs w:val="24"/>
          <w:highlight w:val="none"/>
          <w:lang w:val="en-US" w:eastAsia="zh-CN"/>
        </w:rPr>
        <w:t xml:space="preserve"> 120W</w:t>
      </w:r>
    </w:p>
    <w:p w14:paraId="63E9436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工作温度 0℃～35℃</w:t>
      </w:r>
    </w:p>
    <w:p w14:paraId="19DF5BA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工作湿度 20%～90%，无凝露</w:t>
      </w:r>
    </w:p>
    <w:p w14:paraId="1946D67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存贮温度：-20℃～60℃</w:t>
      </w:r>
    </w:p>
    <w:p w14:paraId="3E3C108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存贮湿度：10%～90%，无凝露</w:t>
      </w:r>
    </w:p>
    <w:p w14:paraId="5960ABD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7、登入方式：支持用户名密码登录，支持微信扫码登录。3D功能的裸眼3D 显示器或头戴3D显示器。</w:t>
      </w:r>
    </w:p>
    <w:p w14:paraId="4F71D8E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▲8、训练刺激模式：中心注视刺激模式，旁中心注视刺激模式、分视刺激模式等</w:t>
      </w:r>
    </w:p>
    <w:p w14:paraId="21474A1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▲9、训练项目：软件训练项目≥170个。</w:t>
      </w:r>
    </w:p>
    <w:p w14:paraId="4CE4B81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10、整机质保5年（含附件）</w:t>
      </w:r>
    </w:p>
    <w:p w14:paraId="44AA082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11、所用耗材均已在新疆医保平台挂网。</w:t>
      </w:r>
    </w:p>
    <w:p w14:paraId="6C7840D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12、软件终身升级，不再另外收费。</w:t>
      </w:r>
    </w:p>
    <w:p w14:paraId="73938DE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13、提供设备状态卡及适应症范围快速操作卡。</w:t>
      </w:r>
    </w:p>
    <w:p w14:paraId="7FB960B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14、提供的产品需是近一年生产的。</w:t>
      </w:r>
    </w:p>
    <w:p w14:paraId="7D7CEDBF">
      <w:pPr>
        <w:keepNext w:val="0"/>
        <w:keepLines w:val="0"/>
        <w:pageBreakBefore w:val="0"/>
        <w:kinsoku/>
        <w:wordWrap/>
        <w:overflowPunct/>
        <w:topLinePunct w:val="0"/>
        <w:bidi w:val="0"/>
        <w:spacing w:line="440" w:lineRule="exact"/>
        <w:ind w:firstLine="480" w:firstLineChars="200"/>
        <w:rPr>
          <w:rFonts w:hint="eastAsia" w:ascii="微软雅黑" w:hAnsi="微软雅黑" w:eastAsia="微软雅黑" w:cs="微软雅黑"/>
          <w:color w:val="auto"/>
          <w:sz w:val="24"/>
          <w:szCs w:val="24"/>
          <w:highlight w:val="none"/>
          <w:lang w:val="en-US" w:eastAsia="zh-CN"/>
        </w:rPr>
      </w:pPr>
    </w:p>
    <w:p w14:paraId="49EC4F63">
      <w:pPr>
        <w:keepNext w:val="0"/>
        <w:keepLines w:val="0"/>
        <w:pageBreakBefore w:val="0"/>
        <w:kinsoku/>
        <w:wordWrap/>
        <w:overflowPunct/>
        <w:topLinePunct w:val="0"/>
        <w:bidi w:val="0"/>
        <w:snapToGrid/>
        <w:spacing w:beforeAutospacing="0" w:afterAutospacing="0" w:line="440" w:lineRule="exact"/>
        <w:ind w:firstLine="480" w:firstLineChars="200"/>
        <w:jc w:val="center"/>
        <w:textAlignment w:val="baseline"/>
        <w:outlineLvl w:val="4"/>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pPr>
      <w:r>
        <w:rPr>
          <w:rFonts w:hint="eastAsia" w:ascii="微软雅黑" w:hAnsi="微软雅黑" w:eastAsia="微软雅黑" w:cs="微软雅黑"/>
          <w:b/>
          <w:bCs/>
          <w:color w:val="auto"/>
          <w:kern w:val="0"/>
          <w:sz w:val="24"/>
          <w:szCs w:val="24"/>
          <w:highlight w:val="none"/>
          <w:lang w:val="en-US" w:eastAsia="zh-CN" w:bidi="ar-SA"/>
        </w:rPr>
        <w:t>钬激光碎石系统技术参数</w:t>
      </w:r>
    </w:p>
    <w:p w14:paraId="79379B55">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Fonts w:hint="eastAsia" w:ascii="微软雅黑" w:hAnsi="微软雅黑" w:eastAsia="微软雅黑" w:cs="微软雅黑"/>
          <w:b w:val="0"/>
          <w:i w:val="0"/>
          <w:caps w:val="0"/>
          <w:color w:val="auto"/>
          <w:spacing w:val="0"/>
          <w:w w:val="100"/>
          <w:sz w:val="24"/>
          <w:szCs w:val="24"/>
          <w:highlight w:val="none"/>
        </w:rPr>
      </w:pP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1.</w:t>
      </w:r>
      <w:r>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t>工作激光输出波长：2100nm ±</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3</w:t>
      </w:r>
      <w:r>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t>0nm。</w:t>
      </w:r>
    </w:p>
    <w:p w14:paraId="75B8EEBE">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pPr>
      <w:r>
        <w:rPr>
          <w:rStyle w:val="48"/>
          <w:rFonts w:hint="eastAsia" w:ascii="微软雅黑" w:hAnsi="微软雅黑" w:eastAsia="微软雅黑" w:cs="微软雅黑"/>
          <w:b w:val="0"/>
          <w:i w:val="0"/>
          <w:caps w:val="0"/>
          <w:color w:val="auto"/>
          <w:spacing w:val="0"/>
          <w:w w:val="100"/>
          <w:kern w:val="2"/>
          <w:sz w:val="24"/>
          <w:szCs w:val="24"/>
          <w:highlight w:val="none"/>
          <w:lang w:val="zh-CN" w:eastAsia="zh-CN" w:bidi="ar-SA"/>
        </w:rPr>
        <w:t>2.</w:t>
      </w:r>
      <w:r>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t>光纤为四层结构。</w:t>
      </w:r>
    </w:p>
    <w:p w14:paraId="7DE6DD0B">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pPr>
      <w:r>
        <w:rPr>
          <w:rStyle w:val="48"/>
          <w:rFonts w:hint="eastAsia" w:ascii="微软雅黑" w:hAnsi="微软雅黑" w:eastAsia="微软雅黑" w:cs="微软雅黑"/>
          <w:b w:val="0"/>
          <w:i w:val="0"/>
          <w:caps w:val="0"/>
          <w:color w:val="auto"/>
          <w:spacing w:val="0"/>
          <w:w w:val="100"/>
          <w:kern w:val="2"/>
          <w:sz w:val="24"/>
          <w:szCs w:val="24"/>
          <w:highlight w:val="none"/>
          <w:lang w:val="zh-CN" w:eastAsia="zh-CN" w:bidi="ar-SA"/>
        </w:rPr>
        <w:t>3.</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激光治疗机连续工作≥8小时，功率稳定性高无衰减。</w:t>
      </w:r>
    </w:p>
    <w:p w14:paraId="3054D63E">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pP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4.</w:t>
      </w:r>
      <w:r>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t>输出不稳定度</w:t>
      </w:r>
      <w:r>
        <w:rPr>
          <w:rStyle w:val="48"/>
          <w:rFonts w:hint="eastAsia" w:ascii="微软雅黑" w:hAnsi="微软雅黑" w:eastAsia="微软雅黑" w:cs="微软雅黑"/>
          <w:b w:val="0"/>
          <w:i w:val="0"/>
          <w:caps w:val="0"/>
          <w:color w:val="auto"/>
          <w:spacing w:val="-6"/>
          <w:w w:val="100"/>
          <w:sz w:val="24"/>
          <w:szCs w:val="24"/>
          <w:highlight w:val="none"/>
          <w:lang w:val="en-US" w:eastAsia="zh-CN" w:bidi="ar-SA"/>
        </w:rPr>
        <w:t>：</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≤±4%</w:t>
      </w:r>
    </w:p>
    <w:p w14:paraId="7D33477E">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pPr>
      <w:r>
        <w:rPr>
          <w:rFonts w:hint="eastAsia" w:ascii="微软雅黑" w:hAnsi="微软雅黑" w:eastAsia="微软雅黑" w:cs="微软雅黑"/>
          <w:b/>
          <w:bCs/>
          <w:i w:val="0"/>
          <w:caps w:val="0"/>
          <w:color w:val="auto"/>
          <w:spacing w:val="0"/>
          <w:w w:val="100"/>
          <w:sz w:val="24"/>
          <w:szCs w:val="24"/>
          <w:highlight w:val="none"/>
          <w:lang w:val="en-US" w:eastAsia="zh-CN" w:bidi="ar-SA"/>
        </w:rPr>
        <w:t>▲</w:t>
      </w:r>
      <w:r>
        <w:rPr>
          <w:rStyle w:val="48"/>
          <w:rFonts w:hint="eastAsia" w:ascii="微软雅黑" w:hAnsi="微软雅黑" w:eastAsia="微软雅黑" w:cs="微软雅黑"/>
          <w:b w:val="0"/>
          <w:i w:val="0"/>
          <w:caps w:val="0"/>
          <w:color w:val="auto"/>
          <w:spacing w:val="0"/>
          <w:w w:val="100"/>
          <w:kern w:val="2"/>
          <w:sz w:val="24"/>
          <w:szCs w:val="24"/>
          <w:highlight w:val="none"/>
          <w:lang w:val="zh-CN" w:eastAsia="zh-CN" w:bidi="ar-SA"/>
        </w:rPr>
        <w:t>5.</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窄脉宽：≤210μs。</w:t>
      </w:r>
    </w:p>
    <w:p w14:paraId="7676B06B">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Fonts w:hint="eastAsia" w:ascii="微软雅黑" w:hAnsi="微软雅黑" w:eastAsia="微软雅黑" w:cs="微软雅黑"/>
          <w:b w:val="0"/>
          <w:i w:val="0"/>
          <w:caps w:val="0"/>
          <w:color w:val="auto"/>
          <w:spacing w:val="0"/>
          <w:w w:val="100"/>
          <w:sz w:val="24"/>
          <w:szCs w:val="24"/>
          <w:highlight w:val="none"/>
        </w:rPr>
      </w:pPr>
      <w:r>
        <w:rPr>
          <w:rFonts w:hint="eastAsia" w:ascii="微软雅黑" w:hAnsi="微软雅黑" w:eastAsia="微软雅黑" w:cs="微软雅黑"/>
          <w:b/>
          <w:bCs/>
          <w:i w:val="0"/>
          <w:caps w:val="0"/>
          <w:color w:val="auto"/>
          <w:spacing w:val="0"/>
          <w:w w:val="100"/>
          <w:sz w:val="24"/>
          <w:szCs w:val="24"/>
          <w:highlight w:val="none"/>
          <w:lang w:val="en-US" w:eastAsia="zh-CN" w:bidi="ar-SA"/>
        </w:rPr>
        <w:t>▲</w:t>
      </w: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6.</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可匹配：272μm、200μm、365μm、550μm等规格光纤。</w:t>
      </w:r>
    </w:p>
    <w:p w14:paraId="4095B5B3">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Fonts w:hint="eastAsia" w:ascii="微软雅黑" w:hAnsi="微软雅黑" w:eastAsia="微软雅黑" w:cs="微软雅黑"/>
          <w:b w:val="0"/>
          <w:i w:val="0"/>
          <w:caps w:val="0"/>
          <w:color w:val="auto"/>
          <w:spacing w:val="0"/>
          <w:w w:val="100"/>
          <w:sz w:val="24"/>
          <w:szCs w:val="24"/>
          <w:highlight w:val="none"/>
        </w:rPr>
      </w:pP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7.</w:t>
      </w:r>
      <w:r>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t>设备用于泌尿系结石的碎石，</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尖锐湿疣、肉芽肿、浅皮肿瘤的汽化和凝固。</w:t>
      </w:r>
    </w:p>
    <w:p w14:paraId="1F353078">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Fonts w:hint="eastAsia" w:ascii="微软雅黑" w:hAnsi="微软雅黑" w:eastAsia="微软雅黑" w:cs="微软雅黑"/>
          <w:b w:val="0"/>
          <w:i w:val="0"/>
          <w:caps w:val="0"/>
          <w:color w:val="auto"/>
          <w:spacing w:val="0"/>
          <w:w w:val="100"/>
          <w:sz w:val="24"/>
          <w:szCs w:val="24"/>
          <w:highlight w:val="none"/>
        </w:rPr>
      </w:pP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8.</w:t>
      </w:r>
      <w:r>
        <w:rPr>
          <w:rFonts w:hint="eastAsia" w:ascii="微软雅黑" w:hAnsi="微软雅黑" w:eastAsia="微软雅黑" w:cs="微软雅黑"/>
          <w:b w:val="0"/>
          <w:i w:val="0"/>
          <w:caps w:val="0"/>
          <w:color w:val="auto"/>
          <w:spacing w:val="0"/>
          <w:w w:val="100"/>
          <w:sz w:val="24"/>
          <w:szCs w:val="24"/>
          <w:highlight w:val="none"/>
        </w:rPr>
        <w:t>设备最大输出功率范围≥80~96瓦</w:t>
      </w:r>
    </w:p>
    <w:p w14:paraId="0DAE1675">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Fonts w:hint="eastAsia" w:ascii="微软雅黑" w:hAnsi="微软雅黑" w:eastAsia="微软雅黑" w:cs="微软雅黑"/>
          <w:b w:val="0"/>
          <w:i w:val="0"/>
          <w:caps w:val="0"/>
          <w:color w:val="auto"/>
          <w:spacing w:val="0"/>
          <w:w w:val="100"/>
          <w:sz w:val="24"/>
          <w:szCs w:val="24"/>
          <w:highlight w:val="none"/>
        </w:rPr>
      </w:pP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9.</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 xml:space="preserve">具有控制能量稳定功能，使激光输出功率的复现性：≤±3% </w:t>
      </w:r>
    </w:p>
    <w:p w14:paraId="76C4F2CB">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pPr>
      <w:r>
        <w:rPr>
          <w:rStyle w:val="48"/>
          <w:rFonts w:hint="eastAsia" w:ascii="微软雅黑" w:hAnsi="微软雅黑" w:eastAsia="微软雅黑" w:cs="微软雅黑"/>
          <w:b w:val="0"/>
          <w:i w:val="0"/>
          <w:caps w:val="0"/>
          <w:color w:val="auto"/>
          <w:spacing w:val="0"/>
          <w:w w:val="100"/>
          <w:kern w:val="2"/>
          <w:sz w:val="24"/>
          <w:szCs w:val="24"/>
          <w:highlight w:val="none"/>
          <w:lang w:val="zh-CN" w:eastAsia="zh-CN" w:bidi="ar-SA"/>
        </w:rPr>
        <w:t>10.</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激光耦合效率≥95%（</w:t>
      </w:r>
      <w:r>
        <w:rPr>
          <w:rStyle w:val="48"/>
          <w:rFonts w:hint="eastAsia" w:ascii="微软雅黑" w:hAnsi="微软雅黑" w:eastAsia="微软雅黑" w:cs="微软雅黑"/>
          <w:b/>
          <w:bCs/>
          <w:i w:val="0"/>
          <w:caps w:val="0"/>
          <w:color w:val="auto"/>
          <w:spacing w:val="0"/>
          <w:w w:val="100"/>
          <w:sz w:val="24"/>
          <w:szCs w:val="24"/>
          <w:highlight w:val="none"/>
          <w:lang w:val="en-US" w:eastAsia="zh-CN" w:bidi="ar-SA"/>
        </w:rPr>
        <w:t>具有国家资质的检测机构出具检测报告</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w:t>
      </w:r>
    </w:p>
    <w:p w14:paraId="0E4821C8">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pPr>
      <w:r>
        <w:rPr>
          <w:rFonts w:hint="eastAsia" w:ascii="微软雅黑" w:hAnsi="微软雅黑" w:eastAsia="微软雅黑" w:cs="微软雅黑"/>
          <w:b/>
          <w:bCs/>
          <w:i w:val="0"/>
          <w:caps w:val="0"/>
          <w:color w:val="auto"/>
          <w:spacing w:val="0"/>
          <w:w w:val="100"/>
          <w:sz w:val="24"/>
          <w:szCs w:val="24"/>
          <w:highlight w:val="none"/>
          <w:lang w:val="en-US" w:eastAsia="zh-CN" w:bidi="ar-SA"/>
        </w:rPr>
        <w:t>▲</w:t>
      </w:r>
      <w:r>
        <w:rPr>
          <w:rStyle w:val="48"/>
          <w:rFonts w:hint="eastAsia" w:ascii="微软雅黑" w:hAnsi="微软雅黑" w:eastAsia="微软雅黑" w:cs="微软雅黑"/>
          <w:b w:val="0"/>
          <w:i w:val="0"/>
          <w:caps w:val="0"/>
          <w:color w:val="auto"/>
          <w:spacing w:val="0"/>
          <w:w w:val="100"/>
          <w:kern w:val="2"/>
          <w:sz w:val="24"/>
          <w:szCs w:val="24"/>
          <w:highlight w:val="none"/>
          <w:lang w:val="zh-CN" w:eastAsia="zh-CN" w:bidi="ar-SA"/>
        </w:rPr>
        <w:t>11.</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脉宽可调，靶向碎石：宽窄脉宽间距≥600us。</w:t>
      </w:r>
    </w:p>
    <w:p w14:paraId="74768DA0">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Fonts w:hint="eastAsia" w:ascii="微软雅黑" w:hAnsi="微软雅黑" w:eastAsia="微软雅黑" w:cs="微软雅黑"/>
          <w:b w:val="0"/>
          <w:i w:val="0"/>
          <w:caps w:val="0"/>
          <w:color w:val="auto"/>
          <w:spacing w:val="0"/>
          <w:w w:val="100"/>
          <w:sz w:val="24"/>
          <w:szCs w:val="24"/>
          <w:highlight w:val="none"/>
          <w:lang w:val="zh-CN" w:eastAsia="zh-CN"/>
        </w:rPr>
      </w:pPr>
      <w:r>
        <w:rPr>
          <w:rStyle w:val="48"/>
          <w:rFonts w:hint="eastAsia" w:ascii="微软雅黑" w:hAnsi="微软雅黑" w:eastAsia="微软雅黑" w:cs="微软雅黑"/>
          <w:b w:val="0"/>
          <w:i w:val="0"/>
          <w:caps w:val="0"/>
          <w:color w:val="auto"/>
          <w:spacing w:val="0"/>
          <w:w w:val="100"/>
          <w:kern w:val="2"/>
          <w:sz w:val="24"/>
          <w:szCs w:val="24"/>
          <w:highlight w:val="none"/>
          <w:lang w:val="zh-CN" w:eastAsia="zh-CN" w:bidi="ar-SA"/>
        </w:rPr>
        <w:t>12.</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智能</w:t>
      </w:r>
      <w:r>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t>控制方式：全触摸彩色控制屏，</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控制系统上有软、硬镜模式可选</w:t>
      </w:r>
    </w:p>
    <w:p w14:paraId="07C5C3EF">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pPr>
      <w:r>
        <w:rPr>
          <w:rFonts w:hint="eastAsia" w:ascii="微软雅黑" w:hAnsi="微软雅黑" w:eastAsia="微软雅黑" w:cs="微软雅黑"/>
          <w:b/>
          <w:bCs/>
          <w:i w:val="0"/>
          <w:caps w:val="0"/>
          <w:color w:val="auto"/>
          <w:spacing w:val="0"/>
          <w:w w:val="100"/>
          <w:sz w:val="24"/>
          <w:szCs w:val="24"/>
          <w:highlight w:val="none"/>
          <w:lang w:val="en-US" w:eastAsia="zh-CN" w:bidi="ar-SA"/>
        </w:rPr>
        <w:t>▲</w:t>
      </w:r>
      <w:r>
        <w:rPr>
          <w:rStyle w:val="48"/>
          <w:rFonts w:hint="eastAsia" w:ascii="微软雅黑" w:hAnsi="微软雅黑" w:eastAsia="微软雅黑" w:cs="微软雅黑"/>
          <w:b w:val="0"/>
          <w:i w:val="0"/>
          <w:caps w:val="0"/>
          <w:color w:val="auto"/>
          <w:spacing w:val="0"/>
          <w:w w:val="100"/>
          <w:kern w:val="2"/>
          <w:sz w:val="24"/>
          <w:szCs w:val="24"/>
          <w:highlight w:val="none"/>
          <w:lang w:val="zh-CN" w:eastAsia="zh-CN" w:bidi="ar-SA"/>
        </w:rPr>
        <w:t>13.</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高性能护眼指示光：波长≤521nm，</w:t>
      </w:r>
    </w:p>
    <w:p w14:paraId="0D962F3B">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pPr>
      <w:r>
        <w:rPr>
          <w:rStyle w:val="48"/>
          <w:rFonts w:hint="eastAsia" w:ascii="微软雅黑" w:hAnsi="微软雅黑" w:eastAsia="微软雅黑" w:cs="微软雅黑"/>
          <w:b w:val="0"/>
          <w:i w:val="0"/>
          <w:caps w:val="0"/>
          <w:color w:val="auto"/>
          <w:spacing w:val="0"/>
          <w:w w:val="100"/>
          <w:kern w:val="2"/>
          <w:sz w:val="24"/>
          <w:szCs w:val="24"/>
          <w:highlight w:val="none"/>
          <w:lang w:val="zh-CN" w:eastAsia="zh-CN" w:bidi="ar-SA"/>
        </w:rPr>
        <w:t>14.</w:t>
      </w:r>
      <w:r>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t>冷却系统：内置压缩机制冷。</w:t>
      </w:r>
    </w:p>
    <w:p w14:paraId="2F33A5ED">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pP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15.</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高级模式:触摸系统上有宽脉宽粉末化模式和窄脉宽碎块化模式可选</w:t>
      </w:r>
    </w:p>
    <w:p w14:paraId="49FC3EC6">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pPr>
      <w:r>
        <w:rPr>
          <w:rStyle w:val="48"/>
          <w:rFonts w:hint="eastAsia" w:ascii="微软雅黑" w:hAnsi="微软雅黑" w:eastAsia="微软雅黑" w:cs="微软雅黑"/>
          <w:b w:val="0"/>
          <w:i w:val="0"/>
          <w:caps w:val="0"/>
          <w:color w:val="auto"/>
          <w:spacing w:val="0"/>
          <w:w w:val="100"/>
          <w:kern w:val="2"/>
          <w:sz w:val="24"/>
          <w:szCs w:val="24"/>
          <w:highlight w:val="none"/>
          <w:lang w:val="zh-CN" w:eastAsia="zh-CN" w:bidi="ar-SA"/>
        </w:rPr>
        <w:t>16.</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软光纤芯径及外径：200μm芯径200μm≤±10%；272μm光纤芯径272μm≤±10%。</w:t>
      </w:r>
    </w:p>
    <w:p w14:paraId="53A44F5E">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pPr>
      <w:r>
        <w:rPr>
          <w:rFonts w:hint="eastAsia" w:ascii="微软雅黑" w:hAnsi="微软雅黑" w:eastAsia="微软雅黑" w:cs="微软雅黑"/>
          <w:b/>
          <w:bCs/>
          <w:i w:val="0"/>
          <w:caps w:val="0"/>
          <w:color w:val="auto"/>
          <w:spacing w:val="0"/>
          <w:w w:val="100"/>
          <w:sz w:val="24"/>
          <w:szCs w:val="24"/>
          <w:highlight w:val="none"/>
          <w:lang w:val="en-US" w:eastAsia="zh-CN" w:bidi="ar-SA"/>
        </w:rPr>
        <w:t>▲</w:t>
      </w:r>
      <w:r>
        <w:rPr>
          <w:rStyle w:val="48"/>
          <w:rFonts w:hint="eastAsia" w:ascii="微软雅黑" w:hAnsi="微软雅黑" w:eastAsia="微软雅黑" w:cs="微软雅黑"/>
          <w:b w:val="0"/>
          <w:i w:val="0"/>
          <w:caps w:val="0"/>
          <w:color w:val="auto"/>
          <w:spacing w:val="0"/>
          <w:w w:val="100"/>
          <w:kern w:val="2"/>
          <w:sz w:val="24"/>
          <w:szCs w:val="24"/>
          <w:highlight w:val="none"/>
          <w:lang w:val="zh-CN" w:eastAsia="zh-CN" w:bidi="ar-SA"/>
        </w:rPr>
        <w:t>17.</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软光纤最小弯曲半径：200μm光纤6mm，272μm光纤7mm，光纤弯曲半径小。</w:t>
      </w:r>
    </w:p>
    <w:p w14:paraId="70F618D9">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pPr>
      <w:r>
        <w:rPr>
          <w:rStyle w:val="48"/>
          <w:rFonts w:hint="eastAsia" w:ascii="微软雅黑" w:hAnsi="微软雅黑" w:eastAsia="微软雅黑" w:cs="微软雅黑"/>
          <w:b w:val="0"/>
          <w:i w:val="0"/>
          <w:caps w:val="0"/>
          <w:color w:val="auto"/>
          <w:spacing w:val="0"/>
          <w:w w:val="100"/>
          <w:kern w:val="2"/>
          <w:sz w:val="24"/>
          <w:szCs w:val="24"/>
          <w:highlight w:val="none"/>
          <w:lang w:val="zh-CN" w:eastAsia="zh-CN" w:bidi="ar-SA"/>
        </w:rPr>
        <w:t>18.</w:t>
      </w:r>
      <w:r>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t>专家数据库：嵌入式微电脑内置专家数据库。</w:t>
      </w:r>
    </w:p>
    <w:p w14:paraId="3CAE044B">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pPr>
      <w:r>
        <w:rPr>
          <w:rStyle w:val="48"/>
          <w:rFonts w:hint="eastAsia" w:ascii="微软雅黑" w:hAnsi="微软雅黑" w:eastAsia="微软雅黑" w:cs="微软雅黑"/>
          <w:b w:val="0"/>
          <w:i w:val="0"/>
          <w:caps w:val="0"/>
          <w:color w:val="auto"/>
          <w:spacing w:val="0"/>
          <w:w w:val="100"/>
          <w:kern w:val="2"/>
          <w:sz w:val="24"/>
          <w:szCs w:val="24"/>
          <w:highlight w:val="none"/>
          <w:lang w:val="zh-CN" w:eastAsia="zh-CN" w:bidi="ar-SA"/>
        </w:rPr>
        <w:t>19.</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噪声≤66dB。</w:t>
      </w:r>
    </w:p>
    <w:p w14:paraId="27874B6D">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pPr>
      <w:r>
        <w:rPr>
          <w:rFonts w:hint="eastAsia" w:ascii="微软雅黑" w:hAnsi="微软雅黑" w:eastAsia="微软雅黑" w:cs="微软雅黑"/>
          <w:b/>
          <w:bCs/>
          <w:i w:val="0"/>
          <w:caps w:val="0"/>
          <w:color w:val="auto"/>
          <w:spacing w:val="0"/>
          <w:w w:val="100"/>
          <w:sz w:val="24"/>
          <w:szCs w:val="24"/>
          <w:highlight w:val="none"/>
          <w:lang w:val="en-US" w:eastAsia="zh-CN" w:bidi="ar-SA"/>
        </w:rPr>
        <w:t>▲</w:t>
      </w:r>
      <w:r>
        <w:rPr>
          <w:rStyle w:val="48"/>
          <w:rFonts w:hint="eastAsia" w:ascii="微软雅黑" w:hAnsi="微软雅黑" w:eastAsia="微软雅黑" w:cs="微软雅黑"/>
          <w:b w:val="0"/>
          <w:i w:val="0"/>
          <w:caps w:val="0"/>
          <w:color w:val="auto"/>
          <w:spacing w:val="0"/>
          <w:w w:val="100"/>
          <w:kern w:val="2"/>
          <w:sz w:val="24"/>
          <w:szCs w:val="24"/>
          <w:highlight w:val="none"/>
          <w:lang w:val="zh-CN" w:eastAsia="zh-CN" w:bidi="ar-SA"/>
        </w:rPr>
        <w:t>20.</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激光主机不得安装限制光纤使用的智能识别系统，可以匹配各种品牌的光纤。</w:t>
      </w:r>
    </w:p>
    <w:p w14:paraId="7D2608F8">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pPr>
      <w:r>
        <w:rPr>
          <w:rStyle w:val="48"/>
          <w:rFonts w:hint="eastAsia" w:ascii="微软雅黑" w:hAnsi="微软雅黑" w:eastAsia="微软雅黑" w:cs="微软雅黑"/>
          <w:b w:val="0"/>
          <w:i w:val="0"/>
          <w:caps w:val="0"/>
          <w:color w:val="auto"/>
          <w:spacing w:val="0"/>
          <w:w w:val="100"/>
          <w:kern w:val="2"/>
          <w:sz w:val="24"/>
          <w:szCs w:val="24"/>
          <w:highlight w:val="none"/>
          <w:lang w:val="zh-CN" w:eastAsia="zh-CN" w:bidi="ar-SA"/>
        </w:rPr>
        <w:t>21.</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可以搭配使用内径为200μm的超细超软光纤做软镜手术，有效传输功率≥45W。</w:t>
      </w:r>
    </w:p>
    <w:p w14:paraId="390FD9D1">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pPr>
      <w:r>
        <w:rPr>
          <w:rFonts w:hint="eastAsia" w:ascii="微软雅黑" w:hAnsi="微软雅黑" w:eastAsia="微软雅黑" w:cs="微软雅黑"/>
          <w:b/>
          <w:bCs/>
          <w:i w:val="0"/>
          <w:caps w:val="0"/>
          <w:color w:val="auto"/>
          <w:spacing w:val="0"/>
          <w:w w:val="100"/>
          <w:sz w:val="24"/>
          <w:szCs w:val="24"/>
          <w:highlight w:val="none"/>
          <w:lang w:val="en-US" w:eastAsia="zh-CN" w:bidi="ar-SA"/>
        </w:rPr>
        <w:t>▲</w:t>
      </w:r>
      <w:r>
        <w:rPr>
          <w:rStyle w:val="48"/>
          <w:rFonts w:hint="eastAsia" w:ascii="微软雅黑" w:hAnsi="微软雅黑" w:eastAsia="微软雅黑" w:cs="微软雅黑"/>
          <w:b w:val="0"/>
          <w:i w:val="0"/>
          <w:caps w:val="0"/>
          <w:color w:val="auto"/>
          <w:spacing w:val="0"/>
          <w:w w:val="100"/>
          <w:kern w:val="2"/>
          <w:sz w:val="24"/>
          <w:szCs w:val="24"/>
          <w:highlight w:val="none"/>
          <w:lang w:val="zh-CN" w:eastAsia="zh-CN" w:bidi="ar-SA"/>
        </w:rPr>
        <w:t>22.</w:t>
      </w:r>
      <w:r>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t>激光棒个数：≤2个。</w:t>
      </w:r>
    </w:p>
    <w:p w14:paraId="73E38D2C">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pPr>
      <w:r>
        <w:rPr>
          <w:rStyle w:val="48"/>
          <w:rFonts w:hint="eastAsia" w:ascii="微软雅黑" w:hAnsi="微软雅黑" w:eastAsia="微软雅黑" w:cs="微软雅黑"/>
          <w:b w:val="0"/>
          <w:i w:val="0"/>
          <w:caps w:val="0"/>
          <w:color w:val="auto"/>
          <w:spacing w:val="0"/>
          <w:w w:val="100"/>
          <w:kern w:val="2"/>
          <w:sz w:val="24"/>
          <w:szCs w:val="24"/>
          <w:highlight w:val="none"/>
          <w:lang w:val="zh-CN" w:eastAsia="zh-CN" w:bidi="ar-SA"/>
        </w:rPr>
        <w:t>23.</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具有单次手术脉冲数量和总能量统计并显示；</w:t>
      </w:r>
    </w:p>
    <w:p w14:paraId="70EE99A3">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pPr>
      <w:r>
        <w:rPr>
          <w:rFonts w:hint="eastAsia" w:ascii="微软雅黑" w:hAnsi="微软雅黑" w:eastAsia="微软雅黑" w:cs="微软雅黑"/>
          <w:b/>
          <w:bCs/>
          <w:i w:val="0"/>
          <w:caps w:val="0"/>
          <w:color w:val="auto"/>
          <w:spacing w:val="0"/>
          <w:w w:val="100"/>
          <w:sz w:val="24"/>
          <w:szCs w:val="24"/>
          <w:highlight w:val="none"/>
          <w:lang w:val="en-US" w:eastAsia="zh-CN" w:bidi="ar-SA"/>
        </w:rPr>
        <w:t>▲</w:t>
      </w:r>
      <w:r>
        <w:rPr>
          <w:rStyle w:val="48"/>
          <w:rFonts w:hint="eastAsia" w:ascii="微软雅黑" w:hAnsi="微软雅黑" w:eastAsia="微软雅黑" w:cs="微软雅黑"/>
          <w:b w:val="0"/>
          <w:i w:val="0"/>
          <w:caps w:val="0"/>
          <w:color w:val="auto"/>
          <w:spacing w:val="0"/>
          <w:w w:val="100"/>
          <w:kern w:val="2"/>
          <w:sz w:val="24"/>
          <w:szCs w:val="24"/>
          <w:highlight w:val="none"/>
          <w:lang w:val="zh-CN" w:eastAsia="zh-CN" w:bidi="ar-SA"/>
        </w:rPr>
        <w:t>24.</w:t>
      </w:r>
      <w:r>
        <w:rPr>
          <w:rStyle w:val="48"/>
          <w:rFonts w:hint="eastAsia" w:ascii="微软雅黑" w:hAnsi="微软雅黑" w:eastAsia="微软雅黑" w:cs="微软雅黑"/>
          <w:b w:val="0"/>
          <w:i w:val="0"/>
          <w:caps w:val="0"/>
          <w:color w:val="auto"/>
          <w:spacing w:val="0"/>
          <w:w w:val="100"/>
          <w:sz w:val="24"/>
          <w:szCs w:val="24"/>
          <w:highlight w:val="none"/>
          <w:lang w:val="zh-CN" w:eastAsia="zh-CN" w:bidi="ar-SA"/>
        </w:rPr>
        <w:t>可以搭配使用内径：272μm的软光纤做软镜手术，有效传输功率≥60W。</w:t>
      </w:r>
    </w:p>
    <w:p w14:paraId="3EE8EACE">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pPr>
      <w:r>
        <w:rPr>
          <w:rFonts w:hint="eastAsia" w:ascii="微软雅黑" w:hAnsi="微软雅黑" w:eastAsia="微软雅黑" w:cs="微软雅黑"/>
          <w:b/>
          <w:bCs/>
          <w:i w:val="0"/>
          <w:caps w:val="0"/>
          <w:color w:val="auto"/>
          <w:spacing w:val="0"/>
          <w:w w:val="100"/>
          <w:sz w:val="24"/>
          <w:szCs w:val="24"/>
          <w:highlight w:val="none"/>
          <w:lang w:val="en-US" w:eastAsia="zh-CN" w:bidi="ar-SA"/>
        </w:rPr>
        <w:t>▲</w:t>
      </w: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25.</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设备匹配的可重复使用光纤和一次性光纤应在新疆医保平台或喀什地区耗材集采有中标。</w:t>
      </w:r>
    </w:p>
    <w:p w14:paraId="55A6972D">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Fonts w:hint="eastAsia" w:ascii="微软雅黑" w:hAnsi="微软雅黑" w:eastAsia="微软雅黑" w:cs="微软雅黑"/>
          <w:b w:val="0"/>
          <w:i w:val="0"/>
          <w:caps w:val="0"/>
          <w:color w:val="auto"/>
          <w:spacing w:val="0"/>
          <w:w w:val="100"/>
          <w:sz w:val="24"/>
          <w:szCs w:val="24"/>
          <w:highlight w:val="none"/>
        </w:rPr>
      </w:pP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26.</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宽脉宽：≥800μs散状止血，切割止血同步进行。</w:t>
      </w:r>
    </w:p>
    <w:p w14:paraId="25ADCDAA">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Fonts w:hint="eastAsia" w:ascii="微软雅黑" w:hAnsi="微软雅黑" w:eastAsia="微软雅黑" w:cs="微软雅黑"/>
          <w:b w:val="0"/>
          <w:i w:val="0"/>
          <w:caps w:val="0"/>
          <w:color w:val="auto"/>
          <w:spacing w:val="0"/>
          <w:w w:val="100"/>
          <w:sz w:val="24"/>
          <w:szCs w:val="24"/>
          <w:highlight w:val="none"/>
        </w:rPr>
      </w:pP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27.</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设备上须贴有BF警示标签</w:t>
      </w:r>
    </w:p>
    <w:p w14:paraId="278009F3">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Fonts w:hint="eastAsia" w:ascii="微软雅黑" w:hAnsi="微软雅黑" w:eastAsia="微软雅黑" w:cs="微软雅黑"/>
          <w:b w:val="0"/>
          <w:i w:val="0"/>
          <w:caps w:val="0"/>
          <w:color w:val="auto"/>
          <w:spacing w:val="0"/>
          <w:w w:val="100"/>
          <w:sz w:val="24"/>
          <w:szCs w:val="24"/>
          <w:highlight w:val="none"/>
        </w:rPr>
      </w:pP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28.</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NMPA注册证书中注册系统含激光传输系统</w:t>
      </w:r>
    </w:p>
    <w:p w14:paraId="46C7C738">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Fonts w:hint="eastAsia" w:ascii="微软雅黑" w:hAnsi="微软雅黑" w:eastAsia="微软雅黑" w:cs="微软雅黑"/>
          <w:b w:val="0"/>
          <w:i w:val="0"/>
          <w:caps w:val="0"/>
          <w:color w:val="auto"/>
          <w:spacing w:val="0"/>
          <w:w w:val="100"/>
          <w:sz w:val="24"/>
          <w:szCs w:val="24"/>
          <w:highlight w:val="none"/>
        </w:rPr>
      </w:pP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29.</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设备符合GB9706新标准</w:t>
      </w:r>
    </w:p>
    <w:p w14:paraId="1BCA30DE">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Fonts w:hint="eastAsia" w:ascii="微软雅黑" w:hAnsi="微软雅黑" w:eastAsia="微软雅黑" w:cs="微软雅黑"/>
          <w:b w:val="0"/>
          <w:i w:val="0"/>
          <w:caps w:val="0"/>
          <w:color w:val="auto"/>
          <w:spacing w:val="0"/>
          <w:w w:val="100"/>
          <w:sz w:val="24"/>
          <w:szCs w:val="24"/>
          <w:highlight w:val="none"/>
        </w:rPr>
      </w:pP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30.</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经NMPA批准可用于泌尿系肿瘤的汽化和凝固
​</w:t>
      </w:r>
    </w:p>
    <w:p w14:paraId="1BB73229">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pP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31.</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脚踏防水等级：IPX8
</w:t>
      </w:r>
    </w:p>
    <w:p w14:paraId="3C8EC674">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pP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32.</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抗干扰脚踏开光连接线，长度≥5米；</w:t>
      </w:r>
    </w:p>
    <w:p w14:paraId="5CA9E653">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pP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33.</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具有脉冲总量统计功能，并在系统上显示。</w:t>
      </w:r>
    </w:p>
    <w:p w14:paraId="580C3BE3">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pP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34.</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整机质保5年（含附件）</w:t>
      </w:r>
    </w:p>
    <w:p w14:paraId="461BD8F3">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pP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35.</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所用耗材均已在新疆医保平台挂网。</w:t>
      </w:r>
    </w:p>
    <w:p w14:paraId="3D51B8C7">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pP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36.</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软件终身升级，不再另外收费。</w:t>
      </w:r>
    </w:p>
    <w:p w14:paraId="34F7D060">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pP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37.</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提供设备状态卡及适应症范围快速操作卡。</w:t>
      </w:r>
    </w:p>
    <w:p w14:paraId="3CF65CD2">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pP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38.</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设备出现故障时24小时内提供备用机。</w:t>
      </w:r>
    </w:p>
    <w:p w14:paraId="54151C0F">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pPr>
      <w:r>
        <w:rPr>
          <w:rStyle w:val="48"/>
          <w:rFonts w:hint="eastAsia" w:ascii="微软雅黑" w:hAnsi="微软雅黑" w:eastAsia="微软雅黑" w:cs="微软雅黑"/>
          <w:b w:val="0"/>
          <w:i w:val="0"/>
          <w:caps w:val="0"/>
          <w:color w:val="auto"/>
          <w:spacing w:val="0"/>
          <w:w w:val="100"/>
          <w:kern w:val="2"/>
          <w:sz w:val="24"/>
          <w:szCs w:val="24"/>
          <w:highlight w:val="none"/>
          <w:lang w:val="en-US" w:eastAsia="zh-CN" w:bidi="ar-SA"/>
        </w:rPr>
        <w:t>39.</w:t>
      </w: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提供的产品需是近一年生产的。</w:t>
      </w:r>
    </w:p>
    <w:p w14:paraId="2B5F3191">
      <w:pPr>
        <w:keepNext w:val="0"/>
        <w:keepLines w:val="0"/>
        <w:pageBreakBefore w:val="0"/>
        <w:widowControl w:val="0"/>
        <w:numPr>
          <w:ilvl w:val="0"/>
          <w:numId w:val="0"/>
        </w:numPr>
        <w:tabs>
          <w:tab w:val="left" w:pos="360"/>
        </w:tabs>
        <w:kinsoku/>
        <w:wordWrap/>
        <w:overflowPunct/>
        <w:topLinePunct w:val="0"/>
        <w:autoSpaceDE/>
        <w:autoSpaceDN/>
        <w:bidi w:val="0"/>
        <w:adjustRightInd/>
        <w:snapToGrid w:val="0"/>
        <w:spacing w:beforeAutospacing="0" w:afterAutospacing="0" w:line="440" w:lineRule="exact"/>
        <w:ind w:left="0" w:leftChars="0" w:firstLine="480" w:firstLineChars="200"/>
        <w:textAlignment w:val="baseline"/>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pPr>
      <w:r>
        <w:rPr>
          <w:rStyle w:val="48"/>
          <w:rFonts w:hint="eastAsia" w:ascii="微软雅黑" w:hAnsi="微软雅黑" w:eastAsia="微软雅黑" w:cs="微软雅黑"/>
          <w:b w:val="0"/>
          <w:i w:val="0"/>
          <w:caps w:val="0"/>
          <w:color w:val="auto"/>
          <w:spacing w:val="0"/>
          <w:w w:val="100"/>
          <w:sz w:val="24"/>
          <w:szCs w:val="24"/>
          <w:highlight w:val="none"/>
          <w:lang w:val="en-US" w:eastAsia="zh-CN" w:bidi="ar-SA"/>
        </w:rPr>
        <w:t>10.钬激光碎石系统配置清单</w:t>
      </w:r>
    </w:p>
    <w:tbl>
      <w:tblPr>
        <w:tblStyle w:val="31"/>
        <w:tblW w:w="8343" w:type="dxa"/>
        <w:tblInd w:w="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122"/>
        <w:gridCol w:w="4023"/>
        <w:gridCol w:w="2074"/>
        <w:gridCol w:w="1124"/>
      </w:tblGrid>
      <w:tr w14:paraId="101861C9">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27" w:hRule="atLeast"/>
        </w:trPr>
        <w:tc>
          <w:tcPr>
            <w:tcW w:w="1122" w:type="dxa"/>
            <w:tcBorders>
              <w:top w:val="single" w:color="000000" w:sz="4" w:space="0"/>
              <w:left w:val="single" w:color="000000" w:sz="4" w:space="0"/>
              <w:bottom w:val="single" w:color="000000" w:sz="4" w:space="0"/>
              <w:right w:val="single" w:color="000000" w:sz="4" w:space="0"/>
            </w:tcBorders>
            <w:vAlign w:val="center"/>
          </w:tcPr>
          <w:p w14:paraId="36F5D05C">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Style w:val="48"/>
                <w:rFonts w:hint="eastAsia" w:ascii="微软雅黑" w:hAnsi="微软雅黑" w:eastAsia="微软雅黑" w:cs="微软雅黑"/>
                <w:b/>
                <w:bCs/>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bCs/>
                <w:i w:val="0"/>
                <w:caps w:val="0"/>
                <w:color w:val="auto"/>
                <w:spacing w:val="0"/>
                <w:w w:val="100"/>
                <w:sz w:val="22"/>
                <w:szCs w:val="22"/>
                <w:highlight w:val="none"/>
                <w:lang w:val="en-US" w:eastAsia="zh-CN" w:bidi="ar-SA"/>
              </w:rPr>
              <w:t>序号</w:t>
            </w:r>
          </w:p>
        </w:tc>
        <w:tc>
          <w:tcPr>
            <w:tcW w:w="4023" w:type="dxa"/>
            <w:tcBorders>
              <w:top w:val="single" w:color="000000" w:sz="4" w:space="0"/>
              <w:left w:val="single" w:color="000000" w:sz="4" w:space="0"/>
              <w:bottom w:val="single" w:color="000000" w:sz="4" w:space="0"/>
              <w:right w:val="single" w:color="000000" w:sz="4" w:space="0"/>
            </w:tcBorders>
            <w:vAlign w:val="center"/>
          </w:tcPr>
          <w:p w14:paraId="2EDB428D">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Style w:val="48"/>
                <w:rFonts w:hint="eastAsia" w:ascii="微软雅黑" w:hAnsi="微软雅黑" w:eastAsia="微软雅黑" w:cs="微软雅黑"/>
                <w:b/>
                <w:bCs/>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bCs/>
                <w:i w:val="0"/>
                <w:caps w:val="0"/>
                <w:color w:val="auto"/>
                <w:spacing w:val="0"/>
                <w:w w:val="100"/>
                <w:sz w:val="22"/>
                <w:szCs w:val="22"/>
                <w:highlight w:val="none"/>
                <w:lang w:val="en-US" w:eastAsia="zh-CN" w:bidi="ar-SA"/>
              </w:rPr>
              <w:t>品名</w:t>
            </w:r>
          </w:p>
        </w:tc>
        <w:tc>
          <w:tcPr>
            <w:tcW w:w="2074" w:type="dxa"/>
            <w:tcBorders>
              <w:top w:val="single" w:color="000000" w:sz="4" w:space="0"/>
              <w:left w:val="single" w:color="000000" w:sz="4" w:space="0"/>
              <w:bottom w:val="single" w:color="000000" w:sz="4" w:space="0"/>
              <w:right w:val="single" w:color="000000" w:sz="4" w:space="0"/>
            </w:tcBorders>
            <w:vAlign w:val="center"/>
          </w:tcPr>
          <w:p w14:paraId="468537C5">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Style w:val="48"/>
                <w:rFonts w:hint="eastAsia" w:ascii="微软雅黑" w:hAnsi="微软雅黑" w:eastAsia="微软雅黑" w:cs="微软雅黑"/>
                <w:b/>
                <w:bCs/>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bCs/>
                <w:i w:val="0"/>
                <w:caps w:val="0"/>
                <w:color w:val="auto"/>
                <w:spacing w:val="0"/>
                <w:w w:val="100"/>
                <w:sz w:val="22"/>
                <w:szCs w:val="22"/>
                <w:highlight w:val="none"/>
                <w:lang w:val="en-US" w:eastAsia="zh-CN" w:bidi="ar-SA"/>
              </w:rPr>
              <w:t>数量</w:t>
            </w:r>
          </w:p>
        </w:tc>
        <w:tc>
          <w:tcPr>
            <w:tcW w:w="1124" w:type="dxa"/>
            <w:tcBorders>
              <w:top w:val="single" w:color="000000" w:sz="4" w:space="0"/>
              <w:left w:val="single" w:color="000000" w:sz="4" w:space="0"/>
              <w:bottom w:val="single" w:color="000000" w:sz="4" w:space="0"/>
              <w:right w:val="single" w:color="000000" w:sz="4" w:space="0"/>
            </w:tcBorders>
            <w:vAlign w:val="center"/>
          </w:tcPr>
          <w:p w14:paraId="20D1F34C">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Style w:val="48"/>
                <w:rFonts w:hint="eastAsia" w:ascii="微软雅黑" w:hAnsi="微软雅黑" w:eastAsia="微软雅黑" w:cs="微软雅黑"/>
                <w:b/>
                <w:bCs/>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bCs/>
                <w:i w:val="0"/>
                <w:caps w:val="0"/>
                <w:color w:val="auto"/>
                <w:spacing w:val="0"/>
                <w:w w:val="100"/>
                <w:sz w:val="22"/>
                <w:szCs w:val="22"/>
                <w:highlight w:val="none"/>
                <w:lang w:val="en-US" w:eastAsia="zh-CN" w:bidi="ar-SA"/>
              </w:rPr>
              <w:t>单位</w:t>
            </w:r>
          </w:p>
        </w:tc>
      </w:tr>
      <w:tr w14:paraId="0BCFD9E8">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83" w:hRule="atLeast"/>
        </w:trPr>
        <w:tc>
          <w:tcPr>
            <w:tcW w:w="1122" w:type="dxa"/>
            <w:tcBorders>
              <w:top w:val="single" w:color="000000" w:sz="4" w:space="0"/>
              <w:left w:val="single" w:color="000000" w:sz="4" w:space="0"/>
              <w:bottom w:val="single" w:color="000000" w:sz="4" w:space="0"/>
              <w:right w:val="single" w:color="000000" w:sz="4" w:space="0"/>
            </w:tcBorders>
            <w:vAlign w:val="center"/>
          </w:tcPr>
          <w:p w14:paraId="70C1EA35">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1</w:t>
            </w:r>
          </w:p>
        </w:tc>
        <w:tc>
          <w:tcPr>
            <w:tcW w:w="4023" w:type="dxa"/>
            <w:tcBorders>
              <w:top w:val="single" w:color="000000" w:sz="4" w:space="0"/>
              <w:left w:val="single" w:color="000000" w:sz="4" w:space="0"/>
              <w:bottom w:val="single" w:color="000000" w:sz="4" w:space="0"/>
              <w:right w:val="single" w:color="000000" w:sz="4" w:space="0"/>
            </w:tcBorders>
            <w:vAlign w:val="center"/>
          </w:tcPr>
          <w:p w14:paraId="79BFEA27">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钬激光碎石系统主机</w:t>
            </w:r>
          </w:p>
        </w:tc>
        <w:tc>
          <w:tcPr>
            <w:tcW w:w="2074" w:type="dxa"/>
            <w:tcBorders>
              <w:top w:val="single" w:color="000000" w:sz="4" w:space="0"/>
              <w:left w:val="single" w:color="000000" w:sz="4" w:space="0"/>
              <w:bottom w:val="single" w:color="000000" w:sz="4" w:space="0"/>
              <w:right w:val="single" w:color="000000" w:sz="4" w:space="0"/>
            </w:tcBorders>
            <w:vAlign w:val="center"/>
          </w:tcPr>
          <w:p w14:paraId="22F016CE">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1</w:t>
            </w:r>
          </w:p>
        </w:tc>
        <w:tc>
          <w:tcPr>
            <w:tcW w:w="1124" w:type="dxa"/>
            <w:tcBorders>
              <w:top w:val="single" w:color="000000" w:sz="4" w:space="0"/>
              <w:left w:val="single" w:color="000000" w:sz="4" w:space="0"/>
              <w:bottom w:val="single" w:color="000000" w:sz="4" w:space="0"/>
              <w:right w:val="single" w:color="000000" w:sz="4" w:space="0"/>
            </w:tcBorders>
            <w:vAlign w:val="center"/>
          </w:tcPr>
          <w:p w14:paraId="7FF53C58">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台</w:t>
            </w:r>
          </w:p>
        </w:tc>
      </w:tr>
      <w:tr w14:paraId="2A339292">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27" w:hRule="atLeast"/>
        </w:trPr>
        <w:tc>
          <w:tcPr>
            <w:tcW w:w="1122" w:type="dxa"/>
            <w:tcBorders>
              <w:top w:val="single" w:color="000000" w:sz="4" w:space="0"/>
              <w:left w:val="single" w:color="000000" w:sz="4" w:space="0"/>
              <w:bottom w:val="single" w:color="000000" w:sz="4" w:space="0"/>
              <w:right w:val="single" w:color="000000" w:sz="4" w:space="0"/>
            </w:tcBorders>
            <w:vAlign w:val="center"/>
          </w:tcPr>
          <w:p w14:paraId="5FF7E7D6">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2</w:t>
            </w:r>
          </w:p>
        </w:tc>
        <w:tc>
          <w:tcPr>
            <w:tcW w:w="4023" w:type="dxa"/>
            <w:tcBorders>
              <w:top w:val="single" w:color="000000" w:sz="4" w:space="0"/>
              <w:left w:val="single" w:color="000000" w:sz="4" w:space="0"/>
              <w:bottom w:val="single" w:color="000000" w:sz="4" w:space="0"/>
              <w:right w:val="single" w:color="000000" w:sz="4" w:space="0"/>
            </w:tcBorders>
            <w:vAlign w:val="center"/>
          </w:tcPr>
          <w:p w14:paraId="0BF45A2D">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Style w:val="48"/>
                <w:rFonts w:hint="eastAsia" w:ascii="微软雅黑" w:hAnsi="微软雅黑" w:eastAsia="微软雅黑" w:cs="微软雅黑"/>
                <w:b w:val="0"/>
                <w:bCs/>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bCs/>
                <w:i w:val="0"/>
                <w:caps w:val="0"/>
                <w:color w:val="auto"/>
                <w:spacing w:val="0"/>
                <w:w w:val="100"/>
                <w:sz w:val="22"/>
                <w:szCs w:val="22"/>
                <w:highlight w:val="none"/>
                <w:lang w:val="en-US" w:eastAsia="zh-CN" w:bidi="ar-SA"/>
              </w:rPr>
              <w:t>脚踏开关</w:t>
            </w:r>
          </w:p>
        </w:tc>
        <w:tc>
          <w:tcPr>
            <w:tcW w:w="2074" w:type="dxa"/>
            <w:tcBorders>
              <w:top w:val="single" w:color="000000" w:sz="4" w:space="0"/>
              <w:left w:val="single" w:color="000000" w:sz="4" w:space="0"/>
              <w:bottom w:val="single" w:color="000000" w:sz="4" w:space="0"/>
              <w:right w:val="single" w:color="000000" w:sz="4" w:space="0"/>
            </w:tcBorders>
            <w:vAlign w:val="center"/>
          </w:tcPr>
          <w:p w14:paraId="321F3C24">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1</w:t>
            </w:r>
          </w:p>
        </w:tc>
        <w:tc>
          <w:tcPr>
            <w:tcW w:w="1124" w:type="dxa"/>
            <w:tcBorders>
              <w:top w:val="single" w:color="000000" w:sz="4" w:space="0"/>
              <w:left w:val="single" w:color="000000" w:sz="4" w:space="0"/>
              <w:bottom w:val="single" w:color="000000" w:sz="4" w:space="0"/>
              <w:right w:val="single" w:color="000000" w:sz="4" w:space="0"/>
            </w:tcBorders>
            <w:vAlign w:val="center"/>
          </w:tcPr>
          <w:p w14:paraId="7C22A896">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套</w:t>
            </w:r>
          </w:p>
        </w:tc>
      </w:tr>
      <w:tr w14:paraId="1E692C7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27" w:hRule="atLeast"/>
        </w:trPr>
        <w:tc>
          <w:tcPr>
            <w:tcW w:w="1122" w:type="dxa"/>
            <w:tcBorders>
              <w:top w:val="single" w:color="000000" w:sz="4" w:space="0"/>
              <w:left w:val="single" w:color="000000" w:sz="4" w:space="0"/>
              <w:bottom w:val="single" w:color="000000" w:sz="4" w:space="0"/>
              <w:right w:val="single" w:color="000000" w:sz="4" w:space="0"/>
            </w:tcBorders>
            <w:vAlign w:val="center"/>
          </w:tcPr>
          <w:p w14:paraId="362CC1A7">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3</w:t>
            </w:r>
          </w:p>
        </w:tc>
        <w:tc>
          <w:tcPr>
            <w:tcW w:w="4023" w:type="dxa"/>
            <w:tcBorders>
              <w:top w:val="single" w:color="000000" w:sz="4" w:space="0"/>
              <w:left w:val="single" w:color="000000" w:sz="4" w:space="0"/>
              <w:bottom w:val="single" w:color="000000" w:sz="4" w:space="0"/>
              <w:right w:val="single" w:color="000000" w:sz="4" w:space="0"/>
            </w:tcBorders>
            <w:vAlign w:val="center"/>
          </w:tcPr>
          <w:p w14:paraId="318C652F">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Fonts w:hint="eastAsia" w:ascii="微软雅黑" w:hAnsi="微软雅黑" w:eastAsia="微软雅黑" w:cs="微软雅黑"/>
                <w:b w:val="0"/>
                <w:bCs/>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激光防护镜</w:t>
            </w:r>
          </w:p>
        </w:tc>
        <w:tc>
          <w:tcPr>
            <w:tcW w:w="2074" w:type="dxa"/>
            <w:tcBorders>
              <w:top w:val="single" w:color="000000" w:sz="4" w:space="0"/>
              <w:left w:val="single" w:color="000000" w:sz="4" w:space="0"/>
              <w:bottom w:val="single" w:color="000000" w:sz="4" w:space="0"/>
              <w:right w:val="single" w:color="000000" w:sz="4" w:space="0"/>
            </w:tcBorders>
            <w:vAlign w:val="center"/>
          </w:tcPr>
          <w:p w14:paraId="346A5209">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4</w:t>
            </w:r>
          </w:p>
        </w:tc>
        <w:tc>
          <w:tcPr>
            <w:tcW w:w="1124" w:type="dxa"/>
            <w:tcBorders>
              <w:top w:val="single" w:color="000000" w:sz="4" w:space="0"/>
              <w:left w:val="single" w:color="000000" w:sz="4" w:space="0"/>
              <w:bottom w:val="single" w:color="000000" w:sz="4" w:space="0"/>
              <w:right w:val="single" w:color="000000" w:sz="4" w:space="0"/>
            </w:tcBorders>
            <w:vAlign w:val="center"/>
          </w:tcPr>
          <w:p w14:paraId="35769B2B">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副</w:t>
            </w:r>
          </w:p>
        </w:tc>
      </w:tr>
      <w:tr w14:paraId="7CA07E6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27" w:hRule="atLeast"/>
        </w:trPr>
        <w:tc>
          <w:tcPr>
            <w:tcW w:w="1122" w:type="dxa"/>
            <w:tcBorders>
              <w:top w:val="single" w:color="000000" w:sz="4" w:space="0"/>
              <w:left w:val="single" w:color="000000" w:sz="4" w:space="0"/>
              <w:bottom w:val="single" w:color="000000" w:sz="4" w:space="0"/>
              <w:right w:val="single" w:color="000000" w:sz="4" w:space="0"/>
            </w:tcBorders>
            <w:vAlign w:val="center"/>
          </w:tcPr>
          <w:p w14:paraId="1ECAAAD7">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4</w:t>
            </w:r>
          </w:p>
        </w:tc>
        <w:tc>
          <w:tcPr>
            <w:tcW w:w="4023" w:type="dxa"/>
            <w:tcBorders>
              <w:top w:val="single" w:color="000000" w:sz="4" w:space="0"/>
              <w:left w:val="single" w:color="000000" w:sz="4" w:space="0"/>
              <w:bottom w:val="single" w:color="000000" w:sz="4" w:space="0"/>
              <w:right w:val="single" w:color="000000" w:sz="4" w:space="0"/>
            </w:tcBorders>
            <w:vAlign w:val="center"/>
          </w:tcPr>
          <w:p w14:paraId="13863618">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Fonts w:hint="eastAsia" w:ascii="微软雅黑" w:hAnsi="微软雅黑" w:eastAsia="微软雅黑" w:cs="微软雅黑"/>
                <w:b w:val="0"/>
                <w:bCs/>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rPr>
              <w:t>手持光纤端面检测仪</w:t>
            </w:r>
          </w:p>
        </w:tc>
        <w:tc>
          <w:tcPr>
            <w:tcW w:w="2074" w:type="dxa"/>
            <w:tcBorders>
              <w:top w:val="single" w:color="000000" w:sz="4" w:space="0"/>
              <w:left w:val="single" w:color="000000" w:sz="4" w:space="0"/>
              <w:bottom w:val="nil"/>
              <w:right w:val="single" w:color="000000" w:sz="4" w:space="0"/>
            </w:tcBorders>
            <w:vAlign w:val="center"/>
          </w:tcPr>
          <w:p w14:paraId="70F303CA">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1</w:t>
            </w:r>
          </w:p>
        </w:tc>
        <w:tc>
          <w:tcPr>
            <w:tcW w:w="1124" w:type="dxa"/>
            <w:tcBorders>
              <w:top w:val="single" w:color="000000" w:sz="4" w:space="0"/>
              <w:left w:val="single" w:color="000000" w:sz="4" w:space="0"/>
              <w:bottom w:val="single" w:color="000000" w:sz="4" w:space="0"/>
              <w:right w:val="single" w:color="000000" w:sz="4" w:space="0"/>
            </w:tcBorders>
            <w:vAlign w:val="center"/>
          </w:tcPr>
          <w:p w14:paraId="7DBD33D3">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个</w:t>
            </w:r>
          </w:p>
        </w:tc>
      </w:tr>
      <w:tr w14:paraId="177A0851">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27" w:hRule="atLeast"/>
        </w:trPr>
        <w:tc>
          <w:tcPr>
            <w:tcW w:w="1122" w:type="dxa"/>
            <w:tcBorders>
              <w:top w:val="single" w:color="000000" w:sz="4" w:space="0"/>
              <w:left w:val="single" w:color="000000" w:sz="4" w:space="0"/>
              <w:bottom w:val="single" w:color="000000" w:sz="4" w:space="0"/>
              <w:right w:val="single" w:color="000000" w:sz="4" w:space="0"/>
            </w:tcBorders>
            <w:vAlign w:val="center"/>
          </w:tcPr>
          <w:p w14:paraId="1ED2F712">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5</w:t>
            </w:r>
          </w:p>
        </w:tc>
        <w:tc>
          <w:tcPr>
            <w:tcW w:w="4023" w:type="dxa"/>
            <w:tcBorders>
              <w:top w:val="single" w:color="000000" w:sz="4" w:space="0"/>
              <w:left w:val="single" w:color="000000" w:sz="4" w:space="0"/>
              <w:bottom w:val="single" w:color="000000" w:sz="4" w:space="0"/>
              <w:right w:val="single" w:color="000000" w:sz="4" w:space="0"/>
            </w:tcBorders>
            <w:vAlign w:val="center"/>
          </w:tcPr>
          <w:p w14:paraId="7EAC2E62">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bCs/>
                <w:i w:val="0"/>
                <w:caps w:val="0"/>
                <w:color w:val="auto"/>
                <w:spacing w:val="0"/>
                <w:w w:val="100"/>
                <w:sz w:val="22"/>
                <w:szCs w:val="22"/>
                <w:highlight w:val="none"/>
                <w:lang w:val="en-US" w:eastAsia="zh-CN" w:bidi="ar-SA"/>
              </w:rPr>
              <w:t>550μm光纤</w:t>
            </w:r>
          </w:p>
        </w:tc>
        <w:tc>
          <w:tcPr>
            <w:tcW w:w="2074" w:type="dxa"/>
            <w:tcBorders>
              <w:top w:val="single" w:color="000000" w:sz="4" w:space="0"/>
              <w:left w:val="single" w:color="000000" w:sz="4" w:space="0"/>
              <w:bottom w:val="nil"/>
              <w:right w:val="single" w:color="000000" w:sz="4" w:space="0"/>
            </w:tcBorders>
            <w:vAlign w:val="center"/>
          </w:tcPr>
          <w:p w14:paraId="141D843D">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3</w:t>
            </w:r>
          </w:p>
        </w:tc>
        <w:tc>
          <w:tcPr>
            <w:tcW w:w="1124" w:type="dxa"/>
            <w:tcBorders>
              <w:top w:val="single" w:color="000000" w:sz="4" w:space="0"/>
              <w:left w:val="single" w:color="000000" w:sz="4" w:space="0"/>
              <w:bottom w:val="single" w:color="000000" w:sz="4" w:space="0"/>
              <w:right w:val="single" w:color="000000" w:sz="4" w:space="0"/>
            </w:tcBorders>
            <w:vAlign w:val="center"/>
          </w:tcPr>
          <w:p w14:paraId="342AD96A">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根</w:t>
            </w:r>
          </w:p>
        </w:tc>
      </w:tr>
      <w:tr w14:paraId="4DF0B8D5">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27" w:hRule="atLeast"/>
        </w:trPr>
        <w:tc>
          <w:tcPr>
            <w:tcW w:w="1122" w:type="dxa"/>
            <w:tcBorders>
              <w:top w:val="single" w:color="000000" w:sz="4" w:space="0"/>
              <w:left w:val="single" w:color="000000" w:sz="4" w:space="0"/>
              <w:bottom w:val="single" w:color="000000" w:sz="4" w:space="0"/>
              <w:right w:val="single" w:color="000000" w:sz="4" w:space="0"/>
            </w:tcBorders>
            <w:vAlign w:val="center"/>
          </w:tcPr>
          <w:p w14:paraId="330B32E3">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6</w:t>
            </w:r>
          </w:p>
        </w:tc>
        <w:tc>
          <w:tcPr>
            <w:tcW w:w="4023" w:type="dxa"/>
            <w:tcBorders>
              <w:top w:val="single" w:color="000000" w:sz="4" w:space="0"/>
              <w:left w:val="single" w:color="000000" w:sz="4" w:space="0"/>
              <w:bottom w:val="single" w:color="000000" w:sz="4" w:space="0"/>
              <w:right w:val="single" w:color="000000" w:sz="4" w:space="0"/>
            </w:tcBorders>
            <w:vAlign w:val="center"/>
          </w:tcPr>
          <w:p w14:paraId="655436F8">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bCs/>
                <w:i w:val="0"/>
                <w:caps w:val="0"/>
                <w:color w:val="auto"/>
                <w:spacing w:val="0"/>
                <w:w w:val="100"/>
                <w:sz w:val="22"/>
                <w:szCs w:val="22"/>
                <w:highlight w:val="none"/>
                <w:lang w:val="en-US" w:eastAsia="zh-CN" w:bidi="ar-SA"/>
              </w:rPr>
              <w:t>272μm光纤</w:t>
            </w:r>
          </w:p>
        </w:tc>
        <w:tc>
          <w:tcPr>
            <w:tcW w:w="2074" w:type="dxa"/>
            <w:tcBorders>
              <w:top w:val="single" w:color="000000" w:sz="4" w:space="0"/>
              <w:left w:val="single" w:color="000000" w:sz="4" w:space="0"/>
              <w:bottom w:val="single" w:color="000000" w:sz="4" w:space="0"/>
              <w:right w:val="single" w:color="000000" w:sz="4" w:space="0"/>
            </w:tcBorders>
            <w:vAlign w:val="center"/>
          </w:tcPr>
          <w:p w14:paraId="0794125B">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3</w:t>
            </w:r>
          </w:p>
        </w:tc>
        <w:tc>
          <w:tcPr>
            <w:tcW w:w="1124" w:type="dxa"/>
            <w:tcBorders>
              <w:top w:val="single" w:color="000000" w:sz="4" w:space="0"/>
              <w:left w:val="single" w:color="000000" w:sz="4" w:space="0"/>
              <w:bottom w:val="single" w:color="000000" w:sz="4" w:space="0"/>
              <w:right w:val="single" w:color="000000" w:sz="4" w:space="0"/>
            </w:tcBorders>
            <w:vAlign w:val="center"/>
          </w:tcPr>
          <w:p w14:paraId="4C4500CD">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根</w:t>
            </w:r>
          </w:p>
        </w:tc>
      </w:tr>
      <w:tr w14:paraId="70697724">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27" w:hRule="atLeast"/>
        </w:trPr>
        <w:tc>
          <w:tcPr>
            <w:tcW w:w="1122" w:type="dxa"/>
            <w:tcBorders>
              <w:top w:val="single" w:color="000000" w:sz="4" w:space="0"/>
              <w:left w:val="single" w:color="000000" w:sz="4" w:space="0"/>
              <w:bottom w:val="single" w:color="000000" w:sz="4" w:space="0"/>
              <w:right w:val="single" w:color="000000" w:sz="4" w:space="0"/>
            </w:tcBorders>
            <w:vAlign w:val="center"/>
          </w:tcPr>
          <w:p w14:paraId="07F33D2F">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7</w:t>
            </w:r>
          </w:p>
        </w:tc>
        <w:tc>
          <w:tcPr>
            <w:tcW w:w="4023" w:type="dxa"/>
            <w:tcBorders>
              <w:top w:val="single" w:color="000000" w:sz="4" w:space="0"/>
              <w:left w:val="single" w:color="000000" w:sz="4" w:space="0"/>
              <w:bottom w:val="single" w:color="000000" w:sz="4" w:space="0"/>
              <w:right w:val="single" w:color="000000" w:sz="4" w:space="0"/>
            </w:tcBorders>
            <w:vAlign w:val="center"/>
          </w:tcPr>
          <w:p w14:paraId="5E789B30">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Fonts w:hint="eastAsia" w:ascii="微软雅黑" w:hAnsi="微软雅黑" w:eastAsia="微软雅黑" w:cs="微软雅黑"/>
                <w:b/>
                <w:i w:val="0"/>
                <w:caps w:val="0"/>
                <w:color w:val="auto"/>
                <w:spacing w:val="-2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光纤剥离器</w:t>
            </w:r>
          </w:p>
        </w:tc>
        <w:tc>
          <w:tcPr>
            <w:tcW w:w="2074" w:type="dxa"/>
            <w:tcBorders>
              <w:top w:val="single" w:color="000000" w:sz="4" w:space="0"/>
              <w:left w:val="single" w:color="000000" w:sz="4" w:space="0"/>
              <w:bottom w:val="single" w:color="000000" w:sz="4" w:space="0"/>
              <w:right w:val="single" w:color="000000" w:sz="4" w:space="0"/>
            </w:tcBorders>
            <w:vAlign w:val="center"/>
          </w:tcPr>
          <w:p w14:paraId="0F4C5867">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1</w:t>
            </w:r>
          </w:p>
        </w:tc>
        <w:tc>
          <w:tcPr>
            <w:tcW w:w="1124" w:type="dxa"/>
            <w:tcBorders>
              <w:top w:val="single" w:color="000000" w:sz="4" w:space="0"/>
              <w:left w:val="single" w:color="000000" w:sz="4" w:space="0"/>
              <w:bottom w:val="single" w:color="000000" w:sz="4" w:space="0"/>
              <w:right w:val="single" w:color="000000" w:sz="4" w:space="0"/>
            </w:tcBorders>
            <w:vAlign w:val="center"/>
          </w:tcPr>
          <w:p w14:paraId="408EE150">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把</w:t>
            </w:r>
          </w:p>
        </w:tc>
      </w:tr>
      <w:tr w14:paraId="4DFFAB80">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27" w:hRule="atLeast"/>
        </w:trPr>
        <w:tc>
          <w:tcPr>
            <w:tcW w:w="1122" w:type="dxa"/>
            <w:tcBorders>
              <w:top w:val="single" w:color="000000" w:sz="4" w:space="0"/>
              <w:left w:val="single" w:color="000000" w:sz="4" w:space="0"/>
              <w:bottom w:val="single" w:color="000000" w:sz="4" w:space="0"/>
              <w:right w:val="single" w:color="000000" w:sz="4" w:space="0"/>
            </w:tcBorders>
            <w:vAlign w:val="center"/>
          </w:tcPr>
          <w:p w14:paraId="556857D0">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8</w:t>
            </w:r>
          </w:p>
        </w:tc>
        <w:tc>
          <w:tcPr>
            <w:tcW w:w="4023" w:type="dxa"/>
            <w:tcBorders>
              <w:top w:val="single" w:color="000000" w:sz="4" w:space="0"/>
              <w:left w:val="single" w:color="000000" w:sz="4" w:space="0"/>
              <w:bottom w:val="single" w:color="000000" w:sz="4" w:space="0"/>
              <w:right w:val="single" w:color="000000" w:sz="4" w:space="0"/>
            </w:tcBorders>
            <w:vAlign w:val="center"/>
          </w:tcPr>
          <w:p w14:paraId="700204F1">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Fonts w:hint="eastAsia" w:ascii="微软雅黑" w:hAnsi="微软雅黑" w:eastAsia="微软雅黑" w:cs="微软雅黑"/>
                <w:b w:val="0"/>
                <w:bCs/>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光纤切割器</w:t>
            </w:r>
          </w:p>
        </w:tc>
        <w:tc>
          <w:tcPr>
            <w:tcW w:w="2074" w:type="dxa"/>
            <w:tcBorders>
              <w:top w:val="single" w:color="000000" w:sz="4" w:space="0"/>
              <w:left w:val="single" w:color="000000" w:sz="4" w:space="0"/>
              <w:bottom w:val="single" w:color="000000" w:sz="4" w:space="0"/>
              <w:right w:val="single" w:color="000000" w:sz="4" w:space="0"/>
            </w:tcBorders>
            <w:vAlign w:val="center"/>
          </w:tcPr>
          <w:p w14:paraId="74530004">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1</w:t>
            </w:r>
          </w:p>
        </w:tc>
        <w:tc>
          <w:tcPr>
            <w:tcW w:w="1124" w:type="dxa"/>
            <w:tcBorders>
              <w:top w:val="single" w:color="000000" w:sz="4" w:space="0"/>
              <w:left w:val="single" w:color="000000" w:sz="4" w:space="0"/>
              <w:bottom w:val="single" w:color="000000" w:sz="4" w:space="0"/>
              <w:right w:val="single" w:color="000000" w:sz="4" w:space="0"/>
            </w:tcBorders>
            <w:vAlign w:val="center"/>
          </w:tcPr>
          <w:p w14:paraId="2564E98A">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把</w:t>
            </w:r>
          </w:p>
        </w:tc>
      </w:tr>
      <w:tr w14:paraId="39B53EB9">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71" w:hRule="atLeast"/>
        </w:trPr>
        <w:tc>
          <w:tcPr>
            <w:tcW w:w="1122" w:type="dxa"/>
            <w:tcBorders>
              <w:top w:val="single" w:color="000000" w:sz="4" w:space="0"/>
              <w:left w:val="single" w:color="000000" w:sz="4" w:space="0"/>
              <w:bottom w:val="single" w:color="000000" w:sz="4" w:space="0"/>
              <w:right w:val="single" w:color="000000" w:sz="4" w:space="0"/>
            </w:tcBorders>
            <w:vAlign w:val="center"/>
          </w:tcPr>
          <w:p w14:paraId="37957B13">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9</w:t>
            </w:r>
          </w:p>
        </w:tc>
        <w:tc>
          <w:tcPr>
            <w:tcW w:w="4023" w:type="dxa"/>
            <w:tcBorders>
              <w:top w:val="single" w:color="000000" w:sz="4" w:space="0"/>
              <w:left w:val="single" w:color="000000" w:sz="4" w:space="0"/>
              <w:bottom w:val="single" w:color="000000" w:sz="4" w:space="0"/>
              <w:right w:val="single" w:color="000000" w:sz="4" w:space="0"/>
            </w:tcBorders>
            <w:vAlign w:val="center"/>
          </w:tcPr>
          <w:p w14:paraId="67C19552">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bCs/>
                <w:i w:val="0"/>
                <w:caps w:val="0"/>
                <w:color w:val="auto"/>
                <w:spacing w:val="0"/>
                <w:w w:val="100"/>
                <w:sz w:val="22"/>
                <w:szCs w:val="22"/>
                <w:highlight w:val="none"/>
                <w:lang w:val="en-US" w:eastAsia="zh-CN" w:bidi="ar-SA"/>
              </w:rPr>
              <w:t>使用说明书</w:t>
            </w:r>
          </w:p>
        </w:tc>
        <w:tc>
          <w:tcPr>
            <w:tcW w:w="2074" w:type="dxa"/>
            <w:tcBorders>
              <w:top w:val="single" w:color="000000" w:sz="4" w:space="0"/>
              <w:left w:val="single" w:color="000000" w:sz="4" w:space="0"/>
              <w:bottom w:val="single" w:color="000000" w:sz="4" w:space="0"/>
              <w:right w:val="single" w:color="000000" w:sz="4" w:space="0"/>
            </w:tcBorders>
            <w:vAlign w:val="center"/>
          </w:tcPr>
          <w:p w14:paraId="2766CD4E">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1</w:t>
            </w:r>
          </w:p>
        </w:tc>
        <w:tc>
          <w:tcPr>
            <w:tcW w:w="1124" w:type="dxa"/>
            <w:tcBorders>
              <w:top w:val="single" w:color="000000" w:sz="4" w:space="0"/>
              <w:left w:val="single" w:color="000000" w:sz="4" w:space="0"/>
              <w:bottom w:val="single" w:color="000000" w:sz="4" w:space="0"/>
              <w:right w:val="single" w:color="000000" w:sz="4" w:space="0"/>
            </w:tcBorders>
            <w:vAlign w:val="center"/>
          </w:tcPr>
          <w:p w14:paraId="6BF13CA2">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份</w:t>
            </w:r>
          </w:p>
        </w:tc>
      </w:tr>
      <w:tr w14:paraId="58F04DAB">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71" w:hRule="atLeast"/>
        </w:trPr>
        <w:tc>
          <w:tcPr>
            <w:tcW w:w="1122" w:type="dxa"/>
            <w:tcBorders>
              <w:top w:val="single" w:color="000000" w:sz="4" w:space="0"/>
              <w:left w:val="single" w:color="000000" w:sz="4" w:space="0"/>
              <w:bottom w:val="single" w:color="000000" w:sz="4" w:space="0"/>
              <w:right w:val="single" w:color="000000" w:sz="4" w:space="0"/>
            </w:tcBorders>
            <w:vAlign w:val="center"/>
          </w:tcPr>
          <w:p w14:paraId="380AA087">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10</w:t>
            </w:r>
          </w:p>
        </w:tc>
        <w:tc>
          <w:tcPr>
            <w:tcW w:w="4023" w:type="dxa"/>
            <w:tcBorders>
              <w:top w:val="single" w:color="000000" w:sz="4" w:space="0"/>
              <w:left w:val="single" w:color="000000" w:sz="4" w:space="0"/>
              <w:bottom w:val="single" w:color="000000" w:sz="4" w:space="0"/>
              <w:right w:val="single" w:color="000000" w:sz="4" w:space="0"/>
            </w:tcBorders>
            <w:vAlign w:val="center"/>
          </w:tcPr>
          <w:p w14:paraId="28B264BB">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Fonts w:hint="eastAsia" w:ascii="微软雅黑" w:hAnsi="微软雅黑" w:eastAsia="微软雅黑" w:cs="微软雅黑"/>
                <w:b w:val="0"/>
                <w:bCs/>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bCs/>
                <w:i w:val="0"/>
                <w:caps w:val="0"/>
                <w:color w:val="auto"/>
                <w:spacing w:val="0"/>
                <w:w w:val="100"/>
                <w:sz w:val="22"/>
                <w:szCs w:val="22"/>
                <w:highlight w:val="none"/>
                <w:lang w:val="en-US" w:eastAsia="zh-CN" w:bidi="ar-SA"/>
              </w:rPr>
              <w:t>保修卡</w:t>
            </w:r>
          </w:p>
        </w:tc>
        <w:tc>
          <w:tcPr>
            <w:tcW w:w="2074" w:type="dxa"/>
            <w:tcBorders>
              <w:top w:val="single" w:color="000000" w:sz="4" w:space="0"/>
              <w:left w:val="single" w:color="000000" w:sz="4" w:space="0"/>
              <w:bottom w:val="single" w:color="000000" w:sz="4" w:space="0"/>
              <w:right w:val="single" w:color="000000" w:sz="4" w:space="0"/>
            </w:tcBorders>
            <w:vAlign w:val="center"/>
          </w:tcPr>
          <w:p w14:paraId="6084F5B0">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1</w:t>
            </w:r>
          </w:p>
        </w:tc>
        <w:tc>
          <w:tcPr>
            <w:tcW w:w="1124" w:type="dxa"/>
            <w:tcBorders>
              <w:top w:val="single" w:color="000000" w:sz="4" w:space="0"/>
              <w:left w:val="single" w:color="000000" w:sz="4" w:space="0"/>
              <w:bottom w:val="single" w:color="000000" w:sz="4" w:space="0"/>
              <w:right w:val="single" w:color="000000" w:sz="4" w:space="0"/>
            </w:tcBorders>
            <w:vAlign w:val="center"/>
          </w:tcPr>
          <w:p w14:paraId="36A6B535">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份</w:t>
            </w:r>
          </w:p>
        </w:tc>
      </w:tr>
      <w:tr w14:paraId="231A5D8C">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71" w:hRule="atLeast"/>
        </w:trPr>
        <w:tc>
          <w:tcPr>
            <w:tcW w:w="1122" w:type="dxa"/>
            <w:tcBorders>
              <w:top w:val="single" w:color="000000" w:sz="4" w:space="0"/>
              <w:left w:val="single" w:color="000000" w:sz="4" w:space="0"/>
              <w:bottom w:val="single" w:color="000000" w:sz="4" w:space="0"/>
              <w:right w:val="single" w:color="000000" w:sz="4" w:space="0"/>
            </w:tcBorders>
            <w:vAlign w:val="center"/>
          </w:tcPr>
          <w:p w14:paraId="02435210">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11</w:t>
            </w:r>
          </w:p>
        </w:tc>
        <w:tc>
          <w:tcPr>
            <w:tcW w:w="4023" w:type="dxa"/>
            <w:tcBorders>
              <w:top w:val="single" w:color="000000" w:sz="4" w:space="0"/>
              <w:left w:val="single" w:color="000000" w:sz="4" w:space="0"/>
              <w:bottom w:val="single" w:color="000000" w:sz="4" w:space="0"/>
              <w:right w:val="single" w:color="000000" w:sz="4" w:space="0"/>
            </w:tcBorders>
            <w:vAlign w:val="center"/>
          </w:tcPr>
          <w:p w14:paraId="79BF1158">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center"/>
              <w:textAlignment w:val="baseline"/>
              <w:rPr>
                <w:rFonts w:hint="eastAsia" w:ascii="微软雅黑" w:hAnsi="微软雅黑" w:eastAsia="微软雅黑" w:cs="微软雅黑"/>
                <w:b w:val="0"/>
                <w:bCs/>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bCs/>
                <w:i w:val="0"/>
                <w:caps w:val="0"/>
                <w:color w:val="auto"/>
                <w:spacing w:val="0"/>
                <w:w w:val="100"/>
                <w:sz w:val="22"/>
                <w:szCs w:val="22"/>
                <w:highlight w:val="none"/>
                <w:lang w:val="en-US" w:eastAsia="zh-CN" w:bidi="ar-SA"/>
              </w:rPr>
              <w:t>合格证</w:t>
            </w:r>
          </w:p>
        </w:tc>
        <w:tc>
          <w:tcPr>
            <w:tcW w:w="2074" w:type="dxa"/>
            <w:tcBorders>
              <w:top w:val="single" w:color="000000" w:sz="4" w:space="0"/>
              <w:left w:val="single" w:color="000000" w:sz="4" w:space="0"/>
              <w:bottom w:val="single" w:color="000000" w:sz="4" w:space="0"/>
              <w:right w:val="single" w:color="000000" w:sz="4" w:space="0"/>
            </w:tcBorders>
            <w:vAlign w:val="center"/>
          </w:tcPr>
          <w:p w14:paraId="1B916033">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1</w:t>
            </w:r>
          </w:p>
        </w:tc>
        <w:tc>
          <w:tcPr>
            <w:tcW w:w="1124" w:type="dxa"/>
            <w:tcBorders>
              <w:top w:val="single" w:color="000000" w:sz="4" w:space="0"/>
              <w:left w:val="single" w:color="000000" w:sz="4" w:space="0"/>
              <w:bottom w:val="single" w:color="000000" w:sz="4" w:space="0"/>
              <w:right w:val="single" w:color="000000" w:sz="4" w:space="0"/>
            </w:tcBorders>
            <w:vAlign w:val="center"/>
          </w:tcPr>
          <w:p w14:paraId="06CA2491">
            <w:pPr>
              <w:keepNext w:val="0"/>
              <w:keepLines w:val="0"/>
              <w:pageBreakBefore w:val="0"/>
              <w:widowControl w:val="0"/>
              <w:kinsoku/>
              <w:wordWrap/>
              <w:overflowPunct/>
              <w:topLinePunct w:val="0"/>
              <w:autoSpaceDE/>
              <w:autoSpaceDN/>
              <w:bidi w:val="0"/>
              <w:adjustRightInd/>
              <w:snapToGrid w:val="0"/>
              <w:spacing w:beforeAutospacing="0" w:afterAutospacing="0" w:line="440" w:lineRule="exact"/>
              <w:ind w:left="0" w:firstLine="440" w:firstLineChars="200"/>
              <w:jc w:val="both"/>
              <w:textAlignment w:val="baseline"/>
              <w:rPr>
                <w:rFonts w:hint="eastAsia" w:ascii="微软雅黑" w:hAnsi="微软雅黑" w:eastAsia="微软雅黑" w:cs="微软雅黑"/>
                <w:b w:val="0"/>
                <w:i w:val="0"/>
                <w:caps w:val="0"/>
                <w:color w:val="auto"/>
                <w:spacing w:val="0"/>
                <w:w w:val="100"/>
                <w:sz w:val="22"/>
                <w:szCs w:val="22"/>
                <w:highlight w:val="none"/>
                <w:lang w:val="en-US" w:eastAsia="zh-CN" w:bidi="ar-SA"/>
              </w:rPr>
            </w:pPr>
            <w:r>
              <w:rPr>
                <w:rStyle w:val="48"/>
                <w:rFonts w:hint="eastAsia" w:ascii="微软雅黑" w:hAnsi="微软雅黑" w:eastAsia="微软雅黑" w:cs="微软雅黑"/>
                <w:b w:val="0"/>
                <w:i w:val="0"/>
                <w:caps w:val="0"/>
                <w:color w:val="auto"/>
                <w:spacing w:val="0"/>
                <w:w w:val="100"/>
                <w:sz w:val="22"/>
                <w:szCs w:val="22"/>
                <w:highlight w:val="none"/>
                <w:lang w:val="en-US" w:eastAsia="zh-CN" w:bidi="ar-SA"/>
              </w:rPr>
              <w:t>份</w:t>
            </w:r>
          </w:p>
        </w:tc>
      </w:tr>
    </w:tbl>
    <w:p w14:paraId="196DD9F2">
      <w:pPr>
        <w:pStyle w:val="8"/>
        <w:keepNext w:val="0"/>
        <w:keepLines w:val="0"/>
        <w:pageBreakBefore w:val="0"/>
        <w:kinsoku/>
        <w:wordWrap/>
        <w:overflowPunct/>
        <w:topLinePunct w:val="0"/>
        <w:bidi w:val="0"/>
        <w:spacing w:before="0" w:after="0" w:line="440" w:lineRule="exact"/>
        <w:ind w:firstLine="480" w:firstLineChars="200"/>
        <w:jc w:val="center"/>
        <w:outlineLvl w:val="4"/>
        <w:rPr>
          <w:rFonts w:hint="eastAsia" w:ascii="微软雅黑" w:hAnsi="微软雅黑" w:eastAsia="微软雅黑" w:cs="微软雅黑"/>
          <w:b/>
          <w:bCs/>
          <w:color w:val="auto"/>
          <w:kern w:val="2"/>
          <w:sz w:val="24"/>
          <w:szCs w:val="24"/>
          <w:highlight w:val="none"/>
          <w:u w:val="none"/>
          <w:lang w:val="en-US" w:eastAsia="zh-CN" w:bidi="ar-SA"/>
        </w:rPr>
      </w:pPr>
      <w:r>
        <w:rPr>
          <w:rFonts w:hint="eastAsia" w:ascii="微软雅黑" w:hAnsi="微软雅黑" w:eastAsia="微软雅黑" w:cs="微软雅黑"/>
          <w:b/>
          <w:bCs/>
          <w:color w:val="auto"/>
          <w:kern w:val="2"/>
          <w:sz w:val="24"/>
          <w:szCs w:val="24"/>
          <w:highlight w:val="none"/>
          <w:u w:val="none"/>
          <w:lang w:val="en-US" w:eastAsia="zh-CN" w:bidi="ar-SA"/>
        </w:rPr>
        <w:t xml:space="preserve">非接触式眼压计 </w:t>
      </w:r>
    </w:p>
    <w:p w14:paraId="1268341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1.</w:t>
      </w:r>
      <w:r>
        <w:rPr>
          <w:rFonts w:hint="eastAsia" w:ascii="微软雅黑" w:hAnsi="微软雅黑" w:eastAsia="微软雅黑" w:cs="微软雅黑"/>
          <w:color w:val="auto"/>
          <w:sz w:val="24"/>
          <w:szCs w:val="24"/>
          <w:highlight w:val="none"/>
        </w:rPr>
        <w:t>▲显示屏：</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8寸 彩色触摸屏,支持上下翻转</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180°左右翻转</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60°</w:t>
      </w:r>
    </w:p>
    <w:p w14:paraId="427C686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2.</w:t>
      </w:r>
      <w:r>
        <w:rPr>
          <w:rFonts w:hint="eastAsia" w:ascii="微软雅黑" w:hAnsi="微软雅黑" w:eastAsia="微软雅黑" w:cs="微软雅黑"/>
          <w:color w:val="auto"/>
          <w:sz w:val="24"/>
          <w:szCs w:val="24"/>
          <w:highlight w:val="none"/>
        </w:rPr>
        <w:t>测量范围</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0-6</w:t>
      </w:r>
      <w:r>
        <w:rPr>
          <w:rFonts w:hint="eastAsia" w:ascii="微软雅黑" w:hAnsi="微软雅黑" w:eastAsia="微软雅黑" w:cs="微软雅黑"/>
          <w:color w:val="auto"/>
          <w:sz w:val="24"/>
          <w:szCs w:val="24"/>
          <w:highlight w:val="none"/>
          <w:lang w:val="en-US" w:eastAsia="zh-CN"/>
        </w:rPr>
        <w:t>0</w:t>
      </w:r>
      <w:r>
        <w:rPr>
          <w:rFonts w:hint="eastAsia" w:ascii="微软雅黑" w:hAnsi="微软雅黑" w:eastAsia="微软雅黑" w:cs="微软雅黑"/>
          <w:color w:val="auto"/>
          <w:sz w:val="24"/>
          <w:szCs w:val="24"/>
          <w:highlight w:val="none"/>
        </w:rPr>
        <w:t xml:space="preserve">mmHg </w:t>
      </w:r>
    </w:p>
    <w:p w14:paraId="19CCC6B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3.</w:t>
      </w:r>
      <w:r>
        <w:rPr>
          <w:rFonts w:hint="eastAsia" w:ascii="微软雅黑" w:hAnsi="微软雅黑" w:eastAsia="微软雅黑" w:cs="微软雅黑"/>
          <w:color w:val="auto"/>
          <w:sz w:val="24"/>
          <w:szCs w:val="24"/>
          <w:highlight w:val="none"/>
        </w:rPr>
        <w:t>测量精度</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 xml:space="preserve">1mmHg </w:t>
      </w:r>
    </w:p>
    <w:p w14:paraId="06769F0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4.</w:t>
      </w:r>
      <w:r>
        <w:rPr>
          <w:rFonts w:hint="eastAsia" w:ascii="微软雅黑" w:hAnsi="微软雅黑" w:eastAsia="微软雅黑" w:cs="微软雅黑"/>
          <w:color w:val="auto"/>
          <w:sz w:val="24"/>
          <w:szCs w:val="24"/>
          <w:highlight w:val="none"/>
        </w:rPr>
        <w:t>工作距离</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喷嘴前</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val="en-US" w:eastAsia="zh-CN"/>
        </w:rPr>
        <w:t>0</w:t>
      </w:r>
      <w:r>
        <w:rPr>
          <w:rFonts w:hint="eastAsia" w:ascii="微软雅黑" w:hAnsi="微软雅黑" w:eastAsia="微软雅黑" w:cs="微软雅黑"/>
          <w:color w:val="auto"/>
          <w:sz w:val="24"/>
          <w:szCs w:val="24"/>
          <w:highlight w:val="none"/>
        </w:rPr>
        <w:t>mm</w:t>
      </w:r>
    </w:p>
    <w:p w14:paraId="678DAD3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5.</w:t>
      </w:r>
      <w:r>
        <w:rPr>
          <w:rFonts w:hint="eastAsia" w:ascii="微软雅黑" w:hAnsi="微软雅黑" w:eastAsia="微软雅黑" w:cs="微软雅黑"/>
          <w:color w:val="auto"/>
          <w:sz w:val="24"/>
          <w:szCs w:val="24"/>
          <w:highlight w:val="none"/>
        </w:rPr>
        <w:t>测量模式</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全自动/自动/手动</w:t>
      </w:r>
    </w:p>
    <w:p w14:paraId="4C8C505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6.</w:t>
      </w:r>
      <w:r>
        <w:rPr>
          <w:rFonts w:hint="eastAsia" w:ascii="微软雅黑" w:hAnsi="微软雅黑" w:eastAsia="微软雅黑" w:cs="微软雅黑"/>
          <w:color w:val="auto"/>
          <w:sz w:val="24"/>
          <w:szCs w:val="24"/>
          <w:highlight w:val="none"/>
        </w:rPr>
        <w:t>▲对焦方式</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三维自动对焦/手动对焦/触摸屏对焦，支持</w:t>
      </w:r>
      <w:r>
        <w:rPr>
          <w:rFonts w:hint="eastAsia" w:ascii="微软雅黑" w:hAnsi="微软雅黑" w:eastAsia="微软雅黑" w:cs="微软雅黑"/>
          <w:color w:val="auto"/>
          <w:sz w:val="24"/>
          <w:szCs w:val="24"/>
          <w:highlight w:val="none"/>
          <w:lang w:eastAsia="zh-CN"/>
        </w:rPr>
        <w:t>手指触</w:t>
      </w:r>
      <w:r>
        <w:rPr>
          <w:rFonts w:hint="eastAsia" w:ascii="微软雅黑" w:hAnsi="微软雅黑" w:eastAsia="微软雅黑" w:cs="微软雅黑"/>
          <w:color w:val="auto"/>
          <w:sz w:val="24"/>
          <w:szCs w:val="24"/>
          <w:highlight w:val="none"/>
        </w:rPr>
        <w:t>摸屏眼睛位置对焦；</w:t>
      </w:r>
    </w:p>
    <w:p w14:paraId="32A91F9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7.</w:t>
      </w:r>
      <w:r>
        <w:rPr>
          <w:rFonts w:hint="eastAsia" w:ascii="微软雅黑" w:hAnsi="微软雅黑" w:eastAsia="微软雅黑" w:cs="微软雅黑"/>
          <w:color w:val="auto"/>
          <w:sz w:val="24"/>
          <w:szCs w:val="24"/>
          <w:highlight w:val="none"/>
        </w:rPr>
        <w:t>对焦方法</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对焦点+对焦提示</w:t>
      </w:r>
    </w:p>
    <w:p w14:paraId="35BE091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8.</w:t>
      </w:r>
      <w:r>
        <w:rPr>
          <w:rFonts w:hint="eastAsia" w:ascii="微软雅黑" w:hAnsi="微软雅黑" w:eastAsia="微软雅黑" w:cs="微软雅黑"/>
          <w:color w:val="auto"/>
          <w:sz w:val="24"/>
          <w:szCs w:val="24"/>
          <w:highlight w:val="none"/>
        </w:rPr>
        <w:t>自动对焦范围</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左右：0-15mm，上下：0-20mm，前后：0-16mm</w:t>
      </w:r>
    </w:p>
    <w:p w14:paraId="1E3F9AC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9.</w:t>
      </w:r>
      <w:r>
        <w:rPr>
          <w:rFonts w:hint="eastAsia" w:ascii="微软雅黑" w:hAnsi="微软雅黑" w:eastAsia="微软雅黑" w:cs="微软雅黑"/>
          <w:color w:val="auto"/>
          <w:sz w:val="24"/>
          <w:szCs w:val="24"/>
          <w:highlight w:val="none"/>
          <w:lang w:eastAsia="zh-CN"/>
        </w:rPr>
        <w:t>额托升降范围：</w:t>
      </w:r>
      <w:r>
        <w:rPr>
          <w:rFonts w:hint="eastAsia" w:ascii="微软雅黑" w:hAnsi="微软雅黑" w:eastAsia="微软雅黑" w:cs="微软雅黑"/>
          <w:color w:val="auto"/>
          <w:sz w:val="24"/>
          <w:szCs w:val="24"/>
          <w:highlight w:val="none"/>
          <w:lang w:val="en-US" w:eastAsia="zh-CN"/>
        </w:rPr>
        <w:t>0-68mm</w:t>
      </w:r>
    </w:p>
    <w:p w14:paraId="341971E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10.</w:t>
      </w:r>
      <w:r>
        <w:rPr>
          <w:rFonts w:hint="eastAsia" w:ascii="微软雅黑" w:hAnsi="微软雅黑" w:eastAsia="微软雅黑" w:cs="微软雅黑"/>
          <w:color w:val="auto"/>
          <w:sz w:val="24"/>
          <w:szCs w:val="24"/>
          <w:highlight w:val="none"/>
        </w:rPr>
        <w:t>内固视灯</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绿色LED</w:t>
      </w:r>
    </w:p>
    <w:p w14:paraId="168035A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11.</w:t>
      </w:r>
      <w:r>
        <w:rPr>
          <w:rFonts w:hint="eastAsia" w:ascii="微软雅黑" w:hAnsi="微软雅黑" w:eastAsia="微软雅黑" w:cs="微软雅黑"/>
          <w:color w:val="auto"/>
          <w:sz w:val="24"/>
          <w:szCs w:val="24"/>
          <w:highlight w:val="none"/>
        </w:rPr>
        <w:t>眼压测量</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每只眼连续测量三次</w:t>
      </w:r>
      <w:r>
        <w:rPr>
          <w:rFonts w:hint="eastAsia" w:ascii="微软雅黑" w:hAnsi="微软雅黑" w:eastAsia="微软雅黑" w:cs="微软雅黑"/>
          <w:color w:val="auto"/>
          <w:sz w:val="24"/>
          <w:szCs w:val="24"/>
          <w:highlight w:val="none"/>
          <w:lang w:eastAsia="zh-CN"/>
        </w:rPr>
        <w:t>以上</w:t>
      </w:r>
      <w:r>
        <w:rPr>
          <w:rFonts w:hint="eastAsia" w:ascii="微软雅黑" w:hAnsi="微软雅黑" w:eastAsia="微软雅黑" w:cs="微软雅黑"/>
          <w:color w:val="auto"/>
          <w:sz w:val="24"/>
          <w:szCs w:val="24"/>
          <w:highlight w:val="none"/>
        </w:rPr>
        <w:t>,计算平均值(误差大的自动剔除)</w:t>
      </w:r>
    </w:p>
    <w:p w14:paraId="433A0F6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12.</w:t>
      </w:r>
      <w:r>
        <w:rPr>
          <w:rFonts w:hint="eastAsia" w:ascii="微软雅黑" w:hAnsi="微软雅黑" w:eastAsia="微软雅黑" w:cs="微软雅黑"/>
          <w:color w:val="auto"/>
          <w:sz w:val="24"/>
          <w:szCs w:val="24"/>
          <w:highlight w:val="none"/>
        </w:rPr>
        <w:t>全自动测量</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按下测量按钮,自动完成双眼眼压测试</w:t>
      </w:r>
    </w:p>
    <w:p w14:paraId="7CC6FAE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kern w:val="2"/>
          <w:sz w:val="24"/>
          <w:szCs w:val="24"/>
          <w:highlight w:val="none"/>
          <w:lang w:val="en-US" w:eastAsia="zh-CN" w:bidi="ar-SA"/>
        </w:rPr>
        <w:t>13.</w:t>
      </w:r>
      <w:r>
        <w:rPr>
          <w:rFonts w:hint="eastAsia" w:ascii="微软雅黑" w:hAnsi="微软雅黑" w:eastAsia="微软雅黑" w:cs="微软雅黑"/>
          <w:color w:val="auto"/>
          <w:sz w:val="24"/>
          <w:szCs w:val="24"/>
          <w:highlight w:val="none"/>
          <w:lang w:val="en-US" w:eastAsia="zh-CN"/>
        </w:rPr>
        <w:t>角膜厚度测量</w:t>
      </w:r>
    </w:p>
    <w:p w14:paraId="3B758D1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14.</w:t>
      </w:r>
      <w:r>
        <w:rPr>
          <w:rFonts w:hint="eastAsia" w:ascii="微软雅黑" w:hAnsi="微软雅黑" w:eastAsia="微软雅黑" w:cs="微软雅黑"/>
          <w:color w:val="auto"/>
          <w:sz w:val="24"/>
          <w:szCs w:val="24"/>
          <w:highlight w:val="none"/>
          <w:lang w:val="en-US" w:eastAsia="zh-CN"/>
        </w:rPr>
        <w:t>提供角膜厚度矫正眼压值</w:t>
      </w:r>
    </w:p>
    <w:p w14:paraId="74A3839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kern w:val="2"/>
          <w:sz w:val="24"/>
          <w:szCs w:val="24"/>
          <w:highlight w:val="none"/>
          <w:lang w:val="en-US" w:eastAsia="zh-CN" w:bidi="ar-SA"/>
        </w:rPr>
        <w:t>15.</w:t>
      </w:r>
      <w:r>
        <w:rPr>
          <w:rFonts w:hint="eastAsia" w:ascii="微软雅黑" w:hAnsi="微软雅黑" w:eastAsia="微软雅黑" w:cs="微软雅黑"/>
          <w:color w:val="auto"/>
          <w:sz w:val="24"/>
          <w:szCs w:val="24"/>
          <w:highlight w:val="none"/>
          <w:lang w:val="en-US" w:eastAsia="zh-CN"/>
        </w:rPr>
        <w:t>24</w:t>
      </w:r>
      <w:r>
        <w:rPr>
          <w:rFonts w:hint="eastAsia" w:ascii="微软雅黑" w:hAnsi="微软雅黑" w:eastAsia="微软雅黑" w:cs="微软雅黑"/>
          <w:color w:val="auto"/>
          <w:sz w:val="24"/>
          <w:szCs w:val="24"/>
          <w:highlight w:val="none"/>
        </w:rPr>
        <w:t>小时动态眼压测量</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24小时动态监测眼压，能与眼压数据打印在同一报告上</w:t>
      </w:r>
    </w:p>
    <w:p w14:paraId="06F2EAE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16.</w:t>
      </w:r>
      <w:r>
        <w:rPr>
          <w:rFonts w:hint="eastAsia" w:ascii="微软雅黑" w:hAnsi="微软雅黑" w:eastAsia="微软雅黑" w:cs="微软雅黑"/>
          <w:color w:val="auto"/>
          <w:sz w:val="24"/>
          <w:szCs w:val="24"/>
          <w:highlight w:val="none"/>
          <w:lang w:eastAsia="zh-CN"/>
        </w:rPr>
        <w:t>具备打印功能，</w:t>
      </w:r>
      <w:r>
        <w:rPr>
          <w:rFonts w:hint="eastAsia" w:ascii="微软雅黑" w:hAnsi="微软雅黑" w:eastAsia="微软雅黑" w:cs="微软雅黑"/>
          <w:color w:val="auto"/>
          <w:sz w:val="24"/>
          <w:szCs w:val="24"/>
          <w:highlight w:val="none"/>
        </w:rPr>
        <w:t>测量完成后直接打印数据</w:t>
      </w:r>
    </w:p>
    <w:p w14:paraId="5EF798D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kern w:val="2"/>
          <w:sz w:val="24"/>
          <w:szCs w:val="24"/>
          <w:highlight w:val="none"/>
          <w:lang w:val="en-US" w:eastAsia="zh-CN" w:bidi="ar-SA"/>
        </w:rPr>
        <w:t>17.</w:t>
      </w:r>
      <w:r>
        <w:rPr>
          <w:rFonts w:hint="eastAsia" w:ascii="微软雅黑" w:hAnsi="微软雅黑" w:eastAsia="微软雅黑" w:cs="微软雅黑"/>
          <w:color w:val="auto"/>
          <w:sz w:val="24"/>
          <w:szCs w:val="24"/>
          <w:highlight w:val="none"/>
          <w:lang w:eastAsia="zh-CN"/>
        </w:rPr>
        <w:t>存储：可存储≥10组测量数据</w:t>
      </w:r>
    </w:p>
    <w:p w14:paraId="2824476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kern w:val="2"/>
          <w:sz w:val="24"/>
          <w:szCs w:val="24"/>
          <w:highlight w:val="none"/>
          <w:lang w:val="en-US" w:eastAsia="zh-CN" w:bidi="ar-SA"/>
        </w:rPr>
        <w:t>18.</w:t>
      </w:r>
      <w:r>
        <w:rPr>
          <w:rFonts w:hint="eastAsia" w:ascii="微软雅黑" w:hAnsi="微软雅黑" w:eastAsia="微软雅黑" w:cs="微软雅黑"/>
          <w:color w:val="auto"/>
          <w:sz w:val="24"/>
          <w:szCs w:val="24"/>
          <w:highlight w:val="none"/>
          <w:lang w:eastAsia="zh-CN"/>
        </w:rPr>
        <w:t>整机质保5年（含附件）</w:t>
      </w:r>
    </w:p>
    <w:p w14:paraId="2C97F20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kern w:val="2"/>
          <w:sz w:val="24"/>
          <w:szCs w:val="24"/>
          <w:highlight w:val="none"/>
          <w:lang w:val="en-US" w:eastAsia="zh-CN" w:bidi="ar-SA"/>
        </w:rPr>
        <w:t>19.</w:t>
      </w:r>
      <w:r>
        <w:rPr>
          <w:rFonts w:hint="eastAsia" w:ascii="微软雅黑" w:hAnsi="微软雅黑" w:eastAsia="微软雅黑" w:cs="微软雅黑"/>
          <w:color w:val="auto"/>
          <w:sz w:val="24"/>
          <w:szCs w:val="24"/>
          <w:highlight w:val="none"/>
          <w:lang w:eastAsia="zh-CN"/>
        </w:rPr>
        <w:t>所用耗材均已在新疆医保平台挂网。</w:t>
      </w:r>
    </w:p>
    <w:p w14:paraId="5E1F0E7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kern w:val="2"/>
          <w:sz w:val="24"/>
          <w:szCs w:val="24"/>
          <w:highlight w:val="none"/>
          <w:lang w:val="en-US" w:eastAsia="zh-CN" w:bidi="ar-SA"/>
        </w:rPr>
        <w:t>20.</w:t>
      </w:r>
      <w:r>
        <w:rPr>
          <w:rFonts w:hint="eastAsia" w:ascii="微软雅黑" w:hAnsi="微软雅黑" w:eastAsia="微软雅黑" w:cs="微软雅黑"/>
          <w:color w:val="auto"/>
          <w:sz w:val="24"/>
          <w:szCs w:val="24"/>
          <w:highlight w:val="none"/>
          <w:lang w:eastAsia="zh-CN"/>
        </w:rPr>
        <w:t>软件终身升级，不再另外收费。</w:t>
      </w:r>
    </w:p>
    <w:p w14:paraId="0C1EADB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21.</w:t>
      </w:r>
      <w:r>
        <w:rPr>
          <w:rFonts w:hint="eastAsia" w:ascii="微软雅黑" w:hAnsi="微软雅黑" w:eastAsia="微软雅黑" w:cs="微软雅黑"/>
          <w:color w:val="auto"/>
          <w:sz w:val="24"/>
          <w:szCs w:val="24"/>
          <w:highlight w:val="none"/>
          <w:lang w:eastAsia="zh-CN"/>
        </w:rPr>
        <w:t>提供设备状态卡及适应症范围快速操作卡。</w:t>
      </w:r>
    </w:p>
    <w:p w14:paraId="44580F7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kern w:val="2"/>
          <w:sz w:val="24"/>
          <w:szCs w:val="24"/>
          <w:lang w:val="en-US" w:eastAsia="zh-CN" w:bidi="ar-SA"/>
        </w:rPr>
        <w:t>22.</w:t>
      </w:r>
      <w:r>
        <w:rPr>
          <w:rFonts w:hint="eastAsia" w:ascii="微软雅黑" w:hAnsi="微软雅黑" w:eastAsia="微软雅黑" w:cs="微软雅黑"/>
          <w:sz w:val="24"/>
          <w:szCs w:val="24"/>
          <w:lang w:val="en-US" w:eastAsia="zh-CN"/>
        </w:rPr>
        <w:t>提供的产品需是近一年生产的。</w:t>
      </w:r>
    </w:p>
    <w:p w14:paraId="7EC6F317">
      <w:pPr>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br w:type="page"/>
      </w:r>
    </w:p>
    <w:p w14:paraId="563A1F54">
      <w:pPr>
        <w:keepNext w:val="0"/>
        <w:keepLines w:val="0"/>
        <w:pageBreakBefore w:val="0"/>
        <w:kinsoku/>
        <w:wordWrap/>
        <w:overflowPunct/>
        <w:topLinePunct w:val="0"/>
        <w:bidi w:val="0"/>
        <w:spacing w:line="440" w:lineRule="exact"/>
        <w:ind w:firstLine="480" w:firstLineChars="200"/>
        <w:jc w:val="center"/>
        <w:outlineLvl w:val="4"/>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 xml:space="preserve">强脉冲光干眼治疗仪 </w:t>
      </w:r>
    </w:p>
    <w:p w14:paraId="32B8A76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1、适用范围：获得国家药监局批准适用于睑板腺功能障碍（MGD）引起的相关性干眼治疗。</w:t>
      </w:r>
    </w:p>
    <w:p w14:paraId="2365E26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2、脉冲数量：≥1</w:t>
      </w:r>
    </w:p>
    <w:p w14:paraId="079DDB3E">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kern w:val="2"/>
          <w:sz w:val="24"/>
          <w:szCs w:val="24"/>
          <w:lang w:val="en-US" w:eastAsia="zh-CN" w:bidi="ar-SA"/>
        </w:rPr>
        <w:t>3、</w:t>
      </w:r>
      <w:r>
        <w:rPr>
          <w:rFonts w:hint="eastAsia" w:ascii="微软雅黑" w:hAnsi="微软雅黑" w:eastAsia="微软雅黑" w:cs="微软雅黑"/>
          <w:sz w:val="24"/>
          <w:szCs w:val="24"/>
          <w:lang w:val="en-US" w:eastAsia="zh-CN"/>
        </w:rPr>
        <w:t>运行模式:无延迟，可连续出光，连续运行 .脉冲间隔：5-100 ms，可调</w:t>
      </w:r>
    </w:p>
    <w:p w14:paraId="6C8295A3">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240" w:firstLineChars="1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进步5ms。</w:t>
      </w:r>
    </w:p>
    <w:p w14:paraId="76F3B613">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4、能量范围：10J/cm²-16J/cm²</w:t>
      </w:r>
    </w:p>
    <w:p w14:paraId="53C35708">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kern w:val="2"/>
          <w:sz w:val="24"/>
          <w:szCs w:val="24"/>
          <w:lang w:val="en-US" w:eastAsia="zh-CN" w:bidi="ar-SA"/>
        </w:rPr>
        <w:t>5、</w:t>
      </w:r>
      <w:r>
        <w:rPr>
          <w:rFonts w:hint="eastAsia" w:ascii="微软雅黑" w:hAnsi="微软雅黑" w:eastAsia="微软雅黑" w:cs="微软雅黑"/>
          <w:sz w:val="24"/>
          <w:szCs w:val="24"/>
          <w:lang w:val="en-US" w:eastAsia="zh-CN"/>
        </w:rPr>
        <w:t>拥有精准智能脉冲技术，临床舒适度高，适应于特殊患者治疗。</w:t>
      </w:r>
    </w:p>
    <w:p w14:paraId="110CACCD">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kern w:val="2"/>
          <w:sz w:val="24"/>
          <w:szCs w:val="24"/>
          <w:lang w:val="en-US" w:eastAsia="zh-CN" w:bidi="ar-SA"/>
        </w:rPr>
        <w:t>6、</w:t>
      </w:r>
      <w:r>
        <w:rPr>
          <w:rFonts w:hint="eastAsia" w:ascii="微软雅黑" w:hAnsi="微软雅黑" w:eastAsia="微软雅黑" w:cs="微软雅黑"/>
          <w:sz w:val="24"/>
          <w:szCs w:val="24"/>
          <w:lang w:val="en-US" w:eastAsia="zh-CN"/>
        </w:rPr>
        <w:t>能量档位:≥5档可调</w:t>
      </w:r>
    </w:p>
    <w:p w14:paraId="4D2E70A6">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kern w:val="2"/>
          <w:sz w:val="24"/>
          <w:szCs w:val="24"/>
          <w:lang w:val="en-US" w:eastAsia="zh-CN" w:bidi="ar-SA"/>
        </w:rPr>
        <w:t>7、</w:t>
      </w:r>
      <w:r>
        <w:rPr>
          <w:rFonts w:hint="eastAsia" w:ascii="微软雅黑" w:hAnsi="微软雅黑" w:eastAsia="微软雅黑" w:cs="微软雅黑"/>
          <w:sz w:val="24"/>
          <w:szCs w:val="24"/>
          <w:lang w:val="en-US" w:eastAsia="zh-CN"/>
        </w:rPr>
        <w:t>能量步长:每档1J逐级增减</w:t>
      </w:r>
    </w:p>
    <w:p w14:paraId="0E1001D1">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kern w:val="2"/>
          <w:sz w:val="24"/>
          <w:szCs w:val="24"/>
          <w:lang w:val="en-US" w:eastAsia="zh-CN" w:bidi="ar-SA"/>
        </w:rPr>
        <w:t>8、</w:t>
      </w:r>
      <w:r>
        <w:rPr>
          <w:rFonts w:hint="eastAsia" w:ascii="微软雅黑" w:hAnsi="微软雅黑" w:eastAsia="微软雅黑" w:cs="微软雅黑"/>
          <w:sz w:val="24"/>
          <w:szCs w:val="24"/>
          <w:lang w:val="en-US" w:eastAsia="zh-CN"/>
        </w:rPr>
        <w:t>最低有效能量可达10J/cm2</w:t>
      </w:r>
    </w:p>
    <w:p w14:paraId="53BF9D78">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9、光斑面积:&lt;2.72cm2</w:t>
      </w:r>
    </w:p>
    <w:p w14:paraId="43DE2ED4">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10、温度监测:具备运行安全监测</w:t>
      </w:r>
    </w:p>
    <w:p w14:paraId="2903F0A7">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11、治疗波长:590-1200nm</w:t>
      </w:r>
    </w:p>
    <w:p w14:paraId="2F854A80">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12、光脉冲技术:智能脉冲技术</w:t>
      </w:r>
    </w:p>
    <w:p w14:paraId="4BA2969D">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13、大治疗间隔时间:每次治疗间隔≤14天</w:t>
      </w:r>
    </w:p>
    <w:p w14:paraId="523F3550">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sz w:val="24"/>
          <w:szCs w:val="24"/>
          <w:lang w:val="en-US" w:eastAsia="zh-CN"/>
        </w:rPr>
        <w:t>14、</w:t>
      </w:r>
      <w:r>
        <w:rPr>
          <w:rFonts w:hint="eastAsia" w:ascii="微软雅黑" w:hAnsi="微软雅黑" w:eastAsia="微软雅黑" w:cs="微软雅黑"/>
          <w:color w:val="auto"/>
          <w:sz w:val="24"/>
          <w:szCs w:val="24"/>
          <w:highlight w:val="none"/>
          <w:lang w:val="en-US" w:eastAsia="zh-CN"/>
        </w:rPr>
        <w:t>冷却模式:具备水冷、蓝宝石接触式冷却装置</w:t>
      </w:r>
    </w:p>
    <w:p w14:paraId="0556D32F">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15、治疗手柄:启动开关≥1个</w:t>
      </w:r>
    </w:p>
    <w:p w14:paraId="52D9D31B">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16、连接方式:手柄与主机的连接为可拆卸式连接</w:t>
      </w:r>
    </w:p>
    <w:p w14:paraId="6A121AB2">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17、操作界面:操作界面有相应安全提示</w:t>
      </w:r>
    </w:p>
    <w:p w14:paraId="05F2D2DE">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▲18、防误触保护：具有激发出声提醒</w:t>
      </w:r>
    </w:p>
    <w:p w14:paraId="6A51A0AD">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▲19、脉冲输出模式：双脉冲，三脉冲。</w:t>
      </w:r>
    </w:p>
    <w:p w14:paraId="67C5FBB6">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20、操作系统:智能操作系统，界面有计数显示</w:t>
      </w:r>
    </w:p>
    <w:p w14:paraId="19DB0AE9">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21、整机质保5年(含附件)</w:t>
      </w:r>
    </w:p>
    <w:p w14:paraId="43866356">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22、所用耗材均已在新疆医保平台挂网。</w:t>
      </w:r>
    </w:p>
    <w:p w14:paraId="00DDD378">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23、软件终身升级，不再另外收费。</w:t>
      </w:r>
    </w:p>
    <w:p w14:paraId="51C2A829">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24、提供设备状态卡及适应症范围快速操作卡</w:t>
      </w:r>
    </w:p>
    <w:p w14:paraId="2645AE90">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微软雅黑" w:hAnsi="微软雅黑" w:eastAsia="微软雅黑" w:cs="微软雅黑"/>
          <w:b/>
          <w:color w:val="auto"/>
          <w:kern w:val="0"/>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25、提供的产品需是近一年生产的。</w:t>
      </w:r>
      <w:r>
        <w:rPr>
          <w:rFonts w:hint="eastAsia" w:ascii="微软雅黑" w:hAnsi="微软雅黑" w:eastAsia="微软雅黑" w:cs="微软雅黑"/>
          <w:b/>
          <w:color w:val="auto"/>
          <w:kern w:val="0"/>
          <w:sz w:val="24"/>
          <w:szCs w:val="24"/>
          <w:highlight w:val="none"/>
          <w:lang w:val="en-US" w:eastAsia="zh-CN"/>
        </w:rPr>
        <w:br w:type="page"/>
      </w:r>
    </w:p>
    <w:p w14:paraId="04908E68">
      <w:pPr>
        <w:keepNext w:val="0"/>
        <w:keepLines w:val="0"/>
        <w:pageBreakBefore w:val="0"/>
        <w:kinsoku/>
        <w:wordWrap/>
        <w:overflowPunct/>
        <w:topLinePunct w:val="0"/>
        <w:autoSpaceDE w:val="0"/>
        <w:autoSpaceDN w:val="0"/>
        <w:bidi w:val="0"/>
        <w:adjustRightInd w:val="0"/>
        <w:spacing w:line="440" w:lineRule="exact"/>
        <w:ind w:firstLine="480" w:firstLineChars="200"/>
        <w:jc w:val="center"/>
        <w:outlineLvl w:val="4"/>
        <w:rPr>
          <w:rFonts w:hint="eastAsia" w:ascii="微软雅黑" w:hAnsi="微软雅黑" w:eastAsia="微软雅黑" w:cs="微软雅黑"/>
          <w:b/>
          <w:color w:val="auto"/>
          <w:kern w:val="0"/>
          <w:sz w:val="24"/>
          <w:szCs w:val="24"/>
          <w:highlight w:val="none"/>
          <w:lang w:eastAsia="zh-CN"/>
        </w:rPr>
      </w:pPr>
      <w:r>
        <w:rPr>
          <w:rFonts w:hint="eastAsia" w:ascii="微软雅黑" w:hAnsi="微软雅黑" w:eastAsia="微软雅黑" w:cs="微软雅黑"/>
          <w:b/>
          <w:color w:val="auto"/>
          <w:kern w:val="0"/>
          <w:sz w:val="24"/>
          <w:szCs w:val="24"/>
          <w:highlight w:val="none"/>
          <w:lang w:val="en-US" w:eastAsia="zh-CN"/>
        </w:rPr>
        <w:t xml:space="preserve">验光仪 </w:t>
      </w:r>
    </w:p>
    <w:p w14:paraId="757DEC40">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eastAsia" w:ascii="微软雅黑" w:hAnsi="微软雅黑" w:eastAsia="微软雅黑" w:cs="微软雅黑"/>
          <w:b w:val="0"/>
          <w:bCs w:val="0"/>
          <w:color w:val="auto"/>
          <w:kern w:val="0"/>
          <w:sz w:val="24"/>
          <w:szCs w:val="24"/>
          <w:highlight w:val="none"/>
        </w:rPr>
      </w:pPr>
      <w:r>
        <w:rPr>
          <w:rFonts w:hint="eastAsia" w:ascii="微软雅黑" w:hAnsi="微软雅黑" w:eastAsia="微软雅黑" w:cs="微软雅黑"/>
          <w:b w:val="0"/>
          <w:bCs w:val="0"/>
          <w:color w:val="auto"/>
          <w:kern w:val="0"/>
          <w:sz w:val="24"/>
          <w:szCs w:val="24"/>
          <w:highlight w:val="none"/>
        </w:rPr>
        <w:t>1</w:t>
      </w:r>
      <w:r>
        <w:rPr>
          <w:rFonts w:hint="eastAsia" w:ascii="微软雅黑" w:hAnsi="微软雅黑" w:eastAsia="微软雅黑" w:cs="微软雅黑"/>
          <w:b w:val="0"/>
          <w:bCs w:val="0"/>
          <w:color w:val="auto"/>
          <w:kern w:val="0"/>
          <w:sz w:val="24"/>
          <w:szCs w:val="24"/>
          <w:highlight w:val="none"/>
          <w:lang w:eastAsia="zh-CN"/>
        </w:rPr>
        <w:t>、</w:t>
      </w:r>
      <w:r>
        <w:rPr>
          <w:rFonts w:hint="eastAsia" w:ascii="微软雅黑" w:hAnsi="微软雅黑" w:eastAsia="微软雅黑" w:cs="微软雅黑"/>
          <w:b w:val="0"/>
          <w:bCs w:val="0"/>
          <w:color w:val="auto"/>
          <w:kern w:val="0"/>
          <w:sz w:val="24"/>
          <w:szCs w:val="24"/>
          <w:highlight w:val="none"/>
        </w:rPr>
        <w:t>自动曲光测量范围:</w:t>
      </w:r>
    </w:p>
    <w:p w14:paraId="36F16478">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1.1 球镜 -30.00 到+25.00D(VD=12毫米)(0.01/0.12/0</w:t>
      </w:r>
      <w:r>
        <w:rPr>
          <w:rFonts w:hint="eastAsia" w:ascii="微软雅黑" w:hAnsi="微软雅黑" w:eastAsia="微软雅黑" w:cs="微软雅黑"/>
          <w:color w:val="auto"/>
          <w:kern w:val="0"/>
          <w:sz w:val="24"/>
          <w:szCs w:val="24"/>
          <w:highlight w:val="none"/>
          <w:lang w:val="en-US" w:eastAsia="zh-CN"/>
        </w:rPr>
        <w:t>.</w:t>
      </w:r>
      <w:r>
        <w:rPr>
          <w:rFonts w:hint="eastAsia" w:ascii="微软雅黑" w:hAnsi="微软雅黑" w:eastAsia="微软雅黑" w:cs="微软雅黑"/>
          <w:color w:val="auto"/>
          <w:kern w:val="0"/>
          <w:sz w:val="24"/>
          <w:szCs w:val="24"/>
          <w:highlight w:val="none"/>
        </w:rPr>
        <w:t>25D增量)</w:t>
      </w:r>
    </w:p>
    <w:p w14:paraId="42F292A1">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1.2 柱镜 0 到± 12D (0.01/0.12/0</w:t>
      </w:r>
      <w:r>
        <w:rPr>
          <w:rFonts w:hint="eastAsia" w:ascii="微软雅黑" w:hAnsi="微软雅黑" w:eastAsia="微软雅黑" w:cs="微软雅黑"/>
          <w:color w:val="auto"/>
          <w:kern w:val="0"/>
          <w:sz w:val="24"/>
          <w:szCs w:val="24"/>
          <w:highlight w:val="none"/>
          <w:lang w:val="en-US" w:eastAsia="zh-CN"/>
        </w:rPr>
        <w:t>.</w:t>
      </w:r>
      <w:r>
        <w:rPr>
          <w:rFonts w:hint="eastAsia" w:ascii="微软雅黑" w:hAnsi="微软雅黑" w:eastAsia="微软雅黑" w:cs="微软雅黑"/>
          <w:color w:val="auto"/>
          <w:kern w:val="0"/>
          <w:sz w:val="24"/>
          <w:szCs w:val="24"/>
          <w:highlight w:val="none"/>
        </w:rPr>
        <w:t>25D增量)</w:t>
      </w:r>
    </w:p>
    <w:p w14:paraId="16F7F525">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1.3 柱镜轴位 0</w:t>
      </w:r>
      <w:r>
        <w:rPr>
          <w:rFonts w:hint="eastAsia" w:ascii="微软雅黑" w:hAnsi="微软雅黑" w:eastAsia="微软雅黑" w:cs="微软雅黑"/>
          <w:color w:val="auto"/>
          <w:kern w:val="0"/>
          <w:sz w:val="24"/>
          <w:szCs w:val="24"/>
          <w:highlight w:val="none"/>
          <w:vertAlign w:val="superscript"/>
        </w:rPr>
        <w:t xml:space="preserve">0 </w:t>
      </w:r>
      <w:r>
        <w:rPr>
          <w:rFonts w:hint="eastAsia" w:ascii="微软雅黑" w:hAnsi="微软雅黑" w:eastAsia="微软雅黑" w:cs="微软雅黑"/>
          <w:color w:val="auto"/>
          <w:kern w:val="0"/>
          <w:sz w:val="24"/>
          <w:szCs w:val="24"/>
          <w:highlight w:val="none"/>
        </w:rPr>
        <w:t>到 180</w:t>
      </w:r>
      <w:r>
        <w:rPr>
          <w:rFonts w:hint="eastAsia" w:ascii="微软雅黑" w:hAnsi="微软雅黑" w:eastAsia="微软雅黑" w:cs="微软雅黑"/>
          <w:color w:val="auto"/>
          <w:kern w:val="0"/>
          <w:sz w:val="24"/>
          <w:szCs w:val="24"/>
          <w:highlight w:val="none"/>
          <w:vertAlign w:val="superscript"/>
        </w:rPr>
        <w:t>0</w:t>
      </w:r>
      <w:r>
        <w:rPr>
          <w:rFonts w:hint="eastAsia" w:ascii="微软雅黑" w:hAnsi="微软雅黑" w:eastAsia="微软雅黑" w:cs="微软雅黑"/>
          <w:color w:val="auto"/>
          <w:kern w:val="0"/>
          <w:sz w:val="24"/>
          <w:szCs w:val="24"/>
          <w:highlight w:val="none"/>
        </w:rPr>
        <w:t xml:space="preserve"> (1</w:t>
      </w:r>
      <w:r>
        <w:rPr>
          <w:rFonts w:hint="eastAsia" w:ascii="微软雅黑" w:hAnsi="微软雅黑" w:eastAsia="微软雅黑" w:cs="微软雅黑"/>
          <w:color w:val="auto"/>
          <w:kern w:val="0"/>
          <w:sz w:val="24"/>
          <w:szCs w:val="24"/>
          <w:highlight w:val="none"/>
          <w:vertAlign w:val="superscript"/>
        </w:rPr>
        <w:t>0</w:t>
      </w:r>
      <w:r>
        <w:rPr>
          <w:rFonts w:hint="eastAsia" w:ascii="微软雅黑" w:hAnsi="微软雅黑" w:eastAsia="微软雅黑" w:cs="微软雅黑"/>
          <w:color w:val="auto"/>
          <w:kern w:val="0"/>
          <w:sz w:val="24"/>
          <w:szCs w:val="24"/>
          <w:highlight w:val="none"/>
        </w:rPr>
        <w:t xml:space="preserve"> / 5</w:t>
      </w:r>
      <w:r>
        <w:rPr>
          <w:rFonts w:hint="eastAsia" w:ascii="微软雅黑" w:hAnsi="微软雅黑" w:eastAsia="微软雅黑" w:cs="微软雅黑"/>
          <w:color w:val="auto"/>
          <w:kern w:val="0"/>
          <w:sz w:val="24"/>
          <w:szCs w:val="24"/>
          <w:highlight w:val="none"/>
          <w:vertAlign w:val="superscript"/>
        </w:rPr>
        <w:t>0</w:t>
      </w:r>
      <w:r>
        <w:rPr>
          <w:rFonts w:hint="eastAsia" w:ascii="微软雅黑" w:hAnsi="微软雅黑" w:eastAsia="微软雅黑" w:cs="微软雅黑"/>
          <w:color w:val="auto"/>
          <w:kern w:val="0"/>
          <w:sz w:val="24"/>
          <w:szCs w:val="24"/>
          <w:highlight w:val="none"/>
        </w:rPr>
        <w:t xml:space="preserve"> 增量)</w:t>
      </w:r>
    </w:p>
    <w:p w14:paraId="4E9D78D5">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 xml:space="preserve">1.4 最小瞳孔直径: </w:t>
      </w:r>
      <w:r>
        <w:rPr>
          <w:rFonts w:hint="eastAsia" w:ascii="微软雅黑" w:hAnsi="微软雅黑" w:eastAsia="微软雅黑" w:cs="微软雅黑"/>
          <w:color w:val="auto"/>
          <w:kern w:val="2"/>
          <w:sz w:val="24"/>
          <w:szCs w:val="24"/>
          <w:highlight w:val="none"/>
          <w:lang w:val="en-US" w:eastAsia="zh-CN" w:bidi="ar-SA"/>
        </w:rPr>
        <w:t>≤</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kern w:val="0"/>
          <w:sz w:val="24"/>
          <w:szCs w:val="24"/>
          <w:highlight w:val="none"/>
        </w:rPr>
        <w:t>毫米</w:t>
      </w:r>
    </w:p>
    <w:p w14:paraId="2A69BA33">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eastAsia" w:ascii="微软雅黑" w:hAnsi="微软雅黑" w:eastAsia="微软雅黑" w:cs="微软雅黑"/>
          <w:b w:val="0"/>
          <w:bCs w:val="0"/>
          <w:color w:val="auto"/>
          <w:kern w:val="0"/>
          <w:sz w:val="24"/>
          <w:szCs w:val="24"/>
          <w:highlight w:val="none"/>
        </w:rPr>
      </w:pPr>
      <w:r>
        <w:rPr>
          <w:rFonts w:hint="eastAsia" w:ascii="微软雅黑" w:hAnsi="微软雅黑" w:eastAsia="微软雅黑" w:cs="微软雅黑"/>
          <w:b w:val="0"/>
          <w:bCs w:val="0"/>
          <w:color w:val="auto"/>
          <w:kern w:val="0"/>
          <w:sz w:val="24"/>
          <w:szCs w:val="24"/>
          <w:highlight w:val="none"/>
        </w:rPr>
        <w:t>2</w:t>
      </w:r>
      <w:r>
        <w:rPr>
          <w:rFonts w:hint="eastAsia" w:ascii="微软雅黑" w:hAnsi="微软雅黑" w:eastAsia="微软雅黑" w:cs="微软雅黑"/>
          <w:b w:val="0"/>
          <w:bCs w:val="0"/>
          <w:color w:val="auto"/>
          <w:kern w:val="0"/>
          <w:sz w:val="24"/>
          <w:szCs w:val="24"/>
          <w:highlight w:val="none"/>
          <w:lang w:eastAsia="zh-CN"/>
        </w:rPr>
        <w:t>、</w:t>
      </w:r>
      <w:r>
        <w:rPr>
          <w:rFonts w:hint="eastAsia" w:ascii="微软雅黑" w:hAnsi="微软雅黑" w:eastAsia="微软雅黑" w:cs="微软雅黑"/>
          <w:b w:val="0"/>
          <w:bCs w:val="0"/>
          <w:color w:val="auto"/>
          <w:kern w:val="0"/>
          <w:sz w:val="24"/>
          <w:szCs w:val="24"/>
          <w:highlight w:val="none"/>
        </w:rPr>
        <w:t>角膜曲率测量范围:</w:t>
      </w:r>
    </w:p>
    <w:p w14:paraId="564DC7DE">
      <w:pPr>
        <w:keepNext w:val="0"/>
        <w:keepLines w:val="0"/>
        <w:pageBreakBefore w:val="0"/>
        <w:widowControl w:val="0"/>
        <w:tabs>
          <w:tab w:val="left" w:pos="630"/>
        </w:tabs>
        <w:kinsoku/>
        <w:wordWrap/>
        <w:overflowPunct/>
        <w:topLinePunct w:val="0"/>
        <w:autoSpaceDE w:val="0"/>
        <w:autoSpaceDN w:val="0"/>
        <w:bidi w:val="0"/>
        <w:adjustRightInd w:val="0"/>
        <w:snapToGrid/>
        <w:spacing w:line="440" w:lineRule="exact"/>
        <w:ind w:firstLine="480" w:firstLineChars="200"/>
        <w:textAlignment w:val="auto"/>
        <w:rPr>
          <w:rFonts w:hint="eastAsia" w:ascii="微软雅黑" w:hAnsi="微软雅黑" w:eastAsia="微软雅黑" w:cs="微软雅黑"/>
          <w:b w:val="0"/>
          <w:bCs/>
          <w:color w:val="auto"/>
          <w:kern w:val="0"/>
          <w:sz w:val="24"/>
          <w:szCs w:val="24"/>
          <w:highlight w:val="none"/>
        </w:rPr>
      </w:pPr>
      <w:r>
        <w:rPr>
          <w:rFonts w:hint="eastAsia" w:ascii="微软雅黑" w:hAnsi="微软雅黑" w:eastAsia="微软雅黑" w:cs="微软雅黑"/>
          <w:b w:val="0"/>
          <w:bCs/>
          <w:color w:val="auto"/>
          <w:sz w:val="24"/>
          <w:szCs w:val="24"/>
          <w:highlight w:val="none"/>
        </w:rPr>
        <w:t>▲</w:t>
      </w:r>
      <w:r>
        <w:rPr>
          <w:rFonts w:hint="eastAsia" w:ascii="微软雅黑" w:hAnsi="微软雅黑" w:eastAsia="微软雅黑" w:cs="微软雅黑"/>
          <w:b w:val="0"/>
          <w:bCs/>
          <w:color w:val="auto"/>
          <w:kern w:val="0"/>
          <w:sz w:val="24"/>
          <w:szCs w:val="24"/>
          <w:highlight w:val="none"/>
        </w:rPr>
        <w:t xml:space="preserve"> 2.1角膜曲率半径</w:t>
      </w:r>
      <w:r>
        <w:rPr>
          <w:rFonts w:hint="eastAsia" w:ascii="微软雅黑" w:hAnsi="微软雅黑" w:eastAsia="微软雅黑" w:cs="微软雅黑"/>
          <w:b w:val="0"/>
          <w:bCs/>
          <w:color w:val="auto"/>
          <w:kern w:val="0"/>
          <w:sz w:val="24"/>
          <w:szCs w:val="24"/>
          <w:highlight w:val="none"/>
          <w:lang w:eastAsia="zh-CN"/>
        </w:rPr>
        <w:t>：</w:t>
      </w:r>
      <w:r>
        <w:rPr>
          <w:rFonts w:hint="eastAsia" w:ascii="微软雅黑" w:hAnsi="微软雅黑" w:eastAsia="微软雅黑" w:cs="微软雅黑"/>
          <w:b w:val="0"/>
          <w:bCs/>
          <w:color w:val="auto"/>
          <w:kern w:val="0"/>
          <w:sz w:val="24"/>
          <w:szCs w:val="24"/>
          <w:highlight w:val="none"/>
        </w:rPr>
        <w:t>5.00</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b w:val="0"/>
          <w:bCs/>
          <w:color w:val="auto"/>
          <w:kern w:val="0"/>
          <w:sz w:val="24"/>
          <w:szCs w:val="24"/>
          <w:highlight w:val="none"/>
        </w:rPr>
        <w:t>13.00毫米0.01毫米增量</w:t>
      </w:r>
    </w:p>
    <w:p w14:paraId="0657363C">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2.2 角膜曲光度数</w:t>
      </w:r>
      <w:r>
        <w:rPr>
          <w:rFonts w:hint="eastAsia" w:ascii="微软雅黑" w:hAnsi="微软雅黑" w:eastAsia="微软雅黑" w:cs="微软雅黑"/>
          <w:color w:val="auto"/>
          <w:kern w:val="0"/>
          <w:sz w:val="24"/>
          <w:szCs w:val="24"/>
          <w:highlight w:val="none"/>
          <w:lang w:eastAsia="zh-CN"/>
        </w:rPr>
        <w:t>：</w:t>
      </w:r>
      <w:r>
        <w:rPr>
          <w:rFonts w:hint="eastAsia" w:ascii="微软雅黑" w:hAnsi="微软雅黑" w:eastAsia="微软雅黑" w:cs="微软雅黑"/>
          <w:color w:val="auto"/>
          <w:kern w:val="0"/>
          <w:sz w:val="24"/>
          <w:szCs w:val="24"/>
          <w:highlight w:val="none"/>
        </w:rPr>
        <w:t>25.96到67.50D(n=1.3375) (0.01/0.12/0</w:t>
      </w:r>
      <w:r>
        <w:rPr>
          <w:rFonts w:hint="eastAsia" w:ascii="微软雅黑" w:hAnsi="微软雅黑" w:eastAsia="微软雅黑" w:cs="微软雅黑"/>
          <w:color w:val="auto"/>
          <w:kern w:val="0"/>
          <w:sz w:val="24"/>
          <w:szCs w:val="24"/>
          <w:highlight w:val="none"/>
          <w:lang w:val="en-US" w:eastAsia="zh-CN"/>
        </w:rPr>
        <w:t>.</w:t>
      </w:r>
      <w:r>
        <w:rPr>
          <w:rFonts w:hint="eastAsia" w:ascii="微软雅黑" w:hAnsi="微软雅黑" w:eastAsia="微软雅黑" w:cs="微软雅黑"/>
          <w:color w:val="auto"/>
          <w:kern w:val="0"/>
          <w:sz w:val="24"/>
          <w:szCs w:val="24"/>
          <w:highlight w:val="none"/>
        </w:rPr>
        <w:t>25D增量)</w:t>
      </w:r>
    </w:p>
    <w:p w14:paraId="0D3A37CE">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2.3 角膜柱镜度数</w:t>
      </w:r>
      <w:r>
        <w:rPr>
          <w:rFonts w:hint="eastAsia" w:ascii="微软雅黑" w:hAnsi="微软雅黑" w:eastAsia="微软雅黑" w:cs="微软雅黑"/>
          <w:color w:val="auto"/>
          <w:kern w:val="0"/>
          <w:sz w:val="24"/>
          <w:szCs w:val="24"/>
          <w:highlight w:val="none"/>
          <w:lang w:eastAsia="zh-CN"/>
        </w:rPr>
        <w:t>：</w:t>
      </w:r>
      <w:r>
        <w:rPr>
          <w:rFonts w:hint="eastAsia" w:ascii="微软雅黑" w:hAnsi="微软雅黑" w:eastAsia="微软雅黑" w:cs="微软雅黑"/>
          <w:color w:val="auto"/>
          <w:kern w:val="0"/>
          <w:sz w:val="24"/>
          <w:szCs w:val="24"/>
          <w:highlight w:val="none"/>
        </w:rPr>
        <w:t>0 到± 12D (0.01/0.12/0</w:t>
      </w:r>
      <w:r>
        <w:rPr>
          <w:rFonts w:hint="eastAsia" w:ascii="微软雅黑" w:hAnsi="微软雅黑" w:eastAsia="微软雅黑" w:cs="微软雅黑"/>
          <w:color w:val="auto"/>
          <w:kern w:val="0"/>
          <w:sz w:val="24"/>
          <w:szCs w:val="24"/>
          <w:highlight w:val="none"/>
          <w:lang w:val="en-US" w:eastAsia="zh-CN"/>
        </w:rPr>
        <w:t>.</w:t>
      </w:r>
      <w:r>
        <w:rPr>
          <w:rFonts w:hint="eastAsia" w:ascii="微软雅黑" w:hAnsi="微软雅黑" w:eastAsia="微软雅黑" w:cs="微软雅黑"/>
          <w:color w:val="auto"/>
          <w:kern w:val="0"/>
          <w:sz w:val="24"/>
          <w:szCs w:val="24"/>
          <w:highlight w:val="none"/>
        </w:rPr>
        <w:t>25D增量)</w:t>
      </w:r>
    </w:p>
    <w:p w14:paraId="16F973DC">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2.4 柱镜轴位 0</w:t>
      </w:r>
      <w:r>
        <w:rPr>
          <w:rFonts w:hint="eastAsia" w:ascii="微软雅黑" w:hAnsi="微软雅黑" w:eastAsia="微软雅黑" w:cs="微软雅黑"/>
          <w:color w:val="auto"/>
          <w:kern w:val="0"/>
          <w:sz w:val="24"/>
          <w:szCs w:val="24"/>
          <w:highlight w:val="none"/>
          <w:vertAlign w:val="superscript"/>
          <w:lang w:val="en-US" w:eastAsia="zh-CN"/>
        </w:rPr>
        <w:t>°</w:t>
      </w:r>
      <w:r>
        <w:rPr>
          <w:rFonts w:hint="eastAsia" w:ascii="微软雅黑" w:hAnsi="微软雅黑" w:eastAsia="微软雅黑" w:cs="微软雅黑"/>
          <w:color w:val="auto"/>
          <w:kern w:val="0"/>
          <w:sz w:val="24"/>
          <w:szCs w:val="24"/>
          <w:highlight w:val="none"/>
          <w:vertAlign w:val="superscript"/>
        </w:rPr>
        <w:t xml:space="preserve"> </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kern w:val="0"/>
          <w:sz w:val="24"/>
          <w:szCs w:val="24"/>
          <w:highlight w:val="none"/>
        </w:rPr>
        <w:t xml:space="preserve"> 180</w:t>
      </w:r>
      <w:r>
        <w:rPr>
          <w:rFonts w:hint="eastAsia" w:ascii="微软雅黑" w:hAnsi="微软雅黑" w:eastAsia="微软雅黑" w:cs="微软雅黑"/>
          <w:color w:val="auto"/>
          <w:kern w:val="0"/>
          <w:sz w:val="24"/>
          <w:szCs w:val="24"/>
          <w:highlight w:val="none"/>
          <w:vertAlign w:val="superscript"/>
          <w:lang w:val="en-US" w:eastAsia="zh-CN"/>
        </w:rPr>
        <w:t>°</w:t>
      </w:r>
      <w:r>
        <w:rPr>
          <w:rFonts w:hint="eastAsia" w:ascii="微软雅黑" w:hAnsi="微软雅黑" w:eastAsia="微软雅黑" w:cs="微软雅黑"/>
          <w:color w:val="auto"/>
          <w:kern w:val="0"/>
          <w:sz w:val="24"/>
          <w:szCs w:val="24"/>
          <w:highlight w:val="none"/>
        </w:rPr>
        <w:t xml:space="preserve"> (1</w:t>
      </w:r>
      <w:r>
        <w:rPr>
          <w:rFonts w:hint="eastAsia" w:ascii="微软雅黑" w:hAnsi="微软雅黑" w:eastAsia="微软雅黑" w:cs="微软雅黑"/>
          <w:color w:val="auto"/>
          <w:kern w:val="0"/>
          <w:sz w:val="24"/>
          <w:szCs w:val="24"/>
          <w:highlight w:val="none"/>
          <w:vertAlign w:val="superscript"/>
          <w:lang w:val="en-US" w:eastAsia="zh-CN"/>
        </w:rPr>
        <w:t>°</w:t>
      </w:r>
      <w:r>
        <w:rPr>
          <w:rFonts w:hint="eastAsia" w:ascii="微软雅黑" w:hAnsi="微软雅黑" w:eastAsia="微软雅黑" w:cs="微软雅黑"/>
          <w:color w:val="auto"/>
          <w:kern w:val="0"/>
          <w:sz w:val="24"/>
          <w:szCs w:val="24"/>
          <w:highlight w:val="none"/>
        </w:rPr>
        <w:t xml:space="preserve"> / 5</w:t>
      </w:r>
      <w:r>
        <w:rPr>
          <w:rFonts w:hint="eastAsia" w:ascii="微软雅黑" w:hAnsi="微软雅黑" w:eastAsia="微软雅黑" w:cs="微软雅黑"/>
          <w:color w:val="auto"/>
          <w:kern w:val="0"/>
          <w:sz w:val="24"/>
          <w:szCs w:val="24"/>
          <w:highlight w:val="none"/>
          <w:vertAlign w:val="superscript"/>
          <w:lang w:val="en-US" w:eastAsia="zh-CN"/>
        </w:rPr>
        <w:t>°</w:t>
      </w:r>
      <w:r>
        <w:rPr>
          <w:rFonts w:hint="eastAsia" w:ascii="微软雅黑" w:hAnsi="微软雅黑" w:eastAsia="微软雅黑" w:cs="微软雅黑"/>
          <w:color w:val="auto"/>
          <w:kern w:val="0"/>
          <w:sz w:val="24"/>
          <w:szCs w:val="24"/>
          <w:highlight w:val="none"/>
        </w:rPr>
        <w:t>增量)</w:t>
      </w:r>
    </w:p>
    <w:p w14:paraId="3B363578">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2.5 普通测量范围</w:t>
      </w:r>
      <w:r>
        <w:rPr>
          <w:rFonts w:hint="eastAsia" w:ascii="微软雅黑" w:hAnsi="微软雅黑" w:eastAsia="微软雅黑" w:cs="微软雅黑"/>
          <w:color w:val="auto"/>
          <w:kern w:val="0"/>
          <w:sz w:val="24"/>
          <w:szCs w:val="24"/>
          <w:highlight w:val="none"/>
          <w:lang w:eastAsia="zh-CN"/>
        </w:rPr>
        <w:t>：</w:t>
      </w:r>
      <w:r>
        <w:rPr>
          <w:rFonts w:hint="eastAsia" w:ascii="微软雅黑" w:hAnsi="微软雅黑" w:eastAsia="微软雅黑" w:cs="微软雅黑"/>
          <w:color w:val="auto"/>
          <w:kern w:val="0"/>
          <w:sz w:val="24"/>
          <w:szCs w:val="24"/>
          <w:highlight w:val="none"/>
        </w:rPr>
        <w:t>3.3</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kern w:val="0"/>
          <w:sz w:val="24"/>
          <w:szCs w:val="24"/>
          <w:highlight w:val="none"/>
        </w:rPr>
        <w:t>毫米( R=7.7毫米)</w:t>
      </w:r>
    </w:p>
    <w:p w14:paraId="220B1D31">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2.6 环影像测量范围</w:t>
      </w:r>
      <w:r>
        <w:rPr>
          <w:rFonts w:hint="eastAsia" w:ascii="微软雅黑" w:hAnsi="微软雅黑" w:eastAsia="微软雅黑" w:cs="微软雅黑"/>
          <w:color w:val="auto"/>
          <w:kern w:val="0"/>
          <w:sz w:val="24"/>
          <w:szCs w:val="24"/>
          <w:highlight w:val="none"/>
          <w:lang w:eastAsia="zh-CN"/>
        </w:rPr>
        <w:t>：</w:t>
      </w:r>
      <w:r>
        <w:rPr>
          <w:rFonts w:hint="eastAsia" w:ascii="微软雅黑" w:hAnsi="微软雅黑" w:eastAsia="微软雅黑" w:cs="微软雅黑"/>
          <w:color w:val="auto"/>
          <w:sz w:val="24"/>
          <w:szCs w:val="24"/>
          <w:highlight w:val="none"/>
          <w:lang w:val="en-US" w:eastAsia="zh-CN"/>
        </w:rPr>
        <w:t>6.0≥</w:t>
      </w:r>
      <w:r>
        <w:rPr>
          <w:rFonts w:hint="eastAsia" w:ascii="微软雅黑" w:hAnsi="微软雅黑" w:eastAsia="微软雅黑" w:cs="微软雅黑"/>
          <w:color w:val="auto"/>
          <w:kern w:val="0"/>
          <w:sz w:val="24"/>
          <w:szCs w:val="24"/>
          <w:highlight w:val="none"/>
        </w:rPr>
        <w:t>毫米( R=7.7毫米)</w:t>
      </w:r>
    </w:p>
    <w:p w14:paraId="3A244061">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2.7 瞳距测量范围</w:t>
      </w:r>
      <w:r>
        <w:rPr>
          <w:rFonts w:hint="eastAsia" w:ascii="微软雅黑" w:hAnsi="微软雅黑" w:eastAsia="微软雅黑" w:cs="微软雅黑"/>
          <w:color w:val="auto"/>
          <w:kern w:val="0"/>
          <w:sz w:val="24"/>
          <w:szCs w:val="24"/>
          <w:highlight w:val="none"/>
          <w:lang w:eastAsia="zh-CN"/>
        </w:rPr>
        <w:t>：</w:t>
      </w:r>
      <w:r>
        <w:rPr>
          <w:rFonts w:hint="eastAsia" w:ascii="微软雅黑" w:hAnsi="微软雅黑" w:eastAsia="微软雅黑" w:cs="微软雅黑"/>
          <w:color w:val="auto"/>
          <w:kern w:val="0"/>
          <w:sz w:val="24"/>
          <w:szCs w:val="24"/>
          <w:highlight w:val="none"/>
        </w:rPr>
        <w:t>30</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kern w:val="0"/>
          <w:sz w:val="24"/>
          <w:szCs w:val="24"/>
          <w:highlight w:val="none"/>
        </w:rPr>
        <w:t>85毫米(1毫米增量)</w:t>
      </w:r>
    </w:p>
    <w:p w14:paraId="2D249109">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eastAsia" w:ascii="微软雅黑" w:hAnsi="微软雅黑" w:eastAsia="微软雅黑" w:cs="微软雅黑"/>
          <w:b w:val="0"/>
          <w:bCs/>
          <w:color w:val="auto"/>
          <w:kern w:val="0"/>
          <w:sz w:val="24"/>
          <w:szCs w:val="24"/>
          <w:highlight w:val="none"/>
        </w:rPr>
      </w:pPr>
      <w:r>
        <w:rPr>
          <w:rFonts w:hint="eastAsia" w:ascii="微软雅黑" w:hAnsi="微软雅黑" w:eastAsia="微软雅黑" w:cs="微软雅黑"/>
          <w:b w:val="0"/>
          <w:bCs/>
          <w:color w:val="auto"/>
          <w:kern w:val="0"/>
          <w:sz w:val="24"/>
          <w:szCs w:val="24"/>
          <w:highlight w:val="none"/>
        </w:rPr>
        <w:t>2.</w:t>
      </w:r>
      <w:r>
        <w:rPr>
          <w:rFonts w:hint="eastAsia" w:ascii="微软雅黑" w:hAnsi="微软雅黑" w:eastAsia="微软雅黑" w:cs="微软雅黑"/>
          <w:b w:val="0"/>
          <w:bCs/>
          <w:color w:val="auto"/>
          <w:kern w:val="0"/>
          <w:sz w:val="24"/>
          <w:szCs w:val="24"/>
          <w:highlight w:val="none"/>
          <w:lang w:val="en-US" w:eastAsia="zh-CN"/>
        </w:rPr>
        <w:t>8</w:t>
      </w:r>
      <w:r>
        <w:rPr>
          <w:rFonts w:hint="eastAsia" w:ascii="微软雅黑" w:hAnsi="微软雅黑" w:eastAsia="微软雅黑" w:cs="微软雅黑"/>
          <w:b w:val="0"/>
          <w:bCs/>
          <w:color w:val="auto"/>
          <w:kern w:val="0"/>
          <w:sz w:val="24"/>
          <w:szCs w:val="24"/>
          <w:highlight w:val="none"/>
        </w:rPr>
        <w:t xml:space="preserve"> 可倾斜≥5.</w:t>
      </w:r>
      <w:r>
        <w:rPr>
          <w:rFonts w:hint="eastAsia" w:ascii="微软雅黑" w:hAnsi="微软雅黑" w:eastAsia="微软雅黑" w:cs="微软雅黑"/>
          <w:b w:val="0"/>
          <w:bCs/>
          <w:color w:val="auto"/>
          <w:kern w:val="0"/>
          <w:sz w:val="24"/>
          <w:szCs w:val="24"/>
          <w:highlight w:val="none"/>
          <w:lang w:val="en-US" w:eastAsia="zh-CN"/>
        </w:rPr>
        <w:t>5</w:t>
      </w:r>
      <w:r>
        <w:rPr>
          <w:rFonts w:hint="eastAsia" w:ascii="微软雅黑" w:hAnsi="微软雅黑" w:eastAsia="微软雅黑" w:cs="微软雅黑"/>
          <w:b w:val="0"/>
          <w:bCs/>
          <w:color w:val="auto"/>
          <w:kern w:val="0"/>
          <w:sz w:val="24"/>
          <w:szCs w:val="24"/>
          <w:highlight w:val="none"/>
        </w:rPr>
        <w:t>英寸彩色LCD显示器</w:t>
      </w:r>
    </w:p>
    <w:p w14:paraId="3F1F05AF">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eastAsia" w:ascii="微软雅黑" w:hAnsi="微软雅黑" w:eastAsia="微软雅黑" w:cs="微软雅黑"/>
          <w:b w:val="0"/>
          <w:bCs/>
          <w:color w:val="auto"/>
          <w:kern w:val="0"/>
          <w:sz w:val="24"/>
          <w:szCs w:val="24"/>
          <w:highlight w:val="none"/>
          <w:lang w:eastAsia="zh-CN"/>
        </w:rPr>
      </w:pPr>
      <w:r>
        <w:rPr>
          <w:rFonts w:hint="eastAsia" w:ascii="微软雅黑" w:hAnsi="微软雅黑" w:eastAsia="微软雅黑" w:cs="微软雅黑"/>
          <w:b w:val="0"/>
          <w:bCs/>
          <w:color w:val="auto"/>
          <w:kern w:val="0"/>
          <w:sz w:val="24"/>
          <w:szCs w:val="24"/>
          <w:highlight w:val="none"/>
        </w:rPr>
        <w:t>2.</w:t>
      </w:r>
      <w:r>
        <w:rPr>
          <w:rFonts w:hint="eastAsia" w:ascii="微软雅黑" w:hAnsi="微软雅黑" w:eastAsia="微软雅黑" w:cs="微软雅黑"/>
          <w:b w:val="0"/>
          <w:bCs/>
          <w:color w:val="auto"/>
          <w:kern w:val="0"/>
          <w:sz w:val="24"/>
          <w:szCs w:val="24"/>
          <w:highlight w:val="none"/>
          <w:lang w:val="en-US" w:eastAsia="zh-CN"/>
        </w:rPr>
        <w:t>9</w:t>
      </w:r>
      <w:r>
        <w:rPr>
          <w:rFonts w:hint="eastAsia" w:ascii="微软雅黑" w:hAnsi="微软雅黑" w:eastAsia="微软雅黑" w:cs="微软雅黑"/>
          <w:b w:val="0"/>
          <w:bCs/>
          <w:color w:val="auto"/>
          <w:kern w:val="0"/>
          <w:sz w:val="24"/>
          <w:szCs w:val="24"/>
          <w:highlight w:val="none"/>
        </w:rPr>
        <w:t xml:space="preserve"> 内置热敏打印机(自动切纸</w:t>
      </w:r>
      <w:r>
        <w:rPr>
          <w:rFonts w:hint="eastAsia" w:ascii="微软雅黑" w:hAnsi="微软雅黑" w:eastAsia="微软雅黑" w:cs="微软雅黑"/>
          <w:b w:val="0"/>
          <w:bCs/>
          <w:color w:val="auto"/>
          <w:kern w:val="0"/>
          <w:sz w:val="24"/>
          <w:szCs w:val="24"/>
          <w:highlight w:val="none"/>
          <w:lang w:eastAsia="zh-CN"/>
        </w:rPr>
        <w:t>）</w:t>
      </w:r>
    </w:p>
    <w:p w14:paraId="0C08E972">
      <w:pPr>
        <w:pStyle w:val="16"/>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2.1</w:t>
      </w:r>
      <w:r>
        <w:rPr>
          <w:rFonts w:hint="eastAsia" w:ascii="微软雅黑" w:hAnsi="微软雅黑" w:eastAsia="微软雅黑" w:cs="微软雅黑"/>
          <w:color w:val="auto"/>
          <w:kern w:val="0"/>
          <w:sz w:val="24"/>
          <w:szCs w:val="24"/>
          <w:highlight w:val="none"/>
          <w:lang w:val="en-US" w:eastAsia="zh-CN"/>
        </w:rPr>
        <w:t>0</w:t>
      </w:r>
      <w:r>
        <w:rPr>
          <w:rFonts w:hint="eastAsia" w:ascii="微软雅黑" w:hAnsi="微软雅黑" w:eastAsia="微软雅黑" w:cs="微软雅黑"/>
          <w:color w:val="auto"/>
          <w:kern w:val="0"/>
          <w:sz w:val="24"/>
          <w:szCs w:val="24"/>
          <w:highlight w:val="none"/>
        </w:rPr>
        <w:t xml:space="preserve"> 数据接口: RS-232C (输入/输出), USB接口</w:t>
      </w:r>
    </w:p>
    <w:p w14:paraId="1F446B0D">
      <w:pPr>
        <w:pStyle w:val="16"/>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微软雅黑" w:hAnsi="微软雅黑" w:eastAsia="微软雅黑" w:cs="微软雅黑"/>
          <w:color w:val="auto"/>
          <w:kern w:val="0"/>
          <w:sz w:val="24"/>
          <w:szCs w:val="24"/>
          <w:highlight w:val="none"/>
          <w:lang w:val="en-US" w:eastAsia="zh-CN"/>
        </w:rPr>
      </w:pPr>
      <w:r>
        <w:rPr>
          <w:rFonts w:hint="eastAsia" w:ascii="微软雅黑" w:hAnsi="微软雅黑" w:eastAsia="微软雅黑" w:cs="微软雅黑"/>
          <w:b w:val="0"/>
          <w:bCs/>
          <w:color w:val="auto"/>
          <w:kern w:val="0"/>
          <w:sz w:val="24"/>
          <w:szCs w:val="24"/>
          <w:highlight w:val="none"/>
          <w:lang w:val="en-US" w:eastAsia="zh-CN"/>
        </w:rPr>
        <w:t>3、</w:t>
      </w:r>
      <w:r>
        <w:rPr>
          <w:rFonts w:hint="eastAsia" w:ascii="微软雅黑" w:hAnsi="微软雅黑" w:eastAsia="微软雅黑" w:cs="微软雅黑"/>
          <w:color w:val="auto"/>
          <w:kern w:val="0"/>
          <w:sz w:val="24"/>
          <w:szCs w:val="24"/>
          <w:highlight w:val="none"/>
        </w:rPr>
        <w:t>自动对焦，自动测量</w:t>
      </w:r>
      <w:r>
        <w:rPr>
          <w:rFonts w:hint="eastAsia" w:ascii="微软雅黑" w:hAnsi="微软雅黑" w:eastAsia="微软雅黑" w:cs="微软雅黑"/>
          <w:color w:val="auto"/>
          <w:kern w:val="0"/>
          <w:sz w:val="24"/>
          <w:szCs w:val="24"/>
          <w:highlight w:val="none"/>
          <w:lang w:eastAsia="zh-CN"/>
        </w:rPr>
        <w:t>、</w:t>
      </w:r>
      <w:r>
        <w:rPr>
          <w:rFonts w:hint="eastAsia" w:ascii="微软雅黑" w:hAnsi="微软雅黑" w:eastAsia="微软雅黑" w:cs="微软雅黑"/>
          <w:color w:val="auto"/>
          <w:kern w:val="0"/>
          <w:sz w:val="24"/>
          <w:szCs w:val="24"/>
          <w:highlight w:val="none"/>
          <w:lang w:val="en-US" w:eastAsia="zh-CN"/>
        </w:rPr>
        <w:t>带有手动操作杆</w:t>
      </w:r>
    </w:p>
    <w:p w14:paraId="4A36220A">
      <w:pPr>
        <w:pStyle w:val="16"/>
        <w:keepNext w:val="0"/>
        <w:keepLines w:val="0"/>
        <w:pageBreakBefore w:val="0"/>
        <w:widowControl w:val="0"/>
        <w:numPr>
          <w:ilvl w:val="0"/>
          <w:numId w:val="0"/>
        </w:numPr>
        <w:kinsoku/>
        <w:wordWrap/>
        <w:overflowPunct/>
        <w:topLinePunct w:val="0"/>
        <w:bidi w:val="0"/>
        <w:snapToGrid/>
        <w:spacing w:line="440" w:lineRule="exact"/>
        <w:ind w:leftChars="0" w:firstLine="480" w:firstLineChars="200"/>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lang w:val="en-US" w:eastAsia="zh-CN"/>
        </w:rPr>
        <w:t>4、</w:t>
      </w:r>
      <w:r>
        <w:rPr>
          <w:rFonts w:hint="eastAsia" w:ascii="微软雅黑" w:hAnsi="微软雅黑" w:eastAsia="微软雅黑" w:cs="微软雅黑"/>
          <w:color w:val="auto"/>
          <w:kern w:val="0"/>
          <w:sz w:val="24"/>
          <w:szCs w:val="24"/>
          <w:highlight w:val="none"/>
        </w:rPr>
        <w:t>超大屏幕彩色可倾斜式液晶显示器</w:t>
      </w:r>
    </w:p>
    <w:p w14:paraId="5E5BC34B">
      <w:pPr>
        <w:pStyle w:val="16"/>
        <w:keepNext w:val="0"/>
        <w:keepLines w:val="0"/>
        <w:pageBreakBefore w:val="0"/>
        <w:widowControl w:val="0"/>
        <w:numPr>
          <w:ilvl w:val="0"/>
          <w:numId w:val="0"/>
        </w:numPr>
        <w:kinsoku/>
        <w:wordWrap/>
        <w:overflowPunct/>
        <w:topLinePunct w:val="0"/>
        <w:bidi w:val="0"/>
        <w:snapToGrid/>
        <w:spacing w:line="440" w:lineRule="exact"/>
        <w:ind w:leftChars="0" w:firstLine="480" w:firstLineChars="200"/>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lang w:val="en-US" w:eastAsia="zh-CN"/>
        </w:rPr>
        <w:t>5、</w:t>
      </w:r>
      <w:r>
        <w:rPr>
          <w:rFonts w:hint="eastAsia" w:ascii="微软雅黑" w:hAnsi="微软雅黑" w:eastAsia="微软雅黑" w:cs="微软雅黑"/>
          <w:color w:val="auto"/>
          <w:kern w:val="0"/>
          <w:sz w:val="24"/>
          <w:szCs w:val="24"/>
          <w:highlight w:val="none"/>
        </w:rPr>
        <w:t>电动下颚托升降功能</w:t>
      </w:r>
    </w:p>
    <w:p w14:paraId="1E7EF8B1">
      <w:pPr>
        <w:pStyle w:val="16"/>
        <w:keepNext w:val="0"/>
        <w:keepLines w:val="0"/>
        <w:pageBreakBefore w:val="0"/>
        <w:widowControl w:val="0"/>
        <w:numPr>
          <w:ilvl w:val="0"/>
          <w:numId w:val="0"/>
        </w:numPr>
        <w:kinsoku/>
        <w:wordWrap/>
        <w:overflowPunct/>
        <w:topLinePunct w:val="0"/>
        <w:bidi w:val="0"/>
        <w:snapToGrid/>
        <w:spacing w:line="440" w:lineRule="exact"/>
        <w:ind w:leftChars="0" w:firstLine="480" w:firstLineChars="200"/>
        <w:textAlignment w:val="auto"/>
        <w:rPr>
          <w:rFonts w:hint="eastAsia" w:ascii="微软雅黑" w:hAnsi="微软雅黑" w:eastAsia="微软雅黑" w:cs="微软雅黑"/>
          <w:color w:val="auto"/>
          <w:kern w:val="0"/>
          <w:sz w:val="24"/>
          <w:szCs w:val="24"/>
          <w:highlight w:val="none"/>
          <w:lang w:val="en-US" w:eastAsia="zh-CN"/>
        </w:rPr>
      </w:pPr>
      <w:r>
        <w:rPr>
          <w:rFonts w:hint="eastAsia" w:ascii="微软雅黑" w:hAnsi="微软雅黑" w:eastAsia="微软雅黑" w:cs="微软雅黑"/>
          <w:color w:val="auto"/>
          <w:kern w:val="0"/>
          <w:sz w:val="24"/>
          <w:szCs w:val="24"/>
          <w:highlight w:val="none"/>
          <w:lang w:val="en-US" w:eastAsia="zh-CN"/>
        </w:rPr>
        <w:t>6、具备打印功能</w:t>
      </w:r>
    </w:p>
    <w:p w14:paraId="500408DE">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0"/>
          <w:sz w:val="24"/>
          <w:szCs w:val="24"/>
          <w:highlight w:val="none"/>
          <w:lang w:val="en-US" w:eastAsia="zh-CN"/>
        </w:rPr>
        <w:t>7、</w:t>
      </w:r>
      <w:r>
        <w:rPr>
          <w:rFonts w:hint="eastAsia" w:ascii="微软雅黑" w:hAnsi="微软雅黑" w:eastAsia="微软雅黑" w:cs="微软雅黑"/>
          <w:color w:val="auto"/>
          <w:sz w:val="24"/>
          <w:szCs w:val="24"/>
          <w:highlight w:val="none"/>
        </w:rPr>
        <w:t>整机质保5年（含附件）</w:t>
      </w:r>
    </w:p>
    <w:p w14:paraId="3EF8CB1E">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8、</w:t>
      </w:r>
      <w:r>
        <w:rPr>
          <w:rFonts w:hint="eastAsia" w:ascii="微软雅黑" w:hAnsi="微软雅黑" w:eastAsia="微软雅黑" w:cs="微软雅黑"/>
          <w:color w:val="auto"/>
          <w:sz w:val="24"/>
          <w:szCs w:val="24"/>
          <w:highlight w:val="none"/>
        </w:rPr>
        <w:t>所用耗材均已在新疆医保平台挂网。</w:t>
      </w:r>
    </w:p>
    <w:p w14:paraId="1C47031A">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9、</w:t>
      </w:r>
      <w:r>
        <w:rPr>
          <w:rFonts w:hint="eastAsia" w:ascii="微软雅黑" w:hAnsi="微软雅黑" w:eastAsia="微软雅黑" w:cs="微软雅黑"/>
          <w:color w:val="auto"/>
          <w:sz w:val="24"/>
          <w:szCs w:val="24"/>
          <w:highlight w:val="none"/>
          <w:lang w:eastAsia="zh-CN"/>
        </w:rPr>
        <w:t>软件终身升级，不再另外收费。</w:t>
      </w:r>
    </w:p>
    <w:p w14:paraId="3CB22E31">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val="en-US" w:eastAsia="zh-CN"/>
        </w:rPr>
        <w:t>10、</w:t>
      </w:r>
      <w:r>
        <w:rPr>
          <w:rFonts w:hint="eastAsia" w:ascii="微软雅黑" w:hAnsi="微软雅黑" w:eastAsia="微软雅黑" w:cs="微软雅黑"/>
          <w:color w:val="auto"/>
          <w:sz w:val="24"/>
          <w:szCs w:val="24"/>
          <w:highlight w:val="none"/>
          <w:lang w:eastAsia="zh-CN"/>
        </w:rPr>
        <w:t>提供设备状态卡及适应症范围快速操作卡。</w:t>
      </w:r>
    </w:p>
    <w:p w14:paraId="3FA88768">
      <w:pPr>
        <w:keepNext w:val="0"/>
        <w:keepLines w:val="0"/>
        <w:pageBreakBefore w:val="0"/>
        <w:widowControl w:val="0"/>
        <w:numPr>
          <w:ilvl w:val="0"/>
          <w:numId w:val="0"/>
        </w:numPr>
        <w:kinsoku/>
        <w:wordWrap/>
        <w:overflowPunct/>
        <w:topLinePunct w:val="0"/>
        <w:bidi w:val="0"/>
        <w:snapToGrid/>
        <w:spacing w:line="440" w:lineRule="exact"/>
        <w:ind w:leftChars="0" w:firstLine="480" w:firstLineChars="200"/>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val="en-US" w:eastAsia="zh-CN"/>
        </w:rPr>
        <w:t>11、提供的产品需是近一年生产的。</w:t>
      </w:r>
    </w:p>
    <w:p w14:paraId="03C37301">
      <w:pPr>
        <w:rPr>
          <w:rFonts w:hint="eastAsia" w:ascii="微软雅黑" w:hAnsi="微软雅黑" w:eastAsia="微软雅黑" w:cs="微软雅黑"/>
          <w:b/>
          <w:bCs/>
          <w:color w:val="auto"/>
          <w:sz w:val="24"/>
          <w:szCs w:val="24"/>
          <w:highlight w:val="none"/>
          <w:u w:val="none"/>
          <w:lang w:val="en-US" w:eastAsia="zh-CN"/>
        </w:rPr>
      </w:pPr>
      <w:r>
        <w:rPr>
          <w:rFonts w:hint="eastAsia" w:ascii="微软雅黑" w:hAnsi="微软雅黑" w:eastAsia="微软雅黑" w:cs="微软雅黑"/>
          <w:b/>
          <w:bCs/>
          <w:color w:val="auto"/>
          <w:sz w:val="24"/>
          <w:szCs w:val="24"/>
          <w:highlight w:val="none"/>
          <w:u w:val="none"/>
          <w:lang w:val="en-US" w:eastAsia="zh-CN"/>
        </w:rPr>
        <w:br w:type="page"/>
      </w:r>
    </w:p>
    <w:p w14:paraId="42346156">
      <w:pPr>
        <w:pStyle w:val="8"/>
        <w:keepNext w:val="0"/>
        <w:keepLines w:val="0"/>
        <w:pageBreakBefore w:val="0"/>
        <w:kinsoku/>
        <w:wordWrap/>
        <w:overflowPunct/>
        <w:topLinePunct w:val="0"/>
        <w:bidi w:val="0"/>
        <w:spacing w:before="0" w:after="0" w:line="440" w:lineRule="exact"/>
        <w:ind w:firstLine="480" w:firstLineChars="200"/>
        <w:jc w:val="center"/>
        <w:outlineLvl w:val="4"/>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u w:val="none"/>
          <w:lang w:val="en-US" w:eastAsia="zh-CN"/>
        </w:rPr>
        <w:t xml:space="preserve">裂隙灯 </w:t>
      </w:r>
    </w:p>
    <w:p w14:paraId="5B5B275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1、</w:t>
      </w:r>
      <w:r>
        <w:rPr>
          <w:rFonts w:hint="eastAsia" w:ascii="微软雅黑" w:hAnsi="微软雅黑" w:eastAsia="微软雅黑" w:cs="微软雅黑"/>
          <w:sz w:val="24"/>
          <w:szCs w:val="24"/>
        </w:rPr>
        <w:t>光学设计类型：平行夹角式（伽利略型）</w:t>
      </w:r>
    </w:p>
    <w:p w14:paraId="4FF830B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2、</w:t>
      </w:r>
      <w:r>
        <w:rPr>
          <w:rFonts w:hint="eastAsia" w:ascii="微软雅黑" w:hAnsi="微软雅黑" w:eastAsia="微软雅黑" w:cs="微软雅黑"/>
          <w:sz w:val="24"/>
          <w:szCs w:val="24"/>
        </w:rPr>
        <w:t>改变倍率形式：转鼓式五档变倍</w:t>
      </w:r>
    </w:p>
    <w:p w14:paraId="4D42440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3、</w:t>
      </w:r>
      <w:r>
        <w:rPr>
          <w:rFonts w:hint="eastAsia" w:ascii="微软雅黑" w:hAnsi="微软雅黑" w:eastAsia="微软雅黑" w:cs="微软雅黑"/>
          <w:sz w:val="24"/>
          <w:szCs w:val="24"/>
        </w:rPr>
        <w:t>目镜：12.5X</w:t>
      </w:r>
    </w:p>
    <w:p w14:paraId="29AE28A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4、</w:t>
      </w:r>
      <w:r>
        <w:rPr>
          <w:rFonts w:hint="eastAsia" w:ascii="微软雅黑" w:hAnsi="微软雅黑" w:eastAsia="微软雅黑" w:cs="微软雅黑"/>
          <w:sz w:val="24"/>
          <w:szCs w:val="24"/>
        </w:rPr>
        <w:t xml:space="preserve">放大总倍数：6X、10X、16X、25X、40X </w:t>
      </w:r>
    </w:p>
    <w:p w14:paraId="433E438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5、</w:t>
      </w:r>
      <w:r>
        <w:rPr>
          <w:rFonts w:hint="eastAsia" w:ascii="微软雅黑" w:hAnsi="微软雅黑" w:eastAsia="微软雅黑" w:cs="微软雅黑"/>
          <w:sz w:val="24"/>
          <w:szCs w:val="24"/>
        </w:rPr>
        <w:t>屈光度补偿调节：-7D ~ +7D</w:t>
      </w:r>
    </w:p>
    <w:p w14:paraId="1FE75E3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6、</w:t>
      </w:r>
      <w:r>
        <w:rPr>
          <w:rFonts w:hint="eastAsia" w:ascii="微软雅黑" w:hAnsi="微软雅黑" w:eastAsia="微软雅黑" w:cs="微软雅黑"/>
          <w:sz w:val="24"/>
          <w:szCs w:val="24"/>
        </w:rPr>
        <w:t>瞳距调节范围：</w:t>
      </w:r>
      <w:r>
        <w:rPr>
          <w:rFonts w:hint="eastAsia" w:ascii="微软雅黑" w:hAnsi="微软雅黑" w:eastAsia="微软雅黑" w:cs="微软雅黑"/>
          <w:sz w:val="24"/>
          <w:szCs w:val="24"/>
          <w:lang w:val="en-US" w:eastAsia="zh-CN"/>
        </w:rPr>
        <w:t>48</w:t>
      </w:r>
      <w:r>
        <w:rPr>
          <w:rFonts w:hint="eastAsia" w:ascii="微软雅黑" w:hAnsi="微软雅黑" w:eastAsia="微软雅黑" w:cs="微软雅黑"/>
          <w:sz w:val="24"/>
          <w:szCs w:val="24"/>
        </w:rPr>
        <w:t>mm~</w:t>
      </w:r>
      <w:r>
        <w:rPr>
          <w:rFonts w:hint="eastAsia" w:ascii="微软雅黑" w:hAnsi="微软雅黑" w:eastAsia="微软雅黑" w:cs="微软雅黑"/>
          <w:sz w:val="24"/>
          <w:szCs w:val="24"/>
          <w:lang w:val="en-US" w:eastAsia="zh-CN"/>
        </w:rPr>
        <w:t>78</w:t>
      </w:r>
      <w:r>
        <w:rPr>
          <w:rFonts w:hint="eastAsia" w:ascii="微软雅黑" w:hAnsi="微软雅黑" w:eastAsia="微软雅黑" w:cs="微软雅黑"/>
          <w:sz w:val="24"/>
          <w:szCs w:val="24"/>
        </w:rPr>
        <w:t>mm</w:t>
      </w:r>
    </w:p>
    <w:p w14:paraId="496576F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7、</w:t>
      </w:r>
      <w:r>
        <w:rPr>
          <w:rFonts w:hint="eastAsia" w:ascii="微软雅黑" w:hAnsi="微软雅黑" w:eastAsia="微软雅黑" w:cs="微软雅黑"/>
          <w:sz w:val="24"/>
          <w:szCs w:val="24"/>
        </w:rPr>
        <w:t>视场公称直径：6X:3</w:t>
      </w: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sz w:val="24"/>
          <w:szCs w:val="24"/>
        </w:rPr>
        <w:t>mm；10X:22mm；16X:14mm；25X:8.5mm；40X:5.5mm</w:t>
      </w:r>
    </w:p>
    <w:p w14:paraId="74C7253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8、</w:t>
      </w:r>
      <w:r>
        <w:rPr>
          <w:rFonts w:hint="eastAsia" w:ascii="微软雅黑" w:hAnsi="微软雅黑" w:eastAsia="微软雅黑" w:cs="微软雅黑"/>
          <w:sz w:val="24"/>
          <w:szCs w:val="24"/>
        </w:rPr>
        <w:t>照明方式：上光源照明</w:t>
      </w:r>
    </w:p>
    <w:p w14:paraId="5C204B5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sz w:val="24"/>
          <w:szCs w:val="24"/>
          <w:highlight w:val="none"/>
        </w:rPr>
      </w:pPr>
      <w:r>
        <w:rPr>
          <w:rFonts w:hint="eastAsia" w:ascii="微软雅黑" w:hAnsi="微软雅黑" w:eastAsia="微软雅黑" w:cs="微软雅黑"/>
          <w:kern w:val="2"/>
          <w:sz w:val="24"/>
          <w:szCs w:val="24"/>
          <w:highlight w:val="none"/>
          <w:lang w:val="en-US" w:eastAsia="zh-CN" w:bidi="ar-SA"/>
        </w:rPr>
        <w:t>9、</w:t>
      </w: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rPr>
        <w:t>裂隙高度：1mm ～ 1</w:t>
      </w:r>
      <w:r>
        <w:rPr>
          <w:rFonts w:hint="eastAsia" w:ascii="微软雅黑" w:hAnsi="微软雅黑" w:eastAsia="微软雅黑" w:cs="微软雅黑"/>
          <w:sz w:val="24"/>
          <w:szCs w:val="24"/>
          <w:highlight w:val="none"/>
          <w:lang w:val="en-US" w:eastAsia="zh-CN"/>
        </w:rPr>
        <w:t>4</w:t>
      </w:r>
      <w:r>
        <w:rPr>
          <w:rFonts w:hint="eastAsia" w:ascii="微软雅黑" w:hAnsi="微软雅黑" w:eastAsia="微软雅黑" w:cs="微软雅黑"/>
          <w:sz w:val="24"/>
          <w:szCs w:val="24"/>
          <w:highlight w:val="none"/>
        </w:rPr>
        <w:t>mm连续可调</w:t>
      </w:r>
    </w:p>
    <w:p w14:paraId="5DB9695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sz w:val="24"/>
          <w:szCs w:val="24"/>
          <w:highlight w:val="none"/>
        </w:rPr>
      </w:pPr>
      <w:r>
        <w:rPr>
          <w:rFonts w:hint="eastAsia" w:ascii="微软雅黑" w:hAnsi="微软雅黑" w:eastAsia="微软雅黑" w:cs="微软雅黑"/>
          <w:kern w:val="2"/>
          <w:sz w:val="24"/>
          <w:szCs w:val="24"/>
          <w:highlight w:val="none"/>
          <w:lang w:val="en-US" w:eastAsia="zh-CN" w:bidi="ar-SA"/>
        </w:rPr>
        <w:t>10、</w:t>
      </w: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rPr>
        <w:t>裂隙宽度：0mm ～ 1</w:t>
      </w:r>
      <w:r>
        <w:rPr>
          <w:rFonts w:hint="eastAsia" w:ascii="微软雅黑" w:hAnsi="微软雅黑" w:eastAsia="微软雅黑" w:cs="微软雅黑"/>
          <w:sz w:val="24"/>
          <w:szCs w:val="24"/>
          <w:highlight w:val="none"/>
          <w:lang w:val="en-US" w:eastAsia="zh-CN"/>
        </w:rPr>
        <w:t>4</w:t>
      </w:r>
      <w:r>
        <w:rPr>
          <w:rFonts w:hint="eastAsia" w:ascii="微软雅黑" w:hAnsi="微软雅黑" w:eastAsia="微软雅黑" w:cs="微软雅黑"/>
          <w:sz w:val="24"/>
          <w:szCs w:val="24"/>
          <w:highlight w:val="none"/>
        </w:rPr>
        <w:t>mm连续可调</w:t>
      </w:r>
    </w:p>
    <w:p w14:paraId="0BDF5F8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11、</w:t>
      </w:r>
      <w:r>
        <w:rPr>
          <w:rFonts w:hint="eastAsia" w:ascii="微软雅黑" w:hAnsi="微软雅黑" w:eastAsia="微软雅黑" w:cs="微软雅黑"/>
          <w:sz w:val="24"/>
          <w:szCs w:val="24"/>
        </w:rPr>
        <w:t>裂隙角度：水平旋转0°~180°</w:t>
      </w:r>
    </w:p>
    <w:p w14:paraId="4F3FB6B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12、</w:t>
      </w:r>
      <w:r>
        <w:rPr>
          <w:rFonts w:hint="eastAsia" w:ascii="微软雅黑" w:hAnsi="微软雅黑" w:eastAsia="微软雅黑" w:cs="微软雅黑"/>
          <w:sz w:val="24"/>
          <w:szCs w:val="24"/>
        </w:rPr>
        <w:t>裂隙倾角：5°、10°、15°、20°</w:t>
      </w:r>
    </w:p>
    <w:p w14:paraId="5756E07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13、</w:t>
      </w:r>
      <w:r>
        <w:rPr>
          <w:rFonts w:hint="eastAsia" w:ascii="微软雅黑" w:hAnsi="微软雅黑" w:eastAsia="微软雅黑" w:cs="微软雅黑"/>
          <w:sz w:val="24"/>
          <w:szCs w:val="24"/>
        </w:rPr>
        <w:t>光斑直径：φ0.2、φ1、φ</w:t>
      </w: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rPr>
        <w:t>、φ5、φ10、φ1</w:t>
      </w:r>
      <w:r>
        <w:rPr>
          <w:rFonts w:hint="eastAsia" w:ascii="微软雅黑" w:hAnsi="微软雅黑" w:eastAsia="微软雅黑" w:cs="微软雅黑"/>
          <w:sz w:val="24"/>
          <w:szCs w:val="24"/>
          <w:lang w:val="en-US" w:eastAsia="zh-CN"/>
        </w:rPr>
        <w:t>4</w:t>
      </w:r>
      <w:r>
        <w:rPr>
          <w:rFonts w:hint="eastAsia" w:ascii="微软雅黑" w:hAnsi="微软雅黑" w:eastAsia="微软雅黑" w:cs="微软雅黑"/>
          <w:sz w:val="24"/>
          <w:szCs w:val="24"/>
        </w:rPr>
        <w:t>(mm)</w:t>
      </w:r>
    </w:p>
    <w:p w14:paraId="5BC4DF4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14、</w:t>
      </w:r>
      <w:r>
        <w:rPr>
          <w:rFonts w:hint="eastAsia" w:ascii="微软雅黑" w:hAnsi="微软雅黑" w:eastAsia="微软雅黑" w:cs="微软雅黑"/>
          <w:sz w:val="24"/>
          <w:szCs w:val="24"/>
        </w:rPr>
        <w:t>滤色片：隔热片、减光片、无赤片、钴蓝片</w:t>
      </w:r>
    </w:p>
    <w:p w14:paraId="5528337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sz w:val="24"/>
          <w:szCs w:val="24"/>
          <w:highlight w:val="none"/>
        </w:rPr>
      </w:pPr>
      <w:r>
        <w:rPr>
          <w:rFonts w:hint="eastAsia" w:ascii="微软雅黑" w:hAnsi="微软雅黑" w:eastAsia="微软雅黑" w:cs="微软雅黑"/>
          <w:kern w:val="2"/>
          <w:sz w:val="24"/>
          <w:szCs w:val="24"/>
          <w:highlight w:val="none"/>
          <w:lang w:val="en-US" w:eastAsia="zh-CN" w:bidi="ar-SA"/>
        </w:rPr>
        <w:t>15、</w:t>
      </w: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rPr>
        <w:t>照明</w:t>
      </w:r>
      <w:r>
        <w:rPr>
          <w:rFonts w:hint="eastAsia" w:ascii="微软雅黑" w:hAnsi="微软雅黑" w:eastAsia="微软雅黑" w:cs="微软雅黑"/>
          <w:sz w:val="24"/>
          <w:szCs w:val="24"/>
          <w:highlight w:val="none"/>
          <w:lang w:eastAsia="zh-CN"/>
        </w:rPr>
        <w:t>光源</w:t>
      </w:r>
      <w:r>
        <w:rPr>
          <w:rFonts w:hint="eastAsia" w:ascii="微软雅黑" w:hAnsi="微软雅黑" w:eastAsia="微软雅黑" w:cs="微软雅黑"/>
          <w:sz w:val="24"/>
          <w:szCs w:val="24"/>
          <w:highlight w:val="none"/>
        </w:rPr>
        <w:t>：</w:t>
      </w:r>
      <w:r>
        <w:rPr>
          <w:rFonts w:hint="eastAsia" w:ascii="微软雅黑" w:hAnsi="微软雅黑" w:eastAsia="微软雅黑" w:cs="微软雅黑"/>
          <w:sz w:val="24"/>
          <w:szCs w:val="24"/>
          <w:highlight w:val="none"/>
          <w:lang w:eastAsia="zh-CN"/>
        </w:rPr>
        <w:t>暖色</w:t>
      </w:r>
      <w:r>
        <w:rPr>
          <w:rFonts w:hint="eastAsia" w:ascii="微软雅黑" w:hAnsi="微软雅黑" w:eastAsia="微软雅黑" w:cs="微软雅黑"/>
          <w:sz w:val="24"/>
          <w:szCs w:val="24"/>
          <w:highlight w:val="none"/>
          <w:lang w:val="en-US" w:eastAsia="zh-CN"/>
        </w:rPr>
        <w:t>LED</w:t>
      </w:r>
    </w:p>
    <w:p w14:paraId="5483D4E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16、</w:t>
      </w:r>
      <w:r>
        <w:rPr>
          <w:rFonts w:hint="eastAsia" w:ascii="微软雅黑" w:hAnsi="微软雅黑" w:eastAsia="微软雅黑" w:cs="微软雅黑"/>
          <w:sz w:val="24"/>
          <w:szCs w:val="24"/>
        </w:rPr>
        <w:t>照度：≥</w:t>
      </w:r>
      <w:r>
        <w:rPr>
          <w:rFonts w:hint="eastAsia" w:ascii="微软雅黑" w:hAnsi="微软雅黑" w:eastAsia="微软雅黑" w:cs="微软雅黑"/>
          <w:sz w:val="24"/>
          <w:szCs w:val="24"/>
          <w:lang w:val="en-US" w:eastAsia="zh-CN"/>
        </w:rPr>
        <w:t>60万</w:t>
      </w:r>
      <w:r>
        <w:rPr>
          <w:rFonts w:hint="eastAsia" w:ascii="微软雅黑" w:hAnsi="微软雅黑" w:eastAsia="微软雅黑" w:cs="微软雅黑"/>
          <w:sz w:val="24"/>
          <w:szCs w:val="24"/>
        </w:rPr>
        <w:t>Lux</w:t>
      </w:r>
    </w:p>
    <w:p w14:paraId="7D5E66E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17、</w:t>
      </w: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lang w:eastAsia="zh-CN"/>
        </w:rPr>
        <w:t>光学分辨率：</w:t>
      </w:r>
      <w:r>
        <w:rPr>
          <w:rFonts w:hint="eastAsia" w:ascii="微软雅黑" w:hAnsi="微软雅黑" w:eastAsia="微软雅黑" w:cs="微软雅黑"/>
          <w:sz w:val="24"/>
          <w:szCs w:val="24"/>
          <w:highlight w:val="none"/>
          <w:lang w:val="en-US" w:eastAsia="zh-CN"/>
        </w:rPr>
        <w:t>≥144</w:t>
      </w:r>
      <w:r>
        <w:rPr>
          <w:rFonts w:hint="eastAsia" w:ascii="微软雅黑" w:hAnsi="微软雅黑" w:eastAsia="微软雅黑" w:cs="微软雅黑"/>
          <w:sz w:val="24"/>
          <w:szCs w:val="24"/>
          <w:highlight w:val="none"/>
          <w:lang w:eastAsia="zh-CN"/>
        </w:rPr>
        <w:t>线对/mm</w:t>
      </w:r>
    </w:p>
    <w:p w14:paraId="5CA1D09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18、</w:t>
      </w:r>
      <w:r>
        <w:rPr>
          <w:rFonts w:hint="eastAsia" w:ascii="微软雅黑" w:hAnsi="微软雅黑" w:eastAsia="微软雅黑" w:cs="微软雅黑"/>
          <w:sz w:val="24"/>
          <w:szCs w:val="24"/>
          <w:lang w:eastAsia="zh-CN"/>
        </w:rPr>
        <w:t>照明光：滤紫外光和滤红外光</w:t>
      </w:r>
    </w:p>
    <w:p w14:paraId="2ABDD5F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color w:val="auto"/>
          <w:spacing w:val="0"/>
          <w:position w:val="0"/>
          <w:sz w:val="24"/>
          <w:szCs w:val="24"/>
          <w:shd w:val="clear" w:fill="auto"/>
        </w:rPr>
      </w:pPr>
      <w:r>
        <w:rPr>
          <w:rFonts w:hint="eastAsia" w:ascii="微软雅黑" w:hAnsi="微软雅黑" w:eastAsia="微软雅黑" w:cs="微软雅黑"/>
          <w:color w:val="auto"/>
          <w:spacing w:val="0"/>
          <w:kern w:val="2"/>
          <w:position w:val="0"/>
          <w:sz w:val="24"/>
          <w:szCs w:val="24"/>
          <w:shd w:val="clear" w:fill="auto"/>
          <w:lang w:val="en-US" w:eastAsia="zh-CN" w:bidi="ar-SA"/>
        </w:rPr>
        <w:t>19、</w:t>
      </w:r>
      <w:r>
        <w:rPr>
          <w:rFonts w:hint="eastAsia" w:ascii="微软雅黑" w:hAnsi="微软雅黑" w:eastAsia="微软雅黑" w:cs="微软雅黑"/>
          <w:sz w:val="24"/>
          <w:szCs w:val="24"/>
        </w:rPr>
        <w:t>控光方式</w:t>
      </w:r>
      <w:r>
        <w:rPr>
          <w:rFonts w:hint="eastAsia" w:ascii="微软雅黑" w:hAnsi="微软雅黑" w:eastAsia="微软雅黑" w:cs="微软雅黑"/>
          <w:sz w:val="24"/>
          <w:szCs w:val="24"/>
          <w:lang w:eastAsia="zh-CN"/>
        </w:rPr>
        <w:t>：PWM变频控光</w:t>
      </w:r>
    </w:p>
    <w:p w14:paraId="66870FC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kern w:val="2"/>
          <w:sz w:val="24"/>
          <w:szCs w:val="24"/>
          <w:lang w:val="en-US" w:eastAsia="zh-CN" w:bidi="ar-SA"/>
        </w:rPr>
        <w:t>20、</w:t>
      </w:r>
      <w:r>
        <w:rPr>
          <w:rFonts w:hint="eastAsia" w:ascii="微软雅黑" w:hAnsi="微软雅黑" w:eastAsia="微软雅黑" w:cs="微软雅黑"/>
          <w:sz w:val="24"/>
          <w:szCs w:val="24"/>
          <w:lang w:eastAsia="zh-CN"/>
        </w:rPr>
        <w:t>整机质保5年（含附件）</w:t>
      </w:r>
    </w:p>
    <w:p w14:paraId="374B010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kern w:val="2"/>
          <w:sz w:val="24"/>
          <w:szCs w:val="24"/>
          <w:lang w:val="en-US" w:eastAsia="zh-CN" w:bidi="ar-SA"/>
        </w:rPr>
        <w:t>21、</w:t>
      </w:r>
      <w:r>
        <w:rPr>
          <w:rFonts w:hint="eastAsia" w:ascii="微软雅黑" w:hAnsi="微软雅黑" w:eastAsia="微软雅黑" w:cs="微软雅黑"/>
          <w:sz w:val="24"/>
          <w:szCs w:val="24"/>
          <w:lang w:eastAsia="zh-CN"/>
        </w:rPr>
        <w:t>软终件身升级，不再另外收费。</w:t>
      </w:r>
    </w:p>
    <w:p w14:paraId="6FE7557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kern w:val="2"/>
          <w:sz w:val="24"/>
          <w:szCs w:val="24"/>
          <w:lang w:val="en-US" w:eastAsia="zh-CN" w:bidi="ar-SA"/>
        </w:rPr>
        <w:t>22、</w:t>
      </w:r>
      <w:r>
        <w:rPr>
          <w:rFonts w:hint="eastAsia" w:ascii="微软雅黑" w:hAnsi="微软雅黑" w:eastAsia="微软雅黑" w:cs="微软雅黑"/>
          <w:sz w:val="24"/>
          <w:szCs w:val="24"/>
          <w:lang w:eastAsia="zh-CN"/>
        </w:rPr>
        <w:t>提供设备状态卡及适应症范围快速操作卡。</w:t>
      </w:r>
    </w:p>
    <w:p w14:paraId="1BF88D2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kern w:val="2"/>
          <w:sz w:val="24"/>
          <w:szCs w:val="24"/>
          <w:lang w:val="en-US" w:eastAsia="zh-CN" w:bidi="ar-SA"/>
        </w:rPr>
        <w:t>23、</w:t>
      </w:r>
      <w:r>
        <w:rPr>
          <w:rFonts w:hint="eastAsia" w:ascii="微软雅黑" w:hAnsi="微软雅黑" w:eastAsia="微软雅黑" w:cs="微软雅黑"/>
          <w:sz w:val="24"/>
          <w:szCs w:val="24"/>
          <w:lang w:val="en-US" w:eastAsia="zh-CN"/>
        </w:rPr>
        <w:t>提供的产品需是近一年生产的。</w:t>
      </w:r>
    </w:p>
    <w:p w14:paraId="145E5997">
      <w:pPr>
        <w:rPr>
          <w:rFonts w:hint="eastAsia" w:ascii="微软雅黑" w:hAnsi="微软雅黑" w:eastAsia="微软雅黑" w:cs="微软雅黑"/>
          <w:b/>
          <w:bCs/>
          <w:sz w:val="24"/>
          <w:szCs w:val="24"/>
          <w:u w:val="none"/>
          <w:lang w:val="en-US" w:eastAsia="zh-CN"/>
        </w:rPr>
      </w:pPr>
      <w:r>
        <w:rPr>
          <w:rFonts w:hint="eastAsia" w:ascii="微软雅黑" w:hAnsi="微软雅黑" w:eastAsia="微软雅黑" w:cs="微软雅黑"/>
          <w:b/>
          <w:bCs/>
          <w:sz w:val="24"/>
          <w:szCs w:val="24"/>
          <w:u w:val="none"/>
          <w:lang w:val="en-US" w:eastAsia="zh-CN"/>
        </w:rPr>
        <w:br w:type="page"/>
      </w:r>
    </w:p>
    <w:p w14:paraId="5953F885">
      <w:pPr>
        <w:pStyle w:val="8"/>
        <w:keepNext w:val="0"/>
        <w:keepLines w:val="0"/>
        <w:pageBreakBefore w:val="0"/>
        <w:kinsoku/>
        <w:wordWrap/>
        <w:overflowPunct/>
        <w:topLinePunct w:val="0"/>
        <w:bidi w:val="0"/>
        <w:spacing w:before="0" w:after="0" w:line="440" w:lineRule="exact"/>
        <w:ind w:firstLine="480" w:firstLineChars="200"/>
        <w:jc w:val="center"/>
        <w:outlineLvl w:val="4"/>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u w:val="none"/>
          <w:lang w:val="en-US" w:eastAsia="zh-CN"/>
        </w:rPr>
        <w:t xml:space="preserve">超级全高清鼻内窥镜系统 </w:t>
      </w:r>
    </w:p>
    <w:p w14:paraId="7FD4A058">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1、摄像主机</w:t>
      </w:r>
      <w:r>
        <w:rPr>
          <w:rFonts w:hint="eastAsia" w:ascii="微软雅黑" w:hAnsi="微软雅黑" w:eastAsia="微软雅黑" w:cs="微软雅黑"/>
          <w:b/>
          <w:bCs/>
          <w:sz w:val="24"/>
          <w:szCs w:val="24"/>
          <w:lang w:val="en-US" w:eastAsia="zh-CN"/>
        </w:rPr>
        <w:t>1台</w:t>
      </w:r>
      <w:r>
        <w:rPr>
          <w:rFonts w:hint="eastAsia" w:ascii="微软雅黑" w:hAnsi="微软雅黑" w:eastAsia="微软雅黑" w:cs="微软雅黑"/>
          <w:b/>
          <w:bCs/>
          <w:sz w:val="24"/>
          <w:szCs w:val="24"/>
        </w:rPr>
        <w:t>：</w:t>
      </w:r>
    </w:p>
    <w:p w14:paraId="73302936">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1.1摄像头</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3组1/3cmos传感器，每组都是</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1080P；</w:t>
      </w:r>
    </w:p>
    <w:p w14:paraId="2BE69992">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1.2 TV系统制式：PAL和NTSC可切换；       </w:t>
      </w:r>
    </w:p>
    <w:p w14:paraId="714FA067">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1.3像素：1920（水平）×1080（垂直）（200万像素以上）</w:t>
      </w:r>
    </w:p>
    <w:p w14:paraId="4FC55ABF">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1.4扫描标准：1125线，50场，50帧           </w:t>
      </w:r>
    </w:p>
    <w:p w14:paraId="59037E77">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1.5复合视频输出：BNC插座×2</w:t>
      </w:r>
      <w:bookmarkStart w:id="2002" w:name="OLE_LINK3"/>
      <w:r>
        <w:rPr>
          <w:rFonts w:hint="eastAsia" w:ascii="微软雅黑" w:hAnsi="微软雅黑" w:eastAsia="微软雅黑" w:cs="微软雅黑"/>
          <w:sz w:val="24"/>
          <w:szCs w:val="24"/>
        </w:rPr>
        <w:t>；Y/C（S-VIDEO）输出</w:t>
      </w:r>
      <w:bookmarkEnd w:id="2002"/>
      <w:r>
        <w:rPr>
          <w:rFonts w:hint="eastAsia" w:ascii="微软雅黑" w:hAnsi="微软雅黑" w:eastAsia="微软雅黑" w:cs="微软雅黑"/>
          <w:sz w:val="24"/>
          <w:szCs w:val="24"/>
        </w:rPr>
        <w:t>：S端子×1；RGB/YPbPr输出：BNC×3；高清视频输出：HDMI×2；</w:t>
      </w:r>
    </w:p>
    <w:p w14:paraId="4EBA645A">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sz w:val="24"/>
          <w:szCs w:val="24"/>
          <w:lang w:val="en-US" w:eastAsia="zh-CN"/>
        </w:rPr>
        <w:t>6</w:t>
      </w:r>
      <w:r>
        <w:rPr>
          <w:rFonts w:hint="eastAsia" w:ascii="微软雅黑" w:hAnsi="微软雅黑" w:eastAsia="微软雅黑" w:cs="微软雅黑"/>
          <w:sz w:val="24"/>
          <w:szCs w:val="24"/>
        </w:rPr>
        <w:t xml:space="preserve"> 特殊功能：图像冻结</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电子9级放大</w:t>
      </w:r>
      <w:r>
        <w:rPr>
          <w:rFonts w:hint="eastAsia" w:ascii="微软雅黑" w:hAnsi="微软雅黑" w:eastAsia="微软雅黑" w:cs="微软雅黑"/>
          <w:sz w:val="24"/>
          <w:szCs w:val="24"/>
          <w:lang w:eastAsia="zh-CN"/>
        </w:rPr>
        <w:t>等</w:t>
      </w:r>
      <w:r>
        <w:rPr>
          <w:rFonts w:hint="eastAsia" w:ascii="微软雅黑" w:hAnsi="微软雅黑" w:eastAsia="微软雅黑" w:cs="微软雅黑"/>
          <w:sz w:val="24"/>
          <w:szCs w:val="24"/>
        </w:rPr>
        <w:t>；</w:t>
      </w:r>
    </w:p>
    <w:p w14:paraId="7E4F64C9">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rPr>
        <w:t>1.</w:t>
      </w:r>
      <w:r>
        <w:rPr>
          <w:rFonts w:hint="eastAsia" w:ascii="微软雅黑" w:hAnsi="微软雅黑" w:eastAsia="微软雅黑" w:cs="微软雅黑"/>
          <w:sz w:val="24"/>
          <w:szCs w:val="24"/>
          <w:lang w:val="en-US" w:eastAsia="zh-CN"/>
        </w:rPr>
        <w:t>7</w:t>
      </w:r>
      <w:r>
        <w:rPr>
          <w:rFonts w:hint="eastAsia" w:ascii="微软雅黑" w:hAnsi="微软雅黑" w:eastAsia="微软雅黑" w:cs="微软雅黑"/>
          <w:sz w:val="24"/>
          <w:szCs w:val="24"/>
        </w:rPr>
        <w:t>医用摄像系统分辨力：≥114LP/mm（</w:t>
      </w:r>
      <w:r>
        <w:rPr>
          <w:rFonts w:hint="eastAsia" w:ascii="微软雅黑" w:hAnsi="微软雅黑" w:eastAsia="微软雅黑" w:cs="微软雅黑"/>
          <w:b/>
          <w:bCs/>
          <w:sz w:val="24"/>
          <w:szCs w:val="24"/>
        </w:rPr>
        <w:t>需提供检验报告证明文件</w:t>
      </w:r>
      <w:r>
        <w:rPr>
          <w:rFonts w:hint="eastAsia" w:ascii="微软雅黑" w:hAnsi="微软雅黑" w:eastAsia="微软雅黑" w:cs="微软雅黑"/>
          <w:sz w:val="24"/>
          <w:szCs w:val="24"/>
        </w:rPr>
        <w:t>）</w:t>
      </w:r>
    </w:p>
    <w:p w14:paraId="2F29829F">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sz w:val="24"/>
          <w:szCs w:val="24"/>
          <w:lang w:val="en-US" w:eastAsia="zh-CN"/>
        </w:rPr>
        <w:t>8</w:t>
      </w:r>
      <w:r>
        <w:rPr>
          <w:rFonts w:hint="eastAsia" w:ascii="微软雅黑" w:hAnsi="微软雅黑" w:eastAsia="微软雅黑" w:cs="微软雅黑"/>
          <w:sz w:val="24"/>
          <w:szCs w:val="24"/>
        </w:rPr>
        <w:t>主机前面板</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8寸液晶屏幕，实时显示图像；</w:t>
      </w:r>
    </w:p>
    <w:p w14:paraId="2FBEB0DC">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sz w:val="24"/>
          <w:szCs w:val="24"/>
          <w:highlight w:val="yellow"/>
        </w:rPr>
      </w:pP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rPr>
        <w:t>1.</w:t>
      </w:r>
      <w:r>
        <w:rPr>
          <w:rFonts w:hint="eastAsia" w:ascii="微软雅黑" w:hAnsi="微软雅黑" w:eastAsia="微软雅黑" w:cs="微软雅黑"/>
          <w:sz w:val="24"/>
          <w:szCs w:val="24"/>
          <w:highlight w:val="none"/>
          <w:lang w:val="en-US" w:eastAsia="zh-CN"/>
        </w:rPr>
        <w:t>9</w:t>
      </w:r>
      <w:r>
        <w:rPr>
          <w:rFonts w:hint="eastAsia" w:ascii="微软雅黑" w:hAnsi="微软雅黑" w:eastAsia="微软雅黑" w:cs="微软雅黑"/>
          <w:sz w:val="24"/>
          <w:szCs w:val="24"/>
          <w:highlight w:val="none"/>
        </w:rPr>
        <w:t>主机带有USB接口，可接U盘进行拍照、录像，照片和视频均为1080P（</w:t>
      </w:r>
      <w:r>
        <w:rPr>
          <w:rFonts w:hint="eastAsia" w:ascii="微软雅黑" w:hAnsi="微软雅黑" w:eastAsia="微软雅黑" w:cs="微软雅黑"/>
          <w:b/>
          <w:bCs/>
          <w:sz w:val="24"/>
          <w:szCs w:val="24"/>
          <w:highlight w:val="none"/>
        </w:rPr>
        <w:t>需提供检验报告证明文件</w:t>
      </w:r>
      <w:r>
        <w:rPr>
          <w:rFonts w:hint="eastAsia" w:ascii="微软雅黑" w:hAnsi="微软雅黑" w:eastAsia="微软雅黑" w:cs="微软雅黑"/>
          <w:sz w:val="24"/>
          <w:szCs w:val="24"/>
          <w:highlight w:val="none"/>
        </w:rPr>
        <w:t>）</w:t>
      </w:r>
    </w:p>
    <w:p w14:paraId="364487E8">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sz w:val="24"/>
          <w:szCs w:val="24"/>
          <w:lang w:val="en-US" w:eastAsia="zh-CN"/>
        </w:rPr>
        <w:t>10</w:t>
      </w:r>
      <w:r>
        <w:rPr>
          <w:rFonts w:hint="eastAsia" w:ascii="微软雅黑" w:hAnsi="微软雅黑" w:eastAsia="微软雅黑" w:cs="微软雅黑"/>
          <w:sz w:val="24"/>
          <w:szCs w:val="24"/>
        </w:rPr>
        <w:t>主机具有网络视频直播功能（</w:t>
      </w:r>
      <w:r>
        <w:rPr>
          <w:rFonts w:hint="eastAsia" w:ascii="微软雅黑" w:hAnsi="微软雅黑" w:eastAsia="微软雅黑" w:cs="微软雅黑"/>
          <w:b/>
          <w:bCs/>
          <w:sz w:val="24"/>
          <w:szCs w:val="24"/>
        </w:rPr>
        <w:t>需提供检验报告证明文件</w:t>
      </w:r>
      <w:r>
        <w:rPr>
          <w:rFonts w:hint="eastAsia" w:ascii="微软雅黑" w:hAnsi="微软雅黑" w:eastAsia="微软雅黑" w:cs="微软雅黑"/>
          <w:sz w:val="24"/>
          <w:szCs w:val="24"/>
        </w:rPr>
        <w:t>）</w:t>
      </w:r>
    </w:p>
    <w:p w14:paraId="1177C21A">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rPr>
        <w:t>1.</w:t>
      </w:r>
      <w:r>
        <w:rPr>
          <w:rFonts w:hint="eastAsia" w:ascii="微软雅黑" w:hAnsi="微软雅黑" w:eastAsia="微软雅黑" w:cs="微软雅黑"/>
          <w:sz w:val="24"/>
          <w:szCs w:val="24"/>
          <w:lang w:val="en-US" w:eastAsia="zh-CN"/>
        </w:rPr>
        <w:t>11</w:t>
      </w:r>
      <w:r>
        <w:rPr>
          <w:rFonts w:hint="eastAsia" w:ascii="微软雅黑" w:hAnsi="微软雅黑" w:eastAsia="微软雅黑" w:cs="微软雅黑"/>
          <w:sz w:val="24"/>
          <w:szCs w:val="24"/>
        </w:rPr>
        <w:t>主机具有血管强化功能（</w:t>
      </w:r>
      <w:r>
        <w:rPr>
          <w:rFonts w:hint="eastAsia" w:ascii="微软雅黑" w:hAnsi="微软雅黑" w:eastAsia="微软雅黑" w:cs="微软雅黑"/>
          <w:b/>
          <w:bCs/>
          <w:sz w:val="24"/>
          <w:szCs w:val="24"/>
        </w:rPr>
        <w:t>需提供检验报告证明文件</w:t>
      </w:r>
      <w:r>
        <w:rPr>
          <w:rFonts w:hint="eastAsia" w:ascii="微软雅黑" w:hAnsi="微软雅黑" w:eastAsia="微软雅黑" w:cs="微软雅黑"/>
          <w:sz w:val="24"/>
          <w:szCs w:val="24"/>
        </w:rPr>
        <w:t>）</w:t>
      </w:r>
    </w:p>
    <w:p w14:paraId="2EF7733A">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sz w:val="24"/>
          <w:szCs w:val="24"/>
          <w:lang w:val="en-US" w:eastAsia="zh-CN"/>
        </w:rPr>
        <w:t>12</w:t>
      </w:r>
      <w:r>
        <w:rPr>
          <w:rFonts w:hint="eastAsia" w:ascii="微软雅黑" w:hAnsi="微软雅黑" w:eastAsia="微软雅黑" w:cs="微软雅黑"/>
          <w:sz w:val="24"/>
          <w:szCs w:val="24"/>
        </w:rPr>
        <w:t>主机可联接手机、iPAD等实时显示主机图像，进行手术实时直播（需提供检验报告证明文件）</w:t>
      </w:r>
    </w:p>
    <w:p w14:paraId="494CA848">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sz w:val="24"/>
          <w:szCs w:val="24"/>
          <w:lang w:val="en-US" w:eastAsia="zh-CN"/>
        </w:rPr>
        <w:t>13</w:t>
      </w:r>
      <w:r>
        <w:rPr>
          <w:rFonts w:hint="eastAsia" w:ascii="微软雅黑" w:hAnsi="微软雅黑" w:eastAsia="微软雅黑" w:cs="微软雅黑"/>
          <w:sz w:val="24"/>
          <w:szCs w:val="24"/>
        </w:rPr>
        <w:t xml:space="preserve">遥控控制：摄像头具有白平衡、菜单、亮度调节等遥控控制功能 </w:t>
      </w:r>
    </w:p>
    <w:p w14:paraId="303532AA">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sz w:val="24"/>
          <w:szCs w:val="24"/>
          <w:lang w:val="en-US" w:eastAsia="zh-CN"/>
        </w:rPr>
        <w:t>14</w:t>
      </w:r>
      <w:r>
        <w:rPr>
          <w:rFonts w:hint="eastAsia" w:ascii="微软雅黑" w:hAnsi="微软雅黑" w:eastAsia="微软雅黑" w:cs="微软雅黑"/>
          <w:sz w:val="24"/>
          <w:szCs w:val="24"/>
        </w:rPr>
        <w:t>具有软镜模式可以适配</w:t>
      </w:r>
      <w:r>
        <w:rPr>
          <w:rFonts w:hint="eastAsia" w:ascii="微软雅黑" w:hAnsi="微软雅黑" w:eastAsia="微软雅黑" w:cs="微软雅黑"/>
          <w:sz w:val="24"/>
          <w:szCs w:val="24"/>
          <w:lang w:eastAsia="zh-CN"/>
        </w:rPr>
        <w:t>院内现有</w:t>
      </w:r>
      <w:r>
        <w:rPr>
          <w:rFonts w:hint="eastAsia" w:ascii="微软雅黑" w:hAnsi="微软雅黑" w:eastAsia="微软雅黑" w:cs="微软雅黑"/>
          <w:sz w:val="24"/>
          <w:szCs w:val="24"/>
        </w:rPr>
        <w:t>泪道内窥镜及泪道激光</w:t>
      </w:r>
    </w:p>
    <w:p w14:paraId="607B55DA">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1.15 适配眼科微型环钻动力系统</w:t>
      </w:r>
    </w:p>
    <w:p w14:paraId="32356C53">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 xml:space="preserve">1.16 </w:t>
      </w:r>
      <w:r>
        <w:rPr>
          <w:rFonts w:hint="eastAsia" w:ascii="微软雅黑" w:hAnsi="微软雅黑" w:eastAsia="微软雅黑" w:cs="微软雅黑"/>
          <w:sz w:val="24"/>
          <w:szCs w:val="24"/>
        </w:rPr>
        <w:t>转速：500-40000rpm（可顺时针或逆时针旋转）</w:t>
      </w:r>
    </w:p>
    <w:p w14:paraId="6BA0C94C">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1.17</w:t>
      </w:r>
      <w:r>
        <w:rPr>
          <w:rFonts w:hint="eastAsia" w:ascii="微软雅黑" w:hAnsi="微软雅黑" w:eastAsia="微软雅黑" w:cs="微软雅黑"/>
          <w:sz w:val="24"/>
          <w:szCs w:val="24"/>
        </w:rPr>
        <w:t>直式外径 ≥ 0.55/0.9可选</w:t>
      </w:r>
    </w:p>
    <w:p w14:paraId="1E94905C">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1.18</w:t>
      </w:r>
      <w:r>
        <w:rPr>
          <w:rFonts w:hint="eastAsia" w:ascii="微软雅黑" w:hAnsi="微软雅黑" w:eastAsia="微软雅黑" w:cs="微软雅黑"/>
          <w:sz w:val="24"/>
          <w:szCs w:val="24"/>
        </w:rPr>
        <w:t>套管外径 ≥ 1.</w:t>
      </w:r>
      <w:r>
        <w:rPr>
          <w:rFonts w:hint="eastAsia" w:ascii="微软雅黑" w:hAnsi="微软雅黑" w:eastAsia="微软雅黑" w:cs="微软雅黑"/>
          <w:sz w:val="24"/>
          <w:szCs w:val="24"/>
          <w:lang w:val="en-US" w:eastAsia="zh-CN"/>
        </w:rPr>
        <w:t>0</w:t>
      </w:r>
      <w:r>
        <w:rPr>
          <w:rFonts w:hint="eastAsia" w:ascii="微软雅黑" w:hAnsi="微软雅黑" w:eastAsia="微软雅黑" w:cs="微软雅黑"/>
          <w:sz w:val="24"/>
          <w:szCs w:val="24"/>
        </w:rPr>
        <w:t>mm</w:t>
      </w:r>
    </w:p>
    <w:p w14:paraId="7BD15034">
      <w:pPr>
        <w:keepNext w:val="0"/>
        <w:keepLines w:val="0"/>
        <w:pageBreakBefore w:val="0"/>
        <w:widowControl w:val="0"/>
        <w:numPr>
          <w:ilvl w:val="0"/>
          <w:numId w:val="5"/>
        </w:numPr>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t>冷光源</w:t>
      </w:r>
      <w:r>
        <w:rPr>
          <w:rFonts w:hint="eastAsia" w:ascii="微软雅黑" w:hAnsi="微软雅黑" w:eastAsia="微软雅黑" w:cs="微软雅黑"/>
          <w:b/>
          <w:bCs/>
          <w:color w:val="auto"/>
          <w:sz w:val="24"/>
          <w:szCs w:val="24"/>
          <w:highlight w:val="none"/>
          <w:lang w:val="en-US" w:eastAsia="zh-CN"/>
        </w:rPr>
        <w:t xml:space="preserve"> 1套</w:t>
      </w:r>
    </w:p>
    <w:p w14:paraId="63D624E7">
      <w:pPr>
        <w:keepNext w:val="0"/>
        <w:keepLines w:val="0"/>
        <w:pageBreakBefore w:val="0"/>
        <w:widowControl w:val="0"/>
        <w:numPr>
          <w:ilvl w:val="0"/>
          <w:numId w:val="0"/>
        </w:numPr>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2.1、与摄像主机同一品牌</w:t>
      </w:r>
    </w:p>
    <w:p w14:paraId="3056B63F">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kern w:val="0"/>
          <w:sz w:val="24"/>
          <w:szCs w:val="24"/>
          <w:highlight w:val="none"/>
        </w:rPr>
        <w:t>2.2、LED冷光源，</w:t>
      </w:r>
      <w:r>
        <w:rPr>
          <w:rFonts w:hint="eastAsia" w:ascii="微软雅黑" w:hAnsi="微软雅黑" w:eastAsia="微软雅黑" w:cs="微软雅黑"/>
          <w:bCs/>
          <w:color w:val="auto"/>
          <w:sz w:val="24"/>
          <w:szCs w:val="24"/>
          <w:highlight w:val="none"/>
        </w:rPr>
        <w:t>主机前面板带</w:t>
      </w:r>
      <w:r>
        <w:rPr>
          <w:rFonts w:hint="eastAsia" w:ascii="微软雅黑" w:hAnsi="微软雅黑" w:eastAsia="微软雅黑" w:cs="微软雅黑"/>
          <w:bCs/>
          <w:color w:val="auto"/>
          <w:sz w:val="24"/>
          <w:szCs w:val="24"/>
          <w:highlight w:val="none"/>
          <w:lang w:eastAsia="zh-Hans"/>
        </w:rPr>
        <w:t>大屏幕</w:t>
      </w:r>
      <w:r>
        <w:rPr>
          <w:rFonts w:hint="eastAsia" w:ascii="微软雅黑" w:hAnsi="微软雅黑" w:eastAsia="微软雅黑" w:cs="微软雅黑"/>
          <w:bCs/>
          <w:color w:val="auto"/>
          <w:sz w:val="24"/>
          <w:szCs w:val="24"/>
          <w:highlight w:val="none"/>
        </w:rPr>
        <w:t>智能LCD触摸操作界面，可显示累计使用时间、照度等工作状态、参数一键还原功能</w:t>
      </w:r>
    </w:p>
    <w:p w14:paraId="3769630C">
      <w:pPr>
        <w:keepNext w:val="0"/>
        <w:keepLines w:val="0"/>
        <w:pageBreakBefore w:val="0"/>
        <w:widowControl w:val="0"/>
        <w:kinsoku/>
        <w:wordWrap/>
        <w:overflowPunct/>
        <w:topLinePunct w:val="0"/>
        <w:autoSpaceDE/>
        <w:autoSpaceDN/>
        <w:bidi w:val="0"/>
        <w:spacing w:line="440" w:lineRule="exact"/>
        <w:ind w:left="479" w:leftChars="228" w:firstLine="0" w:firstLineChars="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bCs/>
          <w:color w:val="auto"/>
          <w:sz w:val="24"/>
          <w:szCs w:val="24"/>
          <w:highlight w:val="none"/>
        </w:rPr>
        <w:t>2.3、主机前面板带LCD显示、参数可追溯</w:t>
      </w:r>
      <w:r>
        <w:rPr>
          <w:rFonts w:hint="eastAsia" w:ascii="微软雅黑" w:hAnsi="微软雅黑" w:eastAsia="微软雅黑" w:cs="微软雅黑"/>
          <w:bCs/>
          <w:color w:val="auto"/>
          <w:sz w:val="24"/>
          <w:szCs w:val="24"/>
          <w:highlight w:val="none"/>
        </w:rPr>
        <w:br w:type="textWrapping"/>
      </w:r>
      <w:r>
        <w:rPr>
          <w:rFonts w:hint="eastAsia" w:ascii="微软雅黑" w:hAnsi="微软雅黑" w:eastAsia="微软雅黑" w:cs="微软雅黑"/>
          <w:color w:val="auto"/>
          <w:sz w:val="24"/>
          <w:szCs w:val="24"/>
          <w:highlight w:val="none"/>
        </w:rPr>
        <w:t>2.4、光源照度：≥1100000Lx</w:t>
      </w:r>
    </w:p>
    <w:p w14:paraId="49E57619">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2.5、光源色温：≥5600k</w:t>
      </w:r>
    </w:p>
    <w:p w14:paraId="711F2EDF">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2.6、光输出孔规格:∮10</w:t>
      </w:r>
    </w:p>
    <w:p w14:paraId="35CA604D">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rPr>
        <w:t>3、医用监视器</w:t>
      </w:r>
      <w:r>
        <w:rPr>
          <w:rFonts w:hint="eastAsia" w:ascii="微软雅黑" w:hAnsi="微软雅黑" w:eastAsia="微软雅黑" w:cs="微软雅黑"/>
          <w:b/>
          <w:bCs/>
          <w:color w:val="auto"/>
          <w:sz w:val="24"/>
          <w:szCs w:val="24"/>
          <w:highlight w:val="none"/>
          <w:lang w:val="en-US" w:eastAsia="zh-CN"/>
        </w:rPr>
        <w:t xml:space="preserve"> 1台</w:t>
      </w:r>
    </w:p>
    <w:p w14:paraId="02977415">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3.1、显示器尺寸:≥26英寸</w:t>
      </w:r>
    </w:p>
    <w:p w14:paraId="1D6DD85F">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3.2、背光:LED</w:t>
      </w:r>
    </w:p>
    <w:p w14:paraId="5435F84A">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3.3、视角:≥178度（水平&amp;垂直）</w:t>
      </w:r>
    </w:p>
    <w:p w14:paraId="5909B9EF">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3.4、解像度:≥1920×1080</w:t>
      </w:r>
    </w:p>
    <w:p w14:paraId="3F8A76B7">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3.5、长宽比:16:9</w:t>
      </w:r>
    </w:p>
    <w:p w14:paraId="4E24A17D">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3.6、显示色:≥10亿色</w:t>
      </w:r>
    </w:p>
    <w:p w14:paraId="7C8CDAF1">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4. 鼻窦镜 1条</w:t>
      </w:r>
    </w:p>
    <w:p w14:paraId="2E4295DC">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4.1</w:t>
      </w:r>
      <w:r>
        <w:rPr>
          <w:rFonts w:hint="eastAsia" w:ascii="微软雅黑" w:hAnsi="微软雅黑" w:eastAsia="微软雅黑" w:cs="微软雅黑"/>
          <w:color w:val="auto"/>
          <w:sz w:val="24"/>
          <w:szCs w:val="24"/>
          <w:highlight w:val="none"/>
        </w:rPr>
        <w:t>窥镜采用</w:t>
      </w:r>
      <w:r>
        <w:rPr>
          <w:rFonts w:hint="eastAsia" w:ascii="微软雅黑" w:hAnsi="微软雅黑" w:eastAsia="微软雅黑" w:cs="微软雅黑"/>
          <w:color w:val="auto"/>
          <w:sz w:val="24"/>
          <w:szCs w:val="24"/>
          <w:highlight w:val="none"/>
          <w:lang w:eastAsia="zh-CN"/>
        </w:rPr>
        <w:t>品牌</w:t>
      </w:r>
      <w:r>
        <w:rPr>
          <w:rFonts w:hint="eastAsia" w:ascii="微软雅黑" w:hAnsi="微软雅黑" w:eastAsia="微软雅黑" w:cs="微软雅黑"/>
          <w:color w:val="auto"/>
          <w:sz w:val="24"/>
          <w:szCs w:val="24"/>
          <w:highlight w:val="none"/>
        </w:rPr>
        <w:t>光学玻璃、光钎、光锥；</w:t>
      </w:r>
    </w:p>
    <w:p w14:paraId="2029CC41">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4.2</w:t>
      </w:r>
      <w:r>
        <w:rPr>
          <w:rFonts w:hint="eastAsia" w:ascii="微软雅黑" w:hAnsi="微软雅黑" w:eastAsia="微软雅黑" w:cs="微软雅黑"/>
          <w:color w:val="auto"/>
          <w:sz w:val="24"/>
          <w:szCs w:val="24"/>
          <w:highlight w:val="none"/>
        </w:rPr>
        <w:t>内窥镜带有方向标，采用蓝宝石镜头；</w:t>
      </w:r>
    </w:p>
    <w:p w14:paraId="7C8C34DD">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4.3</w:t>
      </w:r>
      <w:r>
        <w:rPr>
          <w:rFonts w:hint="eastAsia" w:ascii="微软雅黑" w:hAnsi="微软雅黑" w:eastAsia="微软雅黑" w:cs="微软雅黑"/>
          <w:color w:val="auto"/>
          <w:sz w:val="24"/>
          <w:szCs w:val="24"/>
          <w:highlight w:val="none"/>
        </w:rPr>
        <w:t>内窥镜规格1：φ4mm*175mm，0°，30°，70°可任选</w:t>
      </w:r>
    </w:p>
    <w:p w14:paraId="54F58738">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lang w:val="en-US" w:eastAsia="zh-CN"/>
        </w:rPr>
        <w:t>5.</w:t>
      </w:r>
      <w:r>
        <w:rPr>
          <w:rFonts w:hint="eastAsia" w:ascii="微软雅黑" w:hAnsi="微软雅黑" w:eastAsia="微软雅黑" w:cs="微软雅黑"/>
          <w:b/>
          <w:bCs/>
          <w:color w:val="auto"/>
          <w:sz w:val="24"/>
          <w:szCs w:val="24"/>
          <w:highlight w:val="none"/>
        </w:rPr>
        <w:t>整机质保5年（含附件）</w:t>
      </w:r>
    </w:p>
    <w:p w14:paraId="078423AF">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5.1</w:t>
      </w:r>
      <w:r>
        <w:rPr>
          <w:rFonts w:hint="eastAsia" w:ascii="微软雅黑" w:hAnsi="微软雅黑" w:eastAsia="微软雅黑" w:cs="微软雅黑"/>
          <w:color w:val="auto"/>
          <w:sz w:val="24"/>
          <w:szCs w:val="24"/>
          <w:highlight w:val="none"/>
        </w:rPr>
        <w:t>所用耗材均已在新疆医保平台挂网。</w:t>
      </w:r>
    </w:p>
    <w:p w14:paraId="2E71A48A">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5.2</w:t>
      </w:r>
      <w:r>
        <w:rPr>
          <w:rFonts w:hint="eastAsia" w:ascii="微软雅黑" w:hAnsi="微软雅黑" w:eastAsia="微软雅黑" w:cs="微软雅黑"/>
          <w:color w:val="auto"/>
          <w:sz w:val="24"/>
          <w:szCs w:val="24"/>
          <w:highlight w:val="none"/>
          <w:lang w:eastAsia="zh-CN"/>
        </w:rPr>
        <w:t>软件终身升级，不再另外收费。</w:t>
      </w:r>
    </w:p>
    <w:p w14:paraId="750C72E6">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5.3</w:t>
      </w:r>
      <w:r>
        <w:rPr>
          <w:rFonts w:hint="eastAsia" w:ascii="微软雅黑" w:hAnsi="微软雅黑" w:eastAsia="微软雅黑" w:cs="微软雅黑"/>
          <w:sz w:val="24"/>
          <w:szCs w:val="24"/>
          <w:lang w:eastAsia="zh-CN"/>
        </w:rPr>
        <w:t>提供设备状态卡及适应症范围快速操作卡。</w:t>
      </w:r>
    </w:p>
    <w:p w14:paraId="4BF3E9F2">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5.4提供的产品需是近一年生产的。</w:t>
      </w:r>
    </w:p>
    <w:p w14:paraId="5A1ADD49">
      <w:pPr>
        <w:rPr>
          <w:rFonts w:hint="eastAsia" w:ascii="微软雅黑" w:hAnsi="微软雅黑" w:eastAsia="微软雅黑" w:cs="微软雅黑"/>
          <w:b/>
          <w:bCs/>
          <w:sz w:val="24"/>
          <w:szCs w:val="24"/>
          <w:u w:val="none"/>
          <w:lang w:val="en-US" w:eastAsia="zh-CN"/>
        </w:rPr>
      </w:pPr>
      <w:r>
        <w:rPr>
          <w:rFonts w:hint="eastAsia" w:ascii="微软雅黑" w:hAnsi="微软雅黑" w:eastAsia="微软雅黑" w:cs="微软雅黑"/>
          <w:b/>
          <w:bCs/>
          <w:sz w:val="24"/>
          <w:szCs w:val="24"/>
          <w:u w:val="none"/>
          <w:lang w:val="en-US" w:eastAsia="zh-CN"/>
        </w:rPr>
        <w:br w:type="page"/>
      </w:r>
    </w:p>
    <w:p w14:paraId="6DF64412">
      <w:pPr>
        <w:pStyle w:val="8"/>
        <w:keepNext w:val="0"/>
        <w:keepLines w:val="0"/>
        <w:pageBreakBefore w:val="0"/>
        <w:kinsoku/>
        <w:wordWrap/>
        <w:overflowPunct/>
        <w:topLinePunct w:val="0"/>
        <w:bidi w:val="0"/>
        <w:spacing w:before="0" w:after="0" w:line="440" w:lineRule="exact"/>
        <w:ind w:firstLine="480" w:firstLineChars="200"/>
        <w:jc w:val="center"/>
        <w:outlineLvl w:val="4"/>
        <w:rPr>
          <w:rFonts w:hint="eastAsia" w:ascii="微软雅黑" w:hAnsi="微软雅黑" w:eastAsia="微软雅黑" w:cs="微软雅黑"/>
          <w:b/>
          <w:bCs/>
          <w:sz w:val="24"/>
          <w:szCs w:val="24"/>
          <w:u w:val="none"/>
          <w:lang w:val="en-US" w:eastAsia="zh-CN"/>
        </w:rPr>
      </w:pPr>
      <w:r>
        <w:rPr>
          <w:rFonts w:hint="eastAsia" w:ascii="微软雅黑" w:hAnsi="微软雅黑" w:eastAsia="微软雅黑" w:cs="微软雅黑"/>
          <w:b/>
          <w:bCs/>
          <w:sz w:val="24"/>
          <w:szCs w:val="24"/>
          <w:u w:val="none"/>
          <w:lang w:val="en-US" w:eastAsia="zh-CN"/>
        </w:rPr>
        <w:t xml:space="preserve">眼底广角观察镜 </w:t>
      </w:r>
    </w:p>
    <w:p w14:paraId="19E38CC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92" w:firstLineChars="200"/>
        <w:jc w:val="left"/>
        <w:textAlignment w:val="auto"/>
        <w:rPr>
          <w:rFonts w:hint="eastAsia" w:ascii="微软雅黑" w:hAnsi="微软雅黑" w:eastAsia="微软雅黑" w:cs="微软雅黑"/>
          <w:strike w:val="0"/>
          <w:dstrike w:val="0"/>
          <w:color w:val="auto"/>
          <w:spacing w:val="3"/>
          <w:sz w:val="24"/>
          <w:szCs w:val="24"/>
          <w:highlight w:val="none"/>
          <w:lang w:val="zh-CN" w:eastAsia="zh-CN" w:bidi="zh-CN"/>
        </w:rPr>
      </w:pPr>
      <w:r>
        <w:rPr>
          <w:rFonts w:hint="eastAsia" w:ascii="微软雅黑" w:hAnsi="微软雅黑" w:eastAsia="微软雅黑" w:cs="微软雅黑"/>
          <w:strike w:val="0"/>
          <w:dstrike w:val="0"/>
          <w:color w:val="auto"/>
          <w:spacing w:val="3"/>
          <w:sz w:val="24"/>
          <w:szCs w:val="24"/>
          <w:highlight w:val="none"/>
          <w:lang w:val="zh-CN" w:eastAsia="zh-CN" w:bidi="zh-CN"/>
        </w:rPr>
        <w:t>用途：非接触式玻璃体切割手</w:t>
      </w:r>
      <w:r>
        <w:rPr>
          <w:rFonts w:hint="eastAsia" w:ascii="微软雅黑" w:hAnsi="微软雅黑" w:eastAsia="微软雅黑" w:cs="微软雅黑"/>
          <w:strike w:val="0"/>
          <w:dstrike w:val="0"/>
          <w:color w:val="auto"/>
          <w:spacing w:val="3"/>
          <w:sz w:val="24"/>
          <w:szCs w:val="24"/>
          <w:highlight w:val="none"/>
          <w:lang w:val="en-US" w:eastAsia="zh-CN" w:bidi="zh-CN"/>
        </w:rPr>
        <w:t>术</w:t>
      </w:r>
      <w:r>
        <w:rPr>
          <w:rFonts w:hint="eastAsia" w:ascii="微软雅黑" w:hAnsi="微软雅黑" w:eastAsia="微软雅黑" w:cs="微软雅黑"/>
          <w:strike w:val="0"/>
          <w:dstrike w:val="0"/>
          <w:color w:val="auto"/>
          <w:spacing w:val="3"/>
          <w:sz w:val="24"/>
          <w:szCs w:val="24"/>
          <w:highlight w:val="none"/>
          <w:lang w:val="zh-CN" w:eastAsia="zh-CN" w:bidi="zh-CN"/>
        </w:rPr>
        <w:t>用</w:t>
      </w:r>
    </w:p>
    <w:p w14:paraId="65622BED">
      <w:pPr>
        <w:pStyle w:val="88"/>
        <w:keepNext w:val="0"/>
        <w:keepLines w:val="0"/>
        <w:pageBreakBefore w:val="0"/>
        <w:widowControl w:val="0"/>
        <w:numPr>
          <w:ilvl w:val="0"/>
          <w:numId w:val="0"/>
        </w:numPr>
        <w:tabs>
          <w:tab w:val="left" w:pos="437"/>
        </w:tabs>
        <w:kinsoku/>
        <w:wordWrap/>
        <w:overflowPunct/>
        <w:topLinePunct w:val="0"/>
        <w:autoSpaceDE/>
        <w:autoSpaceDN/>
        <w:bidi w:val="0"/>
        <w:adjustRightInd/>
        <w:snapToGrid/>
        <w:spacing w:line="440" w:lineRule="exact"/>
        <w:ind w:left="0" w:leftChars="0" w:right="0" w:rightChars="0" w:firstLine="480" w:firstLineChars="200"/>
        <w:jc w:val="left"/>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1、</w:t>
      </w:r>
      <w:r>
        <w:rPr>
          <w:rFonts w:hint="eastAsia" w:ascii="微软雅黑" w:hAnsi="微软雅黑" w:eastAsia="微软雅黑" w:cs="微软雅黑"/>
          <w:color w:val="auto"/>
          <w:sz w:val="24"/>
          <w:szCs w:val="24"/>
          <w:highlight w:val="none"/>
          <w:lang w:val="en-US"/>
        </w:rPr>
        <w:t>眼底</w:t>
      </w:r>
      <w:r>
        <w:rPr>
          <w:rFonts w:hint="eastAsia" w:ascii="微软雅黑" w:hAnsi="微软雅黑" w:eastAsia="微软雅黑" w:cs="微软雅黑"/>
          <w:color w:val="auto"/>
          <w:sz w:val="24"/>
          <w:szCs w:val="24"/>
          <w:highlight w:val="none"/>
        </w:rPr>
        <w:t>观察范围</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sz w:val="24"/>
          <w:szCs w:val="24"/>
          <w:highlight w:val="none"/>
        </w:rPr>
        <w:t>60</w:t>
      </w:r>
      <w:r>
        <w:rPr>
          <w:rFonts w:hint="eastAsia" w:ascii="微软雅黑" w:hAnsi="微软雅黑" w:eastAsia="微软雅黑" w:cs="微软雅黑"/>
          <w:color w:val="auto"/>
          <w:sz w:val="24"/>
          <w:szCs w:val="24"/>
          <w:highlight w:val="none"/>
          <w:lang w:val="en-US"/>
        </w:rPr>
        <w:t>°</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sz w:val="24"/>
          <w:szCs w:val="24"/>
          <w:highlight w:val="none"/>
        </w:rPr>
        <w:t>130</w:t>
      </w:r>
      <w:r>
        <w:rPr>
          <w:rFonts w:hint="eastAsia" w:ascii="微软雅黑" w:hAnsi="微软雅黑" w:eastAsia="微软雅黑" w:cs="微软雅黑"/>
          <w:color w:val="auto"/>
          <w:sz w:val="24"/>
          <w:szCs w:val="24"/>
          <w:highlight w:val="none"/>
          <w:lang w:val="en-US"/>
        </w:rPr>
        <w:t>°</w:t>
      </w:r>
    </w:p>
    <w:p w14:paraId="09C2FA12">
      <w:pPr>
        <w:pStyle w:val="88"/>
        <w:keepNext w:val="0"/>
        <w:keepLines w:val="0"/>
        <w:pageBreakBefore w:val="0"/>
        <w:widowControl w:val="0"/>
        <w:numPr>
          <w:ilvl w:val="0"/>
          <w:numId w:val="0"/>
        </w:numPr>
        <w:tabs>
          <w:tab w:val="left" w:pos="437"/>
        </w:tabs>
        <w:kinsoku/>
        <w:wordWrap/>
        <w:overflowPunct/>
        <w:topLinePunct w:val="0"/>
        <w:autoSpaceDE/>
        <w:autoSpaceDN/>
        <w:bidi w:val="0"/>
        <w:adjustRightInd/>
        <w:snapToGrid/>
        <w:spacing w:line="440" w:lineRule="exact"/>
        <w:ind w:left="0" w:leftChars="0" w:right="0" w:rightChars="0" w:firstLine="480" w:firstLineChars="200"/>
        <w:jc w:val="left"/>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kern w:val="2"/>
          <w:sz w:val="24"/>
          <w:szCs w:val="24"/>
          <w:highlight w:val="none"/>
          <w:lang w:val="en-US" w:eastAsia="zh-CN" w:bidi="ar-SA"/>
        </w:rPr>
        <w:t>2、</w:t>
      </w:r>
      <w:r>
        <w:rPr>
          <w:rFonts w:hint="eastAsia" w:ascii="微软雅黑" w:hAnsi="微软雅黑" w:eastAsia="微软雅黑" w:cs="微软雅黑"/>
          <w:color w:val="auto"/>
          <w:sz w:val="24"/>
          <w:szCs w:val="24"/>
          <w:highlight w:val="none"/>
          <w:lang w:val="en-US" w:eastAsia="zh-CN"/>
        </w:rPr>
        <w:t>具备</w:t>
      </w:r>
      <w:r>
        <w:rPr>
          <w:rFonts w:hint="eastAsia" w:ascii="微软雅黑" w:hAnsi="微软雅黑" w:eastAsia="微软雅黑" w:cs="微软雅黑"/>
          <w:color w:val="auto"/>
          <w:sz w:val="24"/>
          <w:szCs w:val="24"/>
          <w:highlight w:val="none"/>
          <w:lang w:eastAsia="zh-CN"/>
        </w:rPr>
        <w:t>高清</w:t>
      </w:r>
      <w:r>
        <w:rPr>
          <w:rFonts w:hint="eastAsia" w:ascii="微软雅黑" w:hAnsi="微软雅黑" w:eastAsia="微软雅黑" w:cs="微软雅黑"/>
          <w:color w:val="auto"/>
          <w:sz w:val="24"/>
          <w:szCs w:val="24"/>
          <w:highlight w:val="none"/>
          <w:lang w:val="en-US" w:eastAsia="zh-CN"/>
        </w:rPr>
        <w:t>和</w:t>
      </w:r>
      <w:r>
        <w:rPr>
          <w:rFonts w:hint="eastAsia" w:ascii="微软雅黑" w:hAnsi="微软雅黑" w:eastAsia="微软雅黑" w:cs="微软雅黑"/>
          <w:color w:val="auto"/>
          <w:sz w:val="24"/>
          <w:szCs w:val="24"/>
          <w:highlight w:val="none"/>
          <w:lang w:eastAsia="zh-CN"/>
        </w:rPr>
        <w:t>广角功能合二为一</w:t>
      </w:r>
    </w:p>
    <w:p w14:paraId="060B6195">
      <w:pPr>
        <w:pStyle w:val="88"/>
        <w:keepNext w:val="0"/>
        <w:keepLines w:val="0"/>
        <w:pageBreakBefore w:val="0"/>
        <w:widowControl w:val="0"/>
        <w:numPr>
          <w:ilvl w:val="0"/>
          <w:numId w:val="0"/>
        </w:numPr>
        <w:tabs>
          <w:tab w:val="left" w:pos="437"/>
        </w:tabs>
        <w:kinsoku/>
        <w:wordWrap/>
        <w:overflowPunct/>
        <w:topLinePunct w:val="0"/>
        <w:autoSpaceDE/>
        <w:autoSpaceDN/>
        <w:bidi w:val="0"/>
        <w:adjustRightInd/>
        <w:snapToGrid/>
        <w:spacing w:line="440" w:lineRule="exact"/>
        <w:ind w:left="0" w:leftChars="0" w:right="0" w:rightChars="0" w:firstLine="480" w:firstLineChars="200"/>
        <w:jc w:val="left"/>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kern w:val="2"/>
          <w:sz w:val="24"/>
          <w:szCs w:val="24"/>
          <w:highlight w:val="none"/>
          <w:lang w:val="en-US" w:eastAsia="zh-CN" w:bidi="ar-SA"/>
        </w:rPr>
        <w:t>3、</w:t>
      </w:r>
      <w:r>
        <w:rPr>
          <w:rFonts w:hint="eastAsia" w:ascii="微软雅黑" w:hAnsi="微软雅黑" w:eastAsia="微软雅黑" w:cs="微软雅黑"/>
          <w:color w:val="auto"/>
          <w:sz w:val="24"/>
          <w:szCs w:val="24"/>
          <w:highlight w:val="none"/>
          <w:lang w:val="en-US" w:eastAsia="zh-CN"/>
        </w:rPr>
        <w:t>前置镜直径：≥20mm</w:t>
      </w:r>
    </w:p>
    <w:p w14:paraId="227C0836">
      <w:pPr>
        <w:pStyle w:val="88"/>
        <w:keepNext w:val="0"/>
        <w:keepLines w:val="0"/>
        <w:pageBreakBefore w:val="0"/>
        <w:widowControl w:val="0"/>
        <w:numPr>
          <w:ilvl w:val="0"/>
          <w:numId w:val="0"/>
        </w:numPr>
        <w:tabs>
          <w:tab w:val="left" w:pos="437"/>
        </w:tabs>
        <w:kinsoku/>
        <w:wordWrap/>
        <w:overflowPunct/>
        <w:topLinePunct w:val="0"/>
        <w:autoSpaceDE/>
        <w:autoSpaceDN/>
        <w:bidi w:val="0"/>
        <w:adjustRightInd/>
        <w:snapToGrid/>
        <w:spacing w:line="440" w:lineRule="exact"/>
        <w:ind w:left="0" w:leftChars="0" w:right="0" w:rightChars="0" w:firstLine="480" w:firstLineChars="200"/>
        <w:jc w:val="left"/>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kern w:val="2"/>
          <w:sz w:val="24"/>
          <w:szCs w:val="24"/>
          <w:highlight w:val="none"/>
          <w:lang w:val="en-US" w:eastAsia="zh-CN" w:bidi="ar-SA"/>
        </w:rPr>
        <w:t>4、</w:t>
      </w:r>
      <w:r>
        <w:rPr>
          <w:rFonts w:hint="eastAsia" w:ascii="微软雅黑" w:hAnsi="微软雅黑" w:eastAsia="微软雅黑" w:cs="微软雅黑"/>
          <w:color w:val="auto"/>
          <w:sz w:val="24"/>
          <w:szCs w:val="24"/>
          <w:highlight w:val="none"/>
          <w:lang w:val="en-US" w:eastAsia="zh-CN"/>
        </w:rPr>
        <w:t>前置镜材质：石英玻璃</w:t>
      </w:r>
    </w:p>
    <w:p w14:paraId="19611C43">
      <w:pPr>
        <w:pStyle w:val="88"/>
        <w:keepNext w:val="0"/>
        <w:keepLines w:val="0"/>
        <w:pageBreakBefore w:val="0"/>
        <w:widowControl w:val="0"/>
        <w:numPr>
          <w:ilvl w:val="0"/>
          <w:numId w:val="0"/>
        </w:numPr>
        <w:tabs>
          <w:tab w:val="left" w:pos="437"/>
        </w:tabs>
        <w:kinsoku/>
        <w:wordWrap/>
        <w:overflowPunct/>
        <w:topLinePunct w:val="0"/>
        <w:autoSpaceDE/>
        <w:autoSpaceDN/>
        <w:bidi w:val="0"/>
        <w:adjustRightInd/>
        <w:snapToGrid/>
        <w:spacing w:line="440" w:lineRule="exact"/>
        <w:ind w:left="0" w:leftChars="0" w:right="0" w:rightChars="0" w:firstLine="480" w:firstLineChars="200"/>
        <w:jc w:val="left"/>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kern w:val="2"/>
          <w:sz w:val="24"/>
          <w:szCs w:val="24"/>
          <w:highlight w:val="none"/>
          <w:lang w:val="en-US" w:eastAsia="zh-CN" w:bidi="ar-SA"/>
        </w:rPr>
        <w:t>5、</w:t>
      </w:r>
      <w:r>
        <w:rPr>
          <w:rFonts w:hint="eastAsia" w:ascii="微软雅黑" w:hAnsi="微软雅黑" w:eastAsia="微软雅黑" w:cs="微软雅黑"/>
          <w:color w:val="auto"/>
          <w:sz w:val="24"/>
          <w:szCs w:val="24"/>
          <w:highlight w:val="none"/>
          <w:lang w:val="en-US" w:eastAsia="zh-CN"/>
        </w:rPr>
        <w:t>前置镜边框材质：金属</w:t>
      </w:r>
    </w:p>
    <w:p w14:paraId="586E8AD5">
      <w:pPr>
        <w:pStyle w:val="88"/>
        <w:keepNext w:val="0"/>
        <w:keepLines w:val="0"/>
        <w:pageBreakBefore w:val="0"/>
        <w:widowControl w:val="0"/>
        <w:numPr>
          <w:ilvl w:val="0"/>
          <w:numId w:val="0"/>
        </w:numPr>
        <w:tabs>
          <w:tab w:val="left" w:pos="437"/>
        </w:tabs>
        <w:kinsoku/>
        <w:wordWrap/>
        <w:overflowPunct/>
        <w:topLinePunct w:val="0"/>
        <w:autoSpaceDE/>
        <w:autoSpaceDN/>
        <w:bidi w:val="0"/>
        <w:adjustRightInd/>
        <w:snapToGrid/>
        <w:spacing w:line="440" w:lineRule="exact"/>
        <w:ind w:left="0" w:leftChars="0" w:right="0" w:rightChars="0" w:firstLine="480" w:firstLineChars="200"/>
        <w:jc w:val="left"/>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kern w:val="2"/>
          <w:sz w:val="24"/>
          <w:szCs w:val="24"/>
          <w:highlight w:val="none"/>
          <w:lang w:val="en-US" w:eastAsia="zh-CN" w:bidi="ar-SA"/>
        </w:rPr>
        <w:t>6、</w:t>
      </w:r>
      <w:r>
        <w:rPr>
          <w:rFonts w:hint="eastAsia" w:ascii="微软雅黑" w:hAnsi="微软雅黑" w:eastAsia="微软雅黑" w:cs="微软雅黑"/>
          <w:color w:val="auto"/>
          <w:sz w:val="24"/>
          <w:szCs w:val="24"/>
          <w:highlight w:val="none"/>
          <w:lang w:val="en-US" w:eastAsia="zh-CN"/>
        </w:rPr>
        <w:t>前置镜距离角膜工作距离：≥9mm</w:t>
      </w:r>
    </w:p>
    <w:p w14:paraId="69E83B10">
      <w:pPr>
        <w:pStyle w:val="88"/>
        <w:keepNext w:val="0"/>
        <w:keepLines w:val="0"/>
        <w:pageBreakBefore w:val="0"/>
        <w:widowControl w:val="0"/>
        <w:numPr>
          <w:ilvl w:val="0"/>
          <w:numId w:val="0"/>
        </w:numPr>
        <w:tabs>
          <w:tab w:val="left" w:pos="437"/>
        </w:tabs>
        <w:kinsoku/>
        <w:wordWrap/>
        <w:overflowPunct/>
        <w:topLinePunct w:val="0"/>
        <w:autoSpaceDE/>
        <w:autoSpaceDN/>
        <w:bidi w:val="0"/>
        <w:adjustRightInd/>
        <w:snapToGrid/>
        <w:spacing w:line="440" w:lineRule="exact"/>
        <w:ind w:left="0" w:leftChars="0" w:right="0" w:rightChars="0" w:firstLine="480" w:firstLineChars="200"/>
        <w:jc w:val="left"/>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kern w:val="2"/>
          <w:sz w:val="24"/>
          <w:szCs w:val="24"/>
          <w:highlight w:val="none"/>
          <w:lang w:val="en-US" w:eastAsia="zh-CN" w:bidi="ar-SA"/>
        </w:rPr>
        <w:t>7、</w:t>
      </w:r>
      <w:r>
        <w:rPr>
          <w:rFonts w:hint="eastAsia" w:ascii="微软雅黑" w:hAnsi="微软雅黑" w:eastAsia="微软雅黑" w:cs="微软雅黑"/>
          <w:color w:val="auto"/>
          <w:sz w:val="24"/>
          <w:szCs w:val="24"/>
          <w:highlight w:val="none"/>
          <w:lang w:eastAsia="zh-CN"/>
        </w:rPr>
        <w:t>整机质保5年（含附件）</w:t>
      </w:r>
    </w:p>
    <w:p w14:paraId="78AA2C50">
      <w:pPr>
        <w:pStyle w:val="88"/>
        <w:keepNext w:val="0"/>
        <w:keepLines w:val="0"/>
        <w:pageBreakBefore w:val="0"/>
        <w:widowControl w:val="0"/>
        <w:numPr>
          <w:ilvl w:val="0"/>
          <w:numId w:val="0"/>
        </w:numPr>
        <w:tabs>
          <w:tab w:val="left" w:pos="437"/>
        </w:tabs>
        <w:kinsoku/>
        <w:wordWrap/>
        <w:overflowPunct/>
        <w:topLinePunct w:val="0"/>
        <w:autoSpaceDE/>
        <w:autoSpaceDN/>
        <w:bidi w:val="0"/>
        <w:adjustRightInd/>
        <w:snapToGrid/>
        <w:spacing w:line="440" w:lineRule="exact"/>
        <w:ind w:left="0" w:leftChars="0" w:right="0" w:rightChars="0" w:firstLine="480" w:firstLineChars="200"/>
        <w:jc w:val="left"/>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kern w:val="2"/>
          <w:sz w:val="24"/>
          <w:szCs w:val="24"/>
          <w:highlight w:val="none"/>
          <w:lang w:val="en-US" w:eastAsia="zh-CN" w:bidi="ar-SA"/>
        </w:rPr>
        <w:t>8、</w:t>
      </w:r>
      <w:r>
        <w:rPr>
          <w:rFonts w:hint="eastAsia" w:ascii="微软雅黑" w:hAnsi="微软雅黑" w:eastAsia="微软雅黑" w:cs="微软雅黑"/>
          <w:color w:val="auto"/>
          <w:sz w:val="24"/>
          <w:szCs w:val="24"/>
          <w:highlight w:val="none"/>
          <w:lang w:eastAsia="zh-CN"/>
        </w:rPr>
        <w:t>所用耗材均已在新疆医保平台挂网。</w:t>
      </w:r>
    </w:p>
    <w:p w14:paraId="3E6DBF14">
      <w:pPr>
        <w:pStyle w:val="88"/>
        <w:keepNext w:val="0"/>
        <w:keepLines w:val="0"/>
        <w:pageBreakBefore w:val="0"/>
        <w:widowControl w:val="0"/>
        <w:numPr>
          <w:ilvl w:val="0"/>
          <w:numId w:val="0"/>
        </w:numPr>
        <w:tabs>
          <w:tab w:val="left" w:pos="437"/>
        </w:tabs>
        <w:kinsoku/>
        <w:wordWrap/>
        <w:overflowPunct/>
        <w:topLinePunct w:val="0"/>
        <w:autoSpaceDE/>
        <w:autoSpaceDN/>
        <w:bidi w:val="0"/>
        <w:adjustRightInd/>
        <w:snapToGrid/>
        <w:spacing w:line="440" w:lineRule="exact"/>
        <w:ind w:left="0" w:leftChars="0" w:right="0" w:rightChars="0" w:firstLine="480" w:firstLineChars="200"/>
        <w:jc w:val="left"/>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kern w:val="2"/>
          <w:sz w:val="24"/>
          <w:szCs w:val="24"/>
          <w:highlight w:val="none"/>
          <w:lang w:val="en-US" w:eastAsia="zh-CN" w:bidi="ar-SA"/>
        </w:rPr>
        <w:t>9、</w:t>
      </w:r>
      <w:r>
        <w:rPr>
          <w:rFonts w:hint="eastAsia" w:ascii="微软雅黑" w:hAnsi="微软雅黑" w:eastAsia="微软雅黑" w:cs="微软雅黑"/>
          <w:color w:val="auto"/>
          <w:sz w:val="24"/>
          <w:szCs w:val="24"/>
          <w:highlight w:val="none"/>
          <w:lang w:eastAsia="zh-CN"/>
        </w:rPr>
        <w:t>软件终身升级，不再另外收费。</w:t>
      </w:r>
    </w:p>
    <w:p w14:paraId="6FD51CBA">
      <w:pPr>
        <w:pStyle w:val="88"/>
        <w:keepNext w:val="0"/>
        <w:keepLines w:val="0"/>
        <w:pageBreakBefore w:val="0"/>
        <w:widowControl w:val="0"/>
        <w:numPr>
          <w:ilvl w:val="0"/>
          <w:numId w:val="0"/>
        </w:numPr>
        <w:tabs>
          <w:tab w:val="left" w:pos="437"/>
        </w:tabs>
        <w:kinsoku/>
        <w:wordWrap/>
        <w:overflowPunct/>
        <w:topLinePunct w:val="0"/>
        <w:autoSpaceDE/>
        <w:autoSpaceDN/>
        <w:bidi w:val="0"/>
        <w:adjustRightInd/>
        <w:snapToGrid/>
        <w:spacing w:line="440" w:lineRule="exact"/>
        <w:ind w:left="0" w:leftChars="0" w:right="0" w:rightChars="0" w:firstLine="480" w:firstLineChars="200"/>
        <w:jc w:val="left"/>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kern w:val="2"/>
          <w:sz w:val="24"/>
          <w:szCs w:val="24"/>
          <w:highlight w:val="none"/>
          <w:lang w:val="en-US" w:eastAsia="zh-CN" w:bidi="ar-SA"/>
        </w:rPr>
        <w:t>10、</w:t>
      </w:r>
      <w:r>
        <w:rPr>
          <w:rFonts w:hint="eastAsia" w:ascii="微软雅黑" w:hAnsi="微软雅黑" w:eastAsia="微软雅黑" w:cs="微软雅黑"/>
          <w:color w:val="auto"/>
          <w:sz w:val="24"/>
          <w:szCs w:val="24"/>
          <w:highlight w:val="none"/>
          <w:lang w:eastAsia="zh-CN"/>
        </w:rPr>
        <w:t>提供设备状态卡及适应症范围快速操作卡。</w:t>
      </w:r>
    </w:p>
    <w:p w14:paraId="6B37149B">
      <w:pPr>
        <w:pStyle w:val="88"/>
        <w:keepNext w:val="0"/>
        <w:keepLines w:val="0"/>
        <w:pageBreakBefore w:val="0"/>
        <w:widowControl w:val="0"/>
        <w:numPr>
          <w:ilvl w:val="0"/>
          <w:numId w:val="0"/>
        </w:numPr>
        <w:tabs>
          <w:tab w:val="left" w:pos="437"/>
        </w:tabs>
        <w:kinsoku/>
        <w:wordWrap/>
        <w:overflowPunct/>
        <w:topLinePunct w:val="0"/>
        <w:autoSpaceDE/>
        <w:autoSpaceDN/>
        <w:bidi w:val="0"/>
        <w:adjustRightInd/>
        <w:snapToGrid/>
        <w:spacing w:line="440" w:lineRule="exact"/>
        <w:ind w:left="0" w:leftChars="0" w:right="0" w:rightChars="0" w:firstLine="480" w:firstLineChars="200"/>
        <w:jc w:val="left"/>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kern w:val="2"/>
          <w:sz w:val="24"/>
          <w:szCs w:val="24"/>
          <w:highlight w:val="none"/>
          <w:lang w:val="en-US" w:eastAsia="zh-CN" w:bidi="ar-SA"/>
        </w:rPr>
        <w:t>11、</w:t>
      </w:r>
      <w:r>
        <w:rPr>
          <w:rFonts w:hint="eastAsia" w:ascii="微软雅黑" w:hAnsi="微软雅黑" w:eastAsia="微软雅黑" w:cs="微软雅黑"/>
          <w:color w:val="auto"/>
          <w:sz w:val="24"/>
          <w:szCs w:val="24"/>
          <w:highlight w:val="none"/>
          <w:lang w:val="en-US" w:eastAsia="zh-CN"/>
        </w:rPr>
        <w:t>提供的产品需是近一年生产的。</w:t>
      </w:r>
    </w:p>
    <w:p w14:paraId="1DF878AD">
      <w:pPr>
        <w:keepNext w:val="0"/>
        <w:keepLines w:val="0"/>
        <w:pageBreakBefore w:val="0"/>
        <w:kinsoku/>
        <w:wordWrap/>
        <w:overflowPunct/>
        <w:topLinePunct w:val="0"/>
        <w:bidi w:val="0"/>
        <w:spacing w:line="440" w:lineRule="exact"/>
        <w:ind w:firstLine="480" w:firstLineChars="200"/>
        <w:jc w:val="center"/>
        <w:outlineLvl w:val="4"/>
        <w:rPr>
          <w:rFonts w:hint="eastAsia" w:ascii="微软雅黑" w:hAnsi="微软雅黑" w:eastAsia="微软雅黑" w:cs="微软雅黑"/>
          <w:b/>
          <w:bCs/>
          <w:color w:val="auto"/>
          <w:sz w:val="24"/>
          <w:szCs w:val="24"/>
          <w:highlight w:val="none"/>
          <w:lang w:eastAsia="zh-CN"/>
        </w:rPr>
      </w:pPr>
      <w:r>
        <w:rPr>
          <w:rFonts w:hint="eastAsia" w:ascii="微软雅黑" w:hAnsi="微软雅黑" w:eastAsia="微软雅黑" w:cs="微软雅黑"/>
          <w:b/>
          <w:bCs/>
          <w:color w:val="auto"/>
          <w:sz w:val="24"/>
          <w:szCs w:val="24"/>
          <w:highlight w:val="none"/>
        </w:rPr>
        <w:t>干眼检测仪</w:t>
      </w:r>
      <w:r>
        <w:rPr>
          <w:rFonts w:hint="eastAsia" w:ascii="微软雅黑" w:hAnsi="微软雅黑" w:eastAsia="微软雅黑" w:cs="微软雅黑"/>
          <w:b/>
          <w:bCs/>
          <w:color w:val="auto"/>
          <w:sz w:val="24"/>
          <w:szCs w:val="24"/>
          <w:highlight w:val="none"/>
          <w:lang w:val="en-US" w:eastAsia="zh-CN"/>
        </w:rPr>
        <w:t xml:space="preserve">  </w:t>
      </w:r>
    </w:p>
    <w:p w14:paraId="5A94CFA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0"/>
          <w:sz w:val="24"/>
          <w:szCs w:val="24"/>
          <w:highlight w:val="none"/>
          <w:lang w:bidi="ar"/>
        </w:rPr>
        <w:t>▲</w:t>
      </w:r>
      <w:r>
        <w:rPr>
          <w:rFonts w:hint="eastAsia" w:ascii="微软雅黑" w:hAnsi="微软雅黑" w:eastAsia="微软雅黑" w:cs="微软雅黑"/>
          <w:color w:val="auto"/>
          <w:sz w:val="24"/>
          <w:szCs w:val="24"/>
          <w:highlight w:val="none"/>
        </w:rPr>
        <w:t>1、Placido环数量：</w:t>
      </w:r>
      <w:r>
        <w:rPr>
          <w:rFonts w:hint="eastAsia" w:ascii="微软雅黑" w:hAnsi="微软雅黑" w:eastAsia="微软雅黑" w:cs="微软雅黑"/>
          <w:color w:val="auto"/>
          <w:sz w:val="24"/>
          <w:szCs w:val="24"/>
          <w:highlight w:val="none"/>
          <w:lang w:val="en-US" w:eastAsia="zh-CN"/>
        </w:rPr>
        <w:t>≥30</w:t>
      </w:r>
      <w:r>
        <w:rPr>
          <w:rFonts w:hint="eastAsia" w:ascii="微软雅黑" w:hAnsi="微软雅黑" w:eastAsia="微软雅黑" w:cs="微软雅黑"/>
          <w:color w:val="auto"/>
          <w:sz w:val="24"/>
          <w:szCs w:val="24"/>
          <w:highlight w:val="none"/>
        </w:rPr>
        <w:t>环</w:t>
      </w:r>
    </w:p>
    <w:p w14:paraId="343C5F9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0"/>
          <w:sz w:val="24"/>
          <w:szCs w:val="24"/>
          <w:highlight w:val="none"/>
          <w:lang w:bidi="ar"/>
        </w:rPr>
        <w:t>▲</w:t>
      </w:r>
      <w:r>
        <w:rPr>
          <w:rFonts w:hint="eastAsia" w:ascii="微软雅黑" w:hAnsi="微软雅黑" w:eastAsia="微软雅黑" w:cs="微软雅黑"/>
          <w:color w:val="auto"/>
          <w:sz w:val="24"/>
          <w:szCs w:val="24"/>
          <w:highlight w:val="none"/>
        </w:rPr>
        <w:t>2、检测点：</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sz w:val="24"/>
          <w:szCs w:val="24"/>
          <w:highlight w:val="none"/>
        </w:rPr>
        <w:t>18000个</w:t>
      </w:r>
    </w:p>
    <w:p w14:paraId="3E3A876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3、投影环直径</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sz w:val="24"/>
          <w:szCs w:val="24"/>
          <w:highlight w:val="none"/>
        </w:rPr>
        <w:t>直径8.8mm(43D)</w:t>
      </w:r>
    </w:p>
    <w:p w14:paraId="6469229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4</w:t>
      </w:r>
      <w:r>
        <w:rPr>
          <w:rFonts w:hint="eastAsia" w:ascii="微软雅黑" w:hAnsi="微软雅黑" w:eastAsia="微软雅黑" w:cs="微软雅黑"/>
          <w:color w:val="auto"/>
          <w:sz w:val="24"/>
          <w:szCs w:val="24"/>
          <w:highlight w:val="none"/>
        </w:rPr>
        <w:t>、白到白范围：6</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sz w:val="24"/>
          <w:szCs w:val="24"/>
          <w:highlight w:val="none"/>
        </w:rPr>
        <w:t>17mm，允差：土0.1mm</w:t>
      </w:r>
    </w:p>
    <w:p w14:paraId="7DB3433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5</w:t>
      </w:r>
      <w:r>
        <w:rPr>
          <w:rFonts w:hint="eastAsia" w:ascii="微软雅黑" w:hAnsi="微软雅黑" w:eastAsia="微软雅黑" w:cs="微软雅黑"/>
          <w:color w:val="auto"/>
          <w:sz w:val="24"/>
          <w:szCs w:val="24"/>
          <w:highlight w:val="none"/>
        </w:rPr>
        <w:t>、瞳孔直径：1</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sz w:val="24"/>
          <w:szCs w:val="24"/>
          <w:highlight w:val="none"/>
        </w:rPr>
        <w:t>13mm，允差：土0.1mm</w:t>
      </w:r>
    </w:p>
    <w:p w14:paraId="1391AF4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0"/>
          <w:sz w:val="24"/>
          <w:szCs w:val="24"/>
          <w:highlight w:val="none"/>
          <w:lang w:val="en-US" w:eastAsia="zh-CN" w:bidi="ar"/>
        </w:rPr>
        <w:t>6</w:t>
      </w:r>
      <w:r>
        <w:rPr>
          <w:rFonts w:hint="eastAsia" w:ascii="微软雅黑" w:hAnsi="微软雅黑" w:eastAsia="微软雅黑" w:cs="微软雅黑"/>
          <w:color w:val="auto"/>
          <w:sz w:val="24"/>
          <w:szCs w:val="24"/>
          <w:highlight w:val="none"/>
        </w:rPr>
        <w:t>、地形功能：轴向曲率</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切向曲率</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高度图</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屈光力</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不同瞳孔直径范围内的角膜波前像差，PSF图，MTF曲线，视网膜模拟成像图</w:t>
      </w:r>
    </w:p>
    <w:p w14:paraId="5CE9143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0"/>
          <w:sz w:val="24"/>
          <w:szCs w:val="24"/>
          <w:highlight w:val="none"/>
          <w:lang w:val="en-US" w:eastAsia="zh-CN" w:bidi="ar"/>
        </w:rPr>
        <w:t>7</w:t>
      </w:r>
      <w:r>
        <w:rPr>
          <w:rFonts w:hint="eastAsia" w:ascii="微软雅黑" w:hAnsi="微软雅黑" w:eastAsia="微软雅黑" w:cs="微软雅黑"/>
          <w:color w:val="auto"/>
          <w:sz w:val="24"/>
          <w:szCs w:val="24"/>
          <w:highlight w:val="none"/>
        </w:rPr>
        <w:t>、形态因子：E,ecc,P,Q值</w:t>
      </w:r>
    </w:p>
    <w:p w14:paraId="5ECE6B2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8</w:t>
      </w:r>
      <w:r>
        <w:rPr>
          <w:rFonts w:hint="eastAsia" w:ascii="微软雅黑" w:hAnsi="微软雅黑" w:eastAsia="微软雅黑" w:cs="微软雅黑"/>
          <w:color w:val="auto"/>
          <w:sz w:val="24"/>
          <w:szCs w:val="24"/>
          <w:highlight w:val="none"/>
        </w:rPr>
        <w:t>、检查结果对比：支持2次结果对比，地形图差值对比</w:t>
      </w:r>
    </w:p>
    <w:p w14:paraId="23E04B2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9</w:t>
      </w:r>
      <w:r>
        <w:rPr>
          <w:rFonts w:hint="eastAsia" w:ascii="微软雅黑" w:hAnsi="微软雅黑" w:eastAsia="微软雅黑" w:cs="微软雅黑"/>
          <w:color w:val="auto"/>
          <w:sz w:val="24"/>
          <w:szCs w:val="24"/>
          <w:highlight w:val="none"/>
        </w:rPr>
        <w:t>、干眼分析参数</w:t>
      </w:r>
    </w:p>
    <w:p w14:paraId="66FB03B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9</w:t>
      </w:r>
      <w:r>
        <w:rPr>
          <w:rFonts w:hint="eastAsia" w:ascii="微软雅黑" w:hAnsi="微软雅黑" w:eastAsia="微软雅黑" w:cs="微软雅黑"/>
          <w:color w:val="auto"/>
          <w:sz w:val="24"/>
          <w:szCs w:val="24"/>
          <w:highlight w:val="none"/>
        </w:rPr>
        <w:t>.1、NIBUT：泪膜破裂饼图和趋势图，首次破裂时间和平均破裂时间</w:t>
      </w:r>
    </w:p>
    <w:p w14:paraId="5B6FF20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9</w:t>
      </w:r>
      <w:r>
        <w:rPr>
          <w:rFonts w:hint="eastAsia" w:ascii="微软雅黑" w:hAnsi="微软雅黑" w:eastAsia="微软雅黑" w:cs="微软雅黑"/>
          <w:color w:val="auto"/>
          <w:sz w:val="24"/>
          <w:szCs w:val="24"/>
          <w:highlight w:val="none"/>
        </w:rPr>
        <w:t>.2、泪河高度：0.01</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sz w:val="24"/>
          <w:szCs w:val="24"/>
          <w:highlight w:val="none"/>
        </w:rPr>
        <w:t>2mm，智能化自动标记高度值</w:t>
      </w:r>
    </w:p>
    <w:p w14:paraId="5DDB465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9</w:t>
      </w:r>
      <w:r>
        <w:rPr>
          <w:rFonts w:hint="eastAsia" w:ascii="微软雅黑" w:hAnsi="微软雅黑" w:eastAsia="微软雅黑" w:cs="微软雅黑"/>
          <w:color w:val="auto"/>
          <w:sz w:val="24"/>
          <w:szCs w:val="24"/>
          <w:highlight w:val="none"/>
        </w:rPr>
        <w:t>.3、睑板腺：睑板腺缺失率占比和分级，智能化自动标记睑板腺区域并自动计算缺失率</w:t>
      </w:r>
    </w:p>
    <w:p w14:paraId="5AF257A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9</w:t>
      </w:r>
      <w:r>
        <w:rPr>
          <w:rFonts w:hint="eastAsia" w:ascii="微软雅黑" w:hAnsi="微软雅黑" w:eastAsia="微软雅黑" w:cs="微软雅黑"/>
          <w:color w:val="auto"/>
          <w:sz w:val="24"/>
          <w:szCs w:val="24"/>
          <w:highlight w:val="none"/>
        </w:rPr>
        <w:t>.4、脂质层：模板匹配协助分级</w:t>
      </w:r>
    </w:p>
    <w:p w14:paraId="2A0E17F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9</w:t>
      </w:r>
      <w:r>
        <w:rPr>
          <w:rFonts w:hint="eastAsia" w:ascii="微软雅黑" w:hAnsi="微软雅黑" w:eastAsia="微软雅黑" w:cs="微软雅黑"/>
          <w:color w:val="auto"/>
          <w:sz w:val="24"/>
          <w:szCs w:val="24"/>
          <w:highlight w:val="none"/>
        </w:rPr>
        <w:t>.5、眼红：眼红占比和分级</w:t>
      </w:r>
    </w:p>
    <w:p w14:paraId="42380C9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9</w:t>
      </w:r>
      <w:r>
        <w:rPr>
          <w:rFonts w:hint="eastAsia" w:ascii="微软雅黑" w:hAnsi="微软雅黑" w:eastAsia="微软雅黑" w:cs="微软雅黑"/>
          <w:color w:val="auto"/>
          <w:sz w:val="24"/>
          <w:szCs w:val="24"/>
          <w:highlight w:val="none"/>
        </w:rPr>
        <w:t>.6、睑缘：支持图片电子放大</w:t>
      </w:r>
    </w:p>
    <w:p w14:paraId="2EDDD23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9</w:t>
      </w:r>
      <w:r>
        <w:rPr>
          <w:rFonts w:hint="eastAsia" w:ascii="微软雅黑" w:hAnsi="微软雅黑" w:eastAsia="微软雅黑" w:cs="微软雅黑"/>
          <w:color w:val="auto"/>
          <w:sz w:val="24"/>
          <w:szCs w:val="24"/>
          <w:highlight w:val="none"/>
        </w:rPr>
        <w:t>.7、眼表：内置黄色滤色片，使用时自动切换</w:t>
      </w:r>
    </w:p>
    <w:p w14:paraId="68D3B1F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9.8</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具备不完全眨眼分析功能</w:t>
      </w:r>
    </w:p>
    <w:p w14:paraId="590D1CA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val="en-US" w:eastAsia="zh-CN"/>
        </w:rPr>
        <w:t>0</w:t>
      </w:r>
      <w:r>
        <w:rPr>
          <w:rFonts w:hint="eastAsia" w:ascii="微软雅黑" w:hAnsi="微软雅黑" w:eastAsia="微软雅黑" w:cs="微软雅黑"/>
          <w:color w:val="auto"/>
          <w:sz w:val="24"/>
          <w:szCs w:val="24"/>
          <w:highlight w:val="none"/>
        </w:rPr>
        <w:t>、光源：白光、红外光、钴蓝光</w:t>
      </w:r>
    </w:p>
    <w:p w14:paraId="49900FB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val="en-US" w:eastAsia="zh-CN"/>
        </w:rPr>
        <w:t>1</w:t>
      </w:r>
      <w:r>
        <w:rPr>
          <w:rFonts w:hint="eastAsia" w:ascii="微软雅黑" w:hAnsi="微软雅黑" w:eastAsia="微软雅黑" w:cs="微软雅黑"/>
          <w:color w:val="auto"/>
          <w:sz w:val="24"/>
          <w:szCs w:val="24"/>
          <w:highlight w:val="none"/>
        </w:rPr>
        <w:t>、通信接口：WIFI</w:t>
      </w:r>
    </w:p>
    <w:p w14:paraId="4464947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rPr>
        <w:t>、打印机接口：WIFI, USB</w:t>
      </w:r>
    </w:p>
    <w:p w14:paraId="3325A98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、扩展显示接口：DisplayPort</w:t>
      </w:r>
    </w:p>
    <w:p w14:paraId="36E2E75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val="en-US" w:eastAsia="zh-CN"/>
        </w:rPr>
        <w:t>4</w:t>
      </w:r>
      <w:r>
        <w:rPr>
          <w:rFonts w:hint="eastAsia" w:ascii="微软雅黑" w:hAnsi="微软雅黑" w:eastAsia="微软雅黑" w:cs="微软雅黑"/>
          <w:color w:val="auto"/>
          <w:sz w:val="24"/>
          <w:szCs w:val="24"/>
          <w:highlight w:val="none"/>
        </w:rPr>
        <w:t>、左右眼识别：自动</w:t>
      </w:r>
    </w:p>
    <w:p w14:paraId="24D4E44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15</w:t>
      </w:r>
      <w:r>
        <w:rPr>
          <w:rFonts w:hint="eastAsia" w:ascii="微软雅黑" w:hAnsi="微软雅黑" w:eastAsia="微软雅黑" w:cs="微软雅黑"/>
          <w:color w:val="auto"/>
          <w:sz w:val="24"/>
          <w:szCs w:val="24"/>
          <w:highlight w:val="none"/>
        </w:rPr>
        <w:t>、语言：中文／英文</w:t>
      </w:r>
    </w:p>
    <w:p w14:paraId="5B463E9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16</w:t>
      </w:r>
      <w:r>
        <w:rPr>
          <w:rFonts w:hint="eastAsia" w:ascii="微软雅黑" w:hAnsi="微软雅黑" w:eastAsia="微软雅黑" w:cs="微软雅黑"/>
          <w:color w:val="auto"/>
          <w:sz w:val="24"/>
          <w:szCs w:val="24"/>
          <w:highlight w:val="none"/>
        </w:rPr>
        <w:t>、DICOM：支持</w:t>
      </w:r>
    </w:p>
    <w:p w14:paraId="41AF1EE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17、</w:t>
      </w:r>
      <w:r>
        <w:rPr>
          <w:rFonts w:hint="eastAsia" w:ascii="微软雅黑" w:hAnsi="微软雅黑" w:eastAsia="微软雅黑" w:cs="微软雅黑"/>
          <w:color w:val="auto"/>
          <w:sz w:val="24"/>
          <w:szCs w:val="24"/>
          <w:highlight w:val="none"/>
        </w:rPr>
        <w:t>整机质保5年（含附件）</w:t>
      </w:r>
    </w:p>
    <w:p w14:paraId="10EF0BA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18、</w:t>
      </w:r>
      <w:r>
        <w:rPr>
          <w:rFonts w:hint="eastAsia" w:ascii="微软雅黑" w:hAnsi="微软雅黑" w:eastAsia="微软雅黑" w:cs="微软雅黑"/>
          <w:color w:val="auto"/>
          <w:sz w:val="24"/>
          <w:szCs w:val="24"/>
          <w:highlight w:val="none"/>
        </w:rPr>
        <w:t>所用耗材均已在新疆医保平台挂网。</w:t>
      </w:r>
    </w:p>
    <w:p w14:paraId="785F288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19、</w:t>
      </w:r>
      <w:r>
        <w:rPr>
          <w:rFonts w:hint="eastAsia" w:ascii="微软雅黑" w:hAnsi="微软雅黑" w:eastAsia="微软雅黑" w:cs="微软雅黑"/>
          <w:color w:val="auto"/>
          <w:sz w:val="24"/>
          <w:szCs w:val="24"/>
          <w:highlight w:val="none"/>
          <w:lang w:eastAsia="zh-CN"/>
        </w:rPr>
        <w:t>软件终身升级，不再另外收费。</w:t>
      </w:r>
    </w:p>
    <w:p w14:paraId="152BA7E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val="en-US" w:eastAsia="zh-CN"/>
        </w:rPr>
        <w:t>20、</w:t>
      </w:r>
      <w:r>
        <w:rPr>
          <w:rFonts w:hint="eastAsia" w:ascii="微软雅黑" w:hAnsi="微软雅黑" w:eastAsia="微软雅黑" w:cs="微软雅黑"/>
          <w:color w:val="auto"/>
          <w:sz w:val="24"/>
          <w:szCs w:val="24"/>
          <w:highlight w:val="none"/>
          <w:lang w:eastAsia="zh-CN"/>
        </w:rPr>
        <w:t>提供设备状态卡及适应症范围快速操作卡。</w:t>
      </w:r>
    </w:p>
    <w:p w14:paraId="3E2FBDF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21、提供的产品需是近一年生产的。</w:t>
      </w:r>
    </w:p>
    <w:p w14:paraId="4C0147AB">
      <w:pPr>
        <w:keepNext w:val="0"/>
        <w:keepLines w:val="0"/>
        <w:pageBreakBefore w:val="0"/>
        <w:kinsoku/>
        <w:wordWrap/>
        <w:overflowPunct/>
        <w:topLinePunct w:val="0"/>
        <w:bidi w:val="0"/>
        <w:spacing w:line="440" w:lineRule="exact"/>
        <w:ind w:firstLine="480" w:firstLineChars="200"/>
        <w:jc w:val="center"/>
        <w:outlineLvl w:val="4"/>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 xml:space="preserve">加热式超声雾化器 </w:t>
      </w:r>
    </w:p>
    <w:p w14:paraId="734FA27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lang w:val="en-US" w:eastAsia="zh-CN"/>
        </w:rPr>
        <w:t>1.化学性能符合</w:t>
      </w:r>
      <w:r>
        <w:rPr>
          <w:rFonts w:hint="eastAsia" w:ascii="微软雅黑" w:hAnsi="微软雅黑" w:eastAsia="微软雅黑" w:cs="微软雅黑"/>
          <w:sz w:val="24"/>
          <w:szCs w:val="24"/>
          <w:vertAlign w:val="baseline"/>
          <w:lang w:val="en-US" w:eastAsia="zh-CN"/>
        </w:rPr>
        <w:t>GB/T 14233.1-2022的要求</w:t>
      </w:r>
    </w:p>
    <w:p w14:paraId="1D8C1D0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highlight w:val="none"/>
          <w:lang w:val="en-US" w:eastAsia="zh-CN"/>
        </w:rPr>
        <w:t>2.药液残液量≤21.0ml</w:t>
      </w:r>
    </w:p>
    <w:p w14:paraId="47408FD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highlight w:val="none"/>
          <w:lang w:val="en-US" w:eastAsia="zh-CN"/>
        </w:rPr>
        <w:t>3.</w:t>
      </w:r>
      <w:r>
        <w:rPr>
          <w:rFonts w:hint="eastAsia" w:ascii="微软雅黑" w:hAnsi="微软雅黑" w:eastAsia="微软雅黑" w:cs="微软雅黑"/>
          <w:sz w:val="24"/>
          <w:szCs w:val="24"/>
          <w:highlight w:val="none"/>
        </w:rPr>
        <w:t>主机超声工作频率：2.4MHz±10%</w:t>
      </w:r>
    </w:p>
    <w:p w14:paraId="0DC0ED24">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lang w:val="en-US" w:eastAsia="zh-CN"/>
        </w:rPr>
        <w:t>4.</w:t>
      </w:r>
      <w:r>
        <w:rPr>
          <w:rFonts w:hint="eastAsia" w:ascii="微软雅黑" w:hAnsi="微软雅黑" w:eastAsia="微软雅黑" w:cs="微软雅黑"/>
          <w:sz w:val="24"/>
          <w:szCs w:val="24"/>
          <w:highlight w:val="none"/>
        </w:rPr>
        <w:t>雾粒中位直径：4μm</w:t>
      </w:r>
      <w:r>
        <w:rPr>
          <w:rFonts w:hint="eastAsia" w:ascii="微软雅黑" w:hAnsi="微软雅黑" w:eastAsia="微软雅黑" w:cs="微软雅黑"/>
          <w:color w:val="auto"/>
          <w:sz w:val="24"/>
          <w:szCs w:val="24"/>
          <w:highlight w:val="none"/>
          <w:lang w:val="en-US" w:eastAsia="zh-CN"/>
        </w:rPr>
        <w:t>误差±25%</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sz w:val="24"/>
          <w:szCs w:val="24"/>
          <w:highlight w:val="none"/>
        </w:rPr>
        <w:t>直径</w:t>
      </w: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rPr>
        <w:t>5μm的雾粒百分比</w:t>
      </w:r>
      <w:r>
        <w:rPr>
          <w:rFonts w:hint="eastAsia" w:ascii="微软雅黑" w:hAnsi="微软雅黑" w:eastAsia="微软雅黑" w:cs="微软雅黑"/>
          <w:sz w:val="24"/>
          <w:szCs w:val="24"/>
          <w:highlight w:val="none"/>
          <w:lang w:val="en-US" w:eastAsia="zh-CN"/>
        </w:rPr>
        <w:t>≥</w:t>
      </w:r>
      <w:r>
        <w:rPr>
          <w:rFonts w:hint="eastAsia" w:ascii="微软雅黑" w:hAnsi="微软雅黑" w:eastAsia="微软雅黑" w:cs="微软雅黑"/>
          <w:sz w:val="24"/>
          <w:szCs w:val="24"/>
          <w:highlight w:val="none"/>
        </w:rPr>
        <w:t>65%。</w:t>
      </w:r>
    </w:p>
    <w:p w14:paraId="36365EFE">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lang w:val="en-US" w:eastAsia="zh-CN"/>
        </w:rPr>
        <w:t>5.</w:t>
      </w:r>
      <w:r>
        <w:rPr>
          <w:rFonts w:hint="eastAsia" w:ascii="微软雅黑" w:hAnsi="微软雅黑" w:eastAsia="微软雅黑" w:cs="微软雅黑"/>
          <w:sz w:val="24"/>
          <w:szCs w:val="24"/>
          <w:highlight w:val="none"/>
        </w:rPr>
        <w:t>最大雾化率：</w:t>
      </w:r>
      <w:r>
        <w:rPr>
          <w:rFonts w:hint="eastAsia" w:ascii="微软雅黑" w:hAnsi="微软雅黑" w:eastAsia="微软雅黑" w:cs="微软雅黑"/>
          <w:color w:val="auto"/>
          <w:sz w:val="24"/>
          <w:szCs w:val="24"/>
          <w:highlight w:val="none"/>
        </w:rPr>
        <w:t>≥1m</w:t>
      </w:r>
      <w:r>
        <w:rPr>
          <w:rFonts w:hint="eastAsia" w:ascii="微软雅黑" w:hAnsi="微软雅黑" w:eastAsia="微软雅黑" w:cs="微软雅黑"/>
          <w:color w:val="auto"/>
          <w:sz w:val="24"/>
          <w:szCs w:val="24"/>
          <w:highlight w:val="none"/>
          <w:lang w:val="en-US" w:eastAsia="zh-CN"/>
        </w:rPr>
        <w:t>L</w:t>
      </w:r>
      <w:r>
        <w:rPr>
          <w:rFonts w:hint="eastAsia" w:ascii="微软雅黑" w:hAnsi="微软雅黑" w:eastAsia="微软雅黑" w:cs="微软雅黑"/>
          <w:color w:val="auto"/>
          <w:sz w:val="24"/>
          <w:szCs w:val="24"/>
          <w:highlight w:val="none"/>
        </w:rPr>
        <w:t>/min。</w:t>
      </w:r>
    </w:p>
    <w:p w14:paraId="417F4F5D">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lang w:val="en-US" w:eastAsia="zh-CN"/>
        </w:rPr>
        <w:t>6.</w:t>
      </w:r>
      <w:r>
        <w:rPr>
          <w:rFonts w:hint="eastAsia" w:ascii="微软雅黑" w:hAnsi="微软雅黑" w:eastAsia="微软雅黑" w:cs="微软雅黑"/>
          <w:sz w:val="24"/>
          <w:szCs w:val="24"/>
          <w:highlight w:val="none"/>
        </w:rPr>
        <w:t>距离主机1m整机噪声</w:t>
      </w:r>
      <w:r>
        <w:rPr>
          <w:rFonts w:hint="eastAsia" w:ascii="微软雅黑" w:hAnsi="微软雅黑" w:eastAsia="微软雅黑" w:cs="微软雅黑"/>
          <w:color w:val="auto"/>
          <w:sz w:val="24"/>
          <w:szCs w:val="24"/>
          <w:highlight w:val="none"/>
        </w:rPr>
        <w:t>：≤50dB</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lang w:val="en-US" w:eastAsia="zh-CN"/>
        </w:rPr>
        <w:t>A</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sz w:val="24"/>
          <w:szCs w:val="24"/>
          <w:highlight w:val="none"/>
        </w:rPr>
        <w:t>。</w:t>
      </w:r>
    </w:p>
    <w:p w14:paraId="7CC5EA79">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lang w:val="en-US" w:eastAsia="zh-CN"/>
        </w:rPr>
        <w:t>7.</w:t>
      </w:r>
      <w:r>
        <w:rPr>
          <w:rFonts w:hint="eastAsia" w:ascii="微软雅黑" w:hAnsi="微软雅黑" w:eastAsia="微软雅黑" w:cs="微软雅黑"/>
          <w:sz w:val="24"/>
          <w:szCs w:val="24"/>
        </w:rPr>
        <w:t>温度预设范围：≤45</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sz w:val="24"/>
          <w:szCs w:val="24"/>
          <w:highlight w:val="none"/>
          <w:lang w:eastAsia="zh-CN"/>
        </w:rPr>
        <w:t>（</w:t>
      </w:r>
      <w:r>
        <w:rPr>
          <w:rFonts w:hint="eastAsia" w:ascii="微软雅黑" w:hAnsi="微软雅黑" w:eastAsia="微软雅黑" w:cs="微软雅黑"/>
          <w:sz w:val="24"/>
          <w:szCs w:val="24"/>
          <w:highlight w:val="none"/>
          <w:lang w:val="en-US" w:eastAsia="zh-CN"/>
        </w:rPr>
        <w:t>不含常温模式</w:t>
      </w:r>
      <w:r>
        <w:rPr>
          <w:rFonts w:hint="eastAsia" w:ascii="微软雅黑" w:hAnsi="微软雅黑" w:eastAsia="微软雅黑" w:cs="微软雅黑"/>
          <w:sz w:val="24"/>
          <w:szCs w:val="24"/>
          <w:highlight w:val="none"/>
          <w:lang w:eastAsia="zh-CN"/>
        </w:rPr>
        <w:t>）</w:t>
      </w:r>
    </w:p>
    <w:p w14:paraId="4D875382">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lang w:val="en-US" w:eastAsia="zh-CN"/>
        </w:rPr>
        <w:t>8.连续工作及</w:t>
      </w:r>
      <w:r>
        <w:rPr>
          <w:rFonts w:hint="eastAsia" w:ascii="微软雅黑" w:hAnsi="微软雅黑" w:eastAsia="微软雅黑" w:cs="微软雅黑"/>
          <w:sz w:val="24"/>
          <w:szCs w:val="24"/>
          <w:highlight w:val="none"/>
        </w:rPr>
        <w:t>水槽水温：开机连续工作4h水槽水温≤60℃</w:t>
      </w:r>
    </w:p>
    <w:p w14:paraId="62CCA0C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9.</w:t>
      </w:r>
      <w:r>
        <w:rPr>
          <w:rFonts w:hint="eastAsia" w:ascii="微软雅黑" w:hAnsi="微软雅黑" w:eastAsia="微软雅黑" w:cs="微软雅黑"/>
          <w:sz w:val="24"/>
          <w:szCs w:val="24"/>
        </w:rPr>
        <w:t>驱动气体：氧气或空气</w:t>
      </w:r>
      <w:r>
        <w:rPr>
          <w:rFonts w:hint="eastAsia" w:ascii="微软雅黑" w:hAnsi="微软雅黑" w:eastAsia="微软雅黑" w:cs="微软雅黑"/>
          <w:sz w:val="24"/>
          <w:szCs w:val="24"/>
          <w:lang w:val="en-US" w:eastAsia="zh-CN"/>
        </w:rPr>
        <w:t>,自动风量控制。</w:t>
      </w:r>
    </w:p>
    <w:p w14:paraId="574A59B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lang w:val="en-US" w:eastAsia="zh-CN"/>
        </w:rPr>
        <w:t>10.</w:t>
      </w:r>
      <w:r>
        <w:rPr>
          <w:rFonts w:hint="eastAsia" w:ascii="微软雅黑" w:hAnsi="微软雅黑" w:eastAsia="微软雅黑" w:cs="微软雅黑"/>
          <w:sz w:val="24"/>
          <w:szCs w:val="24"/>
        </w:rPr>
        <w:t>治疗方式：超声雾化模块，氧疗模块，热敷、冷风模块一体化同步治疗，自由切换</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LED显示屏，有倒计时提示</w:t>
      </w:r>
      <w:r>
        <w:rPr>
          <w:rFonts w:hint="eastAsia" w:ascii="微软雅黑" w:hAnsi="微软雅黑" w:eastAsia="微软雅黑" w:cs="微软雅黑"/>
          <w:sz w:val="24"/>
          <w:szCs w:val="24"/>
          <w:lang w:eastAsia="zh-CN"/>
        </w:rPr>
        <w:t>，带有语音功能。</w:t>
      </w:r>
    </w:p>
    <w:p w14:paraId="740C00B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lang w:val="en-US" w:eastAsia="zh-CN"/>
        </w:rPr>
        <w:t>11.</w:t>
      </w:r>
      <w:r>
        <w:rPr>
          <w:rFonts w:hint="eastAsia" w:ascii="微软雅黑" w:hAnsi="微软雅黑" w:eastAsia="微软雅黑" w:cs="微软雅黑"/>
          <w:sz w:val="24"/>
          <w:szCs w:val="24"/>
          <w:highlight w:val="none"/>
        </w:rPr>
        <w:t xml:space="preserve">保护功能 </w:t>
      </w:r>
    </w:p>
    <w:p w14:paraId="6E5A9FE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11.1</w:t>
      </w:r>
      <w:r>
        <w:rPr>
          <w:rFonts w:hint="eastAsia" w:ascii="微软雅黑" w:hAnsi="微软雅黑" w:eastAsia="微软雅黑" w:cs="微软雅黑"/>
          <w:color w:val="auto"/>
          <w:sz w:val="24"/>
          <w:szCs w:val="24"/>
          <w:lang w:val="en-US" w:eastAsia="zh-CN"/>
        </w:rPr>
        <w:t>设备温度超过设置温度5℃，雾化机停止工作，并发出警报。</w:t>
      </w:r>
    </w:p>
    <w:p w14:paraId="4DF639B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11.2若设备输出显示温度达到45℃时发出警报。</w:t>
      </w:r>
    </w:p>
    <w:p w14:paraId="7693D97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lang w:val="en-US" w:eastAsia="zh-CN"/>
        </w:rPr>
        <w:t>11.3加热锅或</w:t>
      </w:r>
      <w:r>
        <w:rPr>
          <w:rFonts w:hint="eastAsia" w:ascii="微软雅黑" w:hAnsi="微软雅黑" w:eastAsia="微软雅黑" w:cs="微软雅黑"/>
          <w:sz w:val="24"/>
          <w:szCs w:val="24"/>
          <w:highlight w:val="none"/>
        </w:rPr>
        <w:t>水槽内水位正常时面板</w:t>
      </w:r>
      <w:r>
        <w:rPr>
          <w:rFonts w:hint="eastAsia" w:ascii="微软雅黑" w:hAnsi="微软雅黑" w:eastAsia="微软雅黑" w:cs="微软雅黑"/>
          <w:sz w:val="24"/>
          <w:szCs w:val="24"/>
          <w:highlight w:val="none"/>
          <w:lang w:val="en-US" w:eastAsia="zh-CN"/>
        </w:rPr>
        <w:t>缺水灯熄灭</w:t>
      </w:r>
      <w:r>
        <w:rPr>
          <w:rFonts w:hint="eastAsia" w:ascii="微软雅黑" w:hAnsi="微软雅黑" w:eastAsia="微软雅黑" w:cs="微软雅黑"/>
          <w:sz w:val="24"/>
          <w:szCs w:val="24"/>
          <w:highlight w:val="none"/>
        </w:rPr>
        <w:t>，</w:t>
      </w:r>
      <w:r>
        <w:rPr>
          <w:rFonts w:hint="eastAsia" w:ascii="微软雅黑" w:hAnsi="微软雅黑" w:eastAsia="微软雅黑" w:cs="微软雅黑"/>
          <w:sz w:val="24"/>
          <w:szCs w:val="24"/>
          <w:highlight w:val="none"/>
          <w:lang w:val="en-US" w:eastAsia="zh-CN"/>
        </w:rPr>
        <w:t>加热锅或</w:t>
      </w:r>
      <w:r>
        <w:rPr>
          <w:rFonts w:hint="eastAsia" w:ascii="微软雅黑" w:hAnsi="微软雅黑" w:eastAsia="微软雅黑" w:cs="微软雅黑"/>
          <w:sz w:val="24"/>
          <w:szCs w:val="24"/>
          <w:highlight w:val="none"/>
        </w:rPr>
        <w:t>水槽内水位过低时，面板</w:t>
      </w:r>
      <w:r>
        <w:rPr>
          <w:rFonts w:hint="eastAsia" w:ascii="微软雅黑" w:hAnsi="微软雅黑" w:eastAsia="微软雅黑" w:cs="微软雅黑"/>
          <w:sz w:val="24"/>
          <w:szCs w:val="24"/>
          <w:highlight w:val="none"/>
          <w:lang w:val="en-US" w:eastAsia="zh-CN"/>
        </w:rPr>
        <w:t>缺水</w:t>
      </w:r>
      <w:r>
        <w:rPr>
          <w:rFonts w:hint="eastAsia" w:ascii="微软雅黑" w:hAnsi="微软雅黑" w:eastAsia="微软雅黑" w:cs="微软雅黑"/>
          <w:sz w:val="24"/>
          <w:szCs w:val="24"/>
          <w:highlight w:val="none"/>
        </w:rPr>
        <w:t>灯</w:t>
      </w:r>
      <w:r>
        <w:rPr>
          <w:rFonts w:hint="eastAsia" w:ascii="微软雅黑" w:hAnsi="微软雅黑" w:eastAsia="微软雅黑" w:cs="微软雅黑"/>
          <w:sz w:val="24"/>
          <w:szCs w:val="24"/>
          <w:highlight w:val="none"/>
          <w:lang w:val="en-US" w:eastAsia="zh-CN"/>
        </w:rPr>
        <w:t>变亮并发出缺水报警</w:t>
      </w:r>
      <w:r>
        <w:rPr>
          <w:rFonts w:hint="eastAsia" w:ascii="微软雅黑" w:hAnsi="微软雅黑" w:eastAsia="微软雅黑" w:cs="微软雅黑"/>
          <w:sz w:val="24"/>
          <w:szCs w:val="24"/>
          <w:highlight w:val="none"/>
        </w:rPr>
        <w:t>，并停止雾化，重新加水至水槽水位线后</w:t>
      </w:r>
      <w:r>
        <w:rPr>
          <w:rFonts w:hint="eastAsia" w:ascii="微软雅黑" w:hAnsi="微软雅黑" w:eastAsia="微软雅黑" w:cs="微软雅黑"/>
          <w:sz w:val="24"/>
          <w:szCs w:val="24"/>
          <w:highlight w:val="none"/>
          <w:lang w:val="en-US" w:eastAsia="zh-CN"/>
        </w:rPr>
        <w:t>可</w:t>
      </w:r>
      <w:r>
        <w:rPr>
          <w:rFonts w:hint="eastAsia" w:ascii="微软雅黑" w:hAnsi="微软雅黑" w:eastAsia="微软雅黑" w:cs="微软雅黑"/>
          <w:sz w:val="24"/>
          <w:szCs w:val="24"/>
          <w:highlight w:val="none"/>
        </w:rPr>
        <w:t>正常雾化</w:t>
      </w:r>
      <w:r>
        <w:rPr>
          <w:rFonts w:hint="eastAsia" w:ascii="微软雅黑" w:hAnsi="微软雅黑" w:eastAsia="微软雅黑" w:cs="微软雅黑"/>
          <w:sz w:val="24"/>
          <w:szCs w:val="24"/>
          <w:highlight w:val="none"/>
          <w:lang w:eastAsia="zh-CN"/>
        </w:rPr>
        <w:t>。</w:t>
      </w:r>
    </w:p>
    <w:p w14:paraId="60BFC5E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lang w:val="en-US" w:eastAsia="zh-CN"/>
        </w:rPr>
        <w:t>12.</w:t>
      </w:r>
      <w:r>
        <w:rPr>
          <w:rFonts w:hint="eastAsia" w:ascii="微软雅黑" w:hAnsi="微软雅黑" w:eastAsia="微软雅黑" w:cs="微软雅黑"/>
          <w:sz w:val="24"/>
          <w:szCs w:val="24"/>
        </w:rPr>
        <w:t>管路：管腔通透无阻碍</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不直接裸露与药物接触，不改变药物的性质</w:t>
      </w:r>
      <w:r>
        <w:rPr>
          <w:rFonts w:hint="eastAsia" w:ascii="微软雅黑" w:hAnsi="微软雅黑" w:eastAsia="微软雅黑" w:cs="微软雅黑"/>
          <w:sz w:val="24"/>
          <w:szCs w:val="24"/>
          <w:lang w:eastAsia="zh-CN"/>
        </w:rPr>
        <w:t>，一次性管路防止交叉感染。</w:t>
      </w:r>
    </w:p>
    <w:p w14:paraId="302F193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bCs/>
          <w:color w:val="000000"/>
          <w:kern w:val="0"/>
          <w:sz w:val="24"/>
          <w:szCs w:val="24"/>
          <w:highlight w:val="none"/>
          <w:lang w:val="en-US" w:eastAsia="zh-CN"/>
        </w:rPr>
        <w:t>13.</w:t>
      </w:r>
      <w:r>
        <w:rPr>
          <w:rFonts w:hint="eastAsia" w:ascii="微软雅黑" w:hAnsi="微软雅黑" w:eastAsia="微软雅黑" w:cs="微软雅黑"/>
          <w:sz w:val="24"/>
          <w:szCs w:val="24"/>
        </w:rPr>
        <w:t>有温度管理功能，管路端口内置温控</w:t>
      </w:r>
      <w:r>
        <w:rPr>
          <w:rFonts w:hint="eastAsia" w:ascii="微软雅黑" w:hAnsi="微软雅黑" w:eastAsia="微软雅黑" w:cs="微软雅黑"/>
          <w:sz w:val="24"/>
          <w:szCs w:val="24"/>
          <w:lang w:eastAsia="zh-CN"/>
        </w:rPr>
        <w:t>双</w:t>
      </w:r>
      <w:r>
        <w:rPr>
          <w:rFonts w:hint="eastAsia" w:ascii="微软雅黑" w:hAnsi="微软雅黑" w:eastAsia="微软雅黑" w:cs="微软雅黑"/>
          <w:sz w:val="24"/>
          <w:szCs w:val="24"/>
        </w:rPr>
        <w:t>探头</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眼罩可调节，有双眼或单眼单独雾化功能</w:t>
      </w:r>
      <w:r>
        <w:rPr>
          <w:rFonts w:hint="eastAsia" w:ascii="微软雅黑" w:hAnsi="微软雅黑" w:eastAsia="微软雅黑" w:cs="微软雅黑"/>
          <w:sz w:val="24"/>
          <w:szCs w:val="24"/>
          <w:lang w:eastAsia="zh-CN"/>
        </w:rPr>
        <w:t>。</w:t>
      </w:r>
    </w:p>
    <w:p w14:paraId="5F4DAAB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highlight w:val="none"/>
          <w:lang w:val="en-US" w:eastAsia="zh-CN"/>
        </w:rPr>
        <w:t>14.</w:t>
      </w:r>
      <w:r>
        <w:rPr>
          <w:rFonts w:hint="eastAsia" w:ascii="微软雅黑" w:hAnsi="微软雅黑" w:eastAsia="微软雅黑" w:cs="微软雅黑"/>
          <w:sz w:val="24"/>
          <w:szCs w:val="24"/>
          <w:highlight w:val="none"/>
        </w:rPr>
        <w:t>环境试验</w:t>
      </w:r>
      <w:r>
        <w:rPr>
          <w:rFonts w:hint="eastAsia" w:ascii="微软雅黑" w:hAnsi="微软雅黑" w:eastAsia="微软雅黑" w:cs="微软雅黑"/>
          <w:sz w:val="24"/>
          <w:szCs w:val="24"/>
          <w:highlight w:val="none"/>
          <w:lang w:eastAsia="zh-CN"/>
        </w:rPr>
        <w:t>：</w:t>
      </w:r>
      <w:r>
        <w:rPr>
          <w:rFonts w:hint="eastAsia" w:ascii="微软雅黑" w:hAnsi="微软雅黑" w:eastAsia="微软雅黑" w:cs="微软雅黑"/>
          <w:sz w:val="24"/>
          <w:szCs w:val="24"/>
          <w:highlight w:val="none"/>
        </w:rPr>
        <w:t>符合GB/T14710-2009气候环境试验Ⅱ组和机械环境试验Ⅱ组的要求。</w:t>
      </w:r>
    </w:p>
    <w:p w14:paraId="153A9BB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15、</w:t>
      </w:r>
      <w:r>
        <w:rPr>
          <w:rFonts w:hint="eastAsia" w:ascii="微软雅黑" w:hAnsi="微软雅黑" w:eastAsia="微软雅黑" w:cs="微软雅黑"/>
          <w:color w:val="auto"/>
          <w:sz w:val="24"/>
          <w:szCs w:val="24"/>
          <w:highlight w:val="none"/>
        </w:rPr>
        <w:t>整机质保5年（含附件）</w:t>
      </w:r>
    </w:p>
    <w:p w14:paraId="0DE74E3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16、</w:t>
      </w:r>
      <w:r>
        <w:rPr>
          <w:rFonts w:hint="eastAsia" w:ascii="微软雅黑" w:hAnsi="微软雅黑" w:eastAsia="微软雅黑" w:cs="微软雅黑"/>
          <w:color w:val="auto"/>
          <w:sz w:val="24"/>
          <w:szCs w:val="24"/>
          <w:highlight w:val="none"/>
        </w:rPr>
        <w:t>所用耗材均已在新疆医保平台挂网。</w:t>
      </w:r>
    </w:p>
    <w:p w14:paraId="6E29829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val="en-US" w:eastAsia="zh-CN"/>
        </w:rPr>
        <w:t>17、</w:t>
      </w:r>
      <w:r>
        <w:rPr>
          <w:rFonts w:hint="eastAsia" w:ascii="微软雅黑" w:hAnsi="微软雅黑" w:eastAsia="微软雅黑" w:cs="微软雅黑"/>
          <w:color w:val="auto"/>
          <w:sz w:val="24"/>
          <w:szCs w:val="24"/>
          <w:highlight w:val="none"/>
          <w:lang w:eastAsia="zh-CN"/>
        </w:rPr>
        <w:t>软件终身升级，不再另外收费。</w:t>
      </w:r>
    </w:p>
    <w:p w14:paraId="6E8D0A9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val="en-US" w:eastAsia="zh-CN"/>
        </w:rPr>
        <w:t>18、</w:t>
      </w:r>
      <w:r>
        <w:rPr>
          <w:rFonts w:hint="eastAsia" w:ascii="微软雅黑" w:hAnsi="微软雅黑" w:eastAsia="微软雅黑" w:cs="微软雅黑"/>
          <w:color w:val="auto"/>
          <w:sz w:val="24"/>
          <w:szCs w:val="24"/>
          <w:highlight w:val="none"/>
          <w:lang w:eastAsia="zh-CN"/>
        </w:rPr>
        <w:t>提供设备状态卡及适应症范围快速操作卡。</w:t>
      </w:r>
    </w:p>
    <w:p w14:paraId="747B8B8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19、提供的产品需是近一年生产的。</w:t>
      </w:r>
    </w:p>
    <w:p w14:paraId="0B842861">
      <w:pPr>
        <w:keepNext w:val="0"/>
        <w:keepLines w:val="0"/>
        <w:pageBreakBefore w:val="0"/>
        <w:kinsoku/>
        <w:wordWrap/>
        <w:overflowPunct/>
        <w:topLinePunct w:val="0"/>
        <w:bidi w:val="0"/>
        <w:spacing w:line="440" w:lineRule="exact"/>
        <w:ind w:firstLine="480" w:firstLineChars="200"/>
        <w:jc w:val="center"/>
        <w:outlineLvl w:val="4"/>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eastAsia="zh-CN"/>
        </w:rPr>
        <w:t>眼</w:t>
      </w:r>
      <w:r>
        <w:rPr>
          <w:rFonts w:hint="eastAsia" w:ascii="微软雅黑" w:hAnsi="微软雅黑" w:eastAsia="微软雅黑" w:cs="微软雅黑"/>
          <w:b/>
          <w:bCs/>
          <w:color w:val="auto"/>
          <w:sz w:val="24"/>
          <w:szCs w:val="24"/>
          <w:highlight w:val="none"/>
        </w:rPr>
        <w:t>睑清洁仪</w:t>
      </w:r>
      <w:r>
        <w:rPr>
          <w:rFonts w:hint="eastAsia" w:ascii="微软雅黑" w:hAnsi="微软雅黑" w:eastAsia="微软雅黑" w:cs="微软雅黑"/>
          <w:b/>
          <w:bCs/>
          <w:color w:val="auto"/>
          <w:sz w:val="24"/>
          <w:szCs w:val="24"/>
          <w:highlight w:val="none"/>
          <w:lang w:val="en-US" w:eastAsia="zh-CN"/>
        </w:rPr>
        <w:t xml:space="preserve"> </w:t>
      </w:r>
    </w:p>
    <w:p w14:paraId="507E655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color w:val="auto"/>
          <w:kern w:val="2"/>
          <w:sz w:val="24"/>
          <w:szCs w:val="24"/>
          <w:highlight w:val="none"/>
          <w:lang w:val="en-US" w:eastAsia="en-US" w:bidi="ar-SA"/>
        </w:rPr>
      </w:pPr>
      <w:r>
        <w:rPr>
          <w:rFonts w:hint="eastAsia" w:ascii="微软雅黑" w:hAnsi="微软雅黑" w:eastAsia="微软雅黑" w:cs="微软雅黑"/>
          <w:color w:val="auto"/>
          <w:kern w:val="2"/>
          <w:sz w:val="24"/>
          <w:szCs w:val="24"/>
          <w:highlight w:val="none"/>
          <w:lang w:val="en-US" w:eastAsia="en-US" w:bidi="ar-SA"/>
        </w:rPr>
        <w:t>1.</w:t>
      </w:r>
      <w:r>
        <w:rPr>
          <w:rFonts w:hint="eastAsia" w:ascii="微软雅黑" w:hAnsi="微软雅黑" w:eastAsia="微软雅黑" w:cs="微软雅黑"/>
          <w:color w:val="auto"/>
          <w:kern w:val="2"/>
          <w:sz w:val="24"/>
          <w:szCs w:val="24"/>
          <w:highlight w:val="none"/>
          <w:lang w:val="en-US" w:eastAsia="zh-CN" w:bidi="ar-SA"/>
        </w:rPr>
        <w:t>手柄长度≤20mm;</w:t>
      </w:r>
    </w:p>
    <w:p w14:paraId="1C0ECD4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2.手柄端口夹头内径：3mm±0.1mm；</w:t>
      </w:r>
    </w:p>
    <w:p w14:paraId="56617FD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3.手柄和棉签配合可靠，装卸方便，配合后，弹簧钩承受≥10N 拉力时，棉签不得脱出；</w:t>
      </w:r>
    </w:p>
    <w:p w14:paraId="1F32932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4.眼睑清洁仪可选择固定转速档位，多档可调；</w:t>
      </w:r>
    </w:p>
    <w:p w14:paraId="3741891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5.档位空载转速：最小转速≤3000rpm，最大转速≥6000rpm，允差±10%；</w:t>
      </w:r>
    </w:p>
    <w:p w14:paraId="5601535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6.</w:t>
      </w:r>
      <w:r>
        <w:rPr>
          <w:rFonts w:hint="eastAsia" w:ascii="微软雅黑" w:hAnsi="微软雅黑" w:eastAsia="微软雅黑" w:cs="微软雅黑"/>
          <w:color w:val="auto"/>
          <w:sz w:val="24"/>
          <w:szCs w:val="24"/>
          <w:highlight w:val="none"/>
        </w:rPr>
        <w:t>眼睑清洁仪在任何档位运转时，手柄转动稳定，无卡住和脱绳等现象。</w:t>
      </w:r>
    </w:p>
    <w:p w14:paraId="2F24470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7.</w:t>
      </w:r>
      <w:r>
        <w:rPr>
          <w:rFonts w:hint="eastAsia" w:ascii="微软雅黑" w:hAnsi="微软雅黑" w:eastAsia="微软雅黑" w:cs="微软雅黑"/>
          <w:color w:val="auto"/>
          <w:sz w:val="24"/>
          <w:szCs w:val="24"/>
          <w:highlight w:val="none"/>
        </w:rPr>
        <w:t>主机有待机/启动功能、档位转速调节、电机正反转等功能。</w:t>
      </w:r>
    </w:p>
    <w:p w14:paraId="51A62652">
      <w:pPr>
        <w:keepNext w:val="0"/>
        <w:keepLines w:val="0"/>
        <w:pageBreakBefore w:val="0"/>
        <w:widowControl w:val="0"/>
        <w:numPr>
          <w:ilvl w:val="0"/>
          <w:numId w:val="0"/>
        </w:numPr>
        <w:tabs>
          <w:tab w:val="center" w:pos="4873"/>
        </w:tabs>
        <w:kinsoku/>
        <w:wordWrap/>
        <w:overflowPunct/>
        <w:topLinePunct w:val="0"/>
        <w:autoSpaceDE/>
        <w:autoSpaceDN/>
        <w:bidi w:val="0"/>
        <w:adjustRightInd/>
        <w:snapToGrid/>
        <w:spacing w:line="440" w:lineRule="exact"/>
        <w:ind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8.</w:t>
      </w:r>
      <w:r>
        <w:rPr>
          <w:rFonts w:hint="eastAsia" w:ascii="微软雅黑" w:hAnsi="微软雅黑" w:eastAsia="微软雅黑" w:cs="微软雅黑"/>
          <w:color w:val="auto"/>
          <w:sz w:val="24"/>
          <w:szCs w:val="24"/>
          <w:highlight w:val="none"/>
        </w:rPr>
        <w:t>整机质保5年（含附件）</w:t>
      </w:r>
      <w:r>
        <w:rPr>
          <w:rFonts w:hint="eastAsia" w:ascii="微软雅黑" w:hAnsi="微软雅黑" w:eastAsia="微软雅黑" w:cs="微软雅黑"/>
          <w:color w:val="auto"/>
          <w:sz w:val="24"/>
          <w:szCs w:val="24"/>
          <w:highlight w:val="none"/>
          <w:lang w:eastAsia="zh-CN"/>
        </w:rPr>
        <w:tab/>
      </w:r>
    </w:p>
    <w:p w14:paraId="00B21B3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val="en-US" w:eastAsia="zh-CN"/>
        </w:rPr>
        <w:t>9.</w:t>
      </w:r>
      <w:r>
        <w:rPr>
          <w:rFonts w:hint="eastAsia" w:ascii="微软雅黑" w:hAnsi="微软雅黑" w:eastAsia="微软雅黑" w:cs="微软雅黑"/>
          <w:color w:val="auto"/>
          <w:sz w:val="24"/>
          <w:szCs w:val="24"/>
          <w:highlight w:val="none"/>
        </w:rPr>
        <w:t>所用耗材均已在新疆医保平台挂网。</w:t>
      </w:r>
    </w:p>
    <w:p w14:paraId="2A57329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10.</w:t>
      </w:r>
      <w:r>
        <w:rPr>
          <w:rFonts w:hint="eastAsia" w:ascii="微软雅黑" w:hAnsi="微软雅黑" w:eastAsia="微软雅黑" w:cs="微软雅黑"/>
          <w:color w:val="auto"/>
          <w:sz w:val="24"/>
          <w:szCs w:val="24"/>
          <w:highlight w:val="none"/>
          <w:lang w:eastAsia="zh-CN"/>
        </w:rPr>
        <w:t>软件终身升级，不再另外收费。</w:t>
      </w:r>
    </w:p>
    <w:p w14:paraId="1CEBB53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val="en-US" w:eastAsia="zh-CN"/>
        </w:rPr>
        <w:t>11.</w:t>
      </w:r>
      <w:r>
        <w:rPr>
          <w:rFonts w:hint="eastAsia" w:ascii="微软雅黑" w:hAnsi="微软雅黑" w:eastAsia="微软雅黑" w:cs="微软雅黑"/>
          <w:color w:val="auto"/>
          <w:sz w:val="24"/>
          <w:szCs w:val="24"/>
          <w:highlight w:val="none"/>
          <w:lang w:eastAsia="zh-CN"/>
        </w:rPr>
        <w:t>提供设备状态卡及适应症范围快速操作卡。</w:t>
      </w:r>
    </w:p>
    <w:p w14:paraId="7873AAE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12.提供的产品需是近一年生产的。</w:t>
      </w:r>
    </w:p>
    <w:p w14:paraId="0E41BD8C">
      <w:pPr>
        <w:keepNext w:val="0"/>
        <w:keepLines w:val="0"/>
        <w:pageBreakBefore w:val="0"/>
        <w:kinsoku/>
        <w:wordWrap/>
        <w:overflowPunct/>
        <w:topLinePunct w:val="0"/>
        <w:bidi w:val="0"/>
        <w:spacing w:line="440" w:lineRule="exact"/>
        <w:ind w:firstLine="480" w:firstLineChars="200"/>
        <w:jc w:val="center"/>
        <w:outlineLvl w:val="4"/>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 xml:space="preserve">裂隙灯显微镜（台面式） </w:t>
      </w:r>
    </w:p>
    <w:p w14:paraId="5BD4387D">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1、</w:t>
      </w:r>
      <w:r>
        <w:rPr>
          <w:rFonts w:hint="eastAsia" w:ascii="微软雅黑" w:hAnsi="微软雅黑" w:eastAsia="微软雅黑" w:cs="微软雅黑"/>
          <w:color w:val="auto"/>
          <w:sz w:val="24"/>
          <w:szCs w:val="24"/>
          <w:highlight w:val="none"/>
        </w:rPr>
        <w:t>光学设计类型：平行夹角式（伽利略型）</w:t>
      </w:r>
    </w:p>
    <w:p w14:paraId="6ADCC465">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b/>
          <w:bCs/>
          <w:color w:val="auto"/>
          <w:sz w:val="24"/>
          <w:szCs w:val="24"/>
          <w:highlight w:val="none"/>
          <w:lang w:eastAsia="zh-CN"/>
        </w:rPr>
        <w:t>▲</w:t>
      </w:r>
      <w:r>
        <w:rPr>
          <w:rFonts w:hint="eastAsia" w:ascii="微软雅黑" w:hAnsi="微软雅黑" w:eastAsia="微软雅黑" w:cs="微软雅黑"/>
          <w:color w:val="auto"/>
          <w:kern w:val="2"/>
          <w:sz w:val="24"/>
          <w:szCs w:val="24"/>
          <w:highlight w:val="none"/>
          <w:lang w:val="en-US" w:eastAsia="zh-CN" w:bidi="ar-SA"/>
        </w:rPr>
        <w:t>2、</w:t>
      </w:r>
      <w:r>
        <w:rPr>
          <w:rFonts w:hint="eastAsia" w:ascii="微软雅黑" w:hAnsi="微软雅黑" w:eastAsia="微软雅黑" w:cs="微软雅黑"/>
          <w:color w:val="auto"/>
          <w:sz w:val="24"/>
          <w:szCs w:val="24"/>
          <w:highlight w:val="none"/>
        </w:rPr>
        <w:t>改变倍率形式： 转鼓式五档变倍</w:t>
      </w:r>
    </w:p>
    <w:p w14:paraId="5B06E931">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3、</w:t>
      </w:r>
      <w:r>
        <w:rPr>
          <w:rFonts w:hint="eastAsia" w:ascii="微软雅黑" w:hAnsi="微软雅黑" w:eastAsia="微软雅黑" w:cs="微软雅黑"/>
          <w:color w:val="auto"/>
          <w:sz w:val="24"/>
          <w:szCs w:val="24"/>
          <w:highlight w:val="none"/>
        </w:rPr>
        <w:t>目镜：12.5X</w:t>
      </w:r>
    </w:p>
    <w:p w14:paraId="41122847">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4、</w:t>
      </w:r>
      <w:r>
        <w:rPr>
          <w:rFonts w:hint="eastAsia" w:ascii="微软雅黑" w:hAnsi="微软雅黑" w:eastAsia="微软雅黑" w:cs="微软雅黑"/>
          <w:color w:val="auto"/>
          <w:sz w:val="24"/>
          <w:szCs w:val="24"/>
          <w:highlight w:val="none"/>
        </w:rPr>
        <w:t xml:space="preserve">放大总倍数：6X、10X、16X、25X、40X </w:t>
      </w:r>
    </w:p>
    <w:p w14:paraId="6E56AE9D">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5、</w:t>
      </w:r>
      <w:r>
        <w:rPr>
          <w:rFonts w:hint="eastAsia" w:ascii="微软雅黑" w:hAnsi="微软雅黑" w:eastAsia="微软雅黑" w:cs="微软雅黑"/>
          <w:color w:val="auto"/>
          <w:sz w:val="24"/>
          <w:szCs w:val="24"/>
          <w:highlight w:val="none"/>
        </w:rPr>
        <w:t>屈光度补偿调节：-7D ~ +7D</w:t>
      </w:r>
    </w:p>
    <w:p w14:paraId="34AA5043">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6、</w:t>
      </w:r>
      <w:r>
        <w:rPr>
          <w:rFonts w:hint="eastAsia" w:ascii="微软雅黑" w:hAnsi="微软雅黑" w:eastAsia="微软雅黑" w:cs="微软雅黑"/>
          <w:color w:val="auto"/>
          <w:sz w:val="24"/>
          <w:szCs w:val="24"/>
          <w:highlight w:val="none"/>
        </w:rPr>
        <w:t>瞳距调节范围：52mm~8</w:t>
      </w:r>
      <w:r>
        <w:rPr>
          <w:rFonts w:hint="eastAsia" w:ascii="微软雅黑" w:hAnsi="微软雅黑" w:eastAsia="微软雅黑" w:cs="微软雅黑"/>
          <w:color w:val="auto"/>
          <w:sz w:val="24"/>
          <w:szCs w:val="24"/>
          <w:highlight w:val="none"/>
          <w:lang w:val="en-US" w:eastAsia="zh-CN"/>
        </w:rPr>
        <w:t>5</w:t>
      </w:r>
      <w:r>
        <w:rPr>
          <w:rFonts w:hint="eastAsia" w:ascii="微软雅黑" w:hAnsi="微软雅黑" w:eastAsia="微软雅黑" w:cs="微软雅黑"/>
          <w:color w:val="auto"/>
          <w:sz w:val="24"/>
          <w:szCs w:val="24"/>
          <w:highlight w:val="none"/>
        </w:rPr>
        <w:t>mm</w:t>
      </w:r>
    </w:p>
    <w:p w14:paraId="347DCA34">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440" w:lineRule="exact"/>
        <w:ind w:left="0" w:leftChars="0" w:right="0" w:rightChars="0" w:firstLine="480" w:firstLineChars="200"/>
        <w:jc w:val="left"/>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7、</w:t>
      </w:r>
      <w:r>
        <w:rPr>
          <w:rFonts w:hint="eastAsia" w:ascii="微软雅黑" w:hAnsi="微软雅黑" w:eastAsia="微软雅黑" w:cs="微软雅黑"/>
          <w:color w:val="auto"/>
          <w:sz w:val="24"/>
          <w:szCs w:val="24"/>
          <w:highlight w:val="none"/>
        </w:rPr>
        <w:t>视场公称直径：6X:33mm；10X:22mm；16X:14mm；25X:8.5mm；40X:5.5mm</w:t>
      </w:r>
    </w:p>
    <w:p w14:paraId="4104DC01">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8、</w:t>
      </w:r>
      <w:r>
        <w:rPr>
          <w:rFonts w:hint="eastAsia" w:ascii="微软雅黑" w:hAnsi="微软雅黑" w:eastAsia="微软雅黑" w:cs="微软雅黑"/>
          <w:color w:val="auto"/>
          <w:sz w:val="24"/>
          <w:szCs w:val="24"/>
          <w:highlight w:val="none"/>
        </w:rPr>
        <w:t>照明方式：上光源照明</w:t>
      </w:r>
    </w:p>
    <w:p w14:paraId="41ED7001">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9、</w:t>
      </w:r>
      <w:r>
        <w:rPr>
          <w:rFonts w:hint="eastAsia" w:ascii="微软雅黑" w:hAnsi="微软雅黑" w:eastAsia="微软雅黑" w:cs="微软雅黑"/>
          <w:color w:val="auto"/>
          <w:sz w:val="24"/>
          <w:szCs w:val="24"/>
          <w:highlight w:val="none"/>
        </w:rPr>
        <w:t>裂隙高度：1mm ～ 14mm连续可调</w:t>
      </w:r>
    </w:p>
    <w:p w14:paraId="407E8BB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10、</w:t>
      </w:r>
      <w:r>
        <w:rPr>
          <w:rFonts w:hint="eastAsia" w:ascii="微软雅黑" w:hAnsi="微软雅黑" w:eastAsia="微软雅黑" w:cs="微软雅黑"/>
          <w:color w:val="auto"/>
          <w:sz w:val="24"/>
          <w:szCs w:val="24"/>
          <w:highlight w:val="none"/>
        </w:rPr>
        <w:t>裂隙宽度：0mm ～ 14mm连续可调</w:t>
      </w:r>
    </w:p>
    <w:p w14:paraId="2C03032E">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11、</w:t>
      </w:r>
      <w:r>
        <w:rPr>
          <w:rFonts w:hint="eastAsia" w:ascii="微软雅黑" w:hAnsi="微软雅黑" w:eastAsia="微软雅黑" w:cs="微软雅黑"/>
          <w:color w:val="auto"/>
          <w:sz w:val="24"/>
          <w:szCs w:val="24"/>
          <w:highlight w:val="none"/>
        </w:rPr>
        <w:t>裂隙角度：水平旋转0°~180°</w:t>
      </w:r>
    </w:p>
    <w:p w14:paraId="0B3BE563">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12、</w:t>
      </w:r>
      <w:r>
        <w:rPr>
          <w:rFonts w:hint="eastAsia" w:ascii="微软雅黑" w:hAnsi="微软雅黑" w:eastAsia="微软雅黑" w:cs="微软雅黑"/>
          <w:color w:val="auto"/>
          <w:sz w:val="24"/>
          <w:szCs w:val="24"/>
          <w:highlight w:val="none"/>
        </w:rPr>
        <w:t>裂隙倾角：5°、10°、15°、20°</w:t>
      </w:r>
    </w:p>
    <w:p w14:paraId="25F9CC57">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13、</w:t>
      </w:r>
      <w:r>
        <w:rPr>
          <w:rFonts w:hint="eastAsia" w:ascii="微软雅黑" w:hAnsi="微软雅黑" w:eastAsia="微软雅黑" w:cs="微软雅黑"/>
          <w:color w:val="auto"/>
          <w:sz w:val="24"/>
          <w:szCs w:val="24"/>
          <w:highlight w:val="none"/>
        </w:rPr>
        <w:t>光斑直径：φ0.2、φ1、φ3、φ5、φ10、φ14(mm)</w:t>
      </w:r>
    </w:p>
    <w:p w14:paraId="02825EBE">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14、</w:t>
      </w:r>
      <w:r>
        <w:rPr>
          <w:rFonts w:hint="eastAsia" w:ascii="微软雅黑" w:hAnsi="微软雅黑" w:eastAsia="微软雅黑" w:cs="微软雅黑"/>
          <w:color w:val="auto"/>
          <w:sz w:val="24"/>
          <w:szCs w:val="24"/>
          <w:highlight w:val="none"/>
        </w:rPr>
        <w:t>滤色片：隔热片、减光片、无赤片、钴蓝片</w:t>
      </w:r>
    </w:p>
    <w:p w14:paraId="39011116">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kern w:val="2"/>
          <w:sz w:val="24"/>
          <w:szCs w:val="24"/>
          <w:highlight w:val="none"/>
          <w:lang w:val="en-US" w:eastAsia="zh-CN" w:bidi="ar-SA"/>
        </w:rPr>
        <w:t>15、</w:t>
      </w:r>
      <w:r>
        <w:rPr>
          <w:rFonts w:hint="eastAsia" w:ascii="微软雅黑" w:hAnsi="微软雅黑" w:eastAsia="微软雅黑" w:cs="微软雅黑"/>
          <w:color w:val="auto"/>
          <w:sz w:val="24"/>
          <w:szCs w:val="24"/>
          <w:highlight w:val="none"/>
        </w:rPr>
        <w:t>照明</w:t>
      </w:r>
      <w:r>
        <w:rPr>
          <w:rFonts w:hint="eastAsia" w:ascii="微软雅黑" w:hAnsi="微软雅黑" w:eastAsia="微软雅黑" w:cs="微软雅黑"/>
          <w:color w:val="auto"/>
          <w:sz w:val="24"/>
          <w:szCs w:val="24"/>
          <w:highlight w:val="none"/>
          <w:lang w:eastAsia="zh-CN"/>
        </w:rPr>
        <w:t>光源</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eastAsia="zh-CN"/>
        </w:rPr>
        <w:t>暖色</w:t>
      </w:r>
      <w:r>
        <w:rPr>
          <w:rFonts w:hint="eastAsia" w:ascii="微软雅黑" w:hAnsi="微软雅黑" w:eastAsia="微软雅黑" w:cs="微软雅黑"/>
          <w:color w:val="auto"/>
          <w:sz w:val="24"/>
          <w:szCs w:val="24"/>
          <w:highlight w:val="none"/>
          <w:lang w:val="en-US" w:eastAsia="zh-CN"/>
        </w:rPr>
        <w:t>LED</w:t>
      </w:r>
    </w:p>
    <w:p w14:paraId="16D7CA06">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kern w:val="2"/>
          <w:sz w:val="24"/>
          <w:szCs w:val="24"/>
          <w:highlight w:val="none"/>
          <w:lang w:val="en-US" w:eastAsia="zh-CN" w:bidi="ar-SA"/>
        </w:rPr>
        <w:t>16、</w:t>
      </w:r>
      <w:r>
        <w:rPr>
          <w:rFonts w:hint="eastAsia" w:ascii="微软雅黑" w:hAnsi="微软雅黑" w:eastAsia="微软雅黑" w:cs="微软雅黑"/>
          <w:color w:val="auto"/>
          <w:sz w:val="24"/>
          <w:szCs w:val="24"/>
          <w:highlight w:val="none"/>
          <w:lang w:val="en-US" w:eastAsia="zh-CN"/>
        </w:rPr>
        <w:t>调光方式：底座无极调光</w:t>
      </w:r>
    </w:p>
    <w:p w14:paraId="498631EB">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kern w:val="2"/>
          <w:sz w:val="24"/>
          <w:szCs w:val="24"/>
          <w:highlight w:val="none"/>
          <w:lang w:val="en-US" w:eastAsia="zh-CN" w:bidi="ar-SA"/>
        </w:rPr>
        <w:t>17、</w:t>
      </w:r>
      <w:r>
        <w:rPr>
          <w:rFonts w:hint="eastAsia" w:ascii="微软雅黑" w:hAnsi="微软雅黑" w:eastAsia="微软雅黑" w:cs="微软雅黑"/>
          <w:color w:val="auto"/>
          <w:sz w:val="24"/>
          <w:szCs w:val="24"/>
          <w:highlight w:val="none"/>
          <w:lang w:val="en-US" w:eastAsia="zh-CN"/>
        </w:rPr>
        <w:t>照度：≥60万Lux</w:t>
      </w:r>
    </w:p>
    <w:p w14:paraId="52856B94">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kern w:val="2"/>
          <w:sz w:val="24"/>
          <w:szCs w:val="24"/>
          <w:highlight w:val="none"/>
          <w:lang w:val="en-US" w:eastAsia="zh-CN" w:bidi="ar-SA"/>
        </w:rPr>
        <w:t>18、</w:t>
      </w:r>
      <w:r>
        <w:rPr>
          <w:rFonts w:hint="eastAsia" w:ascii="微软雅黑" w:hAnsi="微软雅黑" w:eastAsia="微软雅黑" w:cs="微软雅黑"/>
          <w:color w:val="auto"/>
          <w:sz w:val="24"/>
          <w:szCs w:val="24"/>
          <w:highlight w:val="none"/>
          <w:lang w:val="en-US" w:eastAsia="zh-CN"/>
        </w:rPr>
        <w:t>整机质保5年（含附件）</w:t>
      </w:r>
    </w:p>
    <w:p w14:paraId="7F9FEE38">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kern w:val="2"/>
          <w:sz w:val="24"/>
          <w:szCs w:val="24"/>
          <w:highlight w:val="none"/>
          <w:lang w:val="en-US" w:eastAsia="zh-CN" w:bidi="ar-SA"/>
        </w:rPr>
        <w:t>19、</w:t>
      </w:r>
      <w:r>
        <w:rPr>
          <w:rFonts w:hint="eastAsia" w:ascii="微软雅黑" w:hAnsi="微软雅黑" w:eastAsia="微软雅黑" w:cs="微软雅黑"/>
          <w:color w:val="auto"/>
          <w:sz w:val="24"/>
          <w:szCs w:val="24"/>
          <w:highlight w:val="none"/>
          <w:lang w:val="en-US" w:eastAsia="zh-CN"/>
        </w:rPr>
        <w:t>所用耗材均已在新疆医保平台挂网。</w:t>
      </w:r>
    </w:p>
    <w:p w14:paraId="12038181">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kern w:val="2"/>
          <w:sz w:val="24"/>
          <w:szCs w:val="24"/>
          <w:highlight w:val="none"/>
          <w:lang w:val="en-US" w:eastAsia="zh-CN" w:bidi="ar-SA"/>
        </w:rPr>
        <w:t>20、</w:t>
      </w:r>
      <w:r>
        <w:rPr>
          <w:rFonts w:hint="eastAsia" w:ascii="微软雅黑" w:hAnsi="微软雅黑" w:eastAsia="微软雅黑" w:cs="微软雅黑"/>
          <w:color w:val="auto"/>
          <w:sz w:val="24"/>
          <w:szCs w:val="24"/>
          <w:highlight w:val="none"/>
          <w:lang w:val="en-US" w:eastAsia="zh-CN"/>
        </w:rPr>
        <w:t>软件终身升级，不再另外收费。</w:t>
      </w:r>
    </w:p>
    <w:p w14:paraId="6779C9E5">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kern w:val="2"/>
          <w:sz w:val="24"/>
          <w:szCs w:val="24"/>
          <w:highlight w:val="none"/>
          <w:lang w:val="en-US" w:eastAsia="zh-CN" w:bidi="ar-SA"/>
        </w:rPr>
        <w:t>21、</w:t>
      </w:r>
      <w:r>
        <w:rPr>
          <w:rFonts w:hint="eastAsia" w:ascii="微软雅黑" w:hAnsi="微软雅黑" w:eastAsia="微软雅黑" w:cs="微软雅黑"/>
          <w:color w:val="auto"/>
          <w:sz w:val="24"/>
          <w:szCs w:val="24"/>
          <w:highlight w:val="none"/>
          <w:lang w:val="en-US" w:eastAsia="zh-CN"/>
        </w:rPr>
        <w:t>提供设备状态卡及适应症范围快速操作卡。</w:t>
      </w:r>
    </w:p>
    <w:p w14:paraId="0DF7208F">
      <w:pPr>
        <w:keepNext w:val="0"/>
        <w:keepLines w:val="0"/>
        <w:pageBreakBefore w:val="0"/>
        <w:widowControl w:val="0"/>
        <w:numPr>
          <w:ilvl w:val="0"/>
          <w:numId w:val="0"/>
        </w:numPr>
        <w:tabs>
          <w:tab w:val="left" w:pos="540"/>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color w:val="auto"/>
          <w:kern w:val="2"/>
          <w:sz w:val="24"/>
          <w:szCs w:val="24"/>
          <w:highlight w:val="none"/>
          <w:lang w:val="en-US" w:eastAsia="zh-CN" w:bidi="ar-SA"/>
        </w:rPr>
        <w:t>22、</w:t>
      </w:r>
      <w:r>
        <w:rPr>
          <w:rFonts w:hint="eastAsia" w:ascii="微软雅黑" w:hAnsi="微软雅黑" w:eastAsia="微软雅黑" w:cs="微软雅黑"/>
          <w:color w:val="auto"/>
          <w:sz w:val="24"/>
          <w:szCs w:val="24"/>
          <w:highlight w:val="none"/>
          <w:lang w:val="en-US" w:eastAsia="zh-CN"/>
        </w:rPr>
        <w:t>提供的产品需是近一年生产的。</w:t>
      </w:r>
    </w:p>
    <w:p w14:paraId="239E4FF4">
      <w:pPr>
        <w:keepNext w:val="0"/>
        <w:keepLines w:val="0"/>
        <w:pageBreakBefore w:val="0"/>
        <w:kinsoku/>
        <w:wordWrap/>
        <w:overflowPunct/>
        <w:topLinePunct w:val="0"/>
        <w:bidi w:val="0"/>
        <w:spacing w:line="440" w:lineRule="exact"/>
        <w:ind w:firstLine="480" w:firstLineChars="200"/>
        <w:jc w:val="center"/>
        <w:outlineLvl w:val="4"/>
        <w:rPr>
          <w:rFonts w:hint="eastAsia" w:ascii="微软雅黑" w:hAnsi="微软雅黑" w:eastAsia="微软雅黑" w:cs="微软雅黑"/>
          <w:b/>
          <w:kern w:val="44"/>
          <w:sz w:val="24"/>
          <w:szCs w:val="24"/>
          <w:lang w:val="en-US" w:eastAsia="zh-CN" w:bidi="ar-SA"/>
        </w:rPr>
      </w:pPr>
      <w:r>
        <w:rPr>
          <w:rFonts w:hint="eastAsia" w:ascii="微软雅黑" w:hAnsi="微软雅黑" w:eastAsia="微软雅黑" w:cs="微软雅黑"/>
          <w:b/>
          <w:bCs/>
          <w:color w:val="000000"/>
          <w:sz w:val="24"/>
          <w:szCs w:val="24"/>
          <w:lang w:val="en-US" w:eastAsia="zh-CN"/>
        </w:rPr>
        <w:t xml:space="preserve">手持式屈光筛查仪 </w:t>
      </w:r>
    </w:p>
    <w:p w14:paraId="14EDC5A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1、技术原理：偏心摄影验光法</w:t>
      </w:r>
    </w:p>
    <w:p w14:paraId="2EEB055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2、测试光源：中心波长850nm±15nm</w:t>
      </w:r>
    </w:p>
    <w:p w14:paraId="637416E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3、适用对象：</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0.5岁。</w:t>
      </w:r>
    </w:p>
    <w:p w14:paraId="06EFBB6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4、测试内容：斜视、瞳孔大小、球镜度、柱镜度、瞳距、轴位、等效球镜</w:t>
      </w:r>
      <w:r>
        <w:rPr>
          <w:rFonts w:hint="eastAsia" w:ascii="微软雅黑" w:hAnsi="微软雅黑" w:eastAsia="微软雅黑" w:cs="微软雅黑"/>
          <w:sz w:val="24"/>
          <w:szCs w:val="24"/>
          <w:lang w:eastAsia="zh-CN"/>
        </w:rPr>
        <w:t>等</w:t>
      </w:r>
      <w:r>
        <w:rPr>
          <w:rFonts w:hint="eastAsia" w:ascii="微软雅黑" w:hAnsi="微软雅黑" w:eastAsia="微软雅黑" w:cs="微软雅黑"/>
          <w:sz w:val="24"/>
          <w:szCs w:val="24"/>
        </w:rPr>
        <w:t>。</w:t>
      </w:r>
    </w:p>
    <w:p w14:paraId="5CECA75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5、测量方式：左眼，右眼，双眼测量。</w:t>
      </w:r>
    </w:p>
    <w:p w14:paraId="3DB09F8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6、测量范围：</w:t>
      </w:r>
    </w:p>
    <w:p w14:paraId="5138311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球镜范围：-7.50D~+7.50D；</w:t>
      </w:r>
      <w:bookmarkStart w:id="2003" w:name="_Hlk93926141"/>
      <w:r>
        <w:rPr>
          <w:rFonts w:hint="eastAsia" w:ascii="微软雅黑" w:hAnsi="微软雅黑" w:eastAsia="微软雅黑" w:cs="微软雅黑"/>
          <w:sz w:val="24"/>
          <w:szCs w:val="24"/>
        </w:rPr>
        <w:t>增量：0.25D; 精度±0.25D</w:t>
      </w:r>
    </w:p>
    <w:bookmarkEnd w:id="2003"/>
    <w:p w14:paraId="7F962C0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柱镜度数测量范围：0.00~3.00D；增量：0.25D；精度：±0.25D</w:t>
      </w:r>
    </w:p>
    <w:p w14:paraId="6666109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轴位：1~180；增量：1°；精度±5D</w:t>
      </w:r>
    </w:p>
    <w:p w14:paraId="30904CE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瞳孔直径：4~9mm；增量：0.1mm;</w:t>
      </w:r>
      <w:bookmarkStart w:id="2004" w:name="_Hlk93926365"/>
      <w:r>
        <w:rPr>
          <w:rFonts w:hint="eastAsia" w:ascii="微软雅黑" w:hAnsi="微软雅黑" w:eastAsia="微软雅黑" w:cs="微软雅黑"/>
          <w:sz w:val="24"/>
          <w:szCs w:val="24"/>
        </w:rPr>
        <w:t>精度±0.1mm</w:t>
      </w:r>
    </w:p>
    <w:bookmarkEnd w:id="2004"/>
    <w:p w14:paraId="387844C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瞳孔距离：35-80mm。增量：1mm; 精度±1mm</w:t>
      </w:r>
    </w:p>
    <w:p w14:paraId="30CBDD5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7、测量时间：≤3秒。</w:t>
      </w:r>
    </w:p>
    <w:p w14:paraId="0D23CC0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8、检测方式：全自动。</w:t>
      </w:r>
    </w:p>
    <w:p w14:paraId="0FBE7A3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9、固视方式：声音和闪烁。</w:t>
      </w:r>
    </w:p>
    <w:p w14:paraId="705AB6B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10、数据接口：Wi-Fi、BT4.0。</w:t>
      </w:r>
    </w:p>
    <w:p w14:paraId="4EA391D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11、工作时间：≥6小时</w:t>
      </w:r>
    </w:p>
    <w:p w14:paraId="3E28654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12、操作面板：≥8寸触摸屏</w:t>
      </w:r>
    </w:p>
    <w:p w14:paraId="734DA7A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highlight w:val="none"/>
          <w:lang w:eastAsia="zh-CN"/>
        </w:rPr>
        <w:t>▲</w:t>
      </w:r>
      <w:r>
        <w:rPr>
          <w:rFonts w:hint="eastAsia" w:ascii="微软雅黑" w:hAnsi="微软雅黑" w:eastAsia="微软雅黑" w:cs="微软雅黑"/>
          <w:sz w:val="24"/>
          <w:szCs w:val="24"/>
          <w:highlight w:val="none"/>
        </w:rPr>
        <w:t>13</w:t>
      </w:r>
      <w:r>
        <w:rPr>
          <w:rFonts w:hint="eastAsia" w:ascii="微软雅黑" w:hAnsi="微软雅黑" w:eastAsia="微软雅黑" w:cs="微软雅黑"/>
          <w:sz w:val="24"/>
          <w:szCs w:val="24"/>
        </w:rPr>
        <w:t>、测试环境：自带暗箱；</w:t>
      </w:r>
    </w:p>
    <w:p w14:paraId="31E861A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14、测试高度：根据受试者身高进行调节；</w:t>
      </w:r>
    </w:p>
    <w:p w14:paraId="6406E96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15、符合人体工程学设计：固定远距检测，避免受到机械性近视干扰</w:t>
      </w:r>
    </w:p>
    <w:p w14:paraId="45232C7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16、信息录入：电脑批量导入、导出受测者信息，生成每位受测者对应二维码。</w:t>
      </w:r>
    </w:p>
    <w:p w14:paraId="4CDAD00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sz w:val="24"/>
          <w:szCs w:val="24"/>
        </w:rPr>
        <w:t>17、云端系统及系统开放性：支持端口开放，实现物联网连接，能实现数字化流程管理，对</w:t>
      </w:r>
      <w:r>
        <w:rPr>
          <w:rFonts w:hint="eastAsia" w:ascii="微软雅黑" w:hAnsi="微软雅黑" w:eastAsia="微软雅黑" w:cs="微软雅黑"/>
          <w:color w:val="auto"/>
          <w:sz w:val="24"/>
          <w:szCs w:val="24"/>
          <w:highlight w:val="none"/>
        </w:rPr>
        <w:t>接第三方信息管理系统</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lang w:val="en-US" w:eastAsia="zh-CN"/>
        </w:rPr>
        <w:t>不再单独收取费用</w:t>
      </w:r>
      <w:r>
        <w:rPr>
          <w:rFonts w:hint="eastAsia" w:ascii="微软雅黑" w:hAnsi="微软雅黑" w:eastAsia="微软雅黑" w:cs="微软雅黑"/>
          <w:color w:val="auto"/>
          <w:sz w:val="24"/>
          <w:szCs w:val="24"/>
          <w:highlight w:val="none"/>
        </w:rPr>
        <w:t>。</w:t>
      </w:r>
    </w:p>
    <w:p w14:paraId="11BE321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rPr>
        <w:t>18、无线网络配置：配置移动网络（移动信号接收-发送终端），没有网络的场所也能联网打印、处理数据。电源：充电电池组（</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3400mAh）</w:t>
      </w:r>
    </w:p>
    <w:p w14:paraId="09694DE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19、可与智能液晶视力表配套自动汇总受试者裸眼视力到云端系统</w:t>
      </w:r>
    </w:p>
    <w:p w14:paraId="1BF11AC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20、</w:t>
      </w:r>
      <w:r>
        <w:rPr>
          <w:rFonts w:hint="eastAsia" w:ascii="微软雅黑" w:hAnsi="微软雅黑" w:eastAsia="微软雅黑" w:cs="微软雅黑"/>
          <w:color w:val="auto"/>
          <w:sz w:val="24"/>
          <w:szCs w:val="24"/>
          <w:highlight w:val="none"/>
        </w:rPr>
        <w:t>整机质保5年（含附件）</w:t>
      </w:r>
    </w:p>
    <w:p w14:paraId="4C5CD2B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21、</w:t>
      </w:r>
      <w:r>
        <w:rPr>
          <w:rFonts w:hint="eastAsia" w:ascii="微软雅黑" w:hAnsi="微软雅黑" w:eastAsia="微软雅黑" w:cs="微软雅黑"/>
          <w:color w:val="auto"/>
          <w:sz w:val="24"/>
          <w:szCs w:val="24"/>
          <w:highlight w:val="none"/>
        </w:rPr>
        <w:t>所用耗材均已在新疆医保平台挂网。</w:t>
      </w:r>
    </w:p>
    <w:p w14:paraId="27C5203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22、</w:t>
      </w:r>
      <w:r>
        <w:rPr>
          <w:rFonts w:hint="eastAsia" w:ascii="微软雅黑" w:hAnsi="微软雅黑" w:eastAsia="微软雅黑" w:cs="微软雅黑"/>
          <w:color w:val="auto"/>
          <w:sz w:val="24"/>
          <w:szCs w:val="24"/>
          <w:highlight w:val="none"/>
          <w:lang w:eastAsia="zh-CN"/>
        </w:rPr>
        <w:t>软件终身升级，不再另外收费。</w:t>
      </w:r>
    </w:p>
    <w:p w14:paraId="691BF70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23、</w:t>
      </w:r>
      <w:r>
        <w:rPr>
          <w:rFonts w:hint="eastAsia" w:ascii="微软雅黑" w:hAnsi="微软雅黑" w:eastAsia="微软雅黑" w:cs="微软雅黑"/>
          <w:sz w:val="24"/>
          <w:szCs w:val="24"/>
          <w:lang w:eastAsia="zh-CN"/>
        </w:rPr>
        <w:t>提供设备状态卡及适应症范围快速操作卡。</w:t>
      </w:r>
    </w:p>
    <w:p w14:paraId="23B0EFB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sz w:val="24"/>
          <w:szCs w:val="24"/>
          <w:highlight w:val="red"/>
          <w:lang w:val="en-US" w:eastAsia="zh-CN"/>
        </w:rPr>
      </w:pPr>
      <w:r>
        <w:rPr>
          <w:rFonts w:hint="eastAsia" w:ascii="微软雅黑" w:hAnsi="微软雅黑" w:eastAsia="微软雅黑" w:cs="微软雅黑"/>
          <w:sz w:val="24"/>
          <w:szCs w:val="24"/>
          <w:lang w:val="en-US" w:eastAsia="zh-CN"/>
        </w:rPr>
        <w:t>24、提供的产品需是近一年生产的。</w:t>
      </w:r>
    </w:p>
    <w:p w14:paraId="4DC88A11">
      <w:pPr>
        <w:rPr>
          <w:rFonts w:hint="eastAsia" w:ascii="微软雅黑" w:hAnsi="微软雅黑" w:eastAsia="微软雅黑" w:cs="微软雅黑"/>
          <w:b/>
          <w:bCs/>
          <w:sz w:val="28"/>
          <w:szCs w:val="36"/>
          <w:highlight w:val="none"/>
          <w:lang w:val="en-US" w:eastAsia="zh-CN"/>
        </w:rPr>
      </w:pPr>
    </w:p>
    <w:p w14:paraId="1403F65E">
      <w:pPr>
        <w:rPr>
          <w:rFonts w:hint="eastAsia" w:ascii="微软雅黑" w:hAnsi="微软雅黑" w:eastAsia="微软雅黑" w:cs="微软雅黑"/>
          <w:b/>
          <w:bCs/>
          <w:sz w:val="24"/>
          <w:szCs w:val="24"/>
          <w:highlight w:val="none"/>
          <w:lang w:val="en-US" w:eastAsia="zh-CN"/>
        </w:rPr>
      </w:pPr>
      <w:r>
        <w:rPr>
          <w:rFonts w:hint="eastAsia" w:ascii="微软雅黑" w:hAnsi="微软雅黑" w:eastAsia="微软雅黑" w:cs="微软雅黑"/>
          <w:b/>
          <w:bCs/>
          <w:sz w:val="24"/>
          <w:szCs w:val="24"/>
          <w:highlight w:val="none"/>
          <w:lang w:val="en-US" w:eastAsia="zh-CN"/>
        </w:rPr>
        <w:br w:type="page"/>
      </w:r>
    </w:p>
    <w:p w14:paraId="3A80F8A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outlineLvl w:val="3"/>
        <w:rPr>
          <w:rFonts w:hint="eastAsia" w:ascii="微软雅黑" w:hAnsi="微软雅黑" w:eastAsia="微软雅黑" w:cs="微软雅黑"/>
          <w:b/>
          <w:bCs/>
          <w:color w:val="auto"/>
          <w:sz w:val="24"/>
          <w:szCs w:val="24"/>
          <w:highlight w:val="yellow"/>
          <w:lang w:val="en-US" w:eastAsia="zh-CN"/>
        </w:rPr>
      </w:pPr>
      <w:r>
        <w:rPr>
          <w:rFonts w:hint="eastAsia" w:ascii="微软雅黑" w:hAnsi="微软雅黑" w:eastAsia="微软雅黑" w:cs="微软雅黑"/>
          <w:b/>
          <w:bCs/>
          <w:sz w:val="24"/>
          <w:szCs w:val="24"/>
          <w:highlight w:val="none"/>
          <w:lang w:val="en-US" w:eastAsia="zh-CN"/>
        </w:rPr>
        <w:t>三、项目要求（标项二）</w:t>
      </w:r>
    </w:p>
    <w:p w14:paraId="053ECA0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kern w:val="2"/>
          <w:sz w:val="24"/>
          <w:szCs w:val="24"/>
          <w:lang w:val="en-US" w:eastAsia="zh-CN" w:bidi="ar-SA"/>
        </w:rPr>
        <w:t>1、</w:t>
      </w:r>
      <w:r>
        <w:rPr>
          <w:rFonts w:hint="eastAsia" w:ascii="微软雅黑" w:hAnsi="微软雅黑" w:eastAsia="微软雅黑" w:cs="微软雅黑"/>
          <w:sz w:val="24"/>
          <w:szCs w:val="24"/>
          <w:lang w:val="en-US" w:eastAsia="zh-CN"/>
        </w:rPr>
        <w:t>到货期：签订合同后60天内到货。</w:t>
      </w:r>
    </w:p>
    <w:p w14:paraId="0CAFFED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kern w:val="2"/>
          <w:sz w:val="24"/>
          <w:szCs w:val="24"/>
          <w:lang w:val="en-US" w:eastAsia="zh-CN" w:bidi="ar-SA"/>
        </w:rPr>
        <w:t>2、</w:t>
      </w:r>
      <w:r>
        <w:rPr>
          <w:rFonts w:hint="eastAsia" w:ascii="微软雅黑" w:hAnsi="微软雅黑" w:eastAsia="微软雅黑" w:cs="微软雅黑"/>
          <w:sz w:val="24"/>
          <w:szCs w:val="24"/>
          <w:lang w:val="en-US" w:eastAsia="zh-CN"/>
        </w:rPr>
        <w:t>付款方式：货验收合格后支付30%，最终验收后支付70%（以合同约定为准）</w:t>
      </w:r>
    </w:p>
    <w:p w14:paraId="61E1416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kern w:val="2"/>
          <w:sz w:val="24"/>
          <w:szCs w:val="24"/>
          <w:lang w:val="en-US" w:eastAsia="zh-CN" w:bidi="ar-SA"/>
        </w:rPr>
        <w:t>3、</w:t>
      </w:r>
      <w:r>
        <w:rPr>
          <w:rFonts w:hint="eastAsia" w:ascii="微软雅黑" w:hAnsi="微软雅黑" w:eastAsia="微软雅黑" w:cs="微软雅黑"/>
          <w:sz w:val="24"/>
          <w:szCs w:val="24"/>
          <w:lang w:val="en-US" w:eastAsia="zh-CN"/>
        </w:rPr>
        <w:t>质保期：详见技术参数。</w:t>
      </w:r>
    </w:p>
    <w:p w14:paraId="23F0C70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kern w:val="2"/>
          <w:sz w:val="24"/>
          <w:szCs w:val="24"/>
          <w:lang w:val="en-US" w:eastAsia="zh-CN" w:bidi="ar-SA"/>
        </w:rPr>
        <w:t>4、</w:t>
      </w:r>
      <w:r>
        <w:rPr>
          <w:rFonts w:hint="eastAsia" w:ascii="微软雅黑" w:hAnsi="微软雅黑" w:eastAsia="微软雅黑" w:cs="微软雅黑"/>
          <w:sz w:val="24"/>
          <w:szCs w:val="24"/>
          <w:lang w:val="en-US" w:eastAsia="zh-CN"/>
        </w:rPr>
        <w:t>到货地点：喀什地区第一人民医院</w:t>
      </w:r>
    </w:p>
    <w:p w14:paraId="5E746AD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kern w:val="2"/>
          <w:sz w:val="24"/>
          <w:szCs w:val="24"/>
          <w:lang w:val="en-US" w:eastAsia="zh-CN" w:bidi="ar-SA"/>
        </w:rPr>
        <w:t>5、</w:t>
      </w:r>
      <w:r>
        <w:rPr>
          <w:rFonts w:hint="eastAsia" w:ascii="微软雅黑" w:hAnsi="微软雅黑" w:eastAsia="微软雅黑" w:cs="微软雅黑"/>
          <w:sz w:val="24"/>
          <w:szCs w:val="24"/>
          <w:lang w:val="en-US" w:eastAsia="zh-CN"/>
        </w:rPr>
        <w:t>是否专门面向中小企业：否</w:t>
      </w:r>
    </w:p>
    <w:p w14:paraId="532B595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kern w:val="2"/>
          <w:sz w:val="24"/>
          <w:szCs w:val="24"/>
          <w:lang w:val="en-US" w:eastAsia="zh-CN" w:bidi="ar-SA"/>
        </w:rPr>
        <w:t>6、</w:t>
      </w:r>
      <w:r>
        <w:rPr>
          <w:rFonts w:hint="eastAsia" w:ascii="微软雅黑" w:hAnsi="微软雅黑" w:eastAsia="微软雅黑" w:cs="微软雅黑"/>
          <w:sz w:val="24"/>
          <w:szCs w:val="24"/>
          <w:lang w:val="en-US" w:eastAsia="zh-CN"/>
        </w:rPr>
        <w:t>特殊资质：（1）若投标人为经销商则</w:t>
      </w:r>
      <w:r>
        <w:rPr>
          <w:rFonts w:hint="eastAsia" w:ascii="微软雅黑" w:hAnsi="微软雅黑" w:eastAsia="微软雅黑" w:cs="微软雅黑"/>
          <w:bCs/>
          <w:sz w:val="24"/>
          <w:szCs w:val="24"/>
          <w:lang w:val="en-US" w:eastAsia="zh-CN"/>
        </w:rPr>
        <w:t>提供《医疗器械经营企业许可证》（2）若投标人为生产厂家则提供《医疗器械生产企业许可证》；</w:t>
      </w:r>
    </w:p>
    <w:p w14:paraId="6C8A6D5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kern w:val="2"/>
          <w:sz w:val="24"/>
          <w:szCs w:val="24"/>
          <w:lang w:val="en-US" w:eastAsia="zh-CN" w:bidi="ar-SA"/>
        </w:rPr>
        <w:t>7、</w:t>
      </w:r>
      <w:r>
        <w:rPr>
          <w:rFonts w:hint="eastAsia" w:ascii="微软雅黑" w:hAnsi="微软雅黑" w:eastAsia="微软雅黑" w:cs="微软雅黑"/>
          <w:sz w:val="24"/>
          <w:szCs w:val="24"/>
          <w:lang w:val="en-US" w:eastAsia="zh-CN"/>
        </w:rPr>
        <w:t>培训要求：专业工程师进行现场培训，指导医护人员操作使用，直到临床可以熟练操作为准。</w:t>
      </w:r>
    </w:p>
    <w:p w14:paraId="3AAB1EF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8、售后服务及要求：</w:t>
      </w:r>
    </w:p>
    <w:p w14:paraId="4D86315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8.1强脉冲光干眼治疗仪须提供3类医疗器械注册证，其余设备投标方需提供</w:t>
      </w:r>
      <w:r>
        <w:rPr>
          <w:rFonts w:hint="eastAsia" w:ascii="微软雅黑" w:hAnsi="微软雅黑" w:eastAsia="微软雅黑" w:cs="微软雅黑"/>
          <w:b/>
          <w:bCs/>
          <w:sz w:val="24"/>
          <w:szCs w:val="24"/>
          <w:highlight w:val="none"/>
          <w:lang w:val="en-US" w:eastAsia="zh-CN"/>
        </w:rPr>
        <w:t>承诺函</w:t>
      </w:r>
      <w:r>
        <w:rPr>
          <w:rFonts w:hint="eastAsia" w:ascii="微软雅黑" w:hAnsi="微软雅黑" w:eastAsia="微软雅黑" w:cs="微软雅黑"/>
          <w:sz w:val="24"/>
          <w:szCs w:val="24"/>
          <w:highlight w:val="none"/>
          <w:lang w:val="en-US" w:eastAsia="zh-CN"/>
        </w:rPr>
        <w:t>，中标后所投产品属于1类医疗器械的需提供备案凭证、所投产品属于2类、3类医疗器械的，需提供《医疗器械注册证》。</w:t>
      </w:r>
    </w:p>
    <w:p w14:paraId="48335BF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b/>
          <w:bCs/>
          <w:sz w:val="24"/>
          <w:szCs w:val="24"/>
          <w:highlight w:val="none"/>
          <w:lang w:val="en-US" w:eastAsia="zh-CN"/>
        </w:rPr>
      </w:pPr>
      <w:r>
        <w:rPr>
          <w:rFonts w:hint="eastAsia" w:ascii="微软雅黑" w:hAnsi="微软雅黑" w:eastAsia="微软雅黑" w:cs="微软雅黑"/>
          <w:sz w:val="24"/>
          <w:szCs w:val="24"/>
          <w:highlight w:val="none"/>
          <w:lang w:val="en-US" w:eastAsia="zh-CN"/>
        </w:rPr>
        <w:t>8.2为提供快速响应服务，中标方应承诺提供每周 7*24 小时服务支持，当设备出现故障时，中标方须在30分钟内响应，提供电话技术支持。如电话解决不了设备故障，维保提供方须在12小时（包括节假日）内派出技术人员到达设备使用现场进行维修，对故障件提供备件支持，不再单独收取任何费用，维修过程中需要更换零配件时，应向医院解释说明并快速调用配件，负责故障件更换直至排除故障，每次维修完成后，中标方应向设备使用方提供书面维修报告一份。提供设备的软硬件安全升级，提供设备的系统软件升级补丁和技术支持，以提高设备的安全性和性能。并提供所有升级资料和记录，不再单独收取任何费用</w:t>
      </w:r>
      <w:r>
        <w:rPr>
          <w:rFonts w:hint="eastAsia" w:ascii="微软雅黑" w:hAnsi="微软雅黑" w:eastAsia="微软雅黑" w:cs="微软雅黑"/>
          <w:b/>
          <w:bCs/>
          <w:sz w:val="24"/>
          <w:szCs w:val="24"/>
          <w:highlight w:val="none"/>
          <w:lang w:val="en-US" w:eastAsia="zh-CN"/>
        </w:rPr>
        <w:t>。（提供承诺函）</w:t>
      </w:r>
    </w:p>
    <w:p w14:paraId="2C65C46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9、安装调试：</w:t>
      </w:r>
    </w:p>
    <w:p w14:paraId="4C403A7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①中标人负责合同项目下货物的安装调试，一切费用由中标人负责。</w:t>
      </w:r>
    </w:p>
    <w:p w14:paraId="0277AE3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②中标人安装时必须对各安装场地内的其它设备、设施有良好保护措施。</w:t>
      </w:r>
    </w:p>
    <w:p w14:paraId="24A3843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③所有货物在采购人指定地点收货及安装，采购人只提供水、电及气源，其余所有附件由中标人提供。</w:t>
      </w:r>
    </w:p>
    <w:p w14:paraId="4AF4FC2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10、验收：</w:t>
      </w:r>
    </w:p>
    <w:p w14:paraId="60ED588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①在中标货物安装调试完成并正常工作后组织验收，验收应在采购人和中标人共同参加下进行。</w:t>
      </w:r>
    </w:p>
    <w:p w14:paraId="62C1AF9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②采购人组成验收小组按国家有关的规定、标准进行。相关人员依据国家、行业规范、标准、规程名录以及《喀什地区第一人民医院履约验收管理办法》要求进行验收。验收时如发现所交付的货物有短装、次品、损坏或其它不符合采购文件规定之情形者，采购人应做出详尽的现场记录，或由采购人和中标人双方签署备忘录。此现场记录或备忘录可用作补充、缺失和更换损坏部件的有效证据。由此产生的有关费用由中标人承担。</w:t>
      </w:r>
    </w:p>
    <w:p w14:paraId="0F0CE44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③如果货物运输和安装调试过程中因事故造成货物短缺、损坏，中标人应及时安排换货，以保证货物安装调试验收顺利完成。换货的相关费用由中标人承担。</w:t>
      </w:r>
    </w:p>
    <w:p w14:paraId="73E1EB2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④采购人认为如有必要或因货物质量问题发生争议时,可委托质检部门按采购文件要求及国家标准对货物进行抽样检验。如检验不合格，检验费用由中标人承担，并赔偿采购人损失。</w:t>
      </w:r>
    </w:p>
    <w:p w14:paraId="01C1FD6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⑤其他验收细则以中标人的投标文件中提供的货物技术资料及双方签订的合同条款为准。</w:t>
      </w:r>
    </w:p>
    <w:p w14:paraId="576CEFD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11、方案要求：①投标人根据项目情况，提供售后服务方案、质保承诺、项目实施方案、检测报告（由有资质的医疗器械检测机构出具的完整的技术检测检验报告）、培训方案、技术指标、类似业绩、人员安排等内容（具体内容详见评分标准）。</w:t>
      </w:r>
    </w:p>
    <w:p w14:paraId="16F4D84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②如有未尽事宜或收到设备参数不合要求情况，可双方协商决定，但决定权在购买方，购买方有权利退回所购买产品。</w:t>
      </w:r>
    </w:p>
    <w:p w14:paraId="3628636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b w:val="0"/>
          <w:i w:val="0"/>
          <w:caps w:val="0"/>
          <w:color w:val="auto"/>
          <w:spacing w:val="0"/>
          <w:w w:val="100"/>
          <w:kern w:val="2"/>
          <w:sz w:val="24"/>
          <w:szCs w:val="24"/>
          <w:highlight w:val="none"/>
          <w:lang w:val="en-US" w:eastAsia="zh-CN" w:bidi="ar-SA"/>
        </w:rPr>
      </w:pPr>
      <w:r>
        <w:rPr>
          <w:rFonts w:hint="eastAsia" w:ascii="微软雅黑" w:hAnsi="微软雅黑" w:eastAsia="微软雅黑" w:cs="微软雅黑"/>
          <w:b w:val="0"/>
          <w:i w:val="0"/>
          <w:caps w:val="0"/>
          <w:color w:val="auto"/>
          <w:spacing w:val="0"/>
          <w:w w:val="100"/>
          <w:kern w:val="2"/>
          <w:sz w:val="24"/>
          <w:szCs w:val="24"/>
          <w:highlight w:val="none"/>
          <w:lang w:val="en-US" w:eastAsia="zh-CN" w:bidi="ar-SA"/>
        </w:rPr>
        <w:t>12、设备安装到位后需30天内在项目发生地由具备法定计量监测机构的单位，对该设备完成检测，并出具报告。</w:t>
      </w:r>
      <w:r>
        <w:rPr>
          <w:rFonts w:hint="eastAsia" w:ascii="微软雅黑" w:hAnsi="微软雅黑" w:eastAsia="微软雅黑" w:cs="微软雅黑"/>
          <w:b/>
          <w:bCs/>
          <w:color w:val="auto"/>
          <w:sz w:val="24"/>
          <w:szCs w:val="24"/>
          <w:highlight w:val="none"/>
          <w:lang w:val="en-US" w:eastAsia="zh-CN"/>
        </w:rPr>
        <w:t>（提供承诺函）</w:t>
      </w:r>
    </w:p>
    <w:p w14:paraId="4D410F0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b w:val="0"/>
          <w:bCs w:val="0"/>
          <w:i w:val="0"/>
          <w:caps w:val="0"/>
          <w:color w:val="auto"/>
          <w:spacing w:val="0"/>
          <w:w w:val="100"/>
          <w:sz w:val="24"/>
          <w:szCs w:val="24"/>
          <w:highlight w:val="none"/>
          <w:lang w:val="en-US" w:eastAsia="zh-CN"/>
        </w:rPr>
      </w:pPr>
      <w:r>
        <w:rPr>
          <w:rFonts w:hint="eastAsia" w:ascii="微软雅黑" w:hAnsi="微软雅黑" w:eastAsia="微软雅黑" w:cs="微软雅黑"/>
          <w:kern w:val="2"/>
          <w:sz w:val="24"/>
          <w:szCs w:val="24"/>
          <w:lang w:val="en-US" w:eastAsia="zh-CN" w:bidi="ar-SA"/>
        </w:rPr>
        <w:t>13、</w:t>
      </w:r>
      <w:r>
        <w:rPr>
          <w:rFonts w:hint="eastAsia" w:ascii="微软雅黑" w:hAnsi="微软雅黑" w:eastAsia="微软雅黑" w:cs="微软雅黑"/>
          <w:b w:val="0"/>
          <w:bCs w:val="0"/>
          <w:i w:val="0"/>
          <w:caps w:val="0"/>
          <w:color w:val="auto"/>
          <w:spacing w:val="0"/>
          <w:w w:val="100"/>
          <w:sz w:val="24"/>
          <w:szCs w:val="24"/>
          <w:highlight w:val="none"/>
          <w:lang w:val="en-US" w:eastAsia="zh-CN"/>
        </w:rPr>
        <w:t>所招产品的质量要求</w:t>
      </w:r>
    </w:p>
    <w:p w14:paraId="1C32CC04">
      <w:pPr>
        <w:pStyle w:val="14"/>
        <w:keepNext w:val="0"/>
        <w:keepLines w:val="0"/>
        <w:pageBreakBefore w:val="0"/>
        <w:kinsoku/>
        <w:wordWrap/>
        <w:overflowPunct/>
        <w:topLinePunct w:val="0"/>
        <w:autoSpaceDE/>
        <w:autoSpaceDN/>
        <w:bidi w:val="0"/>
        <w:adjustRightInd/>
        <w:spacing w:beforeAutospacing="0" w:afterAutospacing="0" w:line="400" w:lineRule="exact"/>
        <w:ind w:left="0" w:leftChars="0" w:firstLine="0" w:firstLineChars="0"/>
        <w:outlineLvl w:val="9"/>
        <w:rPr>
          <w:rFonts w:hint="eastAsia" w:ascii="微软雅黑" w:hAnsi="微软雅黑" w:eastAsia="微软雅黑" w:cs="微软雅黑"/>
          <w:b w:val="0"/>
          <w:i w:val="0"/>
          <w:caps w:val="0"/>
          <w:color w:val="auto"/>
          <w:spacing w:val="0"/>
          <w:w w:val="100"/>
          <w:kern w:val="2"/>
          <w:sz w:val="24"/>
          <w:szCs w:val="24"/>
          <w:highlight w:val="none"/>
          <w:lang w:val="en-US" w:eastAsia="zh-CN" w:bidi="ar-SA"/>
        </w:rPr>
      </w:pPr>
      <w:r>
        <w:rPr>
          <w:rFonts w:hint="eastAsia" w:ascii="微软雅黑" w:hAnsi="微软雅黑" w:eastAsia="微软雅黑" w:cs="微软雅黑"/>
          <w:b w:val="0"/>
          <w:i w:val="0"/>
          <w:caps w:val="0"/>
          <w:color w:val="auto"/>
          <w:spacing w:val="0"/>
          <w:w w:val="100"/>
          <w:kern w:val="2"/>
          <w:sz w:val="24"/>
          <w:szCs w:val="24"/>
          <w:highlight w:val="none"/>
          <w:lang w:val="en-US" w:eastAsia="zh-CN" w:bidi="ar-SA"/>
        </w:rPr>
        <w:t>（1）本项目技术参数均为公共参数，无指向性，投标供应商认为该产品指向某一品牌、某一型号，那么该参数均为参考参数，可以根据技术要求及商务要求自行去选择产品品牌和型号。</w:t>
      </w:r>
    </w:p>
    <w:p w14:paraId="61363D86">
      <w:pPr>
        <w:pStyle w:val="14"/>
        <w:keepNext w:val="0"/>
        <w:keepLines w:val="0"/>
        <w:pageBreakBefore w:val="0"/>
        <w:kinsoku/>
        <w:wordWrap/>
        <w:overflowPunct/>
        <w:topLinePunct w:val="0"/>
        <w:autoSpaceDE/>
        <w:autoSpaceDN/>
        <w:bidi w:val="0"/>
        <w:adjustRightInd/>
        <w:spacing w:beforeAutospacing="0" w:afterAutospacing="0" w:line="400" w:lineRule="exact"/>
        <w:ind w:left="0" w:leftChars="0" w:firstLine="0" w:firstLineChars="0"/>
        <w:outlineLvl w:val="9"/>
        <w:rPr>
          <w:rFonts w:hint="eastAsia" w:ascii="微软雅黑" w:hAnsi="微软雅黑" w:eastAsia="微软雅黑" w:cs="微软雅黑"/>
          <w:b w:val="0"/>
          <w:i w:val="0"/>
          <w:caps w:val="0"/>
          <w:color w:val="auto"/>
          <w:spacing w:val="0"/>
          <w:w w:val="100"/>
          <w:kern w:val="2"/>
          <w:sz w:val="24"/>
          <w:szCs w:val="24"/>
          <w:highlight w:val="yellow"/>
          <w:lang w:val="en-US" w:eastAsia="zh-CN" w:bidi="ar-SA"/>
        </w:rPr>
      </w:pPr>
      <w:r>
        <w:rPr>
          <w:rFonts w:hint="eastAsia" w:ascii="微软雅黑" w:hAnsi="微软雅黑" w:eastAsia="微软雅黑" w:cs="微软雅黑"/>
          <w:b w:val="0"/>
          <w:i w:val="0"/>
          <w:caps w:val="0"/>
          <w:color w:val="auto"/>
          <w:spacing w:val="0"/>
          <w:w w:val="100"/>
          <w:kern w:val="2"/>
          <w:sz w:val="24"/>
          <w:szCs w:val="24"/>
          <w:highlight w:val="none"/>
          <w:lang w:val="en-US" w:eastAsia="zh-CN" w:bidi="ar-SA"/>
        </w:rPr>
        <w:t>（2）凡技术参数指标执行的国家相关标准、行业标准、地方标准或者其他标准、规范。供应商需要提供投标产品技术支持资料（或证明材料），其中技术支持资料指生产厂家公开发布的印刷资料或检测机构出具的检验报告，若生产厂家公开发布的印刷资料或检测机构出具的检验报告不一致，以检测机构出具的检验报告为准。如供应商技术响应与技术支持资料（或证明材料）不一致，将以技术支持资料（或证明材料）为准。</w:t>
      </w:r>
    </w:p>
    <w:p w14:paraId="27B197AC">
      <w:pPr>
        <w:jc w:val="left"/>
        <w:outlineLvl w:val="9"/>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注:技术参数中标注“▲”的技术参数为重要参数，其余参数为一般技术参数。如出现负偏离的则按照评分表进行扣分。投标供应商须在投标文件中按照采购文件技术规格的要求提供技术应答的证明材料。</w:t>
      </w:r>
    </w:p>
    <w:p w14:paraId="48B5709B">
      <w:pPr>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br w:type="page"/>
      </w:r>
    </w:p>
    <w:p w14:paraId="270F65F3">
      <w:pPr>
        <w:jc w:val="center"/>
        <w:outlineLvl w:val="0"/>
        <w:rPr>
          <w:rFonts w:hint="eastAsia" w:ascii="微软雅黑" w:hAnsi="微软雅黑" w:eastAsia="微软雅黑" w:cs="微软雅黑"/>
          <w:color w:val="auto"/>
          <w:sz w:val="28"/>
          <w:szCs w:val="28"/>
          <w:highlight w:val="none"/>
        </w:rPr>
      </w:pPr>
      <w:bookmarkStart w:id="2005" w:name="_Toc29335"/>
      <w:r>
        <w:rPr>
          <w:rStyle w:val="46"/>
          <w:rFonts w:hint="eastAsia" w:ascii="微软雅黑" w:hAnsi="微软雅黑" w:eastAsia="微软雅黑" w:cs="微软雅黑"/>
          <w:color w:val="auto"/>
          <w:sz w:val="28"/>
          <w:szCs w:val="28"/>
          <w:highlight w:val="none"/>
        </w:rPr>
        <w:t>第6章  评标方法和标准</w:t>
      </w:r>
      <w:bookmarkEnd w:id="14"/>
      <w:bookmarkEnd w:id="15"/>
      <w:bookmarkEnd w:id="16"/>
      <w:bookmarkEnd w:id="17"/>
      <w:bookmarkEnd w:id="18"/>
      <w:bookmarkEnd w:id="19"/>
      <w:bookmarkEnd w:id="20"/>
      <w:bookmarkEnd w:id="2000"/>
      <w:bookmarkEnd w:id="2001"/>
      <w:bookmarkEnd w:id="2005"/>
    </w:p>
    <w:p w14:paraId="08C4EBD2">
      <w:pPr>
        <w:pStyle w:val="12"/>
        <w:keepNext w:val="0"/>
        <w:keepLines w:val="0"/>
        <w:pageBreakBefore w:val="0"/>
        <w:tabs>
          <w:tab w:val="clear" w:pos="567"/>
        </w:tabs>
        <w:kinsoku/>
        <w:wordWrap/>
        <w:overflowPunct/>
        <w:topLinePunct w:val="0"/>
        <w:autoSpaceDE/>
        <w:autoSpaceDN/>
        <w:bidi w:val="0"/>
        <w:adjustRightInd/>
        <w:spacing w:before="0" w:line="380" w:lineRule="exact"/>
        <w:ind w:firstLine="495" w:firstLineChars="225"/>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本项目将按照招标文件第一章供应商须知中“五 开标及评标”、“六 确定中标”及本章的规定评标。</w:t>
      </w:r>
    </w:p>
    <w:p w14:paraId="2AB5DEE3">
      <w:pPr>
        <w:keepNext w:val="0"/>
        <w:keepLines w:val="0"/>
        <w:pageBreakBefore w:val="0"/>
        <w:widowControl/>
        <w:kinsoku/>
        <w:wordWrap/>
        <w:overflowPunct/>
        <w:topLinePunct w:val="0"/>
        <w:autoSpaceDE/>
        <w:autoSpaceDN/>
        <w:bidi w:val="0"/>
        <w:adjustRightInd/>
        <w:spacing w:line="380" w:lineRule="exact"/>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1.投标无效的情形：</w:t>
      </w:r>
    </w:p>
    <w:p w14:paraId="1BF921AA">
      <w:pPr>
        <w:keepNext w:val="0"/>
        <w:keepLines w:val="0"/>
        <w:pageBreakBefore w:val="0"/>
        <w:widowControl/>
        <w:kinsoku/>
        <w:wordWrap/>
        <w:overflowPunct/>
        <w:topLinePunct w:val="0"/>
        <w:autoSpaceDE/>
        <w:autoSpaceDN/>
        <w:bidi w:val="0"/>
        <w:adjustRightInd/>
        <w:spacing w:line="38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（1）单位负责人为同一人或者存在直接控股、管理关系的不同供应商，其相关投标将被认定为投标无效。</w:t>
      </w:r>
    </w:p>
    <w:p w14:paraId="18651090">
      <w:pPr>
        <w:keepNext w:val="0"/>
        <w:keepLines w:val="0"/>
        <w:pageBreakBefore w:val="0"/>
        <w:widowControl/>
        <w:kinsoku/>
        <w:wordWrap/>
        <w:overflowPunct/>
        <w:topLinePunct w:val="0"/>
        <w:autoSpaceDE/>
        <w:autoSpaceDN/>
        <w:bidi w:val="0"/>
        <w:adjustRightInd/>
        <w:spacing w:line="38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（2）供应商报价超过招标文件规定的预算金额或者分项、分包最高限价的，其投标将被认定为投标无效。</w:t>
      </w:r>
    </w:p>
    <w:p w14:paraId="4B96B286">
      <w:pPr>
        <w:keepNext w:val="0"/>
        <w:keepLines w:val="0"/>
        <w:pageBreakBefore w:val="0"/>
        <w:widowControl/>
        <w:kinsoku/>
        <w:wordWrap/>
        <w:overflowPunct/>
        <w:topLinePunct w:val="0"/>
        <w:autoSpaceDE/>
        <w:autoSpaceDN/>
        <w:bidi w:val="0"/>
        <w:adjustRightInd/>
        <w:spacing w:line="38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val="en-US" w:eastAsia="zh-CN"/>
        </w:rPr>
        <w:t>3</w:t>
      </w:r>
      <w:r>
        <w:rPr>
          <w:rFonts w:hint="eastAsia" w:ascii="微软雅黑" w:hAnsi="微软雅黑" w:eastAsia="微软雅黑" w:cs="微软雅黑"/>
          <w:color w:val="auto"/>
          <w:sz w:val="22"/>
          <w:szCs w:val="22"/>
          <w:highlight w:val="none"/>
        </w:rPr>
        <w:t>）供应商应认真阅读招标文件所有的事项、格式、条款和技术规范等。如供应商没有按照招标文件要求提交全部资料，或者投标文件没有对投标文件在各方面都做出实质性响应，可能导致其投标将被认定为投标无效。</w:t>
      </w:r>
    </w:p>
    <w:p w14:paraId="37458893">
      <w:pPr>
        <w:keepNext w:val="0"/>
        <w:keepLines w:val="0"/>
        <w:pageBreakBefore w:val="0"/>
        <w:widowControl/>
        <w:kinsoku/>
        <w:wordWrap/>
        <w:overflowPunct/>
        <w:topLinePunct w:val="0"/>
        <w:autoSpaceDE/>
        <w:autoSpaceDN/>
        <w:bidi w:val="0"/>
        <w:adjustRightInd/>
        <w:spacing w:line="38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 （</w:t>
      </w:r>
      <w:r>
        <w:rPr>
          <w:rFonts w:hint="eastAsia" w:ascii="微软雅黑" w:hAnsi="微软雅黑" w:eastAsia="微软雅黑" w:cs="微软雅黑"/>
          <w:color w:val="auto"/>
          <w:sz w:val="22"/>
          <w:szCs w:val="22"/>
          <w:highlight w:val="none"/>
          <w:lang w:val="en-US" w:eastAsia="zh-CN"/>
        </w:rPr>
        <w:t>4</w:t>
      </w:r>
      <w:r>
        <w:rPr>
          <w:rFonts w:hint="eastAsia" w:ascii="微软雅黑" w:hAnsi="微软雅黑" w:eastAsia="微软雅黑" w:cs="微软雅黑"/>
          <w:color w:val="auto"/>
          <w:sz w:val="22"/>
          <w:szCs w:val="22"/>
          <w:highlight w:val="none"/>
        </w:rPr>
        <w:t>）供应商应当对所投分包投标文件中“</w:t>
      </w:r>
      <w:r>
        <w:rPr>
          <w:rFonts w:hint="eastAsia" w:ascii="微软雅黑" w:hAnsi="微软雅黑" w:eastAsia="微软雅黑" w:cs="微软雅黑"/>
          <w:color w:val="auto"/>
          <w:sz w:val="22"/>
          <w:szCs w:val="22"/>
          <w:highlight w:val="none"/>
          <w:lang w:val="en-US" w:eastAsia="zh-CN"/>
        </w:rPr>
        <w:t>货物</w:t>
      </w:r>
      <w:r>
        <w:rPr>
          <w:rFonts w:hint="eastAsia" w:ascii="微软雅黑" w:hAnsi="微软雅黑" w:eastAsia="微软雅黑" w:cs="微软雅黑"/>
          <w:color w:val="auto"/>
          <w:sz w:val="22"/>
          <w:szCs w:val="22"/>
          <w:highlight w:val="none"/>
        </w:rPr>
        <w:t>内容”所列的所有内容进行投标，如仅响应某一包中的部分内容，其该包投标将被认定为投标无效。</w:t>
      </w:r>
    </w:p>
    <w:p w14:paraId="6E963FDF">
      <w:pPr>
        <w:keepNext w:val="0"/>
        <w:keepLines w:val="0"/>
        <w:pageBreakBefore w:val="0"/>
        <w:widowControl/>
        <w:kinsoku/>
        <w:wordWrap/>
        <w:overflowPunct/>
        <w:topLinePunct w:val="0"/>
        <w:autoSpaceDE/>
        <w:autoSpaceDN/>
        <w:bidi w:val="0"/>
        <w:adjustRightInd/>
        <w:spacing w:line="38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val="en-US" w:eastAsia="zh-CN"/>
        </w:rPr>
        <w:t>5</w:t>
      </w:r>
      <w:r>
        <w:rPr>
          <w:rFonts w:hint="eastAsia" w:ascii="微软雅黑" w:hAnsi="微软雅黑" w:eastAsia="微软雅黑" w:cs="微软雅黑"/>
          <w:color w:val="auto"/>
          <w:sz w:val="22"/>
          <w:szCs w:val="22"/>
          <w:highlight w:val="none"/>
        </w:rPr>
        <w:t>）供应商未按本须知第12.1和12.3条规定提交投标保证金的，其投标资格将被认定为投标无效。</w:t>
      </w:r>
    </w:p>
    <w:p w14:paraId="1CA5137F">
      <w:pPr>
        <w:keepNext w:val="0"/>
        <w:keepLines w:val="0"/>
        <w:pageBreakBefore w:val="0"/>
        <w:widowControl/>
        <w:kinsoku/>
        <w:wordWrap/>
        <w:overflowPunct/>
        <w:topLinePunct w:val="0"/>
        <w:autoSpaceDE/>
        <w:autoSpaceDN/>
        <w:bidi w:val="0"/>
        <w:adjustRightInd/>
        <w:spacing w:line="38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val="en-US" w:eastAsia="zh-CN"/>
        </w:rPr>
        <w:t>6</w:t>
      </w:r>
      <w:r>
        <w:rPr>
          <w:rFonts w:hint="eastAsia" w:ascii="微软雅黑" w:hAnsi="微软雅黑" w:eastAsia="微软雅黑" w:cs="微软雅黑"/>
          <w:color w:val="auto"/>
          <w:sz w:val="22"/>
          <w:szCs w:val="22"/>
          <w:highlight w:val="none"/>
        </w:rPr>
        <w:t>）所有投标均以人民币报价。供应商的投标报价应遵守《中华人民共和国价格法》。同时，根据《中华人民共和国政府采购法》第二条的规定，为保证公平竞争，如有</w:t>
      </w:r>
      <w:r>
        <w:rPr>
          <w:rFonts w:hint="eastAsia" w:ascii="微软雅黑" w:hAnsi="微软雅黑" w:eastAsia="微软雅黑" w:cs="微软雅黑"/>
          <w:color w:val="auto"/>
          <w:sz w:val="22"/>
          <w:szCs w:val="22"/>
          <w:highlight w:val="none"/>
          <w:lang w:val="en-US" w:eastAsia="zh-CN"/>
        </w:rPr>
        <w:t>货物</w:t>
      </w:r>
      <w:r>
        <w:rPr>
          <w:rFonts w:hint="eastAsia" w:ascii="微软雅黑" w:hAnsi="微软雅黑" w:eastAsia="微软雅黑" w:cs="微软雅黑"/>
          <w:color w:val="auto"/>
          <w:sz w:val="22"/>
          <w:szCs w:val="22"/>
          <w:highlight w:val="none"/>
        </w:rPr>
        <w:t>主体部分的赠与行为，其投标将被认定为投标无效。</w:t>
      </w:r>
    </w:p>
    <w:p w14:paraId="33EC6BCE">
      <w:pPr>
        <w:keepNext w:val="0"/>
        <w:keepLines w:val="0"/>
        <w:pageBreakBefore w:val="0"/>
        <w:widowControl/>
        <w:kinsoku/>
        <w:wordWrap/>
        <w:overflowPunct/>
        <w:topLinePunct w:val="0"/>
        <w:autoSpaceDE/>
        <w:autoSpaceDN/>
        <w:bidi w:val="0"/>
        <w:adjustRightInd/>
        <w:spacing w:line="38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val="en-US" w:eastAsia="zh-CN"/>
        </w:rPr>
        <w:t>7</w:t>
      </w:r>
      <w:r>
        <w:rPr>
          <w:rFonts w:hint="eastAsia" w:ascii="微软雅黑" w:hAnsi="微软雅黑" w:eastAsia="微软雅黑" w:cs="微软雅黑"/>
          <w:color w:val="auto"/>
          <w:sz w:val="22"/>
          <w:szCs w:val="22"/>
          <w:highlight w:val="none"/>
        </w:rPr>
        <w:t>）供应商所报的各分项投标单价在合同履行过程中是固定不变的，不得以任何理由予以变更。任何包含价格调整要求的投标，其投标将被认定为投标无效。</w:t>
      </w:r>
    </w:p>
    <w:p w14:paraId="16947ADE">
      <w:pPr>
        <w:keepNext w:val="0"/>
        <w:keepLines w:val="0"/>
        <w:pageBreakBefore w:val="0"/>
        <w:widowControl/>
        <w:kinsoku/>
        <w:wordWrap/>
        <w:overflowPunct/>
        <w:topLinePunct w:val="0"/>
        <w:autoSpaceDE/>
        <w:autoSpaceDN/>
        <w:bidi w:val="0"/>
        <w:adjustRightInd/>
        <w:spacing w:line="38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val="en-US" w:eastAsia="zh-CN"/>
        </w:rPr>
        <w:t>8</w:t>
      </w:r>
      <w:r>
        <w:rPr>
          <w:rFonts w:hint="eastAsia" w:ascii="微软雅黑" w:hAnsi="微软雅黑" w:eastAsia="微软雅黑" w:cs="微软雅黑"/>
          <w:color w:val="auto"/>
          <w:sz w:val="22"/>
          <w:szCs w:val="22"/>
          <w:highlight w:val="none"/>
        </w:rPr>
        <w:t>）投标应在供应商须知资料表中规定时间内保持有效。投标有效期不满足要求的投标，其投标将被认定为投标无效。</w:t>
      </w:r>
    </w:p>
    <w:p w14:paraId="5CA0F502">
      <w:pPr>
        <w:keepNext w:val="0"/>
        <w:keepLines w:val="0"/>
        <w:pageBreakBefore w:val="0"/>
        <w:widowControl/>
        <w:kinsoku/>
        <w:wordWrap/>
        <w:overflowPunct/>
        <w:topLinePunct w:val="0"/>
        <w:autoSpaceDE/>
        <w:autoSpaceDN/>
        <w:bidi w:val="0"/>
        <w:adjustRightInd/>
        <w:spacing w:line="38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val="en-US" w:eastAsia="zh-CN"/>
        </w:rPr>
        <w:t>9</w:t>
      </w:r>
      <w:r>
        <w:rPr>
          <w:rFonts w:hint="eastAsia" w:ascii="微软雅黑" w:hAnsi="微软雅黑" w:eastAsia="微软雅黑" w:cs="微软雅黑"/>
          <w:color w:val="auto"/>
          <w:sz w:val="22"/>
          <w:szCs w:val="22"/>
          <w:highlight w:val="none"/>
        </w:rPr>
        <w:t>）采购人或采购代理机构将在开标前1个工作日至投标截止后1小时的期间内查询供应商的信用记录。供应商存在不良信用记录的，其投标将被认定为投标无效。</w:t>
      </w:r>
    </w:p>
    <w:p w14:paraId="458335F9">
      <w:pPr>
        <w:keepNext w:val="0"/>
        <w:keepLines w:val="0"/>
        <w:pageBreakBefore w:val="0"/>
        <w:widowControl/>
        <w:kinsoku/>
        <w:wordWrap/>
        <w:overflowPunct/>
        <w:topLinePunct w:val="0"/>
        <w:autoSpaceDE/>
        <w:autoSpaceDN/>
        <w:bidi w:val="0"/>
        <w:adjustRightInd/>
        <w:spacing w:line="38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val="en-US" w:eastAsia="zh-CN"/>
        </w:rPr>
        <w:t>10</w:t>
      </w:r>
      <w:r>
        <w:rPr>
          <w:rFonts w:hint="eastAsia" w:ascii="微软雅黑" w:hAnsi="微软雅黑" w:eastAsia="微软雅黑" w:cs="微软雅黑"/>
          <w:color w:val="auto"/>
          <w:sz w:val="22"/>
          <w:szCs w:val="22"/>
          <w:highlight w:val="none"/>
        </w:rPr>
        <w:t>）总价金额与按单价汇总金额不一致的，以单价金额计算结果为准。同时出现两种以上不一致的，按照前款规定的顺序修正。修正后的报价按照第20.2条的规定经供应商确认后产生约束力，供应商不确认的，其投标将被认定为投标无效。</w:t>
      </w:r>
    </w:p>
    <w:p w14:paraId="0C5D2140">
      <w:pPr>
        <w:keepNext w:val="0"/>
        <w:keepLines w:val="0"/>
        <w:pageBreakBefore w:val="0"/>
        <w:widowControl/>
        <w:kinsoku/>
        <w:wordWrap/>
        <w:overflowPunct/>
        <w:topLinePunct w:val="0"/>
        <w:autoSpaceDE/>
        <w:autoSpaceDN/>
        <w:bidi w:val="0"/>
        <w:adjustRightInd/>
        <w:spacing w:line="38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val="en-US" w:eastAsia="zh-CN"/>
        </w:rPr>
        <w:t>11</w:t>
      </w:r>
      <w:r>
        <w:rPr>
          <w:rFonts w:hint="eastAsia" w:ascii="微软雅黑" w:hAnsi="微软雅黑" w:eastAsia="微软雅黑" w:cs="微软雅黑"/>
          <w:color w:val="auto"/>
          <w:sz w:val="22"/>
          <w:szCs w:val="22"/>
          <w:highlight w:val="none"/>
        </w:rPr>
        <w:t>）在比较与评价之前，根据本须知的规定，评标委员会要审查每份投标文件是否实质上响应了投标文件的要求。实质上响应的投标应该是与投标文件要求的全部条款、条件和规格相符，没有重大偏离的投标。</w:t>
      </w:r>
    </w:p>
    <w:p w14:paraId="7E7DFC63">
      <w:pPr>
        <w:keepNext w:val="0"/>
        <w:keepLines w:val="0"/>
        <w:pageBreakBefore w:val="0"/>
        <w:widowControl/>
        <w:kinsoku/>
        <w:wordWrap/>
        <w:overflowPunct/>
        <w:topLinePunct w:val="0"/>
        <w:autoSpaceDE/>
        <w:autoSpaceDN/>
        <w:bidi w:val="0"/>
        <w:adjustRightInd/>
        <w:spacing w:line="38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val="en-US" w:eastAsia="zh-CN"/>
        </w:rPr>
        <w:t>12</w:t>
      </w:r>
      <w:r>
        <w:rPr>
          <w:rFonts w:hint="eastAsia" w:ascii="微软雅黑" w:hAnsi="微软雅黑" w:eastAsia="微软雅黑" w:cs="微软雅黑"/>
          <w:color w:val="auto"/>
          <w:sz w:val="22"/>
          <w:szCs w:val="22"/>
          <w:highlight w:val="none"/>
        </w:rPr>
        <w:t>）如发现下列情况之一的，其投标将被认定为投标无效：未按招标文件规定的形式和金额提交投标保证金的；未按照招标文件规定要求签署、盖章的；未满足招标文件中技术条款的实质性要求；与其他供应商串通投标，或者与</w:t>
      </w:r>
      <w:r>
        <w:rPr>
          <w:rFonts w:hint="eastAsia" w:ascii="微软雅黑" w:hAnsi="微软雅黑" w:eastAsia="微软雅黑" w:cs="微软雅黑"/>
          <w:color w:val="auto"/>
          <w:sz w:val="22"/>
          <w:szCs w:val="22"/>
          <w:highlight w:val="none"/>
          <w:lang w:eastAsia="zh-CN"/>
        </w:rPr>
        <w:t>采购人</w:t>
      </w:r>
      <w:r>
        <w:rPr>
          <w:rFonts w:hint="eastAsia" w:ascii="微软雅黑" w:hAnsi="微软雅黑" w:eastAsia="微软雅黑" w:cs="微软雅黑"/>
          <w:color w:val="auto"/>
          <w:sz w:val="22"/>
          <w:szCs w:val="22"/>
          <w:highlight w:val="none"/>
        </w:rPr>
        <w:t>串通投标；属于招标文件规定的其他投标无效情形；评标委员会认为供应商的报价明显低于其他通过符合性检查供应商的报价，有可能影响履约的，且供应商未按照规定证明其报价合理性的；招标文件含有采购人不能接受的附加条件的；不符合法规和招标文件中规定的其他实质性要求的。</w:t>
      </w:r>
    </w:p>
    <w:p w14:paraId="6B89F336">
      <w:pPr>
        <w:keepNext w:val="0"/>
        <w:keepLines w:val="0"/>
        <w:pageBreakBefore w:val="0"/>
        <w:widowControl/>
        <w:kinsoku/>
        <w:wordWrap/>
        <w:overflowPunct/>
        <w:topLinePunct w:val="0"/>
        <w:autoSpaceDE/>
        <w:autoSpaceDN/>
        <w:bidi w:val="0"/>
        <w:adjustRightInd/>
        <w:spacing w:line="380" w:lineRule="exact"/>
        <w:jc w:val="left"/>
        <w:rPr>
          <w:rFonts w:hint="eastAsia" w:ascii="微软雅黑" w:hAnsi="微软雅黑" w:eastAsia="微软雅黑" w:cs="微软雅黑"/>
          <w:b/>
          <w:bCs/>
          <w:color w:val="auto"/>
          <w:kern w:val="2"/>
          <w:sz w:val="22"/>
          <w:szCs w:val="22"/>
          <w:highlight w:val="none"/>
          <w:lang w:val="en-US" w:eastAsia="zh-CN" w:bidi="ar-SA"/>
        </w:rPr>
      </w:pPr>
      <w:r>
        <w:rPr>
          <w:rFonts w:hint="eastAsia" w:ascii="微软雅黑" w:hAnsi="微软雅黑" w:eastAsia="微软雅黑" w:cs="微软雅黑"/>
          <w:b/>
          <w:bCs/>
          <w:color w:val="auto"/>
          <w:sz w:val="22"/>
          <w:szCs w:val="22"/>
          <w:highlight w:val="none"/>
        </w:rPr>
        <w:t>2</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kern w:val="2"/>
          <w:sz w:val="22"/>
          <w:szCs w:val="22"/>
          <w:highlight w:val="none"/>
          <w:lang w:val="en-US" w:eastAsia="zh-CN" w:bidi="ar-SA"/>
        </w:rPr>
        <w:t>本项目不专门面向中小企业采购。根据《政府采购促进中小企业发展管理办法》（财库[2020]46号）、《财政部司法部关于政府采购支持监狱企业发展有关问 题 的通知》（财库〔2014〕68号）、《三部门联合发布关于促进残疾人就业政府采购政策的通知》（财库〔2017〕141号）和财政部关于进一步加大政府采购支持中小企业力度的通知》财库〔2022〕19号的规定，其中小型、微型及小微企业在投标文件中提交了《中小企业声明函》、《残疾人福利性单位声明函》或省级以上监狱管理局、戒毒管理局（含新疆生产建设兵团）出具的属于监狱企业的证明文件的供应商，其报价扣除</w:t>
      </w:r>
      <w:r>
        <w:rPr>
          <w:rFonts w:hint="eastAsia" w:ascii="微软雅黑" w:hAnsi="微软雅黑" w:eastAsia="微软雅黑" w:cs="微软雅黑"/>
          <w:b/>
          <w:bCs/>
          <w:color w:val="auto"/>
          <w:kern w:val="2"/>
          <w:sz w:val="22"/>
          <w:szCs w:val="22"/>
          <w:highlight w:val="none"/>
          <w:u w:val="single"/>
          <w:lang w:val="en-US" w:eastAsia="zh-CN" w:bidi="ar-SA"/>
        </w:rPr>
        <w:t xml:space="preserve">  10</w:t>
      </w:r>
      <w:r>
        <w:rPr>
          <w:rFonts w:hint="eastAsia" w:ascii="微软雅黑" w:hAnsi="微软雅黑" w:eastAsia="微软雅黑" w:cs="微软雅黑"/>
          <w:b/>
          <w:bCs/>
          <w:color w:val="auto"/>
          <w:kern w:val="2"/>
          <w:sz w:val="22"/>
          <w:szCs w:val="22"/>
          <w:highlight w:val="none"/>
          <w:lang w:val="en-US" w:eastAsia="zh-CN" w:bidi="ar-SA"/>
        </w:rPr>
        <w:t>%后参与评审。对于同时属于小型、微型及小微企业、监狱企业或残疾人福利性单位的，不重复进行报价扣除。具体办法详见招标文件第6章。</w:t>
      </w:r>
    </w:p>
    <w:p w14:paraId="4FC160B2">
      <w:pPr>
        <w:keepNext w:val="0"/>
        <w:keepLines w:val="0"/>
        <w:pageBreakBefore w:val="0"/>
        <w:widowControl/>
        <w:kinsoku/>
        <w:wordWrap/>
        <w:overflowPunct/>
        <w:topLinePunct w:val="0"/>
        <w:autoSpaceDE/>
        <w:autoSpaceDN/>
        <w:bidi w:val="0"/>
        <w:adjustRightInd/>
        <w:spacing w:line="380" w:lineRule="exact"/>
        <w:jc w:val="lef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b/>
          <w:bCs/>
          <w:color w:val="auto"/>
          <w:sz w:val="22"/>
          <w:szCs w:val="22"/>
          <w:highlight w:val="none"/>
        </w:rPr>
        <w:t>3.联合协议中约定</w:t>
      </w:r>
      <w:r>
        <w:rPr>
          <w:rFonts w:hint="eastAsia" w:ascii="微软雅黑" w:hAnsi="微软雅黑" w:eastAsia="微软雅黑" w:cs="微软雅黑"/>
          <w:color w:val="auto"/>
          <w:sz w:val="22"/>
          <w:szCs w:val="22"/>
          <w:highlight w:val="none"/>
        </w:rPr>
        <w:t>，小型、微型企业和监狱企业的协议合同金额占到联合体协议合同总金额30%以上的，可给予联合体</w:t>
      </w:r>
      <w:r>
        <w:rPr>
          <w:rFonts w:hint="eastAsia" w:ascii="微软雅黑" w:hAnsi="微软雅黑" w:eastAsia="微软雅黑" w:cs="微软雅黑"/>
          <w:color w:val="auto"/>
          <w:sz w:val="22"/>
          <w:szCs w:val="22"/>
          <w:highlight w:val="none"/>
          <w:u w:val="single"/>
        </w:rPr>
        <w:t xml:space="preserve"> 2%-3%</w:t>
      </w:r>
      <w:r>
        <w:rPr>
          <w:rFonts w:hint="eastAsia" w:ascii="微软雅黑" w:hAnsi="微软雅黑" w:eastAsia="微软雅黑" w:cs="微软雅黑"/>
          <w:color w:val="auto"/>
          <w:sz w:val="22"/>
          <w:szCs w:val="22"/>
          <w:highlight w:val="none"/>
        </w:rPr>
        <w:t>的价格扣除。</w:t>
      </w:r>
      <w:r>
        <w:rPr>
          <w:rFonts w:hint="eastAsia" w:ascii="微软雅黑" w:hAnsi="微软雅黑" w:eastAsia="微软雅黑" w:cs="微软雅黑"/>
          <w:b/>
          <w:bCs/>
          <w:color w:val="auto"/>
          <w:sz w:val="22"/>
          <w:szCs w:val="22"/>
          <w:highlight w:val="none"/>
        </w:rPr>
        <w:t>（本项目不适用）</w:t>
      </w:r>
    </w:p>
    <w:p w14:paraId="39301C27">
      <w:pPr>
        <w:keepNext w:val="0"/>
        <w:keepLines w:val="0"/>
        <w:pageBreakBefore w:val="0"/>
        <w:widowControl/>
        <w:kinsoku/>
        <w:wordWrap/>
        <w:overflowPunct/>
        <w:topLinePunct w:val="0"/>
        <w:autoSpaceDE/>
        <w:autoSpaceDN/>
        <w:bidi w:val="0"/>
        <w:adjustRightInd/>
        <w:spacing w:line="380" w:lineRule="exact"/>
        <w:ind w:firstLine="440" w:firstLineChars="200"/>
        <w:jc w:val="lef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联合体各方均为小型、微型企业和监狱企业的，联合体视同为小型、微型企业和监狱企业。</w:t>
      </w:r>
    </w:p>
    <w:p w14:paraId="14CE4310">
      <w:pPr>
        <w:pStyle w:val="12"/>
        <w:keepNext w:val="0"/>
        <w:keepLines w:val="0"/>
        <w:pageBreakBefore w:val="0"/>
        <w:tabs>
          <w:tab w:val="clear" w:pos="567"/>
        </w:tabs>
        <w:kinsoku/>
        <w:wordWrap/>
        <w:overflowPunct/>
        <w:topLinePunct w:val="0"/>
        <w:autoSpaceDE/>
        <w:autoSpaceDN/>
        <w:bidi w:val="0"/>
        <w:adjustRightInd/>
        <w:spacing w:before="0" w:line="38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b/>
          <w:bCs/>
          <w:color w:val="auto"/>
          <w:sz w:val="22"/>
          <w:szCs w:val="22"/>
          <w:highlight w:val="none"/>
        </w:rPr>
        <w:t>4.供应商</w:t>
      </w:r>
      <w:r>
        <w:rPr>
          <w:rFonts w:hint="eastAsia" w:ascii="微软雅黑" w:hAnsi="微软雅黑" w:eastAsia="微软雅黑" w:cs="微软雅黑"/>
          <w:color w:val="auto"/>
          <w:sz w:val="22"/>
          <w:szCs w:val="22"/>
          <w:highlight w:val="none"/>
        </w:rPr>
        <w:t>为提供服务需求在投标中伴随投标的产品如被列入财政部与国家主管部门颁发的节能产品目录或环境标志产品目录或无线局域网产品目录，应提供相关证明，在评标时予以优先采购，具体优惠措施为：</w:t>
      </w:r>
      <w:r>
        <w:rPr>
          <w:rFonts w:hint="eastAsia" w:ascii="微软雅黑" w:hAnsi="微软雅黑" w:eastAsia="微软雅黑" w:cs="微软雅黑"/>
          <w:color w:val="auto"/>
          <w:sz w:val="22"/>
          <w:szCs w:val="22"/>
          <w:highlight w:val="none"/>
          <w:u w:val="single"/>
        </w:rPr>
        <w:t>投标商所投产品应优先选择《财政部 国家发展改革委关于调整公布第二十四期节能产品政府采购清单的通知》（财库〔2018〕73号）、《财政部 环境保护部关于调整公布第二十二期环境标志产品政府采购清单的通知》（财库〔2018〕70号）目录内的产品（须提供节能、环保认证证书复印件加盖公章）</w:t>
      </w:r>
      <w:r>
        <w:rPr>
          <w:rFonts w:hint="eastAsia" w:ascii="微软雅黑" w:hAnsi="微软雅黑" w:eastAsia="微软雅黑" w:cs="微软雅黑"/>
          <w:color w:val="auto"/>
          <w:sz w:val="22"/>
          <w:szCs w:val="22"/>
          <w:highlight w:val="none"/>
        </w:rPr>
        <w:t>。</w:t>
      </w:r>
    </w:p>
    <w:p w14:paraId="689837FC">
      <w:pPr>
        <w:pStyle w:val="12"/>
        <w:keepNext w:val="0"/>
        <w:keepLines w:val="0"/>
        <w:pageBreakBefore w:val="0"/>
        <w:tabs>
          <w:tab w:val="clear" w:pos="567"/>
        </w:tabs>
        <w:kinsoku/>
        <w:wordWrap/>
        <w:overflowPunct/>
        <w:topLinePunct w:val="0"/>
        <w:autoSpaceDE/>
        <w:autoSpaceDN/>
        <w:bidi w:val="0"/>
        <w:adjustRightInd/>
        <w:spacing w:before="0" w:line="380" w:lineRule="exact"/>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b/>
          <w:bCs/>
          <w:color w:val="auto"/>
          <w:sz w:val="22"/>
          <w:szCs w:val="22"/>
          <w:highlight w:val="none"/>
        </w:rPr>
        <w:t>5.对创新产</w:t>
      </w:r>
      <w:r>
        <w:rPr>
          <w:rFonts w:hint="eastAsia" w:ascii="微软雅黑" w:hAnsi="微软雅黑" w:eastAsia="微软雅黑" w:cs="微软雅黑"/>
          <w:color w:val="auto"/>
          <w:sz w:val="22"/>
          <w:szCs w:val="22"/>
          <w:highlight w:val="none"/>
        </w:rPr>
        <w:t>品或创新性企业的优惠措施为：</w:t>
      </w:r>
      <w:r>
        <w:rPr>
          <w:rFonts w:hint="eastAsia" w:ascii="微软雅黑" w:hAnsi="微软雅黑" w:eastAsia="微软雅黑" w:cs="微软雅黑"/>
          <w:color w:val="auto"/>
          <w:sz w:val="22"/>
          <w:szCs w:val="22"/>
          <w:highlight w:val="none"/>
          <w:u w:val="single"/>
        </w:rPr>
        <w:t xml:space="preserve">     /      </w:t>
      </w:r>
    </w:p>
    <w:p w14:paraId="5D2F4C1D">
      <w:pPr>
        <w:keepNext w:val="0"/>
        <w:keepLines w:val="0"/>
        <w:pageBreakBefore w:val="0"/>
        <w:widowControl/>
        <w:numPr>
          <w:ilvl w:val="0"/>
          <w:numId w:val="0"/>
        </w:numPr>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微软雅黑" w:hAnsi="微软雅黑" w:eastAsia="微软雅黑" w:cs="微软雅黑"/>
          <w:b/>
          <w:bCs/>
          <w:color w:val="auto"/>
          <w:kern w:val="2"/>
          <w:sz w:val="22"/>
          <w:szCs w:val="22"/>
          <w:highlight w:val="none"/>
          <w:lang w:val="en-US" w:eastAsia="zh-CN" w:bidi="ar-SA"/>
        </w:rPr>
      </w:pPr>
      <w:r>
        <w:rPr>
          <w:rFonts w:hint="eastAsia" w:ascii="微软雅黑" w:hAnsi="微软雅黑" w:eastAsia="微软雅黑" w:cs="微软雅黑"/>
          <w:b/>
          <w:bCs/>
          <w:color w:val="auto"/>
          <w:kern w:val="2"/>
          <w:sz w:val="22"/>
          <w:szCs w:val="22"/>
          <w:highlight w:val="none"/>
          <w:lang w:val="en-US" w:eastAsia="zh-CN" w:bidi="ar-SA"/>
        </w:rPr>
        <w:t>6.开标：</w:t>
      </w:r>
    </w:p>
    <w:p w14:paraId="57CDB0C6">
      <w:pPr>
        <w:keepNext w:val="0"/>
        <w:keepLines w:val="0"/>
        <w:pageBreakBefore w:val="0"/>
        <w:widowControl/>
        <w:kinsoku/>
        <w:wordWrap/>
        <w:overflowPunct/>
        <w:topLinePunct w:val="0"/>
        <w:autoSpaceDE/>
        <w:autoSpaceDN/>
        <w:bidi w:val="0"/>
        <w:adjustRightInd/>
        <w:snapToGrid w:val="0"/>
        <w:spacing w:line="436" w:lineRule="exact"/>
        <w:textAlignment w:val="baseline"/>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（1）供应商按照须知资料表中规定的开标时间和地点，在规定时间内上传投标文件。</w:t>
      </w:r>
    </w:p>
    <w:p w14:paraId="460BA68E">
      <w:pPr>
        <w:keepNext w:val="0"/>
        <w:keepLines w:val="0"/>
        <w:pageBreakBefore w:val="0"/>
        <w:widowControl/>
        <w:kinsoku/>
        <w:wordWrap/>
        <w:overflowPunct/>
        <w:topLinePunct w:val="0"/>
        <w:autoSpaceDE/>
        <w:autoSpaceDN/>
        <w:bidi w:val="0"/>
        <w:adjustRightInd/>
        <w:snapToGrid w:val="0"/>
        <w:spacing w:line="436" w:lineRule="exact"/>
        <w:textAlignment w:val="baseline"/>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（2）在开标前，工作人员收取所有参会人员的手机，主持人宣读开标纪律。</w:t>
      </w:r>
    </w:p>
    <w:p w14:paraId="5EB0663B">
      <w:pPr>
        <w:keepNext w:val="0"/>
        <w:keepLines w:val="0"/>
        <w:pageBreakBefore w:val="0"/>
        <w:widowControl/>
        <w:kinsoku/>
        <w:wordWrap/>
        <w:overflowPunct/>
        <w:topLinePunct w:val="0"/>
        <w:autoSpaceDE/>
        <w:autoSpaceDN/>
        <w:bidi w:val="0"/>
        <w:adjustRightInd/>
        <w:snapToGrid w:val="0"/>
        <w:spacing w:line="436" w:lineRule="exact"/>
        <w:textAlignment w:val="baseline"/>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（3）开标时，由代理机构对供应商的投标文件进行解密，解密时间为30分钟。</w:t>
      </w:r>
    </w:p>
    <w:p w14:paraId="34AF121C">
      <w:pPr>
        <w:keepNext w:val="0"/>
        <w:keepLines w:val="0"/>
        <w:pageBreakBefore w:val="0"/>
        <w:widowControl/>
        <w:kinsoku/>
        <w:wordWrap/>
        <w:overflowPunct/>
        <w:topLinePunct w:val="0"/>
        <w:autoSpaceDE/>
        <w:autoSpaceDN/>
        <w:bidi w:val="0"/>
        <w:adjustRightInd/>
        <w:snapToGrid w:val="0"/>
        <w:spacing w:line="436" w:lineRule="exact"/>
        <w:textAlignment w:val="baseline"/>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（4）由代理机构开启报价，所有投标供应商签字确认。</w:t>
      </w:r>
    </w:p>
    <w:p w14:paraId="4C660F71">
      <w:pPr>
        <w:keepNext w:val="0"/>
        <w:keepLines w:val="0"/>
        <w:pageBreakBefore w:val="0"/>
        <w:widowControl/>
        <w:kinsoku/>
        <w:wordWrap/>
        <w:overflowPunct/>
        <w:topLinePunct w:val="0"/>
        <w:autoSpaceDE/>
        <w:autoSpaceDN/>
        <w:bidi w:val="0"/>
        <w:adjustRightInd/>
        <w:snapToGrid w:val="0"/>
        <w:spacing w:line="436" w:lineRule="exact"/>
        <w:textAlignment w:val="baseline"/>
        <w:rPr>
          <w:rFonts w:hint="eastAsia" w:ascii="微软雅黑" w:hAnsi="微软雅黑" w:eastAsia="微软雅黑" w:cs="微软雅黑"/>
          <w:b w:val="0"/>
          <w:i w:val="0"/>
          <w:caps w:val="0"/>
          <w:color w:val="auto"/>
          <w:spacing w:val="0"/>
          <w:w w:val="100"/>
          <w:sz w:val="22"/>
          <w:szCs w:val="22"/>
          <w:highlight w:val="none"/>
          <w:lang w:val="en-US" w:eastAsia="zh-CN"/>
        </w:rPr>
      </w:pPr>
      <w:r>
        <w:rPr>
          <w:rFonts w:hint="eastAsia" w:ascii="微软雅黑" w:hAnsi="微软雅黑" w:eastAsia="微软雅黑" w:cs="微软雅黑"/>
          <w:color w:val="auto"/>
          <w:sz w:val="22"/>
          <w:szCs w:val="22"/>
          <w:highlight w:val="none"/>
        </w:rPr>
        <w:t>（5）采购人或采购代理机构登录政采云平台对投标供应商的资格证明材料进行审查。</w:t>
      </w:r>
    </w:p>
    <w:p w14:paraId="763961FB">
      <w:pPr>
        <w:pStyle w:val="25"/>
        <w:keepNext w:val="0"/>
        <w:keepLines w:val="0"/>
        <w:pageBreakBefore w:val="0"/>
        <w:kinsoku/>
        <w:wordWrap/>
        <w:overflowPunct/>
        <w:topLinePunct w:val="0"/>
        <w:autoSpaceDE/>
        <w:autoSpaceDN/>
        <w:bidi w:val="0"/>
        <w:adjustRightInd/>
        <w:spacing w:line="436" w:lineRule="exact"/>
        <w:rPr>
          <w:rFonts w:hint="eastAsia" w:ascii="微软雅黑" w:hAnsi="微软雅黑" w:eastAsia="微软雅黑" w:cs="微软雅黑"/>
          <w:b/>
          <w:bCs/>
          <w:i w:val="0"/>
          <w:caps w:val="0"/>
          <w:color w:val="auto"/>
          <w:spacing w:val="0"/>
          <w:w w:val="100"/>
          <w:sz w:val="22"/>
          <w:szCs w:val="22"/>
          <w:highlight w:val="none"/>
          <w:lang w:val="en-US" w:eastAsia="zh-CN"/>
        </w:rPr>
      </w:pPr>
      <w:r>
        <w:rPr>
          <w:rFonts w:hint="eastAsia" w:ascii="微软雅黑" w:hAnsi="微软雅黑" w:eastAsia="微软雅黑" w:cs="微软雅黑"/>
          <w:b/>
          <w:bCs/>
          <w:i w:val="0"/>
          <w:caps w:val="0"/>
          <w:color w:val="auto"/>
          <w:spacing w:val="0"/>
          <w:w w:val="100"/>
          <w:sz w:val="22"/>
          <w:szCs w:val="22"/>
          <w:highlight w:val="none"/>
          <w:lang w:val="en-US" w:eastAsia="zh-CN"/>
        </w:rPr>
        <w:t>7.评标：</w:t>
      </w:r>
    </w:p>
    <w:p w14:paraId="4C581A22">
      <w:pPr>
        <w:pStyle w:val="25"/>
        <w:keepNext w:val="0"/>
        <w:keepLines w:val="0"/>
        <w:pageBreakBefore w:val="0"/>
        <w:numPr>
          <w:ilvl w:val="0"/>
          <w:numId w:val="0"/>
        </w:numPr>
        <w:kinsoku/>
        <w:wordWrap/>
        <w:overflowPunct/>
        <w:topLinePunct w:val="0"/>
        <w:autoSpaceDE/>
        <w:autoSpaceDN/>
        <w:bidi w:val="0"/>
        <w:adjustRightInd/>
        <w:spacing w:line="436" w:lineRule="exact"/>
        <w:ind w:leftChars="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eastAsia="zh-CN"/>
        </w:rPr>
        <w:t>（1）</w:t>
      </w:r>
      <w:r>
        <w:rPr>
          <w:rFonts w:hint="eastAsia" w:ascii="微软雅黑" w:hAnsi="微软雅黑" w:eastAsia="微软雅黑" w:cs="微软雅黑"/>
          <w:color w:val="auto"/>
          <w:sz w:val="22"/>
          <w:szCs w:val="22"/>
          <w:highlight w:val="none"/>
          <w:lang w:val="en-US" w:eastAsia="zh-CN"/>
        </w:rPr>
        <w:t>依法组建</w:t>
      </w:r>
      <w:r>
        <w:rPr>
          <w:rFonts w:hint="eastAsia" w:ascii="微软雅黑" w:hAnsi="微软雅黑" w:eastAsia="微软雅黑" w:cs="微软雅黑"/>
          <w:b/>
          <w:bCs/>
          <w:color w:val="auto"/>
          <w:sz w:val="22"/>
          <w:szCs w:val="22"/>
          <w:highlight w:val="none"/>
          <w:lang w:val="en-US" w:eastAsia="zh-CN"/>
        </w:rPr>
        <w:t>5名</w:t>
      </w:r>
      <w:r>
        <w:rPr>
          <w:rFonts w:hint="eastAsia" w:ascii="微软雅黑" w:hAnsi="微软雅黑" w:eastAsia="微软雅黑" w:cs="微软雅黑"/>
          <w:b/>
          <w:bCs/>
          <w:color w:val="auto"/>
          <w:sz w:val="22"/>
          <w:szCs w:val="22"/>
          <w:highlight w:val="none"/>
        </w:rPr>
        <w:t>评标委员会成员</w:t>
      </w:r>
      <w:r>
        <w:rPr>
          <w:rFonts w:hint="eastAsia" w:ascii="微软雅黑" w:hAnsi="微软雅黑" w:eastAsia="微软雅黑" w:cs="微软雅黑"/>
          <w:color w:val="auto"/>
          <w:sz w:val="22"/>
          <w:szCs w:val="22"/>
          <w:highlight w:val="none"/>
        </w:rPr>
        <w:t>，负责评标工作。</w:t>
      </w:r>
    </w:p>
    <w:p w14:paraId="3A9E60C0">
      <w:pPr>
        <w:pStyle w:val="25"/>
        <w:keepNext w:val="0"/>
        <w:keepLines w:val="0"/>
        <w:pageBreakBefore w:val="0"/>
        <w:numPr>
          <w:ilvl w:val="0"/>
          <w:numId w:val="0"/>
        </w:numPr>
        <w:kinsoku/>
        <w:wordWrap/>
        <w:overflowPunct/>
        <w:topLinePunct w:val="0"/>
        <w:autoSpaceDE/>
        <w:autoSpaceDN/>
        <w:bidi w:val="0"/>
        <w:adjustRightInd/>
        <w:spacing w:line="436" w:lineRule="exact"/>
        <w:ind w:leftChars="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（2）评标前，工作人员收取所有参会人员的手机，主持人宣读评标纪律。</w:t>
      </w:r>
    </w:p>
    <w:p w14:paraId="256A9E22">
      <w:pPr>
        <w:pStyle w:val="25"/>
        <w:keepNext w:val="0"/>
        <w:keepLines w:val="0"/>
        <w:pageBreakBefore w:val="0"/>
        <w:numPr>
          <w:ilvl w:val="0"/>
          <w:numId w:val="0"/>
        </w:numPr>
        <w:kinsoku/>
        <w:wordWrap/>
        <w:overflowPunct/>
        <w:topLinePunct w:val="0"/>
        <w:autoSpaceDE/>
        <w:autoSpaceDN/>
        <w:bidi w:val="0"/>
        <w:adjustRightInd/>
        <w:spacing w:line="436" w:lineRule="exact"/>
        <w:ind w:leftChars="0" w:firstLine="440" w:firstLineChars="2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val="en-US" w:eastAsia="zh-CN"/>
        </w:rPr>
        <w:t>对采购单位的纪律要求：</w:t>
      </w:r>
      <w:r>
        <w:rPr>
          <w:rFonts w:hint="eastAsia" w:ascii="微软雅黑" w:hAnsi="微软雅黑" w:eastAsia="微软雅黑" w:cs="微软雅黑"/>
          <w:color w:val="auto"/>
          <w:sz w:val="22"/>
          <w:szCs w:val="22"/>
          <w:highlight w:val="none"/>
          <w:lang w:eastAsia="zh-CN"/>
        </w:rPr>
        <w:t>采购单位不得泄露招投标活动中应当保密的情况和资料，不得与供应商串通损害国家利益、社会公共利益或者他人合法权益</w:t>
      </w:r>
    </w:p>
    <w:p w14:paraId="5FBAEEAF">
      <w:pPr>
        <w:pStyle w:val="25"/>
        <w:keepNext w:val="0"/>
        <w:keepLines w:val="0"/>
        <w:pageBreakBefore w:val="0"/>
        <w:numPr>
          <w:ilvl w:val="0"/>
          <w:numId w:val="0"/>
        </w:numPr>
        <w:kinsoku/>
        <w:wordWrap/>
        <w:overflowPunct/>
        <w:topLinePunct w:val="0"/>
        <w:autoSpaceDE/>
        <w:autoSpaceDN/>
        <w:bidi w:val="0"/>
        <w:adjustRightInd/>
        <w:spacing w:line="436" w:lineRule="exact"/>
        <w:ind w:leftChars="0" w:firstLine="440" w:firstLineChars="2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对与开标大会活动有关的工作人员的纪律要求：与开标大会活动有关的工作人员不得收受他人的财物或者其他好处，不得向他人透露对中标候选人的推荐情况以及评标有关的其他情况。</w:t>
      </w:r>
    </w:p>
    <w:p w14:paraId="51D61879">
      <w:pPr>
        <w:pStyle w:val="25"/>
        <w:keepNext w:val="0"/>
        <w:keepLines w:val="0"/>
        <w:pageBreakBefore w:val="0"/>
        <w:numPr>
          <w:ilvl w:val="0"/>
          <w:numId w:val="0"/>
        </w:numPr>
        <w:kinsoku/>
        <w:wordWrap/>
        <w:overflowPunct/>
        <w:topLinePunct w:val="0"/>
        <w:autoSpaceDE/>
        <w:autoSpaceDN/>
        <w:bidi w:val="0"/>
        <w:adjustRightInd/>
        <w:spacing w:line="436" w:lineRule="exact"/>
        <w:ind w:leftChars="0" w:firstLine="440" w:firstLineChars="2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对评标专家的评标纪律及注意事项：</w:t>
      </w:r>
    </w:p>
    <w:p w14:paraId="70C2C675">
      <w:pPr>
        <w:pStyle w:val="25"/>
        <w:keepNext w:val="0"/>
        <w:keepLines w:val="0"/>
        <w:pageBreakBefore w:val="0"/>
        <w:numPr>
          <w:ilvl w:val="0"/>
          <w:numId w:val="0"/>
        </w:numPr>
        <w:kinsoku/>
        <w:wordWrap/>
        <w:overflowPunct/>
        <w:topLinePunct w:val="0"/>
        <w:autoSpaceDE/>
        <w:autoSpaceDN/>
        <w:bidi w:val="0"/>
        <w:adjustRightInd/>
        <w:spacing w:line="436" w:lineRule="exact"/>
        <w:ind w:leftChars="0" w:firstLine="440" w:firstLineChars="2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①与本次评标工作无关的人员不得进入评标现场；</w:t>
      </w:r>
    </w:p>
    <w:p w14:paraId="7A27D3DB">
      <w:pPr>
        <w:pStyle w:val="25"/>
        <w:keepNext w:val="0"/>
        <w:keepLines w:val="0"/>
        <w:pageBreakBefore w:val="0"/>
        <w:numPr>
          <w:ilvl w:val="0"/>
          <w:numId w:val="0"/>
        </w:numPr>
        <w:kinsoku/>
        <w:wordWrap/>
        <w:overflowPunct/>
        <w:topLinePunct w:val="0"/>
        <w:autoSpaceDE/>
        <w:autoSpaceDN/>
        <w:bidi w:val="0"/>
        <w:adjustRightInd/>
        <w:spacing w:line="436" w:lineRule="exact"/>
        <w:ind w:leftChars="0" w:firstLine="440" w:firstLineChars="2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②在评标过程中评标委员会以外人员不得干预或影响正常评标工作，不得明示或暗示其倾向性、引导性言论；</w:t>
      </w:r>
    </w:p>
    <w:p w14:paraId="4EA0F1D7">
      <w:pPr>
        <w:pStyle w:val="25"/>
        <w:keepNext w:val="0"/>
        <w:keepLines w:val="0"/>
        <w:pageBreakBefore w:val="0"/>
        <w:numPr>
          <w:ilvl w:val="0"/>
          <w:numId w:val="0"/>
        </w:numPr>
        <w:kinsoku/>
        <w:wordWrap/>
        <w:overflowPunct/>
        <w:topLinePunct w:val="0"/>
        <w:autoSpaceDE/>
        <w:autoSpaceDN/>
        <w:bidi w:val="0"/>
        <w:adjustRightInd/>
        <w:spacing w:line="436" w:lineRule="exact"/>
        <w:ind w:leftChars="0" w:firstLine="440" w:firstLineChars="2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③评标委员会成员要严格遵守政府采购法、政府采购法实施条例、政府采购货物和服务招标投标管理办法及评标专家管理办法，要求公正、公平的参与评标工作；</w:t>
      </w:r>
    </w:p>
    <w:p w14:paraId="13BB8817">
      <w:pPr>
        <w:pStyle w:val="25"/>
        <w:keepNext w:val="0"/>
        <w:keepLines w:val="0"/>
        <w:pageBreakBefore w:val="0"/>
        <w:numPr>
          <w:ilvl w:val="0"/>
          <w:numId w:val="0"/>
        </w:numPr>
        <w:kinsoku/>
        <w:wordWrap/>
        <w:overflowPunct/>
        <w:topLinePunct w:val="0"/>
        <w:autoSpaceDE/>
        <w:autoSpaceDN/>
        <w:bidi w:val="0"/>
        <w:adjustRightInd/>
        <w:spacing w:line="436" w:lineRule="exact"/>
        <w:ind w:leftChars="0" w:firstLine="440" w:firstLineChars="2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④评标委员会成员要依法独立评标，并对评标意见承担个人责任。评标委员会成员对需要共同认定的事项存在争议的，按照少数服从多数的原则做出结论。持不同意见的评标委员会成员应当在评标报告上签署不同意见并说明理由，否则视为同意。</w:t>
      </w:r>
    </w:p>
    <w:p w14:paraId="6028155D">
      <w:pPr>
        <w:pStyle w:val="25"/>
        <w:keepNext w:val="0"/>
        <w:keepLines w:val="0"/>
        <w:pageBreakBefore w:val="0"/>
        <w:numPr>
          <w:ilvl w:val="0"/>
          <w:numId w:val="0"/>
        </w:numPr>
        <w:kinsoku/>
        <w:wordWrap/>
        <w:overflowPunct/>
        <w:topLinePunct w:val="0"/>
        <w:autoSpaceDE/>
        <w:autoSpaceDN/>
        <w:bidi w:val="0"/>
        <w:adjustRightInd/>
        <w:spacing w:line="436" w:lineRule="exact"/>
        <w:ind w:leftChars="0" w:firstLine="440" w:firstLineChars="2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⑤评标委员会成员要认真阅读招标文件和所有供应商的投标文件，对所有投标文件逐一进行资格性、符合性检查，按招标文件规定的评标方法和标准，进行比较和评价；对需要借助专业知识评判的主观评分项，应当严格按照评分细则公正评分。</w:t>
      </w:r>
    </w:p>
    <w:p w14:paraId="44BF7F55">
      <w:pPr>
        <w:pStyle w:val="25"/>
        <w:keepNext w:val="0"/>
        <w:keepLines w:val="0"/>
        <w:pageBreakBefore w:val="0"/>
        <w:numPr>
          <w:ilvl w:val="0"/>
          <w:numId w:val="0"/>
        </w:numPr>
        <w:kinsoku/>
        <w:wordWrap/>
        <w:overflowPunct/>
        <w:topLinePunct w:val="0"/>
        <w:autoSpaceDE/>
        <w:autoSpaceDN/>
        <w:bidi w:val="0"/>
        <w:adjustRightInd/>
        <w:snapToGrid w:val="0"/>
        <w:spacing w:line="500" w:lineRule="exact"/>
        <w:ind w:leftChars="0" w:firstLine="440" w:firstLineChars="2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⑥评标委员会成员不得明示或者暗示其倾向性、引导性意见，不得修改或细化投标文件确定的评标程序、评标方法、评标因素和评标标准，不得接受供应商主动提出的澄清和解释，不得征询采购单位代表的倾向性意见，不得协商评分，不得记录、复制或带走任何评标资料。</w:t>
      </w:r>
    </w:p>
    <w:p w14:paraId="7E42C336">
      <w:pPr>
        <w:pStyle w:val="25"/>
        <w:keepNext w:val="0"/>
        <w:keepLines w:val="0"/>
        <w:pageBreakBefore w:val="0"/>
        <w:numPr>
          <w:ilvl w:val="0"/>
          <w:numId w:val="0"/>
        </w:numPr>
        <w:kinsoku/>
        <w:wordWrap/>
        <w:overflowPunct/>
        <w:topLinePunct w:val="0"/>
        <w:autoSpaceDE/>
        <w:autoSpaceDN/>
        <w:bidi w:val="0"/>
        <w:adjustRightInd/>
        <w:snapToGrid w:val="0"/>
        <w:spacing w:line="500" w:lineRule="exact"/>
        <w:ind w:leftChars="0" w:firstLine="440" w:firstLineChars="2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⑦评标专家与供应商有下列利害关系之一的人员，应当回避：</w:t>
      </w:r>
    </w:p>
    <w:p w14:paraId="578819F4">
      <w:pPr>
        <w:pStyle w:val="25"/>
        <w:keepNext w:val="0"/>
        <w:keepLines w:val="0"/>
        <w:pageBreakBefore w:val="0"/>
        <w:numPr>
          <w:ilvl w:val="0"/>
          <w:numId w:val="0"/>
        </w:numPr>
        <w:kinsoku/>
        <w:wordWrap/>
        <w:overflowPunct/>
        <w:topLinePunct w:val="0"/>
        <w:autoSpaceDE/>
        <w:autoSpaceDN/>
        <w:bidi w:val="0"/>
        <w:adjustRightInd/>
        <w:snapToGrid w:val="0"/>
        <w:spacing w:line="500" w:lineRule="exact"/>
        <w:ind w:leftChars="0" w:firstLine="440" w:firstLineChars="2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参加采购活动前3年内与供应商存在劳动关系；</w:t>
      </w:r>
    </w:p>
    <w:p w14:paraId="0A4FDEE8">
      <w:pPr>
        <w:pStyle w:val="25"/>
        <w:keepNext w:val="0"/>
        <w:keepLines w:val="0"/>
        <w:pageBreakBefore w:val="0"/>
        <w:numPr>
          <w:ilvl w:val="0"/>
          <w:numId w:val="0"/>
        </w:numPr>
        <w:kinsoku/>
        <w:wordWrap/>
        <w:overflowPunct/>
        <w:topLinePunct w:val="0"/>
        <w:autoSpaceDE/>
        <w:autoSpaceDN/>
        <w:bidi w:val="0"/>
        <w:adjustRightInd/>
        <w:snapToGrid w:val="0"/>
        <w:spacing w:line="500" w:lineRule="exact"/>
        <w:ind w:leftChars="0" w:firstLine="440" w:firstLineChars="2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参加采购活动前3年内担任供应商的董事、监事；</w:t>
      </w:r>
    </w:p>
    <w:p w14:paraId="5BFD623E">
      <w:pPr>
        <w:pStyle w:val="25"/>
        <w:keepNext w:val="0"/>
        <w:keepLines w:val="0"/>
        <w:pageBreakBefore w:val="0"/>
        <w:numPr>
          <w:ilvl w:val="0"/>
          <w:numId w:val="0"/>
        </w:numPr>
        <w:kinsoku/>
        <w:wordWrap/>
        <w:overflowPunct/>
        <w:topLinePunct w:val="0"/>
        <w:autoSpaceDE/>
        <w:autoSpaceDN/>
        <w:bidi w:val="0"/>
        <w:adjustRightInd/>
        <w:snapToGrid w:val="0"/>
        <w:spacing w:line="500" w:lineRule="exact"/>
        <w:ind w:leftChars="0" w:firstLine="440" w:firstLineChars="2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参加采购活动前3年内是供应商的控股股东或者实际控制人；</w:t>
      </w:r>
    </w:p>
    <w:p w14:paraId="37C13936">
      <w:pPr>
        <w:pStyle w:val="25"/>
        <w:keepNext w:val="0"/>
        <w:keepLines w:val="0"/>
        <w:pageBreakBefore w:val="0"/>
        <w:numPr>
          <w:ilvl w:val="0"/>
          <w:numId w:val="0"/>
        </w:numPr>
        <w:kinsoku/>
        <w:wordWrap/>
        <w:overflowPunct/>
        <w:topLinePunct w:val="0"/>
        <w:autoSpaceDE/>
        <w:autoSpaceDN/>
        <w:bidi w:val="0"/>
        <w:adjustRightInd/>
        <w:snapToGrid w:val="0"/>
        <w:spacing w:line="500" w:lineRule="exact"/>
        <w:ind w:leftChars="0" w:firstLine="440" w:firstLineChars="2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与供应商的法定代表人或者负责人有夫妻、直系血亲、三代以内旁系血亲或者近姻亲关系。</w:t>
      </w:r>
    </w:p>
    <w:p w14:paraId="65C6B389">
      <w:pPr>
        <w:pStyle w:val="25"/>
        <w:keepNext w:val="0"/>
        <w:keepLines w:val="0"/>
        <w:pageBreakBefore w:val="0"/>
        <w:numPr>
          <w:ilvl w:val="0"/>
          <w:numId w:val="0"/>
        </w:numPr>
        <w:kinsoku/>
        <w:wordWrap/>
        <w:overflowPunct/>
        <w:topLinePunct w:val="0"/>
        <w:autoSpaceDE/>
        <w:autoSpaceDN/>
        <w:bidi w:val="0"/>
        <w:adjustRightInd/>
        <w:snapToGrid w:val="0"/>
        <w:spacing w:line="500" w:lineRule="exact"/>
        <w:ind w:leftChars="0"/>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eastAsia="zh-CN"/>
        </w:rPr>
        <w:t>（3）评标委员会应当按照招标文件中规定的评标方法和标准，对所有通过资格审查要求的投标供应商的投标文件，进行符合性审查，以确定是否满足招标文件的实质性要求。</w:t>
      </w:r>
    </w:p>
    <w:p w14:paraId="49668279">
      <w:pPr>
        <w:pStyle w:val="25"/>
        <w:keepNext w:val="0"/>
        <w:keepLines w:val="0"/>
        <w:pageBreakBefore w:val="0"/>
        <w:numPr>
          <w:ilvl w:val="0"/>
          <w:numId w:val="0"/>
        </w:numPr>
        <w:kinsoku/>
        <w:wordWrap/>
        <w:overflowPunct/>
        <w:topLinePunct w:val="0"/>
        <w:autoSpaceDE/>
        <w:autoSpaceDN/>
        <w:bidi w:val="0"/>
        <w:adjustRightInd/>
        <w:snapToGrid w:val="0"/>
        <w:spacing w:line="500" w:lineRule="exact"/>
        <w:ind w:leftChars="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4）若对于投标文件中含义不明确、同类问题表述不一致或者有明显文字和计算错误的内容，评标委员会应当以书面形式要求供应商作出必要的澄清、说明或者补正。供应商的澄清、说明或者补正应当采用书面形式，并加盖公章，或者由法定代表人或其授权的代表签字。供应商的澄清、说明或者补正不得超出投标文件的范围或者改变投标文件的实质性内容。</w:t>
      </w:r>
    </w:p>
    <w:p w14:paraId="0A3C70F7">
      <w:pPr>
        <w:pStyle w:val="25"/>
        <w:keepNext w:val="0"/>
        <w:keepLines w:val="0"/>
        <w:pageBreakBefore w:val="0"/>
        <w:numPr>
          <w:ilvl w:val="0"/>
          <w:numId w:val="0"/>
        </w:numPr>
        <w:kinsoku/>
        <w:wordWrap/>
        <w:overflowPunct/>
        <w:topLinePunct w:val="0"/>
        <w:autoSpaceDE/>
        <w:autoSpaceDN/>
        <w:bidi w:val="0"/>
        <w:adjustRightInd/>
        <w:snapToGrid w:val="0"/>
        <w:spacing w:line="500" w:lineRule="exact"/>
        <w:ind w:leftChars="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5）评标委员会应当按照招标文件中规定的评标方法和标准，对符合性审查合格的投标文件进行商务和技术评估，综合比较与评价。综合评分法，是指投标文件满足招标文件全部实质性要求，且按照评审因素的量化指标评审得分最高的供应商为中标候选人的评标方法。</w:t>
      </w:r>
    </w:p>
    <w:p w14:paraId="7F0AC023">
      <w:pPr>
        <w:pStyle w:val="25"/>
        <w:keepNext w:val="0"/>
        <w:keepLines w:val="0"/>
        <w:pageBreakBefore w:val="0"/>
        <w:numPr>
          <w:ilvl w:val="0"/>
          <w:numId w:val="0"/>
        </w:numPr>
        <w:kinsoku/>
        <w:wordWrap/>
        <w:overflowPunct/>
        <w:topLinePunct w:val="0"/>
        <w:autoSpaceDE/>
        <w:autoSpaceDN/>
        <w:bidi w:val="0"/>
        <w:adjustRightInd/>
        <w:snapToGrid w:val="0"/>
        <w:spacing w:line="500" w:lineRule="exact"/>
        <w:ind w:leftChars="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（6）评标委员会成员对需要共同认定的事项存在争议的，应当按照少数服从多数的原则作出结论。持不同意见的评标委员会成员应当在评标报告上签署不同意见及理由，否则视为同意评标报告。</w:t>
      </w:r>
    </w:p>
    <w:p w14:paraId="34AF687B">
      <w:pPr>
        <w:pStyle w:val="25"/>
        <w:keepNext w:val="0"/>
        <w:keepLines w:val="0"/>
        <w:pageBreakBefore w:val="0"/>
        <w:numPr>
          <w:ilvl w:val="0"/>
          <w:numId w:val="0"/>
        </w:numPr>
        <w:kinsoku/>
        <w:wordWrap/>
        <w:overflowPunct/>
        <w:topLinePunct w:val="0"/>
        <w:autoSpaceDE/>
        <w:autoSpaceDN/>
        <w:bidi w:val="0"/>
        <w:adjustRightInd/>
        <w:snapToGrid w:val="0"/>
        <w:spacing w:line="500" w:lineRule="exact"/>
        <w:ind w:leftChars="0"/>
        <w:rPr>
          <w:rFonts w:hint="eastAsia" w:ascii="微软雅黑" w:hAnsi="微软雅黑" w:eastAsia="微软雅黑" w:cs="微软雅黑"/>
          <w:b/>
          <w:bCs/>
          <w:color w:val="auto"/>
          <w:sz w:val="22"/>
          <w:szCs w:val="22"/>
          <w:highlight w:val="none"/>
          <w:lang w:val="en-US" w:eastAsia="zh-CN"/>
        </w:rPr>
      </w:pPr>
      <w:r>
        <w:rPr>
          <w:rFonts w:hint="eastAsia" w:ascii="微软雅黑" w:hAnsi="微软雅黑" w:eastAsia="微软雅黑" w:cs="微软雅黑"/>
          <w:b/>
          <w:bCs/>
          <w:color w:val="auto"/>
          <w:sz w:val="22"/>
          <w:szCs w:val="22"/>
          <w:highlight w:val="none"/>
          <w:lang w:val="en-US" w:eastAsia="zh-CN"/>
        </w:rPr>
        <w:t>注：现场所有参会人员均要对开标内容进行保密。</w:t>
      </w:r>
    </w:p>
    <w:p w14:paraId="320E6303">
      <w:pPr>
        <w:pStyle w:val="25"/>
        <w:keepNext w:val="0"/>
        <w:keepLines w:val="0"/>
        <w:pageBreakBefore w:val="0"/>
        <w:shd w:val="clear" w:color="auto" w:fill="auto"/>
        <w:kinsoku/>
        <w:wordWrap/>
        <w:overflowPunct/>
        <w:topLinePunct w:val="0"/>
        <w:autoSpaceDE/>
        <w:autoSpaceDN/>
        <w:bidi w:val="0"/>
        <w:adjustRightInd/>
        <w:snapToGrid w:val="0"/>
        <w:spacing w:line="500" w:lineRule="exact"/>
        <w:rPr>
          <w:rFonts w:hint="eastAsia" w:ascii="微软雅黑" w:hAnsi="微软雅黑" w:eastAsia="微软雅黑" w:cs="微软雅黑"/>
          <w:b/>
          <w:bCs/>
          <w:color w:val="auto"/>
          <w:sz w:val="22"/>
          <w:szCs w:val="22"/>
          <w:highlight w:val="none"/>
          <w:lang w:val="en-US" w:eastAsia="zh-CN"/>
        </w:rPr>
      </w:pPr>
      <w:r>
        <w:rPr>
          <w:rFonts w:hint="eastAsia" w:ascii="微软雅黑" w:hAnsi="微软雅黑" w:eastAsia="微软雅黑" w:cs="微软雅黑"/>
          <w:b/>
          <w:bCs/>
          <w:color w:val="auto"/>
          <w:sz w:val="22"/>
          <w:szCs w:val="22"/>
          <w:highlight w:val="none"/>
          <w:lang w:val="en-US" w:eastAsia="zh-CN"/>
        </w:rPr>
        <w:t>8.答疑澄清：</w:t>
      </w:r>
    </w:p>
    <w:p w14:paraId="28029B65">
      <w:pPr>
        <w:pStyle w:val="25"/>
        <w:keepNext w:val="0"/>
        <w:keepLines w:val="0"/>
        <w:pageBreakBefore w:val="0"/>
        <w:numPr>
          <w:ilvl w:val="0"/>
          <w:numId w:val="0"/>
        </w:numPr>
        <w:kinsoku/>
        <w:wordWrap/>
        <w:overflowPunct/>
        <w:topLinePunct w:val="0"/>
        <w:autoSpaceDE/>
        <w:autoSpaceDN/>
        <w:bidi w:val="0"/>
        <w:adjustRightInd/>
        <w:spacing w:line="436" w:lineRule="exact"/>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（1）评标委员会对于投标文件中含义不明确、同类问题表述不一致或者有明显文字和计算错误的内容，要求投标人以书面形式现场作出必要的澄清、说明或者补正。</w:t>
      </w:r>
    </w:p>
    <w:p w14:paraId="482BD560">
      <w:pPr>
        <w:pStyle w:val="25"/>
        <w:keepNext w:val="0"/>
        <w:keepLines w:val="0"/>
        <w:pageBreakBefore w:val="0"/>
        <w:numPr>
          <w:ilvl w:val="0"/>
          <w:numId w:val="0"/>
        </w:numPr>
        <w:kinsoku/>
        <w:wordWrap/>
        <w:overflowPunct/>
        <w:topLinePunct w:val="0"/>
        <w:autoSpaceDE/>
        <w:autoSpaceDN/>
        <w:bidi w:val="0"/>
        <w:adjustRightInd/>
        <w:spacing w:line="436" w:lineRule="exact"/>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（2）投标人的澄清、说明或者补正应当采用书面形式，并加盖公章，或者由法定代表人或其授权的代表签字。投标人的澄清、说明或者补正不得超出投标文件的范围或者改变投标文件的实质性内容。</w:t>
      </w:r>
    </w:p>
    <w:p w14:paraId="4F819415">
      <w:pPr>
        <w:pStyle w:val="25"/>
        <w:keepNext w:val="0"/>
        <w:keepLines w:val="0"/>
        <w:pageBreakBefore w:val="0"/>
        <w:numPr>
          <w:ilvl w:val="0"/>
          <w:numId w:val="0"/>
        </w:numPr>
        <w:kinsoku/>
        <w:wordWrap/>
        <w:overflowPunct/>
        <w:topLinePunct w:val="0"/>
        <w:autoSpaceDE/>
        <w:autoSpaceDN/>
        <w:bidi w:val="0"/>
        <w:adjustRightInd/>
        <w:snapToGrid w:val="0"/>
        <w:spacing w:line="498" w:lineRule="exact"/>
        <w:rPr>
          <w:rFonts w:hint="eastAsia" w:ascii="微软雅黑" w:hAnsi="微软雅黑" w:eastAsia="微软雅黑" w:cs="微软雅黑"/>
          <w:b/>
          <w:bCs/>
          <w:color w:val="auto"/>
          <w:sz w:val="22"/>
          <w:szCs w:val="22"/>
          <w:highlight w:val="none"/>
          <w:lang w:val="en-US" w:eastAsia="zh-CN"/>
        </w:rPr>
      </w:pPr>
      <w:r>
        <w:rPr>
          <w:rFonts w:hint="eastAsia" w:ascii="微软雅黑" w:hAnsi="微软雅黑" w:eastAsia="微软雅黑" w:cs="微软雅黑"/>
          <w:b/>
          <w:bCs/>
          <w:color w:val="auto"/>
          <w:sz w:val="22"/>
          <w:szCs w:val="22"/>
          <w:highlight w:val="none"/>
          <w:lang w:val="en-US" w:eastAsia="zh-CN"/>
        </w:rPr>
        <w:t>9.定标：</w:t>
      </w:r>
    </w:p>
    <w:p w14:paraId="33DF27E3">
      <w:pPr>
        <w:pStyle w:val="25"/>
        <w:keepNext w:val="0"/>
        <w:keepLines w:val="0"/>
        <w:pageBreakBefore w:val="0"/>
        <w:numPr>
          <w:ilvl w:val="0"/>
          <w:numId w:val="0"/>
        </w:numPr>
        <w:kinsoku/>
        <w:wordWrap/>
        <w:overflowPunct/>
        <w:topLinePunct w:val="0"/>
        <w:autoSpaceDE/>
        <w:autoSpaceDN/>
        <w:bidi w:val="0"/>
        <w:adjustRightInd/>
        <w:snapToGrid w:val="0"/>
        <w:spacing w:line="498" w:lineRule="exact"/>
        <w:ind w:leftChars="0"/>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（1）采购代理机构应当在评标结束后2个工作日内将评标报告送采购人。</w:t>
      </w:r>
    </w:p>
    <w:p w14:paraId="1E18C16E">
      <w:pPr>
        <w:pStyle w:val="25"/>
        <w:keepNext w:val="0"/>
        <w:keepLines w:val="0"/>
        <w:pageBreakBefore w:val="0"/>
        <w:numPr>
          <w:ilvl w:val="0"/>
          <w:numId w:val="0"/>
        </w:numPr>
        <w:kinsoku/>
        <w:wordWrap/>
        <w:overflowPunct/>
        <w:topLinePunct w:val="0"/>
        <w:autoSpaceDE/>
        <w:autoSpaceDN/>
        <w:bidi w:val="0"/>
        <w:adjustRightInd/>
        <w:snapToGrid w:val="0"/>
        <w:spacing w:line="498" w:lineRule="exact"/>
        <w:ind w:leftChars="0"/>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（2）采购人应当自收到评标报告之日起5个工作日内，在评标报告确定的中标候选人名单中按顺序确定中标人。中标候选人并列的，由采购人按照招标文件规定的方式确定中标人。</w:t>
      </w:r>
    </w:p>
    <w:p w14:paraId="1988FD94">
      <w:pPr>
        <w:pStyle w:val="25"/>
        <w:keepNext w:val="0"/>
        <w:keepLines w:val="0"/>
        <w:pageBreakBefore w:val="0"/>
        <w:numPr>
          <w:ilvl w:val="0"/>
          <w:numId w:val="0"/>
        </w:numPr>
        <w:kinsoku/>
        <w:wordWrap/>
        <w:overflowPunct/>
        <w:topLinePunct w:val="0"/>
        <w:autoSpaceDE/>
        <w:autoSpaceDN/>
        <w:bidi w:val="0"/>
        <w:adjustRightInd/>
        <w:snapToGrid w:val="0"/>
        <w:spacing w:line="498" w:lineRule="exact"/>
        <w:ind w:leftChars="0"/>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（3）采购人在收到评标报告5个工作日内未按评标报告推荐的中标候选人顺序确定中标人，又不能说明合法理由的，视同按评标报告推荐的顺序确定排名第一的中标候选人为中标人。</w:t>
      </w:r>
    </w:p>
    <w:p w14:paraId="1BA1FF64">
      <w:pPr>
        <w:pStyle w:val="25"/>
        <w:keepNext w:val="0"/>
        <w:keepLines w:val="0"/>
        <w:pageBreakBefore w:val="0"/>
        <w:numPr>
          <w:ilvl w:val="0"/>
          <w:numId w:val="0"/>
        </w:numPr>
        <w:kinsoku/>
        <w:wordWrap/>
        <w:overflowPunct/>
        <w:topLinePunct w:val="0"/>
        <w:autoSpaceDE/>
        <w:autoSpaceDN/>
        <w:bidi w:val="0"/>
        <w:adjustRightInd/>
        <w:snapToGrid w:val="0"/>
        <w:spacing w:line="498" w:lineRule="exact"/>
        <w:ind w:leftChars="0"/>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4）同品牌处理办法：采用综合评标法，则：提供相同品牌产品且通过资格审查、符合性审查的不同供应商参加同一合同项下投标的，按一家供应商计算，评审后得分最高的同品牌供应商获得中标人推荐资格;评审得分相同的，由采购人或者采购人委托评标委员会按照招标文件规定的方式确定一个供应商获得中标人推荐资格，招标文件未规定的采取随机抽取方式确定，其他同品牌供应商不作为中标候选人。</w:t>
      </w:r>
    </w:p>
    <w:p w14:paraId="1B5648D0">
      <w:pPr>
        <w:pStyle w:val="25"/>
        <w:keepNext w:val="0"/>
        <w:keepLines w:val="0"/>
        <w:pageBreakBefore w:val="0"/>
        <w:numPr>
          <w:ilvl w:val="0"/>
          <w:numId w:val="0"/>
        </w:numPr>
        <w:kinsoku/>
        <w:wordWrap/>
        <w:overflowPunct/>
        <w:topLinePunct w:val="0"/>
        <w:autoSpaceDE/>
        <w:autoSpaceDN/>
        <w:bidi w:val="0"/>
        <w:adjustRightInd/>
        <w:snapToGrid w:val="0"/>
        <w:spacing w:line="498" w:lineRule="exact"/>
        <w:ind w:leftChars="0"/>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5）中标候选人并列式时的处理方式：采用综合评标法，则：评标结果按评审后得分由高到低顺序排列。得分相同的，按投标报价由低到高顺序排列。得分且投标报价相同的并列。投标文件满足投标文件全部实质性要求，且按照评审因素的量化指标评审得分最高的供应商为排名第一的中标候选人。</w:t>
      </w:r>
    </w:p>
    <w:p w14:paraId="1BF3B08C">
      <w:pPr>
        <w:pStyle w:val="25"/>
        <w:rPr>
          <w:rFonts w:hint="eastAsia" w:ascii="微软雅黑" w:hAnsi="微软雅黑" w:eastAsia="微软雅黑" w:cs="微软雅黑"/>
          <w:b w:val="0"/>
          <w:i w:val="0"/>
          <w:caps w:val="0"/>
          <w:color w:val="auto"/>
          <w:spacing w:val="0"/>
          <w:w w:val="100"/>
          <w:kern w:val="2"/>
          <w:sz w:val="22"/>
          <w:szCs w:val="22"/>
          <w:highlight w:val="none"/>
          <w:lang w:val="en-US" w:eastAsia="zh-CN" w:bidi="ar-SA"/>
        </w:rPr>
      </w:pPr>
    </w:p>
    <w:p w14:paraId="0E444A75">
      <w:pPr>
        <w:pStyle w:val="25"/>
        <w:rPr>
          <w:rFonts w:hint="eastAsia" w:ascii="微软雅黑" w:hAnsi="微软雅黑" w:eastAsia="微软雅黑" w:cs="微软雅黑"/>
          <w:b w:val="0"/>
          <w:i w:val="0"/>
          <w:caps w:val="0"/>
          <w:color w:val="auto"/>
          <w:spacing w:val="0"/>
          <w:w w:val="100"/>
          <w:kern w:val="2"/>
          <w:sz w:val="22"/>
          <w:szCs w:val="22"/>
          <w:highlight w:val="none"/>
          <w:lang w:val="en-US" w:eastAsia="zh-CN" w:bidi="ar-SA"/>
        </w:rPr>
      </w:pPr>
    </w:p>
    <w:p w14:paraId="561F7B1B">
      <w:pPr>
        <w:pStyle w:val="25"/>
        <w:rPr>
          <w:rFonts w:hint="eastAsia" w:ascii="微软雅黑" w:hAnsi="微软雅黑" w:eastAsia="微软雅黑" w:cs="微软雅黑"/>
          <w:b w:val="0"/>
          <w:i w:val="0"/>
          <w:caps w:val="0"/>
          <w:color w:val="auto"/>
          <w:spacing w:val="0"/>
          <w:w w:val="100"/>
          <w:kern w:val="2"/>
          <w:sz w:val="22"/>
          <w:szCs w:val="22"/>
          <w:highlight w:val="none"/>
          <w:lang w:val="en-US" w:eastAsia="zh-CN" w:bidi="ar-SA"/>
        </w:rPr>
      </w:pPr>
    </w:p>
    <w:p w14:paraId="40FA3BAB">
      <w:pPr>
        <w:pStyle w:val="25"/>
        <w:rPr>
          <w:rFonts w:hint="eastAsia" w:ascii="微软雅黑" w:hAnsi="微软雅黑" w:eastAsia="微软雅黑" w:cs="微软雅黑"/>
          <w:b w:val="0"/>
          <w:i w:val="0"/>
          <w:caps w:val="0"/>
          <w:color w:val="auto"/>
          <w:spacing w:val="0"/>
          <w:w w:val="100"/>
          <w:kern w:val="2"/>
          <w:sz w:val="22"/>
          <w:szCs w:val="22"/>
          <w:highlight w:val="none"/>
          <w:lang w:val="en-US" w:eastAsia="zh-CN" w:bidi="ar-SA"/>
        </w:rPr>
      </w:pPr>
    </w:p>
    <w:p w14:paraId="75200A7F">
      <w:pPr>
        <w:pStyle w:val="25"/>
        <w:rPr>
          <w:rFonts w:hint="eastAsia" w:ascii="微软雅黑" w:hAnsi="微软雅黑" w:eastAsia="微软雅黑" w:cs="微软雅黑"/>
          <w:b w:val="0"/>
          <w:i w:val="0"/>
          <w:caps w:val="0"/>
          <w:color w:val="auto"/>
          <w:spacing w:val="0"/>
          <w:w w:val="100"/>
          <w:kern w:val="2"/>
          <w:sz w:val="22"/>
          <w:szCs w:val="22"/>
          <w:highlight w:val="none"/>
          <w:lang w:val="en-US" w:eastAsia="zh-CN" w:bidi="ar-SA"/>
        </w:rPr>
      </w:pPr>
    </w:p>
    <w:p w14:paraId="2D762D59">
      <w:pPr>
        <w:rPr>
          <w:rFonts w:hint="eastAsia" w:ascii="微软雅黑" w:hAnsi="微软雅黑" w:eastAsia="微软雅黑" w:cs="微软雅黑"/>
          <w:color w:val="auto"/>
          <w:sz w:val="20"/>
          <w:szCs w:val="22"/>
          <w:highlight w:val="none"/>
        </w:rPr>
      </w:pPr>
      <w:bookmarkStart w:id="2006" w:name="_Toc10419"/>
      <w:bookmarkStart w:id="2007" w:name="_Toc1327"/>
      <w:bookmarkStart w:id="2008" w:name="_Toc21578"/>
      <w:bookmarkStart w:id="2009" w:name="_Toc28782"/>
      <w:bookmarkStart w:id="2010" w:name="_Toc5776"/>
      <w:bookmarkStart w:id="2011" w:name="_Toc5986"/>
      <w:bookmarkStart w:id="2012" w:name="_Toc5478"/>
      <w:bookmarkStart w:id="2013" w:name="_Toc29085"/>
      <w:bookmarkStart w:id="2014" w:name="_Toc23103"/>
      <w:bookmarkStart w:id="2015" w:name="_Toc9116"/>
      <w:bookmarkStart w:id="2016" w:name="_Toc9835"/>
      <w:bookmarkStart w:id="2017" w:name="_Toc397"/>
      <w:bookmarkStart w:id="2018" w:name="_Toc7467"/>
      <w:bookmarkStart w:id="2019" w:name="_Toc21866"/>
      <w:bookmarkStart w:id="2020" w:name="_Toc6128"/>
      <w:bookmarkStart w:id="2021" w:name="_Toc5578"/>
      <w:bookmarkStart w:id="2022" w:name="_Toc19412"/>
      <w:bookmarkStart w:id="2023" w:name="_Toc25901"/>
      <w:r>
        <w:rPr>
          <w:rFonts w:hint="eastAsia" w:ascii="微软雅黑" w:hAnsi="微软雅黑" w:eastAsia="微软雅黑" w:cs="微软雅黑"/>
          <w:color w:val="auto"/>
          <w:sz w:val="20"/>
          <w:szCs w:val="22"/>
          <w:highlight w:val="none"/>
        </w:rPr>
        <w:br w:type="page"/>
      </w:r>
    </w:p>
    <w:p w14:paraId="2B5F2FAF">
      <w:pPr>
        <w:pStyle w:val="6"/>
        <w:jc w:val="center"/>
        <w:rPr>
          <w:rFonts w:hint="eastAsia" w:ascii="微软雅黑" w:hAnsi="微软雅黑" w:eastAsia="微软雅黑" w:cs="微软雅黑"/>
          <w:color w:val="auto"/>
          <w:sz w:val="28"/>
          <w:szCs w:val="18"/>
          <w:highlight w:val="none"/>
        </w:rPr>
      </w:pPr>
      <w:bookmarkStart w:id="2024" w:name="_Toc24284"/>
      <w:r>
        <w:rPr>
          <w:rFonts w:hint="eastAsia" w:ascii="微软雅黑" w:hAnsi="微软雅黑" w:eastAsia="微软雅黑" w:cs="微软雅黑"/>
          <w:color w:val="auto"/>
          <w:sz w:val="28"/>
          <w:szCs w:val="18"/>
          <w:highlight w:val="none"/>
        </w:rPr>
        <w:t>初步评审—资格性审查表</w:t>
      </w:r>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p>
    <w:tbl>
      <w:tblPr>
        <w:tblStyle w:val="31"/>
        <w:tblpPr w:leftFromText="180" w:rightFromText="180" w:vertAnchor="text" w:horzAnchor="page" w:tblpXSpec="center" w:tblpY="234"/>
        <w:tblOverlap w:val="never"/>
        <w:tblW w:w="105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7486"/>
        <w:gridCol w:w="851"/>
        <w:gridCol w:w="706"/>
        <w:gridCol w:w="722"/>
      </w:tblGrid>
      <w:tr w14:paraId="3E139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767" w:type="dxa"/>
            <w:vMerge w:val="restart"/>
            <w:vAlign w:val="center"/>
          </w:tcPr>
          <w:p w14:paraId="3B24616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序号</w:t>
            </w:r>
          </w:p>
        </w:tc>
        <w:tc>
          <w:tcPr>
            <w:tcW w:w="7486" w:type="dxa"/>
            <w:vMerge w:val="restart"/>
            <w:vAlign w:val="center"/>
          </w:tcPr>
          <w:p w14:paraId="7AC9A39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评审内容</w:t>
            </w:r>
          </w:p>
        </w:tc>
        <w:tc>
          <w:tcPr>
            <w:tcW w:w="2279" w:type="dxa"/>
            <w:gridSpan w:val="3"/>
            <w:vAlign w:val="center"/>
          </w:tcPr>
          <w:p w14:paraId="1D6F71E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供应商</w:t>
            </w:r>
          </w:p>
        </w:tc>
      </w:tr>
      <w:tr w14:paraId="287A5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67" w:type="dxa"/>
            <w:vMerge w:val="continue"/>
            <w:vAlign w:val="center"/>
          </w:tcPr>
          <w:p w14:paraId="272F739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b/>
                <w:bCs/>
                <w:color w:val="auto"/>
                <w:sz w:val="21"/>
                <w:szCs w:val="21"/>
                <w:highlight w:val="none"/>
              </w:rPr>
            </w:pPr>
          </w:p>
        </w:tc>
        <w:tc>
          <w:tcPr>
            <w:tcW w:w="7486" w:type="dxa"/>
            <w:vMerge w:val="continue"/>
            <w:vAlign w:val="center"/>
          </w:tcPr>
          <w:p w14:paraId="6D8B0C4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b/>
                <w:bCs/>
                <w:color w:val="auto"/>
                <w:sz w:val="21"/>
                <w:szCs w:val="21"/>
                <w:highlight w:val="none"/>
              </w:rPr>
            </w:pPr>
          </w:p>
        </w:tc>
        <w:tc>
          <w:tcPr>
            <w:tcW w:w="851" w:type="dxa"/>
            <w:vAlign w:val="center"/>
          </w:tcPr>
          <w:p w14:paraId="575DA18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是否合格</w:t>
            </w:r>
          </w:p>
        </w:tc>
        <w:tc>
          <w:tcPr>
            <w:tcW w:w="706" w:type="dxa"/>
            <w:vAlign w:val="center"/>
          </w:tcPr>
          <w:p w14:paraId="10E401A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是否合格</w:t>
            </w:r>
          </w:p>
        </w:tc>
        <w:tc>
          <w:tcPr>
            <w:tcW w:w="722" w:type="dxa"/>
            <w:vAlign w:val="center"/>
          </w:tcPr>
          <w:p w14:paraId="79A5016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是否合格</w:t>
            </w:r>
          </w:p>
        </w:tc>
      </w:tr>
      <w:tr w14:paraId="17F7D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767" w:type="dxa"/>
            <w:vAlign w:val="center"/>
          </w:tcPr>
          <w:p w14:paraId="7D6E0F3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pacing w:val="-2"/>
                <w:sz w:val="21"/>
                <w:szCs w:val="21"/>
                <w:highlight w:val="none"/>
              </w:rPr>
            </w:pPr>
            <w:r>
              <w:rPr>
                <w:rFonts w:hint="eastAsia" w:ascii="微软雅黑" w:hAnsi="微软雅黑" w:eastAsia="微软雅黑" w:cs="微软雅黑"/>
                <w:color w:val="auto"/>
                <w:spacing w:val="-2"/>
                <w:sz w:val="21"/>
                <w:szCs w:val="21"/>
                <w:highlight w:val="none"/>
              </w:rPr>
              <w:t>1</w:t>
            </w:r>
          </w:p>
        </w:tc>
        <w:tc>
          <w:tcPr>
            <w:tcW w:w="7486" w:type="dxa"/>
            <w:vAlign w:val="center"/>
          </w:tcPr>
          <w:p w14:paraId="42955AB3">
            <w:pPr>
              <w:keepNext w:val="0"/>
              <w:keepLines w:val="0"/>
              <w:pageBreakBefore w:val="0"/>
              <w:widowControl/>
              <w:kinsoku/>
              <w:wordWrap/>
              <w:overflowPunct/>
              <w:topLinePunct w:val="0"/>
              <w:autoSpaceDE/>
              <w:autoSpaceDN/>
              <w:bidi w:val="0"/>
              <w:adjustRightInd/>
              <w:snapToGrid w:val="0"/>
              <w:spacing w:before="0" w:beforeAutospacing="0" w:after="0" w:afterAutospacing="0" w:line="320" w:lineRule="exact"/>
              <w:ind w:left="0" w:leftChars="0"/>
              <w:jc w:val="left"/>
              <w:textAlignment w:val="baseline"/>
              <w:rPr>
                <w:rFonts w:hint="eastAsia" w:ascii="微软雅黑" w:hAnsi="微软雅黑" w:eastAsia="微软雅黑" w:cs="微软雅黑"/>
                <w:b w:val="0"/>
                <w:bCs w:val="0"/>
                <w:i w:val="0"/>
                <w:caps w:val="0"/>
                <w:color w:val="auto"/>
                <w:spacing w:val="0"/>
                <w:w w:val="100"/>
                <w:sz w:val="21"/>
                <w:szCs w:val="21"/>
                <w:highlight w:val="none"/>
                <w:lang w:eastAsia="zh-CN"/>
              </w:rPr>
            </w:pPr>
            <w:r>
              <w:rPr>
                <w:rFonts w:hint="eastAsia" w:ascii="微软雅黑" w:hAnsi="微软雅黑" w:eastAsia="微软雅黑" w:cs="微软雅黑"/>
                <w:b w:val="0"/>
                <w:bCs w:val="0"/>
                <w:i w:val="0"/>
                <w:caps w:val="0"/>
                <w:color w:val="auto"/>
                <w:spacing w:val="0"/>
                <w:w w:val="100"/>
                <w:sz w:val="21"/>
                <w:szCs w:val="21"/>
                <w:highlight w:val="none"/>
                <w:lang w:eastAsia="zh-CN"/>
              </w:rPr>
              <w:t>具有有效的营业执照；</w:t>
            </w:r>
          </w:p>
        </w:tc>
        <w:tc>
          <w:tcPr>
            <w:tcW w:w="851" w:type="dxa"/>
          </w:tcPr>
          <w:p w14:paraId="534D982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06" w:type="dxa"/>
          </w:tcPr>
          <w:p w14:paraId="4622C8A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22" w:type="dxa"/>
          </w:tcPr>
          <w:p w14:paraId="4D6F31E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r>
      <w:tr w14:paraId="621A9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7" w:type="dxa"/>
            <w:vAlign w:val="center"/>
          </w:tcPr>
          <w:p w14:paraId="5F62BA0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pacing w:val="-2"/>
                <w:sz w:val="21"/>
                <w:szCs w:val="21"/>
                <w:highlight w:val="none"/>
              </w:rPr>
            </w:pPr>
            <w:r>
              <w:rPr>
                <w:rFonts w:hint="eastAsia" w:ascii="微软雅黑" w:hAnsi="微软雅黑" w:eastAsia="微软雅黑" w:cs="微软雅黑"/>
                <w:color w:val="auto"/>
                <w:spacing w:val="-2"/>
                <w:sz w:val="21"/>
                <w:szCs w:val="21"/>
                <w:highlight w:val="none"/>
              </w:rPr>
              <w:t>2</w:t>
            </w:r>
          </w:p>
        </w:tc>
        <w:tc>
          <w:tcPr>
            <w:tcW w:w="7486" w:type="dxa"/>
            <w:vAlign w:val="center"/>
          </w:tcPr>
          <w:p w14:paraId="505257C8">
            <w:pPr>
              <w:keepNext w:val="0"/>
              <w:keepLines w:val="0"/>
              <w:pageBreakBefore w:val="0"/>
              <w:widowControl/>
              <w:kinsoku/>
              <w:wordWrap/>
              <w:overflowPunct/>
              <w:topLinePunct w:val="0"/>
              <w:autoSpaceDE/>
              <w:autoSpaceDN/>
              <w:bidi w:val="0"/>
              <w:adjustRightInd/>
              <w:snapToGrid w:val="0"/>
              <w:spacing w:before="0" w:beforeAutospacing="0" w:after="0" w:afterAutospacing="0" w:line="320" w:lineRule="exact"/>
              <w:ind w:left="0" w:leftChars="0"/>
              <w:jc w:val="left"/>
              <w:textAlignment w:val="baseline"/>
              <w:rPr>
                <w:rFonts w:hint="eastAsia" w:ascii="微软雅黑" w:hAnsi="微软雅黑" w:eastAsia="微软雅黑" w:cs="微软雅黑"/>
                <w:b w:val="0"/>
                <w:bCs w:val="0"/>
                <w:i w:val="0"/>
                <w:caps w:val="0"/>
                <w:color w:val="auto"/>
                <w:spacing w:val="0"/>
                <w:w w:val="100"/>
                <w:sz w:val="21"/>
                <w:szCs w:val="21"/>
                <w:highlight w:val="none"/>
                <w:lang w:eastAsia="zh-CN"/>
              </w:rPr>
            </w:pPr>
            <w:r>
              <w:rPr>
                <w:rFonts w:hint="eastAsia" w:ascii="微软雅黑" w:hAnsi="微软雅黑" w:eastAsia="微软雅黑" w:cs="微软雅黑"/>
                <w:b w:val="0"/>
                <w:bCs w:val="0"/>
                <w:i w:val="0"/>
                <w:caps w:val="0"/>
                <w:color w:val="auto"/>
                <w:spacing w:val="0"/>
                <w:w w:val="100"/>
                <w:sz w:val="21"/>
                <w:szCs w:val="21"/>
                <w:highlight w:val="none"/>
                <w:lang w:eastAsia="zh-CN"/>
              </w:rPr>
              <w:t>法定代表人资格证明(法定代表人投标需提供法定代表人身份证)；</w:t>
            </w:r>
          </w:p>
        </w:tc>
        <w:tc>
          <w:tcPr>
            <w:tcW w:w="851" w:type="dxa"/>
          </w:tcPr>
          <w:p w14:paraId="5D8899D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06" w:type="dxa"/>
          </w:tcPr>
          <w:p w14:paraId="4F4F51A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22" w:type="dxa"/>
          </w:tcPr>
          <w:p w14:paraId="4B70DA8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r>
      <w:tr w14:paraId="06668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767" w:type="dxa"/>
            <w:vAlign w:val="center"/>
          </w:tcPr>
          <w:p w14:paraId="569EF69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pacing w:val="-2"/>
                <w:sz w:val="21"/>
                <w:szCs w:val="21"/>
                <w:highlight w:val="none"/>
                <w:lang w:val="en-US" w:eastAsia="zh-CN"/>
              </w:rPr>
            </w:pPr>
            <w:r>
              <w:rPr>
                <w:rFonts w:hint="eastAsia" w:ascii="微软雅黑" w:hAnsi="微软雅黑" w:eastAsia="微软雅黑" w:cs="微软雅黑"/>
                <w:color w:val="auto"/>
                <w:spacing w:val="-2"/>
                <w:sz w:val="21"/>
                <w:szCs w:val="21"/>
                <w:highlight w:val="none"/>
                <w:lang w:val="en-US" w:eastAsia="zh-CN"/>
              </w:rPr>
              <w:t>3</w:t>
            </w:r>
          </w:p>
        </w:tc>
        <w:tc>
          <w:tcPr>
            <w:tcW w:w="7486" w:type="dxa"/>
            <w:vAlign w:val="center"/>
          </w:tcPr>
          <w:p w14:paraId="56CA2E29">
            <w:pPr>
              <w:keepNext w:val="0"/>
              <w:keepLines w:val="0"/>
              <w:pageBreakBefore w:val="0"/>
              <w:widowControl/>
              <w:kinsoku/>
              <w:wordWrap/>
              <w:overflowPunct/>
              <w:topLinePunct w:val="0"/>
              <w:autoSpaceDE/>
              <w:autoSpaceDN/>
              <w:bidi w:val="0"/>
              <w:adjustRightInd/>
              <w:snapToGrid w:val="0"/>
              <w:spacing w:before="0" w:beforeAutospacing="0" w:after="0" w:afterAutospacing="0" w:line="320" w:lineRule="exact"/>
              <w:ind w:left="0" w:leftChars="0"/>
              <w:jc w:val="left"/>
              <w:textAlignment w:val="baseline"/>
              <w:rPr>
                <w:rFonts w:hint="eastAsia" w:ascii="微软雅黑" w:hAnsi="微软雅黑" w:eastAsia="微软雅黑" w:cs="微软雅黑"/>
                <w:b w:val="0"/>
                <w:bCs w:val="0"/>
                <w:i w:val="0"/>
                <w:caps w:val="0"/>
                <w:color w:val="auto"/>
                <w:spacing w:val="0"/>
                <w:w w:val="100"/>
                <w:sz w:val="21"/>
                <w:szCs w:val="21"/>
                <w:highlight w:val="none"/>
                <w:lang w:val="en-US" w:eastAsia="zh-CN"/>
              </w:rPr>
            </w:pPr>
            <w:r>
              <w:rPr>
                <w:rFonts w:hint="eastAsia" w:ascii="微软雅黑" w:hAnsi="微软雅黑" w:eastAsia="微软雅黑" w:cs="微软雅黑"/>
                <w:b w:val="0"/>
                <w:bCs w:val="0"/>
                <w:i w:val="0"/>
                <w:caps w:val="0"/>
                <w:color w:val="auto"/>
                <w:spacing w:val="0"/>
                <w:w w:val="100"/>
                <w:sz w:val="21"/>
                <w:szCs w:val="21"/>
                <w:highlight w:val="none"/>
                <w:lang w:eastAsia="zh-CN"/>
              </w:rPr>
              <w:t>投标人为制造商的须提供《医疗器械生产许可证》、投标人为经销商的须提供《医疗器械经营许可证》；所有证件均应在有效期内；</w:t>
            </w:r>
          </w:p>
        </w:tc>
        <w:tc>
          <w:tcPr>
            <w:tcW w:w="851" w:type="dxa"/>
          </w:tcPr>
          <w:p w14:paraId="1BDB26A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06" w:type="dxa"/>
          </w:tcPr>
          <w:p w14:paraId="1655A9F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22" w:type="dxa"/>
          </w:tcPr>
          <w:p w14:paraId="0E7C44D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r>
      <w:tr w14:paraId="4FD7E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67" w:type="dxa"/>
            <w:vAlign w:val="center"/>
          </w:tcPr>
          <w:p w14:paraId="438EFDC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pacing w:val="-2"/>
                <w:kern w:val="2"/>
                <w:sz w:val="21"/>
                <w:szCs w:val="21"/>
                <w:highlight w:val="none"/>
                <w:lang w:val="en-US" w:eastAsia="zh-CN" w:bidi="ar-SA"/>
              </w:rPr>
            </w:pPr>
            <w:r>
              <w:rPr>
                <w:rFonts w:hint="eastAsia" w:ascii="微软雅黑" w:hAnsi="微软雅黑" w:eastAsia="微软雅黑" w:cs="微软雅黑"/>
                <w:color w:val="auto"/>
                <w:spacing w:val="-2"/>
                <w:sz w:val="21"/>
                <w:szCs w:val="21"/>
                <w:highlight w:val="none"/>
                <w:lang w:val="en-US" w:eastAsia="zh-CN"/>
              </w:rPr>
              <w:t>4</w:t>
            </w:r>
          </w:p>
        </w:tc>
        <w:tc>
          <w:tcPr>
            <w:tcW w:w="7486" w:type="dxa"/>
            <w:vAlign w:val="center"/>
          </w:tcPr>
          <w:p w14:paraId="7A122214">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320" w:lineRule="exact"/>
              <w:jc w:val="both"/>
              <w:textAlignment w:val="baseline"/>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sz w:val="21"/>
                <w:szCs w:val="21"/>
                <w:highlight w:val="none"/>
                <w:lang w:eastAsia="zh-CN"/>
              </w:rPr>
              <w:t>提供近两年2023年或2024年任意一年的财务审计报告（成立未满12个月的新公司可提供近三个月内任意一个月的银行资信证明）；</w:t>
            </w:r>
          </w:p>
        </w:tc>
        <w:tc>
          <w:tcPr>
            <w:tcW w:w="851" w:type="dxa"/>
          </w:tcPr>
          <w:p w14:paraId="513F811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06" w:type="dxa"/>
          </w:tcPr>
          <w:p w14:paraId="5D18922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22" w:type="dxa"/>
          </w:tcPr>
          <w:p w14:paraId="76E14D4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r>
      <w:tr w14:paraId="1AF88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67" w:type="dxa"/>
            <w:vAlign w:val="center"/>
          </w:tcPr>
          <w:p w14:paraId="6CAD859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pacing w:val="-2"/>
                <w:kern w:val="2"/>
                <w:sz w:val="21"/>
                <w:szCs w:val="21"/>
                <w:highlight w:val="none"/>
                <w:lang w:val="en-US" w:eastAsia="zh-CN" w:bidi="ar-SA"/>
              </w:rPr>
            </w:pPr>
            <w:r>
              <w:rPr>
                <w:rFonts w:hint="eastAsia" w:ascii="微软雅黑" w:hAnsi="微软雅黑" w:eastAsia="微软雅黑" w:cs="微软雅黑"/>
                <w:color w:val="auto"/>
                <w:spacing w:val="-2"/>
                <w:sz w:val="21"/>
                <w:szCs w:val="21"/>
                <w:highlight w:val="none"/>
                <w:lang w:val="en-US" w:eastAsia="zh-CN"/>
              </w:rPr>
              <w:t>5</w:t>
            </w:r>
          </w:p>
        </w:tc>
        <w:tc>
          <w:tcPr>
            <w:tcW w:w="7486" w:type="dxa"/>
            <w:vAlign w:val="center"/>
          </w:tcPr>
          <w:p w14:paraId="2898C737">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320" w:lineRule="exact"/>
              <w:jc w:val="both"/>
              <w:textAlignment w:val="baseline"/>
              <w:rPr>
                <w:rFonts w:hint="eastAsia" w:ascii="微软雅黑" w:hAnsi="微软雅黑" w:eastAsia="微软雅黑" w:cs="微软雅黑"/>
                <w:b w:val="0"/>
                <w:bCs w:val="0"/>
                <w:color w:val="auto"/>
                <w:spacing w:val="-2"/>
                <w:kern w:val="2"/>
                <w:sz w:val="21"/>
                <w:szCs w:val="21"/>
                <w:highlight w:val="none"/>
                <w:lang w:val="en-US" w:eastAsia="zh-CN" w:bidi="ar-SA"/>
              </w:rPr>
            </w:pPr>
            <w:r>
              <w:rPr>
                <w:rFonts w:hint="eastAsia" w:ascii="微软雅黑" w:hAnsi="微软雅黑" w:eastAsia="微软雅黑" w:cs="微软雅黑"/>
                <w:b w:val="0"/>
                <w:bCs w:val="0"/>
                <w:color w:val="auto"/>
                <w:sz w:val="21"/>
                <w:szCs w:val="21"/>
                <w:highlight w:val="none"/>
                <w:lang w:eastAsia="zh-CN"/>
              </w:rPr>
              <w:t>提供依法缴纳近6个月任意1个月的社会保险证明</w:t>
            </w:r>
            <w:r>
              <w:rPr>
                <w:rFonts w:hint="eastAsia" w:ascii="微软雅黑" w:hAnsi="微软雅黑" w:eastAsia="微软雅黑" w:cs="微软雅黑"/>
                <w:b w:val="0"/>
                <w:bCs w:val="0"/>
                <w:i w:val="0"/>
                <w:caps w:val="0"/>
                <w:color w:val="auto"/>
                <w:spacing w:val="0"/>
                <w:w w:val="100"/>
                <w:sz w:val="21"/>
                <w:szCs w:val="21"/>
                <w:highlight w:val="none"/>
              </w:rPr>
              <w:t>；</w:t>
            </w:r>
          </w:p>
        </w:tc>
        <w:tc>
          <w:tcPr>
            <w:tcW w:w="851" w:type="dxa"/>
          </w:tcPr>
          <w:p w14:paraId="30D03BD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06" w:type="dxa"/>
          </w:tcPr>
          <w:p w14:paraId="0EA3BC2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22" w:type="dxa"/>
          </w:tcPr>
          <w:p w14:paraId="5A44864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r>
      <w:tr w14:paraId="2EEB5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767" w:type="dxa"/>
            <w:vAlign w:val="center"/>
          </w:tcPr>
          <w:p w14:paraId="5E52461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pacing w:val="-2"/>
                <w:kern w:val="2"/>
                <w:sz w:val="21"/>
                <w:szCs w:val="21"/>
                <w:highlight w:val="none"/>
                <w:lang w:val="en-US" w:eastAsia="zh-CN" w:bidi="ar-SA"/>
              </w:rPr>
            </w:pPr>
            <w:r>
              <w:rPr>
                <w:rFonts w:hint="eastAsia" w:ascii="微软雅黑" w:hAnsi="微软雅黑" w:eastAsia="微软雅黑" w:cs="微软雅黑"/>
                <w:color w:val="auto"/>
                <w:spacing w:val="-2"/>
                <w:sz w:val="21"/>
                <w:szCs w:val="21"/>
                <w:highlight w:val="none"/>
                <w:lang w:val="en-US" w:eastAsia="zh-CN"/>
              </w:rPr>
              <w:t>6</w:t>
            </w:r>
          </w:p>
        </w:tc>
        <w:tc>
          <w:tcPr>
            <w:tcW w:w="7486" w:type="dxa"/>
            <w:vAlign w:val="center"/>
          </w:tcPr>
          <w:p w14:paraId="130F9C16">
            <w:pPr>
              <w:keepNext w:val="0"/>
              <w:keepLines w:val="0"/>
              <w:pageBreakBefore w:val="0"/>
              <w:widowControl/>
              <w:kinsoku/>
              <w:wordWrap/>
              <w:overflowPunct/>
              <w:topLinePunct w:val="0"/>
              <w:autoSpaceDE/>
              <w:autoSpaceDN/>
              <w:bidi w:val="0"/>
              <w:adjustRightInd/>
              <w:snapToGrid w:val="0"/>
              <w:spacing w:before="0" w:beforeAutospacing="0" w:after="0" w:afterAutospacing="0" w:line="320" w:lineRule="exact"/>
              <w:ind w:left="0" w:leftChars="0"/>
              <w:jc w:val="left"/>
              <w:textAlignment w:val="baseline"/>
              <w:rPr>
                <w:rFonts w:hint="eastAsia" w:ascii="微软雅黑" w:hAnsi="微软雅黑" w:eastAsia="微软雅黑" w:cs="微软雅黑"/>
                <w:b w:val="0"/>
                <w:bCs w:val="0"/>
                <w:color w:val="auto"/>
                <w:spacing w:val="-2"/>
                <w:kern w:val="2"/>
                <w:sz w:val="21"/>
                <w:szCs w:val="21"/>
                <w:highlight w:val="none"/>
                <w:lang w:val="en-US" w:eastAsia="zh-CN" w:bidi="ar-SA"/>
              </w:rPr>
            </w:pPr>
            <w:r>
              <w:rPr>
                <w:rFonts w:hint="eastAsia" w:ascii="微软雅黑" w:hAnsi="微软雅黑" w:eastAsia="微软雅黑" w:cs="微软雅黑"/>
                <w:b w:val="0"/>
                <w:bCs w:val="0"/>
                <w:i w:val="0"/>
                <w:caps w:val="0"/>
                <w:color w:val="auto"/>
                <w:spacing w:val="0"/>
                <w:w w:val="100"/>
                <w:sz w:val="21"/>
                <w:szCs w:val="21"/>
                <w:highlight w:val="none"/>
                <w:lang w:eastAsia="zh-CN"/>
              </w:rPr>
              <w:t>提供依法缴纳近6个月任意1个月的税收证明</w:t>
            </w:r>
            <w:r>
              <w:rPr>
                <w:rFonts w:hint="eastAsia" w:ascii="微软雅黑" w:hAnsi="微软雅黑" w:eastAsia="微软雅黑" w:cs="微软雅黑"/>
                <w:b w:val="0"/>
                <w:bCs w:val="0"/>
                <w:i w:val="0"/>
                <w:caps w:val="0"/>
                <w:color w:val="auto"/>
                <w:spacing w:val="0"/>
                <w:w w:val="100"/>
                <w:sz w:val="21"/>
                <w:szCs w:val="21"/>
                <w:highlight w:val="none"/>
              </w:rPr>
              <w:t>；</w:t>
            </w:r>
          </w:p>
        </w:tc>
        <w:tc>
          <w:tcPr>
            <w:tcW w:w="851" w:type="dxa"/>
          </w:tcPr>
          <w:p w14:paraId="2B45408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06" w:type="dxa"/>
          </w:tcPr>
          <w:p w14:paraId="6AF5FB7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22" w:type="dxa"/>
          </w:tcPr>
          <w:p w14:paraId="3E2EE78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r>
      <w:tr w14:paraId="20A4A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7" w:type="dxa"/>
            <w:vAlign w:val="center"/>
          </w:tcPr>
          <w:p w14:paraId="5A9AD04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pacing w:val="-2"/>
                <w:kern w:val="2"/>
                <w:sz w:val="21"/>
                <w:szCs w:val="21"/>
                <w:highlight w:val="none"/>
                <w:lang w:val="en-US" w:eastAsia="zh-CN" w:bidi="ar-SA"/>
              </w:rPr>
            </w:pPr>
            <w:r>
              <w:rPr>
                <w:rFonts w:hint="eastAsia" w:ascii="微软雅黑" w:hAnsi="微软雅黑" w:eastAsia="微软雅黑" w:cs="微软雅黑"/>
                <w:color w:val="auto"/>
                <w:spacing w:val="-2"/>
                <w:sz w:val="21"/>
                <w:szCs w:val="21"/>
                <w:highlight w:val="none"/>
                <w:lang w:val="en-US" w:eastAsia="zh-CN"/>
              </w:rPr>
              <w:t>7</w:t>
            </w:r>
          </w:p>
        </w:tc>
        <w:tc>
          <w:tcPr>
            <w:tcW w:w="7486" w:type="dxa"/>
            <w:vAlign w:val="center"/>
          </w:tcPr>
          <w:p w14:paraId="50036A75">
            <w:pPr>
              <w:keepNext w:val="0"/>
              <w:keepLines w:val="0"/>
              <w:pageBreakBefore w:val="0"/>
              <w:widowControl/>
              <w:kinsoku/>
              <w:wordWrap/>
              <w:overflowPunct/>
              <w:topLinePunct w:val="0"/>
              <w:autoSpaceDE/>
              <w:autoSpaceDN/>
              <w:bidi w:val="0"/>
              <w:adjustRightInd/>
              <w:snapToGrid w:val="0"/>
              <w:spacing w:before="0" w:beforeAutospacing="0" w:after="0" w:afterAutospacing="0" w:line="320" w:lineRule="exact"/>
              <w:ind w:left="0" w:leftChars="0"/>
              <w:jc w:val="left"/>
              <w:textAlignment w:val="baseline"/>
              <w:rPr>
                <w:rFonts w:hint="eastAsia" w:ascii="微软雅黑" w:hAnsi="微软雅黑" w:eastAsia="微软雅黑" w:cs="微软雅黑"/>
                <w:b w:val="0"/>
                <w:bCs w:val="0"/>
                <w:color w:val="auto"/>
                <w:spacing w:val="-2"/>
                <w:kern w:val="2"/>
                <w:sz w:val="21"/>
                <w:szCs w:val="21"/>
                <w:highlight w:val="none"/>
                <w:lang w:val="en-US" w:eastAsia="zh-CN" w:bidi="ar-SA"/>
              </w:rPr>
            </w:pPr>
            <w:r>
              <w:rPr>
                <w:rFonts w:hint="eastAsia" w:ascii="微软雅黑" w:hAnsi="微软雅黑" w:eastAsia="微软雅黑" w:cs="微软雅黑"/>
                <w:b w:val="0"/>
                <w:bCs w:val="0"/>
                <w:color w:val="auto"/>
                <w:spacing w:val="-2"/>
                <w:kern w:val="2"/>
                <w:sz w:val="21"/>
                <w:szCs w:val="21"/>
                <w:highlight w:val="none"/>
                <w:lang w:val="en-US" w:eastAsia="zh-CN" w:bidi="ar-SA"/>
              </w:rPr>
              <w:t>根据《财政部关于在政府采购活动中查询及使用信用记录有关问题的通知》（财库﹝2016﹞125号）的要求，凡拟参加本次招标项目的投标人，如在“信用中国”网站（https://www.creditchina.gov.cn/）被列入失信被执行人、重大税收违法失信主体名单（首页-信用公示-失信被执行人查询/重大税收违法失信主体名单-搜索栏输入单位全称）、中国政府采购网（https://www.ccgp.gov.cn/search/cr/）严重违法失信行为信息记录名单（尚在处罚期内的），将拒绝其参加本次招标活动（以采购代理机构或采购人查询为准）；</w:t>
            </w:r>
          </w:p>
        </w:tc>
        <w:tc>
          <w:tcPr>
            <w:tcW w:w="851" w:type="dxa"/>
          </w:tcPr>
          <w:p w14:paraId="7288853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06" w:type="dxa"/>
          </w:tcPr>
          <w:p w14:paraId="1467DC5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22" w:type="dxa"/>
          </w:tcPr>
          <w:p w14:paraId="4946E89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r>
      <w:tr w14:paraId="12F37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67" w:type="dxa"/>
            <w:vAlign w:val="center"/>
          </w:tcPr>
          <w:p w14:paraId="6BFA9D4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pacing w:val="-2"/>
                <w:kern w:val="2"/>
                <w:sz w:val="21"/>
                <w:szCs w:val="21"/>
                <w:highlight w:val="none"/>
                <w:lang w:val="en-US" w:eastAsia="zh-CN" w:bidi="ar-SA"/>
              </w:rPr>
            </w:pPr>
            <w:r>
              <w:rPr>
                <w:rFonts w:hint="eastAsia" w:ascii="微软雅黑" w:hAnsi="微软雅黑" w:eastAsia="微软雅黑" w:cs="微软雅黑"/>
                <w:color w:val="auto"/>
                <w:spacing w:val="-2"/>
                <w:sz w:val="21"/>
                <w:szCs w:val="21"/>
                <w:highlight w:val="none"/>
                <w:lang w:val="en-US" w:eastAsia="zh-CN"/>
              </w:rPr>
              <w:t>8</w:t>
            </w:r>
          </w:p>
        </w:tc>
        <w:tc>
          <w:tcPr>
            <w:tcW w:w="7486" w:type="dxa"/>
            <w:vAlign w:val="center"/>
          </w:tcPr>
          <w:p w14:paraId="13B22B47">
            <w:pPr>
              <w:keepNext w:val="0"/>
              <w:keepLines w:val="0"/>
              <w:pageBreakBefore w:val="0"/>
              <w:widowControl/>
              <w:kinsoku/>
              <w:wordWrap/>
              <w:overflowPunct/>
              <w:topLinePunct w:val="0"/>
              <w:autoSpaceDE/>
              <w:autoSpaceDN/>
              <w:bidi w:val="0"/>
              <w:adjustRightInd/>
              <w:snapToGrid w:val="0"/>
              <w:spacing w:before="0" w:beforeAutospacing="0" w:after="0" w:afterAutospacing="0" w:line="320" w:lineRule="exact"/>
              <w:ind w:left="0" w:leftChars="0"/>
              <w:jc w:val="left"/>
              <w:textAlignment w:val="baseline"/>
              <w:rPr>
                <w:rFonts w:hint="eastAsia" w:ascii="微软雅黑" w:hAnsi="微软雅黑" w:eastAsia="微软雅黑" w:cs="微软雅黑"/>
                <w:b w:val="0"/>
                <w:bCs w:val="0"/>
                <w:color w:val="auto"/>
                <w:spacing w:val="-2"/>
                <w:kern w:val="2"/>
                <w:sz w:val="21"/>
                <w:szCs w:val="21"/>
                <w:highlight w:val="none"/>
                <w:lang w:val="en-US" w:eastAsia="zh-CN" w:bidi="ar-SA"/>
              </w:rPr>
            </w:pPr>
            <w:r>
              <w:rPr>
                <w:rFonts w:hint="eastAsia" w:ascii="微软雅黑" w:hAnsi="微软雅黑" w:eastAsia="微软雅黑" w:cs="微软雅黑"/>
                <w:b w:val="0"/>
                <w:bCs w:val="0"/>
                <w:i w:val="0"/>
                <w:caps w:val="0"/>
                <w:color w:val="auto"/>
                <w:spacing w:val="0"/>
                <w:w w:val="100"/>
                <w:sz w:val="21"/>
                <w:szCs w:val="21"/>
                <w:highlight w:val="none"/>
                <w:lang w:eastAsia="zh-CN"/>
              </w:rPr>
              <w:t>提供参加政府采购活动前3年内在经营活动中没有重大违法记录的书面声明函</w:t>
            </w:r>
            <w:r>
              <w:rPr>
                <w:rFonts w:hint="eastAsia" w:ascii="微软雅黑" w:hAnsi="微软雅黑" w:eastAsia="微软雅黑" w:cs="微软雅黑"/>
                <w:b w:val="0"/>
                <w:bCs w:val="0"/>
                <w:i w:val="0"/>
                <w:caps w:val="0"/>
                <w:color w:val="auto"/>
                <w:spacing w:val="0"/>
                <w:w w:val="100"/>
                <w:sz w:val="21"/>
                <w:szCs w:val="21"/>
                <w:highlight w:val="none"/>
              </w:rPr>
              <w:t>；</w:t>
            </w:r>
          </w:p>
        </w:tc>
        <w:tc>
          <w:tcPr>
            <w:tcW w:w="851" w:type="dxa"/>
          </w:tcPr>
          <w:p w14:paraId="0CF1258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06" w:type="dxa"/>
          </w:tcPr>
          <w:p w14:paraId="5F0B82D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22" w:type="dxa"/>
          </w:tcPr>
          <w:p w14:paraId="7FE8815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r>
      <w:tr w14:paraId="58C68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67" w:type="dxa"/>
            <w:vAlign w:val="center"/>
          </w:tcPr>
          <w:p w14:paraId="6281B01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pacing w:val="-2"/>
                <w:sz w:val="21"/>
                <w:szCs w:val="21"/>
                <w:highlight w:val="none"/>
                <w:lang w:val="en-US" w:eastAsia="zh-CN"/>
              </w:rPr>
            </w:pPr>
            <w:r>
              <w:rPr>
                <w:rFonts w:hint="eastAsia" w:ascii="微软雅黑" w:hAnsi="微软雅黑" w:eastAsia="微软雅黑" w:cs="微软雅黑"/>
                <w:color w:val="auto"/>
                <w:spacing w:val="-2"/>
                <w:sz w:val="21"/>
                <w:szCs w:val="21"/>
                <w:highlight w:val="none"/>
                <w:lang w:val="en-US" w:eastAsia="zh-CN"/>
              </w:rPr>
              <w:t>9</w:t>
            </w:r>
          </w:p>
        </w:tc>
        <w:tc>
          <w:tcPr>
            <w:tcW w:w="7486" w:type="dxa"/>
            <w:vAlign w:val="center"/>
          </w:tcPr>
          <w:p w14:paraId="49024D7A">
            <w:pPr>
              <w:keepNext w:val="0"/>
              <w:keepLines w:val="0"/>
              <w:pageBreakBefore w:val="0"/>
              <w:widowControl/>
              <w:kinsoku/>
              <w:wordWrap/>
              <w:overflowPunct/>
              <w:topLinePunct w:val="0"/>
              <w:autoSpaceDE/>
              <w:autoSpaceDN/>
              <w:bidi w:val="0"/>
              <w:adjustRightInd/>
              <w:snapToGrid w:val="0"/>
              <w:spacing w:before="0" w:beforeAutospacing="0" w:after="0" w:afterAutospacing="0" w:line="320" w:lineRule="exact"/>
              <w:ind w:left="0" w:leftChars="0"/>
              <w:jc w:val="left"/>
              <w:textAlignment w:val="baseline"/>
              <w:rPr>
                <w:rFonts w:hint="eastAsia" w:ascii="微软雅黑" w:hAnsi="微软雅黑" w:eastAsia="微软雅黑" w:cs="微软雅黑"/>
                <w:b w:val="0"/>
                <w:bCs w:val="0"/>
                <w:i w:val="0"/>
                <w:caps w:val="0"/>
                <w:color w:val="auto"/>
                <w:spacing w:val="0"/>
                <w:w w:val="100"/>
                <w:sz w:val="21"/>
                <w:szCs w:val="21"/>
                <w:highlight w:val="none"/>
                <w:lang w:eastAsia="zh-CN"/>
              </w:rPr>
            </w:pPr>
            <w:r>
              <w:rPr>
                <w:rFonts w:hint="eastAsia" w:ascii="微软雅黑" w:hAnsi="微软雅黑" w:eastAsia="微软雅黑" w:cs="微软雅黑"/>
                <w:b w:val="0"/>
                <w:bCs w:val="0"/>
                <w:i w:val="0"/>
                <w:caps w:val="0"/>
                <w:color w:val="auto"/>
                <w:spacing w:val="0"/>
                <w:w w:val="100"/>
                <w:sz w:val="21"/>
                <w:szCs w:val="21"/>
                <w:highlight w:val="none"/>
                <w:lang w:eastAsia="zh-CN"/>
              </w:rPr>
              <w:t>提供针对本次项目《反商业贿赂承诺书》；</w:t>
            </w:r>
          </w:p>
        </w:tc>
        <w:tc>
          <w:tcPr>
            <w:tcW w:w="851" w:type="dxa"/>
          </w:tcPr>
          <w:p w14:paraId="11DF3CE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06" w:type="dxa"/>
          </w:tcPr>
          <w:p w14:paraId="42A7565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22" w:type="dxa"/>
          </w:tcPr>
          <w:p w14:paraId="4089DD2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r>
      <w:tr w14:paraId="7B8CD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67" w:type="dxa"/>
            <w:vAlign w:val="center"/>
          </w:tcPr>
          <w:p w14:paraId="3CF8036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pacing w:val="-2"/>
                <w:kern w:val="2"/>
                <w:sz w:val="21"/>
                <w:szCs w:val="21"/>
                <w:highlight w:val="none"/>
                <w:lang w:val="en-US" w:eastAsia="zh-CN" w:bidi="ar-SA"/>
              </w:rPr>
            </w:pPr>
            <w:r>
              <w:rPr>
                <w:rFonts w:hint="eastAsia" w:ascii="微软雅黑" w:hAnsi="微软雅黑" w:eastAsia="微软雅黑" w:cs="微软雅黑"/>
                <w:color w:val="auto"/>
                <w:spacing w:val="-2"/>
                <w:sz w:val="21"/>
                <w:szCs w:val="21"/>
                <w:highlight w:val="none"/>
                <w:lang w:val="en-US" w:eastAsia="zh-CN"/>
              </w:rPr>
              <w:t>10</w:t>
            </w:r>
          </w:p>
        </w:tc>
        <w:tc>
          <w:tcPr>
            <w:tcW w:w="7486" w:type="dxa"/>
            <w:vAlign w:val="center"/>
          </w:tcPr>
          <w:p w14:paraId="16E13B60">
            <w:pPr>
              <w:keepNext w:val="0"/>
              <w:keepLines w:val="0"/>
              <w:pageBreakBefore w:val="0"/>
              <w:widowControl/>
              <w:kinsoku/>
              <w:wordWrap/>
              <w:overflowPunct/>
              <w:topLinePunct w:val="0"/>
              <w:autoSpaceDE/>
              <w:autoSpaceDN/>
              <w:bidi w:val="0"/>
              <w:adjustRightInd/>
              <w:snapToGrid w:val="0"/>
              <w:spacing w:before="0" w:beforeAutospacing="0" w:after="0" w:afterAutospacing="0" w:line="320" w:lineRule="exact"/>
              <w:ind w:left="0" w:leftChars="0"/>
              <w:jc w:val="left"/>
              <w:textAlignment w:val="baseline"/>
              <w:rPr>
                <w:rFonts w:hint="eastAsia" w:ascii="微软雅黑" w:hAnsi="微软雅黑" w:eastAsia="微软雅黑" w:cs="微软雅黑"/>
                <w:b w:val="0"/>
                <w:bCs w:val="0"/>
                <w:color w:val="auto"/>
                <w:spacing w:val="-2"/>
                <w:kern w:val="2"/>
                <w:sz w:val="21"/>
                <w:szCs w:val="21"/>
                <w:highlight w:val="none"/>
                <w:lang w:val="en-US" w:eastAsia="zh-CN" w:bidi="ar-SA"/>
              </w:rPr>
            </w:pPr>
            <w:r>
              <w:rPr>
                <w:rFonts w:hint="eastAsia" w:ascii="微软雅黑" w:hAnsi="微软雅黑" w:eastAsia="微软雅黑" w:cs="微软雅黑"/>
                <w:b w:val="0"/>
                <w:bCs w:val="0"/>
                <w:i w:val="0"/>
                <w:caps w:val="0"/>
                <w:color w:val="auto"/>
                <w:spacing w:val="0"/>
                <w:w w:val="100"/>
                <w:kern w:val="2"/>
                <w:sz w:val="21"/>
                <w:szCs w:val="21"/>
                <w:highlight w:val="none"/>
                <w:lang w:val="en-US" w:eastAsia="zh-CN" w:bidi="ar-SA"/>
              </w:rPr>
              <w:t>缴纳投标保证金有效凭证。</w:t>
            </w:r>
          </w:p>
        </w:tc>
        <w:tc>
          <w:tcPr>
            <w:tcW w:w="851" w:type="dxa"/>
          </w:tcPr>
          <w:p w14:paraId="53EFDE9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06" w:type="dxa"/>
          </w:tcPr>
          <w:p w14:paraId="5F54C73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22" w:type="dxa"/>
          </w:tcPr>
          <w:p w14:paraId="0DC7C38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r>
      <w:tr w14:paraId="3358C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67" w:type="dxa"/>
            <w:vAlign w:val="center"/>
          </w:tcPr>
          <w:p w14:paraId="62CD31C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pacing w:val="-2"/>
                <w:sz w:val="21"/>
                <w:szCs w:val="21"/>
                <w:highlight w:val="none"/>
                <w:lang w:val="en-US" w:eastAsia="zh-CN"/>
              </w:rPr>
            </w:pPr>
          </w:p>
        </w:tc>
        <w:tc>
          <w:tcPr>
            <w:tcW w:w="7486" w:type="dxa"/>
            <w:vAlign w:val="center"/>
          </w:tcPr>
          <w:p w14:paraId="49A79202">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pacing w:val="-2"/>
                <w:kern w:val="2"/>
                <w:sz w:val="21"/>
                <w:szCs w:val="21"/>
                <w:highlight w:val="none"/>
                <w:lang w:val="en-US" w:eastAsia="zh-CN" w:bidi="ar-SA"/>
              </w:rPr>
            </w:pPr>
            <w:r>
              <w:rPr>
                <w:rFonts w:hint="eastAsia" w:ascii="微软雅黑" w:hAnsi="微软雅黑" w:eastAsia="微软雅黑" w:cs="微软雅黑"/>
                <w:color w:val="auto"/>
                <w:spacing w:val="-2"/>
                <w:sz w:val="21"/>
                <w:szCs w:val="21"/>
                <w:highlight w:val="none"/>
                <w:lang w:val="en-US" w:eastAsia="zh-CN"/>
              </w:rPr>
              <w:t>结论</w:t>
            </w:r>
          </w:p>
        </w:tc>
        <w:tc>
          <w:tcPr>
            <w:tcW w:w="851" w:type="dxa"/>
          </w:tcPr>
          <w:p w14:paraId="5C9CE31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06" w:type="dxa"/>
          </w:tcPr>
          <w:p w14:paraId="036C1FE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22" w:type="dxa"/>
          </w:tcPr>
          <w:p w14:paraId="1627007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r>
    </w:tbl>
    <w:p w14:paraId="69531CF6">
      <w:pPr>
        <w:keepNext w:val="0"/>
        <w:keepLines w:val="0"/>
        <w:pageBreakBefore w:val="0"/>
        <w:widowControl w:val="0"/>
        <w:kinsoku/>
        <w:wordWrap/>
        <w:overflowPunct/>
        <w:topLinePunct w:val="0"/>
        <w:autoSpaceDE w:val="0"/>
        <w:autoSpaceDN w:val="0"/>
        <w:bidi w:val="0"/>
        <w:adjustRightInd w:val="0"/>
        <w:snapToGrid/>
        <w:spacing w:line="400" w:lineRule="exact"/>
        <w:ind w:firstLine="0"/>
        <w:jc w:val="both"/>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说明：</w:t>
      </w:r>
      <w:r>
        <w:rPr>
          <w:rFonts w:hint="eastAsia" w:ascii="微软雅黑" w:hAnsi="微软雅黑" w:eastAsia="微软雅黑" w:cs="微软雅黑"/>
          <w:b/>
          <w:bCs/>
          <w:color w:val="auto"/>
          <w:sz w:val="20"/>
          <w:szCs w:val="20"/>
          <w:highlight w:val="none"/>
        </w:rPr>
        <w:t>供应商必须将上述内容上传至对应关联节点，未通过资格性审查的供应商不进入评标；通过资格性审查的供应商少于三家的，不得评标。</w:t>
      </w:r>
    </w:p>
    <w:p w14:paraId="33486705">
      <w:pPr>
        <w:pStyle w:val="4"/>
        <w:rPr>
          <w:rFonts w:hint="eastAsia" w:ascii="微软雅黑" w:hAnsi="微软雅黑" w:eastAsia="微软雅黑" w:cs="微软雅黑"/>
          <w:b/>
          <w:bCs/>
          <w:color w:val="auto"/>
          <w:sz w:val="20"/>
          <w:szCs w:val="20"/>
          <w:highlight w:val="none"/>
        </w:rPr>
      </w:pPr>
    </w:p>
    <w:p w14:paraId="2B1289F9">
      <w:pPr>
        <w:rPr>
          <w:rFonts w:hint="eastAsia" w:ascii="微软雅黑" w:hAnsi="微软雅黑" w:eastAsia="微软雅黑" w:cs="微软雅黑"/>
          <w:color w:val="auto"/>
          <w:sz w:val="20"/>
          <w:szCs w:val="22"/>
          <w:highlight w:val="none"/>
        </w:rPr>
      </w:pPr>
      <w:bookmarkStart w:id="2025" w:name="_Toc31983"/>
      <w:bookmarkStart w:id="2026" w:name="_Toc8255"/>
      <w:bookmarkStart w:id="2027" w:name="_Toc16022"/>
      <w:bookmarkStart w:id="2028" w:name="_Toc273"/>
      <w:bookmarkStart w:id="2029" w:name="_Toc8382"/>
      <w:bookmarkStart w:id="2030" w:name="_Toc30395"/>
      <w:bookmarkStart w:id="2031" w:name="_Toc13854"/>
      <w:bookmarkStart w:id="2032" w:name="_Toc18094"/>
      <w:bookmarkStart w:id="2033" w:name="_Toc10492"/>
      <w:bookmarkStart w:id="2034" w:name="_Toc21850"/>
      <w:bookmarkStart w:id="2035" w:name="_Toc27246"/>
      <w:bookmarkStart w:id="2036" w:name="_Toc3927"/>
      <w:bookmarkStart w:id="2037" w:name="_Toc3062"/>
      <w:bookmarkStart w:id="2038" w:name="_Toc12108"/>
      <w:bookmarkStart w:id="2039" w:name="_Toc26642"/>
      <w:bookmarkStart w:id="2040" w:name="_Toc14007"/>
      <w:bookmarkStart w:id="2041" w:name="_Toc1474"/>
      <w:bookmarkStart w:id="2042" w:name="_Toc28858"/>
      <w:r>
        <w:rPr>
          <w:rFonts w:hint="eastAsia" w:ascii="微软雅黑" w:hAnsi="微软雅黑" w:eastAsia="微软雅黑" w:cs="微软雅黑"/>
          <w:color w:val="auto"/>
          <w:sz w:val="20"/>
          <w:szCs w:val="22"/>
          <w:highlight w:val="none"/>
        </w:rPr>
        <w:br w:type="page"/>
      </w:r>
    </w:p>
    <w:p w14:paraId="3A8B4EEE">
      <w:pPr>
        <w:pStyle w:val="6"/>
        <w:rPr>
          <w:rFonts w:hint="eastAsia" w:ascii="微软雅黑" w:hAnsi="微软雅黑" w:eastAsia="微软雅黑" w:cs="微软雅黑"/>
          <w:color w:val="auto"/>
          <w:sz w:val="28"/>
          <w:szCs w:val="18"/>
          <w:highlight w:val="none"/>
        </w:rPr>
      </w:pPr>
      <w:bookmarkStart w:id="2043" w:name="_Toc14125"/>
      <w:r>
        <w:rPr>
          <w:rFonts w:hint="eastAsia" w:ascii="微软雅黑" w:hAnsi="微软雅黑" w:eastAsia="微软雅黑" w:cs="微软雅黑"/>
          <w:color w:val="auto"/>
          <w:sz w:val="28"/>
          <w:szCs w:val="18"/>
          <w:highlight w:val="none"/>
        </w:rPr>
        <w:t>初步评审—符合性审查表</w:t>
      </w:r>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p>
    <w:tbl>
      <w:tblPr>
        <w:tblStyle w:val="31"/>
        <w:tblpPr w:leftFromText="180" w:rightFromText="180" w:vertAnchor="text" w:horzAnchor="page" w:tblpXSpec="center" w:tblpY="262"/>
        <w:tblOverlap w:val="never"/>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7596"/>
        <w:gridCol w:w="1168"/>
      </w:tblGrid>
      <w:tr w14:paraId="235F7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451" w:type="dxa"/>
            <w:gridSpan w:val="2"/>
            <w:vAlign w:val="center"/>
          </w:tcPr>
          <w:p w14:paraId="3F2CEAFF">
            <w:pPr>
              <w:spacing w:line="400" w:lineRule="exact"/>
              <w:jc w:val="center"/>
              <w:rPr>
                <w:rFonts w:hint="eastAsia" w:ascii="微软雅黑" w:hAnsi="微软雅黑" w:eastAsia="微软雅黑" w:cs="微软雅黑"/>
                <w:color w:val="auto"/>
                <w:spacing w:val="-2"/>
                <w:sz w:val="20"/>
                <w:szCs w:val="20"/>
                <w:highlight w:val="none"/>
              </w:rPr>
            </w:pPr>
            <w:r>
              <w:rPr>
                <w:rFonts w:hint="eastAsia" w:ascii="微软雅黑" w:hAnsi="微软雅黑" w:eastAsia="微软雅黑" w:cs="微软雅黑"/>
                <w:color w:val="auto"/>
                <w:spacing w:val="-2"/>
                <w:sz w:val="20"/>
                <w:szCs w:val="20"/>
                <w:highlight w:val="none"/>
              </w:rPr>
              <w:t>评审内容</w:t>
            </w:r>
          </w:p>
        </w:tc>
        <w:tc>
          <w:tcPr>
            <w:tcW w:w="1168" w:type="dxa"/>
            <w:vAlign w:val="center"/>
          </w:tcPr>
          <w:p w14:paraId="437D2533">
            <w:pPr>
              <w:spacing w:line="400" w:lineRule="exact"/>
              <w:jc w:val="center"/>
              <w:rPr>
                <w:rFonts w:hint="eastAsia" w:ascii="微软雅黑" w:hAnsi="微软雅黑" w:eastAsia="微软雅黑" w:cs="微软雅黑"/>
                <w:color w:val="auto"/>
                <w:spacing w:val="-2"/>
                <w:sz w:val="20"/>
                <w:szCs w:val="20"/>
                <w:highlight w:val="none"/>
              </w:rPr>
            </w:pPr>
            <w:r>
              <w:rPr>
                <w:rFonts w:hint="eastAsia" w:ascii="微软雅黑" w:hAnsi="微软雅黑" w:eastAsia="微软雅黑" w:cs="微软雅黑"/>
                <w:b/>
                <w:color w:val="auto"/>
                <w:sz w:val="20"/>
                <w:szCs w:val="20"/>
                <w:highlight w:val="none"/>
              </w:rPr>
              <w:t>评审意见</w:t>
            </w:r>
          </w:p>
        </w:tc>
      </w:tr>
      <w:tr w14:paraId="72543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55" w:type="dxa"/>
            <w:vAlign w:val="center"/>
          </w:tcPr>
          <w:p w14:paraId="1AC4799B">
            <w:pPr>
              <w:spacing w:line="400" w:lineRule="exact"/>
              <w:jc w:val="center"/>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序号</w:t>
            </w:r>
          </w:p>
        </w:tc>
        <w:tc>
          <w:tcPr>
            <w:tcW w:w="7596" w:type="dxa"/>
            <w:vAlign w:val="center"/>
          </w:tcPr>
          <w:p w14:paraId="27C2686C">
            <w:pPr>
              <w:spacing w:line="400" w:lineRule="exact"/>
              <w:rPr>
                <w:rFonts w:hint="eastAsia" w:ascii="微软雅黑" w:hAnsi="微软雅黑" w:eastAsia="微软雅黑" w:cs="微软雅黑"/>
                <w:color w:val="auto"/>
                <w:spacing w:val="-2"/>
                <w:sz w:val="20"/>
                <w:szCs w:val="20"/>
                <w:highlight w:val="none"/>
              </w:rPr>
            </w:pPr>
          </w:p>
        </w:tc>
        <w:tc>
          <w:tcPr>
            <w:tcW w:w="1168" w:type="dxa"/>
            <w:vAlign w:val="center"/>
          </w:tcPr>
          <w:p w14:paraId="76452D26">
            <w:pPr>
              <w:spacing w:line="400" w:lineRule="exact"/>
              <w:jc w:val="center"/>
              <w:rPr>
                <w:rFonts w:hint="eastAsia" w:ascii="微软雅黑" w:hAnsi="微软雅黑" w:eastAsia="微软雅黑" w:cs="微软雅黑"/>
                <w:color w:val="auto"/>
                <w:spacing w:val="-2"/>
                <w:sz w:val="20"/>
                <w:szCs w:val="20"/>
                <w:highlight w:val="none"/>
              </w:rPr>
            </w:pPr>
            <w:r>
              <w:rPr>
                <w:rFonts w:hint="eastAsia" w:ascii="微软雅黑" w:hAnsi="微软雅黑" w:eastAsia="微软雅黑" w:cs="微软雅黑"/>
                <w:color w:val="auto"/>
                <w:spacing w:val="-2"/>
                <w:sz w:val="20"/>
                <w:szCs w:val="20"/>
                <w:highlight w:val="none"/>
              </w:rPr>
              <w:t>是否合格</w:t>
            </w:r>
          </w:p>
        </w:tc>
      </w:tr>
      <w:tr w14:paraId="5CC8C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55" w:type="dxa"/>
            <w:vAlign w:val="center"/>
          </w:tcPr>
          <w:p w14:paraId="54452D76">
            <w:pPr>
              <w:spacing w:line="400" w:lineRule="exact"/>
              <w:jc w:val="center"/>
              <w:rPr>
                <w:rFonts w:hint="eastAsia" w:ascii="微软雅黑" w:hAnsi="微软雅黑" w:eastAsia="微软雅黑" w:cs="微软雅黑"/>
                <w:color w:val="auto"/>
                <w:spacing w:val="-2"/>
                <w:sz w:val="20"/>
                <w:szCs w:val="20"/>
                <w:highlight w:val="none"/>
              </w:rPr>
            </w:pPr>
            <w:r>
              <w:rPr>
                <w:rFonts w:hint="eastAsia" w:ascii="微软雅黑" w:hAnsi="微软雅黑" w:eastAsia="微软雅黑" w:cs="微软雅黑"/>
                <w:color w:val="auto"/>
                <w:spacing w:val="-2"/>
                <w:sz w:val="20"/>
                <w:szCs w:val="20"/>
                <w:highlight w:val="none"/>
              </w:rPr>
              <w:t>1</w:t>
            </w:r>
          </w:p>
        </w:tc>
        <w:tc>
          <w:tcPr>
            <w:tcW w:w="7596" w:type="dxa"/>
            <w:vAlign w:val="center"/>
          </w:tcPr>
          <w:p w14:paraId="4D710804">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pacing w:val="-2"/>
                <w:sz w:val="20"/>
                <w:szCs w:val="20"/>
                <w:highlight w:val="none"/>
              </w:rPr>
            </w:pPr>
            <w:r>
              <w:rPr>
                <w:rFonts w:hint="eastAsia" w:ascii="微软雅黑" w:hAnsi="微软雅黑" w:eastAsia="微软雅黑" w:cs="微软雅黑"/>
                <w:color w:val="auto"/>
                <w:spacing w:val="-2"/>
                <w:sz w:val="20"/>
                <w:szCs w:val="20"/>
                <w:highlight w:val="none"/>
              </w:rPr>
              <w:t>各供应商投标</w:t>
            </w:r>
            <w:r>
              <w:rPr>
                <w:rFonts w:hint="eastAsia" w:ascii="微软雅黑" w:hAnsi="微软雅黑" w:eastAsia="微软雅黑" w:cs="微软雅黑"/>
                <w:color w:val="auto"/>
                <w:spacing w:val="-2"/>
                <w:sz w:val="20"/>
                <w:szCs w:val="20"/>
                <w:highlight w:val="none"/>
                <w:lang w:val="en-US" w:eastAsia="zh-CN"/>
              </w:rPr>
              <w:t>总价</w:t>
            </w:r>
            <w:r>
              <w:rPr>
                <w:rFonts w:hint="eastAsia" w:ascii="微软雅黑" w:hAnsi="微软雅黑" w:eastAsia="微软雅黑" w:cs="微软雅黑"/>
                <w:color w:val="auto"/>
                <w:spacing w:val="-2"/>
                <w:sz w:val="20"/>
                <w:szCs w:val="20"/>
                <w:highlight w:val="none"/>
              </w:rPr>
              <w:t>未高于最高限制</w:t>
            </w:r>
            <w:r>
              <w:rPr>
                <w:rFonts w:hint="eastAsia" w:ascii="微软雅黑" w:hAnsi="微软雅黑" w:eastAsia="微软雅黑" w:cs="微软雅黑"/>
                <w:color w:val="auto"/>
                <w:spacing w:val="-2"/>
                <w:sz w:val="20"/>
                <w:szCs w:val="20"/>
                <w:highlight w:val="none"/>
                <w:lang w:val="en-US" w:eastAsia="zh-CN"/>
              </w:rPr>
              <w:t>总价</w:t>
            </w:r>
            <w:r>
              <w:rPr>
                <w:rFonts w:hint="eastAsia" w:ascii="微软雅黑" w:hAnsi="微软雅黑" w:eastAsia="微软雅黑" w:cs="微软雅黑"/>
                <w:color w:val="auto"/>
                <w:spacing w:val="-2"/>
                <w:sz w:val="20"/>
                <w:szCs w:val="20"/>
                <w:highlight w:val="none"/>
                <w:lang w:eastAsia="zh-CN"/>
              </w:rPr>
              <w:t>（</w:t>
            </w:r>
            <w:r>
              <w:rPr>
                <w:rFonts w:hint="eastAsia" w:ascii="微软雅黑" w:hAnsi="微软雅黑" w:eastAsia="微软雅黑" w:cs="微软雅黑"/>
                <w:color w:val="auto"/>
                <w:spacing w:val="-2"/>
                <w:sz w:val="20"/>
                <w:szCs w:val="20"/>
                <w:highlight w:val="none"/>
              </w:rPr>
              <w:t>各供应商</w:t>
            </w:r>
            <w:r>
              <w:rPr>
                <w:rFonts w:hint="eastAsia" w:ascii="微软雅黑" w:hAnsi="微软雅黑" w:eastAsia="微软雅黑" w:cs="微软雅黑"/>
                <w:color w:val="auto"/>
                <w:spacing w:val="-2"/>
                <w:sz w:val="20"/>
                <w:szCs w:val="20"/>
                <w:highlight w:val="none"/>
                <w:lang w:val="en-US" w:eastAsia="zh-CN"/>
              </w:rPr>
              <w:t>所投货物单价</w:t>
            </w:r>
            <w:r>
              <w:rPr>
                <w:rFonts w:hint="eastAsia" w:ascii="微软雅黑" w:hAnsi="微软雅黑" w:eastAsia="微软雅黑" w:cs="微软雅黑"/>
                <w:color w:val="auto"/>
                <w:spacing w:val="-2"/>
                <w:sz w:val="20"/>
                <w:szCs w:val="20"/>
                <w:highlight w:val="none"/>
              </w:rPr>
              <w:t>未高于最高限制</w:t>
            </w:r>
            <w:r>
              <w:rPr>
                <w:rFonts w:hint="eastAsia" w:ascii="微软雅黑" w:hAnsi="微软雅黑" w:eastAsia="微软雅黑" w:cs="微软雅黑"/>
                <w:color w:val="auto"/>
                <w:spacing w:val="-2"/>
                <w:sz w:val="20"/>
                <w:szCs w:val="20"/>
                <w:highlight w:val="none"/>
                <w:lang w:val="en-US" w:eastAsia="zh-CN"/>
              </w:rPr>
              <w:t>单价</w:t>
            </w:r>
            <w:r>
              <w:rPr>
                <w:rFonts w:hint="eastAsia" w:ascii="微软雅黑" w:hAnsi="微软雅黑" w:eastAsia="微软雅黑" w:cs="微软雅黑"/>
                <w:color w:val="auto"/>
                <w:spacing w:val="-2"/>
                <w:sz w:val="20"/>
                <w:szCs w:val="20"/>
                <w:highlight w:val="none"/>
                <w:lang w:eastAsia="zh-CN"/>
              </w:rPr>
              <w:t>）</w:t>
            </w:r>
            <w:r>
              <w:rPr>
                <w:rFonts w:hint="eastAsia" w:ascii="微软雅黑" w:hAnsi="微软雅黑" w:eastAsia="微软雅黑" w:cs="微软雅黑"/>
                <w:color w:val="auto"/>
                <w:spacing w:val="-2"/>
                <w:sz w:val="20"/>
                <w:szCs w:val="20"/>
                <w:highlight w:val="none"/>
              </w:rPr>
              <w:t>；</w:t>
            </w:r>
          </w:p>
        </w:tc>
        <w:tc>
          <w:tcPr>
            <w:tcW w:w="1168" w:type="dxa"/>
            <w:vAlign w:val="center"/>
          </w:tcPr>
          <w:p w14:paraId="50E015E4">
            <w:pPr>
              <w:spacing w:line="400" w:lineRule="exact"/>
              <w:rPr>
                <w:rFonts w:hint="eastAsia" w:ascii="微软雅黑" w:hAnsi="微软雅黑" w:eastAsia="微软雅黑" w:cs="微软雅黑"/>
                <w:color w:val="auto"/>
                <w:spacing w:val="-2"/>
                <w:sz w:val="20"/>
                <w:szCs w:val="20"/>
                <w:highlight w:val="none"/>
              </w:rPr>
            </w:pPr>
          </w:p>
        </w:tc>
      </w:tr>
      <w:tr w14:paraId="68858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55" w:type="dxa"/>
            <w:vAlign w:val="center"/>
          </w:tcPr>
          <w:p w14:paraId="77CBE781">
            <w:pPr>
              <w:spacing w:line="400" w:lineRule="exact"/>
              <w:jc w:val="center"/>
              <w:rPr>
                <w:rFonts w:hint="eastAsia" w:ascii="微软雅黑" w:hAnsi="微软雅黑" w:eastAsia="微软雅黑" w:cs="微软雅黑"/>
                <w:color w:val="auto"/>
                <w:spacing w:val="-2"/>
                <w:sz w:val="20"/>
                <w:szCs w:val="20"/>
                <w:highlight w:val="none"/>
              </w:rPr>
            </w:pPr>
            <w:r>
              <w:rPr>
                <w:rFonts w:hint="eastAsia" w:ascii="微软雅黑" w:hAnsi="微软雅黑" w:eastAsia="微软雅黑" w:cs="微软雅黑"/>
                <w:color w:val="auto"/>
                <w:spacing w:val="-2"/>
                <w:sz w:val="20"/>
                <w:szCs w:val="20"/>
                <w:highlight w:val="none"/>
              </w:rPr>
              <w:t>2</w:t>
            </w:r>
          </w:p>
        </w:tc>
        <w:tc>
          <w:tcPr>
            <w:tcW w:w="7596" w:type="dxa"/>
            <w:vAlign w:val="center"/>
          </w:tcPr>
          <w:p w14:paraId="072A85BD">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pacing w:val="-2"/>
                <w:sz w:val="20"/>
                <w:szCs w:val="20"/>
                <w:highlight w:val="none"/>
              </w:rPr>
            </w:pPr>
            <w:r>
              <w:rPr>
                <w:rFonts w:hint="eastAsia" w:ascii="微软雅黑" w:hAnsi="微软雅黑" w:eastAsia="微软雅黑" w:cs="微软雅黑"/>
                <w:color w:val="auto"/>
                <w:spacing w:val="-2"/>
                <w:sz w:val="20"/>
                <w:szCs w:val="20"/>
                <w:highlight w:val="none"/>
              </w:rPr>
              <w:t>评标委员会认为供应商的报价无明显低于其他通过</w:t>
            </w:r>
            <w:r>
              <w:rPr>
                <w:rFonts w:hint="eastAsia" w:ascii="微软雅黑" w:hAnsi="微软雅黑" w:eastAsia="微软雅黑" w:cs="微软雅黑"/>
                <w:color w:val="auto"/>
                <w:spacing w:val="-2"/>
                <w:sz w:val="20"/>
                <w:szCs w:val="20"/>
                <w:highlight w:val="none"/>
                <w:lang w:val="en-US" w:eastAsia="zh-CN"/>
              </w:rPr>
              <w:t>符合</w:t>
            </w:r>
            <w:r>
              <w:rPr>
                <w:rFonts w:hint="eastAsia" w:ascii="微软雅黑" w:hAnsi="微软雅黑" w:eastAsia="微软雅黑" w:cs="微软雅黑"/>
                <w:color w:val="auto"/>
                <w:spacing w:val="-2"/>
                <w:sz w:val="20"/>
                <w:szCs w:val="20"/>
                <w:highlight w:val="none"/>
              </w:rPr>
              <w:t>性审查供应商的报价的，供应商的报价不存在异常一致并成规律性的，其报价合理；</w:t>
            </w:r>
          </w:p>
        </w:tc>
        <w:tc>
          <w:tcPr>
            <w:tcW w:w="1168" w:type="dxa"/>
            <w:vAlign w:val="center"/>
          </w:tcPr>
          <w:p w14:paraId="160775A0">
            <w:pPr>
              <w:spacing w:line="400" w:lineRule="exact"/>
              <w:rPr>
                <w:rFonts w:hint="eastAsia" w:ascii="微软雅黑" w:hAnsi="微软雅黑" w:eastAsia="微软雅黑" w:cs="微软雅黑"/>
                <w:color w:val="auto"/>
                <w:spacing w:val="-2"/>
                <w:sz w:val="20"/>
                <w:szCs w:val="20"/>
                <w:highlight w:val="none"/>
              </w:rPr>
            </w:pPr>
          </w:p>
        </w:tc>
      </w:tr>
      <w:tr w14:paraId="71059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55" w:type="dxa"/>
            <w:vAlign w:val="center"/>
          </w:tcPr>
          <w:p w14:paraId="2BC78213">
            <w:pPr>
              <w:spacing w:line="400" w:lineRule="exact"/>
              <w:jc w:val="center"/>
              <w:rPr>
                <w:rFonts w:hint="eastAsia" w:ascii="微软雅黑" w:hAnsi="微软雅黑" w:eastAsia="微软雅黑" w:cs="微软雅黑"/>
                <w:color w:val="auto"/>
                <w:spacing w:val="-2"/>
                <w:sz w:val="20"/>
                <w:szCs w:val="20"/>
                <w:highlight w:val="none"/>
              </w:rPr>
            </w:pPr>
            <w:r>
              <w:rPr>
                <w:rFonts w:hint="eastAsia" w:ascii="微软雅黑" w:hAnsi="微软雅黑" w:eastAsia="微软雅黑" w:cs="微软雅黑"/>
                <w:color w:val="auto"/>
                <w:spacing w:val="-2"/>
                <w:sz w:val="20"/>
                <w:szCs w:val="20"/>
                <w:highlight w:val="none"/>
              </w:rPr>
              <w:t>3</w:t>
            </w:r>
          </w:p>
        </w:tc>
        <w:tc>
          <w:tcPr>
            <w:tcW w:w="7596" w:type="dxa"/>
            <w:vAlign w:val="center"/>
          </w:tcPr>
          <w:p w14:paraId="471E3A5B">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pacing w:val="-2"/>
                <w:sz w:val="20"/>
                <w:szCs w:val="20"/>
                <w:highlight w:val="none"/>
              </w:rPr>
            </w:pPr>
            <w:r>
              <w:rPr>
                <w:rFonts w:hint="eastAsia" w:ascii="微软雅黑" w:hAnsi="微软雅黑" w:eastAsia="微软雅黑" w:cs="微软雅黑"/>
                <w:color w:val="auto"/>
                <w:spacing w:val="-2"/>
                <w:sz w:val="20"/>
                <w:szCs w:val="20"/>
                <w:highlight w:val="none"/>
              </w:rPr>
              <w:t>投标文件按照招标文件的规定编制、标记及签署盖章的，法定代表人</w:t>
            </w:r>
            <w:r>
              <w:rPr>
                <w:rFonts w:hint="eastAsia" w:ascii="微软雅黑" w:hAnsi="微软雅黑" w:eastAsia="微软雅黑" w:cs="微软雅黑"/>
                <w:color w:val="auto"/>
                <w:spacing w:val="-2"/>
                <w:sz w:val="20"/>
                <w:szCs w:val="20"/>
                <w:highlight w:val="none"/>
                <w:lang w:val="en-US" w:eastAsia="zh-CN"/>
              </w:rPr>
              <w:t>签/</w:t>
            </w:r>
            <w:r>
              <w:rPr>
                <w:rFonts w:hint="eastAsia" w:ascii="微软雅黑" w:hAnsi="微软雅黑" w:eastAsia="微软雅黑" w:cs="微软雅黑"/>
                <w:color w:val="auto"/>
                <w:spacing w:val="-2"/>
                <w:sz w:val="20"/>
                <w:szCs w:val="20"/>
                <w:highlight w:val="none"/>
              </w:rPr>
              <w:t>章</w:t>
            </w:r>
            <w:r>
              <w:rPr>
                <w:rFonts w:hint="eastAsia" w:ascii="微软雅黑" w:hAnsi="微软雅黑" w:eastAsia="微软雅黑" w:cs="微软雅黑"/>
                <w:color w:val="auto"/>
                <w:spacing w:val="-2"/>
                <w:sz w:val="20"/>
                <w:szCs w:val="20"/>
                <w:highlight w:val="none"/>
                <w:lang w:eastAsia="zh-CN"/>
              </w:rPr>
              <w:t>；</w:t>
            </w:r>
          </w:p>
        </w:tc>
        <w:tc>
          <w:tcPr>
            <w:tcW w:w="1168" w:type="dxa"/>
            <w:vAlign w:val="center"/>
          </w:tcPr>
          <w:p w14:paraId="6F09DE1B">
            <w:pPr>
              <w:spacing w:line="400" w:lineRule="exact"/>
              <w:rPr>
                <w:rFonts w:hint="eastAsia" w:ascii="微软雅黑" w:hAnsi="微软雅黑" w:eastAsia="微软雅黑" w:cs="微软雅黑"/>
                <w:color w:val="auto"/>
                <w:sz w:val="20"/>
                <w:szCs w:val="20"/>
                <w:highlight w:val="none"/>
              </w:rPr>
            </w:pPr>
          </w:p>
        </w:tc>
      </w:tr>
      <w:tr w14:paraId="12D71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855" w:type="dxa"/>
            <w:vAlign w:val="center"/>
          </w:tcPr>
          <w:p w14:paraId="7F8739EB">
            <w:pPr>
              <w:spacing w:line="400" w:lineRule="exact"/>
              <w:jc w:val="center"/>
              <w:rPr>
                <w:rFonts w:hint="eastAsia" w:ascii="微软雅黑" w:hAnsi="微软雅黑" w:eastAsia="微软雅黑" w:cs="微软雅黑"/>
                <w:color w:val="auto"/>
                <w:spacing w:val="-2"/>
                <w:kern w:val="2"/>
                <w:sz w:val="20"/>
                <w:szCs w:val="20"/>
                <w:highlight w:val="none"/>
                <w:lang w:val="en-US" w:eastAsia="zh-CN" w:bidi="ar-SA"/>
              </w:rPr>
            </w:pPr>
            <w:r>
              <w:rPr>
                <w:rFonts w:hint="eastAsia" w:ascii="微软雅黑" w:hAnsi="微软雅黑" w:eastAsia="微软雅黑" w:cs="微软雅黑"/>
                <w:color w:val="auto"/>
                <w:spacing w:val="-2"/>
                <w:sz w:val="20"/>
                <w:szCs w:val="20"/>
                <w:highlight w:val="none"/>
              </w:rPr>
              <w:t>4</w:t>
            </w:r>
          </w:p>
        </w:tc>
        <w:tc>
          <w:tcPr>
            <w:tcW w:w="7596" w:type="dxa"/>
            <w:vAlign w:val="center"/>
          </w:tcPr>
          <w:p w14:paraId="1F85E56E">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pacing w:val="-2"/>
                <w:kern w:val="2"/>
                <w:sz w:val="20"/>
                <w:szCs w:val="20"/>
                <w:highlight w:val="none"/>
                <w:lang w:val="en-US" w:eastAsia="zh-CN" w:bidi="ar-SA"/>
              </w:rPr>
            </w:pPr>
            <w:r>
              <w:rPr>
                <w:rFonts w:hint="eastAsia" w:ascii="微软雅黑" w:hAnsi="微软雅黑" w:eastAsia="微软雅黑" w:cs="微软雅黑"/>
                <w:color w:val="auto"/>
                <w:spacing w:val="-2"/>
                <w:sz w:val="20"/>
                <w:szCs w:val="20"/>
                <w:highlight w:val="none"/>
              </w:rPr>
              <w:t>所投产品的设备及数量满足招标文件要求的；</w:t>
            </w:r>
          </w:p>
        </w:tc>
        <w:tc>
          <w:tcPr>
            <w:tcW w:w="1168" w:type="dxa"/>
            <w:vAlign w:val="center"/>
          </w:tcPr>
          <w:p w14:paraId="1738D9E2">
            <w:pPr>
              <w:spacing w:line="400" w:lineRule="exact"/>
              <w:rPr>
                <w:rFonts w:hint="eastAsia" w:ascii="微软雅黑" w:hAnsi="微软雅黑" w:eastAsia="微软雅黑" w:cs="微软雅黑"/>
                <w:color w:val="auto"/>
                <w:spacing w:val="-2"/>
                <w:sz w:val="20"/>
                <w:szCs w:val="20"/>
                <w:highlight w:val="none"/>
              </w:rPr>
            </w:pPr>
          </w:p>
        </w:tc>
      </w:tr>
      <w:tr w14:paraId="7C45D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855" w:type="dxa"/>
            <w:vAlign w:val="center"/>
          </w:tcPr>
          <w:p w14:paraId="2BD6F202">
            <w:pPr>
              <w:spacing w:line="400" w:lineRule="exact"/>
              <w:jc w:val="center"/>
              <w:rPr>
                <w:rFonts w:hint="eastAsia" w:ascii="微软雅黑" w:hAnsi="微软雅黑" w:eastAsia="微软雅黑" w:cs="微软雅黑"/>
                <w:color w:val="auto"/>
                <w:spacing w:val="-2"/>
                <w:kern w:val="2"/>
                <w:sz w:val="20"/>
                <w:szCs w:val="20"/>
                <w:highlight w:val="none"/>
                <w:lang w:val="en-US" w:eastAsia="zh-CN" w:bidi="ar-SA"/>
              </w:rPr>
            </w:pPr>
            <w:r>
              <w:rPr>
                <w:rFonts w:hint="eastAsia" w:ascii="微软雅黑" w:hAnsi="微软雅黑" w:eastAsia="微软雅黑" w:cs="微软雅黑"/>
                <w:color w:val="auto"/>
                <w:spacing w:val="-2"/>
                <w:sz w:val="20"/>
                <w:szCs w:val="20"/>
                <w:highlight w:val="none"/>
              </w:rPr>
              <w:t>5</w:t>
            </w:r>
          </w:p>
        </w:tc>
        <w:tc>
          <w:tcPr>
            <w:tcW w:w="7596" w:type="dxa"/>
            <w:vAlign w:val="center"/>
          </w:tcPr>
          <w:p w14:paraId="49F0D641">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pacing w:val="-2"/>
                <w:kern w:val="2"/>
                <w:sz w:val="20"/>
                <w:szCs w:val="20"/>
                <w:highlight w:val="none"/>
                <w:lang w:val="en-US" w:eastAsia="zh-CN" w:bidi="ar-SA"/>
              </w:rPr>
            </w:pPr>
            <w:r>
              <w:rPr>
                <w:rFonts w:hint="eastAsia" w:ascii="微软雅黑" w:hAnsi="微软雅黑" w:eastAsia="微软雅黑" w:cs="微软雅黑"/>
                <w:color w:val="auto"/>
                <w:spacing w:val="-2"/>
                <w:sz w:val="20"/>
                <w:szCs w:val="20"/>
                <w:highlight w:val="none"/>
              </w:rPr>
              <w:t>按招标文件规定的格式填写，内容</w:t>
            </w:r>
            <w:r>
              <w:rPr>
                <w:rFonts w:hint="eastAsia" w:ascii="微软雅黑" w:hAnsi="微软雅黑" w:eastAsia="微软雅黑" w:cs="微软雅黑"/>
                <w:color w:val="auto"/>
                <w:spacing w:val="-2"/>
                <w:sz w:val="20"/>
                <w:szCs w:val="20"/>
                <w:highlight w:val="none"/>
                <w:lang w:val="en-US" w:eastAsia="zh-CN"/>
              </w:rPr>
              <w:t>全面</w:t>
            </w:r>
            <w:r>
              <w:rPr>
                <w:rFonts w:hint="eastAsia" w:ascii="微软雅黑" w:hAnsi="微软雅黑" w:eastAsia="微软雅黑" w:cs="微软雅黑"/>
                <w:color w:val="auto"/>
                <w:spacing w:val="-2"/>
                <w:sz w:val="20"/>
                <w:szCs w:val="20"/>
                <w:highlight w:val="none"/>
              </w:rPr>
              <w:t>；</w:t>
            </w:r>
          </w:p>
        </w:tc>
        <w:tc>
          <w:tcPr>
            <w:tcW w:w="1168" w:type="dxa"/>
            <w:vAlign w:val="center"/>
          </w:tcPr>
          <w:p w14:paraId="7A48CABB">
            <w:pPr>
              <w:spacing w:line="400" w:lineRule="exact"/>
              <w:rPr>
                <w:rFonts w:hint="eastAsia" w:ascii="微软雅黑" w:hAnsi="微软雅黑" w:eastAsia="微软雅黑" w:cs="微软雅黑"/>
                <w:color w:val="auto"/>
                <w:spacing w:val="-2"/>
                <w:sz w:val="20"/>
                <w:szCs w:val="20"/>
                <w:highlight w:val="none"/>
              </w:rPr>
            </w:pPr>
          </w:p>
        </w:tc>
      </w:tr>
      <w:tr w14:paraId="13F21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55" w:type="dxa"/>
            <w:vAlign w:val="center"/>
          </w:tcPr>
          <w:p w14:paraId="0EC05865">
            <w:pPr>
              <w:spacing w:line="400" w:lineRule="exact"/>
              <w:jc w:val="center"/>
              <w:rPr>
                <w:rFonts w:hint="eastAsia" w:ascii="微软雅黑" w:hAnsi="微软雅黑" w:eastAsia="微软雅黑" w:cs="微软雅黑"/>
                <w:color w:val="auto"/>
                <w:spacing w:val="-2"/>
                <w:kern w:val="2"/>
                <w:sz w:val="20"/>
                <w:szCs w:val="20"/>
                <w:highlight w:val="none"/>
                <w:lang w:val="en-US" w:eastAsia="zh-CN" w:bidi="ar-SA"/>
              </w:rPr>
            </w:pPr>
            <w:r>
              <w:rPr>
                <w:rFonts w:hint="eastAsia" w:ascii="微软雅黑" w:hAnsi="微软雅黑" w:eastAsia="微软雅黑" w:cs="微软雅黑"/>
                <w:color w:val="auto"/>
                <w:spacing w:val="-2"/>
                <w:sz w:val="20"/>
                <w:szCs w:val="20"/>
                <w:highlight w:val="none"/>
              </w:rPr>
              <w:t>6</w:t>
            </w:r>
          </w:p>
        </w:tc>
        <w:tc>
          <w:tcPr>
            <w:tcW w:w="7596" w:type="dxa"/>
            <w:vAlign w:val="center"/>
          </w:tcPr>
          <w:p w14:paraId="37BF7F24">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pacing w:val="-2"/>
                <w:kern w:val="2"/>
                <w:sz w:val="20"/>
                <w:szCs w:val="20"/>
                <w:highlight w:val="none"/>
                <w:lang w:val="en-US" w:eastAsia="zh-CN" w:bidi="ar-SA"/>
              </w:rPr>
            </w:pPr>
            <w:r>
              <w:rPr>
                <w:rFonts w:hint="eastAsia" w:ascii="微软雅黑" w:hAnsi="微软雅黑" w:eastAsia="微软雅黑" w:cs="微软雅黑"/>
                <w:color w:val="auto"/>
                <w:spacing w:val="-2"/>
                <w:sz w:val="20"/>
                <w:szCs w:val="20"/>
                <w:highlight w:val="none"/>
                <w:lang w:val="en-US" w:eastAsia="zh-CN"/>
              </w:rPr>
              <w:t>符合招标文件中规定的要求（到货期、质保期）；</w:t>
            </w:r>
          </w:p>
        </w:tc>
        <w:tc>
          <w:tcPr>
            <w:tcW w:w="1168" w:type="dxa"/>
            <w:vAlign w:val="center"/>
          </w:tcPr>
          <w:p w14:paraId="77D92069">
            <w:pPr>
              <w:spacing w:line="400" w:lineRule="exact"/>
              <w:rPr>
                <w:rFonts w:hint="eastAsia" w:ascii="微软雅黑" w:hAnsi="微软雅黑" w:eastAsia="微软雅黑" w:cs="微软雅黑"/>
                <w:color w:val="auto"/>
                <w:spacing w:val="-2"/>
                <w:sz w:val="20"/>
                <w:szCs w:val="20"/>
                <w:highlight w:val="none"/>
              </w:rPr>
            </w:pPr>
          </w:p>
        </w:tc>
      </w:tr>
      <w:tr w14:paraId="27490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55" w:type="dxa"/>
            <w:vAlign w:val="center"/>
          </w:tcPr>
          <w:p w14:paraId="4E2E5BC0">
            <w:pPr>
              <w:spacing w:line="400" w:lineRule="exact"/>
              <w:jc w:val="center"/>
              <w:rPr>
                <w:rFonts w:hint="eastAsia" w:ascii="微软雅黑" w:hAnsi="微软雅黑" w:eastAsia="微软雅黑" w:cs="微软雅黑"/>
                <w:color w:val="auto"/>
                <w:spacing w:val="-2"/>
                <w:kern w:val="2"/>
                <w:sz w:val="20"/>
                <w:szCs w:val="20"/>
                <w:highlight w:val="none"/>
                <w:lang w:val="en-US" w:eastAsia="zh-CN" w:bidi="ar-SA"/>
              </w:rPr>
            </w:pPr>
            <w:r>
              <w:rPr>
                <w:rFonts w:hint="eastAsia" w:ascii="微软雅黑" w:hAnsi="微软雅黑" w:eastAsia="微软雅黑" w:cs="微软雅黑"/>
                <w:color w:val="auto"/>
                <w:spacing w:val="-2"/>
                <w:sz w:val="20"/>
                <w:szCs w:val="20"/>
                <w:highlight w:val="none"/>
              </w:rPr>
              <w:t>7</w:t>
            </w:r>
          </w:p>
        </w:tc>
        <w:tc>
          <w:tcPr>
            <w:tcW w:w="7596" w:type="dxa"/>
            <w:vAlign w:val="center"/>
          </w:tcPr>
          <w:p w14:paraId="7598FD15">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pacing w:val="-2"/>
                <w:kern w:val="2"/>
                <w:sz w:val="20"/>
                <w:szCs w:val="20"/>
                <w:highlight w:val="none"/>
                <w:lang w:val="en-US" w:eastAsia="zh-CN" w:bidi="ar-SA"/>
              </w:rPr>
            </w:pPr>
            <w:r>
              <w:rPr>
                <w:rFonts w:hint="eastAsia" w:ascii="微软雅黑" w:hAnsi="微软雅黑" w:eastAsia="微软雅黑" w:cs="微软雅黑"/>
                <w:color w:val="auto"/>
                <w:spacing w:val="-2"/>
                <w:sz w:val="20"/>
                <w:szCs w:val="20"/>
                <w:highlight w:val="none"/>
              </w:rPr>
              <w:t>没有采购人不能接受的附加条件的；</w:t>
            </w:r>
          </w:p>
        </w:tc>
        <w:tc>
          <w:tcPr>
            <w:tcW w:w="1168" w:type="dxa"/>
            <w:vAlign w:val="center"/>
          </w:tcPr>
          <w:p w14:paraId="45E58EBE">
            <w:pPr>
              <w:spacing w:line="400" w:lineRule="exact"/>
              <w:rPr>
                <w:rFonts w:hint="eastAsia" w:ascii="微软雅黑" w:hAnsi="微软雅黑" w:eastAsia="微软雅黑" w:cs="微软雅黑"/>
                <w:color w:val="auto"/>
                <w:spacing w:val="-2"/>
                <w:sz w:val="20"/>
                <w:szCs w:val="20"/>
                <w:highlight w:val="none"/>
              </w:rPr>
            </w:pPr>
          </w:p>
        </w:tc>
      </w:tr>
      <w:tr w14:paraId="70291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55" w:type="dxa"/>
            <w:vAlign w:val="center"/>
          </w:tcPr>
          <w:p w14:paraId="273251F2">
            <w:pPr>
              <w:spacing w:line="400" w:lineRule="exact"/>
              <w:jc w:val="center"/>
              <w:rPr>
                <w:rFonts w:hint="eastAsia" w:ascii="微软雅黑" w:hAnsi="微软雅黑" w:eastAsia="微软雅黑" w:cs="微软雅黑"/>
                <w:color w:val="auto"/>
                <w:spacing w:val="-2"/>
                <w:kern w:val="2"/>
                <w:sz w:val="20"/>
                <w:szCs w:val="20"/>
                <w:highlight w:val="none"/>
                <w:lang w:val="en-US" w:eastAsia="zh-CN" w:bidi="ar-SA"/>
              </w:rPr>
            </w:pPr>
            <w:r>
              <w:rPr>
                <w:rFonts w:hint="eastAsia" w:ascii="微软雅黑" w:hAnsi="微软雅黑" w:eastAsia="微软雅黑" w:cs="微软雅黑"/>
                <w:color w:val="auto"/>
                <w:spacing w:val="-2"/>
                <w:sz w:val="20"/>
                <w:szCs w:val="20"/>
                <w:highlight w:val="none"/>
              </w:rPr>
              <w:t>8</w:t>
            </w:r>
          </w:p>
        </w:tc>
        <w:tc>
          <w:tcPr>
            <w:tcW w:w="7596" w:type="dxa"/>
            <w:vAlign w:val="center"/>
          </w:tcPr>
          <w:p w14:paraId="2D958B23">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pacing w:val="-2"/>
                <w:kern w:val="2"/>
                <w:sz w:val="20"/>
                <w:szCs w:val="20"/>
                <w:highlight w:val="none"/>
                <w:lang w:val="en-US" w:eastAsia="zh-CN" w:bidi="ar-SA"/>
              </w:rPr>
            </w:pPr>
            <w:r>
              <w:rPr>
                <w:rFonts w:hint="eastAsia" w:ascii="微软雅黑" w:hAnsi="微软雅黑" w:eastAsia="微软雅黑" w:cs="微软雅黑"/>
                <w:color w:val="auto"/>
                <w:spacing w:val="-2"/>
                <w:sz w:val="20"/>
                <w:szCs w:val="20"/>
                <w:highlight w:val="none"/>
              </w:rPr>
              <w:t>不同供应商的投标文件没有错漏一致的情况；</w:t>
            </w:r>
          </w:p>
        </w:tc>
        <w:tc>
          <w:tcPr>
            <w:tcW w:w="1168" w:type="dxa"/>
            <w:vAlign w:val="center"/>
          </w:tcPr>
          <w:p w14:paraId="06AEB25E">
            <w:pPr>
              <w:spacing w:line="400" w:lineRule="exact"/>
              <w:rPr>
                <w:rFonts w:hint="eastAsia" w:ascii="微软雅黑" w:hAnsi="微软雅黑" w:eastAsia="微软雅黑" w:cs="微软雅黑"/>
                <w:color w:val="auto"/>
                <w:spacing w:val="-2"/>
                <w:sz w:val="20"/>
                <w:szCs w:val="20"/>
                <w:highlight w:val="none"/>
              </w:rPr>
            </w:pPr>
          </w:p>
        </w:tc>
      </w:tr>
      <w:tr w14:paraId="32302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55" w:type="dxa"/>
            <w:vAlign w:val="center"/>
          </w:tcPr>
          <w:p w14:paraId="7EA58D92">
            <w:pPr>
              <w:spacing w:line="400" w:lineRule="exact"/>
              <w:jc w:val="center"/>
              <w:rPr>
                <w:rFonts w:hint="eastAsia" w:ascii="微软雅黑" w:hAnsi="微软雅黑" w:eastAsia="微软雅黑" w:cs="微软雅黑"/>
                <w:color w:val="auto"/>
                <w:spacing w:val="-2"/>
                <w:kern w:val="2"/>
                <w:sz w:val="20"/>
                <w:szCs w:val="20"/>
                <w:highlight w:val="none"/>
                <w:lang w:val="en-US" w:eastAsia="zh-CN" w:bidi="ar-SA"/>
              </w:rPr>
            </w:pPr>
            <w:r>
              <w:rPr>
                <w:rFonts w:hint="eastAsia" w:ascii="微软雅黑" w:hAnsi="微软雅黑" w:eastAsia="微软雅黑" w:cs="微软雅黑"/>
                <w:color w:val="auto"/>
                <w:spacing w:val="-2"/>
                <w:sz w:val="20"/>
                <w:szCs w:val="20"/>
                <w:highlight w:val="none"/>
              </w:rPr>
              <w:t>9</w:t>
            </w:r>
          </w:p>
        </w:tc>
        <w:tc>
          <w:tcPr>
            <w:tcW w:w="7596" w:type="dxa"/>
            <w:vAlign w:val="center"/>
          </w:tcPr>
          <w:p w14:paraId="779E5EC1">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pacing w:val="-2"/>
                <w:kern w:val="2"/>
                <w:sz w:val="20"/>
                <w:szCs w:val="20"/>
                <w:highlight w:val="none"/>
                <w:lang w:val="en-US" w:eastAsia="zh-CN" w:bidi="ar-SA"/>
              </w:rPr>
            </w:pPr>
            <w:r>
              <w:rPr>
                <w:rFonts w:hint="eastAsia" w:ascii="微软雅黑" w:hAnsi="微软雅黑" w:eastAsia="微软雅黑" w:cs="微软雅黑"/>
                <w:color w:val="auto"/>
                <w:spacing w:val="-2"/>
                <w:sz w:val="20"/>
                <w:szCs w:val="20"/>
                <w:highlight w:val="none"/>
              </w:rPr>
              <w:t>供应商附有详细地址、联系人、电话标明的</w:t>
            </w:r>
            <w:r>
              <w:rPr>
                <w:rFonts w:hint="eastAsia" w:ascii="微软雅黑" w:hAnsi="微软雅黑" w:eastAsia="微软雅黑" w:cs="微软雅黑"/>
                <w:color w:val="auto"/>
                <w:spacing w:val="-2"/>
                <w:sz w:val="20"/>
                <w:szCs w:val="20"/>
                <w:highlight w:val="none"/>
                <w:lang w:eastAsia="zh-CN"/>
              </w:rPr>
              <w:t>；</w:t>
            </w:r>
          </w:p>
        </w:tc>
        <w:tc>
          <w:tcPr>
            <w:tcW w:w="1168" w:type="dxa"/>
            <w:vAlign w:val="center"/>
          </w:tcPr>
          <w:p w14:paraId="57C5EE62">
            <w:pPr>
              <w:spacing w:line="400" w:lineRule="exact"/>
              <w:rPr>
                <w:rFonts w:hint="eastAsia" w:ascii="微软雅黑" w:hAnsi="微软雅黑" w:eastAsia="微软雅黑" w:cs="微软雅黑"/>
                <w:color w:val="auto"/>
                <w:spacing w:val="-2"/>
                <w:sz w:val="20"/>
                <w:szCs w:val="20"/>
                <w:highlight w:val="none"/>
              </w:rPr>
            </w:pPr>
          </w:p>
        </w:tc>
      </w:tr>
      <w:tr w14:paraId="2716C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55" w:type="dxa"/>
            <w:vAlign w:val="center"/>
          </w:tcPr>
          <w:p w14:paraId="6123FC8B">
            <w:pPr>
              <w:spacing w:line="400" w:lineRule="exact"/>
              <w:jc w:val="center"/>
              <w:rPr>
                <w:rFonts w:hint="eastAsia" w:ascii="微软雅黑" w:hAnsi="微软雅黑" w:eastAsia="微软雅黑" w:cs="微软雅黑"/>
                <w:color w:val="auto"/>
                <w:spacing w:val="-2"/>
                <w:sz w:val="20"/>
                <w:szCs w:val="20"/>
                <w:highlight w:val="none"/>
                <w:lang w:val="en-US" w:eastAsia="zh-CN"/>
              </w:rPr>
            </w:pPr>
            <w:r>
              <w:rPr>
                <w:rFonts w:hint="eastAsia" w:ascii="微软雅黑" w:hAnsi="微软雅黑" w:eastAsia="微软雅黑" w:cs="微软雅黑"/>
                <w:color w:val="auto"/>
                <w:spacing w:val="-2"/>
                <w:sz w:val="20"/>
                <w:szCs w:val="20"/>
                <w:highlight w:val="none"/>
                <w:lang w:val="en-US" w:eastAsia="zh-CN"/>
              </w:rPr>
              <w:t>10</w:t>
            </w:r>
          </w:p>
        </w:tc>
        <w:tc>
          <w:tcPr>
            <w:tcW w:w="7596" w:type="dxa"/>
            <w:vAlign w:val="center"/>
          </w:tcPr>
          <w:p w14:paraId="7EEB0EDB">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pacing w:val="-2"/>
                <w:sz w:val="20"/>
                <w:szCs w:val="20"/>
                <w:highlight w:val="none"/>
                <w:lang w:val="en-US" w:eastAsia="zh-CN"/>
              </w:rPr>
            </w:pPr>
            <w:r>
              <w:rPr>
                <w:rFonts w:hint="eastAsia" w:ascii="微软雅黑" w:hAnsi="微软雅黑" w:eastAsia="微软雅黑" w:cs="微软雅黑"/>
                <w:color w:val="auto"/>
                <w:spacing w:val="-2"/>
                <w:sz w:val="20"/>
                <w:szCs w:val="20"/>
                <w:highlight w:val="none"/>
                <w:lang w:val="en-US" w:eastAsia="zh-CN"/>
              </w:rPr>
              <w:t>未出现法律，法规规定的其它无效情形。</w:t>
            </w:r>
          </w:p>
        </w:tc>
        <w:tc>
          <w:tcPr>
            <w:tcW w:w="1168" w:type="dxa"/>
            <w:vAlign w:val="center"/>
          </w:tcPr>
          <w:p w14:paraId="7ED4D5D1">
            <w:pPr>
              <w:spacing w:line="400" w:lineRule="exact"/>
              <w:rPr>
                <w:rFonts w:hint="eastAsia" w:ascii="微软雅黑" w:hAnsi="微软雅黑" w:eastAsia="微软雅黑" w:cs="微软雅黑"/>
                <w:color w:val="auto"/>
                <w:spacing w:val="-2"/>
                <w:sz w:val="20"/>
                <w:szCs w:val="20"/>
                <w:highlight w:val="none"/>
              </w:rPr>
            </w:pPr>
          </w:p>
        </w:tc>
      </w:tr>
      <w:tr w14:paraId="042D7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8451" w:type="dxa"/>
            <w:gridSpan w:val="2"/>
            <w:vAlign w:val="center"/>
          </w:tcPr>
          <w:p w14:paraId="1AB6DD58">
            <w:pPr>
              <w:spacing w:line="400" w:lineRule="exact"/>
              <w:ind w:firstLine="352" w:firstLineChars="180"/>
              <w:rPr>
                <w:rFonts w:hint="eastAsia" w:ascii="微软雅黑" w:hAnsi="微软雅黑" w:eastAsia="微软雅黑" w:cs="微软雅黑"/>
                <w:color w:val="auto"/>
                <w:spacing w:val="-2"/>
                <w:sz w:val="22"/>
                <w:szCs w:val="22"/>
                <w:highlight w:val="none"/>
              </w:rPr>
            </w:pPr>
            <w:r>
              <w:rPr>
                <w:rFonts w:hint="eastAsia" w:ascii="微软雅黑" w:hAnsi="微软雅黑" w:eastAsia="微软雅黑" w:cs="微软雅黑"/>
                <w:color w:val="auto"/>
                <w:spacing w:val="-2"/>
                <w:sz w:val="20"/>
                <w:szCs w:val="20"/>
                <w:highlight w:val="none"/>
              </w:rPr>
              <w:t>结论：通过评审打“√”，未通过评审打“×”</w:t>
            </w:r>
          </w:p>
        </w:tc>
        <w:tc>
          <w:tcPr>
            <w:tcW w:w="1168" w:type="dxa"/>
            <w:vAlign w:val="center"/>
          </w:tcPr>
          <w:p w14:paraId="2C58DE47">
            <w:pPr>
              <w:spacing w:line="400" w:lineRule="exact"/>
              <w:ind w:firstLine="352" w:firstLineChars="180"/>
              <w:rPr>
                <w:rFonts w:hint="eastAsia" w:ascii="微软雅黑" w:hAnsi="微软雅黑" w:eastAsia="微软雅黑" w:cs="微软雅黑"/>
                <w:color w:val="auto"/>
                <w:spacing w:val="-2"/>
                <w:sz w:val="20"/>
                <w:szCs w:val="20"/>
                <w:highlight w:val="none"/>
              </w:rPr>
            </w:pPr>
          </w:p>
        </w:tc>
      </w:tr>
    </w:tbl>
    <w:p w14:paraId="17381900">
      <w:pPr>
        <w:keepNext w:val="0"/>
        <w:keepLines w:val="0"/>
        <w:pageBreakBefore w:val="0"/>
        <w:widowControl w:val="0"/>
        <w:kinsoku/>
        <w:wordWrap/>
        <w:overflowPunct/>
        <w:topLinePunct w:val="0"/>
        <w:bidi w:val="0"/>
        <w:snapToGrid/>
        <w:spacing w:line="400" w:lineRule="exact"/>
        <w:ind w:left="60"/>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说明：</w:t>
      </w:r>
    </w:p>
    <w:p w14:paraId="6B9B2F99">
      <w:pPr>
        <w:keepNext w:val="0"/>
        <w:keepLines w:val="0"/>
        <w:pageBreakBefore w:val="0"/>
        <w:widowControl w:val="0"/>
        <w:kinsoku/>
        <w:wordWrap/>
        <w:overflowPunct/>
        <w:topLinePunct w:val="0"/>
        <w:bidi w:val="0"/>
        <w:snapToGrid/>
        <w:spacing w:line="400" w:lineRule="exact"/>
        <w:ind w:left="60"/>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（1）上述各项中用“√”表示合格，“×”表示不合格；</w:t>
      </w:r>
    </w:p>
    <w:p w14:paraId="64467F39">
      <w:pPr>
        <w:keepNext w:val="0"/>
        <w:keepLines w:val="0"/>
        <w:pageBreakBefore w:val="0"/>
        <w:widowControl w:val="0"/>
        <w:kinsoku/>
        <w:wordWrap/>
        <w:overflowPunct/>
        <w:topLinePunct w:val="0"/>
        <w:bidi w:val="0"/>
        <w:snapToGrid/>
        <w:spacing w:line="400" w:lineRule="exact"/>
        <w:ind w:left="659" w:leftChars="28" w:hanging="600" w:hangingChars="300"/>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（2）上述各项中如有一项为“×”，则结论为“×”，表示该投标文件中存在重大偏差，不能通过初步评审；评委对某一分项评审认为不合格时，必须要写明原因。</w:t>
      </w:r>
    </w:p>
    <w:p w14:paraId="546A207B">
      <w:pPr>
        <w:keepNext w:val="0"/>
        <w:keepLines w:val="0"/>
        <w:pageBreakBefore w:val="0"/>
        <w:widowControl w:val="0"/>
        <w:kinsoku/>
        <w:wordWrap/>
        <w:overflowPunct/>
        <w:topLinePunct w:val="0"/>
        <w:autoSpaceDE w:val="0"/>
        <w:autoSpaceDN w:val="0"/>
        <w:bidi w:val="0"/>
        <w:adjustRightInd w:val="0"/>
        <w:snapToGrid/>
        <w:spacing w:line="400" w:lineRule="exact"/>
        <w:ind w:firstLine="0"/>
        <w:jc w:val="both"/>
        <w:textAlignment w:val="auto"/>
        <w:rPr>
          <w:rFonts w:hint="eastAsia" w:ascii="微软雅黑" w:hAnsi="微软雅黑" w:eastAsia="微软雅黑" w:cs="微软雅黑"/>
          <w:color w:val="auto"/>
          <w:kern w:val="0"/>
          <w:sz w:val="20"/>
          <w:szCs w:val="20"/>
          <w:highlight w:val="none"/>
          <w:lang w:val="en-US" w:eastAsia="zh-CN" w:bidi="ar-SA"/>
        </w:rPr>
      </w:pPr>
      <w:r>
        <w:rPr>
          <w:rFonts w:hint="eastAsia" w:ascii="微软雅黑" w:hAnsi="微软雅黑" w:eastAsia="微软雅黑" w:cs="微软雅黑"/>
          <w:color w:val="auto"/>
          <w:kern w:val="0"/>
          <w:sz w:val="20"/>
          <w:szCs w:val="20"/>
          <w:highlight w:val="none"/>
          <w:lang w:val="en-US" w:eastAsia="zh-CN" w:bidi="ar-SA"/>
        </w:rPr>
        <w:t>（3）投标文件最终合格与否，以所有评委的评审意见中少数服从多数为原则定论。</w:t>
      </w:r>
    </w:p>
    <w:p w14:paraId="48BF4810">
      <w:pPr>
        <w:keepNext w:val="0"/>
        <w:keepLines w:val="0"/>
        <w:pageBreakBefore w:val="0"/>
        <w:widowControl w:val="0"/>
        <w:kinsoku/>
        <w:wordWrap/>
        <w:overflowPunct/>
        <w:topLinePunct w:val="0"/>
        <w:bidi w:val="0"/>
        <w:snapToGrid/>
        <w:spacing w:line="40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b/>
          <w:bCs/>
          <w:color w:val="auto"/>
          <w:sz w:val="20"/>
          <w:szCs w:val="20"/>
          <w:highlight w:val="none"/>
        </w:rPr>
        <w:t>供应商必须将上述内容上传至对应关联节点，未通过符合性审查的供应商不进入评标；通过符合性审查的供应商少于三家的，不得评标。</w:t>
      </w:r>
    </w:p>
    <w:p w14:paraId="25A85DF0">
      <w:pPr>
        <w:pStyle w:val="4"/>
        <w:ind w:left="0" w:leftChars="0" w:firstLine="0" w:firstLineChars="0"/>
        <w:outlineLvl w:val="9"/>
        <w:rPr>
          <w:rFonts w:hint="eastAsia" w:ascii="微软雅黑" w:hAnsi="微软雅黑" w:eastAsia="微软雅黑" w:cs="微软雅黑"/>
          <w:color w:val="auto"/>
          <w:sz w:val="20"/>
          <w:szCs w:val="22"/>
          <w:highlight w:val="none"/>
        </w:rPr>
      </w:pPr>
    </w:p>
    <w:p w14:paraId="4EBE68B8">
      <w:pPr>
        <w:outlineLvl w:val="9"/>
        <w:rPr>
          <w:rFonts w:hint="eastAsia" w:ascii="微软雅黑" w:hAnsi="微软雅黑" w:eastAsia="微软雅黑" w:cs="微软雅黑"/>
          <w:color w:val="auto"/>
          <w:sz w:val="20"/>
          <w:szCs w:val="22"/>
          <w:highlight w:val="none"/>
        </w:rPr>
      </w:pPr>
    </w:p>
    <w:p w14:paraId="2D752710">
      <w:pPr>
        <w:pStyle w:val="14"/>
        <w:outlineLvl w:val="9"/>
        <w:rPr>
          <w:rFonts w:hint="eastAsia" w:ascii="微软雅黑" w:hAnsi="微软雅黑" w:eastAsia="微软雅黑" w:cs="微软雅黑"/>
          <w:color w:val="auto"/>
          <w:sz w:val="22"/>
          <w:szCs w:val="22"/>
          <w:highlight w:val="none"/>
        </w:rPr>
      </w:pPr>
    </w:p>
    <w:p w14:paraId="3BF6BBDA">
      <w:pPr>
        <w:rPr>
          <w:rFonts w:hint="eastAsia" w:ascii="微软雅黑" w:hAnsi="微软雅黑" w:eastAsia="微软雅黑" w:cs="微软雅黑"/>
          <w:color w:val="auto"/>
          <w:sz w:val="20"/>
          <w:szCs w:val="22"/>
          <w:highlight w:val="none"/>
        </w:rPr>
      </w:pPr>
      <w:r>
        <w:rPr>
          <w:rFonts w:hint="eastAsia" w:ascii="微软雅黑" w:hAnsi="微软雅黑" w:eastAsia="微软雅黑" w:cs="微软雅黑"/>
          <w:color w:val="auto"/>
          <w:sz w:val="20"/>
          <w:szCs w:val="22"/>
          <w:highlight w:val="none"/>
        </w:rPr>
        <w:br w:type="page"/>
      </w:r>
    </w:p>
    <w:p w14:paraId="6CFB6752">
      <w:pPr>
        <w:spacing w:line="300" w:lineRule="auto"/>
        <w:jc w:val="center"/>
        <w:outlineLvl w:val="1"/>
        <w:rPr>
          <w:rFonts w:hint="eastAsia" w:ascii="微软雅黑" w:hAnsi="微软雅黑" w:eastAsia="微软雅黑" w:cs="微软雅黑"/>
          <w:b/>
          <w:bCs/>
          <w:color w:val="auto"/>
          <w:sz w:val="24"/>
          <w:szCs w:val="24"/>
          <w:highlight w:val="none"/>
          <w:lang w:eastAsia="zh-CN"/>
        </w:rPr>
      </w:pPr>
      <w:bookmarkStart w:id="2044" w:name="_Toc6940"/>
      <w:bookmarkStart w:id="2045" w:name="_Toc26924"/>
      <w:bookmarkStart w:id="2046" w:name="_Toc3812"/>
      <w:bookmarkStart w:id="2047" w:name="_Toc31737"/>
      <w:bookmarkStart w:id="2048" w:name="_Toc26618"/>
      <w:bookmarkStart w:id="2049" w:name="_Toc21350"/>
      <w:bookmarkStart w:id="2050" w:name="_Toc359"/>
      <w:bookmarkStart w:id="2051" w:name="_Toc19967"/>
      <w:bookmarkStart w:id="2052" w:name="_Toc20505"/>
      <w:bookmarkStart w:id="2053" w:name="_Toc5375"/>
      <w:bookmarkStart w:id="2054" w:name="_Toc21392"/>
      <w:bookmarkStart w:id="2055" w:name="_Toc11449"/>
      <w:bookmarkStart w:id="2056" w:name="_Toc4748"/>
      <w:bookmarkStart w:id="2057" w:name="_Toc7381"/>
      <w:bookmarkStart w:id="2058" w:name="_Toc17586"/>
      <w:bookmarkStart w:id="2059" w:name="_Toc29006"/>
      <w:bookmarkStart w:id="2060" w:name="_Toc31042"/>
      <w:bookmarkStart w:id="2061" w:name="_Toc4034"/>
      <w:bookmarkStart w:id="2062" w:name="_Toc12524"/>
      <w:bookmarkStart w:id="2063" w:name="_Toc24208"/>
      <w:bookmarkStart w:id="2064" w:name="_Toc14190"/>
      <w:bookmarkStart w:id="2065" w:name="_Toc507399904"/>
      <w:r>
        <w:rPr>
          <w:rFonts w:hint="eastAsia" w:ascii="微软雅黑" w:hAnsi="微软雅黑" w:eastAsia="微软雅黑" w:cs="微软雅黑"/>
          <w:b/>
          <w:bCs/>
          <w:color w:val="auto"/>
          <w:sz w:val="24"/>
          <w:szCs w:val="24"/>
          <w:highlight w:val="none"/>
        </w:rPr>
        <w:t>综合评分表</w:t>
      </w:r>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r>
        <w:rPr>
          <w:rFonts w:hint="eastAsia" w:ascii="微软雅黑" w:hAnsi="微软雅黑" w:eastAsia="微软雅黑" w:cs="微软雅黑"/>
          <w:b/>
          <w:bCs/>
          <w:color w:val="auto"/>
          <w:sz w:val="24"/>
          <w:szCs w:val="24"/>
          <w:highlight w:val="none"/>
          <w:lang w:eastAsia="zh-CN"/>
        </w:rPr>
        <w:t>（</w:t>
      </w:r>
      <w:r>
        <w:rPr>
          <w:rFonts w:hint="eastAsia" w:ascii="微软雅黑" w:hAnsi="微软雅黑" w:eastAsia="微软雅黑" w:cs="微软雅黑"/>
          <w:b/>
          <w:bCs/>
          <w:color w:val="auto"/>
          <w:sz w:val="24"/>
          <w:szCs w:val="24"/>
          <w:highlight w:val="none"/>
          <w:lang w:val="en-US" w:eastAsia="zh-CN"/>
        </w:rPr>
        <w:t>标项二</w:t>
      </w:r>
      <w:r>
        <w:rPr>
          <w:rFonts w:hint="eastAsia" w:ascii="微软雅黑" w:hAnsi="微软雅黑" w:eastAsia="微软雅黑" w:cs="微软雅黑"/>
          <w:b/>
          <w:bCs/>
          <w:color w:val="auto"/>
          <w:sz w:val="24"/>
          <w:szCs w:val="24"/>
          <w:highlight w:val="none"/>
          <w:lang w:eastAsia="zh-CN"/>
        </w:rPr>
        <w:t>）</w:t>
      </w:r>
      <w:bookmarkEnd w:id="2063"/>
      <w:bookmarkEnd w:id="2064"/>
    </w:p>
    <w:tbl>
      <w:tblPr>
        <w:tblStyle w:val="31"/>
        <w:tblW w:w="10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638"/>
        <w:gridCol w:w="6958"/>
        <w:gridCol w:w="1555"/>
      </w:tblGrid>
      <w:tr w14:paraId="5C1F4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943" w:type="dxa"/>
            <w:noWrap w:val="0"/>
            <w:vAlign w:val="center"/>
          </w:tcPr>
          <w:p w14:paraId="737334DE">
            <w:pPr>
              <w:keepNext w:val="0"/>
              <w:keepLines w:val="0"/>
              <w:pageBreakBefore w:val="0"/>
              <w:widowControl w:val="0"/>
              <w:kinsoku/>
              <w:wordWrap/>
              <w:overflowPunct/>
              <w:topLinePunct w:val="0"/>
              <w:autoSpaceDE/>
              <w:autoSpaceDN/>
              <w:bidi w:val="0"/>
              <w:adjustRightInd/>
              <w:snapToGrid/>
              <w:spacing w:line="320" w:lineRule="exact"/>
              <w:ind w:firstLine="28"/>
              <w:jc w:val="both"/>
              <w:textAlignment w:val="auto"/>
              <w:rPr>
                <w:rFonts w:hint="eastAsia" w:ascii="微软雅黑" w:hAnsi="微软雅黑" w:eastAsia="微软雅黑" w:cs="微软雅黑"/>
                <w:b/>
                <w:color w:val="auto"/>
                <w:sz w:val="20"/>
                <w:szCs w:val="20"/>
                <w:highlight w:val="none"/>
                <w:lang w:val="en-US" w:eastAsia="zh-CN"/>
              </w:rPr>
            </w:pPr>
            <w:r>
              <w:rPr>
                <w:rFonts w:hint="eastAsia" w:ascii="微软雅黑" w:hAnsi="微软雅黑" w:eastAsia="微软雅黑" w:cs="微软雅黑"/>
                <w:b/>
                <w:color w:val="auto"/>
                <w:sz w:val="20"/>
                <w:szCs w:val="20"/>
                <w:highlight w:val="none"/>
                <w:lang w:val="en-US" w:eastAsia="zh-CN"/>
              </w:rPr>
              <w:t>类型</w:t>
            </w:r>
          </w:p>
        </w:tc>
        <w:tc>
          <w:tcPr>
            <w:tcW w:w="638" w:type="dxa"/>
            <w:noWrap w:val="0"/>
            <w:vAlign w:val="center"/>
          </w:tcPr>
          <w:p w14:paraId="512026F8">
            <w:pPr>
              <w:keepNext w:val="0"/>
              <w:keepLines w:val="0"/>
              <w:pageBreakBefore w:val="0"/>
              <w:widowControl w:val="0"/>
              <w:kinsoku/>
              <w:wordWrap/>
              <w:overflowPunct/>
              <w:topLinePunct w:val="0"/>
              <w:autoSpaceDE/>
              <w:autoSpaceDN/>
              <w:bidi w:val="0"/>
              <w:adjustRightInd/>
              <w:snapToGrid/>
              <w:spacing w:line="320" w:lineRule="exact"/>
              <w:ind w:firstLine="28"/>
              <w:jc w:val="center"/>
              <w:textAlignment w:val="auto"/>
              <w:rPr>
                <w:rFonts w:hint="eastAsia" w:ascii="微软雅黑" w:hAnsi="微软雅黑" w:eastAsia="微软雅黑" w:cs="微软雅黑"/>
                <w:b/>
                <w:color w:val="auto"/>
                <w:sz w:val="20"/>
                <w:szCs w:val="20"/>
                <w:highlight w:val="none"/>
              </w:rPr>
            </w:pPr>
            <w:r>
              <w:rPr>
                <w:rFonts w:hint="eastAsia" w:ascii="微软雅黑" w:hAnsi="微软雅黑" w:eastAsia="微软雅黑" w:cs="微软雅黑"/>
                <w:b/>
                <w:color w:val="auto"/>
                <w:sz w:val="20"/>
                <w:szCs w:val="20"/>
                <w:highlight w:val="none"/>
              </w:rPr>
              <w:t>分值</w:t>
            </w:r>
          </w:p>
        </w:tc>
        <w:tc>
          <w:tcPr>
            <w:tcW w:w="6958" w:type="dxa"/>
            <w:noWrap w:val="0"/>
            <w:vAlign w:val="center"/>
          </w:tcPr>
          <w:p w14:paraId="66CDECE3">
            <w:pPr>
              <w:keepNext w:val="0"/>
              <w:keepLines w:val="0"/>
              <w:pageBreakBefore w:val="0"/>
              <w:widowControl w:val="0"/>
              <w:kinsoku/>
              <w:wordWrap/>
              <w:overflowPunct/>
              <w:topLinePunct w:val="0"/>
              <w:autoSpaceDE/>
              <w:autoSpaceDN/>
              <w:bidi w:val="0"/>
              <w:adjustRightInd/>
              <w:snapToGrid/>
              <w:spacing w:line="320" w:lineRule="exact"/>
              <w:ind w:firstLine="28"/>
              <w:jc w:val="center"/>
              <w:textAlignment w:val="auto"/>
              <w:rPr>
                <w:rFonts w:hint="eastAsia" w:ascii="微软雅黑" w:hAnsi="微软雅黑" w:eastAsia="微软雅黑" w:cs="微软雅黑"/>
                <w:b/>
                <w:bCs w:val="0"/>
                <w:color w:val="auto"/>
                <w:sz w:val="20"/>
                <w:szCs w:val="20"/>
                <w:highlight w:val="none"/>
              </w:rPr>
            </w:pPr>
            <w:r>
              <w:rPr>
                <w:rFonts w:hint="eastAsia" w:ascii="微软雅黑" w:hAnsi="微软雅黑" w:eastAsia="微软雅黑" w:cs="微软雅黑"/>
                <w:b/>
                <w:bCs w:val="0"/>
                <w:color w:val="auto"/>
                <w:sz w:val="20"/>
                <w:szCs w:val="20"/>
                <w:highlight w:val="none"/>
              </w:rPr>
              <w:t>评分标准</w:t>
            </w:r>
          </w:p>
          <w:p w14:paraId="63BE9D0F">
            <w:pPr>
              <w:keepNext w:val="0"/>
              <w:keepLines w:val="0"/>
              <w:pageBreakBefore w:val="0"/>
              <w:widowControl w:val="0"/>
              <w:kinsoku/>
              <w:wordWrap/>
              <w:overflowPunct/>
              <w:topLinePunct w:val="0"/>
              <w:autoSpaceDE/>
              <w:autoSpaceDN/>
              <w:bidi w:val="0"/>
              <w:adjustRightInd/>
              <w:snapToGrid/>
              <w:spacing w:line="320" w:lineRule="exact"/>
              <w:ind w:firstLine="28"/>
              <w:jc w:val="center"/>
              <w:textAlignment w:val="auto"/>
              <w:rPr>
                <w:rFonts w:hint="eastAsia" w:ascii="微软雅黑" w:hAnsi="微软雅黑" w:eastAsia="微软雅黑" w:cs="微软雅黑"/>
                <w:b/>
                <w:bCs w:val="0"/>
                <w:color w:val="auto"/>
                <w:sz w:val="20"/>
                <w:szCs w:val="20"/>
                <w:highlight w:val="none"/>
              </w:rPr>
            </w:pPr>
            <w:r>
              <w:rPr>
                <w:rFonts w:hint="eastAsia" w:ascii="微软雅黑" w:hAnsi="微软雅黑" w:eastAsia="微软雅黑" w:cs="微软雅黑"/>
                <w:b/>
                <w:bCs w:val="0"/>
                <w:color w:val="auto"/>
                <w:sz w:val="20"/>
                <w:szCs w:val="20"/>
                <w:highlight w:val="none"/>
              </w:rPr>
              <w:t xml:space="preserve">价格：30分 </w:t>
            </w:r>
            <w:r>
              <w:rPr>
                <w:rFonts w:hint="eastAsia" w:ascii="微软雅黑" w:hAnsi="微软雅黑" w:eastAsia="微软雅黑" w:cs="微软雅黑"/>
                <w:b/>
                <w:bCs w:val="0"/>
                <w:color w:val="auto"/>
                <w:sz w:val="20"/>
                <w:szCs w:val="20"/>
                <w:highlight w:val="none"/>
                <w:lang w:val="en-US" w:eastAsia="zh-CN"/>
              </w:rPr>
              <w:t xml:space="preserve"> </w:t>
            </w:r>
            <w:r>
              <w:rPr>
                <w:rFonts w:hint="eastAsia" w:ascii="微软雅黑" w:hAnsi="微软雅黑" w:eastAsia="微软雅黑" w:cs="微软雅黑"/>
                <w:b/>
                <w:bCs w:val="0"/>
                <w:color w:val="auto"/>
                <w:sz w:val="20"/>
                <w:szCs w:val="20"/>
                <w:highlight w:val="none"/>
              </w:rPr>
              <w:t xml:space="preserve">  商务：</w:t>
            </w:r>
            <w:r>
              <w:rPr>
                <w:rFonts w:hint="eastAsia" w:ascii="微软雅黑" w:hAnsi="微软雅黑" w:eastAsia="微软雅黑" w:cs="微软雅黑"/>
                <w:b/>
                <w:bCs w:val="0"/>
                <w:color w:val="auto"/>
                <w:sz w:val="20"/>
                <w:szCs w:val="20"/>
                <w:highlight w:val="none"/>
                <w:lang w:val="en-US" w:eastAsia="zh-CN"/>
              </w:rPr>
              <w:t>8</w:t>
            </w:r>
            <w:r>
              <w:rPr>
                <w:rFonts w:hint="eastAsia" w:ascii="微软雅黑" w:hAnsi="微软雅黑" w:eastAsia="微软雅黑" w:cs="微软雅黑"/>
                <w:b/>
                <w:bCs w:val="0"/>
                <w:color w:val="auto"/>
                <w:sz w:val="20"/>
                <w:szCs w:val="20"/>
                <w:highlight w:val="none"/>
              </w:rPr>
              <w:t xml:space="preserve">分 </w:t>
            </w:r>
            <w:r>
              <w:rPr>
                <w:rFonts w:hint="eastAsia" w:ascii="微软雅黑" w:hAnsi="微软雅黑" w:eastAsia="微软雅黑" w:cs="微软雅黑"/>
                <w:b/>
                <w:bCs w:val="0"/>
                <w:color w:val="auto"/>
                <w:sz w:val="20"/>
                <w:szCs w:val="20"/>
                <w:highlight w:val="none"/>
                <w:lang w:val="en-US" w:eastAsia="zh-CN"/>
              </w:rPr>
              <w:t xml:space="preserve"> </w:t>
            </w:r>
            <w:r>
              <w:rPr>
                <w:rFonts w:hint="eastAsia" w:ascii="微软雅黑" w:hAnsi="微软雅黑" w:eastAsia="微软雅黑" w:cs="微软雅黑"/>
                <w:b/>
                <w:bCs w:val="0"/>
                <w:color w:val="auto"/>
                <w:sz w:val="20"/>
                <w:szCs w:val="20"/>
                <w:highlight w:val="none"/>
              </w:rPr>
              <w:t xml:space="preserve">  技术：</w:t>
            </w:r>
            <w:r>
              <w:rPr>
                <w:rFonts w:hint="eastAsia" w:ascii="微软雅黑" w:hAnsi="微软雅黑" w:eastAsia="微软雅黑" w:cs="微软雅黑"/>
                <w:b/>
                <w:bCs w:val="0"/>
                <w:color w:val="auto"/>
                <w:sz w:val="20"/>
                <w:szCs w:val="20"/>
                <w:highlight w:val="none"/>
                <w:lang w:val="en-US" w:eastAsia="zh-CN"/>
              </w:rPr>
              <w:t>62</w:t>
            </w:r>
            <w:r>
              <w:rPr>
                <w:rFonts w:hint="eastAsia" w:ascii="微软雅黑" w:hAnsi="微软雅黑" w:eastAsia="微软雅黑" w:cs="微软雅黑"/>
                <w:b/>
                <w:bCs w:val="0"/>
                <w:color w:val="auto"/>
                <w:sz w:val="20"/>
                <w:szCs w:val="20"/>
                <w:highlight w:val="none"/>
              </w:rPr>
              <w:t xml:space="preserve">分              </w:t>
            </w:r>
          </w:p>
        </w:tc>
        <w:tc>
          <w:tcPr>
            <w:tcW w:w="1555" w:type="dxa"/>
            <w:noWrap w:val="0"/>
            <w:vAlign w:val="center"/>
          </w:tcPr>
          <w:p w14:paraId="249CC695">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微软雅黑" w:hAnsi="微软雅黑" w:eastAsia="微软雅黑" w:cs="微软雅黑"/>
                <w:b/>
                <w:color w:val="auto"/>
                <w:kern w:val="2"/>
                <w:sz w:val="20"/>
                <w:szCs w:val="20"/>
                <w:highlight w:val="none"/>
                <w:lang w:val="en-US" w:eastAsia="zh-CN" w:bidi="ar-SA"/>
              </w:rPr>
            </w:pPr>
            <w:r>
              <w:rPr>
                <w:rFonts w:hint="eastAsia" w:ascii="微软雅黑" w:hAnsi="微软雅黑" w:eastAsia="微软雅黑" w:cs="微软雅黑"/>
                <w:b/>
                <w:color w:val="auto"/>
                <w:kern w:val="2"/>
                <w:sz w:val="20"/>
                <w:szCs w:val="20"/>
                <w:highlight w:val="none"/>
                <w:lang w:val="en-US" w:eastAsia="zh-CN" w:bidi="ar-SA"/>
              </w:rPr>
              <w:t>说明</w:t>
            </w:r>
          </w:p>
        </w:tc>
      </w:tr>
      <w:tr w14:paraId="1E365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3" w:hRule="atLeast"/>
          <w:jc w:val="center"/>
        </w:trPr>
        <w:tc>
          <w:tcPr>
            <w:tcW w:w="943" w:type="dxa"/>
            <w:noWrap w:val="0"/>
            <w:vAlign w:val="center"/>
          </w:tcPr>
          <w:p w14:paraId="4302E31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价格评分标准</w:t>
            </w:r>
          </w:p>
        </w:tc>
        <w:tc>
          <w:tcPr>
            <w:tcW w:w="638" w:type="dxa"/>
            <w:noWrap w:val="0"/>
            <w:vAlign w:val="center"/>
          </w:tcPr>
          <w:p w14:paraId="3BB2452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30</w:t>
            </w:r>
          </w:p>
        </w:tc>
        <w:tc>
          <w:tcPr>
            <w:tcW w:w="6958" w:type="dxa"/>
            <w:noWrap w:val="0"/>
            <w:vAlign w:val="center"/>
          </w:tcPr>
          <w:p w14:paraId="507D180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b/>
                <w:bCs/>
                <w:color w:val="auto"/>
                <w:sz w:val="20"/>
                <w:szCs w:val="20"/>
                <w:highlight w:val="none"/>
              </w:rPr>
              <w:t>投标报价</w:t>
            </w:r>
            <w:r>
              <w:rPr>
                <w:rFonts w:hint="eastAsia" w:ascii="微软雅黑" w:hAnsi="微软雅黑" w:eastAsia="微软雅黑" w:cs="微软雅黑"/>
                <w:b/>
                <w:bCs/>
                <w:color w:val="auto"/>
                <w:sz w:val="20"/>
                <w:szCs w:val="20"/>
                <w:highlight w:val="none"/>
                <w:lang w:eastAsia="zh-CN"/>
              </w:rPr>
              <w:t>：</w:t>
            </w:r>
            <w:r>
              <w:rPr>
                <w:rFonts w:hint="eastAsia" w:ascii="微软雅黑" w:hAnsi="微软雅黑" w:eastAsia="微软雅黑" w:cs="微软雅黑"/>
                <w:color w:val="auto"/>
                <w:sz w:val="20"/>
                <w:szCs w:val="20"/>
                <w:highlight w:val="none"/>
              </w:rPr>
              <w:t>完全满足招标文件参数的投标报价中的最低价为评标基准价，按照下列公式计算每个供应商的投标价格得分。投标报价得分＝（基准价/投标报价）×价格权重×100。</w:t>
            </w:r>
          </w:p>
          <w:p w14:paraId="3E3FF9A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b/>
                <w:bCs/>
                <w:color w:val="auto"/>
                <w:sz w:val="20"/>
                <w:szCs w:val="20"/>
                <w:highlight w:val="none"/>
              </w:rPr>
              <w:t>(注:根据《政府采购促进中小企业发展管理办法》财库(2020)46 号)、《关于进一步加大政府采购支持中小企业力度的通知》(财库(2022)19号)的规定，对小型和微型企业给予10%的价格扣除，用扣除后的价格参与评标，提供相关证明资料，否则无效。残疾人福利性单位属于小型、微型企业的，不重复享受政策。)</w:t>
            </w:r>
          </w:p>
        </w:tc>
        <w:tc>
          <w:tcPr>
            <w:tcW w:w="1555" w:type="dxa"/>
            <w:noWrap w:val="0"/>
            <w:vAlign w:val="center"/>
          </w:tcPr>
          <w:p w14:paraId="0F87789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b/>
                <w:bCs/>
                <w:color w:val="auto"/>
                <w:sz w:val="20"/>
                <w:szCs w:val="20"/>
                <w:highlight w:val="none"/>
              </w:rPr>
            </w:pPr>
            <w:r>
              <w:rPr>
                <w:rFonts w:hint="eastAsia" w:ascii="微软雅黑" w:hAnsi="微软雅黑" w:eastAsia="微软雅黑" w:cs="微软雅黑"/>
                <w:b/>
                <w:bCs/>
                <w:color w:val="auto"/>
                <w:sz w:val="20"/>
                <w:szCs w:val="20"/>
                <w:highlight w:val="none"/>
              </w:rPr>
              <w:t>投标报价超过采购预算价的按废标处理</w:t>
            </w:r>
          </w:p>
        </w:tc>
      </w:tr>
      <w:tr w14:paraId="0D058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43" w:type="dxa"/>
            <w:vMerge w:val="restart"/>
            <w:noWrap w:val="0"/>
            <w:vAlign w:val="center"/>
          </w:tcPr>
          <w:p w14:paraId="24F3852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商务评分标准</w:t>
            </w:r>
          </w:p>
        </w:tc>
        <w:tc>
          <w:tcPr>
            <w:tcW w:w="638" w:type="dxa"/>
            <w:noWrap w:val="0"/>
            <w:vAlign w:val="center"/>
          </w:tcPr>
          <w:p w14:paraId="190E878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4</w:t>
            </w:r>
          </w:p>
        </w:tc>
        <w:tc>
          <w:tcPr>
            <w:tcW w:w="6958" w:type="dxa"/>
            <w:noWrap w:val="0"/>
            <w:vAlign w:val="center"/>
          </w:tcPr>
          <w:p w14:paraId="234A954B">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业绩：</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投标供应商提供近三年内类似业绩证明材料（投标文件内附中标/成交通知书及合同扫描件），每提供一个得2分，最高得4分，未提供或提供不全的不得分。</w:t>
            </w:r>
          </w:p>
          <w:p w14:paraId="2CE197F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auto"/>
                <w:sz w:val="20"/>
                <w:szCs w:val="20"/>
                <w:highlight w:val="none"/>
                <w:lang w:val="en-US" w:eastAsia="zh-CN"/>
              </w:rPr>
            </w:pP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注：近三年是指2022年6月至今，以合同签订的时间为准；投标供应商提供虚假合同的，按无效投标处理。（业绩首页、货物或服务内容信息页、合同金额页、签字盖章页）金额清晰可见，时间以合同签订日期为准，否则不予加分。</w:t>
            </w:r>
          </w:p>
        </w:tc>
        <w:tc>
          <w:tcPr>
            <w:tcW w:w="1555" w:type="dxa"/>
            <w:vMerge w:val="restart"/>
            <w:noWrap w:val="0"/>
            <w:vAlign w:val="center"/>
          </w:tcPr>
          <w:p w14:paraId="52F0931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b/>
                <w:bCs/>
                <w:color w:val="auto"/>
                <w:sz w:val="20"/>
                <w:szCs w:val="20"/>
                <w:highlight w:val="none"/>
              </w:rPr>
              <w:t>根据需求提供必要的证明资料</w:t>
            </w:r>
          </w:p>
        </w:tc>
      </w:tr>
      <w:tr w14:paraId="67A46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6" w:hRule="atLeast"/>
          <w:jc w:val="center"/>
        </w:trPr>
        <w:tc>
          <w:tcPr>
            <w:tcW w:w="943" w:type="dxa"/>
            <w:vMerge w:val="continue"/>
            <w:noWrap w:val="0"/>
            <w:vAlign w:val="center"/>
          </w:tcPr>
          <w:p w14:paraId="1C46110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c>
          <w:tcPr>
            <w:tcW w:w="638" w:type="dxa"/>
            <w:noWrap w:val="0"/>
            <w:vAlign w:val="center"/>
          </w:tcPr>
          <w:p w14:paraId="6DFBE93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b/>
                <w:bCs/>
                <w:color w:val="auto"/>
                <w:sz w:val="20"/>
                <w:szCs w:val="20"/>
                <w:highlight w:val="none"/>
                <w:lang w:val="en-US" w:eastAsia="zh-CN"/>
              </w:rPr>
            </w:pPr>
            <w:r>
              <w:rPr>
                <w:rFonts w:hint="eastAsia" w:ascii="微软雅黑" w:hAnsi="微软雅黑" w:eastAsia="微软雅黑" w:cs="微软雅黑"/>
                <w:b/>
                <w:bCs/>
                <w:color w:val="auto"/>
                <w:sz w:val="20"/>
                <w:szCs w:val="20"/>
                <w:highlight w:val="none"/>
                <w:lang w:val="en-US" w:eastAsia="zh-CN"/>
              </w:rPr>
              <w:t>4</w:t>
            </w:r>
          </w:p>
        </w:tc>
        <w:tc>
          <w:tcPr>
            <w:tcW w:w="6958" w:type="dxa"/>
            <w:shd w:val="clear" w:color="auto" w:fill="auto"/>
            <w:noWrap w:val="0"/>
            <w:vAlign w:val="center"/>
          </w:tcPr>
          <w:p w14:paraId="636D27C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auto"/>
                <w:sz w:val="20"/>
                <w:szCs w:val="20"/>
                <w:highlight w:val="none"/>
                <w:lang w:val="en-US" w:eastAsia="zh-CN"/>
              </w:rPr>
            </w:pPr>
            <w:r>
              <w:rPr>
                <w:rFonts w:hint="eastAsia" w:ascii="微软雅黑" w:hAnsi="微软雅黑" w:eastAsia="微软雅黑" w:cs="微软雅黑"/>
                <w:b/>
                <w:bCs/>
                <w:color w:val="auto"/>
                <w:sz w:val="20"/>
                <w:szCs w:val="20"/>
                <w:highlight w:val="none"/>
                <w:lang w:val="en-US" w:eastAsia="zh-CN"/>
              </w:rPr>
              <w:t>供货方案：</w:t>
            </w:r>
          </w:p>
          <w:p w14:paraId="33D4625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val="0"/>
                <w:bCs w:val="0"/>
                <w:color w:val="auto"/>
                <w:sz w:val="20"/>
                <w:szCs w:val="20"/>
                <w:highlight w:val="none"/>
                <w:lang w:val="en-US" w:eastAsia="zh-CN"/>
              </w:rPr>
            </w:pPr>
            <w:r>
              <w:rPr>
                <w:rFonts w:hint="eastAsia" w:ascii="微软雅黑" w:hAnsi="微软雅黑" w:eastAsia="微软雅黑" w:cs="微软雅黑"/>
                <w:b w:val="0"/>
                <w:bCs w:val="0"/>
                <w:color w:val="auto"/>
                <w:sz w:val="20"/>
                <w:szCs w:val="20"/>
                <w:highlight w:val="none"/>
                <w:lang w:val="en-US" w:eastAsia="zh-CN"/>
              </w:rPr>
              <w:t>投标人针对本项目的情况编制详细的供货方案：①产品来源、供货方式、运输方式、车辆安排；②设备包装、装卸货措施、设备仓储、防护措施、路途人员安全保障措施及安全教育培训、运途紧急情况应对措施。以上2项内容完整且完全满足项目要求得4分，每缺失一项内容扣2分，每项内容中有一处内容缺陷扣1分，扣完为止。</w:t>
            </w:r>
          </w:p>
          <w:p w14:paraId="62A3013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auto"/>
                <w:sz w:val="20"/>
                <w:szCs w:val="20"/>
                <w:highlight w:val="none"/>
                <w:lang w:val="en-US" w:eastAsia="zh-CN"/>
              </w:rPr>
            </w:pPr>
            <w:r>
              <w:rPr>
                <w:rFonts w:hint="eastAsia" w:ascii="微软雅黑" w:hAnsi="微软雅黑" w:eastAsia="微软雅黑" w:cs="微软雅黑"/>
                <w:b/>
                <w:bCs/>
                <w:color w:val="auto"/>
                <w:sz w:val="20"/>
                <w:szCs w:val="20"/>
                <w:highlight w:val="none"/>
                <w:lang w:val="en-US" w:eastAsia="zh-CN"/>
              </w:rPr>
              <w:t>注：内容存在缺陷是指：①该项内容描述前后不一致；②该项内容所述的项目信息与本项目实际信息不一致；③该项内容引用的规定、规范错误；④该项内容描述不符合国家相关法律法规、政策文件、规范标准要求；⑤该项内容所述的方式方法明显不符合本项目实际情况；⑥其他不符情形</w:t>
            </w:r>
          </w:p>
        </w:tc>
        <w:tc>
          <w:tcPr>
            <w:tcW w:w="1555" w:type="dxa"/>
            <w:vMerge w:val="continue"/>
            <w:noWrap w:val="0"/>
            <w:vAlign w:val="center"/>
          </w:tcPr>
          <w:p w14:paraId="2D7551F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auto"/>
                <w:sz w:val="20"/>
                <w:szCs w:val="20"/>
                <w:highlight w:val="none"/>
              </w:rPr>
            </w:pPr>
          </w:p>
        </w:tc>
      </w:tr>
      <w:tr w14:paraId="75EE4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3" w:hRule="atLeast"/>
          <w:jc w:val="center"/>
        </w:trPr>
        <w:tc>
          <w:tcPr>
            <w:tcW w:w="943" w:type="dxa"/>
            <w:vMerge w:val="restart"/>
            <w:noWrap w:val="0"/>
            <w:vAlign w:val="center"/>
          </w:tcPr>
          <w:p w14:paraId="576B7F3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p w14:paraId="546C28E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技术评分标准</w:t>
            </w:r>
          </w:p>
        </w:tc>
        <w:tc>
          <w:tcPr>
            <w:tcW w:w="638" w:type="dxa"/>
            <w:noWrap w:val="0"/>
            <w:vAlign w:val="center"/>
          </w:tcPr>
          <w:p w14:paraId="173FBA4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40</w:t>
            </w:r>
          </w:p>
        </w:tc>
        <w:tc>
          <w:tcPr>
            <w:tcW w:w="6958" w:type="dxa"/>
            <w:noWrap w:val="0"/>
            <w:vAlign w:val="center"/>
          </w:tcPr>
          <w:p w14:paraId="7E0F827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auto"/>
                <w:kern w:val="0"/>
                <w:sz w:val="20"/>
                <w:szCs w:val="20"/>
                <w:highlight w:val="none"/>
                <w:lang w:val="en-US" w:eastAsia="zh-CN"/>
              </w:rPr>
            </w:pPr>
            <w:r>
              <w:rPr>
                <w:rFonts w:hint="eastAsia" w:ascii="微软雅黑" w:hAnsi="微软雅黑" w:eastAsia="微软雅黑" w:cs="微软雅黑"/>
                <w:b/>
                <w:bCs/>
                <w:color w:val="auto"/>
                <w:kern w:val="0"/>
                <w:sz w:val="20"/>
                <w:szCs w:val="20"/>
                <w:highlight w:val="none"/>
                <w:lang w:val="en-US" w:eastAsia="zh-CN"/>
              </w:rPr>
              <w:t>技术参数：</w:t>
            </w:r>
            <w:r>
              <w:rPr>
                <w:rFonts w:hint="eastAsia" w:ascii="微软雅黑" w:hAnsi="微软雅黑" w:eastAsia="微软雅黑" w:cs="微软雅黑"/>
                <w:color w:val="auto"/>
                <w:kern w:val="0"/>
                <w:sz w:val="20"/>
                <w:szCs w:val="20"/>
                <w:highlight w:val="none"/>
                <w:lang w:val="en-US" w:eastAsia="zh-CN"/>
              </w:rPr>
              <w:t>根据所投产品的配置与性能指标响应程度打分。完全满足招标要求的得40分。“▲”</w:t>
            </w:r>
            <w:r>
              <w:rPr>
                <w:rFonts w:hint="eastAsia" w:ascii="微软雅黑" w:hAnsi="微软雅黑" w:eastAsia="微软雅黑" w:cs="微软雅黑"/>
                <w:color w:val="auto"/>
                <w:kern w:val="0"/>
                <w:sz w:val="21"/>
                <w:szCs w:val="21"/>
                <w:highlight w:val="none"/>
                <w:lang w:val="en-US" w:eastAsia="zh-CN"/>
              </w:rPr>
              <w:t>技术参数为重要参数，每有一项偏离扣1分</w:t>
            </w:r>
            <w:r>
              <w:rPr>
                <w:rFonts w:hint="eastAsia" w:ascii="微软雅黑" w:hAnsi="微软雅黑" w:eastAsia="微软雅黑" w:cs="微软雅黑"/>
                <w:color w:val="auto"/>
                <w:kern w:val="0"/>
                <w:sz w:val="20"/>
                <w:szCs w:val="20"/>
                <w:highlight w:val="none"/>
                <w:lang w:val="en-US" w:eastAsia="zh-CN"/>
              </w:rPr>
              <w:t>；其余参数为一般技术参数，每有一项偏离扣0.5分，直至扣完为止。</w:t>
            </w:r>
          </w:p>
          <w:p w14:paraId="291EAC2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b/>
                <w:bCs/>
                <w:color w:val="auto"/>
                <w:kern w:val="0"/>
                <w:sz w:val="20"/>
                <w:szCs w:val="20"/>
                <w:highlight w:val="none"/>
                <w:lang w:val="en-US" w:eastAsia="zh-CN"/>
              </w:rPr>
              <w:t>注：</w:t>
            </w:r>
            <w:r>
              <w:rPr>
                <w:rFonts w:hint="eastAsia" w:ascii="微软雅黑" w:hAnsi="微软雅黑" w:eastAsia="微软雅黑" w:cs="微软雅黑"/>
                <w:b/>
                <w:bCs/>
                <w:color w:val="auto"/>
                <w:kern w:val="0"/>
                <w:sz w:val="21"/>
                <w:szCs w:val="21"/>
                <w:highlight w:val="none"/>
                <w:lang w:val="en-US" w:eastAsia="zh-CN"/>
              </w:rPr>
              <w:t>各投标人针对采购需求在投标文件中需详尽真实的提供投标产品的技术响应偏离表，具体由评标委员会根据采购需求细则，对各投标单位投标产品的技术响应情况进行评比打分(注:投标人需提供能够证明其参数真实有效的证明文件，若证明文件无法证明参数真实有效，视为</w:t>
            </w:r>
            <w:bookmarkStart w:id="2077" w:name="_GoBack"/>
            <w:bookmarkEnd w:id="2077"/>
            <w:r>
              <w:rPr>
                <w:rFonts w:hint="eastAsia" w:ascii="微软雅黑" w:hAnsi="微软雅黑" w:eastAsia="微软雅黑" w:cs="微软雅黑"/>
                <w:b/>
                <w:bCs/>
                <w:color w:val="auto"/>
                <w:kern w:val="0"/>
                <w:sz w:val="21"/>
                <w:szCs w:val="21"/>
                <w:highlight w:val="none"/>
                <w:lang w:val="en-US" w:eastAsia="zh-CN"/>
              </w:rPr>
              <w:t>负偏离或以评标委员会集体意见为准)</w:t>
            </w:r>
          </w:p>
        </w:tc>
        <w:tc>
          <w:tcPr>
            <w:tcW w:w="1555" w:type="dxa"/>
            <w:vMerge w:val="restart"/>
            <w:noWrap w:val="0"/>
            <w:vAlign w:val="center"/>
          </w:tcPr>
          <w:p w14:paraId="26FF835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b/>
                <w:bCs/>
                <w:color w:val="auto"/>
                <w:sz w:val="20"/>
                <w:szCs w:val="20"/>
                <w:highlight w:val="none"/>
              </w:rPr>
              <w:t>根据需求提供必要的证明资料</w:t>
            </w:r>
          </w:p>
        </w:tc>
      </w:tr>
      <w:tr w14:paraId="3648D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0" w:hRule="atLeast"/>
          <w:jc w:val="center"/>
        </w:trPr>
        <w:tc>
          <w:tcPr>
            <w:tcW w:w="943" w:type="dxa"/>
            <w:vMerge w:val="continue"/>
            <w:noWrap w:val="0"/>
            <w:vAlign w:val="center"/>
          </w:tcPr>
          <w:p w14:paraId="51686EE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c>
          <w:tcPr>
            <w:tcW w:w="638" w:type="dxa"/>
            <w:noWrap w:val="0"/>
            <w:vAlign w:val="center"/>
          </w:tcPr>
          <w:p w14:paraId="6922A30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6</w:t>
            </w:r>
          </w:p>
        </w:tc>
        <w:tc>
          <w:tcPr>
            <w:tcW w:w="6958" w:type="dxa"/>
            <w:noWrap w:val="0"/>
            <w:vAlign w:val="center"/>
          </w:tcPr>
          <w:p w14:paraId="4B283C9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auto"/>
                <w:kern w:val="0"/>
                <w:sz w:val="20"/>
                <w:szCs w:val="20"/>
                <w:highlight w:val="none"/>
                <w:lang w:val="en-US" w:eastAsia="zh-CN"/>
              </w:rPr>
            </w:pPr>
            <w:r>
              <w:rPr>
                <w:rFonts w:hint="eastAsia" w:ascii="微软雅黑" w:hAnsi="微软雅黑" w:eastAsia="微软雅黑" w:cs="微软雅黑"/>
                <w:b/>
                <w:bCs/>
                <w:color w:val="auto"/>
                <w:kern w:val="0"/>
                <w:sz w:val="20"/>
                <w:szCs w:val="20"/>
                <w:highlight w:val="none"/>
                <w:lang w:val="en-US" w:eastAsia="zh-CN"/>
              </w:rPr>
              <w:t>实施方案：</w:t>
            </w:r>
          </w:p>
          <w:p w14:paraId="751AAE1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color w:val="auto"/>
                <w:kern w:val="0"/>
                <w:sz w:val="21"/>
                <w:szCs w:val="21"/>
                <w:highlight w:val="none"/>
                <w:lang w:val="en-US" w:eastAsia="zh-CN"/>
              </w:rPr>
              <w:t>①实施方案中设备质量、供货安装、项目安全措施、应急处理、进度安排完全满足项目实际要求的得2分;方案描述不清晰或内容存在缺陷的每一项扣1分，扣完为止;未提供的不得分。</w:t>
            </w:r>
          </w:p>
          <w:p w14:paraId="0DAF32C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color w:val="auto"/>
                <w:kern w:val="0"/>
                <w:sz w:val="21"/>
                <w:szCs w:val="21"/>
                <w:highlight w:val="none"/>
                <w:lang w:val="en-US" w:eastAsia="zh-CN"/>
              </w:rPr>
              <w:t>②项目调试、测试方案合理、逻辑清晰、具有操作性，完全满足项目实际要求的得2分;方案描述不清晰或内容存在缺陷的每一项扣1分，直至扣完为止;未提供的不得分。</w:t>
            </w:r>
          </w:p>
          <w:p w14:paraId="21D87CF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sz w:val="20"/>
                <w:szCs w:val="22"/>
                <w:highlight w:val="none"/>
                <w:lang w:val="en-US"/>
              </w:rPr>
            </w:pPr>
            <w:r>
              <w:rPr>
                <w:rFonts w:hint="eastAsia" w:ascii="微软雅黑" w:hAnsi="微软雅黑" w:eastAsia="微软雅黑" w:cs="微软雅黑"/>
                <w:color w:val="auto"/>
                <w:kern w:val="0"/>
                <w:sz w:val="21"/>
                <w:szCs w:val="21"/>
                <w:highlight w:val="none"/>
                <w:lang w:val="en-US" w:eastAsia="zh-CN"/>
              </w:rPr>
              <w:t>③有明确的项目质量管理方案和制度，项目管理机构及职责分配合理，符合项目实际情况，逻辑清晰、具有操作性;完全满足项目实际要求的得2分；方案描述不清晰、可行性低或内容存在缺陷的每一项扣1分，直至扣完为止;未提供的不得分。</w:t>
            </w:r>
          </w:p>
        </w:tc>
        <w:tc>
          <w:tcPr>
            <w:tcW w:w="1555" w:type="dxa"/>
            <w:vMerge w:val="continue"/>
            <w:noWrap w:val="0"/>
            <w:vAlign w:val="center"/>
          </w:tcPr>
          <w:p w14:paraId="5094BAC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0"/>
                <w:szCs w:val="20"/>
                <w:highlight w:val="none"/>
              </w:rPr>
            </w:pPr>
          </w:p>
        </w:tc>
      </w:tr>
      <w:tr w14:paraId="4E0B2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0" w:hRule="atLeast"/>
          <w:jc w:val="center"/>
        </w:trPr>
        <w:tc>
          <w:tcPr>
            <w:tcW w:w="943" w:type="dxa"/>
            <w:vMerge w:val="continue"/>
            <w:noWrap w:val="0"/>
            <w:vAlign w:val="center"/>
          </w:tcPr>
          <w:p w14:paraId="6D342E5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c>
          <w:tcPr>
            <w:tcW w:w="638" w:type="dxa"/>
            <w:noWrap w:val="0"/>
            <w:vAlign w:val="center"/>
          </w:tcPr>
          <w:p w14:paraId="34A766A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4</w:t>
            </w:r>
          </w:p>
        </w:tc>
        <w:tc>
          <w:tcPr>
            <w:tcW w:w="6958" w:type="dxa"/>
            <w:noWrap w:val="0"/>
            <w:vAlign w:val="center"/>
          </w:tcPr>
          <w:p w14:paraId="6C2AAD0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b/>
                <w:bCs/>
                <w:color w:val="auto"/>
                <w:sz w:val="20"/>
                <w:szCs w:val="20"/>
                <w:highlight w:val="none"/>
                <w:lang w:val="en-US" w:eastAsia="zh-CN"/>
              </w:rPr>
              <w:t>培训方案：</w:t>
            </w:r>
            <w:r>
              <w:rPr>
                <w:rFonts w:hint="eastAsia" w:ascii="微软雅黑" w:hAnsi="微软雅黑" w:eastAsia="微软雅黑" w:cs="微软雅黑"/>
                <w:b w:val="0"/>
                <w:bCs w:val="0"/>
                <w:color w:val="auto"/>
                <w:sz w:val="20"/>
                <w:szCs w:val="20"/>
                <w:highlight w:val="none"/>
                <w:lang w:val="en-US" w:eastAsia="zh-CN"/>
              </w:rPr>
              <w:t>定期组织人员的培训工作，培训计划应含详细合理的方案（包含：①培训时间；②培训地点；③培训产品基本原理；④操作使用和保养维修；⑤培训方式）⑥培训计划方案）方案中包含以上每项内容，且方案切实可行，满足采购方需求得4分，每有一项内容缺失的扣1分，每有一项内容阐述不全面、不符合项目实际情况、无法满足采购需求的扣0.5分，扣完为止。</w:t>
            </w:r>
          </w:p>
        </w:tc>
        <w:tc>
          <w:tcPr>
            <w:tcW w:w="1555" w:type="dxa"/>
            <w:vMerge w:val="continue"/>
            <w:noWrap w:val="0"/>
            <w:vAlign w:val="center"/>
          </w:tcPr>
          <w:p w14:paraId="2D4970F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0"/>
                <w:szCs w:val="20"/>
                <w:highlight w:val="none"/>
              </w:rPr>
            </w:pPr>
          </w:p>
        </w:tc>
      </w:tr>
      <w:tr w14:paraId="7A31A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6" w:hRule="atLeast"/>
          <w:jc w:val="center"/>
        </w:trPr>
        <w:tc>
          <w:tcPr>
            <w:tcW w:w="943" w:type="dxa"/>
            <w:vMerge w:val="continue"/>
            <w:noWrap w:val="0"/>
            <w:vAlign w:val="center"/>
          </w:tcPr>
          <w:p w14:paraId="414D5A7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c>
          <w:tcPr>
            <w:tcW w:w="638" w:type="dxa"/>
            <w:noWrap w:val="0"/>
            <w:vAlign w:val="center"/>
          </w:tcPr>
          <w:p w14:paraId="7DAC22E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9</w:t>
            </w:r>
          </w:p>
        </w:tc>
        <w:tc>
          <w:tcPr>
            <w:tcW w:w="6958" w:type="dxa"/>
            <w:noWrap w:val="0"/>
            <w:vAlign w:val="center"/>
          </w:tcPr>
          <w:p w14:paraId="44FE642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sz w:val="20"/>
                <w:szCs w:val="20"/>
                <w:highlight w:val="none"/>
                <w:lang w:val="en-US"/>
              </w:rPr>
            </w:pPr>
            <w:r>
              <w:rPr>
                <w:rFonts w:hint="eastAsia" w:ascii="微软雅黑" w:hAnsi="微软雅黑" w:eastAsia="微软雅黑" w:cs="微软雅黑"/>
                <w:b/>
                <w:bCs/>
                <w:sz w:val="20"/>
                <w:szCs w:val="20"/>
                <w:highlight w:val="none"/>
                <w:lang w:val="en-US"/>
              </w:rPr>
              <w:t>售后服务:</w:t>
            </w:r>
            <w:r>
              <w:rPr>
                <w:rFonts w:hint="eastAsia" w:ascii="微软雅黑" w:hAnsi="微软雅黑" w:eastAsia="微软雅黑" w:cs="微软雅黑"/>
                <w:sz w:val="20"/>
                <w:szCs w:val="20"/>
                <w:highlight w:val="none"/>
                <w:lang w:val="en-US"/>
              </w:rPr>
              <w:t>①供应商根据本项目的采购需求制定售后方案，包括售后维保、技术人员技术支持及咨询服务、在任何时候、任何地点均可享受到终生的免费咨询服务。方案完整，逻辑清晰，贴合采购需求，可行性高的</w:t>
            </w:r>
            <w:r>
              <w:rPr>
                <w:rFonts w:hint="eastAsia" w:ascii="微软雅黑" w:hAnsi="微软雅黑" w:eastAsia="微软雅黑" w:cs="微软雅黑"/>
                <w:color w:val="auto"/>
                <w:sz w:val="20"/>
                <w:szCs w:val="20"/>
                <w:highlight w:val="none"/>
                <w:lang w:val="en-US"/>
              </w:rPr>
              <w:t>得</w:t>
            </w:r>
            <w:r>
              <w:rPr>
                <w:rFonts w:hint="eastAsia" w:ascii="微软雅黑" w:hAnsi="微软雅黑" w:eastAsia="微软雅黑" w:cs="微软雅黑"/>
                <w:color w:val="auto"/>
                <w:sz w:val="20"/>
                <w:szCs w:val="20"/>
                <w:highlight w:val="none"/>
                <w:lang w:val="en-US" w:eastAsia="zh-CN"/>
              </w:rPr>
              <w:t>4</w:t>
            </w:r>
            <w:r>
              <w:rPr>
                <w:rFonts w:hint="eastAsia" w:ascii="微软雅黑" w:hAnsi="微软雅黑" w:eastAsia="微软雅黑" w:cs="微软雅黑"/>
                <w:color w:val="auto"/>
                <w:sz w:val="20"/>
                <w:szCs w:val="20"/>
                <w:highlight w:val="none"/>
                <w:lang w:val="en-US"/>
              </w:rPr>
              <w:t>分</w:t>
            </w:r>
            <w:r>
              <w:rPr>
                <w:rFonts w:hint="eastAsia" w:ascii="微软雅黑" w:hAnsi="微软雅黑" w:eastAsia="微软雅黑" w:cs="微软雅黑"/>
                <w:sz w:val="20"/>
                <w:szCs w:val="20"/>
                <w:highlight w:val="none"/>
                <w:lang w:val="en-US"/>
              </w:rPr>
              <w:t>;方案较为合理，可行性较高的得2分;方案结构混乱，不贴合本项目采购需求不得分。</w:t>
            </w:r>
          </w:p>
          <w:p w14:paraId="056E8BE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sz w:val="20"/>
                <w:szCs w:val="20"/>
                <w:highlight w:val="none"/>
                <w:lang w:val="en-US"/>
              </w:rPr>
            </w:pPr>
            <w:r>
              <w:rPr>
                <w:rFonts w:hint="eastAsia" w:ascii="微软雅黑" w:hAnsi="微软雅黑" w:eastAsia="微软雅黑" w:cs="微软雅黑"/>
                <w:sz w:val="20"/>
                <w:szCs w:val="20"/>
                <w:highlight w:val="none"/>
                <w:lang w:val="en-US"/>
              </w:rPr>
              <w:t>②供应商设有正规完善的售后维修服务机构，有至少2名的专职工程师，按照项目采购需求中要求进行维修响应并排除故障的应急抢修方案，常备配件库房，提供配件库房、维修详细地址及维修工程师姓名、联系电话、设备维修工程师资格证书及身份证、近三个月社保证明复印件。人员要求资料齐全、方案合理可行得3分;人员要求资料较齐全、方案较合理可行得2分;人员要求资料不齐全、方案不合理可行或未提供不得分。③专职维修工程师在2名的基础上，每增加1名专职工程师加 1分，最高得2分。</w:t>
            </w:r>
          </w:p>
        </w:tc>
        <w:tc>
          <w:tcPr>
            <w:tcW w:w="1555" w:type="dxa"/>
            <w:vMerge w:val="continue"/>
            <w:noWrap w:val="0"/>
            <w:vAlign w:val="center"/>
          </w:tcPr>
          <w:p w14:paraId="2845B5F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0"/>
                <w:szCs w:val="20"/>
                <w:highlight w:val="none"/>
              </w:rPr>
            </w:pPr>
          </w:p>
        </w:tc>
      </w:tr>
      <w:tr w14:paraId="60FCF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1" w:hRule="atLeast"/>
          <w:jc w:val="center"/>
        </w:trPr>
        <w:tc>
          <w:tcPr>
            <w:tcW w:w="943" w:type="dxa"/>
            <w:vMerge w:val="continue"/>
            <w:noWrap w:val="0"/>
            <w:vAlign w:val="center"/>
          </w:tcPr>
          <w:p w14:paraId="31B38DE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c>
          <w:tcPr>
            <w:tcW w:w="638" w:type="dxa"/>
            <w:noWrap w:val="0"/>
            <w:vAlign w:val="center"/>
          </w:tcPr>
          <w:p w14:paraId="70286CA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2</w:t>
            </w:r>
          </w:p>
        </w:tc>
        <w:tc>
          <w:tcPr>
            <w:tcW w:w="6958" w:type="dxa"/>
            <w:noWrap w:val="0"/>
            <w:vAlign w:val="center"/>
          </w:tcPr>
          <w:p w14:paraId="1E4C270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b/>
                <w:bCs/>
                <w:color w:val="auto"/>
                <w:sz w:val="20"/>
                <w:szCs w:val="20"/>
                <w:highlight w:val="none"/>
                <w:lang w:val="en-US" w:eastAsia="zh-CN"/>
              </w:rPr>
              <w:t>备品备件：</w:t>
            </w:r>
            <w:r>
              <w:rPr>
                <w:rFonts w:hint="eastAsia" w:ascii="微软雅黑" w:hAnsi="微软雅黑" w:eastAsia="微软雅黑" w:cs="微软雅黑"/>
                <w:color w:val="auto"/>
                <w:sz w:val="20"/>
                <w:szCs w:val="20"/>
                <w:highlight w:val="none"/>
                <w:lang w:val="en-US" w:eastAsia="zh-CN"/>
              </w:rPr>
              <w:t>投标设备的运行成本：根据产品的维修维护及运行成本方面进行综合评价。根据投标人提供的备品备件表等，项目齐全且维修维护成本低得2分，项目不全或产品的维修维护成本高得1分，未提供不得分。承诺质保期后的维修仍然按照备品备件件表价格收取费用（提供承诺函，未提供本项不得分）</w:t>
            </w:r>
          </w:p>
        </w:tc>
        <w:tc>
          <w:tcPr>
            <w:tcW w:w="1555" w:type="dxa"/>
            <w:vMerge w:val="continue"/>
            <w:noWrap w:val="0"/>
            <w:vAlign w:val="center"/>
          </w:tcPr>
          <w:p w14:paraId="6D8BF5F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0"/>
                <w:szCs w:val="20"/>
                <w:highlight w:val="none"/>
              </w:rPr>
            </w:pPr>
          </w:p>
        </w:tc>
      </w:tr>
      <w:tr w14:paraId="6FAFC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1" w:hRule="atLeast"/>
          <w:jc w:val="center"/>
        </w:trPr>
        <w:tc>
          <w:tcPr>
            <w:tcW w:w="943" w:type="dxa"/>
            <w:vMerge w:val="continue"/>
            <w:noWrap w:val="0"/>
            <w:vAlign w:val="center"/>
          </w:tcPr>
          <w:p w14:paraId="20AB275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c>
          <w:tcPr>
            <w:tcW w:w="638" w:type="dxa"/>
            <w:noWrap w:val="0"/>
            <w:vAlign w:val="center"/>
          </w:tcPr>
          <w:p w14:paraId="329E361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1</w:t>
            </w:r>
          </w:p>
        </w:tc>
        <w:tc>
          <w:tcPr>
            <w:tcW w:w="6958" w:type="dxa"/>
            <w:noWrap w:val="0"/>
            <w:vAlign w:val="center"/>
          </w:tcPr>
          <w:p w14:paraId="2F03628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val="0"/>
                <w:bCs w:val="0"/>
                <w:color w:val="auto"/>
                <w:sz w:val="20"/>
                <w:szCs w:val="20"/>
                <w:highlight w:val="none"/>
                <w:lang w:val="en-US" w:eastAsia="zh-CN"/>
              </w:rPr>
            </w:pPr>
            <w:r>
              <w:rPr>
                <w:rFonts w:hint="eastAsia" w:ascii="微软雅黑" w:hAnsi="微软雅黑" w:eastAsia="微软雅黑" w:cs="微软雅黑"/>
                <w:b/>
                <w:bCs/>
                <w:color w:val="auto"/>
                <w:sz w:val="20"/>
                <w:szCs w:val="20"/>
                <w:highlight w:val="none"/>
                <w:lang w:val="en-US" w:eastAsia="zh-CN"/>
              </w:rPr>
              <w:t>投标产品可靠性：</w:t>
            </w:r>
            <w:r>
              <w:rPr>
                <w:rFonts w:hint="eastAsia" w:ascii="微软雅黑" w:hAnsi="微软雅黑" w:eastAsia="微软雅黑" w:cs="微软雅黑"/>
                <w:b w:val="0"/>
                <w:bCs w:val="0"/>
                <w:color w:val="auto"/>
                <w:sz w:val="20"/>
                <w:szCs w:val="20"/>
                <w:highlight w:val="none"/>
                <w:lang w:val="en-US" w:eastAsia="zh-CN"/>
              </w:rPr>
              <w:t>所投产品运行稳定，不存在质量问题，未发生过召回/退回事件，使用记录良好，得1分（提供承诺函或用户回访评价，未提供或提供内容不全的不得分）。偶有故障发生但能够保证及时处理且不影响使用科室正常运行的本项得0.5分。未提供该项不得分，发生过召回事件的本项得0分。</w:t>
            </w:r>
          </w:p>
          <w:p w14:paraId="04AD5DF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auto"/>
                <w:sz w:val="20"/>
                <w:szCs w:val="20"/>
                <w:highlight w:val="none"/>
                <w:lang w:val="en-US" w:eastAsia="zh-CN"/>
              </w:rPr>
            </w:pPr>
            <w:r>
              <w:rPr>
                <w:rFonts w:hint="eastAsia" w:ascii="微软雅黑" w:hAnsi="微软雅黑" w:eastAsia="微软雅黑" w:cs="微软雅黑"/>
                <w:b/>
                <w:bCs/>
                <w:color w:val="auto"/>
                <w:sz w:val="20"/>
                <w:szCs w:val="20"/>
                <w:highlight w:val="none"/>
                <w:lang w:val="en-US" w:eastAsia="zh-CN"/>
              </w:rPr>
              <w:t>注：提供的承诺函或用户回访评价需包含服务专业人员配备情况评价、服务响应时间情况评价、技术支持能力情况评价、服务体系健全情况评价等方面</w:t>
            </w:r>
          </w:p>
        </w:tc>
        <w:tc>
          <w:tcPr>
            <w:tcW w:w="1555" w:type="dxa"/>
            <w:vMerge w:val="continue"/>
            <w:noWrap w:val="0"/>
            <w:vAlign w:val="center"/>
          </w:tcPr>
          <w:p w14:paraId="3FCD576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0"/>
                <w:szCs w:val="20"/>
                <w:highlight w:val="none"/>
              </w:rPr>
            </w:pPr>
          </w:p>
        </w:tc>
      </w:tr>
    </w:tbl>
    <w:p w14:paraId="5834BEB1">
      <w:pPr>
        <w:pStyle w:val="12"/>
        <w:rPr>
          <w:rFonts w:hint="eastAsia" w:ascii="微软雅黑" w:hAnsi="微软雅黑" w:eastAsia="微软雅黑" w:cs="微软雅黑"/>
          <w:sz w:val="22"/>
          <w:szCs w:val="22"/>
          <w:highlight w:val="none"/>
        </w:rPr>
      </w:pPr>
    </w:p>
    <w:p w14:paraId="5979E9A5">
      <w:pPr>
        <w:rPr>
          <w:rFonts w:hint="eastAsia" w:ascii="微软雅黑" w:hAnsi="微软雅黑" w:eastAsia="微软雅黑" w:cs="微软雅黑"/>
          <w:sz w:val="22"/>
          <w:szCs w:val="22"/>
          <w:highlight w:val="none"/>
        </w:rPr>
      </w:pPr>
    </w:p>
    <w:p w14:paraId="66456FCF">
      <w:pPr>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br w:type="page"/>
      </w:r>
    </w:p>
    <w:bookmarkEnd w:id="2065"/>
    <w:p w14:paraId="2610653E">
      <w:pPr>
        <w:spacing w:line="240" w:lineRule="atLeast"/>
        <w:jc w:val="center"/>
        <w:rPr>
          <w:rFonts w:hint="eastAsia" w:ascii="微软雅黑" w:hAnsi="微软雅黑" w:eastAsia="微软雅黑" w:cs="微软雅黑"/>
          <w:b/>
          <w:color w:val="auto"/>
          <w:sz w:val="36"/>
          <w:szCs w:val="36"/>
          <w:highlight w:val="none"/>
        </w:rPr>
      </w:pPr>
      <w:bookmarkStart w:id="2066" w:name="_Toc21195"/>
      <w:bookmarkStart w:id="2067" w:name="_Toc30353"/>
    </w:p>
    <w:p w14:paraId="4F1A7B17">
      <w:pPr>
        <w:spacing w:line="240" w:lineRule="atLeast"/>
        <w:jc w:val="center"/>
        <w:rPr>
          <w:rFonts w:hint="eastAsia" w:ascii="微软雅黑" w:hAnsi="微软雅黑" w:eastAsia="微软雅黑" w:cs="微软雅黑"/>
          <w:b/>
          <w:color w:val="auto"/>
          <w:sz w:val="36"/>
          <w:szCs w:val="36"/>
          <w:highlight w:val="none"/>
        </w:rPr>
      </w:pPr>
    </w:p>
    <w:p w14:paraId="11A96973">
      <w:pPr>
        <w:spacing w:line="240" w:lineRule="atLeast"/>
        <w:jc w:val="center"/>
        <w:rPr>
          <w:rFonts w:hint="eastAsia" w:ascii="微软雅黑" w:hAnsi="微软雅黑" w:eastAsia="微软雅黑" w:cs="微软雅黑"/>
          <w:b/>
          <w:color w:val="auto"/>
          <w:sz w:val="36"/>
          <w:szCs w:val="36"/>
          <w:highlight w:val="none"/>
        </w:rPr>
      </w:pPr>
    </w:p>
    <w:p w14:paraId="4A839C08">
      <w:pPr>
        <w:spacing w:line="240" w:lineRule="atLeast"/>
        <w:jc w:val="center"/>
        <w:rPr>
          <w:rFonts w:hint="eastAsia" w:ascii="微软雅黑" w:hAnsi="微软雅黑" w:eastAsia="微软雅黑" w:cs="微软雅黑"/>
          <w:b/>
          <w:color w:val="auto"/>
          <w:sz w:val="36"/>
          <w:szCs w:val="36"/>
          <w:highlight w:val="none"/>
        </w:rPr>
      </w:pPr>
    </w:p>
    <w:p w14:paraId="1FBC4BAC">
      <w:pPr>
        <w:spacing w:line="240" w:lineRule="atLeast"/>
        <w:jc w:val="center"/>
        <w:rPr>
          <w:rFonts w:hint="eastAsia" w:ascii="微软雅黑" w:hAnsi="微软雅黑" w:eastAsia="微软雅黑" w:cs="微软雅黑"/>
          <w:b/>
          <w:color w:val="auto"/>
          <w:sz w:val="36"/>
          <w:szCs w:val="36"/>
          <w:highlight w:val="none"/>
        </w:rPr>
      </w:pPr>
    </w:p>
    <w:p w14:paraId="156B8A39">
      <w:pPr>
        <w:spacing w:line="240" w:lineRule="atLeast"/>
        <w:jc w:val="center"/>
        <w:rPr>
          <w:rFonts w:hint="eastAsia" w:ascii="微软雅黑" w:hAnsi="微软雅黑" w:eastAsia="微软雅黑" w:cs="微软雅黑"/>
          <w:b/>
          <w:color w:val="auto"/>
          <w:sz w:val="36"/>
          <w:szCs w:val="36"/>
          <w:highlight w:val="none"/>
        </w:rPr>
      </w:pPr>
    </w:p>
    <w:p w14:paraId="241EB0B6">
      <w:pPr>
        <w:spacing w:line="240" w:lineRule="atLeast"/>
        <w:jc w:val="center"/>
        <w:rPr>
          <w:rFonts w:hint="eastAsia" w:ascii="微软雅黑" w:hAnsi="微软雅黑" w:eastAsia="微软雅黑" w:cs="微软雅黑"/>
          <w:b/>
          <w:color w:val="auto"/>
          <w:sz w:val="36"/>
          <w:szCs w:val="36"/>
          <w:highlight w:val="none"/>
        </w:rPr>
      </w:pPr>
    </w:p>
    <w:p w14:paraId="171A6190">
      <w:pPr>
        <w:spacing w:line="240" w:lineRule="atLeast"/>
        <w:jc w:val="center"/>
        <w:rPr>
          <w:rFonts w:hint="eastAsia" w:ascii="微软雅黑" w:hAnsi="微软雅黑" w:eastAsia="微软雅黑" w:cs="微软雅黑"/>
          <w:b/>
          <w:color w:val="auto"/>
          <w:sz w:val="36"/>
          <w:szCs w:val="36"/>
          <w:highlight w:val="none"/>
        </w:rPr>
      </w:pPr>
    </w:p>
    <w:p w14:paraId="41D687A5">
      <w:pPr>
        <w:spacing w:line="240" w:lineRule="atLeast"/>
        <w:jc w:val="center"/>
        <w:rPr>
          <w:rFonts w:hint="eastAsia" w:ascii="微软雅黑" w:hAnsi="微软雅黑" w:eastAsia="微软雅黑" w:cs="微软雅黑"/>
          <w:b/>
          <w:color w:val="auto"/>
          <w:sz w:val="36"/>
          <w:szCs w:val="36"/>
          <w:highlight w:val="none"/>
        </w:rPr>
      </w:pPr>
      <w:r>
        <w:rPr>
          <w:rFonts w:hint="eastAsia" w:ascii="微软雅黑" w:hAnsi="微软雅黑" w:eastAsia="微软雅黑" w:cs="微软雅黑"/>
          <w:b/>
          <w:color w:val="auto"/>
          <w:sz w:val="36"/>
          <w:szCs w:val="36"/>
          <w:highlight w:val="none"/>
        </w:rPr>
        <w:t>招 标 文 件</w:t>
      </w:r>
    </w:p>
    <w:p w14:paraId="2DBDFE0F">
      <w:pPr>
        <w:spacing w:line="360" w:lineRule="auto"/>
        <w:rPr>
          <w:rFonts w:hint="eastAsia" w:ascii="微软雅黑" w:hAnsi="微软雅黑" w:eastAsia="微软雅黑" w:cs="微软雅黑"/>
          <w:b/>
          <w:color w:val="auto"/>
          <w:sz w:val="36"/>
          <w:szCs w:val="36"/>
          <w:highlight w:val="none"/>
        </w:rPr>
      </w:pPr>
    </w:p>
    <w:p w14:paraId="23F8A5AD">
      <w:pPr>
        <w:spacing w:line="360" w:lineRule="auto"/>
        <w:jc w:val="center"/>
        <w:rPr>
          <w:rFonts w:hint="default" w:ascii="微软雅黑" w:hAnsi="微软雅黑" w:eastAsia="微软雅黑" w:cs="微软雅黑"/>
          <w:b/>
          <w:color w:val="auto"/>
          <w:sz w:val="36"/>
          <w:szCs w:val="36"/>
          <w:highlight w:val="none"/>
          <w:lang w:val="en-US" w:eastAsia="zh-CN"/>
        </w:rPr>
      </w:pPr>
      <w:r>
        <w:rPr>
          <w:rFonts w:hint="eastAsia" w:ascii="微软雅黑" w:hAnsi="微软雅黑" w:eastAsia="微软雅黑" w:cs="微软雅黑"/>
          <w:b/>
          <w:color w:val="auto"/>
          <w:sz w:val="36"/>
          <w:szCs w:val="36"/>
          <w:highlight w:val="none"/>
        </w:rPr>
        <w:t>项目编号：</w:t>
      </w:r>
      <w:r>
        <w:rPr>
          <w:rFonts w:hint="eastAsia" w:ascii="微软雅黑" w:hAnsi="微软雅黑" w:eastAsia="微软雅黑" w:cs="微软雅黑"/>
          <w:b/>
          <w:color w:val="auto"/>
          <w:sz w:val="36"/>
          <w:szCs w:val="36"/>
          <w:highlight w:val="none"/>
          <w:lang w:eastAsia="zh-CN"/>
        </w:rPr>
        <w:t>25GJ-(GK）044</w:t>
      </w:r>
      <w:r>
        <w:rPr>
          <w:rFonts w:hint="eastAsia" w:ascii="微软雅黑" w:hAnsi="微软雅黑" w:eastAsia="微软雅黑" w:cs="微软雅黑"/>
          <w:b/>
          <w:color w:val="auto"/>
          <w:sz w:val="36"/>
          <w:szCs w:val="36"/>
          <w:highlight w:val="none"/>
          <w:lang w:val="en-US" w:eastAsia="zh-CN"/>
        </w:rPr>
        <w:t>-3</w:t>
      </w:r>
    </w:p>
    <w:p w14:paraId="6A66D999">
      <w:pPr>
        <w:spacing w:line="240" w:lineRule="atLeast"/>
        <w:jc w:val="both"/>
        <w:rPr>
          <w:rFonts w:hint="eastAsia" w:ascii="微软雅黑" w:hAnsi="微软雅黑" w:eastAsia="微软雅黑" w:cs="微软雅黑"/>
          <w:b/>
          <w:color w:val="auto"/>
          <w:sz w:val="36"/>
          <w:szCs w:val="36"/>
          <w:highlight w:val="none"/>
        </w:rPr>
      </w:pPr>
    </w:p>
    <w:p w14:paraId="4F9626BF">
      <w:pPr>
        <w:spacing w:line="240" w:lineRule="atLeast"/>
        <w:jc w:val="center"/>
        <w:rPr>
          <w:rFonts w:hint="eastAsia" w:ascii="微软雅黑" w:hAnsi="微软雅黑" w:eastAsia="微软雅黑" w:cs="微软雅黑"/>
          <w:b/>
          <w:color w:val="auto"/>
          <w:sz w:val="36"/>
          <w:szCs w:val="36"/>
          <w:highlight w:val="none"/>
        </w:rPr>
      </w:pPr>
      <w:r>
        <w:rPr>
          <w:rFonts w:hint="eastAsia" w:ascii="微软雅黑" w:hAnsi="微软雅黑" w:eastAsia="微软雅黑" w:cs="微软雅黑"/>
          <w:b/>
          <w:color w:val="auto"/>
          <w:sz w:val="36"/>
          <w:szCs w:val="36"/>
          <w:highlight w:val="none"/>
        </w:rPr>
        <w:t xml:space="preserve">第 </w:t>
      </w:r>
      <w:r>
        <w:rPr>
          <w:rFonts w:hint="eastAsia" w:ascii="微软雅黑" w:hAnsi="微软雅黑" w:eastAsia="微软雅黑" w:cs="微软雅黑"/>
          <w:b/>
          <w:color w:val="auto"/>
          <w:sz w:val="36"/>
          <w:szCs w:val="36"/>
          <w:highlight w:val="none"/>
          <w:lang w:val="en-US" w:eastAsia="zh-CN"/>
        </w:rPr>
        <w:t>三</w:t>
      </w:r>
      <w:r>
        <w:rPr>
          <w:rFonts w:hint="eastAsia" w:ascii="微软雅黑" w:hAnsi="微软雅黑" w:eastAsia="微软雅黑" w:cs="微软雅黑"/>
          <w:b/>
          <w:color w:val="auto"/>
          <w:sz w:val="36"/>
          <w:szCs w:val="36"/>
          <w:highlight w:val="none"/>
        </w:rPr>
        <w:t xml:space="preserve"> 册</w:t>
      </w:r>
    </w:p>
    <w:p w14:paraId="43B890D8">
      <w:pPr>
        <w:rPr>
          <w:rFonts w:hint="eastAsia" w:ascii="微软雅黑" w:hAnsi="微软雅黑" w:eastAsia="微软雅黑" w:cs="微软雅黑"/>
          <w:b/>
          <w:bCs/>
          <w:color w:val="auto"/>
          <w:sz w:val="28"/>
          <w:szCs w:val="28"/>
          <w:highlight w:val="none"/>
        </w:rPr>
      </w:pPr>
    </w:p>
    <w:p w14:paraId="2DFDAD05">
      <w:pPr>
        <w:rPr>
          <w:rFonts w:hint="eastAsia" w:ascii="微软雅黑" w:hAnsi="微软雅黑" w:eastAsia="微软雅黑" w:cs="微软雅黑"/>
          <w:b/>
          <w:bCs/>
          <w:color w:val="auto"/>
          <w:sz w:val="28"/>
          <w:szCs w:val="28"/>
          <w:highlight w:val="none"/>
        </w:rPr>
      </w:pPr>
      <w:r>
        <w:rPr>
          <w:rFonts w:hint="eastAsia" w:ascii="微软雅黑" w:hAnsi="微软雅黑" w:eastAsia="微软雅黑" w:cs="微软雅黑"/>
          <w:b/>
          <w:bCs/>
          <w:color w:val="auto"/>
          <w:sz w:val="28"/>
          <w:szCs w:val="28"/>
          <w:highlight w:val="none"/>
        </w:rPr>
        <w:br w:type="page"/>
      </w:r>
    </w:p>
    <w:p w14:paraId="3D68DC4F">
      <w:pPr>
        <w:pStyle w:val="5"/>
        <w:shd w:val="clear"/>
        <w:tabs>
          <w:tab w:val="left" w:pos="0"/>
        </w:tabs>
        <w:spacing w:before="0" w:after="0" w:line="240" w:lineRule="atLeast"/>
        <w:ind w:left="-15"/>
        <w:outlineLvl w:val="0"/>
        <w:rPr>
          <w:rFonts w:hint="eastAsia" w:ascii="微软雅黑" w:hAnsi="微软雅黑" w:eastAsia="微软雅黑" w:cs="微软雅黑"/>
          <w:color w:val="auto"/>
          <w:sz w:val="28"/>
          <w:szCs w:val="28"/>
          <w:highlight w:val="none"/>
        </w:rPr>
      </w:pPr>
      <w:bookmarkStart w:id="2068" w:name="_Toc86"/>
      <w:r>
        <w:rPr>
          <w:rFonts w:hint="eastAsia" w:ascii="微软雅黑" w:hAnsi="微软雅黑" w:eastAsia="微软雅黑" w:cs="微软雅黑"/>
          <w:b/>
          <w:bCs/>
          <w:color w:val="auto"/>
          <w:sz w:val="28"/>
          <w:szCs w:val="28"/>
          <w:highlight w:val="none"/>
        </w:rPr>
        <w:t>第7章 政府采购合同</w:t>
      </w:r>
      <w:bookmarkEnd w:id="2066"/>
      <w:bookmarkEnd w:id="2067"/>
      <w:bookmarkEnd w:id="2068"/>
      <w:bookmarkStart w:id="2069" w:name="_Toc216513788"/>
      <w:bookmarkEnd w:id="2069"/>
      <w:bookmarkStart w:id="2070" w:name="_Toc487900382"/>
      <w:bookmarkEnd w:id="2070"/>
      <w:bookmarkStart w:id="2071" w:name="_Hlt487972895"/>
      <w:bookmarkEnd w:id="2071"/>
    </w:p>
    <w:p w14:paraId="43003E86">
      <w:pPr>
        <w:shd w:val="clea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合同编号：           </w:t>
      </w:r>
    </w:p>
    <w:p w14:paraId="5BA24248">
      <w:pPr>
        <w:shd w:val="clea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         </w:t>
      </w:r>
    </w:p>
    <w:p w14:paraId="4E8A5B4B">
      <w:pPr>
        <w:pStyle w:val="12"/>
        <w:spacing w:after="0"/>
        <w:jc w:val="center"/>
        <w:rPr>
          <w:rFonts w:hint="eastAsia" w:ascii="微软雅黑" w:hAnsi="微软雅黑" w:eastAsia="微软雅黑" w:cs="微软雅黑"/>
          <w:b/>
          <w:bCs/>
          <w:color w:val="auto"/>
          <w:spacing w:val="-20"/>
          <w:kern w:val="44"/>
          <w:sz w:val="24"/>
          <w:szCs w:val="24"/>
          <w:highlight w:val="none"/>
        </w:rPr>
      </w:pPr>
      <w:bookmarkStart w:id="2072" w:name="_Toc3995"/>
      <w:r>
        <w:rPr>
          <w:rFonts w:hint="eastAsia" w:ascii="微软雅黑" w:hAnsi="微软雅黑" w:eastAsia="微软雅黑" w:cs="微软雅黑"/>
          <w:b/>
          <w:bCs/>
          <w:color w:val="auto"/>
          <w:spacing w:val="-20"/>
          <w:kern w:val="44"/>
          <w:sz w:val="24"/>
          <w:szCs w:val="24"/>
          <w:highlight w:val="none"/>
        </w:rPr>
        <w:t>政府采购</w:t>
      </w:r>
      <w:r>
        <w:rPr>
          <w:rFonts w:hint="eastAsia" w:ascii="微软雅黑" w:hAnsi="微软雅黑" w:eastAsia="微软雅黑" w:cs="微软雅黑"/>
          <w:b/>
          <w:bCs/>
          <w:color w:val="auto"/>
          <w:spacing w:val="-20"/>
          <w:kern w:val="44"/>
          <w:sz w:val="24"/>
          <w:szCs w:val="24"/>
          <w:highlight w:val="none"/>
          <w:lang w:eastAsia="zh-CN"/>
        </w:rPr>
        <w:t>货物买卖</w:t>
      </w:r>
      <w:r>
        <w:rPr>
          <w:rFonts w:hint="eastAsia" w:ascii="微软雅黑" w:hAnsi="微软雅黑" w:eastAsia="微软雅黑" w:cs="微软雅黑"/>
          <w:b/>
          <w:bCs/>
          <w:color w:val="auto"/>
          <w:spacing w:val="-20"/>
          <w:kern w:val="44"/>
          <w:sz w:val="24"/>
          <w:szCs w:val="24"/>
          <w:highlight w:val="none"/>
        </w:rPr>
        <w:t>合同</w:t>
      </w:r>
    </w:p>
    <w:p w14:paraId="65264D30">
      <w:pPr>
        <w:pStyle w:val="12"/>
        <w:spacing w:after="0"/>
        <w:jc w:val="center"/>
        <w:rPr>
          <w:rFonts w:hint="eastAsia" w:ascii="微软雅黑" w:hAnsi="微软雅黑" w:eastAsia="微软雅黑" w:cs="微软雅黑"/>
          <w:b/>
          <w:bCs/>
          <w:color w:val="auto"/>
          <w:spacing w:val="-20"/>
          <w:kern w:val="44"/>
          <w:sz w:val="24"/>
          <w:szCs w:val="24"/>
          <w:highlight w:val="none"/>
          <w:lang w:eastAsia="zh-CN"/>
        </w:rPr>
      </w:pPr>
      <w:r>
        <w:rPr>
          <w:rFonts w:hint="eastAsia" w:ascii="微软雅黑" w:hAnsi="微软雅黑" w:eastAsia="微软雅黑" w:cs="微软雅黑"/>
          <w:b/>
          <w:bCs/>
          <w:color w:val="auto"/>
          <w:spacing w:val="-20"/>
          <w:kern w:val="44"/>
          <w:sz w:val="24"/>
          <w:szCs w:val="24"/>
          <w:highlight w:val="none"/>
          <w:lang w:eastAsia="zh-CN"/>
        </w:rPr>
        <w:t>（试行）</w:t>
      </w:r>
    </w:p>
    <w:p w14:paraId="42C7B1FA">
      <w:pPr>
        <w:rPr>
          <w:rFonts w:hint="eastAsia" w:ascii="微软雅黑" w:hAnsi="微软雅黑" w:eastAsia="微软雅黑" w:cs="微软雅黑"/>
          <w:b/>
          <w:bCs/>
          <w:color w:val="auto"/>
          <w:spacing w:val="-20"/>
          <w:kern w:val="44"/>
          <w:sz w:val="24"/>
          <w:szCs w:val="24"/>
          <w:highlight w:val="none"/>
        </w:rPr>
      </w:pPr>
    </w:p>
    <w:p w14:paraId="63100E61">
      <w:pPr>
        <w:rPr>
          <w:rFonts w:hint="eastAsia" w:ascii="微软雅黑" w:hAnsi="微软雅黑" w:eastAsia="微软雅黑" w:cs="微软雅黑"/>
          <w:b/>
          <w:bCs/>
          <w:color w:val="auto"/>
          <w:spacing w:val="-20"/>
          <w:kern w:val="44"/>
          <w:sz w:val="24"/>
          <w:szCs w:val="24"/>
          <w:highlight w:val="none"/>
        </w:rPr>
      </w:pPr>
    </w:p>
    <w:p w14:paraId="2F1CB0DD">
      <w:pPr>
        <w:spacing w:line="360" w:lineRule="auto"/>
        <w:ind w:left="420" w:left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0"/>
          <w:sz w:val="24"/>
          <w:szCs w:val="24"/>
          <w:highlight w:val="none"/>
        </w:rPr>
        <w:t>项目名称：</w:t>
      </w:r>
      <w:r>
        <w:rPr>
          <w:rFonts w:hint="eastAsia" w:ascii="微软雅黑" w:hAnsi="微软雅黑" w:eastAsia="微软雅黑" w:cs="微软雅黑"/>
          <w:color w:val="auto"/>
          <w:sz w:val="24"/>
          <w:szCs w:val="24"/>
          <w:highlight w:val="none"/>
          <w:u w:val="single"/>
        </w:rPr>
        <w:t xml:space="preserve">                             </w:t>
      </w:r>
    </w:p>
    <w:p w14:paraId="0FBE5C1E">
      <w:pPr>
        <w:spacing w:line="360" w:lineRule="auto"/>
        <w:ind w:left="420" w:leftChars="200"/>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t>合同编号：</w:t>
      </w:r>
      <w:r>
        <w:rPr>
          <w:rFonts w:hint="eastAsia" w:ascii="微软雅黑" w:hAnsi="微软雅黑" w:eastAsia="微软雅黑" w:cs="微软雅黑"/>
          <w:color w:val="auto"/>
          <w:sz w:val="24"/>
          <w:szCs w:val="24"/>
          <w:highlight w:val="none"/>
          <w:u w:val="single"/>
        </w:rPr>
        <w:t xml:space="preserve">                             </w:t>
      </w:r>
    </w:p>
    <w:p w14:paraId="49C7BAB8">
      <w:pPr>
        <w:spacing w:line="360" w:lineRule="auto"/>
        <w:ind w:left="420" w:left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甲    方：</w:t>
      </w:r>
      <w:r>
        <w:rPr>
          <w:rFonts w:hint="eastAsia" w:ascii="微软雅黑" w:hAnsi="微软雅黑" w:eastAsia="微软雅黑" w:cs="微软雅黑"/>
          <w:color w:val="auto"/>
          <w:sz w:val="24"/>
          <w:szCs w:val="24"/>
          <w:highlight w:val="none"/>
          <w:u w:val="single"/>
        </w:rPr>
        <w:t xml:space="preserve">                             </w:t>
      </w:r>
    </w:p>
    <w:p w14:paraId="69F886FE">
      <w:pPr>
        <w:spacing w:line="360" w:lineRule="auto"/>
        <w:ind w:left="420" w:leftChars="200"/>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t>乙    方：</w:t>
      </w:r>
      <w:r>
        <w:rPr>
          <w:rFonts w:hint="eastAsia" w:ascii="微软雅黑" w:hAnsi="微软雅黑" w:eastAsia="微软雅黑" w:cs="微软雅黑"/>
          <w:color w:val="auto"/>
          <w:sz w:val="24"/>
          <w:szCs w:val="24"/>
          <w:highlight w:val="none"/>
          <w:u w:val="single"/>
        </w:rPr>
        <w:t xml:space="preserve">                             </w:t>
      </w:r>
    </w:p>
    <w:p w14:paraId="246B00BB">
      <w:pPr>
        <w:spacing w:line="360" w:lineRule="auto"/>
        <w:ind w:left="420" w:left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签订时间：</w:t>
      </w:r>
      <w:r>
        <w:rPr>
          <w:rFonts w:hint="eastAsia" w:ascii="微软雅黑" w:hAnsi="微软雅黑" w:eastAsia="微软雅黑" w:cs="微软雅黑"/>
          <w:color w:val="auto"/>
          <w:sz w:val="24"/>
          <w:szCs w:val="24"/>
          <w:highlight w:val="none"/>
          <w:u w:val="single"/>
        </w:rPr>
        <w:t xml:space="preserve">                             </w:t>
      </w:r>
    </w:p>
    <w:p w14:paraId="7E6C3325">
      <w:pPr>
        <w:rPr>
          <w:rFonts w:hint="eastAsia" w:ascii="微软雅黑" w:hAnsi="微软雅黑" w:eastAsia="微软雅黑" w:cs="微软雅黑"/>
          <w:color w:val="auto"/>
          <w:sz w:val="24"/>
          <w:szCs w:val="24"/>
          <w:highlight w:val="none"/>
        </w:rPr>
      </w:pPr>
    </w:p>
    <w:p w14:paraId="5A2BC834">
      <w:pP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br w:type="page"/>
      </w:r>
    </w:p>
    <w:p w14:paraId="69620999">
      <w:pPr>
        <w:jc w:val="center"/>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使</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lang w:eastAsia="zh-CN"/>
        </w:rPr>
        <w:t>用</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lang w:eastAsia="zh-CN"/>
        </w:rPr>
        <w:t>说</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lang w:eastAsia="zh-CN"/>
        </w:rPr>
        <w:t>明</w:t>
      </w:r>
    </w:p>
    <w:p w14:paraId="02A47C67">
      <w:pPr>
        <w:ind w:firstLine="480" w:firstLineChars="200"/>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1.本合同标准文本适用于购买现成货物的采购项目，不包括需要供应商定制开发、创新研发的货物采购项目。</w:t>
      </w:r>
    </w:p>
    <w:p w14:paraId="4757FBA3">
      <w:pPr>
        <w:ind w:firstLine="0" w:firstLineChars="0"/>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xml:space="preserve">   2.本合同标准文本为政府采购货物买卖合同编制提供参考，可以结合采购项目具体情况，对文本作必要的调整修订后使用。</w:t>
      </w:r>
    </w:p>
    <w:p w14:paraId="5A9E9100">
      <w:pPr>
        <w:ind w:firstLine="480" w:firstLineChars="200"/>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3.本合同标准文本各条款中，如涉及填写多家供应商、制造商，多种采购标的、分包主要内容等信息的，可根据采购项目具体情况添加信息项。</w:t>
      </w:r>
    </w:p>
    <w:p w14:paraId="5A21C9C3">
      <w:pPr>
        <w:ind w:firstLine="480" w:firstLineChars="200"/>
        <w:jc w:val="both"/>
        <w:rPr>
          <w:rFonts w:hint="eastAsia" w:ascii="微软雅黑" w:hAnsi="微软雅黑" w:eastAsia="微软雅黑" w:cs="微软雅黑"/>
          <w:color w:val="auto"/>
          <w:sz w:val="24"/>
          <w:szCs w:val="24"/>
          <w:highlight w:val="none"/>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2072"/>
    <w:p w14:paraId="757CD387">
      <w:pPr>
        <w:adjustRightInd w:val="0"/>
        <w:snapToGrid w:val="0"/>
        <w:spacing w:beforeLines="0" w:line="400" w:lineRule="exact"/>
        <w:jc w:val="center"/>
        <w:outlineLvl w:val="9"/>
        <w:rPr>
          <w:rFonts w:hint="eastAsia" w:ascii="微软雅黑" w:hAnsi="微软雅黑" w:eastAsia="微软雅黑" w:cs="微软雅黑"/>
          <w:b w:val="0"/>
          <w:bCs w:val="0"/>
          <w:color w:val="auto"/>
          <w:sz w:val="28"/>
          <w:szCs w:val="28"/>
          <w:highlight w:val="none"/>
        </w:rPr>
      </w:pPr>
      <w:bookmarkStart w:id="2073" w:name="_Toc22209"/>
      <w:r>
        <w:rPr>
          <w:rFonts w:hint="eastAsia" w:ascii="微软雅黑" w:hAnsi="微软雅黑" w:eastAsia="微软雅黑" w:cs="微软雅黑"/>
          <w:b w:val="0"/>
          <w:bCs w:val="0"/>
          <w:color w:val="auto"/>
          <w:sz w:val="28"/>
          <w:szCs w:val="28"/>
          <w:highlight w:val="none"/>
        </w:rPr>
        <w:t>第一节 政府采购合同协议书</w:t>
      </w:r>
      <w:bookmarkEnd w:id="2073"/>
    </w:p>
    <w:p w14:paraId="6FD854ED">
      <w:pPr>
        <w:adjustRightInd w:val="0"/>
        <w:snapToGrid w:val="0"/>
        <w:spacing w:beforeLines="0" w:line="400" w:lineRule="exact"/>
        <w:jc w:val="center"/>
        <w:outlineLvl w:val="9"/>
        <w:rPr>
          <w:rFonts w:hint="eastAsia" w:ascii="微软雅黑" w:hAnsi="微软雅黑" w:eastAsia="微软雅黑" w:cs="微软雅黑"/>
          <w:b w:val="0"/>
          <w:bCs w:val="0"/>
          <w:color w:val="auto"/>
          <w:sz w:val="24"/>
          <w:szCs w:val="24"/>
          <w:highlight w:val="none"/>
        </w:rPr>
      </w:pPr>
    </w:p>
    <w:p w14:paraId="223E62CF">
      <w:pPr>
        <w:adjustRightInd w:val="0"/>
        <w:snapToGrid w:val="0"/>
        <w:spacing w:before="0" w:beforeLines="0" w:line="400" w:lineRule="exac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甲方（全称）：</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（采购人</w:t>
      </w:r>
      <w:r>
        <w:rPr>
          <w:rFonts w:hint="eastAsia" w:ascii="微软雅黑" w:hAnsi="微软雅黑" w:eastAsia="微软雅黑" w:cs="微软雅黑"/>
          <w:color w:val="auto"/>
          <w:sz w:val="24"/>
          <w:szCs w:val="24"/>
          <w:highlight w:val="none"/>
          <w:lang w:eastAsia="zh-CN"/>
        </w:rPr>
        <w:t>、受采购人委托签订合同的单位</w:t>
      </w:r>
      <w:r>
        <w:rPr>
          <w:rFonts w:hint="eastAsia" w:ascii="微软雅黑" w:hAnsi="微软雅黑" w:eastAsia="微软雅黑" w:cs="微软雅黑"/>
          <w:color w:val="auto"/>
          <w:sz w:val="24"/>
          <w:szCs w:val="24"/>
          <w:highlight w:val="none"/>
        </w:rPr>
        <w:t>或采购</w:t>
      </w:r>
      <w:r>
        <w:rPr>
          <w:rFonts w:hint="eastAsia" w:ascii="微软雅黑" w:hAnsi="微软雅黑" w:eastAsia="微软雅黑" w:cs="微软雅黑"/>
          <w:color w:val="auto"/>
          <w:sz w:val="24"/>
          <w:szCs w:val="24"/>
          <w:highlight w:val="none"/>
          <w:lang w:val="en-US" w:eastAsia="zh-CN"/>
        </w:rPr>
        <w:tab/>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文件约定的合同甲方）</w:t>
      </w:r>
    </w:p>
    <w:p w14:paraId="71E091F9">
      <w:pPr>
        <w:adjustRightInd w:val="0"/>
        <w:snapToGrid w:val="0"/>
        <w:spacing w:before="0" w:beforeLines="0" w:line="400" w:lineRule="exac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乙方</w:t>
      </w:r>
      <w:r>
        <w:rPr>
          <w:rFonts w:hint="eastAsia" w:ascii="微软雅黑" w:hAnsi="微软雅黑" w:eastAsia="微软雅黑" w:cs="微软雅黑"/>
          <w:color w:val="auto"/>
          <w:sz w:val="24"/>
          <w:szCs w:val="24"/>
          <w:highlight w:val="none"/>
          <w:lang w:val="en-US" w:eastAsia="zh-CN"/>
        </w:rPr>
        <w:t>1</w:t>
      </w:r>
      <w:r>
        <w:rPr>
          <w:rFonts w:hint="eastAsia" w:ascii="微软雅黑" w:hAnsi="微软雅黑" w:eastAsia="微软雅黑" w:cs="微软雅黑"/>
          <w:color w:val="auto"/>
          <w:sz w:val="24"/>
          <w:szCs w:val="24"/>
          <w:highlight w:val="none"/>
        </w:rPr>
        <w:t>（全称）：</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（供应商）</w:t>
      </w:r>
    </w:p>
    <w:p w14:paraId="195E3EF3">
      <w:pPr>
        <w:adjustRightInd w:val="0"/>
        <w:snapToGrid w:val="0"/>
        <w:spacing w:before="0" w:beforeLines="0" w:line="400" w:lineRule="exac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乙方2（全称）：</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（联合体成员供应商或其他合同主体）（如有）</w:t>
      </w:r>
    </w:p>
    <w:p w14:paraId="68070506">
      <w:pPr>
        <w:adjustRightInd w:val="0"/>
        <w:snapToGrid w:val="0"/>
        <w:spacing w:before="0" w:beforeLines="0" w:line="400" w:lineRule="exac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乙方</w:t>
      </w:r>
      <w:r>
        <w:rPr>
          <w:rFonts w:hint="eastAsia" w:ascii="微软雅黑" w:hAnsi="微软雅黑" w:eastAsia="微软雅黑" w:cs="微软雅黑"/>
          <w:color w:val="auto"/>
          <w:sz w:val="24"/>
          <w:szCs w:val="24"/>
          <w:highlight w:val="none"/>
          <w:lang w:val="en-US" w:eastAsia="zh-CN"/>
        </w:rPr>
        <w:t>3（全称）</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（联合体成员供应商或其他合同主体）（如有）</w:t>
      </w:r>
    </w:p>
    <w:p w14:paraId="740D303A">
      <w:pPr>
        <w:spacing w:beforeLines="0" w:line="400" w:lineRule="exact"/>
        <w:outlineLvl w:val="9"/>
        <w:rPr>
          <w:rFonts w:hint="eastAsia" w:ascii="微软雅黑" w:hAnsi="微软雅黑" w:eastAsia="微软雅黑" w:cs="微软雅黑"/>
          <w:color w:val="auto"/>
          <w:sz w:val="24"/>
          <w:szCs w:val="24"/>
          <w:highlight w:val="none"/>
          <w:lang w:val="en-US" w:eastAsia="zh-CN"/>
        </w:rPr>
      </w:pPr>
    </w:p>
    <w:p w14:paraId="5748D44C">
      <w:pPr>
        <w:pStyle w:val="13"/>
        <w:adjustRightInd w:val="0"/>
        <w:snapToGrid w:val="0"/>
        <w:spacing w:before="0" w:beforeLines="0" w:after="0" w:line="400" w:lineRule="exact"/>
        <w:ind w:left="0" w:leftChars="0" w:firstLine="480" w:firstLineChars="20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依据《中华人民共和国民法典》</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《中华人民共和国政府采购法》等有关的法律法规，以及</w:t>
      </w:r>
      <w:r>
        <w:rPr>
          <w:rFonts w:hint="eastAsia" w:ascii="微软雅黑" w:hAnsi="微软雅黑" w:eastAsia="微软雅黑" w:cs="微软雅黑"/>
          <w:i w:val="0"/>
          <w:iCs w:val="0"/>
          <w:color w:val="auto"/>
          <w:sz w:val="24"/>
          <w:szCs w:val="24"/>
          <w:highlight w:val="none"/>
          <w:u w:val="none"/>
          <w:lang w:eastAsia="zh-CN"/>
        </w:rPr>
        <w:t>本采购项目</w:t>
      </w:r>
      <w:r>
        <w:rPr>
          <w:rFonts w:hint="eastAsia" w:ascii="微软雅黑" w:hAnsi="微软雅黑" w:eastAsia="微软雅黑" w:cs="微软雅黑"/>
          <w:color w:val="auto"/>
          <w:sz w:val="24"/>
          <w:szCs w:val="24"/>
          <w:highlight w:val="none"/>
        </w:rPr>
        <w:t>的</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lang w:val="en-US" w:eastAsia="zh-CN"/>
        </w:rPr>
        <w:t>/谈判</w:t>
      </w:r>
      <w:r>
        <w:rPr>
          <w:rFonts w:hint="eastAsia" w:ascii="微软雅黑" w:hAnsi="微软雅黑" w:eastAsia="微软雅黑" w:cs="微软雅黑"/>
          <w:color w:val="auto"/>
          <w:sz w:val="24"/>
          <w:szCs w:val="24"/>
          <w:highlight w:val="none"/>
          <w:lang w:eastAsia="zh-CN"/>
        </w:rPr>
        <w:t>文件等</w:t>
      </w:r>
      <w:r>
        <w:rPr>
          <w:rFonts w:hint="eastAsia" w:ascii="微软雅黑" w:hAnsi="微软雅黑" w:eastAsia="微软雅黑" w:cs="微软雅黑"/>
          <w:color w:val="auto"/>
          <w:sz w:val="24"/>
          <w:szCs w:val="24"/>
          <w:highlight w:val="none"/>
        </w:rPr>
        <w:t>采购文件</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 xml:space="preserve">乙方的《投标（响应）文件》及《中标（成交）通知书》，甲乙双方同意签订本合同。具体情况及要求如下：     </w:t>
      </w:r>
    </w:p>
    <w:p w14:paraId="1C298433">
      <w:pPr>
        <w:numPr>
          <w:ilvl w:val="0"/>
          <w:numId w:val="6"/>
        </w:numPr>
        <w:adjustRightInd w:val="0"/>
        <w:snapToGrid w:val="0"/>
        <w:spacing w:before="0" w:beforeLines="0" w:line="400" w:lineRule="exact"/>
        <w:ind w:left="-1" w:leftChars="0" w:firstLine="421" w:firstLineChars="0"/>
        <w:outlineLvl w:val="9"/>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rPr>
        <w:t>项目信息</w:t>
      </w:r>
    </w:p>
    <w:p w14:paraId="5D226126">
      <w:pPr>
        <w:pStyle w:val="13"/>
        <w:numPr>
          <w:ilvl w:val="0"/>
          <w:numId w:val="7"/>
        </w:numPr>
        <w:adjustRightInd w:val="0"/>
        <w:snapToGrid w:val="0"/>
        <w:spacing w:before="0" w:beforeLines="0" w:after="0" w:line="400" w:lineRule="exact"/>
        <w:ind w:left="0" w:leftChars="0" w:firstLine="480" w:firstLineChars="200"/>
        <w:outlineLvl w:val="9"/>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t>采购项目名称：</w:t>
      </w:r>
      <w:r>
        <w:rPr>
          <w:rFonts w:hint="eastAsia" w:ascii="微软雅黑" w:hAnsi="微软雅黑" w:eastAsia="微软雅黑" w:cs="微软雅黑"/>
          <w:color w:val="auto"/>
          <w:sz w:val="24"/>
          <w:szCs w:val="24"/>
          <w:highlight w:val="none"/>
          <w:u w:val="single"/>
        </w:rPr>
        <w:t xml:space="preserve">                                          </w:t>
      </w:r>
    </w:p>
    <w:p w14:paraId="74333B9E">
      <w:pPr>
        <w:pStyle w:val="13"/>
        <w:numPr>
          <w:ilvl w:val="-1"/>
          <w:numId w:val="0"/>
        </w:numPr>
        <w:tabs>
          <w:tab w:val="left" w:pos="999"/>
        </w:tabs>
        <w:adjustRightInd w:val="0"/>
        <w:snapToGrid w:val="0"/>
        <w:spacing w:before="0" w:beforeLines="0" w:after="0" w:line="400" w:lineRule="exact"/>
        <w:ind w:left="0" w:leftChars="0" w:firstLine="0" w:firstLineChars="0"/>
        <w:outlineLvl w:val="9"/>
        <w:rPr>
          <w:rFonts w:hint="eastAsia" w:ascii="微软雅黑" w:hAnsi="微软雅黑" w:eastAsia="微软雅黑" w:cs="微软雅黑"/>
          <w:color w:val="auto"/>
          <w:sz w:val="24"/>
          <w:szCs w:val="24"/>
          <w:highlight w:val="none"/>
          <w:u w:val="none"/>
          <w:lang w:val="en-US" w:eastAsia="zh-CN"/>
        </w:rPr>
      </w:pPr>
      <w:r>
        <w:rPr>
          <w:rFonts w:hint="eastAsia" w:ascii="微软雅黑" w:hAnsi="微软雅黑" w:eastAsia="微软雅黑" w:cs="微软雅黑"/>
          <w:color w:val="auto"/>
          <w:sz w:val="24"/>
          <w:szCs w:val="24"/>
          <w:highlight w:val="none"/>
          <w:u w:val="none"/>
          <w:lang w:val="en-US" w:eastAsia="zh-CN"/>
        </w:rPr>
        <w:t xml:space="preserve">         采购项目编号：</w:t>
      </w:r>
      <w:r>
        <w:rPr>
          <w:rFonts w:hint="eastAsia" w:ascii="微软雅黑" w:hAnsi="微软雅黑" w:eastAsia="微软雅黑" w:cs="微软雅黑"/>
          <w:color w:val="auto"/>
          <w:sz w:val="24"/>
          <w:szCs w:val="24"/>
          <w:highlight w:val="none"/>
          <w:u w:val="single"/>
        </w:rPr>
        <w:t xml:space="preserve">                                          </w:t>
      </w:r>
    </w:p>
    <w:p w14:paraId="4D6461D4">
      <w:pPr>
        <w:pStyle w:val="13"/>
        <w:adjustRightInd w:val="0"/>
        <w:snapToGrid w:val="0"/>
        <w:spacing w:before="0" w:beforeLines="0" w:after="0" w:line="400" w:lineRule="exact"/>
        <w:ind w:left="0" w:leftChars="0" w:firstLine="480" w:firstLineChars="20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（2）采购计划编号：</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 xml:space="preserve"> </w:t>
      </w:r>
    </w:p>
    <w:p w14:paraId="09484FC7">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（3）项目内容：</w:t>
      </w:r>
    </w:p>
    <w:p w14:paraId="165ACCE9">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lang w:eastAsia="zh-CN"/>
        </w:rPr>
        <w:t>采购标的及数量</w:t>
      </w:r>
      <w:r>
        <w:rPr>
          <w:rFonts w:hint="eastAsia" w:ascii="微软雅黑" w:hAnsi="微软雅黑" w:eastAsia="微软雅黑" w:cs="微软雅黑"/>
          <w:color w:val="auto"/>
          <w:sz w:val="24"/>
          <w:szCs w:val="24"/>
          <w:highlight w:val="none"/>
          <w:lang w:val="en-US" w:eastAsia="zh-CN"/>
        </w:rPr>
        <w:t>（台/套</w:t>
      </w:r>
      <w:r>
        <w:rPr>
          <w:rFonts w:hint="eastAsia" w:ascii="微软雅黑" w:hAnsi="微软雅黑" w:eastAsia="微软雅黑" w:cs="微软雅黑"/>
          <w:color w:val="auto"/>
          <w:sz w:val="24"/>
          <w:szCs w:val="24"/>
          <w:highlight w:val="none"/>
          <w:lang w:val="en" w:eastAsia="zh-CN"/>
        </w:rPr>
        <w:t>/个/架/组等</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none"/>
          <w:lang w:val="en-US" w:eastAsia="zh-CN"/>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lang w:val="en-US" w:eastAsia="zh-CN"/>
        </w:rPr>
        <w:t xml:space="preserve"> </w:t>
      </w:r>
    </w:p>
    <w:p w14:paraId="183A4A33">
      <w:pPr>
        <w:numPr>
          <w:ilvl w:val="-1"/>
          <w:numId w:val="0"/>
        </w:num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lang w:val="en" w:eastAsia="zh-CN"/>
        </w:rPr>
      </w:pPr>
      <w:r>
        <w:rPr>
          <w:rFonts w:hint="eastAsia" w:ascii="微软雅黑" w:hAnsi="微软雅黑" w:eastAsia="微软雅黑" w:cs="微软雅黑"/>
          <w:color w:val="auto"/>
          <w:sz w:val="24"/>
          <w:szCs w:val="24"/>
          <w:highlight w:val="none"/>
          <w:u w:val="none"/>
          <w:lang w:val="en-US" w:eastAsia="zh-CN"/>
        </w:rPr>
        <w:t xml:space="preserve">     </w:t>
      </w:r>
      <w:r>
        <w:rPr>
          <w:rFonts w:hint="eastAsia" w:ascii="微软雅黑" w:hAnsi="微软雅黑" w:eastAsia="微软雅黑" w:cs="微软雅黑"/>
          <w:color w:val="auto"/>
          <w:sz w:val="24"/>
          <w:szCs w:val="24"/>
          <w:highlight w:val="none"/>
          <w:lang w:val="en-US" w:eastAsia="zh-CN"/>
        </w:rPr>
        <w:t>品牌：</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lang w:val="en" w:eastAsia="zh-CN"/>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lang w:val="en" w:eastAsia="zh-CN"/>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none"/>
          <w:lang w:val="en" w:eastAsia="zh-CN"/>
        </w:rPr>
        <w:t xml:space="preserve">     </w:t>
      </w:r>
      <w:r>
        <w:rPr>
          <w:rFonts w:hint="eastAsia" w:ascii="微软雅黑" w:hAnsi="微软雅黑" w:eastAsia="微软雅黑" w:cs="微软雅黑"/>
          <w:color w:val="auto"/>
          <w:sz w:val="24"/>
          <w:szCs w:val="24"/>
          <w:highlight w:val="none"/>
          <w:lang w:val="en-US" w:eastAsia="zh-CN"/>
        </w:rPr>
        <w:t>规格型号：</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lang w:val="en" w:eastAsia="zh-CN"/>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lang w:val="en" w:eastAsia="zh-CN"/>
        </w:rPr>
        <w:t xml:space="preserve">   </w:t>
      </w:r>
    </w:p>
    <w:p w14:paraId="22A61AC7">
      <w:pPr>
        <w:adjustRightInd w:val="0"/>
        <w:snapToGrid w:val="0"/>
        <w:spacing w:before="0" w:beforeLines="0" w:line="400" w:lineRule="exact"/>
        <w:ind w:firstLine="1080" w:firstLineChars="450"/>
        <w:outlineLvl w:val="9"/>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u w:val="none"/>
          <w:lang w:val="en-US" w:eastAsia="zh-CN"/>
        </w:rPr>
        <w:t>采购标的的技术要求、商务要求具体见附件。</w:t>
      </w:r>
    </w:p>
    <w:p w14:paraId="0A824CBA">
      <w:pPr>
        <w:numPr>
          <w:ilvl w:val="-1"/>
          <w:numId w:val="0"/>
        </w:numPr>
        <w:adjustRightInd w:val="0"/>
        <w:snapToGrid w:val="0"/>
        <w:spacing w:before="0" w:beforeLines="0" w:line="400" w:lineRule="exact"/>
        <w:ind w:firstLine="1080" w:firstLineChars="45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①涉及信息类产品，请填写该产品关键部件的品牌、型号：</w:t>
      </w:r>
    </w:p>
    <w:p w14:paraId="298C8262">
      <w:pPr>
        <w:numPr>
          <w:ilvl w:val="-1"/>
          <w:numId w:val="0"/>
        </w:numPr>
        <w:adjustRightInd w:val="0"/>
        <w:snapToGrid w:val="0"/>
        <w:spacing w:before="0" w:beforeLines="0" w:line="400" w:lineRule="exact"/>
        <w:ind w:firstLine="480" w:firstLineChars="200"/>
        <w:outlineLvl w:val="9"/>
        <w:rPr>
          <w:rFonts w:hint="eastAsia" w:ascii="微软雅黑" w:hAnsi="微软雅黑" w:eastAsia="微软雅黑" w:cs="微软雅黑"/>
          <w:color w:val="auto"/>
          <w:kern w:val="0"/>
          <w:sz w:val="24"/>
          <w:szCs w:val="24"/>
          <w:highlight w:val="none"/>
          <w:u w:val="single"/>
          <w:lang w:val="en-US" w:eastAsia="zh-CN"/>
        </w:rPr>
      </w:pPr>
      <w:r>
        <w:rPr>
          <w:rFonts w:hint="eastAsia" w:ascii="微软雅黑" w:hAnsi="微软雅黑" w:eastAsia="微软雅黑" w:cs="微软雅黑"/>
          <w:color w:val="auto"/>
          <w:sz w:val="24"/>
          <w:szCs w:val="24"/>
          <w:highlight w:val="none"/>
          <w:lang w:val="en-US" w:eastAsia="zh-CN"/>
        </w:rPr>
        <w:t xml:space="preserve">     标的名称：</w:t>
      </w:r>
      <w:r>
        <w:rPr>
          <w:rFonts w:hint="eastAsia" w:ascii="微软雅黑" w:hAnsi="微软雅黑" w:eastAsia="微软雅黑" w:cs="微软雅黑"/>
          <w:color w:val="auto"/>
          <w:kern w:val="0"/>
          <w:sz w:val="24"/>
          <w:szCs w:val="24"/>
          <w:highlight w:val="none"/>
          <w:u w:val="single"/>
          <w:lang w:val="en-US" w:eastAsia="zh-CN"/>
        </w:rPr>
        <w:t xml:space="preserve">      </w:t>
      </w:r>
      <w:r>
        <w:rPr>
          <w:rFonts w:hint="eastAsia" w:ascii="微软雅黑" w:hAnsi="微软雅黑" w:eastAsia="微软雅黑" w:cs="微软雅黑"/>
          <w:color w:val="auto"/>
          <w:kern w:val="0"/>
          <w:sz w:val="24"/>
          <w:szCs w:val="24"/>
          <w:highlight w:val="none"/>
          <w:u w:val="single"/>
          <w:lang w:val="en" w:eastAsia="zh-CN"/>
        </w:rPr>
        <w:t xml:space="preserve">               </w:t>
      </w:r>
      <w:r>
        <w:rPr>
          <w:rFonts w:hint="eastAsia" w:ascii="微软雅黑" w:hAnsi="微软雅黑" w:eastAsia="微软雅黑" w:cs="微软雅黑"/>
          <w:color w:val="auto"/>
          <w:kern w:val="0"/>
          <w:sz w:val="24"/>
          <w:szCs w:val="24"/>
          <w:highlight w:val="none"/>
          <w:u w:val="single"/>
          <w:lang w:val="en-US" w:eastAsia="zh-CN"/>
        </w:rPr>
        <w:t xml:space="preserve">    </w:t>
      </w:r>
    </w:p>
    <w:p w14:paraId="6E0BA328">
      <w:pPr>
        <w:numPr>
          <w:ilvl w:val="-1"/>
          <w:numId w:val="0"/>
        </w:num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xml:space="preserve">     关键部件：</w:t>
      </w:r>
      <w:r>
        <w:rPr>
          <w:rFonts w:hint="eastAsia" w:ascii="微软雅黑" w:hAnsi="微软雅黑" w:eastAsia="微软雅黑" w:cs="微软雅黑"/>
          <w:color w:val="auto"/>
          <w:kern w:val="0"/>
          <w:sz w:val="24"/>
          <w:szCs w:val="24"/>
          <w:highlight w:val="none"/>
          <w:u w:val="single"/>
          <w:lang w:val="en-US" w:eastAsia="zh-CN"/>
        </w:rPr>
        <w:t xml:space="preserve">          </w:t>
      </w:r>
      <w:r>
        <w:rPr>
          <w:rFonts w:hint="eastAsia" w:ascii="微软雅黑" w:hAnsi="微软雅黑" w:eastAsia="微软雅黑" w:cs="微软雅黑"/>
          <w:color w:val="auto"/>
          <w:kern w:val="0"/>
          <w:sz w:val="24"/>
          <w:szCs w:val="24"/>
          <w:highlight w:val="none"/>
          <w:u w:val="none"/>
          <w:lang w:val="en-US" w:eastAsia="zh-CN"/>
        </w:rPr>
        <w:t xml:space="preserve"> </w:t>
      </w:r>
      <w:r>
        <w:rPr>
          <w:rFonts w:hint="eastAsia" w:ascii="微软雅黑" w:hAnsi="微软雅黑" w:eastAsia="微软雅黑" w:cs="微软雅黑"/>
          <w:color w:val="auto"/>
          <w:sz w:val="24"/>
          <w:szCs w:val="24"/>
          <w:highlight w:val="none"/>
          <w:lang w:val="en-US" w:eastAsia="zh-CN"/>
        </w:rPr>
        <w:t>品牌：</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none"/>
          <w:lang w:val="en-US" w:eastAsia="zh-CN"/>
        </w:rPr>
        <w:t xml:space="preserve"> </w:t>
      </w:r>
      <w:r>
        <w:rPr>
          <w:rFonts w:hint="eastAsia" w:ascii="微软雅黑" w:hAnsi="微软雅黑" w:eastAsia="微软雅黑" w:cs="微软雅黑"/>
          <w:color w:val="auto"/>
          <w:sz w:val="24"/>
          <w:szCs w:val="24"/>
          <w:highlight w:val="none"/>
          <w:lang w:val="en-US" w:eastAsia="zh-CN"/>
        </w:rPr>
        <w:t>型号：</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lang w:val="en-US" w:eastAsia="zh-CN"/>
        </w:rPr>
        <w:t xml:space="preserve"> </w:t>
      </w:r>
    </w:p>
    <w:p w14:paraId="1A6C74FE">
      <w:pPr>
        <w:pStyle w:val="117"/>
        <w:spacing w:beforeLines="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kern w:val="2"/>
          <w:sz w:val="24"/>
          <w:szCs w:val="24"/>
          <w:highlight w:val="none"/>
          <w:lang w:val="en-US" w:eastAsia="zh-CN"/>
        </w:rPr>
        <w:t>关键部件</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none"/>
          <w:lang w:val="en-US" w:eastAsia="zh-CN"/>
        </w:rPr>
        <w:t xml:space="preserve"> </w:t>
      </w:r>
      <w:r>
        <w:rPr>
          <w:rFonts w:hint="eastAsia" w:ascii="微软雅黑" w:hAnsi="微软雅黑" w:eastAsia="微软雅黑" w:cs="微软雅黑"/>
          <w:color w:val="auto"/>
          <w:sz w:val="24"/>
          <w:szCs w:val="24"/>
          <w:highlight w:val="none"/>
          <w:lang w:val="en-US" w:eastAsia="zh-CN"/>
        </w:rPr>
        <w:t>品牌：</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none"/>
          <w:lang w:val="en-US" w:eastAsia="zh-CN"/>
        </w:rPr>
        <w:t xml:space="preserve"> </w:t>
      </w:r>
      <w:r>
        <w:rPr>
          <w:rFonts w:hint="eastAsia" w:ascii="微软雅黑" w:hAnsi="微软雅黑" w:eastAsia="微软雅黑" w:cs="微软雅黑"/>
          <w:color w:val="auto"/>
          <w:sz w:val="24"/>
          <w:szCs w:val="24"/>
          <w:highlight w:val="none"/>
          <w:lang w:val="en-US" w:eastAsia="zh-CN"/>
        </w:rPr>
        <w:t>型号：</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lang w:val="en-US" w:eastAsia="zh-CN"/>
        </w:rPr>
        <w:t xml:space="preserve"> </w:t>
      </w:r>
    </w:p>
    <w:p w14:paraId="287CA2B2">
      <w:pPr>
        <w:pStyle w:val="117"/>
        <w:spacing w:beforeLines="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xml:space="preserve">     关键部件：</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none"/>
          <w:lang w:val="en-US" w:eastAsia="zh-CN"/>
        </w:rPr>
        <w:t xml:space="preserve"> </w:t>
      </w:r>
      <w:r>
        <w:rPr>
          <w:rFonts w:hint="eastAsia" w:ascii="微软雅黑" w:hAnsi="微软雅黑" w:eastAsia="微软雅黑" w:cs="微软雅黑"/>
          <w:color w:val="auto"/>
          <w:sz w:val="24"/>
          <w:szCs w:val="24"/>
          <w:highlight w:val="none"/>
          <w:lang w:val="en-US" w:eastAsia="zh-CN"/>
        </w:rPr>
        <w:t>品牌：</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none"/>
          <w:lang w:val="en-US" w:eastAsia="zh-CN"/>
        </w:rPr>
        <w:t xml:space="preserve"> </w:t>
      </w:r>
      <w:r>
        <w:rPr>
          <w:rFonts w:hint="eastAsia" w:ascii="微软雅黑" w:hAnsi="微软雅黑" w:eastAsia="微软雅黑" w:cs="微软雅黑"/>
          <w:color w:val="auto"/>
          <w:sz w:val="24"/>
          <w:szCs w:val="24"/>
          <w:highlight w:val="none"/>
          <w:lang w:val="en-US" w:eastAsia="zh-CN"/>
        </w:rPr>
        <w:t>型号：</w:t>
      </w:r>
      <w:r>
        <w:rPr>
          <w:rFonts w:hint="eastAsia" w:ascii="微软雅黑" w:hAnsi="微软雅黑" w:eastAsia="微软雅黑" w:cs="微软雅黑"/>
          <w:color w:val="auto"/>
          <w:sz w:val="24"/>
          <w:szCs w:val="24"/>
          <w:highlight w:val="none"/>
          <w:u w:val="single"/>
          <w:lang w:val="en-US" w:eastAsia="zh-CN"/>
        </w:rPr>
        <w:t xml:space="preserve">       </w:t>
      </w:r>
    </w:p>
    <w:p w14:paraId="408EAB43">
      <w:pPr>
        <w:pStyle w:val="117"/>
        <w:numPr>
          <w:ilvl w:val="-1"/>
          <w:numId w:val="0"/>
        </w:numPr>
        <w:adjustRightInd w:val="0"/>
        <w:snapToGrid w:val="0"/>
        <w:spacing w:before="0" w:beforeLines="0" w:line="400" w:lineRule="exact"/>
        <w:ind w:firstLine="0" w:firstLineChars="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3698B5C7">
      <w:pPr>
        <w:pStyle w:val="117"/>
        <w:numPr>
          <w:ilvl w:val="-1"/>
          <w:numId w:val="0"/>
        </w:numPr>
        <w:adjustRightInd w:val="0"/>
        <w:snapToGrid w:val="0"/>
        <w:spacing w:before="0" w:beforeLines="0" w:line="400" w:lineRule="exact"/>
        <w:ind w:firstLine="0" w:firstLineChars="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xml:space="preserve">         ②涉及车辆采购，请填写是否属于新能源汽车：</w:t>
      </w:r>
    </w:p>
    <w:p w14:paraId="5C305D3D">
      <w:pPr>
        <w:pStyle w:val="117"/>
        <w:numPr>
          <w:ilvl w:val="-1"/>
          <w:numId w:val="0"/>
        </w:numPr>
        <w:adjustRightInd w:val="0"/>
        <w:snapToGrid w:val="0"/>
        <w:spacing w:before="0" w:beforeLines="0" w:line="400" w:lineRule="exact"/>
        <w:ind w:firstLine="0" w:firstLineChars="0"/>
        <w:outlineLvl w:val="9"/>
        <w:rPr>
          <w:rFonts w:hint="eastAsia" w:ascii="微软雅黑" w:hAnsi="微软雅黑" w:eastAsia="微软雅黑" w:cs="微软雅黑"/>
          <w:iCs w:val="0"/>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rPr>
        <w:t>是</w:t>
      </w:r>
      <w:r>
        <w:rPr>
          <w:rFonts w:hint="eastAsia" w:ascii="微软雅黑" w:hAnsi="微软雅黑" w:eastAsia="微软雅黑" w:cs="微软雅黑"/>
          <w:iCs w:val="0"/>
          <w:color w:val="auto"/>
          <w:sz w:val="24"/>
          <w:szCs w:val="24"/>
          <w:highlight w:val="none"/>
          <w:lang w:eastAsia="zh-CN"/>
        </w:rPr>
        <w:t>，《政府采购品目分类目录》底级品目名称</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lang w:val="en-US" w:eastAsia="zh-CN"/>
        </w:rPr>
        <w:t xml:space="preserve"> 数量：</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lang w:val="en-US" w:eastAsia="zh-CN"/>
        </w:rPr>
        <w:t xml:space="preserve"> 金额：</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iCs w:val="0"/>
          <w:color w:val="auto"/>
          <w:sz w:val="24"/>
          <w:szCs w:val="24"/>
          <w:highlight w:val="none"/>
          <w:lang w:val="en-US" w:eastAsia="zh-CN"/>
        </w:rPr>
        <w:t xml:space="preserve"> </w:t>
      </w:r>
    </w:p>
    <w:p w14:paraId="424C4DEE">
      <w:pPr>
        <w:pStyle w:val="117"/>
        <w:numPr>
          <w:ilvl w:val="-1"/>
          <w:numId w:val="0"/>
        </w:numPr>
        <w:adjustRightInd w:val="0"/>
        <w:snapToGrid w:val="0"/>
        <w:spacing w:before="0" w:beforeLines="0" w:line="400" w:lineRule="exact"/>
        <w:ind w:firstLine="0" w:firstLineChars="0"/>
        <w:outlineLvl w:val="9"/>
        <w:rPr>
          <w:rFonts w:hint="eastAsia" w:ascii="微软雅黑" w:hAnsi="微软雅黑" w:eastAsia="微软雅黑" w:cs="微软雅黑"/>
          <w:iCs w:val="0"/>
          <w:color w:val="auto"/>
          <w:sz w:val="24"/>
          <w:szCs w:val="24"/>
          <w:highlight w:val="none"/>
          <w:lang w:eastAsia="zh-CN"/>
        </w:rPr>
      </w:pPr>
      <w:r>
        <w:rPr>
          <w:rFonts w:hint="eastAsia" w:ascii="微软雅黑" w:hAnsi="微软雅黑" w:eastAsia="微软雅黑" w:cs="微软雅黑"/>
          <w:iCs w:val="0"/>
          <w:color w:val="auto"/>
          <w:sz w:val="24"/>
          <w:szCs w:val="24"/>
          <w:highlight w:val="none"/>
          <w:lang w:val="en-US" w:eastAsia="zh-CN"/>
        </w:rPr>
        <w:t xml:space="preserve">         </w:t>
      </w: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lang w:eastAsia="zh-CN"/>
        </w:rPr>
        <w:t>否</w:t>
      </w:r>
    </w:p>
    <w:p w14:paraId="6B8D67FA">
      <w:pPr>
        <w:pStyle w:val="117"/>
        <w:numPr>
          <w:ilvl w:val="-1"/>
          <w:numId w:val="0"/>
        </w:numPr>
        <w:adjustRightInd w:val="0"/>
        <w:snapToGrid w:val="0"/>
        <w:spacing w:before="0" w:beforeLines="0" w:line="400" w:lineRule="exact"/>
        <w:ind w:left="0" w:firstLine="0" w:firstLineChars="0"/>
        <w:outlineLvl w:val="9"/>
        <w:rPr>
          <w:rFonts w:hint="eastAsia" w:ascii="微软雅黑" w:hAnsi="微软雅黑" w:eastAsia="微软雅黑" w:cs="微软雅黑"/>
          <w:iCs w:val="0"/>
          <w:color w:val="auto"/>
          <w:sz w:val="24"/>
          <w:szCs w:val="24"/>
          <w:highlight w:val="none"/>
          <w:lang w:val="en-US" w:eastAsia="zh-CN"/>
        </w:rPr>
      </w:pPr>
      <w:r>
        <w:rPr>
          <w:rFonts w:hint="eastAsia" w:ascii="微软雅黑" w:hAnsi="微软雅黑" w:eastAsia="微软雅黑" w:cs="微软雅黑"/>
          <w:iCs w:val="0"/>
          <w:color w:val="auto"/>
          <w:sz w:val="24"/>
          <w:szCs w:val="24"/>
          <w:highlight w:val="none"/>
          <w:lang w:val="en-US" w:eastAsia="zh-CN"/>
        </w:rPr>
        <w:t xml:space="preserve">    （</w:t>
      </w:r>
      <w:r>
        <w:rPr>
          <w:rFonts w:hint="eastAsia" w:ascii="微软雅黑" w:hAnsi="微软雅黑" w:eastAsia="微软雅黑" w:cs="微软雅黑"/>
          <w:iCs w:val="0"/>
          <w:color w:val="auto"/>
          <w:sz w:val="24"/>
          <w:szCs w:val="24"/>
          <w:highlight w:val="none"/>
          <w:lang w:val="en" w:eastAsia="zh-CN"/>
        </w:rPr>
        <w:t>4</w:t>
      </w:r>
      <w:r>
        <w:rPr>
          <w:rFonts w:hint="eastAsia" w:ascii="微软雅黑" w:hAnsi="微软雅黑" w:eastAsia="微软雅黑" w:cs="微软雅黑"/>
          <w:iCs w:val="0"/>
          <w:color w:val="auto"/>
          <w:sz w:val="24"/>
          <w:szCs w:val="24"/>
          <w:highlight w:val="none"/>
          <w:lang w:val="en-US" w:eastAsia="zh-CN"/>
        </w:rPr>
        <w:t>）政府采购组织形式：</w:t>
      </w: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lang w:eastAsia="zh-CN"/>
        </w:rPr>
        <w:t>政府集中采购</w:t>
      </w:r>
      <w:r>
        <w:rPr>
          <w:rFonts w:hint="eastAsia" w:ascii="微软雅黑" w:hAnsi="微软雅黑" w:eastAsia="微软雅黑" w:cs="微软雅黑"/>
          <w:iCs w:val="0"/>
          <w:color w:val="auto"/>
          <w:sz w:val="24"/>
          <w:szCs w:val="24"/>
          <w:highlight w:val="none"/>
          <w:lang w:val="en-US" w:eastAsia="zh-CN"/>
        </w:rPr>
        <w:t xml:space="preserve">  </w:t>
      </w: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lang w:val="en-US" w:eastAsia="zh-CN"/>
        </w:rPr>
        <w:t xml:space="preserve">部门集中采购  </w:t>
      </w: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lang w:val="en-US" w:eastAsia="zh-CN"/>
        </w:rPr>
        <w:t>分散采购</w:t>
      </w:r>
    </w:p>
    <w:p w14:paraId="448002D2">
      <w:pPr>
        <w:pStyle w:val="117"/>
        <w:numPr>
          <w:ilvl w:val="-1"/>
          <w:numId w:val="0"/>
        </w:numPr>
        <w:adjustRightInd w:val="0"/>
        <w:snapToGrid w:val="0"/>
        <w:spacing w:before="0" w:beforeLines="0" w:line="400" w:lineRule="exact"/>
        <w:ind w:left="0" w:firstLine="420" w:firstLineChars="0"/>
        <w:outlineLvl w:val="9"/>
        <w:rPr>
          <w:rFonts w:hint="eastAsia" w:ascii="微软雅黑" w:hAnsi="微软雅黑" w:eastAsia="微软雅黑" w:cs="微软雅黑"/>
          <w:iCs w:val="0"/>
          <w:color w:val="auto"/>
          <w:sz w:val="24"/>
          <w:szCs w:val="24"/>
          <w:highlight w:val="none"/>
          <w:lang w:eastAsia="zh-CN"/>
        </w:rPr>
      </w:pPr>
      <w:r>
        <w:rPr>
          <w:rFonts w:hint="eastAsia" w:ascii="微软雅黑" w:hAnsi="微软雅黑" w:eastAsia="微软雅黑" w:cs="微软雅黑"/>
          <w:iCs w:val="0"/>
          <w:color w:val="auto"/>
          <w:sz w:val="24"/>
          <w:szCs w:val="24"/>
          <w:highlight w:val="none"/>
          <w:lang w:val="en-US" w:eastAsia="zh-CN"/>
        </w:rPr>
        <w:t>（</w:t>
      </w:r>
      <w:r>
        <w:rPr>
          <w:rFonts w:hint="eastAsia" w:ascii="微软雅黑" w:hAnsi="微软雅黑" w:eastAsia="微软雅黑" w:cs="微软雅黑"/>
          <w:iCs w:val="0"/>
          <w:color w:val="auto"/>
          <w:sz w:val="24"/>
          <w:szCs w:val="24"/>
          <w:highlight w:val="none"/>
          <w:lang w:val="en" w:eastAsia="zh-CN"/>
        </w:rPr>
        <w:t>5</w:t>
      </w:r>
      <w:r>
        <w:rPr>
          <w:rFonts w:hint="eastAsia" w:ascii="微软雅黑" w:hAnsi="微软雅黑" w:eastAsia="微软雅黑" w:cs="微软雅黑"/>
          <w:iCs w:val="0"/>
          <w:color w:val="auto"/>
          <w:sz w:val="24"/>
          <w:szCs w:val="24"/>
          <w:highlight w:val="none"/>
          <w:lang w:val="en-US" w:eastAsia="zh-CN"/>
        </w:rPr>
        <w:t>）政府采购方式：</w:t>
      </w: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lang w:eastAsia="zh-CN"/>
        </w:rPr>
        <w:t>公开招标</w:t>
      </w:r>
      <w:r>
        <w:rPr>
          <w:rFonts w:hint="eastAsia" w:ascii="微软雅黑" w:hAnsi="微软雅黑" w:eastAsia="微软雅黑" w:cs="微软雅黑"/>
          <w:iCs w:val="0"/>
          <w:color w:val="auto"/>
          <w:sz w:val="24"/>
          <w:szCs w:val="24"/>
          <w:highlight w:val="none"/>
          <w:lang w:val="en-US" w:eastAsia="zh-CN"/>
        </w:rPr>
        <w:t xml:space="preserve"> </w:t>
      </w: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lang w:eastAsia="zh-CN"/>
        </w:rPr>
        <w:t>邀请招标</w:t>
      </w:r>
      <w:r>
        <w:rPr>
          <w:rFonts w:hint="eastAsia" w:ascii="微软雅黑" w:hAnsi="微软雅黑" w:eastAsia="微软雅黑" w:cs="微软雅黑"/>
          <w:iCs w:val="0"/>
          <w:color w:val="auto"/>
          <w:sz w:val="24"/>
          <w:szCs w:val="24"/>
          <w:highlight w:val="none"/>
          <w:lang w:val="en-US" w:eastAsia="zh-CN"/>
        </w:rPr>
        <w:t xml:space="preserve"> </w:t>
      </w: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lang w:eastAsia="zh-CN"/>
        </w:rPr>
        <w:t>竞争性谈判</w:t>
      </w:r>
      <w:r>
        <w:rPr>
          <w:rFonts w:hint="eastAsia" w:ascii="微软雅黑" w:hAnsi="微软雅黑" w:eastAsia="微软雅黑" w:cs="微软雅黑"/>
          <w:iCs w:val="0"/>
          <w:color w:val="auto"/>
          <w:sz w:val="24"/>
          <w:szCs w:val="24"/>
          <w:highlight w:val="none"/>
          <w:lang w:val="en-US" w:eastAsia="zh-CN"/>
        </w:rPr>
        <w:t xml:space="preserve"> </w:t>
      </w: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lang w:eastAsia="zh-CN"/>
        </w:rPr>
        <w:t>竞争性磋商</w:t>
      </w:r>
    </w:p>
    <w:p w14:paraId="2F73302E">
      <w:pPr>
        <w:pStyle w:val="117"/>
        <w:numPr>
          <w:ilvl w:val="-1"/>
          <w:numId w:val="0"/>
        </w:numPr>
        <w:adjustRightInd w:val="0"/>
        <w:snapToGrid w:val="0"/>
        <w:spacing w:before="0" w:beforeLines="0" w:line="400" w:lineRule="exact"/>
        <w:ind w:left="0" w:firstLine="420" w:firstLineChars="0"/>
        <w:outlineLvl w:val="9"/>
        <w:rPr>
          <w:rFonts w:hint="eastAsia" w:ascii="微软雅黑" w:hAnsi="微软雅黑" w:eastAsia="微软雅黑" w:cs="微软雅黑"/>
          <w:iCs w:val="0"/>
          <w:color w:val="auto"/>
          <w:sz w:val="24"/>
          <w:szCs w:val="24"/>
          <w:highlight w:val="none"/>
          <w:u w:val="single"/>
          <w:lang w:val="en-US" w:eastAsia="zh-CN"/>
        </w:rPr>
      </w:pPr>
      <w:r>
        <w:rPr>
          <w:rFonts w:hint="eastAsia" w:ascii="微软雅黑" w:hAnsi="微软雅黑" w:eastAsia="微软雅黑" w:cs="微软雅黑"/>
          <w:color w:val="auto"/>
          <w:sz w:val="24"/>
          <w:szCs w:val="24"/>
          <w:highlight w:val="none"/>
          <w:u w:val="none"/>
          <w:lang w:val="en-US" w:eastAsia="zh-CN"/>
        </w:rPr>
        <w:t xml:space="preserve">                  </w:t>
      </w: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lang w:eastAsia="zh-CN"/>
        </w:rPr>
        <w:t>询价</w:t>
      </w:r>
      <w:r>
        <w:rPr>
          <w:rFonts w:hint="eastAsia" w:ascii="微软雅黑" w:hAnsi="微软雅黑" w:eastAsia="微软雅黑" w:cs="微软雅黑"/>
          <w:iCs w:val="0"/>
          <w:color w:val="auto"/>
          <w:sz w:val="24"/>
          <w:szCs w:val="24"/>
          <w:highlight w:val="none"/>
          <w:lang w:val="en-US" w:eastAsia="zh-CN"/>
        </w:rPr>
        <w:t xml:space="preserve"> </w:t>
      </w: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lang w:eastAsia="zh-CN"/>
        </w:rPr>
        <w:t>单一来源</w:t>
      </w:r>
      <w:r>
        <w:rPr>
          <w:rFonts w:hint="eastAsia" w:ascii="微软雅黑" w:hAnsi="微软雅黑" w:eastAsia="微软雅黑" w:cs="微软雅黑"/>
          <w:iCs w:val="0"/>
          <w:color w:val="auto"/>
          <w:sz w:val="24"/>
          <w:szCs w:val="24"/>
          <w:highlight w:val="none"/>
          <w:lang w:val="en-US" w:eastAsia="zh-CN"/>
        </w:rPr>
        <w:t xml:space="preserve"> </w:t>
      </w: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lang w:eastAsia="zh-CN"/>
        </w:rPr>
        <w:t>框架协议</w:t>
      </w:r>
      <w:r>
        <w:rPr>
          <w:rFonts w:hint="eastAsia" w:ascii="微软雅黑" w:hAnsi="微软雅黑" w:eastAsia="微软雅黑" w:cs="微软雅黑"/>
          <w:iCs w:val="0"/>
          <w:color w:val="auto"/>
          <w:sz w:val="24"/>
          <w:szCs w:val="24"/>
          <w:highlight w:val="none"/>
          <w:lang w:val="en-US" w:eastAsia="zh-CN"/>
        </w:rPr>
        <w:t xml:space="preserve"> </w:t>
      </w: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lang w:eastAsia="zh-CN"/>
        </w:rPr>
        <w:t>其他：</w:t>
      </w:r>
      <w:r>
        <w:rPr>
          <w:rFonts w:hint="eastAsia" w:ascii="微软雅黑" w:hAnsi="微软雅黑" w:eastAsia="微软雅黑" w:cs="微软雅黑"/>
          <w:iCs w:val="0"/>
          <w:color w:val="auto"/>
          <w:sz w:val="24"/>
          <w:szCs w:val="24"/>
          <w:highlight w:val="none"/>
          <w:u w:val="single"/>
          <w:lang w:val="en-US" w:eastAsia="zh-CN"/>
        </w:rPr>
        <w:t xml:space="preserve">          </w:t>
      </w:r>
    </w:p>
    <w:p w14:paraId="5F0E0C5F">
      <w:pPr>
        <w:pStyle w:val="117"/>
        <w:numPr>
          <w:ilvl w:val="-1"/>
          <w:numId w:val="0"/>
        </w:numPr>
        <w:adjustRightInd w:val="0"/>
        <w:snapToGrid w:val="0"/>
        <w:spacing w:before="0" w:beforeLines="0" w:line="400" w:lineRule="exact"/>
        <w:ind w:left="0" w:firstLine="420" w:firstLineChars="0"/>
        <w:outlineLvl w:val="9"/>
        <w:rPr>
          <w:rFonts w:hint="eastAsia" w:ascii="微软雅黑" w:hAnsi="微软雅黑" w:eastAsia="微软雅黑" w:cs="微软雅黑"/>
          <w:iCs w:val="0"/>
          <w:color w:val="auto"/>
          <w:sz w:val="24"/>
          <w:szCs w:val="24"/>
          <w:highlight w:val="none"/>
          <w:u w:val="none"/>
          <w:lang w:val="en-US" w:eastAsia="zh-CN"/>
        </w:rPr>
      </w:pPr>
      <w:r>
        <w:rPr>
          <w:rFonts w:hint="eastAsia" w:ascii="微软雅黑" w:hAnsi="微软雅黑" w:eastAsia="微软雅黑" w:cs="微软雅黑"/>
          <w:iCs w:val="0"/>
          <w:color w:val="auto"/>
          <w:sz w:val="24"/>
          <w:szCs w:val="24"/>
          <w:highlight w:val="none"/>
          <w:u w:val="none"/>
          <w:lang w:val="en-US" w:eastAsia="zh-CN"/>
        </w:rPr>
        <w:t>（注：在框架协议采购的第二阶段，可选择使用该合同文本）</w:t>
      </w:r>
    </w:p>
    <w:p w14:paraId="7059FFE8">
      <w:pPr>
        <w:pStyle w:val="117"/>
        <w:numPr>
          <w:ilvl w:val="-1"/>
          <w:numId w:val="0"/>
        </w:numPr>
        <w:adjustRightInd w:val="0"/>
        <w:snapToGrid w:val="0"/>
        <w:spacing w:before="0" w:beforeLines="0" w:line="400" w:lineRule="exact"/>
        <w:ind w:firstLine="240" w:firstLineChars="100"/>
        <w:outlineLvl w:val="9"/>
        <w:rPr>
          <w:rFonts w:hint="eastAsia" w:ascii="微软雅黑" w:hAnsi="微软雅黑" w:eastAsia="微软雅黑" w:cs="微软雅黑"/>
          <w:color w:val="auto"/>
          <w:w w:val="100"/>
          <w:kern w:val="2"/>
          <w:sz w:val="24"/>
          <w:szCs w:val="24"/>
          <w:highlight w:val="none"/>
          <w:lang w:val="en-US" w:eastAsia="zh-CN" w:bidi="ar-SA"/>
        </w:rPr>
      </w:pP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lang w:val="en" w:eastAsia="zh-CN"/>
        </w:rPr>
        <w:t>6</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w w:val="100"/>
          <w:kern w:val="2"/>
          <w:sz w:val="24"/>
          <w:szCs w:val="24"/>
          <w:highlight w:val="none"/>
          <w:lang w:val="en-US" w:eastAsia="zh-CN" w:bidi="ar-SA"/>
        </w:rPr>
        <w:t>中标（成交）采购标的制造商是否为中小企业：</w:t>
      </w:r>
      <w:r>
        <w:rPr>
          <w:rFonts w:hint="eastAsia" w:ascii="微软雅黑" w:hAnsi="微软雅黑" w:eastAsia="微软雅黑" w:cs="微软雅黑"/>
          <w:color w:val="auto"/>
          <w:w w:val="100"/>
          <w:kern w:val="2"/>
          <w:sz w:val="24"/>
          <w:szCs w:val="24"/>
          <w:highlight w:val="none"/>
          <w:lang w:val="en-US" w:eastAsia="zh-CN" w:bidi="ar-SA"/>
        </w:rPr>
        <w:sym w:font="Wingdings" w:char="00A8"/>
      </w:r>
      <w:r>
        <w:rPr>
          <w:rFonts w:hint="eastAsia" w:ascii="微软雅黑" w:hAnsi="微软雅黑" w:eastAsia="微软雅黑" w:cs="微软雅黑"/>
          <w:color w:val="auto"/>
          <w:w w:val="100"/>
          <w:kern w:val="2"/>
          <w:sz w:val="24"/>
          <w:szCs w:val="24"/>
          <w:highlight w:val="none"/>
          <w:lang w:val="en-US" w:eastAsia="zh-CN" w:bidi="ar-SA"/>
        </w:rPr>
        <w:t xml:space="preserve">是      </w:t>
      </w:r>
      <w:r>
        <w:rPr>
          <w:rFonts w:hint="eastAsia" w:ascii="微软雅黑" w:hAnsi="微软雅黑" w:eastAsia="微软雅黑" w:cs="微软雅黑"/>
          <w:color w:val="auto"/>
          <w:w w:val="100"/>
          <w:kern w:val="2"/>
          <w:sz w:val="24"/>
          <w:szCs w:val="24"/>
          <w:highlight w:val="none"/>
          <w:lang w:val="en-US" w:eastAsia="zh-CN" w:bidi="ar-SA"/>
        </w:rPr>
        <w:sym w:font="Wingdings" w:char="00A8"/>
      </w:r>
      <w:r>
        <w:rPr>
          <w:rFonts w:hint="eastAsia" w:ascii="微软雅黑" w:hAnsi="微软雅黑" w:eastAsia="微软雅黑" w:cs="微软雅黑"/>
          <w:color w:val="auto"/>
          <w:w w:val="100"/>
          <w:kern w:val="2"/>
          <w:sz w:val="24"/>
          <w:szCs w:val="24"/>
          <w:highlight w:val="none"/>
          <w:lang w:val="en-US" w:eastAsia="zh-CN" w:bidi="ar-SA"/>
        </w:rPr>
        <w:t>否</w:t>
      </w:r>
    </w:p>
    <w:p w14:paraId="38BFDF95">
      <w:pPr>
        <w:numPr>
          <w:ilvl w:val="-1"/>
          <w:numId w:val="0"/>
        </w:numPr>
        <w:adjustRightInd w:val="0"/>
        <w:snapToGrid w:val="0"/>
        <w:spacing w:before="0" w:beforeLines="0" w:line="400" w:lineRule="exact"/>
        <w:ind w:left="0" w:leftChars="0" w:firstLine="0" w:firstLineChars="0"/>
        <w:outlineLvl w:val="9"/>
        <w:rPr>
          <w:rFonts w:hint="eastAsia" w:ascii="微软雅黑" w:hAnsi="微软雅黑" w:eastAsia="微软雅黑" w:cs="微软雅黑"/>
          <w:iCs/>
          <w:color w:val="auto"/>
          <w:sz w:val="24"/>
          <w:szCs w:val="24"/>
          <w:highlight w:val="none"/>
        </w:rPr>
      </w:pPr>
      <w:r>
        <w:rPr>
          <w:rFonts w:hint="eastAsia" w:ascii="微软雅黑" w:hAnsi="微软雅黑" w:eastAsia="微软雅黑" w:cs="微软雅黑"/>
          <w:color w:val="auto"/>
          <w:w w:val="100"/>
          <w:sz w:val="24"/>
          <w:szCs w:val="24"/>
          <w:highlight w:val="none"/>
          <w:lang w:val="en-US" w:eastAsia="zh-CN"/>
        </w:rPr>
        <w:t xml:space="preserve">         本合同</w:t>
      </w:r>
      <w:r>
        <w:rPr>
          <w:rFonts w:hint="eastAsia" w:ascii="微软雅黑" w:hAnsi="微软雅黑" w:eastAsia="微软雅黑" w:cs="微软雅黑"/>
          <w:color w:val="auto"/>
          <w:w w:val="100"/>
          <w:sz w:val="24"/>
          <w:szCs w:val="24"/>
          <w:highlight w:val="none"/>
        </w:rPr>
        <w:t>是否</w:t>
      </w:r>
      <w:r>
        <w:rPr>
          <w:rFonts w:hint="eastAsia" w:ascii="微软雅黑" w:hAnsi="微软雅黑" w:eastAsia="微软雅黑" w:cs="微软雅黑"/>
          <w:color w:val="auto"/>
          <w:w w:val="100"/>
          <w:sz w:val="24"/>
          <w:szCs w:val="24"/>
          <w:highlight w:val="none"/>
          <w:lang w:eastAsia="zh-CN"/>
        </w:rPr>
        <w:t>为专门面向</w:t>
      </w:r>
      <w:r>
        <w:rPr>
          <w:rFonts w:hint="eastAsia" w:ascii="微软雅黑" w:hAnsi="微软雅黑" w:eastAsia="微软雅黑" w:cs="微软雅黑"/>
          <w:color w:val="auto"/>
          <w:w w:val="100"/>
          <w:sz w:val="24"/>
          <w:szCs w:val="24"/>
          <w:highlight w:val="none"/>
        </w:rPr>
        <w:t>中小企业</w:t>
      </w:r>
      <w:r>
        <w:rPr>
          <w:rFonts w:hint="eastAsia" w:ascii="微软雅黑" w:hAnsi="微软雅黑" w:eastAsia="微软雅黑" w:cs="微软雅黑"/>
          <w:color w:val="auto"/>
          <w:w w:val="100"/>
          <w:sz w:val="24"/>
          <w:szCs w:val="24"/>
          <w:highlight w:val="none"/>
          <w:lang w:eastAsia="zh-CN"/>
        </w:rPr>
        <w:t>的采</w:t>
      </w:r>
      <w:r>
        <w:rPr>
          <w:rFonts w:hint="eastAsia" w:ascii="微软雅黑" w:hAnsi="微软雅黑" w:eastAsia="微软雅黑" w:cs="微软雅黑"/>
          <w:color w:val="auto"/>
          <w:w w:val="100"/>
          <w:sz w:val="24"/>
          <w:szCs w:val="24"/>
          <w:highlight w:val="none"/>
          <w:shd w:val="clear"/>
          <w:lang w:eastAsia="zh-CN"/>
        </w:rPr>
        <w:t>购</w:t>
      </w:r>
      <w:r>
        <w:rPr>
          <w:rFonts w:hint="eastAsia" w:ascii="微软雅黑" w:hAnsi="微软雅黑" w:eastAsia="微软雅黑" w:cs="微软雅黑"/>
          <w:color w:val="auto"/>
          <w:w w:val="100"/>
          <w:sz w:val="24"/>
          <w:szCs w:val="24"/>
          <w:highlight w:val="none"/>
          <w:shd w:val="clear"/>
        </w:rPr>
        <w:t>合同</w:t>
      </w:r>
      <w:r>
        <w:rPr>
          <w:rFonts w:hint="eastAsia" w:ascii="微软雅黑" w:hAnsi="微软雅黑" w:eastAsia="微软雅黑" w:cs="微软雅黑"/>
          <w:color w:val="auto"/>
          <w:w w:val="100"/>
          <w:sz w:val="24"/>
          <w:szCs w:val="24"/>
          <w:highlight w:val="none"/>
          <w:shd w:val="clear"/>
          <w:lang w:eastAsia="zh-CN"/>
        </w:rPr>
        <w:t>（中小企业预留合同）</w:t>
      </w:r>
      <w:r>
        <w:rPr>
          <w:rFonts w:hint="eastAsia" w:ascii="微软雅黑" w:hAnsi="微软雅黑" w:eastAsia="微软雅黑" w:cs="微软雅黑"/>
          <w:color w:val="auto"/>
          <w:sz w:val="24"/>
          <w:szCs w:val="24"/>
          <w:highlight w:val="none"/>
          <w:shd w:val="clear"/>
        </w:rPr>
        <w:t>：</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rPr>
        <w:t xml:space="preserve">是 </w:t>
      </w:r>
      <w:r>
        <w:rPr>
          <w:rFonts w:hint="eastAsia" w:ascii="微软雅黑" w:hAnsi="微软雅黑" w:eastAsia="微软雅黑" w:cs="微软雅黑"/>
          <w:iCs/>
          <w:color w:val="auto"/>
          <w:sz w:val="24"/>
          <w:szCs w:val="24"/>
          <w:highlight w:val="none"/>
          <w:lang w:val="en-US" w:eastAsia="zh-CN"/>
        </w:rPr>
        <w:t xml:space="preserve">  </w:t>
      </w:r>
      <w:r>
        <w:rPr>
          <w:rFonts w:hint="eastAsia" w:ascii="微软雅黑" w:hAnsi="微软雅黑" w:eastAsia="微软雅黑" w:cs="微软雅黑"/>
          <w:iCs/>
          <w:color w:val="auto"/>
          <w:sz w:val="24"/>
          <w:szCs w:val="24"/>
          <w:highlight w:val="none"/>
        </w:rPr>
        <w:t xml:space="preserve">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rPr>
        <w:t>否</w:t>
      </w:r>
    </w:p>
    <w:p w14:paraId="79A8E569">
      <w:pPr>
        <w:numPr>
          <w:ilvl w:val="-1"/>
          <w:numId w:val="0"/>
        </w:numPr>
        <w:adjustRightInd w:val="0"/>
        <w:snapToGrid w:val="0"/>
        <w:spacing w:before="0" w:beforeLines="0" w:line="400" w:lineRule="exact"/>
        <w:ind w:firstLine="0" w:firstLineChars="0"/>
        <w:outlineLvl w:val="9"/>
        <w:rPr>
          <w:rFonts w:hint="eastAsia" w:ascii="微软雅黑" w:hAnsi="微软雅黑" w:eastAsia="微软雅黑" w:cs="微软雅黑"/>
          <w:iCs/>
          <w:color w:val="auto"/>
          <w:sz w:val="24"/>
          <w:szCs w:val="24"/>
          <w:highlight w:val="none"/>
        </w:rPr>
      </w:pPr>
      <w:r>
        <w:rPr>
          <w:rFonts w:hint="eastAsia" w:ascii="微软雅黑" w:hAnsi="微软雅黑" w:eastAsia="微软雅黑" w:cs="微软雅黑"/>
          <w:color w:val="auto"/>
          <w:sz w:val="24"/>
          <w:szCs w:val="24"/>
          <w:highlight w:val="none"/>
          <w:lang w:val="en-US" w:eastAsia="zh-CN"/>
        </w:rPr>
        <w:t xml:space="preserve">         若本项目不专门面向中小企业采购，是否给予小微企业评审优惠：</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rPr>
        <w:t xml:space="preserve">是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rPr>
        <w:t>否</w:t>
      </w:r>
    </w:p>
    <w:p w14:paraId="7425B941">
      <w:pPr>
        <w:numPr>
          <w:ilvl w:val="-1"/>
          <w:numId w:val="0"/>
        </w:numPr>
        <w:adjustRightInd w:val="0"/>
        <w:snapToGrid w:val="0"/>
        <w:spacing w:before="0" w:beforeLines="0" w:line="400" w:lineRule="exact"/>
        <w:ind w:firstLine="0" w:firstLineChars="0"/>
        <w:outlineLvl w:val="9"/>
        <w:rPr>
          <w:rFonts w:hint="eastAsia" w:ascii="微软雅黑" w:hAnsi="微软雅黑" w:eastAsia="微软雅黑" w:cs="微软雅黑"/>
          <w:iCs/>
          <w:color w:val="auto"/>
          <w:sz w:val="24"/>
          <w:szCs w:val="24"/>
          <w:highlight w:val="none"/>
        </w:rPr>
      </w:pPr>
      <w:r>
        <w:rPr>
          <w:rFonts w:hint="eastAsia" w:ascii="微软雅黑" w:hAnsi="微软雅黑" w:eastAsia="微软雅黑" w:cs="微软雅黑"/>
          <w:color w:val="auto"/>
          <w:sz w:val="24"/>
          <w:szCs w:val="24"/>
          <w:highlight w:val="none"/>
          <w:lang w:val="en-US" w:eastAsia="zh-CN"/>
        </w:rPr>
        <w:t xml:space="preserve">         中标（成交）采购标的制造商是否为残疾人福利性单位：</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rPr>
        <w:t xml:space="preserve">是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rPr>
        <w:t>否</w:t>
      </w:r>
    </w:p>
    <w:p w14:paraId="01F1164D">
      <w:pPr>
        <w:numPr>
          <w:ilvl w:val="0"/>
          <w:numId w:val="0"/>
        </w:numPr>
        <w:snapToGrid w:val="0"/>
        <w:spacing w:beforeLines="0" w:line="400" w:lineRule="exact"/>
        <w:ind w:firstLine="0" w:firstLineChars="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xml:space="preserve">         中标（成交）采购标的制造商是否为监狱企业：</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rPr>
        <w:t xml:space="preserve">是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rPr>
        <w:t>否</w:t>
      </w:r>
    </w:p>
    <w:p w14:paraId="5D36895C">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 w:eastAsia="zh-CN"/>
        </w:rPr>
        <w:t>7</w:t>
      </w:r>
      <w:r>
        <w:rPr>
          <w:rFonts w:hint="eastAsia" w:ascii="微软雅黑" w:hAnsi="微软雅黑" w:eastAsia="微软雅黑" w:cs="微软雅黑"/>
          <w:color w:val="auto"/>
          <w:sz w:val="24"/>
          <w:szCs w:val="24"/>
          <w:highlight w:val="none"/>
        </w:rPr>
        <w:t>）合同是否分包：</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rPr>
        <w:t xml:space="preserve">是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rPr>
        <w:t>否</w:t>
      </w:r>
    </w:p>
    <w:p w14:paraId="40B53F95">
      <w:pPr>
        <w:adjustRightInd w:val="0"/>
        <w:snapToGrid w:val="0"/>
        <w:spacing w:before="0" w:beforeLines="0" w:line="400" w:lineRule="exact"/>
        <w:ind w:firstLine="960" w:firstLineChars="400"/>
        <w:outlineLvl w:val="9"/>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分包主要内容：</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rPr>
        <w:t xml:space="preserve">   </w:t>
      </w:r>
    </w:p>
    <w:p w14:paraId="7FE4A6C3">
      <w:pPr>
        <w:adjustRightInd w:val="0"/>
        <w:snapToGrid w:val="0"/>
        <w:spacing w:before="0" w:beforeLines="0" w:line="400" w:lineRule="exact"/>
        <w:ind w:firstLine="960" w:firstLineChars="40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u w:val="none"/>
          <w:lang w:val="en-US" w:eastAsia="zh-CN"/>
        </w:rPr>
        <w:t xml:space="preserve"> </w:t>
      </w:r>
      <w:r>
        <w:rPr>
          <w:rFonts w:hint="eastAsia" w:ascii="微软雅黑" w:hAnsi="微软雅黑" w:eastAsia="微软雅黑" w:cs="微软雅黑"/>
          <w:color w:val="auto"/>
          <w:sz w:val="24"/>
          <w:szCs w:val="24"/>
          <w:highlight w:val="none"/>
        </w:rPr>
        <w:t>分包供应商</w:t>
      </w:r>
      <w:r>
        <w:rPr>
          <w:rFonts w:hint="eastAsia" w:ascii="微软雅黑" w:hAnsi="微软雅黑" w:eastAsia="微软雅黑" w:cs="微软雅黑"/>
          <w:color w:val="auto"/>
          <w:sz w:val="24"/>
          <w:szCs w:val="24"/>
          <w:highlight w:val="none"/>
          <w:lang w:eastAsia="zh-CN"/>
        </w:rPr>
        <w:t>/制造商</w:t>
      </w:r>
      <w:r>
        <w:rPr>
          <w:rFonts w:hint="eastAsia" w:ascii="微软雅黑" w:hAnsi="微软雅黑" w:eastAsia="微软雅黑" w:cs="微软雅黑"/>
          <w:color w:val="auto"/>
          <w:sz w:val="24"/>
          <w:szCs w:val="24"/>
          <w:highlight w:val="none"/>
        </w:rPr>
        <w:t>名称</w:t>
      </w:r>
      <w:r>
        <w:rPr>
          <w:rFonts w:hint="eastAsia" w:ascii="微软雅黑" w:hAnsi="微软雅黑" w:eastAsia="微软雅黑" w:cs="微软雅黑"/>
          <w:color w:val="auto"/>
          <w:sz w:val="24"/>
          <w:szCs w:val="24"/>
          <w:highlight w:val="none"/>
          <w:lang w:eastAsia="zh-CN"/>
        </w:rPr>
        <w:t>（如供应商和制造商不同，请分别填写）</w:t>
      </w:r>
      <w:r>
        <w:rPr>
          <w:rFonts w:hint="eastAsia" w:ascii="微软雅黑" w:hAnsi="微软雅黑" w:eastAsia="微软雅黑" w:cs="微软雅黑"/>
          <w:color w:val="auto"/>
          <w:sz w:val="24"/>
          <w:szCs w:val="24"/>
          <w:highlight w:val="none"/>
        </w:rPr>
        <w:t>：</w:t>
      </w:r>
    </w:p>
    <w:p w14:paraId="59E7BF07">
      <w:pPr>
        <w:adjustRightInd w:val="0"/>
        <w:snapToGrid w:val="0"/>
        <w:spacing w:before="0" w:beforeLines="0" w:line="400" w:lineRule="exact"/>
        <w:ind w:firstLine="960" w:firstLineChars="400"/>
        <w:outlineLvl w:val="9"/>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u w:val="none"/>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val="en-US" w:eastAsia="zh-CN"/>
        </w:rPr>
        <w:t xml:space="preserve">                       </w:t>
      </w:r>
    </w:p>
    <w:p w14:paraId="4F926DFC">
      <w:pPr>
        <w:adjustRightInd w:val="0"/>
        <w:snapToGrid w:val="0"/>
        <w:spacing w:before="0" w:beforeLines="0" w:line="400" w:lineRule="exact"/>
        <w:ind w:firstLine="960" w:firstLineChars="40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分包供应商</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sz w:val="24"/>
          <w:szCs w:val="24"/>
          <w:highlight w:val="none"/>
          <w:lang w:eastAsia="zh-CN"/>
        </w:rPr>
        <w:t>制造商</w:t>
      </w:r>
      <w:r>
        <w:rPr>
          <w:rFonts w:hint="eastAsia" w:ascii="微软雅黑" w:hAnsi="微软雅黑" w:eastAsia="微软雅黑" w:cs="微软雅黑"/>
          <w:color w:val="auto"/>
          <w:sz w:val="24"/>
          <w:szCs w:val="24"/>
          <w:highlight w:val="none"/>
        </w:rPr>
        <w:t>类型</w:t>
      </w:r>
      <w:r>
        <w:rPr>
          <w:rFonts w:hint="eastAsia" w:ascii="微软雅黑" w:hAnsi="微软雅黑" w:eastAsia="微软雅黑" w:cs="微软雅黑"/>
          <w:color w:val="auto"/>
          <w:sz w:val="24"/>
          <w:szCs w:val="24"/>
          <w:highlight w:val="none"/>
          <w:lang w:eastAsia="zh-CN"/>
        </w:rPr>
        <w:t>（如果供应商和制造商不同，只填写制造商类型）</w:t>
      </w:r>
      <w:r>
        <w:rPr>
          <w:rFonts w:hint="eastAsia" w:ascii="微软雅黑" w:hAnsi="微软雅黑" w:eastAsia="微软雅黑" w:cs="微软雅黑"/>
          <w:color w:val="auto"/>
          <w:sz w:val="24"/>
          <w:szCs w:val="24"/>
          <w:highlight w:val="none"/>
        </w:rPr>
        <w:t>：</w:t>
      </w:r>
    </w:p>
    <w:p w14:paraId="4CFE613D">
      <w:pPr>
        <w:adjustRightInd w:val="0"/>
        <w:snapToGrid w:val="0"/>
        <w:spacing w:beforeLines="0" w:line="400" w:lineRule="exact"/>
        <w:ind w:firstLine="960" w:firstLineChars="400"/>
        <w:outlineLvl w:val="9"/>
        <w:rPr>
          <w:rFonts w:hint="eastAsia" w:ascii="微软雅黑" w:hAnsi="微软雅黑" w:eastAsia="微软雅黑" w:cs="微软雅黑"/>
          <w:iCs/>
          <w:color w:val="auto"/>
          <w:sz w:val="24"/>
          <w:szCs w:val="24"/>
          <w:highlight w:val="none"/>
          <w:lang w:val="en-US" w:eastAsia="zh-CN"/>
        </w:rPr>
      </w:pPr>
      <w:r>
        <w:rPr>
          <w:rFonts w:hint="eastAsia" w:ascii="微软雅黑" w:hAnsi="微软雅黑" w:eastAsia="微软雅黑" w:cs="微软雅黑"/>
          <w:iCs/>
          <w:color w:val="auto"/>
          <w:sz w:val="24"/>
          <w:szCs w:val="24"/>
          <w:highlight w:val="none"/>
          <w:lang w:val="en-US" w:eastAsia="zh-CN"/>
        </w:rPr>
        <w:t xml:space="preserve">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rPr>
        <w:t xml:space="preserve">大型企业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rPr>
        <w:t xml:space="preserve">中型企业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rPr>
        <w:t>小微型企业</w:t>
      </w:r>
      <w:r>
        <w:rPr>
          <w:rFonts w:hint="eastAsia" w:ascii="微软雅黑" w:hAnsi="微软雅黑" w:eastAsia="微软雅黑" w:cs="微软雅黑"/>
          <w:iCs/>
          <w:color w:val="auto"/>
          <w:sz w:val="24"/>
          <w:szCs w:val="24"/>
          <w:highlight w:val="none"/>
          <w:lang w:val="en-US" w:eastAsia="zh-CN"/>
        </w:rPr>
        <w:t xml:space="preserve">  </w:t>
      </w:r>
    </w:p>
    <w:p w14:paraId="28308225">
      <w:pPr>
        <w:adjustRightInd w:val="0"/>
        <w:snapToGrid w:val="0"/>
        <w:spacing w:beforeLines="0" w:line="400" w:lineRule="exact"/>
        <w:ind w:firstLine="960" w:firstLineChars="400"/>
        <w:outlineLvl w:val="9"/>
        <w:rPr>
          <w:rFonts w:hint="eastAsia" w:ascii="微软雅黑" w:hAnsi="微软雅黑" w:eastAsia="微软雅黑" w:cs="微软雅黑"/>
          <w:color w:val="auto"/>
          <w:sz w:val="24"/>
          <w:szCs w:val="24"/>
          <w:highlight w:val="none"/>
          <w:u w:val="none"/>
          <w:lang w:val="en-US" w:eastAsia="zh-CN"/>
        </w:rPr>
      </w:pPr>
      <w:r>
        <w:rPr>
          <w:rFonts w:hint="eastAsia" w:ascii="微软雅黑" w:hAnsi="微软雅黑" w:eastAsia="微软雅黑" w:cs="微软雅黑"/>
          <w:iCs/>
          <w:color w:val="auto"/>
          <w:sz w:val="24"/>
          <w:szCs w:val="24"/>
          <w:highlight w:val="none"/>
          <w:lang w:val="en-US" w:eastAsia="zh-CN"/>
        </w:rPr>
        <w:t xml:space="preserve">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lang w:eastAsia="zh-CN"/>
        </w:rPr>
        <w:t>残疾人福利性单位</w:t>
      </w:r>
      <w:r>
        <w:rPr>
          <w:rFonts w:hint="eastAsia" w:ascii="微软雅黑" w:hAnsi="微软雅黑" w:eastAsia="微软雅黑" w:cs="微软雅黑"/>
          <w:iCs/>
          <w:color w:val="auto"/>
          <w:sz w:val="24"/>
          <w:szCs w:val="24"/>
          <w:highlight w:val="none"/>
          <w:lang w:val="en-US" w:eastAsia="zh-CN"/>
        </w:rPr>
        <w:t xml:space="preserve">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lang w:eastAsia="zh-CN"/>
        </w:rPr>
        <w:t>监狱</w:t>
      </w:r>
      <w:r>
        <w:rPr>
          <w:rFonts w:hint="eastAsia" w:ascii="微软雅黑" w:hAnsi="微软雅黑" w:eastAsia="微软雅黑" w:cs="微软雅黑"/>
          <w:iCs/>
          <w:color w:val="auto"/>
          <w:sz w:val="24"/>
          <w:szCs w:val="24"/>
          <w:highlight w:val="none"/>
        </w:rPr>
        <w:t>企业</w:t>
      </w:r>
      <w:r>
        <w:rPr>
          <w:rFonts w:hint="eastAsia" w:ascii="微软雅黑" w:hAnsi="微软雅黑" w:eastAsia="微软雅黑" w:cs="微软雅黑"/>
          <w:iCs/>
          <w:color w:val="auto"/>
          <w:sz w:val="24"/>
          <w:szCs w:val="24"/>
          <w:highlight w:val="none"/>
          <w:lang w:val="en-US" w:eastAsia="zh-CN"/>
        </w:rPr>
        <w:t xml:space="preserve">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lang w:eastAsia="zh-CN"/>
        </w:rPr>
        <w:t>其他</w:t>
      </w:r>
    </w:p>
    <w:p w14:paraId="105A8EDF">
      <w:pPr>
        <w:numPr>
          <w:ilvl w:val="-1"/>
          <w:numId w:val="0"/>
        </w:numPr>
        <w:adjustRightInd w:val="0"/>
        <w:snapToGrid w:val="0"/>
        <w:spacing w:before="0" w:beforeLines="0" w:line="400" w:lineRule="exact"/>
        <w:ind w:left="0" w:leftChars="0" w:firstLine="0" w:firstLineChars="0"/>
        <w:outlineLvl w:val="9"/>
        <w:rPr>
          <w:rFonts w:hint="eastAsia" w:ascii="微软雅黑" w:hAnsi="微软雅黑" w:eastAsia="微软雅黑" w:cs="微软雅黑"/>
          <w:iCs/>
          <w:color w:val="auto"/>
          <w:sz w:val="24"/>
          <w:szCs w:val="24"/>
          <w:highlight w:val="none"/>
        </w:rPr>
      </w:pPr>
      <w:r>
        <w:rPr>
          <w:rFonts w:hint="eastAsia" w:ascii="微软雅黑" w:hAnsi="微软雅黑" w:eastAsia="微软雅黑" w:cs="微软雅黑"/>
          <w:color w:val="auto"/>
          <w:sz w:val="24"/>
          <w:szCs w:val="24"/>
          <w:highlight w:val="none"/>
          <w:u w:val="none"/>
          <w:lang w:val="en-US" w:eastAsia="zh-CN"/>
        </w:rPr>
        <w:t xml:space="preserve">    （</w:t>
      </w:r>
      <w:r>
        <w:rPr>
          <w:rFonts w:hint="eastAsia" w:ascii="微软雅黑" w:hAnsi="微软雅黑" w:eastAsia="微软雅黑" w:cs="微软雅黑"/>
          <w:color w:val="auto"/>
          <w:sz w:val="24"/>
          <w:szCs w:val="24"/>
          <w:highlight w:val="none"/>
          <w:u w:val="none"/>
          <w:lang w:val="en" w:eastAsia="zh-CN"/>
        </w:rPr>
        <w:t>8</w:t>
      </w:r>
      <w:r>
        <w:rPr>
          <w:rFonts w:hint="eastAsia" w:ascii="微软雅黑" w:hAnsi="微软雅黑" w:eastAsia="微软雅黑" w:cs="微软雅黑"/>
          <w:color w:val="auto"/>
          <w:sz w:val="24"/>
          <w:szCs w:val="24"/>
          <w:highlight w:val="none"/>
          <w:u w:val="none"/>
          <w:lang w:val="en-US" w:eastAsia="zh-CN"/>
        </w:rPr>
        <w:t>）中标（成交）供应商是否为外商投资企业：</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rPr>
        <w:t xml:space="preserve">是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rPr>
        <w:t>否</w:t>
      </w:r>
    </w:p>
    <w:p w14:paraId="21F7EF0C">
      <w:pPr>
        <w:pStyle w:val="117"/>
        <w:tabs>
          <w:tab w:val="left" w:pos="1340"/>
        </w:tabs>
        <w:spacing w:beforeLines="0"/>
        <w:outlineLvl w:val="9"/>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u w:val="none"/>
          <w:lang w:val="en-US" w:eastAsia="zh-CN"/>
        </w:rPr>
        <w:t xml:space="preserve">     外商投资企业类型：</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color w:val="auto"/>
          <w:sz w:val="24"/>
          <w:szCs w:val="24"/>
          <w:highlight w:val="none"/>
          <w:u w:val="none"/>
          <w:lang w:val="en-US" w:eastAsia="zh-CN"/>
        </w:rPr>
        <w:t xml:space="preserve">全部由外国投资者投资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lang w:val="en-US" w:eastAsia="zh-CN"/>
        </w:rPr>
        <w:t>部分由外国投资者投资</w:t>
      </w:r>
    </w:p>
    <w:p w14:paraId="7FACD292">
      <w:pPr>
        <w:numPr>
          <w:ilvl w:val="-1"/>
          <w:numId w:val="0"/>
        </w:numPr>
        <w:adjustRightInd w:val="0"/>
        <w:snapToGrid w:val="0"/>
        <w:spacing w:before="0" w:beforeLines="0" w:line="400" w:lineRule="exact"/>
        <w:ind w:firstLine="480" w:firstLineChars="200"/>
        <w:outlineLvl w:val="9"/>
        <w:rPr>
          <w:rFonts w:hint="eastAsia" w:ascii="微软雅黑" w:hAnsi="微软雅黑" w:eastAsia="微软雅黑" w:cs="微软雅黑"/>
          <w:b w:val="0"/>
          <w:bCs w:val="0"/>
          <w:color w:val="auto"/>
          <w:sz w:val="24"/>
          <w:szCs w:val="24"/>
          <w:highlight w:val="none"/>
          <w:u w:val="none"/>
          <w:lang w:val="en-US" w:eastAsia="zh-CN"/>
        </w:rPr>
      </w:pPr>
      <w:r>
        <w:rPr>
          <w:rFonts w:hint="eastAsia" w:ascii="微软雅黑" w:hAnsi="微软雅黑" w:eastAsia="微软雅黑" w:cs="微软雅黑"/>
          <w:b w:val="0"/>
          <w:bCs w:val="0"/>
          <w:color w:val="auto"/>
          <w:sz w:val="24"/>
          <w:szCs w:val="24"/>
          <w:highlight w:val="none"/>
          <w:u w:val="none"/>
          <w:lang w:val="en-US" w:eastAsia="zh-CN"/>
        </w:rPr>
        <w:t>（</w:t>
      </w:r>
      <w:r>
        <w:rPr>
          <w:rFonts w:hint="eastAsia" w:ascii="微软雅黑" w:hAnsi="微软雅黑" w:eastAsia="微软雅黑" w:cs="微软雅黑"/>
          <w:b w:val="0"/>
          <w:bCs w:val="0"/>
          <w:color w:val="auto"/>
          <w:sz w:val="24"/>
          <w:szCs w:val="24"/>
          <w:highlight w:val="none"/>
          <w:u w:val="none"/>
          <w:lang w:val="en" w:eastAsia="zh-CN"/>
        </w:rPr>
        <w:t>9</w:t>
      </w:r>
      <w:r>
        <w:rPr>
          <w:rFonts w:hint="eastAsia" w:ascii="微软雅黑" w:hAnsi="微软雅黑" w:eastAsia="微软雅黑" w:cs="微软雅黑"/>
          <w:b w:val="0"/>
          <w:bCs w:val="0"/>
          <w:color w:val="auto"/>
          <w:sz w:val="24"/>
          <w:szCs w:val="24"/>
          <w:highlight w:val="none"/>
          <w:u w:val="none"/>
          <w:lang w:val="en-US" w:eastAsia="zh-CN"/>
        </w:rPr>
        <w:t>）是否涉及进口产品：</w:t>
      </w:r>
    </w:p>
    <w:p w14:paraId="21008170">
      <w:pPr>
        <w:numPr>
          <w:ilvl w:val="-1"/>
          <w:numId w:val="0"/>
        </w:numPr>
        <w:adjustRightInd w:val="0"/>
        <w:snapToGrid w:val="0"/>
        <w:spacing w:before="0" w:beforeLines="0" w:line="400" w:lineRule="exact"/>
        <w:ind w:firstLine="960" w:firstLineChars="400"/>
        <w:outlineLvl w:val="9"/>
        <w:rPr>
          <w:rFonts w:hint="eastAsia" w:ascii="微软雅黑" w:hAnsi="微软雅黑" w:eastAsia="微软雅黑" w:cs="微软雅黑"/>
          <w:color w:val="auto"/>
          <w:sz w:val="24"/>
          <w:szCs w:val="24"/>
          <w:highlight w:val="none"/>
          <w:u w:val="single"/>
          <w:lang w:val="en-US" w:eastAsia="zh-CN"/>
        </w:rPr>
      </w:pPr>
      <w:r>
        <w:rPr>
          <w:rFonts w:hint="eastAsia" w:ascii="微软雅黑" w:hAnsi="微软雅黑" w:eastAsia="微软雅黑" w:cs="微软雅黑"/>
          <w:iCs w:val="0"/>
          <w:color w:val="auto"/>
          <w:sz w:val="24"/>
          <w:szCs w:val="24"/>
          <w:highlight w:val="none"/>
          <w:lang w:val="en-US" w:eastAsia="zh-CN"/>
        </w:rPr>
        <w:t xml:space="preserve"> </w:t>
      </w: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rPr>
        <w:t>是</w:t>
      </w:r>
      <w:r>
        <w:rPr>
          <w:rFonts w:hint="eastAsia" w:ascii="微软雅黑" w:hAnsi="微软雅黑" w:eastAsia="微软雅黑" w:cs="微软雅黑"/>
          <w:iCs w:val="0"/>
          <w:color w:val="auto"/>
          <w:sz w:val="24"/>
          <w:szCs w:val="24"/>
          <w:highlight w:val="none"/>
          <w:lang w:eastAsia="zh-CN"/>
        </w:rPr>
        <w:t>，《政府采购品目分类目录》底级品目名称</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lang w:val="en-US" w:eastAsia="zh-CN"/>
        </w:rPr>
        <w:t xml:space="preserve"> 金额：</w:t>
      </w:r>
      <w:r>
        <w:rPr>
          <w:rFonts w:hint="eastAsia" w:ascii="微软雅黑" w:hAnsi="微软雅黑" w:eastAsia="微软雅黑" w:cs="微软雅黑"/>
          <w:color w:val="auto"/>
          <w:sz w:val="24"/>
          <w:szCs w:val="24"/>
          <w:highlight w:val="none"/>
          <w:u w:val="single"/>
          <w:lang w:val="en-US" w:eastAsia="zh-CN"/>
        </w:rPr>
        <w:t xml:space="preserve">        </w:t>
      </w:r>
    </w:p>
    <w:p w14:paraId="5C06BDC2">
      <w:pPr>
        <w:numPr>
          <w:ilvl w:val="-1"/>
          <w:numId w:val="0"/>
        </w:numPr>
        <w:adjustRightInd w:val="0"/>
        <w:snapToGrid w:val="0"/>
        <w:spacing w:before="0" w:beforeLines="0" w:line="400" w:lineRule="exact"/>
        <w:ind w:firstLine="960" w:firstLineChars="400"/>
        <w:outlineLvl w:val="9"/>
        <w:rPr>
          <w:rFonts w:hint="eastAsia" w:ascii="微软雅黑" w:hAnsi="微软雅黑" w:eastAsia="微软雅黑" w:cs="微软雅黑"/>
          <w:iCs w:val="0"/>
          <w:color w:val="auto"/>
          <w:sz w:val="24"/>
          <w:szCs w:val="24"/>
          <w:highlight w:val="none"/>
        </w:rPr>
      </w:pPr>
      <w:r>
        <w:rPr>
          <w:rFonts w:hint="eastAsia" w:ascii="微软雅黑" w:hAnsi="微软雅黑" w:eastAsia="微软雅黑" w:cs="微软雅黑"/>
          <w:color w:val="auto"/>
          <w:sz w:val="24"/>
          <w:szCs w:val="24"/>
          <w:highlight w:val="none"/>
          <w:lang w:val="en-US" w:eastAsia="zh-CN"/>
        </w:rPr>
        <w:t xml:space="preserve">        国别：</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lang w:val="en-US" w:eastAsia="zh-CN"/>
        </w:rPr>
        <w:t xml:space="preserve"> 品牌：</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none"/>
          <w:lang w:val="en-US" w:eastAsia="zh-CN"/>
        </w:rPr>
        <w:t xml:space="preserve"> 规格型号：</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iCs w:val="0"/>
          <w:color w:val="auto"/>
          <w:sz w:val="24"/>
          <w:szCs w:val="24"/>
          <w:highlight w:val="none"/>
        </w:rPr>
        <w:t xml:space="preserve">      </w:t>
      </w:r>
    </w:p>
    <w:p w14:paraId="06921E42">
      <w:pPr>
        <w:adjustRightInd w:val="0"/>
        <w:snapToGrid w:val="0"/>
        <w:spacing w:before="0" w:beforeLines="0" w:line="400" w:lineRule="exact"/>
        <w:ind w:firstLine="960" w:firstLineChars="400"/>
        <w:outlineLvl w:val="9"/>
        <w:rPr>
          <w:rFonts w:hint="eastAsia" w:ascii="微软雅黑" w:hAnsi="微软雅黑" w:eastAsia="微软雅黑" w:cs="微软雅黑"/>
          <w:color w:val="auto"/>
          <w:sz w:val="24"/>
          <w:szCs w:val="24"/>
          <w:highlight w:val="none"/>
          <w:u w:val="none"/>
          <w:lang w:val="en-US" w:eastAsia="zh-CN"/>
        </w:rPr>
      </w:pPr>
      <w:r>
        <w:rPr>
          <w:rFonts w:hint="eastAsia" w:ascii="微软雅黑" w:hAnsi="微软雅黑" w:eastAsia="微软雅黑" w:cs="微软雅黑"/>
          <w:iCs w:val="0"/>
          <w:color w:val="auto"/>
          <w:sz w:val="24"/>
          <w:szCs w:val="24"/>
          <w:highlight w:val="none"/>
          <w:lang w:val="en-US" w:eastAsia="zh-CN"/>
        </w:rPr>
        <w:t xml:space="preserve"> </w:t>
      </w: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lang w:eastAsia="zh-CN"/>
        </w:rPr>
        <w:t>否</w:t>
      </w:r>
    </w:p>
    <w:p w14:paraId="2456F9AA">
      <w:pPr>
        <w:numPr>
          <w:ilvl w:val="-1"/>
          <w:numId w:val="0"/>
        </w:numPr>
        <w:tabs>
          <w:tab w:val="left" w:pos="740"/>
        </w:tabs>
        <w:adjustRightInd w:val="0"/>
        <w:snapToGrid w:val="0"/>
        <w:spacing w:before="0" w:beforeLines="0" w:line="400" w:lineRule="exact"/>
        <w:ind w:left="0" w:firstLine="0" w:firstLineChars="0"/>
        <w:outlineLvl w:val="9"/>
        <w:rPr>
          <w:rFonts w:hint="eastAsia" w:ascii="微软雅黑" w:hAnsi="微软雅黑" w:eastAsia="微软雅黑" w:cs="微软雅黑"/>
          <w:b w:val="0"/>
          <w:bCs w:val="0"/>
          <w:color w:val="auto"/>
          <w:sz w:val="24"/>
          <w:szCs w:val="24"/>
          <w:highlight w:val="none"/>
          <w:u w:val="none"/>
          <w:lang w:val="en-US" w:eastAsia="zh-CN"/>
        </w:rPr>
      </w:pPr>
      <w:r>
        <w:rPr>
          <w:rFonts w:hint="eastAsia" w:ascii="微软雅黑" w:hAnsi="微软雅黑" w:eastAsia="微软雅黑" w:cs="微软雅黑"/>
          <w:b w:val="0"/>
          <w:bCs w:val="0"/>
          <w:color w:val="auto"/>
          <w:sz w:val="24"/>
          <w:szCs w:val="24"/>
          <w:highlight w:val="none"/>
          <w:u w:val="none"/>
          <w:lang w:val="en-US" w:eastAsia="zh-CN"/>
        </w:rPr>
        <w:t xml:space="preserve">    （1</w:t>
      </w:r>
      <w:r>
        <w:rPr>
          <w:rFonts w:hint="eastAsia" w:ascii="微软雅黑" w:hAnsi="微软雅黑" w:eastAsia="微软雅黑" w:cs="微软雅黑"/>
          <w:b w:val="0"/>
          <w:bCs w:val="0"/>
          <w:color w:val="auto"/>
          <w:sz w:val="24"/>
          <w:szCs w:val="24"/>
          <w:highlight w:val="none"/>
          <w:u w:val="none"/>
          <w:lang w:val="en" w:eastAsia="zh-CN"/>
        </w:rPr>
        <w:t>0</w:t>
      </w:r>
      <w:r>
        <w:rPr>
          <w:rFonts w:hint="eastAsia" w:ascii="微软雅黑" w:hAnsi="微软雅黑" w:eastAsia="微软雅黑" w:cs="微软雅黑"/>
          <w:b w:val="0"/>
          <w:bCs w:val="0"/>
          <w:color w:val="auto"/>
          <w:sz w:val="24"/>
          <w:szCs w:val="24"/>
          <w:highlight w:val="none"/>
          <w:u w:val="none"/>
          <w:lang w:val="en-US" w:eastAsia="zh-CN"/>
        </w:rPr>
        <w:t>）是否涉及节能产品：</w:t>
      </w:r>
    </w:p>
    <w:p w14:paraId="22169E49">
      <w:pPr>
        <w:numPr>
          <w:ilvl w:val="-1"/>
          <w:numId w:val="0"/>
        </w:numPr>
        <w:tabs>
          <w:tab w:val="left" w:pos="740"/>
        </w:tabs>
        <w:adjustRightInd w:val="0"/>
        <w:snapToGrid w:val="0"/>
        <w:spacing w:before="0" w:beforeLines="0" w:line="400" w:lineRule="exact"/>
        <w:ind w:firstLine="0" w:firstLineChars="0"/>
        <w:outlineLvl w:val="9"/>
        <w:rPr>
          <w:rFonts w:hint="eastAsia" w:ascii="微软雅黑" w:hAnsi="微软雅黑" w:eastAsia="微软雅黑" w:cs="微软雅黑"/>
          <w:iCs/>
          <w:color w:val="auto"/>
          <w:sz w:val="24"/>
          <w:szCs w:val="24"/>
          <w:highlight w:val="none"/>
          <w:lang w:val="en-US" w:eastAsia="zh-CN"/>
        </w:rPr>
      </w:pPr>
      <w:r>
        <w:rPr>
          <w:rFonts w:hint="eastAsia" w:ascii="微软雅黑" w:hAnsi="微软雅黑" w:eastAsia="微软雅黑" w:cs="微软雅黑"/>
          <w:b w:val="0"/>
          <w:bCs w:val="0"/>
          <w:color w:val="auto"/>
          <w:sz w:val="24"/>
          <w:szCs w:val="24"/>
          <w:highlight w:val="none"/>
          <w:u w:val="none"/>
          <w:lang w:val="en-US" w:eastAsia="zh-CN"/>
        </w:rPr>
        <w:t xml:space="preserve">         </w:t>
      </w: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rPr>
        <w:t>是</w:t>
      </w:r>
      <w:r>
        <w:rPr>
          <w:rFonts w:hint="eastAsia" w:ascii="微软雅黑" w:hAnsi="微软雅黑" w:eastAsia="微软雅黑" w:cs="微软雅黑"/>
          <w:iCs w:val="0"/>
          <w:color w:val="auto"/>
          <w:sz w:val="24"/>
          <w:szCs w:val="24"/>
          <w:highlight w:val="none"/>
          <w:lang w:eastAsia="zh-CN"/>
        </w:rPr>
        <w:t>，《节能产品政府采购品目清单》的底级品目名称：</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iCs/>
          <w:color w:val="auto"/>
          <w:sz w:val="24"/>
          <w:szCs w:val="24"/>
          <w:highlight w:val="none"/>
          <w:lang w:val="en-US" w:eastAsia="zh-CN"/>
        </w:rPr>
        <w:t xml:space="preserve">     </w:t>
      </w:r>
    </w:p>
    <w:p w14:paraId="4BF901BC">
      <w:pPr>
        <w:numPr>
          <w:ilvl w:val="-1"/>
          <w:numId w:val="0"/>
        </w:numPr>
        <w:tabs>
          <w:tab w:val="left" w:pos="740"/>
        </w:tabs>
        <w:adjustRightInd w:val="0"/>
        <w:snapToGrid w:val="0"/>
        <w:spacing w:before="0" w:beforeLines="0" w:line="400" w:lineRule="exact"/>
        <w:ind w:firstLine="0" w:firstLineChars="0"/>
        <w:outlineLvl w:val="9"/>
        <w:rPr>
          <w:rFonts w:hint="eastAsia" w:ascii="微软雅黑" w:hAnsi="微软雅黑" w:eastAsia="微软雅黑" w:cs="微软雅黑"/>
          <w:iCs/>
          <w:color w:val="auto"/>
          <w:sz w:val="24"/>
          <w:szCs w:val="24"/>
          <w:highlight w:val="none"/>
          <w:lang w:val="en-US" w:eastAsia="zh-CN"/>
        </w:rPr>
      </w:pPr>
      <w:r>
        <w:rPr>
          <w:rFonts w:hint="eastAsia" w:ascii="微软雅黑" w:hAnsi="微软雅黑" w:eastAsia="微软雅黑" w:cs="微软雅黑"/>
          <w:iCs/>
          <w:color w:val="auto"/>
          <w:sz w:val="24"/>
          <w:szCs w:val="24"/>
          <w:highlight w:val="none"/>
          <w:lang w:val="en-US" w:eastAsia="zh-CN"/>
        </w:rPr>
        <w:t xml:space="preserve">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lang w:eastAsia="zh-CN"/>
        </w:rPr>
        <w:t>强制采购</w:t>
      </w:r>
      <w:r>
        <w:rPr>
          <w:rFonts w:hint="eastAsia" w:ascii="微软雅黑" w:hAnsi="微软雅黑" w:eastAsia="微软雅黑" w:cs="微软雅黑"/>
          <w:iCs/>
          <w:color w:val="auto"/>
          <w:sz w:val="24"/>
          <w:szCs w:val="24"/>
          <w:highlight w:val="none"/>
          <w:lang w:val="en-US" w:eastAsia="zh-CN"/>
        </w:rPr>
        <w:t xml:space="preserve">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lang w:eastAsia="zh-CN"/>
        </w:rPr>
        <w:t>优先采购</w:t>
      </w:r>
      <w:r>
        <w:rPr>
          <w:rFonts w:hint="eastAsia" w:ascii="微软雅黑" w:hAnsi="微软雅黑" w:eastAsia="微软雅黑" w:cs="微软雅黑"/>
          <w:iCs/>
          <w:color w:val="auto"/>
          <w:sz w:val="24"/>
          <w:szCs w:val="24"/>
          <w:highlight w:val="none"/>
          <w:lang w:val="en-US" w:eastAsia="zh-CN"/>
        </w:rPr>
        <w:t xml:space="preserve">    </w:t>
      </w:r>
    </w:p>
    <w:p w14:paraId="0D0E8C03">
      <w:pPr>
        <w:numPr>
          <w:ilvl w:val="-1"/>
          <w:numId w:val="0"/>
        </w:numPr>
        <w:tabs>
          <w:tab w:val="left" w:pos="740"/>
        </w:tabs>
        <w:adjustRightInd w:val="0"/>
        <w:snapToGrid w:val="0"/>
        <w:spacing w:before="0" w:beforeLines="0" w:line="400" w:lineRule="exact"/>
        <w:ind w:firstLine="0" w:firstLineChars="0"/>
        <w:outlineLvl w:val="9"/>
        <w:rPr>
          <w:rFonts w:hint="eastAsia" w:ascii="微软雅黑" w:hAnsi="微软雅黑" w:eastAsia="微软雅黑" w:cs="微软雅黑"/>
          <w:iCs w:val="0"/>
          <w:color w:val="auto"/>
          <w:sz w:val="24"/>
          <w:szCs w:val="24"/>
          <w:highlight w:val="none"/>
        </w:rPr>
      </w:pPr>
      <w:r>
        <w:rPr>
          <w:rFonts w:hint="eastAsia" w:ascii="微软雅黑" w:hAnsi="微软雅黑" w:eastAsia="微软雅黑" w:cs="微软雅黑"/>
          <w:iCs/>
          <w:color w:val="auto"/>
          <w:sz w:val="24"/>
          <w:szCs w:val="24"/>
          <w:highlight w:val="none"/>
          <w:lang w:val="en-US" w:eastAsia="zh-CN"/>
        </w:rPr>
        <w:t xml:space="preserve">         </w:t>
      </w: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rPr>
        <w:t>否</w:t>
      </w:r>
    </w:p>
    <w:p w14:paraId="35E11555">
      <w:pPr>
        <w:numPr>
          <w:ilvl w:val="-1"/>
          <w:numId w:val="0"/>
        </w:numPr>
        <w:tabs>
          <w:tab w:val="left" w:pos="740"/>
        </w:tabs>
        <w:adjustRightInd w:val="0"/>
        <w:snapToGrid w:val="0"/>
        <w:spacing w:before="0" w:beforeLines="0" w:line="400" w:lineRule="exact"/>
        <w:ind w:left="0" w:firstLine="0" w:firstLineChars="0"/>
        <w:outlineLvl w:val="9"/>
        <w:rPr>
          <w:rFonts w:hint="eastAsia" w:ascii="微软雅黑" w:hAnsi="微软雅黑" w:eastAsia="微软雅黑" w:cs="微软雅黑"/>
          <w:b w:val="0"/>
          <w:bCs w:val="0"/>
          <w:color w:val="auto"/>
          <w:sz w:val="24"/>
          <w:szCs w:val="24"/>
          <w:highlight w:val="none"/>
          <w:u w:val="none"/>
          <w:lang w:val="en-US" w:eastAsia="zh-CN"/>
        </w:rPr>
      </w:pPr>
      <w:r>
        <w:rPr>
          <w:rFonts w:hint="eastAsia" w:ascii="微软雅黑" w:hAnsi="微软雅黑" w:eastAsia="微软雅黑" w:cs="微软雅黑"/>
          <w:b w:val="0"/>
          <w:bCs w:val="0"/>
          <w:color w:val="auto"/>
          <w:sz w:val="24"/>
          <w:szCs w:val="24"/>
          <w:highlight w:val="none"/>
          <w:u w:val="none"/>
          <w:lang w:val="en-US" w:eastAsia="zh-CN"/>
        </w:rPr>
        <w:t xml:space="preserve">          是否涉及环境标志产品：</w:t>
      </w:r>
    </w:p>
    <w:p w14:paraId="06BB5249">
      <w:pPr>
        <w:numPr>
          <w:ilvl w:val="-1"/>
          <w:numId w:val="0"/>
        </w:numPr>
        <w:tabs>
          <w:tab w:val="left" w:pos="740"/>
        </w:tabs>
        <w:adjustRightInd w:val="0"/>
        <w:snapToGrid w:val="0"/>
        <w:spacing w:before="0" w:beforeLines="0" w:line="400" w:lineRule="exact"/>
        <w:ind w:firstLine="0" w:firstLineChars="0"/>
        <w:outlineLvl w:val="9"/>
        <w:rPr>
          <w:rFonts w:hint="eastAsia" w:ascii="微软雅黑" w:hAnsi="微软雅黑" w:eastAsia="微软雅黑" w:cs="微软雅黑"/>
          <w:iCs w:val="0"/>
          <w:color w:val="auto"/>
          <w:sz w:val="24"/>
          <w:szCs w:val="24"/>
          <w:highlight w:val="none"/>
          <w:lang w:eastAsia="zh-CN"/>
        </w:rPr>
      </w:pPr>
      <w:r>
        <w:rPr>
          <w:rFonts w:hint="eastAsia" w:ascii="微软雅黑" w:hAnsi="微软雅黑" w:eastAsia="微软雅黑" w:cs="微软雅黑"/>
          <w:b w:val="0"/>
          <w:bCs w:val="0"/>
          <w:color w:val="auto"/>
          <w:sz w:val="24"/>
          <w:szCs w:val="24"/>
          <w:highlight w:val="none"/>
          <w:u w:val="none"/>
          <w:lang w:val="en-US" w:eastAsia="zh-CN"/>
        </w:rPr>
        <w:t xml:space="preserve">         </w:t>
      </w: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rPr>
        <w:t>是</w:t>
      </w:r>
      <w:r>
        <w:rPr>
          <w:rFonts w:hint="eastAsia" w:ascii="微软雅黑" w:hAnsi="微软雅黑" w:eastAsia="微软雅黑" w:cs="微软雅黑"/>
          <w:iCs w:val="0"/>
          <w:color w:val="auto"/>
          <w:sz w:val="24"/>
          <w:szCs w:val="24"/>
          <w:highlight w:val="none"/>
          <w:lang w:eastAsia="zh-CN"/>
        </w:rPr>
        <w:t>，《环境标志产品政府采购品目清单》的底级品目名称：</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iCs/>
          <w:color w:val="auto"/>
          <w:sz w:val="24"/>
          <w:szCs w:val="24"/>
          <w:highlight w:val="none"/>
          <w:lang w:val="en-US" w:eastAsia="zh-CN"/>
        </w:rPr>
        <w:t xml:space="preserve"> </w:t>
      </w:r>
    </w:p>
    <w:p w14:paraId="6FAAF0DB">
      <w:pPr>
        <w:numPr>
          <w:ilvl w:val="-1"/>
          <w:numId w:val="0"/>
        </w:numPr>
        <w:tabs>
          <w:tab w:val="left" w:pos="740"/>
        </w:tabs>
        <w:adjustRightInd w:val="0"/>
        <w:snapToGrid w:val="0"/>
        <w:spacing w:before="0" w:beforeLines="0" w:line="400" w:lineRule="exact"/>
        <w:ind w:firstLine="0" w:firstLineChars="0"/>
        <w:outlineLvl w:val="9"/>
        <w:rPr>
          <w:rFonts w:hint="eastAsia" w:ascii="微软雅黑" w:hAnsi="微软雅黑" w:eastAsia="微软雅黑" w:cs="微软雅黑"/>
          <w:iCs/>
          <w:color w:val="auto"/>
          <w:sz w:val="24"/>
          <w:szCs w:val="24"/>
          <w:highlight w:val="none"/>
          <w:lang w:val="en-US" w:eastAsia="zh-CN"/>
        </w:rPr>
      </w:pPr>
      <w:r>
        <w:rPr>
          <w:rFonts w:hint="eastAsia" w:ascii="微软雅黑" w:hAnsi="微软雅黑" w:eastAsia="微软雅黑" w:cs="微软雅黑"/>
          <w:iCs/>
          <w:color w:val="auto"/>
          <w:sz w:val="24"/>
          <w:szCs w:val="24"/>
          <w:highlight w:val="none"/>
          <w:lang w:val="en-US" w:eastAsia="zh-CN"/>
        </w:rPr>
        <w:t xml:space="preserve">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lang w:eastAsia="zh-CN"/>
        </w:rPr>
        <w:t>强制采购</w:t>
      </w:r>
      <w:r>
        <w:rPr>
          <w:rFonts w:hint="eastAsia" w:ascii="微软雅黑" w:hAnsi="微软雅黑" w:eastAsia="微软雅黑" w:cs="微软雅黑"/>
          <w:iCs/>
          <w:color w:val="auto"/>
          <w:sz w:val="24"/>
          <w:szCs w:val="24"/>
          <w:highlight w:val="none"/>
          <w:lang w:val="en-US" w:eastAsia="zh-CN"/>
        </w:rPr>
        <w:t xml:space="preserve">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lang w:eastAsia="zh-CN"/>
        </w:rPr>
        <w:t>优先采购</w:t>
      </w:r>
      <w:r>
        <w:rPr>
          <w:rFonts w:hint="eastAsia" w:ascii="微软雅黑" w:hAnsi="微软雅黑" w:eastAsia="微软雅黑" w:cs="微软雅黑"/>
          <w:iCs/>
          <w:color w:val="auto"/>
          <w:sz w:val="24"/>
          <w:szCs w:val="24"/>
          <w:highlight w:val="none"/>
          <w:lang w:val="en-US" w:eastAsia="zh-CN"/>
        </w:rPr>
        <w:t xml:space="preserve">    </w:t>
      </w:r>
    </w:p>
    <w:p w14:paraId="386CFB3A">
      <w:pPr>
        <w:numPr>
          <w:ilvl w:val="-1"/>
          <w:numId w:val="0"/>
        </w:numPr>
        <w:tabs>
          <w:tab w:val="left" w:pos="740"/>
        </w:tabs>
        <w:adjustRightInd w:val="0"/>
        <w:snapToGrid w:val="0"/>
        <w:spacing w:before="0" w:beforeLines="0" w:line="400" w:lineRule="exact"/>
        <w:ind w:firstLine="0" w:firstLineChars="0"/>
        <w:outlineLvl w:val="9"/>
        <w:rPr>
          <w:rFonts w:hint="eastAsia" w:ascii="微软雅黑" w:hAnsi="微软雅黑" w:eastAsia="微软雅黑" w:cs="微软雅黑"/>
          <w:b w:val="0"/>
          <w:bCs w:val="0"/>
          <w:color w:val="auto"/>
          <w:sz w:val="24"/>
          <w:szCs w:val="24"/>
          <w:highlight w:val="none"/>
          <w:u w:val="none"/>
          <w:lang w:val="en-US" w:eastAsia="zh-CN"/>
        </w:rPr>
      </w:pPr>
      <w:r>
        <w:rPr>
          <w:rFonts w:hint="eastAsia" w:ascii="微软雅黑" w:hAnsi="微软雅黑" w:eastAsia="微软雅黑" w:cs="微软雅黑"/>
          <w:iCs/>
          <w:color w:val="auto"/>
          <w:sz w:val="24"/>
          <w:szCs w:val="24"/>
          <w:highlight w:val="none"/>
          <w:lang w:val="en-US" w:eastAsia="zh-CN"/>
        </w:rPr>
        <w:t xml:space="preserve">         </w:t>
      </w: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rPr>
        <w:t>否</w:t>
      </w:r>
    </w:p>
    <w:p w14:paraId="4316724C">
      <w:pPr>
        <w:pStyle w:val="117"/>
        <w:numPr>
          <w:ilvl w:val="-1"/>
          <w:numId w:val="0"/>
        </w:numPr>
        <w:adjustRightInd w:val="0"/>
        <w:snapToGrid w:val="0"/>
        <w:spacing w:before="0" w:beforeLines="0" w:line="400" w:lineRule="exact"/>
        <w:ind w:firstLine="0" w:firstLineChars="0"/>
        <w:outlineLvl w:val="9"/>
        <w:rPr>
          <w:rFonts w:hint="eastAsia" w:ascii="微软雅黑" w:hAnsi="微软雅黑" w:eastAsia="微软雅黑" w:cs="微软雅黑"/>
          <w:iCs w:val="0"/>
          <w:color w:val="auto"/>
          <w:kern w:val="2"/>
          <w:sz w:val="24"/>
          <w:szCs w:val="24"/>
          <w:highlight w:val="none"/>
          <w:u w:val="none"/>
          <w:lang w:val="en-US" w:eastAsia="zh-CN"/>
        </w:rPr>
      </w:pPr>
      <w:r>
        <w:rPr>
          <w:rFonts w:hint="eastAsia" w:ascii="微软雅黑" w:hAnsi="微软雅黑" w:eastAsia="微软雅黑" w:cs="微软雅黑"/>
          <w:b w:val="0"/>
          <w:bCs w:val="0"/>
          <w:color w:val="auto"/>
          <w:sz w:val="24"/>
          <w:szCs w:val="24"/>
          <w:highlight w:val="none"/>
          <w:u w:val="none"/>
          <w:lang w:val="en-US" w:eastAsia="zh-CN"/>
        </w:rPr>
        <w:t xml:space="preserve">          </w:t>
      </w:r>
      <w:r>
        <w:rPr>
          <w:rFonts w:hint="eastAsia" w:ascii="微软雅黑" w:hAnsi="微软雅黑" w:eastAsia="微软雅黑" w:cs="微软雅黑"/>
          <w:b w:val="0"/>
          <w:bCs w:val="0"/>
          <w:color w:val="auto"/>
          <w:kern w:val="2"/>
          <w:sz w:val="24"/>
          <w:szCs w:val="24"/>
          <w:highlight w:val="none"/>
          <w:u w:val="none"/>
          <w:lang w:val="en-US" w:eastAsia="zh-CN"/>
        </w:rPr>
        <w:t>是否涉及绿色产品：</w:t>
      </w:r>
      <w:r>
        <w:rPr>
          <w:rFonts w:hint="eastAsia" w:ascii="微软雅黑" w:hAnsi="微软雅黑" w:eastAsia="微软雅黑" w:cs="微软雅黑"/>
          <w:iCs w:val="0"/>
          <w:color w:val="auto"/>
          <w:kern w:val="2"/>
          <w:sz w:val="24"/>
          <w:szCs w:val="24"/>
          <w:highlight w:val="none"/>
          <w:u w:val="none"/>
          <w:lang w:val="en-US" w:eastAsia="zh-CN"/>
        </w:rPr>
        <w:t xml:space="preserve"> </w:t>
      </w:r>
    </w:p>
    <w:p w14:paraId="539F1BCB">
      <w:pPr>
        <w:pStyle w:val="117"/>
        <w:spacing w:beforeLines="0"/>
        <w:ind w:firstLine="420" w:firstLineChars="0"/>
        <w:outlineLvl w:val="9"/>
        <w:rPr>
          <w:rFonts w:hint="eastAsia" w:ascii="微软雅黑" w:hAnsi="微软雅黑" w:eastAsia="微软雅黑" w:cs="微软雅黑"/>
          <w:color w:val="auto"/>
          <w:sz w:val="24"/>
          <w:szCs w:val="24"/>
          <w:highlight w:val="none"/>
          <w:u w:val="single"/>
          <w:lang w:val="en-US" w:eastAsia="zh-CN"/>
        </w:rPr>
      </w:pPr>
      <w:r>
        <w:rPr>
          <w:rFonts w:hint="eastAsia" w:ascii="微软雅黑" w:hAnsi="微软雅黑" w:eastAsia="微软雅黑" w:cs="微软雅黑"/>
          <w:iCs w:val="0"/>
          <w:color w:val="auto"/>
          <w:kern w:val="2"/>
          <w:sz w:val="24"/>
          <w:szCs w:val="24"/>
          <w:highlight w:val="none"/>
          <w:u w:val="none"/>
          <w:lang w:val="en-US" w:eastAsia="zh-CN"/>
        </w:rPr>
        <w:t xml:space="preserve">     </w:t>
      </w:r>
      <w:r>
        <w:rPr>
          <w:rFonts w:hint="eastAsia" w:ascii="微软雅黑" w:hAnsi="微软雅黑" w:eastAsia="微软雅黑" w:cs="微软雅黑"/>
          <w:iCs w:val="0"/>
          <w:color w:val="auto"/>
          <w:kern w:val="2"/>
          <w:sz w:val="24"/>
          <w:szCs w:val="24"/>
          <w:highlight w:val="none"/>
          <w:u w:val="none"/>
        </w:rPr>
        <w:sym w:font="Wingdings" w:char="00A8"/>
      </w:r>
      <w:r>
        <w:rPr>
          <w:rFonts w:hint="eastAsia" w:ascii="微软雅黑" w:hAnsi="微软雅黑" w:eastAsia="微软雅黑" w:cs="微软雅黑"/>
          <w:iCs w:val="0"/>
          <w:color w:val="auto"/>
          <w:kern w:val="2"/>
          <w:sz w:val="24"/>
          <w:szCs w:val="24"/>
          <w:highlight w:val="none"/>
          <w:u w:val="none"/>
        </w:rPr>
        <w:t>是</w:t>
      </w:r>
      <w:r>
        <w:rPr>
          <w:rFonts w:hint="eastAsia" w:ascii="微软雅黑" w:hAnsi="微软雅黑" w:eastAsia="微软雅黑" w:cs="微软雅黑"/>
          <w:iCs w:val="0"/>
          <w:color w:val="auto"/>
          <w:kern w:val="2"/>
          <w:sz w:val="24"/>
          <w:szCs w:val="24"/>
          <w:highlight w:val="none"/>
          <w:u w:val="none"/>
          <w:lang w:eastAsia="zh-CN"/>
        </w:rPr>
        <w:t>，绿色产品政府采购相关政策确定的底级品目名称：</w:t>
      </w:r>
      <w:r>
        <w:rPr>
          <w:rFonts w:hint="eastAsia" w:ascii="微软雅黑" w:hAnsi="微软雅黑" w:eastAsia="微软雅黑" w:cs="微软雅黑"/>
          <w:color w:val="auto"/>
          <w:sz w:val="24"/>
          <w:szCs w:val="24"/>
          <w:highlight w:val="none"/>
          <w:u w:val="single"/>
          <w:lang w:val="en-US" w:eastAsia="zh-CN"/>
        </w:rPr>
        <w:t xml:space="preserve">         </w:t>
      </w:r>
    </w:p>
    <w:p w14:paraId="28409C47">
      <w:pPr>
        <w:numPr>
          <w:ilvl w:val="-1"/>
          <w:numId w:val="0"/>
        </w:numPr>
        <w:tabs>
          <w:tab w:val="left" w:pos="740"/>
        </w:tabs>
        <w:adjustRightInd w:val="0"/>
        <w:snapToGrid w:val="0"/>
        <w:spacing w:before="0" w:beforeLines="0" w:line="400" w:lineRule="exact"/>
        <w:ind w:firstLine="0" w:firstLineChars="0"/>
        <w:outlineLvl w:val="9"/>
        <w:rPr>
          <w:rFonts w:hint="eastAsia" w:ascii="微软雅黑" w:hAnsi="微软雅黑" w:eastAsia="微软雅黑" w:cs="微软雅黑"/>
          <w:iCs/>
          <w:color w:val="auto"/>
          <w:sz w:val="24"/>
          <w:szCs w:val="24"/>
          <w:highlight w:val="none"/>
          <w:lang w:val="en-US" w:eastAsia="zh-CN"/>
        </w:rPr>
      </w:pPr>
      <w:r>
        <w:rPr>
          <w:rFonts w:hint="eastAsia" w:ascii="微软雅黑" w:hAnsi="微软雅黑" w:eastAsia="微软雅黑" w:cs="微软雅黑"/>
          <w:iCs/>
          <w:color w:val="auto"/>
          <w:sz w:val="24"/>
          <w:szCs w:val="24"/>
          <w:highlight w:val="none"/>
          <w:lang w:val="en-US" w:eastAsia="zh-CN"/>
        </w:rPr>
        <w:t xml:space="preserve">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lang w:eastAsia="zh-CN"/>
        </w:rPr>
        <w:t>强制采购</w:t>
      </w:r>
      <w:r>
        <w:rPr>
          <w:rFonts w:hint="eastAsia" w:ascii="微软雅黑" w:hAnsi="微软雅黑" w:eastAsia="微软雅黑" w:cs="微软雅黑"/>
          <w:iCs/>
          <w:color w:val="auto"/>
          <w:sz w:val="24"/>
          <w:szCs w:val="24"/>
          <w:highlight w:val="none"/>
          <w:lang w:val="en-US" w:eastAsia="zh-CN"/>
        </w:rPr>
        <w:t xml:space="preserve">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lang w:eastAsia="zh-CN"/>
        </w:rPr>
        <w:t>优先采购</w:t>
      </w:r>
      <w:r>
        <w:rPr>
          <w:rFonts w:hint="eastAsia" w:ascii="微软雅黑" w:hAnsi="微软雅黑" w:eastAsia="微软雅黑" w:cs="微软雅黑"/>
          <w:iCs/>
          <w:color w:val="auto"/>
          <w:sz w:val="24"/>
          <w:szCs w:val="24"/>
          <w:highlight w:val="none"/>
          <w:lang w:val="en-US" w:eastAsia="zh-CN"/>
        </w:rPr>
        <w:t xml:space="preserve">    </w:t>
      </w:r>
    </w:p>
    <w:p w14:paraId="7DFA9296">
      <w:pPr>
        <w:pStyle w:val="117"/>
        <w:spacing w:beforeLines="0"/>
        <w:ind w:firstLine="420" w:firstLineChars="0"/>
        <w:outlineLvl w:val="9"/>
        <w:rPr>
          <w:rFonts w:hint="eastAsia" w:ascii="微软雅黑" w:hAnsi="微软雅黑" w:eastAsia="微软雅黑" w:cs="微软雅黑"/>
          <w:b w:val="0"/>
          <w:bCs w:val="0"/>
          <w:color w:val="auto"/>
          <w:sz w:val="24"/>
          <w:szCs w:val="24"/>
          <w:highlight w:val="none"/>
          <w:u w:val="none"/>
          <w:lang w:val="en-US" w:eastAsia="zh-CN"/>
        </w:rPr>
      </w:pPr>
      <w:r>
        <w:rPr>
          <w:rFonts w:hint="eastAsia" w:ascii="微软雅黑" w:hAnsi="微软雅黑" w:eastAsia="微软雅黑" w:cs="微软雅黑"/>
          <w:iCs w:val="0"/>
          <w:color w:val="auto"/>
          <w:kern w:val="2"/>
          <w:sz w:val="24"/>
          <w:szCs w:val="24"/>
          <w:highlight w:val="none"/>
          <w:u w:val="none"/>
          <w:lang w:val="en-US" w:eastAsia="zh-CN"/>
        </w:rPr>
        <w:t xml:space="preserve">     </w:t>
      </w:r>
      <w:r>
        <w:rPr>
          <w:rFonts w:hint="eastAsia" w:ascii="微软雅黑" w:hAnsi="微软雅黑" w:eastAsia="微软雅黑" w:cs="微软雅黑"/>
          <w:iCs w:val="0"/>
          <w:color w:val="auto"/>
          <w:kern w:val="2"/>
          <w:sz w:val="24"/>
          <w:szCs w:val="24"/>
          <w:highlight w:val="none"/>
          <w:u w:val="none"/>
        </w:rPr>
        <w:sym w:font="Wingdings" w:char="00A8"/>
      </w:r>
      <w:r>
        <w:rPr>
          <w:rFonts w:hint="eastAsia" w:ascii="微软雅黑" w:hAnsi="微软雅黑" w:eastAsia="微软雅黑" w:cs="微软雅黑"/>
          <w:iCs w:val="0"/>
          <w:color w:val="auto"/>
          <w:kern w:val="2"/>
          <w:sz w:val="24"/>
          <w:szCs w:val="24"/>
          <w:highlight w:val="none"/>
          <w:u w:val="none"/>
        </w:rPr>
        <w:t>否</w:t>
      </w:r>
    </w:p>
    <w:p w14:paraId="492B79F6">
      <w:pPr>
        <w:numPr>
          <w:ilvl w:val="-1"/>
          <w:numId w:val="0"/>
        </w:numPr>
        <w:adjustRightInd w:val="0"/>
        <w:snapToGrid w:val="0"/>
        <w:spacing w:before="0" w:beforeLines="0" w:line="400" w:lineRule="exact"/>
        <w:ind w:firstLine="0" w:firstLineChars="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xml:space="preserve">    （1</w:t>
      </w:r>
      <w:r>
        <w:rPr>
          <w:rFonts w:hint="eastAsia" w:ascii="微软雅黑" w:hAnsi="微软雅黑" w:eastAsia="微软雅黑" w:cs="微软雅黑"/>
          <w:color w:val="auto"/>
          <w:sz w:val="24"/>
          <w:szCs w:val="24"/>
          <w:highlight w:val="none"/>
          <w:lang w:val="en" w:eastAsia="zh-CN"/>
        </w:rPr>
        <w:t>1</w:t>
      </w:r>
      <w:r>
        <w:rPr>
          <w:rFonts w:hint="eastAsia" w:ascii="微软雅黑" w:hAnsi="微软雅黑" w:eastAsia="微软雅黑" w:cs="微软雅黑"/>
          <w:color w:val="auto"/>
          <w:sz w:val="24"/>
          <w:szCs w:val="24"/>
          <w:highlight w:val="none"/>
          <w:lang w:val="en-US" w:eastAsia="zh-CN"/>
        </w:rPr>
        <w:t>）涉及商品包装和快递包装的，是否参考</w:t>
      </w:r>
      <w:r>
        <w:rPr>
          <w:rFonts w:hint="eastAsia" w:ascii="微软雅黑" w:hAnsi="微软雅黑" w:eastAsia="微软雅黑" w:cs="微软雅黑"/>
          <w:color w:val="auto"/>
          <w:sz w:val="24"/>
          <w:szCs w:val="24"/>
          <w:highlight w:val="none"/>
        </w:rPr>
        <w:t>《商品包装政府采购需求标准（试行）》、《快递包装政府采购需求标准（试行）》</w:t>
      </w:r>
      <w:r>
        <w:rPr>
          <w:rFonts w:hint="eastAsia" w:ascii="微软雅黑" w:hAnsi="微软雅黑" w:eastAsia="微软雅黑" w:cs="微软雅黑"/>
          <w:color w:val="auto"/>
          <w:sz w:val="24"/>
          <w:szCs w:val="24"/>
          <w:highlight w:val="none"/>
          <w:lang w:eastAsia="zh-CN"/>
        </w:rPr>
        <w:t>明确产品及相关快递服务的具体包装要求：</w:t>
      </w:r>
    </w:p>
    <w:p w14:paraId="5C9E1AF5">
      <w:pPr>
        <w:numPr>
          <w:ilvl w:val="-1"/>
          <w:numId w:val="0"/>
        </w:numPr>
        <w:adjustRightInd w:val="0"/>
        <w:snapToGrid w:val="0"/>
        <w:spacing w:before="0" w:beforeLines="0" w:line="400" w:lineRule="exact"/>
        <w:ind w:firstLine="960" w:firstLineChars="400"/>
        <w:outlineLvl w:val="9"/>
        <w:rPr>
          <w:rFonts w:hint="eastAsia" w:ascii="微软雅黑" w:hAnsi="微软雅黑" w:eastAsia="微软雅黑" w:cs="微软雅黑"/>
          <w:iCs w:val="0"/>
          <w:color w:val="auto"/>
          <w:sz w:val="24"/>
          <w:szCs w:val="24"/>
          <w:highlight w:val="none"/>
          <w:lang w:val="en-US" w:eastAsia="zh-CN"/>
        </w:rPr>
      </w:pP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rPr>
        <w:t xml:space="preserve">是       </w:t>
      </w: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rPr>
        <w:t>否</w:t>
      </w:r>
      <w:r>
        <w:rPr>
          <w:rFonts w:hint="eastAsia" w:ascii="微软雅黑" w:hAnsi="微软雅黑" w:eastAsia="微软雅黑" w:cs="微软雅黑"/>
          <w:iCs w:val="0"/>
          <w:color w:val="auto"/>
          <w:sz w:val="24"/>
          <w:szCs w:val="24"/>
          <w:highlight w:val="none"/>
          <w:lang w:val="en-US" w:eastAsia="zh-CN"/>
        </w:rPr>
        <w:t xml:space="preserve">      </w:t>
      </w:r>
      <w:r>
        <w:rPr>
          <w:rFonts w:hint="eastAsia" w:ascii="微软雅黑" w:hAnsi="微软雅黑" w:eastAsia="微软雅黑" w:cs="微软雅黑"/>
          <w:iCs w:val="0"/>
          <w:color w:val="auto"/>
          <w:sz w:val="24"/>
          <w:szCs w:val="24"/>
          <w:highlight w:val="none"/>
        </w:rPr>
        <w:sym w:font="Wingdings" w:char="00A8"/>
      </w:r>
      <w:r>
        <w:rPr>
          <w:rFonts w:hint="eastAsia" w:ascii="微软雅黑" w:hAnsi="微软雅黑" w:eastAsia="微软雅黑" w:cs="微软雅黑"/>
          <w:iCs w:val="0"/>
          <w:color w:val="auto"/>
          <w:sz w:val="24"/>
          <w:szCs w:val="24"/>
          <w:highlight w:val="none"/>
          <w:lang w:eastAsia="zh-CN"/>
        </w:rPr>
        <w:t>不涉及</w:t>
      </w:r>
    </w:p>
    <w:p w14:paraId="4EEB1820">
      <w:pPr>
        <w:numPr>
          <w:ilvl w:val="0"/>
          <w:numId w:val="6"/>
        </w:numPr>
        <w:adjustRightInd w:val="0"/>
        <w:snapToGrid w:val="0"/>
        <w:spacing w:before="0" w:beforeLines="0" w:line="400" w:lineRule="exact"/>
        <w:ind w:left="-1" w:leftChars="0" w:firstLine="421" w:firstLineChars="0"/>
        <w:outlineLvl w:val="9"/>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rPr>
        <w:t>合同金额</w:t>
      </w:r>
    </w:p>
    <w:p w14:paraId="51F587DA">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（1）合同金额</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lang w:val="en-US" w:eastAsia="zh-CN"/>
        </w:rPr>
        <w:t>含税）</w:t>
      </w:r>
      <w:r>
        <w:rPr>
          <w:rFonts w:hint="eastAsia" w:ascii="微软雅黑" w:hAnsi="微软雅黑" w:eastAsia="微软雅黑" w:cs="微软雅黑"/>
          <w:color w:val="auto"/>
          <w:sz w:val="24"/>
          <w:szCs w:val="24"/>
          <w:highlight w:val="none"/>
        </w:rPr>
        <w:t>小写：</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rPr>
        <w:t xml:space="preserve">      </w:t>
      </w:r>
    </w:p>
    <w:p w14:paraId="1D3E5007">
      <w:pPr>
        <w:adjustRightInd w:val="0"/>
        <w:snapToGrid w:val="0"/>
        <w:spacing w:before="0" w:beforeLines="0" w:line="400" w:lineRule="exact"/>
        <w:ind w:left="0" w:firstLine="0" w:firstLineChars="0"/>
        <w:outlineLvl w:val="9"/>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大写：</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rPr>
        <w:t xml:space="preserve">      </w:t>
      </w:r>
    </w:p>
    <w:p w14:paraId="4FCC59A3">
      <w:pPr>
        <w:adjustRightInd w:val="0"/>
        <w:snapToGrid w:val="0"/>
        <w:spacing w:before="0" w:beforeLines="0" w:line="400" w:lineRule="exact"/>
        <w:ind w:firstLine="0" w:firstLineChars="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分包金额</w:t>
      </w:r>
      <w:r>
        <w:rPr>
          <w:rFonts w:hint="eastAsia" w:ascii="微软雅黑" w:hAnsi="微软雅黑" w:eastAsia="微软雅黑" w:cs="微软雅黑"/>
          <w:color w:val="auto"/>
          <w:sz w:val="24"/>
          <w:szCs w:val="24"/>
          <w:highlight w:val="none"/>
          <w:lang w:eastAsia="zh-CN"/>
        </w:rPr>
        <w:t>（如有，</w:t>
      </w:r>
      <w:r>
        <w:rPr>
          <w:rFonts w:hint="eastAsia" w:ascii="微软雅黑" w:hAnsi="微软雅黑" w:eastAsia="微软雅黑" w:cs="微软雅黑"/>
          <w:color w:val="auto"/>
          <w:sz w:val="24"/>
          <w:szCs w:val="24"/>
          <w:highlight w:val="none"/>
          <w:lang w:val="en-US" w:eastAsia="zh-CN"/>
        </w:rPr>
        <w:t>含税</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小写：</w:t>
      </w:r>
      <w:r>
        <w:rPr>
          <w:rFonts w:hint="eastAsia" w:ascii="微软雅黑" w:hAnsi="微软雅黑" w:eastAsia="微软雅黑" w:cs="微软雅黑"/>
          <w:color w:val="auto"/>
          <w:sz w:val="24"/>
          <w:szCs w:val="24"/>
          <w:highlight w:val="none"/>
          <w:u w:val="single"/>
        </w:rPr>
        <w:t xml:space="preserve">                   </w:t>
      </w:r>
    </w:p>
    <w:p w14:paraId="6B7291B0">
      <w:pPr>
        <w:adjustRightInd w:val="0"/>
        <w:snapToGrid w:val="0"/>
        <w:spacing w:before="0" w:beforeLines="0" w:line="400" w:lineRule="exact"/>
        <w:ind w:firstLine="0" w:firstLineChars="0"/>
        <w:outlineLvl w:val="9"/>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大写：</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rPr>
        <w:t xml:space="preserve">   </w:t>
      </w:r>
    </w:p>
    <w:p w14:paraId="47DB8094">
      <w:pPr>
        <w:adjustRightInd w:val="0"/>
        <w:snapToGrid w:val="0"/>
        <w:spacing w:before="0" w:beforeLines="0" w:line="400" w:lineRule="exact"/>
        <w:ind w:firstLine="0" w:firstLineChars="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xml:space="preserve">    （注：固定单价合同应填写单价和最高限价）</w:t>
      </w:r>
    </w:p>
    <w:p w14:paraId="597BB7F4">
      <w:pPr>
        <w:numPr>
          <w:ilvl w:val="-1"/>
          <w:numId w:val="0"/>
        </w:numPr>
        <w:adjustRightInd w:val="0"/>
        <w:snapToGrid w:val="0"/>
        <w:spacing w:before="0" w:beforeLines="0" w:line="400" w:lineRule="exact"/>
        <w:ind w:firstLine="0" w:firstLineChars="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合同定价方式</w:t>
      </w:r>
      <w:r>
        <w:rPr>
          <w:rFonts w:hint="eastAsia" w:ascii="微软雅黑" w:hAnsi="微软雅黑" w:eastAsia="微软雅黑" w:cs="微软雅黑"/>
          <w:color w:val="auto"/>
          <w:sz w:val="24"/>
          <w:szCs w:val="24"/>
          <w:highlight w:val="none"/>
          <w:lang w:eastAsia="zh-CN"/>
        </w:rPr>
        <w:t>（采用组合定价方式的，可以勾选多项）</w:t>
      </w:r>
      <w:r>
        <w:rPr>
          <w:rFonts w:hint="eastAsia" w:ascii="微软雅黑" w:hAnsi="微软雅黑" w:eastAsia="微软雅黑" w:cs="微软雅黑"/>
          <w:color w:val="auto"/>
          <w:sz w:val="24"/>
          <w:szCs w:val="24"/>
          <w:highlight w:val="none"/>
        </w:rPr>
        <w:t>：</w:t>
      </w:r>
    </w:p>
    <w:p w14:paraId="19F40AE2">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iCs/>
          <w:color w:val="auto"/>
          <w:sz w:val="24"/>
          <w:szCs w:val="24"/>
          <w:highlight w:val="none"/>
          <w:lang w:val="en-US" w:eastAsia="zh-CN"/>
        </w:rPr>
        <w:t xml:space="preserve">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rPr>
        <w:t xml:space="preserve">固定总价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rPr>
        <w:t>固定单价</w:t>
      </w:r>
      <w:r>
        <w:rPr>
          <w:rFonts w:hint="eastAsia" w:ascii="微软雅黑" w:hAnsi="微软雅黑" w:eastAsia="微软雅黑" w:cs="微软雅黑"/>
          <w:iCs/>
          <w:color w:val="auto"/>
          <w:sz w:val="24"/>
          <w:szCs w:val="24"/>
          <w:highlight w:val="none"/>
          <w:lang w:val="en-US" w:eastAsia="zh-CN"/>
        </w:rPr>
        <w:t xml:space="preserve">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lang w:eastAsia="zh-CN"/>
        </w:rPr>
        <w:t>固定费率</w:t>
      </w:r>
      <w:r>
        <w:rPr>
          <w:rFonts w:hint="eastAsia" w:ascii="微软雅黑" w:hAnsi="微软雅黑" w:eastAsia="微软雅黑" w:cs="微软雅黑"/>
          <w:iCs/>
          <w:color w:val="auto"/>
          <w:sz w:val="24"/>
          <w:szCs w:val="24"/>
          <w:highlight w:val="none"/>
        </w:rPr>
        <w:t xml:space="preserve">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rPr>
        <w:t xml:space="preserve">成本补偿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rPr>
        <w:t>绩效激励</w:t>
      </w:r>
      <w:r>
        <w:rPr>
          <w:rFonts w:hint="eastAsia" w:ascii="微软雅黑" w:hAnsi="微软雅黑" w:eastAsia="微软雅黑" w:cs="微软雅黑"/>
          <w:iCs/>
          <w:color w:val="auto"/>
          <w:sz w:val="24"/>
          <w:szCs w:val="24"/>
          <w:highlight w:val="none"/>
          <w:lang w:val="en-US" w:eastAsia="zh-CN"/>
        </w:rPr>
        <w:t xml:space="preserve"> </w:t>
      </w:r>
      <w:r>
        <w:rPr>
          <w:rFonts w:hint="eastAsia" w:ascii="微软雅黑" w:hAnsi="微软雅黑" w:eastAsia="微软雅黑" w:cs="微软雅黑"/>
          <w:iCs/>
          <w:color w:val="auto"/>
          <w:sz w:val="24"/>
          <w:szCs w:val="24"/>
          <w:highlight w:val="none"/>
        </w:rPr>
        <w:sym w:font="Wingdings" w:char="00A8"/>
      </w:r>
      <w:r>
        <w:rPr>
          <w:rFonts w:hint="eastAsia" w:ascii="微软雅黑" w:hAnsi="微软雅黑" w:eastAsia="微软雅黑" w:cs="微软雅黑"/>
          <w:iCs/>
          <w:color w:val="auto"/>
          <w:sz w:val="24"/>
          <w:szCs w:val="24"/>
          <w:highlight w:val="none"/>
          <w:lang w:eastAsia="zh-CN"/>
        </w:rPr>
        <w:t>其他</w:t>
      </w:r>
      <w:r>
        <w:rPr>
          <w:rFonts w:hint="eastAsia" w:ascii="微软雅黑" w:hAnsi="微软雅黑" w:eastAsia="微软雅黑" w:cs="微软雅黑"/>
          <w:color w:val="auto"/>
          <w:sz w:val="24"/>
          <w:szCs w:val="24"/>
          <w:highlight w:val="none"/>
          <w:u w:val="single"/>
        </w:rPr>
        <w:t xml:space="preserve">       </w:t>
      </w:r>
    </w:p>
    <w:p w14:paraId="71D4E7C6">
      <w:pPr>
        <w:pStyle w:val="50"/>
        <w:spacing w:beforeLines="0" w:line="400" w:lineRule="exac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）付款方式（按项目实际勾选填写）：</w:t>
      </w:r>
    </w:p>
    <w:p w14:paraId="5BEE0FAE">
      <w:pPr>
        <w:adjustRightInd w:val="0"/>
        <w:snapToGrid w:val="0"/>
        <w:spacing w:before="0" w:beforeLines="0" w:line="400" w:lineRule="exact"/>
        <w:ind w:firstLine="720" w:firstLineChars="300"/>
        <w:outlineLvl w:val="9"/>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color w:val="auto"/>
          <w:sz w:val="24"/>
          <w:szCs w:val="24"/>
          <w:highlight w:val="none"/>
        </w:rPr>
        <w:t>全额付款：</w:t>
      </w:r>
      <w:r>
        <w:rPr>
          <w:rFonts w:hint="eastAsia" w:ascii="微软雅黑" w:hAnsi="微软雅黑" w:eastAsia="微软雅黑" w:cs="微软雅黑"/>
          <w:color w:val="auto"/>
          <w:sz w:val="24"/>
          <w:szCs w:val="24"/>
          <w:highlight w:val="none"/>
          <w:u w:val="single"/>
        </w:rPr>
        <w:t xml:space="preserve">     （应</w:t>
      </w:r>
      <w:r>
        <w:rPr>
          <w:rFonts w:hint="eastAsia" w:ascii="微软雅黑" w:hAnsi="微软雅黑" w:eastAsia="微软雅黑" w:cs="微软雅黑"/>
          <w:color w:val="auto"/>
          <w:sz w:val="24"/>
          <w:szCs w:val="24"/>
          <w:highlight w:val="none"/>
          <w:u w:val="single"/>
          <w:lang w:eastAsia="zh-CN"/>
        </w:rPr>
        <w:t>明确</w:t>
      </w:r>
      <w:r>
        <w:rPr>
          <w:rFonts w:hint="eastAsia" w:ascii="微软雅黑" w:hAnsi="微软雅黑" w:eastAsia="微软雅黑" w:cs="微软雅黑"/>
          <w:color w:val="auto"/>
          <w:sz w:val="24"/>
          <w:szCs w:val="24"/>
          <w:highlight w:val="none"/>
          <w:u w:val="single"/>
        </w:rPr>
        <w:t>一次性支付合同款项</w:t>
      </w:r>
      <w:r>
        <w:rPr>
          <w:rFonts w:hint="eastAsia" w:ascii="微软雅黑" w:hAnsi="微软雅黑" w:eastAsia="微软雅黑" w:cs="微软雅黑"/>
          <w:color w:val="auto"/>
          <w:sz w:val="24"/>
          <w:szCs w:val="24"/>
          <w:highlight w:val="none"/>
          <w:u w:val="single"/>
          <w:lang w:eastAsia="zh-CN"/>
        </w:rPr>
        <w:t>的条件</w:t>
      </w:r>
      <w:r>
        <w:rPr>
          <w:rFonts w:hint="eastAsia" w:ascii="微软雅黑" w:hAnsi="微软雅黑" w:eastAsia="微软雅黑" w:cs="微软雅黑"/>
          <w:color w:val="auto"/>
          <w:sz w:val="24"/>
          <w:szCs w:val="24"/>
          <w:highlight w:val="none"/>
          <w:u w:val="single"/>
        </w:rPr>
        <w:t xml:space="preserve">）                    </w:t>
      </w:r>
    </w:p>
    <w:p w14:paraId="2A164B28">
      <w:pPr>
        <w:snapToGrid w:val="0"/>
        <w:spacing w:beforeLines="0" w:line="400" w:lineRule="exact"/>
        <w:ind w:firstLine="720" w:firstLineChars="30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color w:val="auto"/>
          <w:sz w:val="24"/>
          <w:szCs w:val="24"/>
          <w:highlight w:val="none"/>
        </w:rPr>
        <w:t>分期付款：</w:t>
      </w:r>
      <w:r>
        <w:rPr>
          <w:rFonts w:hint="eastAsia" w:ascii="微软雅黑" w:hAnsi="微软雅黑" w:eastAsia="微软雅黑" w:cs="微软雅黑"/>
          <w:color w:val="auto"/>
          <w:sz w:val="24"/>
          <w:szCs w:val="24"/>
          <w:highlight w:val="none"/>
          <w:u w:val="single"/>
        </w:rPr>
        <w:t xml:space="preserve">  （应明确分期支付合同款项的各期比例和支付条件</w:t>
      </w:r>
      <w:r>
        <w:rPr>
          <w:rFonts w:hint="eastAsia" w:ascii="微软雅黑" w:hAnsi="微软雅黑" w:eastAsia="微软雅黑" w:cs="微软雅黑"/>
          <w:color w:val="auto"/>
          <w:sz w:val="24"/>
          <w:szCs w:val="24"/>
          <w:highlight w:val="none"/>
          <w:u w:val="single"/>
          <w:lang w:eastAsia="zh-CN"/>
        </w:rPr>
        <w:t>，各期支付条件应与分期履约验收情况挂钩</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none"/>
          <w:lang w:eastAsia="zh-CN"/>
        </w:rPr>
        <w:t>，</w:t>
      </w:r>
      <w:r>
        <w:rPr>
          <w:rFonts w:hint="eastAsia" w:ascii="微软雅黑" w:hAnsi="微软雅黑" w:eastAsia="微软雅黑" w:cs="微软雅黑"/>
          <w:color w:val="auto"/>
          <w:sz w:val="24"/>
          <w:szCs w:val="24"/>
          <w:highlight w:val="none"/>
          <w:lang w:eastAsia="zh-CN"/>
        </w:rPr>
        <w:t>其中涉及预付款的</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u w:val="single"/>
        </w:rPr>
        <w:t xml:space="preserve"> （应明确预付款的支付比例和支付条件） </w:t>
      </w:r>
    </w:p>
    <w:p w14:paraId="31FA9D86">
      <w:pPr>
        <w:adjustRightInd w:val="0"/>
        <w:snapToGrid w:val="0"/>
        <w:spacing w:before="0" w:beforeLines="0" w:line="400" w:lineRule="exact"/>
        <w:ind w:firstLine="720" w:firstLineChars="300"/>
        <w:outlineLvl w:val="9"/>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color w:val="auto"/>
          <w:sz w:val="24"/>
          <w:szCs w:val="24"/>
          <w:highlight w:val="none"/>
        </w:rPr>
        <w:t>成本补偿：</w:t>
      </w:r>
      <w:r>
        <w:rPr>
          <w:rFonts w:hint="eastAsia" w:ascii="微软雅黑" w:hAnsi="微软雅黑" w:eastAsia="微软雅黑" w:cs="微软雅黑"/>
          <w:color w:val="auto"/>
          <w:sz w:val="24"/>
          <w:szCs w:val="24"/>
          <w:highlight w:val="none"/>
          <w:u w:val="single"/>
        </w:rPr>
        <w:t xml:space="preserve">      （应明确按照成本补偿方式的支付方式和支付条件）   </w:t>
      </w:r>
    </w:p>
    <w:p w14:paraId="460D2BAA">
      <w:pPr>
        <w:adjustRightInd w:val="0"/>
        <w:snapToGrid w:val="0"/>
        <w:spacing w:before="0" w:beforeLines="0" w:line="400" w:lineRule="exact"/>
        <w:ind w:firstLine="720" w:firstLineChars="300"/>
        <w:outlineLvl w:val="9"/>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color w:val="auto"/>
          <w:sz w:val="24"/>
          <w:szCs w:val="24"/>
          <w:highlight w:val="none"/>
        </w:rPr>
        <w:t>绩效激励：</w:t>
      </w:r>
      <w:r>
        <w:rPr>
          <w:rFonts w:hint="eastAsia" w:ascii="微软雅黑" w:hAnsi="微软雅黑" w:eastAsia="微软雅黑" w:cs="微软雅黑"/>
          <w:color w:val="auto"/>
          <w:sz w:val="24"/>
          <w:szCs w:val="24"/>
          <w:highlight w:val="none"/>
          <w:u w:val="single"/>
        </w:rPr>
        <w:t xml:space="preserve">      （应明确按照绩效激励方式的支付方式和支付条件）   </w:t>
      </w:r>
    </w:p>
    <w:p w14:paraId="77A05254">
      <w:pPr>
        <w:adjustRightInd w:val="0"/>
        <w:snapToGrid w:val="0"/>
        <w:spacing w:before="0" w:beforeLines="0" w:line="400" w:lineRule="exact"/>
        <w:ind w:firstLine="720" w:firstLineChars="300"/>
        <w:outlineLvl w:val="9"/>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（4）甲方每批次付款前，乙方均应向甲方开具等额有效的增值税发票，否则甲方有权不予支付相应款项直至乙方提供合格发票，且不承担延迟付款责任。</w:t>
      </w:r>
      <w:r>
        <w:rPr>
          <w:rFonts w:hint="eastAsia" w:ascii="微软雅黑" w:hAnsi="微软雅黑" w:eastAsia="微软雅黑" w:cs="微软雅黑"/>
          <w:b/>
          <w:bCs/>
          <w:color w:val="auto"/>
          <w:sz w:val="24"/>
          <w:szCs w:val="24"/>
          <w:highlight w:val="none"/>
          <w:lang w:val="en-US" w:eastAsia="zh-CN"/>
        </w:rPr>
        <w:t>发票认证通过是付款的必要前提之一。</w:t>
      </w:r>
    </w:p>
    <w:p w14:paraId="24177AEB">
      <w:pPr>
        <w:adjustRightInd w:val="0"/>
        <w:snapToGrid w:val="0"/>
        <w:spacing w:before="0" w:beforeLines="0" w:line="400" w:lineRule="exact"/>
        <w:ind w:firstLine="720" w:firstLineChars="3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（5）乙方负责所有材料的安装、调试，以及所有所需配套设施的供应、安装、调试（包括所有费用），除本合同约定的价款外，甲方不再就本合同的履行支付任何费用。</w:t>
      </w:r>
    </w:p>
    <w:p w14:paraId="709EDA85">
      <w:pPr>
        <w:adjustRightInd w:val="0"/>
        <w:snapToGrid w:val="0"/>
        <w:spacing w:before="0" w:beforeLines="0" w:line="400" w:lineRule="exact"/>
        <w:ind w:firstLine="720" w:firstLineChars="3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（6）甲方以银行转账方式支付至本合同乙方指定账户，乙方应对其所提供的账户信息的准确性、安全性、可靠性负责：</w:t>
      </w:r>
    </w:p>
    <w:p w14:paraId="78458FF3">
      <w:pPr>
        <w:adjustRightInd w:val="0"/>
        <w:snapToGrid w:val="0"/>
        <w:spacing w:before="0" w:beforeLines="0" w:line="400" w:lineRule="exact"/>
        <w:ind w:firstLine="720" w:firstLineChars="3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账户名称：</w:t>
      </w:r>
    </w:p>
    <w:p w14:paraId="3CB19E11">
      <w:pPr>
        <w:adjustRightInd w:val="0"/>
        <w:snapToGrid w:val="0"/>
        <w:spacing w:before="0" w:beforeLines="0" w:line="400" w:lineRule="exact"/>
        <w:ind w:firstLine="720" w:firstLineChars="3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账号：</w:t>
      </w:r>
    </w:p>
    <w:p w14:paraId="1665FFEE">
      <w:pPr>
        <w:adjustRightInd w:val="0"/>
        <w:snapToGrid w:val="0"/>
        <w:spacing w:before="0" w:beforeLines="0" w:line="400" w:lineRule="exact"/>
        <w:ind w:firstLine="720" w:firstLineChars="3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xml:space="preserve">行号： </w:t>
      </w:r>
    </w:p>
    <w:p w14:paraId="46323A86">
      <w:pPr>
        <w:adjustRightInd w:val="0"/>
        <w:snapToGrid w:val="0"/>
        <w:spacing w:before="0" w:beforeLines="0" w:line="400" w:lineRule="exact"/>
        <w:ind w:firstLine="720" w:firstLineChars="3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开户行：</w:t>
      </w:r>
    </w:p>
    <w:p w14:paraId="25540C40">
      <w:pPr>
        <w:adjustRightInd w:val="0"/>
        <w:snapToGrid w:val="0"/>
        <w:spacing w:before="0" w:beforeLines="0" w:line="400" w:lineRule="exact"/>
        <w:ind w:firstLine="720" w:firstLineChars="3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若乙方指定收款账户信息有变更的，乙方须提前3日以书面形式通知甲方。若因银行过错或乙方未及时书面通知甲方或乙方提供的账户信息有误导致货款无法进账、支取、承兑、支取延迟，责任由乙方自行承担。</w:t>
      </w:r>
    </w:p>
    <w:p w14:paraId="337BFDBD">
      <w:pPr>
        <w:adjustRightInd w:val="0"/>
        <w:snapToGrid w:val="0"/>
        <w:spacing w:before="0" w:beforeLines="0" w:line="400" w:lineRule="exact"/>
        <w:ind w:firstLine="720" w:firstLineChars="3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7）如果乙方有任何违约行为或造成任何损失，甲方有权从合同价款中直接扣除违约金或损失，若扣除的合同价款不足以弥补甲方损失，乙方应予以补足。如乙方须额外向甲方支付费用，相关款项将由乙方在接到甲方的书面通知和此类赔偿的证明文件后1个月内向甲方支付，否则乙方需以应付而未付的金额为基数，按年利率4%向甲方支付违约金。</w:t>
      </w:r>
    </w:p>
    <w:p w14:paraId="4044C7B2">
      <w:pPr>
        <w:numPr>
          <w:ilvl w:val="0"/>
          <w:numId w:val="6"/>
        </w:numPr>
        <w:adjustRightInd w:val="0"/>
        <w:snapToGrid w:val="0"/>
        <w:spacing w:before="0" w:beforeLines="0" w:line="400" w:lineRule="exact"/>
        <w:ind w:left="-1" w:leftChars="0" w:firstLine="421" w:firstLineChars="0"/>
        <w:outlineLvl w:val="9"/>
        <w:rPr>
          <w:rFonts w:hint="eastAsia" w:ascii="微软雅黑" w:hAnsi="微软雅黑" w:eastAsia="微软雅黑" w:cs="微软雅黑"/>
          <w:b/>
          <w:bCs w:val="0"/>
          <w:color w:val="auto"/>
          <w:sz w:val="24"/>
          <w:szCs w:val="24"/>
          <w:highlight w:val="none"/>
          <w:u w:val="single"/>
        </w:rPr>
      </w:pPr>
      <w:r>
        <w:rPr>
          <w:rFonts w:hint="eastAsia" w:ascii="微软雅黑" w:hAnsi="微软雅黑" w:eastAsia="微软雅黑" w:cs="微软雅黑"/>
          <w:b/>
          <w:bCs w:val="0"/>
          <w:color w:val="auto"/>
          <w:sz w:val="24"/>
          <w:szCs w:val="24"/>
          <w:highlight w:val="none"/>
        </w:rPr>
        <w:t>合同履行</w:t>
      </w:r>
    </w:p>
    <w:p w14:paraId="75E7E8D8">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（1）起始日期：</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年</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月</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日，完成日期：</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年</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月</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日。</w:t>
      </w:r>
    </w:p>
    <w:p w14:paraId="1361612A">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t>（2）</w:t>
      </w:r>
      <w:r>
        <w:rPr>
          <w:rFonts w:hint="eastAsia" w:ascii="微软雅黑" w:hAnsi="微软雅黑" w:eastAsia="微软雅黑" w:cs="微软雅黑"/>
          <w:color w:val="auto"/>
          <w:sz w:val="24"/>
          <w:szCs w:val="24"/>
          <w:highlight w:val="none"/>
          <w:lang w:eastAsia="zh-CN"/>
        </w:rPr>
        <w:t>履约</w:t>
      </w:r>
      <w:r>
        <w:rPr>
          <w:rFonts w:hint="eastAsia" w:ascii="微软雅黑" w:hAnsi="微软雅黑" w:eastAsia="微软雅黑" w:cs="微软雅黑"/>
          <w:color w:val="auto"/>
          <w:sz w:val="24"/>
          <w:szCs w:val="24"/>
          <w:highlight w:val="none"/>
        </w:rPr>
        <w:t>地点</w:t>
      </w:r>
      <w:r>
        <w:rPr>
          <w:rFonts w:hint="eastAsia" w:ascii="微软雅黑" w:hAnsi="微软雅黑" w:eastAsia="微软雅黑" w:cs="微软雅黑"/>
          <w:b w:val="0"/>
          <w:bCs/>
          <w:color w:val="auto"/>
          <w:sz w:val="24"/>
          <w:szCs w:val="24"/>
          <w:highlight w:val="none"/>
        </w:rPr>
        <w:t>：</w:t>
      </w:r>
      <w:r>
        <w:rPr>
          <w:rFonts w:hint="eastAsia" w:ascii="微软雅黑" w:hAnsi="微软雅黑" w:eastAsia="微软雅黑" w:cs="微软雅黑"/>
          <w:color w:val="auto"/>
          <w:sz w:val="24"/>
          <w:szCs w:val="24"/>
          <w:highlight w:val="none"/>
          <w:u w:val="single"/>
        </w:rPr>
        <w:t xml:space="preserve">                             </w:t>
      </w:r>
    </w:p>
    <w:p w14:paraId="7C32D34B">
      <w:pPr>
        <w:adjustRightInd w:val="0"/>
        <w:snapToGrid w:val="0"/>
        <w:spacing w:before="0" w:beforeLines="0" w:line="400" w:lineRule="exact"/>
        <w:ind w:firstLine="720" w:firstLineChars="3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甲方对交货地点有变更的，可以在送货前   日内通知乙方，乙方应当按照甲方最后一次通知的地点完成交货。非甲方原因导致乙方错送地点，由乙方承担逾期交货的责任及一切损失。</w:t>
      </w:r>
    </w:p>
    <w:p w14:paraId="3B526857">
      <w:pPr>
        <w:adjustRightInd w:val="0"/>
        <w:snapToGrid w:val="0"/>
        <w:spacing w:before="0" w:beforeLines="0" w:line="400" w:lineRule="exact"/>
        <w:ind w:firstLine="720" w:firstLineChars="3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合同所涉产品或材料毁损、灭失的风险在实际交付甲方，经甲方初步验收合格之前由乙方承担。</w:t>
      </w:r>
    </w:p>
    <w:p w14:paraId="09E746FA">
      <w:pPr>
        <w:adjustRightInd w:val="0"/>
        <w:snapToGrid w:val="0"/>
        <w:spacing w:before="0" w:beforeLines="0" w:line="400" w:lineRule="exact"/>
        <w:ind w:firstLine="720" w:firstLineChars="3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乙方应在产品装运后24小时内以传真或邮件等可即时通讯的书面形式将合同号、产品名称、规格、数量、发票金额、运输工具及启运时间通知甲方负责人（加盖乙方公章），并将与该产品有关的技术资料应随同货物一并交付，如未一并提供则视为乙方未完全履行基于本合同项下义务，甲方有权延期付款直至乙方提供，甲方不因此承担任何责任。</w:t>
      </w:r>
    </w:p>
    <w:p w14:paraId="7A4B2C57">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bCs/>
          <w:color w:val="auto"/>
          <w:sz w:val="24"/>
          <w:szCs w:val="24"/>
          <w:highlight w:val="none"/>
        </w:rPr>
        <w:t>（3）履约担保：</w:t>
      </w:r>
      <w:r>
        <w:rPr>
          <w:rFonts w:hint="eastAsia" w:ascii="微软雅黑" w:hAnsi="微软雅黑" w:eastAsia="微软雅黑" w:cs="微软雅黑"/>
          <w:color w:val="auto"/>
          <w:sz w:val="24"/>
          <w:szCs w:val="24"/>
          <w:highlight w:val="none"/>
          <w:lang w:val="en-US" w:eastAsia="zh-CN"/>
        </w:rPr>
        <w:t>是否收取履约保证金：</w:t>
      </w: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color w:val="auto"/>
          <w:sz w:val="24"/>
          <w:szCs w:val="24"/>
          <w:highlight w:val="none"/>
          <w:lang w:eastAsia="zh-CN"/>
        </w:rPr>
        <w:t>是</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color w:val="auto"/>
          <w:sz w:val="24"/>
          <w:szCs w:val="24"/>
          <w:highlight w:val="none"/>
          <w:lang w:eastAsia="zh-CN"/>
        </w:rPr>
        <w:t>否</w:t>
      </w:r>
    </w:p>
    <w:p w14:paraId="13702B53">
      <w:pPr>
        <w:pStyle w:val="117"/>
        <w:spacing w:beforeLines="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bCs/>
          <w:color w:val="auto"/>
          <w:sz w:val="24"/>
          <w:szCs w:val="24"/>
          <w:highlight w:val="none"/>
          <w:u w:val="none"/>
          <w:lang w:val="en-US" w:eastAsia="zh-CN"/>
        </w:rPr>
        <w:t xml:space="preserve">  </w:t>
      </w:r>
      <w:r>
        <w:rPr>
          <w:rFonts w:hint="eastAsia" w:ascii="微软雅黑" w:hAnsi="微软雅黑" w:eastAsia="微软雅黑" w:cs="微软雅黑"/>
          <w:color w:val="auto"/>
          <w:sz w:val="24"/>
          <w:szCs w:val="24"/>
          <w:highlight w:val="none"/>
          <w:lang w:val="en-US" w:eastAsia="zh-CN"/>
        </w:rPr>
        <w:t xml:space="preserve">  收取履约保证金形式：</w:t>
      </w:r>
      <w:r>
        <w:rPr>
          <w:rFonts w:hint="eastAsia" w:ascii="微软雅黑" w:hAnsi="微软雅黑" w:eastAsia="微软雅黑" w:cs="微软雅黑"/>
          <w:bCs/>
          <w:color w:val="auto"/>
          <w:sz w:val="24"/>
          <w:szCs w:val="24"/>
          <w:highlight w:val="none"/>
          <w:u w:val="single"/>
        </w:rPr>
        <w:t xml:space="preserve">                            </w:t>
      </w:r>
    </w:p>
    <w:p w14:paraId="48B46D06">
      <w:pPr>
        <w:pStyle w:val="117"/>
        <w:spacing w:beforeLines="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xml:space="preserve">    收取履约保证金金额：</w:t>
      </w:r>
      <w:r>
        <w:rPr>
          <w:rFonts w:hint="eastAsia" w:ascii="微软雅黑" w:hAnsi="微软雅黑" w:eastAsia="微软雅黑" w:cs="微软雅黑"/>
          <w:bCs/>
          <w:color w:val="auto"/>
          <w:sz w:val="24"/>
          <w:szCs w:val="24"/>
          <w:highlight w:val="none"/>
          <w:u w:val="single"/>
        </w:rPr>
        <w:t xml:space="preserve">                            </w:t>
      </w:r>
    </w:p>
    <w:p w14:paraId="4EB6C700">
      <w:pPr>
        <w:snapToGrid w:val="0"/>
        <w:spacing w:beforeLines="0" w:line="400" w:lineRule="exact"/>
        <w:ind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bCs/>
          <w:color w:val="auto"/>
          <w:sz w:val="24"/>
          <w:szCs w:val="24"/>
          <w:highlight w:val="none"/>
          <w:u w:val="none"/>
          <w:lang w:val="en-US" w:eastAsia="zh-CN"/>
        </w:rPr>
        <w:t xml:space="preserve">    履约担保期限</w:t>
      </w:r>
      <w:r>
        <w:rPr>
          <w:rFonts w:hint="eastAsia" w:ascii="微软雅黑" w:hAnsi="微软雅黑" w:eastAsia="微软雅黑" w:cs="微软雅黑"/>
          <w:bCs/>
          <w:color w:val="auto"/>
          <w:sz w:val="24"/>
          <w:szCs w:val="24"/>
          <w:highlight w:val="none"/>
          <w:u w:val="none"/>
          <w:lang w:eastAsia="zh-CN"/>
        </w:rPr>
        <w:t>：</w:t>
      </w:r>
      <w:r>
        <w:rPr>
          <w:rFonts w:hint="eastAsia" w:ascii="微软雅黑" w:hAnsi="微软雅黑" w:eastAsia="微软雅黑" w:cs="微软雅黑"/>
          <w:bCs/>
          <w:color w:val="auto"/>
          <w:sz w:val="24"/>
          <w:szCs w:val="24"/>
          <w:highlight w:val="none"/>
          <w:u w:val="single"/>
        </w:rPr>
        <w:t xml:space="preserve">      </w:t>
      </w:r>
      <w:r>
        <w:rPr>
          <w:rFonts w:hint="eastAsia" w:ascii="微软雅黑" w:hAnsi="微软雅黑" w:eastAsia="微软雅黑" w:cs="微软雅黑"/>
          <w:bCs/>
          <w:color w:val="auto"/>
          <w:sz w:val="24"/>
          <w:szCs w:val="24"/>
          <w:highlight w:val="none"/>
          <w:u w:val="single"/>
          <w:lang w:val="en-US" w:eastAsia="zh-CN"/>
        </w:rPr>
        <w:t xml:space="preserve">                     </w:t>
      </w:r>
      <w:r>
        <w:rPr>
          <w:rFonts w:hint="eastAsia" w:ascii="微软雅黑" w:hAnsi="微软雅黑" w:eastAsia="微软雅黑" w:cs="微软雅黑"/>
          <w:bCs/>
          <w:color w:val="auto"/>
          <w:sz w:val="24"/>
          <w:szCs w:val="24"/>
          <w:highlight w:val="none"/>
          <w:u w:val="single"/>
        </w:rPr>
        <w:t xml:space="preserve">       </w:t>
      </w:r>
    </w:p>
    <w:p w14:paraId="36CA5014">
      <w:pPr>
        <w:adjustRightInd w:val="0"/>
        <w:snapToGrid w:val="0"/>
        <w:spacing w:before="0" w:beforeLines="0" w:line="400" w:lineRule="exact"/>
        <w:ind w:firstLine="480" w:firstLineChars="200"/>
        <w:outlineLvl w:val="9"/>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（4）分期履行要求：</w:t>
      </w:r>
      <w:r>
        <w:rPr>
          <w:rFonts w:hint="eastAsia" w:ascii="微软雅黑" w:hAnsi="微软雅黑" w:eastAsia="微软雅黑" w:cs="微软雅黑"/>
          <w:bCs/>
          <w:color w:val="auto"/>
          <w:sz w:val="24"/>
          <w:szCs w:val="24"/>
          <w:highlight w:val="none"/>
          <w:u w:val="single"/>
        </w:rPr>
        <w:t xml:space="preserve">                                                   </w:t>
      </w:r>
      <w:r>
        <w:rPr>
          <w:rFonts w:hint="eastAsia" w:ascii="微软雅黑" w:hAnsi="微软雅黑" w:eastAsia="微软雅黑" w:cs="微软雅黑"/>
          <w:bCs/>
          <w:color w:val="auto"/>
          <w:sz w:val="24"/>
          <w:szCs w:val="24"/>
          <w:highlight w:val="none"/>
          <w:u w:val="single"/>
          <w:lang w:val="en-US" w:eastAsia="zh-CN"/>
        </w:rPr>
        <w:t xml:space="preserve">    </w:t>
      </w:r>
      <w:r>
        <w:rPr>
          <w:rFonts w:hint="eastAsia" w:ascii="微软雅黑" w:hAnsi="微软雅黑" w:eastAsia="微软雅黑" w:cs="微软雅黑"/>
          <w:bCs/>
          <w:color w:val="auto"/>
          <w:sz w:val="24"/>
          <w:szCs w:val="24"/>
          <w:highlight w:val="none"/>
          <w:u w:val="single"/>
        </w:rPr>
        <w:t xml:space="preserve"> </w:t>
      </w:r>
    </w:p>
    <w:p w14:paraId="490FA359">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bCs/>
          <w:color w:val="auto"/>
          <w:sz w:val="24"/>
          <w:szCs w:val="24"/>
          <w:highlight w:val="none"/>
        </w:rPr>
        <w:t>（5）</w:t>
      </w:r>
      <w:r>
        <w:rPr>
          <w:rFonts w:hint="eastAsia" w:ascii="微软雅黑" w:hAnsi="微软雅黑" w:eastAsia="微软雅黑" w:cs="微软雅黑"/>
          <w:bCs/>
          <w:color w:val="auto"/>
          <w:sz w:val="24"/>
          <w:szCs w:val="24"/>
          <w:highlight w:val="none"/>
          <w:lang w:eastAsia="zh-CN"/>
        </w:rPr>
        <w:t>风险处置措施和替代方案</w:t>
      </w:r>
      <w:r>
        <w:rPr>
          <w:rFonts w:hint="eastAsia" w:ascii="微软雅黑" w:hAnsi="微软雅黑" w:eastAsia="微软雅黑" w:cs="微软雅黑"/>
          <w:bCs/>
          <w:color w:val="auto"/>
          <w:sz w:val="24"/>
          <w:szCs w:val="24"/>
          <w:highlight w:val="none"/>
        </w:rPr>
        <w:t>：</w:t>
      </w:r>
      <w:r>
        <w:rPr>
          <w:rFonts w:hint="eastAsia" w:ascii="微软雅黑" w:hAnsi="微软雅黑" w:eastAsia="微软雅黑" w:cs="微软雅黑"/>
          <w:color w:val="auto"/>
          <w:sz w:val="24"/>
          <w:szCs w:val="24"/>
          <w:highlight w:val="none"/>
          <w:u w:val="single"/>
        </w:rPr>
        <w:t xml:space="preserve">                                              </w:t>
      </w:r>
    </w:p>
    <w:p w14:paraId="5668B002">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u w:val="none"/>
        </w:rPr>
      </w:pPr>
      <w:r>
        <w:rPr>
          <w:rFonts w:hint="eastAsia" w:ascii="微软雅黑" w:hAnsi="微软雅黑" w:eastAsia="微软雅黑" w:cs="微软雅黑"/>
          <w:color w:val="auto"/>
          <w:sz w:val="24"/>
          <w:szCs w:val="24"/>
          <w:highlight w:val="none"/>
          <w:u w:val="none"/>
          <w:lang w:eastAsia="zh-CN"/>
        </w:rPr>
        <w:t>（</w:t>
      </w:r>
      <w:r>
        <w:rPr>
          <w:rFonts w:hint="eastAsia" w:ascii="微软雅黑" w:hAnsi="微软雅黑" w:eastAsia="微软雅黑" w:cs="微软雅黑"/>
          <w:color w:val="auto"/>
          <w:sz w:val="24"/>
          <w:szCs w:val="24"/>
          <w:highlight w:val="none"/>
          <w:u w:val="none"/>
          <w:lang w:val="en-US" w:eastAsia="zh-CN"/>
        </w:rPr>
        <w:t>6）该履约保证金在乙方履行完毕基于本合同项下所有义务后15日内无息返还（采用保函形式的退还保函原件）。但，在甲方完成最终验收合格之前，乙方未履行本合同项下约定的责任和义务所需承担的违约金、赔偿金及其他费用，甲方有权直接从该履约保证金中扣除，当该履约保证金不足以扣除的，甲方有权从任何一笔需向乙方支付的货款中扣除；当该履约保证金有剩余的，则由甲方退还剩余的履约保证金。</w:t>
      </w:r>
      <w:r>
        <w:rPr>
          <w:rFonts w:hint="eastAsia" w:ascii="微软雅黑" w:hAnsi="微软雅黑" w:eastAsia="微软雅黑" w:cs="微软雅黑"/>
          <w:color w:val="auto"/>
          <w:sz w:val="24"/>
          <w:szCs w:val="24"/>
          <w:highlight w:val="none"/>
          <w:u w:val="none"/>
        </w:rPr>
        <w:t xml:space="preserve">                 </w:t>
      </w:r>
    </w:p>
    <w:p w14:paraId="3AB81247">
      <w:pPr>
        <w:numPr>
          <w:ilvl w:val="0"/>
          <w:numId w:val="6"/>
        </w:numPr>
        <w:adjustRightInd w:val="0"/>
        <w:snapToGrid w:val="0"/>
        <w:spacing w:before="0" w:beforeLines="0" w:line="400" w:lineRule="exact"/>
        <w:ind w:left="-1" w:leftChars="0" w:firstLine="421" w:firstLineChars="0"/>
        <w:outlineLvl w:val="9"/>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rPr>
        <w:t>合同验收</w:t>
      </w:r>
    </w:p>
    <w:p w14:paraId="3F35A0A2">
      <w:pPr>
        <w:numPr>
          <w:ilvl w:val="0"/>
          <w:numId w:val="8"/>
        </w:numPr>
        <w:adjustRightInd w:val="0"/>
        <w:snapToGrid w:val="0"/>
        <w:spacing w:before="0" w:beforeLines="0" w:line="400" w:lineRule="exact"/>
        <w:ind w:firstLine="480" w:firstLineChars="200"/>
        <w:outlineLvl w:val="9"/>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验收组织方式：</w:t>
      </w: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bCs/>
          <w:color w:val="auto"/>
          <w:sz w:val="24"/>
          <w:szCs w:val="24"/>
          <w:highlight w:val="none"/>
        </w:rPr>
        <w:t xml:space="preserve">自行组织 </w:t>
      </w: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bCs/>
          <w:color w:val="auto"/>
          <w:sz w:val="24"/>
          <w:szCs w:val="24"/>
          <w:highlight w:val="none"/>
        </w:rPr>
        <w:t>委托第三方组织</w:t>
      </w:r>
    </w:p>
    <w:p w14:paraId="42F53462">
      <w:pPr>
        <w:numPr>
          <w:ilvl w:val="0"/>
          <w:numId w:val="0"/>
        </w:numPr>
        <w:adjustRightInd w:val="0"/>
        <w:snapToGrid w:val="0"/>
        <w:spacing w:before="0" w:beforeLines="0" w:line="400" w:lineRule="exact"/>
        <w:outlineLvl w:val="9"/>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lang w:val="en-US" w:eastAsia="zh-CN"/>
        </w:rPr>
        <w:t xml:space="preserve">         </w:t>
      </w:r>
      <w:r>
        <w:rPr>
          <w:rFonts w:hint="eastAsia" w:ascii="微软雅黑" w:hAnsi="微软雅黑" w:eastAsia="微软雅黑" w:cs="微软雅黑"/>
          <w:bCs/>
          <w:color w:val="auto"/>
          <w:sz w:val="24"/>
          <w:szCs w:val="24"/>
          <w:highlight w:val="none"/>
        </w:rPr>
        <w:t>验收主体：</w:t>
      </w:r>
      <w:r>
        <w:rPr>
          <w:rFonts w:hint="eastAsia" w:ascii="微软雅黑" w:hAnsi="微软雅黑" w:eastAsia="微软雅黑" w:cs="微软雅黑"/>
          <w:bCs/>
          <w:color w:val="auto"/>
          <w:sz w:val="24"/>
          <w:szCs w:val="24"/>
          <w:highlight w:val="none"/>
          <w:u w:val="single"/>
        </w:rPr>
        <w:t xml:space="preserve">                  </w:t>
      </w:r>
    </w:p>
    <w:p w14:paraId="0343057F">
      <w:pPr>
        <w:adjustRightInd w:val="0"/>
        <w:snapToGrid w:val="0"/>
        <w:spacing w:before="0" w:beforeLines="0" w:line="400" w:lineRule="exact"/>
        <w:ind w:firstLine="0" w:firstLineChars="0"/>
        <w:outlineLvl w:val="9"/>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lang w:val="en-US" w:eastAsia="zh-CN"/>
        </w:rPr>
        <w:t xml:space="preserve">        </w:t>
      </w:r>
      <w:r>
        <w:rPr>
          <w:rFonts w:hint="eastAsia" w:ascii="微软雅黑" w:hAnsi="微软雅黑" w:eastAsia="微软雅黑" w:cs="微软雅黑"/>
          <w:bCs/>
          <w:color w:val="auto"/>
          <w:sz w:val="24"/>
          <w:szCs w:val="24"/>
          <w:highlight w:val="none"/>
        </w:rPr>
        <w:t>是否邀请本项目的其他供应商</w:t>
      </w:r>
      <w:r>
        <w:rPr>
          <w:rFonts w:hint="eastAsia" w:ascii="微软雅黑" w:hAnsi="微软雅黑" w:eastAsia="微软雅黑" w:cs="微软雅黑"/>
          <w:bCs/>
          <w:color w:val="auto"/>
          <w:sz w:val="24"/>
          <w:szCs w:val="24"/>
          <w:highlight w:val="none"/>
          <w:lang w:eastAsia="zh-CN"/>
        </w:rPr>
        <w:t>参加验收</w:t>
      </w:r>
      <w:r>
        <w:rPr>
          <w:rFonts w:hint="eastAsia" w:ascii="微软雅黑" w:hAnsi="微软雅黑" w:eastAsia="微软雅黑" w:cs="微软雅黑"/>
          <w:bCs/>
          <w:color w:val="auto"/>
          <w:sz w:val="24"/>
          <w:szCs w:val="24"/>
          <w:highlight w:val="none"/>
        </w:rPr>
        <w:t>：</w:t>
      </w: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bCs/>
          <w:color w:val="auto"/>
          <w:sz w:val="24"/>
          <w:szCs w:val="24"/>
          <w:highlight w:val="none"/>
        </w:rPr>
        <w:t xml:space="preserve">是  </w:t>
      </w: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bCs/>
          <w:color w:val="auto"/>
          <w:sz w:val="24"/>
          <w:szCs w:val="24"/>
          <w:highlight w:val="none"/>
        </w:rPr>
        <w:t>否</w:t>
      </w:r>
    </w:p>
    <w:p w14:paraId="00F7073F">
      <w:pPr>
        <w:adjustRightInd w:val="0"/>
        <w:snapToGrid w:val="0"/>
        <w:spacing w:before="0" w:beforeLines="0" w:line="400" w:lineRule="exact"/>
        <w:ind w:firstLine="960" w:firstLineChars="400"/>
        <w:outlineLvl w:val="9"/>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是否邀请专家</w:t>
      </w:r>
      <w:r>
        <w:rPr>
          <w:rFonts w:hint="eastAsia" w:ascii="微软雅黑" w:hAnsi="微软雅黑" w:eastAsia="微软雅黑" w:cs="微软雅黑"/>
          <w:bCs/>
          <w:color w:val="auto"/>
          <w:sz w:val="24"/>
          <w:szCs w:val="24"/>
          <w:highlight w:val="none"/>
          <w:lang w:eastAsia="zh-CN"/>
        </w:rPr>
        <w:t>参加验收</w:t>
      </w:r>
      <w:r>
        <w:rPr>
          <w:rFonts w:hint="eastAsia" w:ascii="微软雅黑" w:hAnsi="微软雅黑" w:eastAsia="微软雅黑" w:cs="微软雅黑"/>
          <w:bCs/>
          <w:color w:val="auto"/>
          <w:sz w:val="24"/>
          <w:szCs w:val="24"/>
          <w:highlight w:val="none"/>
        </w:rPr>
        <w:t>：</w:t>
      </w: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bCs/>
          <w:color w:val="auto"/>
          <w:sz w:val="24"/>
          <w:szCs w:val="24"/>
          <w:highlight w:val="none"/>
        </w:rPr>
        <w:t xml:space="preserve">是  </w:t>
      </w: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bCs/>
          <w:color w:val="auto"/>
          <w:sz w:val="24"/>
          <w:szCs w:val="24"/>
          <w:highlight w:val="none"/>
        </w:rPr>
        <w:t>否</w:t>
      </w:r>
    </w:p>
    <w:p w14:paraId="2A2B2ADA">
      <w:pPr>
        <w:adjustRightInd w:val="0"/>
        <w:snapToGrid w:val="0"/>
        <w:spacing w:before="0" w:beforeLines="0" w:line="400" w:lineRule="exact"/>
        <w:ind w:firstLine="960" w:firstLineChars="400"/>
        <w:outlineLvl w:val="9"/>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是否邀请服务对象</w:t>
      </w:r>
      <w:r>
        <w:rPr>
          <w:rFonts w:hint="eastAsia" w:ascii="微软雅黑" w:hAnsi="微软雅黑" w:eastAsia="微软雅黑" w:cs="微软雅黑"/>
          <w:bCs/>
          <w:color w:val="auto"/>
          <w:sz w:val="24"/>
          <w:szCs w:val="24"/>
          <w:highlight w:val="none"/>
          <w:lang w:eastAsia="zh-CN"/>
        </w:rPr>
        <w:t>参加验收</w:t>
      </w:r>
      <w:r>
        <w:rPr>
          <w:rFonts w:hint="eastAsia" w:ascii="微软雅黑" w:hAnsi="微软雅黑" w:eastAsia="微软雅黑" w:cs="微软雅黑"/>
          <w:bCs/>
          <w:color w:val="auto"/>
          <w:sz w:val="24"/>
          <w:szCs w:val="24"/>
          <w:highlight w:val="none"/>
        </w:rPr>
        <w:t>：</w:t>
      </w: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bCs/>
          <w:color w:val="auto"/>
          <w:sz w:val="24"/>
          <w:szCs w:val="24"/>
          <w:highlight w:val="none"/>
        </w:rPr>
        <w:t xml:space="preserve">是  </w:t>
      </w: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bCs/>
          <w:color w:val="auto"/>
          <w:sz w:val="24"/>
          <w:szCs w:val="24"/>
          <w:highlight w:val="none"/>
        </w:rPr>
        <w:t>否</w:t>
      </w:r>
    </w:p>
    <w:p w14:paraId="0A826902">
      <w:pPr>
        <w:adjustRightInd w:val="0"/>
        <w:snapToGrid w:val="0"/>
        <w:spacing w:before="0" w:beforeLines="0" w:line="400" w:lineRule="exact"/>
        <w:ind w:firstLine="960" w:firstLineChars="400"/>
        <w:outlineLvl w:val="9"/>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是否邀请第三方检测机构</w:t>
      </w:r>
      <w:r>
        <w:rPr>
          <w:rFonts w:hint="eastAsia" w:ascii="微软雅黑" w:hAnsi="微软雅黑" w:eastAsia="微软雅黑" w:cs="微软雅黑"/>
          <w:bCs/>
          <w:color w:val="auto"/>
          <w:sz w:val="24"/>
          <w:szCs w:val="24"/>
          <w:highlight w:val="none"/>
          <w:lang w:eastAsia="zh-CN"/>
        </w:rPr>
        <w:t>参加验收</w:t>
      </w:r>
      <w:r>
        <w:rPr>
          <w:rFonts w:hint="eastAsia" w:ascii="微软雅黑" w:hAnsi="微软雅黑" w:eastAsia="微软雅黑" w:cs="微软雅黑"/>
          <w:bCs/>
          <w:color w:val="auto"/>
          <w:sz w:val="24"/>
          <w:szCs w:val="24"/>
          <w:highlight w:val="none"/>
        </w:rPr>
        <w:t>：</w:t>
      </w: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bCs/>
          <w:color w:val="auto"/>
          <w:sz w:val="24"/>
          <w:szCs w:val="24"/>
          <w:highlight w:val="none"/>
        </w:rPr>
        <w:t xml:space="preserve">是  </w:t>
      </w: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bCs/>
          <w:color w:val="auto"/>
          <w:sz w:val="24"/>
          <w:szCs w:val="24"/>
          <w:highlight w:val="none"/>
        </w:rPr>
        <w:t>否</w:t>
      </w:r>
    </w:p>
    <w:p w14:paraId="2D8F0498">
      <w:pPr>
        <w:adjustRightInd w:val="0"/>
        <w:snapToGrid w:val="0"/>
        <w:spacing w:before="0" w:beforeLines="0" w:line="400" w:lineRule="exact"/>
        <w:ind w:firstLine="960" w:firstLineChars="400"/>
        <w:outlineLvl w:val="9"/>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lang w:eastAsia="zh-CN"/>
        </w:rPr>
        <w:t>是否进行抽查检测：</w:t>
      </w: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bCs/>
          <w:color w:val="auto"/>
          <w:sz w:val="24"/>
          <w:szCs w:val="24"/>
          <w:highlight w:val="none"/>
        </w:rPr>
        <w:t>是</w:t>
      </w:r>
      <w:r>
        <w:rPr>
          <w:rFonts w:hint="eastAsia" w:ascii="微软雅黑" w:hAnsi="微软雅黑" w:eastAsia="微软雅黑" w:cs="微软雅黑"/>
          <w:bCs/>
          <w:color w:val="auto"/>
          <w:sz w:val="24"/>
          <w:szCs w:val="24"/>
          <w:highlight w:val="none"/>
          <w:lang w:eastAsia="zh-CN"/>
        </w:rPr>
        <w:t>，抽查比例：</w:t>
      </w:r>
      <w:r>
        <w:rPr>
          <w:rFonts w:hint="eastAsia" w:ascii="微软雅黑" w:hAnsi="微软雅黑" w:eastAsia="微软雅黑" w:cs="微软雅黑"/>
          <w:bCs/>
          <w:color w:val="auto"/>
          <w:sz w:val="24"/>
          <w:szCs w:val="24"/>
          <w:highlight w:val="none"/>
          <w:u w:val="single"/>
        </w:rPr>
        <w:t xml:space="preserve">   </w:t>
      </w:r>
      <w:r>
        <w:rPr>
          <w:rFonts w:hint="eastAsia" w:ascii="微软雅黑" w:hAnsi="微软雅黑" w:eastAsia="微软雅黑" w:cs="微软雅黑"/>
          <w:bCs/>
          <w:color w:val="auto"/>
          <w:sz w:val="24"/>
          <w:szCs w:val="24"/>
          <w:highlight w:val="none"/>
          <w:u w:val="single"/>
          <w:lang w:val="en-US" w:eastAsia="zh-CN"/>
        </w:rPr>
        <w:t xml:space="preserve">     </w:t>
      </w:r>
      <w:r>
        <w:rPr>
          <w:rFonts w:hint="eastAsia" w:ascii="微软雅黑" w:hAnsi="微软雅黑" w:eastAsia="微软雅黑" w:cs="微软雅黑"/>
          <w:bCs/>
          <w:color w:val="auto"/>
          <w:sz w:val="24"/>
          <w:szCs w:val="24"/>
          <w:highlight w:val="none"/>
        </w:rPr>
        <w:t xml:space="preserve"> </w:t>
      </w: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bCs/>
          <w:color w:val="auto"/>
          <w:sz w:val="24"/>
          <w:szCs w:val="24"/>
          <w:highlight w:val="none"/>
        </w:rPr>
        <w:t>否</w:t>
      </w:r>
    </w:p>
    <w:p w14:paraId="6141D0C4">
      <w:pPr>
        <w:adjustRightInd w:val="0"/>
        <w:snapToGrid w:val="0"/>
        <w:spacing w:before="0" w:beforeLines="0" w:line="400" w:lineRule="exact"/>
        <w:ind w:firstLine="960" w:firstLineChars="400"/>
        <w:outlineLvl w:val="9"/>
        <w:rPr>
          <w:rFonts w:hint="eastAsia" w:ascii="微软雅黑" w:hAnsi="微软雅黑" w:eastAsia="微软雅黑" w:cs="微软雅黑"/>
          <w:bCs/>
          <w:color w:val="auto"/>
          <w:sz w:val="24"/>
          <w:szCs w:val="24"/>
          <w:highlight w:val="none"/>
          <w:u w:val="single"/>
          <w:lang w:eastAsia="zh-CN"/>
        </w:rPr>
      </w:pPr>
      <w:r>
        <w:rPr>
          <w:rFonts w:hint="eastAsia" w:ascii="微软雅黑" w:hAnsi="微软雅黑" w:eastAsia="微软雅黑" w:cs="微软雅黑"/>
          <w:bCs/>
          <w:color w:val="auto"/>
          <w:sz w:val="24"/>
          <w:szCs w:val="24"/>
          <w:highlight w:val="none"/>
          <w:lang w:val="en-US" w:eastAsia="zh-CN"/>
        </w:rPr>
        <w:t>是否存在破坏性检测：</w:t>
      </w: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bCs/>
          <w:color w:val="auto"/>
          <w:sz w:val="24"/>
          <w:szCs w:val="24"/>
          <w:highlight w:val="none"/>
        </w:rPr>
        <w:t>是</w:t>
      </w:r>
      <w:r>
        <w:rPr>
          <w:rFonts w:hint="eastAsia" w:ascii="微软雅黑" w:hAnsi="微软雅黑" w:eastAsia="微软雅黑" w:cs="微软雅黑"/>
          <w:bCs/>
          <w:color w:val="auto"/>
          <w:sz w:val="24"/>
          <w:szCs w:val="24"/>
          <w:highlight w:val="none"/>
          <w:lang w:eastAsia="zh-CN"/>
        </w:rPr>
        <w:t>，</w:t>
      </w:r>
      <w:r>
        <w:rPr>
          <w:rFonts w:hint="eastAsia" w:ascii="微软雅黑" w:hAnsi="微软雅黑" w:eastAsia="微软雅黑" w:cs="微软雅黑"/>
          <w:bCs/>
          <w:color w:val="auto"/>
          <w:sz w:val="24"/>
          <w:szCs w:val="24"/>
          <w:highlight w:val="none"/>
          <w:u w:val="single"/>
          <w:lang w:eastAsia="zh-CN"/>
        </w:rPr>
        <w:t>（应明确对被破坏的检测产品的处理方式）</w:t>
      </w:r>
    </w:p>
    <w:p w14:paraId="6159E60E">
      <w:pPr>
        <w:adjustRightInd w:val="0"/>
        <w:snapToGrid w:val="0"/>
        <w:spacing w:before="0" w:beforeLines="0" w:line="400" w:lineRule="exact"/>
        <w:ind w:firstLine="960" w:firstLineChars="400"/>
        <w:outlineLvl w:val="9"/>
        <w:rPr>
          <w:rFonts w:hint="eastAsia" w:ascii="微软雅黑" w:hAnsi="微软雅黑" w:eastAsia="微软雅黑" w:cs="微软雅黑"/>
          <w:bCs/>
          <w:color w:val="auto"/>
          <w:sz w:val="24"/>
          <w:szCs w:val="24"/>
          <w:highlight w:val="none"/>
          <w:lang w:eastAsia="zh-CN"/>
        </w:rPr>
      </w:pPr>
      <w:r>
        <w:rPr>
          <w:rFonts w:hint="eastAsia" w:ascii="微软雅黑" w:hAnsi="微软雅黑" w:eastAsia="微软雅黑" w:cs="微软雅黑"/>
          <w:bCs/>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bCs/>
          <w:color w:val="auto"/>
          <w:sz w:val="24"/>
          <w:szCs w:val="24"/>
          <w:highlight w:val="none"/>
        </w:rPr>
        <w:t>否</w:t>
      </w:r>
    </w:p>
    <w:p w14:paraId="614D71F3">
      <w:pPr>
        <w:adjustRightInd w:val="0"/>
        <w:snapToGrid w:val="0"/>
        <w:spacing w:before="0" w:beforeLines="0" w:line="400" w:lineRule="exact"/>
        <w:ind w:firstLine="960" w:firstLineChars="400"/>
        <w:outlineLvl w:val="9"/>
        <w:rPr>
          <w:rFonts w:hint="eastAsia" w:ascii="微软雅黑" w:hAnsi="微软雅黑" w:eastAsia="微软雅黑" w:cs="微软雅黑"/>
          <w:bCs/>
          <w:color w:val="auto"/>
          <w:sz w:val="24"/>
          <w:szCs w:val="24"/>
          <w:highlight w:val="none"/>
          <w:u w:val="single"/>
        </w:rPr>
      </w:pPr>
      <w:r>
        <w:rPr>
          <w:rFonts w:hint="eastAsia" w:ascii="微软雅黑" w:hAnsi="微软雅黑" w:eastAsia="微软雅黑" w:cs="微软雅黑"/>
          <w:bCs/>
          <w:color w:val="auto"/>
          <w:sz w:val="24"/>
          <w:szCs w:val="24"/>
          <w:highlight w:val="none"/>
        </w:rPr>
        <w:t>验收组织的其他事项：</w:t>
      </w:r>
      <w:r>
        <w:rPr>
          <w:rFonts w:hint="eastAsia" w:ascii="微软雅黑" w:hAnsi="微软雅黑" w:eastAsia="微软雅黑" w:cs="微软雅黑"/>
          <w:bCs/>
          <w:color w:val="auto"/>
          <w:sz w:val="24"/>
          <w:szCs w:val="24"/>
          <w:highlight w:val="none"/>
          <w:u w:val="single"/>
        </w:rPr>
        <w:t xml:space="preserve">                </w:t>
      </w:r>
    </w:p>
    <w:p w14:paraId="21028159">
      <w:pPr>
        <w:adjustRightInd w:val="0"/>
        <w:snapToGrid w:val="0"/>
        <w:spacing w:before="0" w:beforeLines="0" w:line="400" w:lineRule="exact"/>
        <w:ind w:firstLine="480" w:firstLineChars="200"/>
        <w:outlineLvl w:val="9"/>
        <w:rPr>
          <w:rFonts w:hint="eastAsia" w:ascii="微软雅黑" w:hAnsi="微软雅黑" w:eastAsia="微软雅黑" w:cs="微软雅黑"/>
          <w:bCs/>
          <w:color w:val="auto"/>
          <w:sz w:val="24"/>
          <w:szCs w:val="24"/>
          <w:highlight w:val="none"/>
          <w:u w:val="single"/>
        </w:rPr>
      </w:pPr>
      <w:r>
        <w:rPr>
          <w:rFonts w:hint="eastAsia" w:ascii="微软雅黑" w:hAnsi="微软雅黑" w:eastAsia="微软雅黑" w:cs="微软雅黑"/>
          <w:bCs/>
          <w:color w:val="auto"/>
          <w:sz w:val="24"/>
          <w:szCs w:val="24"/>
          <w:highlight w:val="none"/>
        </w:rPr>
        <w:t>（2）履约验收时间：</w:t>
      </w:r>
      <w:r>
        <w:rPr>
          <w:rFonts w:hint="eastAsia" w:ascii="微软雅黑" w:hAnsi="微软雅黑" w:eastAsia="微软雅黑" w:cs="微软雅黑"/>
          <w:bCs/>
          <w:color w:val="auto"/>
          <w:sz w:val="24"/>
          <w:szCs w:val="24"/>
          <w:highlight w:val="none"/>
          <w:u w:val="single"/>
        </w:rPr>
        <w:t>（计划于何时验收/供应商提出验收申请之日起   日内组织验收）</w:t>
      </w:r>
      <w:r>
        <w:rPr>
          <w:rFonts w:hint="eastAsia" w:ascii="微软雅黑" w:hAnsi="微软雅黑" w:eastAsia="微软雅黑" w:cs="微软雅黑"/>
          <w:bCs/>
          <w:color w:val="auto"/>
          <w:sz w:val="24"/>
          <w:szCs w:val="24"/>
          <w:highlight w:val="none"/>
          <w:u w:val="single"/>
          <w:lang w:val="en-US" w:eastAsia="zh-CN"/>
        </w:rPr>
        <w:t xml:space="preserve"> </w:t>
      </w:r>
    </w:p>
    <w:p w14:paraId="24CDC19F">
      <w:pPr>
        <w:adjustRightInd w:val="0"/>
        <w:snapToGrid w:val="0"/>
        <w:spacing w:before="0" w:beforeLines="0" w:line="400" w:lineRule="exact"/>
        <w:ind w:firstLine="480" w:firstLineChars="200"/>
        <w:outlineLvl w:val="9"/>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（3）履约验收方式：</w:t>
      </w: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bCs/>
          <w:color w:val="auto"/>
          <w:sz w:val="24"/>
          <w:szCs w:val="24"/>
          <w:highlight w:val="none"/>
        </w:rPr>
        <w:t xml:space="preserve">一次性验收         </w:t>
      </w:r>
    </w:p>
    <w:p w14:paraId="70E6CC92">
      <w:pPr>
        <w:adjustRightInd w:val="0"/>
        <w:snapToGrid w:val="0"/>
        <w:spacing w:before="0" w:beforeLines="0" w:line="400" w:lineRule="exact"/>
        <w:ind w:firstLine="0" w:firstLineChars="0"/>
        <w:outlineLvl w:val="9"/>
        <w:rPr>
          <w:rFonts w:hint="eastAsia" w:ascii="微软雅黑" w:hAnsi="微软雅黑" w:eastAsia="微软雅黑" w:cs="微软雅黑"/>
          <w:bCs/>
          <w:color w:val="auto"/>
          <w:sz w:val="24"/>
          <w:szCs w:val="24"/>
          <w:highlight w:val="none"/>
          <w:lang w:val="en-US" w:eastAsia="zh-CN"/>
        </w:rPr>
      </w:pPr>
      <w:r>
        <w:rPr>
          <w:rFonts w:hint="eastAsia" w:ascii="微软雅黑" w:hAnsi="微软雅黑" w:eastAsia="微软雅黑" w:cs="微软雅黑"/>
          <w:bCs/>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bCs/>
          <w:color w:val="auto"/>
          <w:sz w:val="24"/>
          <w:szCs w:val="24"/>
          <w:highlight w:val="none"/>
        </w:rPr>
        <w:t>分期/分项验收</w:t>
      </w:r>
      <w:r>
        <w:rPr>
          <w:rFonts w:hint="eastAsia" w:ascii="微软雅黑" w:hAnsi="微软雅黑" w:eastAsia="微软雅黑" w:cs="微软雅黑"/>
          <w:bCs/>
          <w:color w:val="auto"/>
          <w:sz w:val="24"/>
          <w:szCs w:val="24"/>
          <w:highlight w:val="none"/>
          <w:lang w:eastAsia="zh-CN"/>
        </w:rPr>
        <w:t>：</w:t>
      </w:r>
      <w:r>
        <w:rPr>
          <w:rFonts w:hint="eastAsia" w:ascii="微软雅黑" w:hAnsi="微软雅黑" w:eastAsia="微软雅黑" w:cs="微软雅黑"/>
          <w:bCs/>
          <w:color w:val="auto"/>
          <w:sz w:val="24"/>
          <w:szCs w:val="24"/>
          <w:highlight w:val="none"/>
          <w:u w:val="single"/>
        </w:rPr>
        <w:t xml:space="preserve"> </w:t>
      </w:r>
      <w:r>
        <w:rPr>
          <w:rFonts w:hint="eastAsia" w:ascii="微软雅黑" w:hAnsi="微软雅黑" w:eastAsia="微软雅黑" w:cs="微软雅黑"/>
          <w:bCs/>
          <w:color w:val="auto"/>
          <w:sz w:val="24"/>
          <w:szCs w:val="24"/>
          <w:highlight w:val="none"/>
          <w:u w:val="single"/>
          <w:lang w:eastAsia="zh-CN"/>
        </w:rPr>
        <w:t>（应明确分期</w:t>
      </w:r>
      <w:r>
        <w:rPr>
          <w:rFonts w:hint="eastAsia" w:ascii="微软雅黑" w:hAnsi="微软雅黑" w:eastAsia="微软雅黑" w:cs="微软雅黑"/>
          <w:bCs/>
          <w:color w:val="auto"/>
          <w:sz w:val="24"/>
          <w:szCs w:val="24"/>
          <w:highlight w:val="none"/>
          <w:u w:val="single"/>
          <w:lang w:val="en" w:eastAsia="zh-CN"/>
        </w:rPr>
        <w:t>/分项验收的工作安排</w:t>
      </w:r>
      <w:r>
        <w:rPr>
          <w:rFonts w:hint="eastAsia" w:ascii="微软雅黑" w:hAnsi="微软雅黑" w:eastAsia="微软雅黑" w:cs="微软雅黑"/>
          <w:bCs/>
          <w:color w:val="auto"/>
          <w:sz w:val="24"/>
          <w:szCs w:val="24"/>
          <w:highlight w:val="none"/>
          <w:u w:val="single"/>
          <w:lang w:eastAsia="zh-CN"/>
        </w:rPr>
        <w:t>）</w:t>
      </w:r>
      <w:r>
        <w:rPr>
          <w:rFonts w:hint="eastAsia" w:ascii="微软雅黑" w:hAnsi="微软雅黑" w:eastAsia="微软雅黑" w:cs="微软雅黑"/>
          <w:bCs/>
          <w:color w:val="auto"/>
          <w:sz w:val="24"/>
          <w:szCs w:val="24"/>
          <w:highlight w:val="none"/>
          <w:u w:val="single"/>
        </w:rPr>
        <w:t xml:space="preserve"> </w:t>
      </w:r>
      <w:r>
        <w:rPr>
          <w:rFonts w:hint="eastAsia" w:ascii="微软雅黑" w:hAnsi="微软雅黑" w:eastAsia="微软雅黑" w:cs="微软雅黑"/>
          <w:bCs/>
          <w:color w:val="auto"/>
          <w:sz w:val="24"/>
          <w:szCs w:val="24"/>
          <w:highlight w:val="none"/>
          <w:u w:val="single"/>
          <w:lang w:val="en-US" w:eastAsia="zh-CN"/>
        </w:rPr>
        <w:t xml:space="preserve"> </w:t>
      </w:r>
    </w:p>
    <w:p w14:paraId="22EA67FC">
      <w:pPr>
        <w:numPr>
          <w:ilvl w:val="0"/>
          <w:numId w:val="9"/>
        </w:numPr>
        <w:adjustRightInd w:val="0"/>
        <w:snapToGrid w:val="0"/>
        <w:spacing w:before="0" w:beforeLines="0" w:line="400" w:lineRule="exact"/>
        <w:ind w:firstLine="480" w:firstLineChars="200"/>
        <w:outlineLvl w:val="9"/>
        <w:rPr>
          <w:rFonts w:hint="eastAsia" w:ascii="微软雅黑" w:hAnsi="微软雅黑" w:eastAsia="微软雅黑" w:cs="微软雅黑"/>
          <w:bCs/>
          <w:color w:val="auto"/>
          <w:sz w:val="24"/>
          <w:szCs w:val="24"/>
          <w:highlight w:val="none"/>
          <w:u w:val="single"/>
        </w:rPr>
      </w:pPr>
      <w:r>
        <w:rPr>
          <w:rFonts w:hint="eastAsia" w:ascii="微软雅黑" w:hAnsi="微软雅黑" w:eastAsia="微软雅黑" w:cs="微软雅黑"/>
          <w:bCs/>
          <w:color w:val="auto"/>
          <w:sz w:val="24"/>
          <w:szCs w:val="24"/>
          <w:highlight w:val="none"/>
        </w:rPr>
        <w:t>履约验收程序：</w:t>
      </w:r>
      <w:r>
        <w:rPr>
          <w:rFonts w:hint="eastAsia" w:ascii="微软雅黑" w:hAnsi="微软雅黑" w:eastAsia="微软雅黑" w:cs="微软雅黑"/>
          <w:bCs/>
          <w:color w:val="auto"/>
          <w:sz w:val="24"/>
          <w:szCs w:val="24"/>
          <w:highlight w:val="none"/>
          <w:u w:val="single"/>
        </w:rPr>
        <w:t xml:space="preserve">乙方应根据本合同及组成文件的要求，在满足国家、地区及行业要求的前提下，严格按照甲方提出的技术参数和标准要求完成供货及其他基于本合同项下的义务； </w:t>
      </w:r>
    </w:p>
    <w:p w14:paraId="1BDCC5FF">
      <w:pPr>
        <w:numPr>
          <w:ilvl w:val="0"/>
          <w:numId w:val="9"/>
        </w:numPr>
        <w:adjustRightInd w:val="0"/>
        <w:snapToGrid w:val="0"/>
        <w:spacing w:before="0" w:beforeLines="0" w:line="400" w:lineRule="exact"/>
        <w:ind w:firstLine="480" w:firstLineChars="200"/>
        <w:outlineLvl w:val="9"/>
        <w:rPr>
          <w:rFonts w:hint="eastAsia" w:ascii="微软雅黑" w:hAnsi="微软雅黑" w:eastAsia="微软雅黑" w:cs="微软雅黑"/>
          <w:bCs/>
          <w:color w:val="auto"/>
          <w:sz w:val="24"/>
          <w:szCs w:val="24"/>
          <w:highlight w:val="none"/>
          <w:u w:val="single"/>
        </w:rPr>
      </w:pPr>
      <w:r>
        <w:rPr>
          <w:rFonts w:hint="eastAsia" w:ascii="微软雅黑" w:hAnsi="微软雅黑" w:eastAsia="微软雅黑" w:cs="微软雅黑"/>
          <w:bCs/>
          <w:color w:val="auto"/>
          <w:sz w:val="24"/>
          <w:szCs w:val="24"/>
          <w:highlight w:val="none"/>
          <w:u w:val="none"/>
          <w:lang w:val="en-US" w:eastAsia="zh-CN"/>
        </w:rPr>
        <w:t>履行要求</w:t>
      </w:r>
      <w:r>
        <w:rPr>
          <w:rFonts w:hint="eastAsia" w:ascii="微软雅黑" w:hAnsi="微软雅黑" w:eastAsia="微软雅黑" w:cs="微软雅黑"/>
          <w:bCs/>
          <w:color w:val="auto"/>
          <w:sz w:val="24"/>
          <w:szCs w:val="24"/>
          <w:highlight w:val="none"/>
          <w:u w:val="single"/>
        </w:rPr>
        <w:t>①每批次制作货物的尺寸及使用材质与甲方提供和要求的技术参数一致；②乙方设专人（即项目总负责人）负责对接此项工作，做到随时联系随时有回应；③乙方需于动工前24小时提交小样，经甲方书面确认后方可制作。</w:t>
      </w:r>
    </w:p>
    <w:p w14:paraId="01252063">
      <w:pPr>
        <w:adjustRightInd w:val="0"/>
        <w:snapToGrid w:val="0"/>
        <w:spacing w:before="0" w:beforeLines="0" w:line="400" w:lineRule="exact"/>
        <w:ind w:firstLine="480" w:firstLineChars="200"/>
        <w:outlineLvl w:val="9"/>
        <w:rPr>
          <w:rFonts w:hint="eastAsia" w:ascii="微软雅黑" w:hAnsi="微软雅黑" w:eastAsia="微软雅黑" w:cs="微软雅黑"/>
          <w:bCs/>
          <w:color w:val="auto"/>
          <w:sz w:val="24"/>
          <w:szCs w:val="24"/>
          <w:highlight w:val="none"/>
          <w:u w:val="single"/>
        </w:rPr>
      </w:pPr>
      <w:r>
        <w:rPr>
          <w:rFonts w:hint="eastAsia" w:ascii="微软雅黑" w:hAnsi="微软雅黑" w:eastAsia="微软雅黑" w:cs="微软雅黑"/>
          <w:bCs/>
          <w:color w:val="auto"/>
          <w:sz w:val="24"/>
          <w:szCs w:val="24"/>
          <w:highlight w:val="none"/>
        </w:rPr>
        <w:t>（</w:t>
      </w:r>
      <w:r>
        <w:rPr>
          <w:rFonts w:hint="eastAsia" w:ascii="微软雅黑" w:hAnsi="微软雅黑" w:eastAsia="微软雅黑" w:cs="微软雅黑"/>
          <w:bCs/>
          <w:color w:val="auto"/>
          <w:sz w:val="24"/>
          <w:szCs w:val="24"/>
          <w:highlight w:val="none"/>
          <w:lang w:val="en-US" w:eastAsia="zh-CN"/>
        </w:rPr>
        <w:t>6</w:t>
      </w:r>
      <w:r>
        <w:rPr>
          <w:rFonts w:hint="eastAsia" w:ascii="微软雅黑" w:hAnsi="微软雅黑" w:eastAsia="微软雅黑" w:cs="微软雅黑"/>
          <w:bCs/>
          <w:color w:val="auto"/>
          <w:sz w:val="24"/>
          <w:szCs w:val="24"/>
          <w:highlight w:val="none"/>
        </w:rPr>
        <w:t>）履约验收的内容：</w:t>
      </w:r>
      <w:r>
        <w:rPr>
          <w:rFonts w:hint="eastAsia" w:ascii="微软雅黑" w:hAnsi="微软雅黑" w:eastAsia="微软雅黑" w:cs="微软雅黑"/>
          <w:bCs/>
          <w:color w:val="auto"/>
          <w:sz w:val="24"/>
          <w:szCs w:val="24"/>
          <w:highlight w:val="none"/>
          <w:u w:val="single"/>
        </w:rPr>
        <w:t xml:space="preserve"> </w:t>
      </w:r>
      <w:r>
        <w:rPr>
          <w:rFonts w:hint="eastAsia" w:ascii="微软雅黑" w:hAnsi="微软雅黑" w:eastAsia="微软雅黑" w:cs="微软雅黑"/>
          <w:bCs/>
          <w:color w:val="auto"/>
          <w:sz w:val="24"/>
          <w:szCs w:val="24"/>
          <w:highlight w:val="none"/>
          <w:u w:val="single"/>
          <w:lang w:eastAsia="zh-CN"/>
        </w:rPr>
        <w:t>（应当包括每一项技术和商务要求的履约情况，特别是落实政府采购扶持中小企业，支持绿色发展和乡村振兴等政策情况）</w:t>
      </w:r>
      <w:r>
        <w:rPr>
          <w:rFonts w:hint="eastAsia" w:ascii="微软雅黑" w:hAnsi="微软雅黑" w:eastAsia="微软雅黑" w:cs="微软雅黑"/>
          <w:bCs/>
          <w:color w:val="auto"/>
          <w:sz w:val="24"/>
          <w:szCs w:val="24"/>
          <w:highlight w:val="none"/>
          <w:u w:val="single"/>
        </w:rPr>
        <w:t xml:space="preserve">                                      </w:t>
      </w:r>
    </w:p>
    <w:p w14:paraId="545C2150">
      <w:pPr>
        <w:adjustRightInd w:val="0"/>
        <w:snapToGrid w:val="0"/>
        <w:spacing w:before="0" w:beforeLines="0" w:line="400" w:lineRule="exact"/>
        <w:ind w:firstLine="480" w:firstLineChars="200"/>
        <w:outlineLvl w:val="9"/>
        <w:rPr>
          <w:rFonts w:hint="eastAsia" w:ascii="微软雅黑" w:hAnsi="微软雅黑" w:eastAsia="微软雅黑" w:cs="微软雅黑"/>
          <w:bCs/>
          <w:color w:val="auto"/>
          <w:sz w:val="24"/>
          <w:szCs w:val="24"/>
          <w:highlight w:val="none"/>
          <w:u w:val="single"/>
        </w:rPr>
      </w:pPr>
      <w:r>
        <w:rPr>
          <w:rFonts w:hint="eastAsia" w:ascii="微软雅黑" w:hAnsi="微软雅黑" w:eastAsia="微软雅黑" w:cs="微软雅黑"/>
          <w:bCs/>
          <w:color w:val="auto"/>
          <w:sz w:val="24"/>
          <w:szCs w:val="24"/>
          <w:highlight w:val="none"/>
        </w:rPr>
        <w:t>（</w:t>
      </w:r>
      <w:r>
        <w:rPr>
          <w:rFonts w:hint="eastAsia" w:ascii="微软雅黑" w:hAnsi="微软雅黑" w:eastAsia="微软雅黑" w:cs="微软雅黑"/>
          <w:bCs/>
          <w:color w:val="auto"/>
          <w:sz w:val="24"/>
          <w:szCs w:val="24"/>
          <w:highlight w:val="none"/>
          <w:lang w:val="en-US" w:eastAsia="zh-CN"/>
        </w:rPr>
        <w:t>7</w:t>
      </w:r>
      <w:r>
        <w:rPr>
          <w:rFonts w:hint="eastAsia" w:ascii="微软雅黑" w:hAnsi="微软雅黑" w:eastAsia="微软雅黑" w:cs="微软雅黑"/>
          <w:bCs/>
          <w:color w:val="auto"/>
          <w:sz w:val="24"/>
          <w:szCs w:val="24"/>
          <w:highlight w:val="none"/>
        </w:rPr>
        <w:t>）履约验收标准：</w:t>
      </w:r>
      <w:r>
        <w:rPr>
          <w:rFonts w:hint="eastAsia" w:ascii="微软雅黑" w:hAnsi="微软雅黑" w:eastAsia="微软雅黑" w:cs="微软雅黑"/>
          <w:bCs/>
          <w:color w:val="auto"/>
          <w:sz w:val="24"/>
          <w:szCs w:val="24"/>
          <w:highlight w:val="none"/>
          <w:u w:val="single"/>
        </w:rPr>
        <w:t xml:space="preserve">                                         </w:t>
      </w:r>
    </w:p>
    <w:p w14:paraId="7F5FFFCE">
      <w:pPr>
        <w:pStyle w:val="117"/>
        <w:spacing w:beforeLines="0"/>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bCs/>
          <w:color w:val="auto"/>
          <w:sz w:val="24"/>
          <w:szCs w:val="24"/>
          <w:highlight w:val="none"/>
          <w:u w:val="none"/>
          <w:lang w:eastAsia="zh-CN"/>
        </w:rPr>
        <w:t>（</w:t>
      </w:r>
      <w:r>
        <w:rPr>
          <w:rFonts w:hint="eastAsia" w:ascii="微软雅黑" w:hAnsi="微软雅黑" w:eastAsia="微软雅黑" w:cs="微软雅黑"/>
          <w:bCs/>
          <w:color w:val="auto"/>
          <w:sz w:val="24"/>
          <w:szCs w:val="24"/>
          <w:highlight w:val="none"/>
          <w:u w:val="none"/>
          <w:lang w:val="en-US" w:eastAsia="zh-CN"/>
        </w:rPr>
        <w:t>8</w:t>
      </w:r>
      <w:r>
        <w:rPr>
          <w:rFonts w:hint="eastAsia" w:ascii="微软雅黑" w:hAnsi="微软雅黑" w:eastAsia="微软雅黑" w:cs="微软雅黑"/>
          <w:bCs/>
          <w:color w:val="auto"/>
          <w:sz w:val="24"/>
          <w:szCs w:val="24"/>
          <w:highlight w:val="none"/>
          <w:u w:val="none"/>
          <w:lang w:eastAsia="zh-CN"/>
        </w:rPr>
        <w:t>）是否以采购活动中供应商提供的样品作为参考：</w:t>
      </w: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bCs/>
          <w:color w:val="auto"/>
          <w:sz w:val="24"/>
          <w:szCs w:val="24"/>
          <w:highlight w:val="none"/>
        </w:rPr>
        <w:t xml:space="preserve">是  </w:t>
      </w: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bCs/>
          <w:color w:val="auto"/>
          <w:sz w:val="24"/>
          <w:szCs w:val="24"/>
          <w:highlight w:val="none"/>
        </w:rPr>
        <w:t>否</w:t>
      </w:r>
    </w:p>
    <w:p w14:paraId="613A7607">
      <w:pPr>
        <w:adjustRightInd w:val="0"/>
        <w:snapToGrid w:val="0"/>
        <w:spacing w:before="0" w:beforeLines="0" w:line="400" w:lineRule="exact"/>
        <w:ind w:firstLine="480" w:firstLineChars="200"/>
        <w:outlineLvl w:val="9"/>
        <w:rPr>
          <w:rFonts w:hint="eastAsia" w:ascii="微软雅黑" w:hAnsi="微软雅黑" w:eastAsia="微软雅黑" w:cs="微软雅黑"/>
          <w:bCs/>
          <w:color w:val="auto"/>
          <w:sz w:val="24"/>
          <w:szCs w:val="24"/>
          <w:highlight w:val="none"/>
          <w:u w:val="single"/>
          <w:lang w:eastAsia="zh-CN"/>
        </w:rPr>
      </w:pPr>
      <w:r>
        <w:rPr>
          <w:rFonts w:hint="eastAsia" w:ascii="微软雅黑" w:hAnsi="微软雅黑" w:eastAsia="微软雅黑" w:cs="微软雅黑"/>
          <w:bCs/>
          <w:color w:val="auto"/>
          <w:sz w:val="24"/>
          <w:szCs w:val="24"/>
          <w:highlight w:val="none"/>
        </w:rPr>
        <w:t>（</w:t>
      </w:r>
      <w:r>
        <w:rPr>
          <w:rFonts w:hint="eastAsia" w:ascii="微软雅黑" w:hAnsi="微软雅黑" w:eastAsia="微软雅黑" w:cs="微软雅黑"/>
          <w:bCs/>
          <w:color w:val="auto"/>
          <w:sz w:val="24"/>
          <w:szCs w:val="24"/>
          <w:highlight w:val="none"/>
          <w:lang w:val="en-US" w:eastAsia="zh-CN"/>
        </w:rPr>
        <w:t>9</w:t>
      </w:r>
      <w:r>
        <w:rPr>
          <w:rFonts w:hint="eastAsia" w:ascii="微软雅黑" w:hAnsi="微软雅黑" w:eastAsia="微软雅黑" w:cs="微软雅黑"/>
          <w:bCs/>
          <w:color w:val="auto"/>
          <w:sz w:val="24"/>
          <w:szCs w:val="24"/>
          <w:highlight w:val="none"/>
        </w:rPr>
        <w:t>）履约验收其他事项：</w:t>
      </w:r>
      <w:r>
        <w:rPr>
          <w:rFonts w:hint="eastAsia" w:ascii="微软雅黑" w:hAnsi="微软雅黑" w:eastAsia="微软雅黑" w:cs="微软雅黑"/>
          <w:bCs/>
          <w:color w:val="auto"/>
          <w:sz w:val="24"/>
          <w:szCs w:val="24"/>
          <w:highlight w:val="none"/>
          <w:u w:val="single"/>
        </w:rPr>
        <w:t>乙方交货时，应同时提供加盖公章的《随货同行单》等单据材料，确保核查、签验工作的顺利进行。货到甲方指定点后，由甲乙双方共同对全部货物的外包装、数量、规格、外观等按照招标文件、甲方及本合同要求进行初步验收</w:t>
      </w:r>
      <w:r>
        <w:rPr>
          <w:rFonts w:hint="eastAsia" w:ascii="微软雅黑" w:hAnsi="微软雅黑" w:eastAsia="微软雅黑" w:cs="微软雅黑"/>
          <w:bCs/>
          <w:color w:val="auto"/>
          <w:sz w:val="24"/>
          <w:szCs w:val="24"/>
          <w:highlight w:val="none"/>
          <w:u w:val="single"/>
          <w:lang w:eastAsia="zh-CN"/>
        </w:rPr>
        <w:t>，如乙方未到现场，甲方将不予收货或对相关材料的质量进行验收，验收结果以甲方出具的验收报告为准。所产生的一切费用及后果由乙方承担。同时乙方明确初步验收结果只代表着对无需安装产品、材料的数量和外表面验收结果，需安装的产品只有经甲方最终验收通过方视为甲方对乙方所供货物质量的认可。当出现损坏、数量不齐全等问题时，乙方负责解决。</w:t>
      </w:r>
    </w:p>
    <w:p w14:paraId="038C8CD8">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u w:val="none"/>
          <w:lang w:val="en-US" w:eastAsia="zh-CN"/>
        </w:rPr>
      </w:pPr>
      <w:r>
        <w:rPr>
          <w:rFonts w:hint="eastAsia" w:ascii="微软雅黑" w:hAnsi="微软雅黑" w:eastAsia="微软雅黑" w:cs="微软雅黑"/>
          <w:color w:val="auto"/>
          <w:sz w:val="24"/>
          <w:szCs w:val="24"/>
          <w:highlight w:val="none"/>
          <w:u w:val="none"/>
          <w:lang w:val="en-US" w:eastAsia="zh-CN"/>
        </w:rPr>
        <w:t>①初步验收：甲方对交付及安装货物的货物标识、品牌型号、随附资料、货物数量及包装等进行确认，并在合同货物到货（无需安装的货物）或安装完成后达到预定可使用状态（需安装的货物）时进行初步验收并书面签收。初步验收不合格的，甲方可当场拒绝收货，并不因此延长收货期限。甲方拒绝接收货物的，由此造成的一切不利后果均由乙方承担。</w:t>
      </w:r>
    </w:p>
    <w:p w14:paraId="425B304F">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u w:val="none"/>
          <w:lang w:val="en-US" w:eastAsia="zh-CN"/>
        </w:rPr>
      </w:pPr>
      <w:r>
        <w:rPr>
          <w:rFonts w:hint="eastAsia" w:ascii="微软雅黑" w:hAnsi="微软雅黑" w:eastAsia="微软雅黑" w:cs="微软雅黑"/>
          <w:color w:val="auto"/>
          <w:sz w:val="24"/>
          <w:szCs w:val="24"/>
          <w:highlight w:val="none"/>
          <w:u w:val="none"/>
          <w:lang w:val="en-US" w:eastAsia="zh-CN"/>
        </w:rPr>
        <w:t>②最终验收：货物安装完成后达到预定可使用状态后进入60日的试用期，乙方保障甲方在此期间连续稳定运转，试用期满后两个月内进行最终验收，验收应在甲乙双方共同参加下进行，甲方无异议且出具最终验收合格证明文件，则视为验收合格。试用期内甲方提出异议的，乙方应当在接到异议通知后24小时内完成完成相关补救措施，逾期未完成的则试用期限相应顺延。试用期间经乙方补救无效后，乙方需在甲方要求期限内更换全新同一品牌型号材料，材料经更换后试用期重新计算。</w:t>
      </w:r>
    </w:p>
    <w:p w14:paraId="6EEF5168">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u w:val="none"/>
          <w:lang w:val="en-US" w:eastAsia="zh-CN"/>
        </w:rPr>
      </w:pPr>
      <w:r>
        <w:rPr>
          <w:rFonts w:hint="eastAsia" w:ascii="微软雅黑" w:hAnsi="微软雅黑" w:eastAsia="微软雅黑" w:cs="微软雅黑"/>
          <w:bCs/>
          <w:color w:val="auto"/>
          <w:sz w:val="24"/>
          <w:szCs w:val="24"/>
          <w:highlight w:val="none"/>
        </w:rPr>
        <w:t>（</w:t>
      </w:r>
      <w:r>
        <w:rPr>
          <w:rFonts w:hint="eastAsia" w:ascii="微软雅黑" w:hAnsi="微软雅黑" w:eastAsia="微软雅黑" w:cs="微软雅黑"/>
          <w:bCs/>
          <w:color w:val="auto"/>
          <w:sz w:val="24"/>
          <w:szCs w:val="24"/>
          <w:highlight w:val="none"/>
          <w:lang w:val="en-US" w:eastAsia="zh-CN"/>
        </w:rPr>
        <w:t>10</w:t>
      </w:r>
      <w:r>
        <w:rPr>
          <w:rFonts w:hint="eastAsia" w:ascii="微软雅黑" w:hAnsi="微软雅黑" w:eastAsia="微软雅黑" w:cs="微软雅黑"/>
          <w:bCs/>
          <w:color w:val="auto"/>
          <w:sz w:val="24"/>
          <w:szCs w:val="24"/>
          <w:highlight w:val="none"/>
        </w:rPr>
        <w:t>）</w:t>
      </w:r>
      <w:r>
        <w:rPr>
          <w:rFonts w:hint="eastAsia" w:ascii="微软雅黑" w:hAnsi="微软雅黑" w:eastAsia="微软雅黑" w:cs="微软雅黑"/>
          <w:color w:val="auto"/>
          <w:sz w:val="24"/>
          <w:szCs w:val="24"/>
          <w:highlight w:val="none"/>
          <w:u w:val="none"/>
          <w:lang w:val="en-US" w:eastAsia="zh-CN"/>
        </w:rPr>
        <w:t>验收时如甲方发现乙方所供货物或履行的合同义务不符合本合同规定，甲方应做出详尽的现场记录，或由甲乙双方签署备忘录，用作进行相关补救措施或寻求相关权利救济的有效证据。甲方对乙方补救措施的实施及时限具有决定权，由此产生的有关费用及损失由乙方承担，补救措施实施完毕后，重新按照相关要求组织验收。</w:t>
      </w:r>
    </w:p>
    <w:p w14:paraId="5B8EF6EA">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u w:val="none"/>
          <w:lang w:val="en-US" w:eastAsia="zh-CN"/>
        </w:rPr>
      </w:pPr>
      <w:r>
        <w:rPr>
          <w:rFonts w:hint="eastAsia" w:ascii="微软雅黑" w:hAnsi="微软雅黑" w:eastAsia="微软雅黑" w:cs="微软雅黑"/>
          <w:bCs/>
          <w:color w:val="auto"/>
          <w:sz w:val="24"/>
          <w:szCs w:val="24"/>
          <w:highlight w:val="none"/>
        </w:rPr>
        <w:t>（</w:t>
      </w:r>
      <w:r>
        <w:rPr>
          <w:rFonts w:hint="eastAsia" w:ascii="微软雅黑" w:hAnsi="微软雅黑" w:eastAsia="微软雅黑" w:cs="微软雅黑"/>
          <w:bCs/>
          <w:color w:val="auto"/>
          <w:sz w:val="24"/>
          <w:szCs w:val="24"/>
          <w:highlight w:val="none"/>
          <w:lang w:val="en-US" w:eastAsia="zh-CN"/>
        </w:rPr>
        <w:t>11</w:t>
      </w:r>
      <w:r>
        <w:rPr>
          <w:rFonts w:hint="eastAsia" w:ascii="微软雅黑" w:hAnsi="微软雅黑" w:eastAsia="微软雅黑" w:cs="微软雅黑"/>
          <w:bCs/>
          <w:color w:val="auto"/>
          <w:sz w:val="24"/>
          <w:szCs w:val="24"/>
          <w:highlight w:val="none"/>
        </w:rPr>
        <w:t>）</w:t>
      </w:r>
      <w:r>
        <w:rPr>
          <w:rFonts w:hint="eastAsia" w:ascii="微软雅黑" w:hAnsi="微软雅黑" w:eastAsia="微软雅黑" w:cs="微软雅黑"/>
          <w:color w:val="auto"/>
          <w:sz w:val="24"/>
          <w:szCs w:val="24"/>
          <w:highlight w:val="none"/>
          <w:u w:val="none"/>
          <w:lang w:val="en-US" w:eastAsia="zh-CN"/>
        </w:rPr>
        <w:t>如果合同所涉非工程类的产品或材料在运输和安装过程中因事故造成货物短缺、损坏，乙方应于事故发生后3日内完成换装，换货的相关费用由乙方承担。</w:t>
      </w:r>
    </w:p>
    <w:p w14:paraId="78FE06A9">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u w:val="none"/>
          <w:lang w:val="en-US" w:eastAsia="zh-CN"/>
        </w:rPr>
      </w:pPr>
      <w:r>
        <w:rPr>
          <w:rFonts w:hint="eastAsia" w:ascii="微软雅黑" w:hAnsi="微软雅黑" w:eastAsia="微软雅黑" w:cs="微软雅黑"/>
          <w:bCs/>
          <w:color w:val="auto"/>
          <w:sz w:val="24"/>
          <w:szCs w:val="24"/>
          <w:highlight w:val="none"/>
        </w:rPr>
        <w:t>（</w:t>
      </w:r>
      <w:r>
        <w:rPr>
          <w:rFonts w:hint="eastAsia" w:ascii="微软雅黑" w:hAnsi="微软雅黑" w:eastAsia="微软雅黑" w:cs="微软雅黑"/>
          <w:bCs/>
          <w:color w:val="auto"/>
          <w:sz w:val="24"/>
          <w:szCs w:val="24"/>
          <w:highlight w:val="none"/>
          <w:lang w:val="en-US" w:eastAsia="zh-CN"/>
        </w:rPr>
        <w:t>12</w:t>
      </w:r>
      <w:r>
        <w:rPr>
          <w:rFonts w:hint="eastAsia" w:ascii="微软雅黑" w:hAnsi="微软雅黑" w:eastAsia="微软雅黑" w:cs="微软雅黑"/>
          <w:bCs/>
          <w:color w:val="auto"/>
          <w:sz w:val="24"/>
          <w:szCs w:val="24"/>
          <w:highlight w:val="none"/>
        </w:rPr>
        <w:t>）</w:t>
      </w:r>
      <w:r>
        <w:rPr>
          <w:rFonts w:hint="eastAsia" w:ascii="微软雅黑" w:hAnsi="微软雅黑" w:eastAsia="微软雅黑" w:cs="微软雅黑"/>
          <w:color w:val="auto"/>
          <w:sz w:val="24"/>
          <w:szCs w:val="24"/>
          <w:highlight w:val="none"/>
          <w:u w:val="none"/>
          <w:lang w:val="en-US" w:eastAsia="zh-CN"/>
        </w:rPr>
        <w:t>如有需退换货情形，乙方应在收到甲方通知后7日内将相关货物自行带离甲方指定区域，否则视为乙方对相关货物的遗弃，甲方有权自行处理且不承担任何责任。</w:t>
      </w:r>
    </w:p>
    <w:p w14:paraId="2164C44E">
      <w:pPr>
        <w:adjustRightInd w:val="0"/>
        <w:snapToGrid w:val="0"/>
        <w:spacing w:before="0" w:beforeLines="0" w:line="400" w:lineRule="exact"/>
        <w:ind w:firstLine="480" w:firstLineChars="200"/>
        <w:outlineLvl w:val="9"/>
        <w:rPr>
          <w:rFonts w:hint="eastAsia" w:ascii="微软雅黑" w:hAnsi="微软雅黑" w:eastAsia="微软雅黑" w:cs="微软雅黑"/>
          <w:b/>
          <w:color w:val="auto"/>
          <w:sz w:val="24"/>
          <w:szCs w:val="24"/>
          <w:highlight w:val="none"/>
          <w:lang w:val="en-US" w:eastAsia="zh-CN"/>
        </w:rPr>
      </w:pPr>
      <w:r>
        <w:rPr>
          <w:rFonts w:hint="eastAsia" w:ascii="微软雅黑" w:hAnsi="微软雅黑" w:eastAsia="微软雅黑" w:cs="微软雅黑"/>
          <w:bCs/>
          <w:color w:val="auto"/>
          <w:sz w:val="24"/>
          <w:szCs w:val="24"/>
          <w:highlight w:val="none"/>
        </w:rPr>
        <w:t>（</w:t>
      </w:r>
      <w:r>
        <w:rPr>
          <w:rFonts w:hint="eastAsia" w:ascii="微软雅黑" w:hAnsi="微软雅黑" w:eastAsia="微软雅黑" w:cs="微软雅黑"/>
          <w:bCs/>
          <w:color w:val="auto"/>
          <w:sz w:val="24"/>
          <w:szCs w:val="24"/>
          <w:highlight w:val="none"/>
          <w:lang w:val="en-US" w:eastAsia="zh-CN"/>
        </w:rPr>
        <w:t>13</w:t>
      </w:r>
      <w:r>
        <w:rPr>
          <w:rFonts w:hint="eastAsia" w:ascii="微软雅黑" w:hAnsi="微软雅黑" w:eastAsia="微软雅黑" w:cs="微软雅黑"/>
          <w:bCs/>
          <w:color w:val="auto"/>
          <w:sz w:val="24"/>
          <w:szCs w:val="24"/>
          <w:highlight w:val="none"/>
        </w:rPr>
        <w:t>）</w:t>
      </w:r>
      <w:r>
        <w:rPr>
          <w:rFonts w:hint="eastAsia" w:ascii="微软雅黑" w:hAnsi="微软雅黑" w:eastAsia="微软雅黑" w:cs="微软雅黑"/>
          <w:color w:val="auto"/>
          <w:sz w:val="24"/>
          <w:szCs w:val="24"/>
          <w:highlight w:val="none"/>
          <w:u w:val="none"/>
          <w:lang w:val="en-US" w:eastAsia="zh-CN"/>
        </w:rPr>
        <w:t>因货物质量问题发生争议时，由甲方所在地的质量技术监督部门或质量检测机构进行鉴定。项目符合质量技术标准的，鉴定费由甲方承担；否则鉴定费由乙方承担。</w:t>
      </w:r>
    </w:p>
    <w:p w14:paraId="13D6B55F">
      <w:pPr>
        <w:numPr>
          <w:ilvl w:val="0"/>
          <w:numId w:val="0"/>
        </w:numPr>
        <w:adjustRightInd w:val="0"/>
        <w:snapToGrid w:val="0"/>
        <w:spacing w:before="0" w:beforeLines="0" w:line="400" w:lineRule="exact"/>
        <w:ind w:left="420" w:leftChars="0"/>
        <w:outlineLvl w:val="9"/>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lang w:val="en-US" w:eastAsia="zh-CN"/>
        </w:rPr>
        <w:t>5.</w:t>
      </w:r>
      <w:r>
        <w:rPr>
          <w:rFonts w:hint="eastAsia" w:ascii="微软雅黑" w:hAnsi="微软雅黑" w:eastAsia="微软雅黑" w:cs="微软雅黑"/>
          <w:b/>
          <w:color w:val="auto"/>
          <w:sz w:val="24"/>
          <w:szCs w:val="24"/>
          <w:highlight w:val="none"/>
        </w:rPr>
        <w:t>组成合同的文件</w:t>
      </w:r>
    </w:p>
    <w:p w14:paraId="78C3D28D">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本协议书与下列文件一起构成合同文件，如下述文件之间有任何抵触、矛盾或歧义，应按以下顺序解释：</w:t>
      </w:r>
    </w:p>
    <w:p w14:paraId="4C61A008">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eastAsia="zh-CN"/>
        </w:rPr>
        <w:t>政府采购</w:t>
      </w:r>
      <w:r>
        <w:rPr>
          <w:rFonts w:hint="eastAsia" w:ascii="微软雅黑" w:hAnsi="微软雅黑" w:eastAsia="微软雅黑" w:cs="微软雅黑"/>
          <w:color w:val="auto"/>
          <w:sz w:val="24"/>
          <w:szCs w:val="24"/>
          <w:highlight w:val="none"/>
        </w:rPr>
        <w:t>合同协议书及其变更、补充</w:t>
      </w:r>
      <w:r>
        <w:rPr>
          <w:rFonts w:hint="eastAsia" w:ascii="微软雅黑" w:hAnsi="微软雅黑" w:eastAsia="微软雅黑" w:cs="微软雅黑"/>
          <w:color w:val="auto"/>
          <w:sz w:val="24"/>
          <w:szCs w:val="24"/>
          <w:highlight w:val="none"/>
          <w:lang w:eastAsia="zh-CN"/>
        </w:rPr>
        <w:t>协议</w:t>
      </w:r>
    </w:p>
    <w:p w14:paraId="162E8DB7">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rPr>
        <w:t>）政府采购合同专用条款</w:t>
      </w:r>
    </w:p>
    <w:p w14:paraId="02E2BFC0">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）政府采购合同通用条款</w:t>
      </w:r>
    </w:p>
    <w:p w14:paraId="66195F3D">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4</w:t>
      </w:r>
      <w:r>
        <w:rPr>
          <w:rFonts w:hint="eastAsia" w:ascii="微软雅黑" w:hAnsi="微软雅黑" w:eastAsia="微软雅黑" w:cs="微软雅黑"/>
          <w:color w:val="auto"/>
          <w:sz w:val="24"/>
          <w:szCs w:val="24"/>
          <w:highlight w:val="none"/>
        </w:rPr>
        <w:t>）中标</w:t>
      </w:r>
      <w:r>
        <w:rPr>
          <w:rFonts w:hint="eastAsia" w:ascii="微软雅黑" w:hAnsi="微软雅黑" w:eastAsia="微软雅黑" w:cs="微软雅黑"/>
          <w:color w:val="auto"/>
          <w:sz w:val="24"/>
          <w:szCs w:val="24"/>
          <w:highlight w:val="none"/>
          <w:lang w:eastAsia="zh-CN"/>
        </w:rPr>
        <w:t>（成交）</w:t>
      </w:r>
      <w:r>
        <w:rPr>
          <w:rFonts w:hint="eastAsia" w:ascii="微软雅黑" w:hAnsi="微软雅黑" w:eastAsia="微软雅黑" w:cs="微软雅黑"/>
          <w:color w:val="auto"/>
          <w:sz w:val="24"/>
          <w:szCs w:val="24"/>
          <w:highlight w:val="none"/>
        </w:rPr>
        <w:t>通知书</w:t>
      </w:r>
    </w:p>
    <w:p w14:paraId="0A8E2371">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5</w:t>
      </w:r>
      <w:r>
        <w:rPr>
          <w:rFonts w:hint="eastAsia" w:ascii="微软雅黑" w:hAnsi="微软雅黑" w:eastAsia="微软雅黑" w:cs="微软雅黑"/>
          <w:color w:val="auto"/>
          <w:sz w:val="24"/>
          <w:szCs w:val="24"/>
          <w:highlight w:val="none"/>
        </w:rPr>
        <w:t>）投标（响应）文件</w:t>
      </w:r>
    </w:p>
    <w:p w14:paraId="3872D9F6">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（6）采购文件</w:t>
      </w:r>
    </w:p>
    <w:p w14:paraId="2F5E2E2D">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（7）有关技术文件，图纸</w:t>
      </w:r>
    </w:p>
    <w:p w14:paraId="399B104B">
      <w:pPr>
        <w:pStyle w:val="117"/>
        <w:spacing w:beforeLines="0"/>
        <w:outlineLvl w:val="9"/>
        <w:rPr>
          <w:rFonts w:hint="eastAsia" w:ascii="微软雅黑" w:hAnsi="微软雅黑" w:eastAsia="微软雅黑" w:cs="微软雅黑"/>
          <w:bCs w:val="0"/>
          <w:color w:val="auto"/>
          <w:kern w:val="2"/>
          <w:sz w:val="24"/>
          <w:szCs w:val="24"/>
          <w:highlight w:val="none"/>
          <w:lang w:eastAsia="zh-CN"/>
        </w:rPr>
      </w:pP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lang w:val="en-US" w:eastAsia="zh-CN"/>
        </w:rPr>
        <w:t>8</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bCs w:val="0"/>
          <w:color w:val="auto"/>
          <w:kern w:val="2"/>
          <w:sz w:val="24"/>
          <w:szCs w:val="24"/>
          <w:highlight w:val="none"/>
          <w:lang w:eastAsia="zh-CN"/>
        </w:rPr>
        <w:t>国家法律、行政法规和规章制度规定或合同约定的作为合同组成部分的其他文件</w:t>
      </w:r>
    </w:p>
    <w:p w14:paraId="572D8CAF">
      <w:pPr>
        <w:pStyle w:val="117"/>
        <w:spacing w:beforeLines="0"/>
        <w:outlineLvl w:val="9"/>
        <w:rPr>
          <w:rFonts w:hint="eastAsia" w:ascii="微软雅黑" w:hAnsi="微软雅黑" w:eastAsia="微软雅黑" w:cs="微软雅黑"/>
          <w:bCs w:val="0"/>
          <w:color w:val="auto"/>
          <w:kern w:val="2"/>
          <w:sz w:val="24"/>
          <w:szCs w:val="24"/>
          <w:highlight w:val="none"/>
          <w:lang w:eastAsia="zh-CN"/>
        </w:rPr>
      </w:pPr>
      <w:r>
        <w:rPr>
          <w:rFonts w:hint="eastAsia" w:ascii="微软雅黑" w:hAnsi="微软雅黑" w:eastAsia="微软雅黑" w:cs="微软雅黑"/>
          <w:bCs w:val="0"/>
          <w:color w:val="auto"/>
          <w:kern w:val="2"/>
          <w:sz w:val="24"/>
          <w:szCs w:val="24"/>
          <w:highlight w:val="none"/>
          <w:lang w:eastAsia="zh-CN"/>
        </w:rPr>
        <w:t>本合同正文不详之处，以招标文件、投标文件及招标会议上的答疑记录为准，招标文件、标前会纪要、中标通知书等为本合同的正式组成部分，具有同等法律效力。</w:t>
      </w:r>
    </w:p>
    <w:p w14:paraId="7E4834F9">
      <w:pPr>
        <w:pStyle w:val="117"/>
        <w:spacing w:beforeLines="0"/>
        <w:outlineLvl w:val="9"/>
        <w:rPr>
          <w:rFonts w:hint="eastAsia" w:ascii="微软雅黑" w:hAnsi="微软雅黑" w:eastAsia="微软雅黑" w:cs="微软雅黑"/>
          <w:b/>
          <w:bCs/>
          <w:color w:val="auto"/>
          <w:kern w:val="2"/>
          <w:sz w:val="24"/>
          <w:szCs w:val="24"/>
          <w:highlight w:val="none"/>
          <w:lang w:eastAsia="zh-CN"/>
        </w:rPr>
      </w:pPr>
      <w:r>
        <w:rPr>
          <w:rFonts w:hint="eastAsia" w:ascii="微软雅黑" w:hAnsi="微软雅黑" w:eastAsia="微软雅黑" w:cs="微软雅黑"/>
          <w:b/>
          <w:bCs/>
          <w:color w:val="auto"/>
          <w:kern w:val="2"/>
          <w:sz w:val="24"/>
          <w:szCs w:val="24"/>
          <w:highlight w:val="none"/>
          <w:lang w:val="en-US" w:eastAsia="zh-CN"/>
        </w:rPr>
        <w:t>6.</w:t>
      </w:r>
      <w:r>
        <w:rPr>
          <w:rFonts w:hint="eastAsia" w:ascii="微软雅黑" w:hAnsi="微软雅黑" w:eastAsia="微软雅黑" w:cs="微软雅黑"/>
          <w:b/>
          <w:bCs/>
          <w:color w:val="auto"/>
          <w:kern w:val="2"/>
          <w:sz w:val="24"/>
          <w:szCs w:val="24"/>
          <w:highlight w:val="none"/>
          <w:lang w:eastAsia="zh-CN"/>
        </w:rPr>
        <w:t>送达条款</w:t>
      </w:r>
    </w:p>
    <w:p w14:paraId="73C2B355">
      <w:pPr>
        <w:pStyle w:val="117"/>
        <w:spacing w:beforeLines="0"/>
        <w:outlineLvl w:val="9"/>
        <w:rPr>
          <w:rFonts w:hint="eastAsia" w:ascii="微软雅黑" w:hAnsi="微软雅黑" w:eastAsia="微软雅黑" w:cs="微软雅黑"/>
          <w:bCs w:val="0"/>
          <w:color w:val="auto"/>
          <w:kern w:val="2"/>
          <w:sz w:val="24"/>
          <w:szCs w:val="24"/>
          <w:highlight w:val="none"/>
          <w:u w:val="single"/>
          <w:lang w:eastAsia="zh-CN"/>
        </w:rPr>
      </w:pPr>
      <w:r>
        <w:rPr>
          <w:rFonts w:hint="eastAsia" w:ascii="微软雅黑" w:hAnsi="微软雅黑" w:eastAsia="微软雅黑" w:cs="微软雅黑"/>
          <w:bCs w:val="0"/>
          <w:color w:val="auto"/>
          <w:kern w:val="2"/>
          <w:sz w:val="24"/>
          <w:szCs w:val="24"/>
          <w:highlight w:val="none"/>
          <w:u w:val="single"/>
          <w:lang w:eastAsia="zh-CN"/>
        </w:rPr>
        <w:t>本合同签署处载明的约定送达地址系双方文件往来、法院送达诉讼文书的地址，因载明的约定送达地址有误或未及时告知变更后的地址，导致相关文书及诉讼文书未能实际被接收的、邮寄送达的，相关文书及诉讼文书退回之日即视为送达之日。</w:t>
      </w:r>
    </w:p>
    <w:p w14:paraId="486EEC62">
      <w:pPr>
        <w:numPr>
          <w:ilvl w:val="0"/>
          <w:numId w:val="0"/>
        </w:numPr>
        <w:adjustRightInd w:val="0"/>
        <w:snapToGrid w:val="0"/>
        <w:spacing w:before="0" w:beforeLines="0" w:line="400" w:lineRule="exact"/>
        <w:ind w:left="420" w:leftChars="0"/>
        <w:outlineLvl w:val="9"/>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lang w:val="en-US" w:eastAsia="zh-CN"/>
        </w:rPr>
        <w:t>7.</w:t>
      </w:r>
      <w:r>
        <w:rPr>
          <w:rFonts w:hint="eastAsia" w:ascii="微软雅黑" w:hAnsi="微软雅黑" w:eastAsia="微软雅黑" w:cs="微软雅黑"/>
          <w:b/>
          <w:color w:val="auto"/>
          <w:sz w:val="24"/>
          <w:szCs w:val="24"/>
          <w:highlight w:val="none"/>
        </w:rPr>
        <w:t>合同生效</w:t>
      </w:r>
    </w:p>
    <w:p w14:paraId="64BAD1EB">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本合同自经</w:t>
      </w:r>
      <w:r>
        <w:rPr>
          <w:rFonts w:hint="eastAsia" w:ascii="微软雅黑" w:hAnsi="微软雅黑" w:eastAsia="微软雅黑" w:cs="微软雅黑"/>
          <w:color w:val="auto"/>
          <w:sz w:val="24"/>
          <w:szCs w:val="24"/>
          <w:highlight w:val="none"/>
          <w:u w:val="single"/>
        </w:rPr>
        <w:t>甲方法定负责人、乙方法定代表人或各自授权代表签字，并加盖公章或合同专用章后</w:t>
      </w:r>
      <w:r>
        <w:rPr>
          <w:rFonts w:hint="eastAsia" w:ascii="微软雅黑" w:hAnsi="微软雅黑" w:eastAsia="微软雅黑" w:cs="微软雅黑"/>
          <w:color w:val="auto"/>
          <w:sz w:val="24"/>
          <w:szCs w:val="24"/>
          <w:highlight w:val="none"/>
        </w:rPr>
        <w:t>生效。</w:t>
      </w:r>
    </w:p>
    <w:p w14:paraId="786EA8A1">
      <w:pPr>
        <w:numPr>
          <w:ilvl w:val="0"/>
          <w:numId w:val="0"/>
        </w:numPr>
        <w:adjustRightInd w:val="0"/>
        <w:snapToGrid w:val="0"/>
        <w:spacing w:before="0" w:beforeLines="0" w:line="400" w:lineRule="exact"/>
        <w:ind w:left="420" w:leftChars="0"/>
        <w:outlineLvl w:val="9"/>
        <w:rPr>
          <w:rFonts w:hint="eastAsia" w:ascii="微软雅黑" w:hAnsi="微软雅黑" w:eastAsia="微软雅黑" w:cs="微软雅黑"/>
          <w:b/>
          <w:color w:val="auto"/>
          <w:sz w:val="24"/>
          <w:szCs w:val="24"/>
          <w:highlight w:val="none"/>
          <w:lang w:eastAsia="zh-CN"/>
        </w:rPr>
      </w:pPr>
      <w:r>
        <w:rPr>
          <w:rFonts w:hint="eastAsia" w:ascii="微软雅黑" w:hAnsi="微软雅黑" w:eastAsia="微软雅黑" w:cs="微软雅黑"/>
          <w:b/>
          <w:color w:val="auto"/>
          <w:sz w:val="24"/>
          <w:szCs w:val="24"/>
          <w:highlight w:val="none"/>
          <w:lang w:val="en-US" w:eastAsia="zh-CN"/>
        </w:rPr>
        <w:t>8.附则</w:t>
      </w:r>
    </w:p>
    <w:p w14:paraId="4B9DD129">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本合同一式</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份，</w:t>
      </w:r>
      <w:r>
        <w:rPr>
          <w:rFonts w:hint="eastAsia" w:ascii="微软雅黑" w:hAnsi="微软雅黑" w:eastAsia="微软雅黑" w:cs="微软雅黑"/>
          <w:color w:val="auto"/>
          <w:sz w:val="24"/>
          <w:szCs w:val="24"/>
          <w:highlight w:val="none"/>
          <w:lang w:eastAsia="zh-CN"/>
        </w:rPr>
        <w:t>甲方</w:t>
      </w:r>
      <w:r>
        <w:rPr>
          <w:rFonts w:hint="eastAsia" w:ascii="微软雅黑" w:hAnsi="微软雅黑" w:eastAsia="微软雅黑" w:cs="微软雅黑"/>
          <w:color w:val="auto"/>
          <w:sz w:val="24"/>
          <w:szCs w:val="24"/>
          <w:highlight w:val="none"/>
        </w:rPr>
        <w:t>执</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份，</w:t>
      </w:r>
      <w:r>
        <w:rPr>
          <w:rFonts w:hint="eastAsia" w:ascii="微软雅黑" w:hAnsi="微软雅黑" w:eastAsia="微软雅黑" w:cs="微软雅黑"/>
          <w:color w:val="auto"/>
          <w:sz w:val="24"/>
          <w:szCs w:val="24"/>
          <w:highlight w:val="none"/>
          <w:lang w:eastAsia="zh-CN"/>
        </w:rPr>
        <w:t>乙方</w:t>
      </w:r>
      <w:r>
        <w:rPr>
          <w:rFonts w:hint="eastAsia" w:ascii="微软雅黑" w:hAnsi="微软雅黑" w:eastAsia="微软雅黑" w:cs="微软雅黑"/>
          <w:color w:val="auto"/>
          <w:sz w:val="24"/>
          <w:szCs w:val="24"/>
          <w:highlight w:val="none"/>
        </w:rPr>
        <w:t>执</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份，均具有同等法律效力。</w:t>
      </w:r>
    </w:p>
    <w:p w14:paraId="7B6D3A11">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rPr>
        <w:t>合同订立时间：</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年</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月</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日</w:t>
      </w:r>
      <w:r>
        <w:rPr>
          <w:rFonts w:hint="eastAsia" w:ascii="微软雅黑" w:hAnsi="微软雅黑" w:eastAsia="微软雅黑" w:cs="微软雅黑"/>
          <w:color w:val="auto"/>
          <w:sz w:val="24"/>
          <w:szCs w:val="24"/>
          <w:highlight w:val="none"/>
          <w:lang w:eastAsia="zh-CN"/>
        </w:rPr>
        <w:t>，本合同签订日期以双方中最后一方签署并加盖公章或合同专用章的日期为准。授权代表人签署本合同的须出示具有法律效力的书面委托书证明和身份证明（加盖公章）作为本合同附件。</w:t>
      </w:r>
    </w:p>
    <w:p w14:paraId="57CEDCCC">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t>合同订立地点：</w:t>
      </w:r>
      <w:r>
        <w:rPr>
          <w:rFonts w:hint="eastAsia" w:ascii="微软雅黑" w:hAnsi="微软雅黑" w:eastAsia="微软雅黑" w:cs="微软雅黑"/>
          <w:color w:val="auto"/>
          <w:sz w:val="24"/>
          <w:szCs w:val="24"/>
          <w:highlight w:val="none"/>
          <w:u w:val="single"/>
        </w:rPr>
        <w:t xml:space="preserve">                           </w:t>
      </w:r>
    </w:p>
    <w:p w14:paraId="287849A3">
      <w:pPr>
        <w:ind w:firstLine="480" w:firstLineChars="200"/>
        <w:outlineLvl w:val="9"/>
        <w:rPr>
          <w:rFonts w:hint="eastAsia" w:ascii="微软雅黑" w:hAnsi="微软雅黑" w:eastAsia="微软雅黑" w:cs="微软雅黑"/>
          <w:b w:val="0"/>
          <w:bCs w:val="0"/>
          <w:color w:val="auto"/>
          <w:kern w:val="2"/>
          <w:sz w:val="24"/>
          <w:szCs w:val="24"/>
          <w:highlight w:val="none"/>
          <w:lang w:val="en-US" w:eastAsia="zh-CN" w:bidi="ar-SA"/>
        </w:rPr>
      </w:pPr>
      <w:r>
        <w:rPr>
          <w:rFonts w:hint="eastAsia" w:ascii="微软雅黑" w:hAnsi="微软雅黑" w:eastAsia="微软雅黑" w:cs="微软雅黑"/>
          <w:b w:val="0"/>
          <w:bCs w:val="0"/>
          <w:color w:val="auto"/>
          <w:kern w:val="2"/>
          <w:sz w:val="24"/>
          <w:szCs w:val="24"/>
          <w:highlight w:val="none"/>
          <w:lang w:val="en-US" w:eastAsia="zh-CN" w:bidi="ar-SA"/>
        </w:rPr>
        <w:t>双方应严格遵守以上合同条款、如合作中遇未尽事宜，需经双方友好协商达成一致，并以书面形式经双方签字作为合同附件，该附件与合同具有同等法律效应。</w:t>
      </w:r>
    </w:p>
    <w:p w14:paraId="6C59D5E5">
      <w:pPr>
        <w:ind w:firstLine="480" w:firstLineChars="200"/>
        <w:outlineLvl w:val="9"/>
        <w:rPr>
          <w:rFonts w:hint="eastAsia" w:ascii="微软雅黑" w:hAnsi="微软雅黑" w:eastAsia="微软雅黑" w:cs="微软雅黑"/>
          <w:b w:val="0"/>
          <w:bCs w:val="0"/>
          <w:color w:val="auto"/>
          <w:kern w:val="2"/>
          <w:sz w:val="24"/>
          <w:szCs w:val="24"/>
          <w:highlight w:val="none"/>
          <w:lang w:val="en-US" w:eastAsia="zh-CN" w:bidi="ar-SA"/>
        </w:rPr>
      </w:pPr>
      <w:r>
        <w:rPr>
          <w:rFonts w:hint="eastAsia" w:ascii="微软雅黑" w:hAnsi="微软雅黑" w:eastAsia="微软雅黑" w:cs="微软雅黑"/>
          <w:b w:val="0"/>
          <w:bCs w:val="0"/>
          <w:color w:val="auto"/>
          <w:kern w:val="2"/>
          <w:sz w:val="24"/>
          <w:szCs w:val="24"/>
          <w:highlight w:val="none"/>
          <w:lang w:val="en-US" w:eastAsia="zh-CN" w:bidi="ar-SA"/>
        </w:rPr>
        <w:t>本合同正文为清洁打印文本，对本合同的任何修改和补充均须经甲、乙双方以书面形式由双方签署和作出，否则不构成对本合同的有效修改。</w:t>
      </w:r>
    </w:p>
    <w:p w14:paraId="190C083E">
      <w:pPr>
        <w:ind w:firstLine="480" w:firstLineChars="200"/>
        <w:outlineLvl w:val="9"/>
        <w:rPr>
          <w:rFonts w:hint="eastAsia" w:ascii="微软雅黑" w:hAnsi="微软雅黑" w:eastAsia="微软雅黑" w:cs="微软雅黑"/>
          <w:b w:val="0"/>
          <w:bCs w:val="0"/>
          <w:color w:val="auto"/>
          <w:kern w:val="2"/>
          <w:sz w:val="24"/>
          <w:szCs w:val="24"/>
          <w:highlight w:val="none"/>
          <w:lang w:val="en-US" w:eastAsia="zh-CN" w:bidi="ar-SA"/>
        </w:rPr>
      </w:pPr>
      <w:r>
        <w:rPr>
          <w:rFonts w:hint="eastAsia" w:ascii="微软雅黑" w:hAnsi="微软雅黑" w:eastAsia="微软雅黑" w:cs="微软雅黑"/>
          <w:b w:val="0"/>
          <w:bCs w:val="0"/>
          <w:color w:val="auto"/>
          <w:kern w:val="2"/>
          <w:sz w:val="24"/>
          <w:szCs w:val="24"/>
          <w:highlight w:val="none"/>
          <w:lang w:val="en-US" w:eastAsia="zh-CN" w:bidi="ar-SA"/>
        </w:rPr>
        <w:t>甲方指定          （联系方式：           ）为联络人；乙方指定          （联系方式：           ）为联络人。甲乙双方所指定联络人为本合同履行所做出的任何意思表示及所签署的任何文件均代表甲乙双方的真实意思表示，如需更换联络人或其联系方式甲乙双方均需提前三日以书面形式告知相对方，否则造成的一切不利后果均由未按约告知方自行承担。</w:t>
      </w:r>
    </w:p>
    <w:p w14:paraId="724D181D">
      <w:pPr>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（以下为本合同签署处）</w:t>
      </w:r>
    </w:p>
    <w:p w14:paraId="3FAB4748">
      <w:pPr>
        <w:adjustRightInd w:val="0"/>
        <w:snapToGrid w:val="0"/>
        <w:spacing w:before="0" w:beforeLines="0" w:line="400" w:lineRule="exact"/>
        <w:ind w:firstLine="480" w:firstLineChars="20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附件：具体标</w:t>
      </w:r>
      <w:r>
        <w:rPr>
          <w:rFonts w:hint="eastAsia" w:ascii="微软雅黑" w:hAnsi="微软雅黑" w:eastAsia="微软雅黑" w:cs="微软雅黑"/>
          <w:color w:val="auto"/>
          <w:sz w:val="24"/>
          <w:szCs w:val="24"/>
          <w:highlight w:val="none"/>
          <w:lang w:eastAsia="zh-CN"/>
        </w:rPr>
        <w:t>的及其</w:t>
      </w:r>
      <w:r>
        <w:rPr>
          <w:rFonts w:hint="eastAsia" w:ascii="微软雅黑" w:hAnsi="微软雅黑" w:eastAsia="微软雅黑" w:cs="微软雅黑"/>
          <w:color w:val="auto"/>
          <w:sz w:val="24"/>
          <w:szCs w:val="24"/>
          <w:highlight w:val="none"/>
          <w:u w:val="none"/>
          <w:lang w:val="en-US" w:eastAsia="zh-CN"/>
        </w:rPr>
        <w:t>技术要求和商务要求</w:t>
      </w:r>
      <w:r>
        <w:rPr>
          <w:rFonts w:hint="eastAsia" w:ascii="微软雅黑" w:hAnsi="微软雅黑" w:eastAsia="微软雅黑" w:cs="微软雅黑"/>
          <w:color w:val="auto"/>
          <w:sz w:val="24"/>
          <w:szCs w:val="24"/>
          <w:highlight w:val="none"/>
        </w:rPr>
        <w:t>、联合协议、分包</w:t>
      </w:r>
      <w:r>
        <w:rPr>
          <w:rFonts w:hint="eastAsia" w:ascii="微软雅黑" w:hAnsi="微软雅黑" w:eastAsia="微软雅黑" w:cs="微软雅黑"/>
          <w:color w:val="auto"/>
          <w:sz w:val="24"/>
          <w:szCs w:val="24"/>
          <w:highlight w:val="none"/>
          <w:lang w:eastAsia="zh-CN"/>
        </w:rPr>
        <w:t>意向</w:t>
      </w:r>
      <w:r>
        <w:rPr>
          <w:rFonts w:hint="eastAsia" w:ascii="微软雅黑" w:hAnsi="微软雅黑" w:eastAsia="微软雅黑" w:cs="微软雅黑"/>
          <w:color w:val="auto"/>
          <w:sz w:val="24"/>
          <w:szCs w:val="24"/>
          <w:highlight w:val="none"/>
        </w:rPr>
        <w:t>协议等。</w:t>
      </w:r>
    </w:p>
    <w:p w14:paraId="71BEF73C">
      <w:pPr>
        <w:pStyle w:val="50"/>
        <w:spacing w:beforeLines="0" w:line="400" w:lineRule="exact"/>
        <w:outlineLvl w:val="9"/>
        <w:rPr>
          <w:rFonts w:hint="eastAsia" w:ascii="微软雅黑" w:hAnsi="微软雅黑" w:eastAsia="微软雅黑" w:cs="微软雅黑"/>
          <w:color w:val="auto"/>
          <w:sz w:val="24"/>
          <w:szCs w:val="24"/>
          <w:highlight w:val="none"/>
        </w:rPr>
      </w:pPr>
    </w:p>
    <w:p w14:paraId="011BC177">
      <w:pPr>
        <w:spacing w:beforeLines="0" w:line="400" w:lineRule="exact"/>
        <w:outlineLvl w:val="9"/>
        <w:rPr>
          <w:rFonts w:hint="eastAsia" w:ascii="微软雅黑" w:hAnsi="微软雅黑" w:eastAsia="微软雅黑" w:cs="微软雅黑"/>
          <w:b w:val="0"/>
          <w:bCs w:val="0"/>
          <w:color w:val="auto"/>
          <w:sz w:val="24"/>
          <w:szCs w:val="24"/>
          <w:highlight w:val="none"/>
          <w:lang w:val="en-US" w:eastAsia="zh-CN"/>
        </w:rPr>
      </w:pPr>
      <w:r>
        <w:rPr>
          <w:rFonts w:hint="eastAsia" w:ascii="微软雅黑" w:hAnsi="微软雅黑" w:eastAsia="微软雅黑" w:cs="微软雅黑"/>
          <w:color w:val="auto"/>
          <w:sz w:val="24"/>
          <w:szCs w:val="24"/>
          <w:highlight w:val="none"/>
          <w:lang w:val="en"/>
        </w:rPr>
        <w:t xml:space="preserve">   </w:t>
      </w:r>
    </w:p>
    <w:p w14:paraId="148BD1EF">
      <w:pP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br w:type="page"/>
      </w:r>
    </w:p>
    <w:p w14:paraId="34CFC0BE">
      <w:pPr>
        <w:pStyle w:val="50"/>
        <w:outlineLvl w:val="9"/>
        <w:rPr>
          <w:rFonts w:hint="eastAsia" w:ascii="微软雅黑" w:hAnsi="微软雅黑" w:eastAsia="微软雅黑" w:cs="微软雅黑"/>
          <w:color w:val="auto"/>
          <w:sz w:val="24"/>
          <w:szCs w:val="24"/>
          <w:highlight w:val="none"/>
        </w:rPr>
      </w:pPr>
    </w:p>
    <w:tbl>
      <w:tblPr>
        <w:tblStyle w:val="31"/>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30459C6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6EA460AA">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甲方（采购人</w:t>
            </w:r>
            <w:r>
              <w:rPr>
                <w:rFonts w:hint="eastAsia" w:ascii="微软雅黑" w:hAnsi="微软雅黑" w:eastAsia="微软雅黑" w:cs="微软雅黑"/>
                <w:color w:val="auto"/>
                <w:sz w:val="24"/>
                <w:szCs w:val="24"/>
                <w:highlight w:val="none"/>
                <w:lang w:eastAsia="zh-CN"/>
              </w:rPr>
              <w:t>、受采购人委托签订合同的单位</w:t>
            </w:r>
            <w:r>
              <w:rPr>
                <w:rFonts w:hint="eastAsia" w:ascii="微软雅黑" w:hAnsi="微软雅黑" w:eastAsia="微软雅黑" w:cs="微软雅黑"/>
                <w:color w:val="auto"/>
                <w:sz w:val="24"/>
                <w:szCs w:val="24"/>
                <w:highlight w:val="none"/>
              </w:rPr>
              <w:t>或采购文件约定的合同甲方）</w:t>
            </w:r>
          </w:p>
        </w:tc>
        <w:tc>
          <w:tcPr>
            <w:tcW w:w="4095" w:type="dxa"/>
            <w:gridSpan w:val="2"/>
            <w:tcBorders>
              <w:left w:val="single" w:color="auto" w:sz="2" w:space="0"/>
              <w:bottom w:val="single" w:color="auto" w:sz="2" w:space="0"/>
            </w:tcBorders>
            <w:vAlign w:val="center"/>
          </w:tcPr>
          <w:p w14:paraId="585F59F0">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乙方（供应商）</w:t>
            </w:r>
          </w:p>
        </w:tc>
      </w:tr>
      <w:tr w14:paraId="2BB03DC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3E6EE6FF">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单位名称（公章</w:t>
            </w:r>
            <w:r>
              <w:rPr>
                <w:rFonts w:hint="eastAsia" w:ascii="微软雅黑" w:hAnsi="微软雅黑" w:eastAsia="微软雅黑" w:cs="微软雅黑"/>
                <w:color w:val="auto"/>
                <w:sz w:val="24"/>
                <w:szCs w:val="24"/>
                <w:highlight w:val="none"/>
                <w:lang w:eastAsia="zh-CN"/>
              </w:rPr>
              <w:t>或合同章</w:t>
            </w:r>
            <w:r>
              <w:rPr>
                <w:rFonts w:hint="eastAsia" w:ascii="微软雅黑" w:hAnsi="微软雅黑" w:eastAsia="微软雅黑" w:cs="微软雅黑"/>
                <w:color w:val="auto"/>
                <w:sz w:val="24"/>
                <w:szCs w:val="24"/>
                <w:highlight w:val="none"/>
              </w:rPr>
              <w:t>）</w:t>
            </w:r>
          </w:p>
        </w:tc>
        <w:tc>
          <w:tcPr>
            <w:tcW w:w="2412" w:type="dxa"/>
            <w:tcBorders>
              <w:top w:val="single" w:color="auto" w:sz="2" w:space="0"/>
              <w:left w:val="single" w:color="auto" w:sz="2" w:space="0"/>
              <w:bottom w:val="single" w:color="auto" w:sz="2" w:space="0"/>
              <w:right w:val="single" w:color="auto" w:sz="2" w:space="0"/>
            </w:tcBorders>
            <w:vAlign w:val="center"/>
          </w:tcPr>
          <w:p w14:paraId="5198DDC3">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60E10411">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单位名称（公章</w:t>
            </w:r>
            <w:r>
              <w:rPr>
                <w:rFonts w:hint="eastAsia" w:ascii="微软雅黑" w:hAnsi="微软雅黑" w:eastAsia="微软雅黑" w:cs="微软雅黑"/>
                <w:color w:val="auto"/>
                <w:sz w:val="24"/>
                <w:szCs w:val="24"/>
                <w:highlight w:val="none"/>
                <w:lang w:eastAsia="zh-CN"/>
              </w:rPr>
              <w:t>或合同章</w:t>
            </w:r>
            <w:r>
              <w:rPr>
                <w:rFonts w:hint="eastAsia" w:ascii="微软雅黑" w:hAnsi="微软雅黑" w:eastAsia="微软雅黑" w:cs="微软雅黑"/>
                <w:color w:val="auto"/>
                <w:sz w:val="24"/>
                <w:szCs w:val="24"/>
                <w:highlight w:val="none"/>
              </w:rPr>
              <w:t>）</w:t>
            </w:r>
          </w:p>
        </w:tc>
        <w:tc>
          <w:tcPr>
            <w:tcW w:w="2116" w:type="dxa"/>
            <w:tcBorders>
              <w:top w:val="single" w:color="auto" w:sz="2" w:space="0"/>
              <w:left w:val="single" w:color="auto" w:sz="2" w:space="0"/>
              <w:bottom w:val="single" w:color="auto" w:sz="2" w:space="0"/>
            </w:tcBorders>
            <w:vAlign w:val="center"/>
          </w:tcPr>
          <w:p w14:paraId="5660DA52">
            <w:pPr>
              <w:adjustRightInd w:val="0"/>
              <w:snapToGrid w:val="0"/>
              <w:spacing w:line="300" w:lineRule="exact"/>
              <w:jc w:val="center"/>
              <w:outlineLvl w:val="9"/>
              <w:rPr>
                <w:rFonts w:hint="eastAsia" w:ascii="微软雅黑" w:hAnsi="微软雅黑" w:eastAsia="微软雅黑" w:cs="微软雅黑"/>
                <w:color w:val="auto"/>
                <w:spacing w:val="20"/>
                <w:sz w:val="24"/>
                <w:szCs w:val="24"/>
                <w:highlight w:val="none"/>
              </w:rPr>
            </w:pPr>
          </w:p>
        </w:tc>
      </w:tr>
      <w:tr w14:paraId="12ED454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5D3D6D98">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法定代表人</w:t>
            </w:r>
          </w:p>
          <w:p w14:paraId="0EEBFFFA">
            <w:pPr>
              <w:adjustRightInd w:val="0"/>
              <w:snapToGrid w:val="0"/>
              <w:spacing w:line="300" w:lineRule="exact"/>
              <w:ind w:firstLine="115" w:firstLineChars="48"/>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或其委托代理人（签章）</w:t>
            </w:r>
          </w:p>
        </w:tc>
        <w:tc>
          <w:tcPr>
            <w:tcW w:w="2412" w:type="dxa"/>
            <w:vMerge w:val="restart"/>
            <w:tcBorders>
              <w:top w:val="single" w:color="auto" w:sz="2" w:space="0"/>
              <w:left w:val="single" w:color="auto" w:sz="2" w:space="0"/>
              <w:right w:val="single" w:color="auto" w:sz="2" w:space="0"/>
            </w:tcBorders>
            <w:vAlign w:val="center"/>
          </w:tcPr>
          <w:p w14:paraId="115ED1EC">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p>
        </w:tc>
        <w:tc>
          <w:tcPr>
            <w:tcW w:w="1979" w:type="dxa"/>
            <w:tcBorders>
              <w:top w:val="single" w:color="auto" w:sz="2" w:space="0"/>
              <w:left w:val="single" w:color="auto" w:sz="2" w:space="0"/>
              <w:right w:val="single" w:color="auto" w:sz="2" w:space="0"/>
            </w:tcBorders>
            <w:vAlign w:val="center"/>
          </w:tcPr>
          <w:p w14:paraId="1769F6AF">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法定代表人</w:t>
            </w:r>
          </w:p>
          <w:p w14:paraId="1058027C">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或其委托代理人（签章）</w:t>
            </w:r>
          </w:p>
        </w:tc>
        <w:tc>
          <w:tcPr>
            <w:tcW w:w="2116" w:type="dxa"/>
            <w:tcBorders>
              <w:top w:val="single" w:color="auto" w:sz="2" w:space="0"/>
              <w:left w:val="single" w:color="auto" w:sz="2" w:space="0"/>
              <w:bottom w:val="single" w:color="auto" w:sz="2" w:space="0"/>
            </w:tcBorders>
            <w:vAlign w:val="center"/>
          </w:tcPr>
          <w:p w14:paraId="53387221">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p>
        </w:tc>
      </w:tr>
      <w:tr w14:paraId="307AAE6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75B7E169">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p>
        </w:tc>
        <w:tc>
          <w:tcPr>
            <w:tcW w:w="2412" w:type="dxa"/>
            <w:vMerge w:val="continue"/>
            <w:tcBorders>
              <w:left w:val="single" w:color="auto" w:sz="2" w:space="0"/>
              <w:bottom w:val="single" w:color="auto" w:sz="2" w:space="0"/>
              <w:right w:val="single" w:color="auto" w:sz="2" w:space="0"/>
            </w:tcBorders>
            <w:vAlign w:val="center"/>
          </w:tcPr>
          <w:p w14:paraId="427F28F6">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49AF8C7B">
            <w:pPr>
              <w:adjustRightInd w:val="0"/>
              <w:snapToGrid w:val="0"/>
              <w:spacing w:line="300" w:lineRule="exact"/>
              <w:jc w:val="center"/>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拥有者性别</w:t>
            </w:r>
          </w:p>
        </w:tc>
        <w:tc>
          <w:tcPr>
            <w:tcW w:w="2116" w:type="dxa"/>
            <w:tcBorders>
              <w:top w:val="single" w:color="auto" w:sz="2" w:space="0"/>
              <w:left w:val="single" w:color="auto" w:sz="2" w:space="0"/>
              <w:bottom w:val="single" w:color="auto" w:sz="2" w:space="0"/>
            </w:tcBorders>
            <w:vAlign w:val="center"/>
          </w:tcPr>
          <w:p w14:paraId="486F1800">
            <w:pPr>
              <w:adjustRightInd w:val="0"/>
              <w:snapToGrid w:val="0"/>
              <w:spacing w:line="300" w:lineRule="exact"/>
              <w:jc w:val="center"/>
              <w:outlineLvl w:val="9"/>
              <w:rPr>
                <w:rFonts w:hint="eastAsia" w:ascii="微软雅黑" w:hAnsi="微软雅黑" w:eastAsia="微软雅黑" w:cs="微软雅黑"/>
                <w:color w:val="auto"/>
                <w:spacing w:val="20"/>
                <w:sz w:val="24"/>
                <w:szCs w:val="24"/>
                <w:highlight w:val="none"/>
              </w:rPr>
            </w:pPr>
          </w:p>
        </w:tc>
      </w:tr>
      <w:tr w14:paraId="100D84A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66D5735">
            <w:pPr>
              <w:adjustRightInd w:val="0"/>
              <w:snapToGrid w:val="0"/>
              <w:spacing w:line="300" w:lineRule="exact"/>
              <w:jc w:val="center"/>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住</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3C1F941B">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1596798F">
            <w:pPr>
              <w:adjustRightInd w:val="0"/>
              <w:snapToGrid w:val="0"/>
              <w:spacing w:line="300" w:lineRule="exact"/>
              <w:jc w:val="center"/>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住</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lang w:eastAsia="zh-CN"/>
              </w:rPr>
              <w:t>所</w:t>
            </w:r>
          </w:p>
        </w:tc>
        <w:tc>
          <w:tcPr>
            <w:tcW w:w="2116" w:type="dxa"/>
            <w:tcBorders>
              <w:top w:val="single" w:color="auto" w:sz="2" w:space="0"/>
              <w:left w:val="single" w:color="auto" w:sz="2" w:space="0"/>
              <w:bottom w:val="single" w:color="auto" w:sz="2" w:space="0"/>
            </w:tcBorders>
            <w:vAlign w:val="center"/>
          </w:tcPr>
          <w:p w14:paraId="1F3B59A1">
            <w:pPr>
              <w:adjustRightInd w:val="0"/>
              <w:snapToGrid w:val="0"/>
              <w:spacing w:line="300" w:lineRule="exact"/>
              <w:jc w:val="center"/>
              <w:outlineLvl w:val="9"/>
              <w:rPr>
                <w:rFonts w:hint="eastAsia" w:ascii="微软雅黑" w:hAnsi="微软雅黑" w:eastAsia="微软雅黑" w:cs="微软雅黑"/>
                <w:color w:val="auto"/>
                <w:spacing w:val="20"/>
                <w:sz w:val="24"/>
                <w:szCs w:val="24"/>
                <w:highlight w:val="none"/>
              </w:rPr>
            </w:pPr>
          </w:p>
        </w:tc>
      </w:tr>
      <w:tr w14:paraId="313EA92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24859F1">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215D828F">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7656E10F">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联 系 人</w:t>
            </w:r>
          </w:p>
        </w:tc>
        <w:tc>
          <w:tcPr>
            <w:tcW w:w="2116" w:type="dxa"/>
            <w:tcBorders>
              <w:top w:val="single" w:color="auto" w:sz="2" w:space="0"/>
              <w:left w:val="single" w:color="auto" w:sz="2" w:space="0"/>
              <w:bottom w:val="single" w:color="auto" w:sz="2" w:space="0"/>
            </w:tcBorders>
            <w:vAlign w:val="center"/>
          </w:tcPr>
          <w:p w14:paraId="39F1F3BD">
            <w:pPr>
              <w:adjustRightInd w:val="0"/>
              <w:snapToGrid w:val="0"/>
              <w:spacing w:line="300" w:lineRule="exact"/>
              <w:jc w:val="center"/>
              <w:outlineLvl w:val="9"/>
              <w:rPr>
                <w:rFonts w:hint="eastAsia" w:ascii="微软雅黑" w:hAnsi="微软雅黑" w:eastAsia="微软雅黑" w:cs="微软雅黑"/>
                <w:color w:val="auto"/>
                <w:spacing w:val="20"/>
                <w:sz w:val="24"/>
                <w:szCs w:val="24"/>
                <w:highlight w:val="none"/>
              </w:rPr>
            </w:pPr>
          </w:p>
        </w:tc>
      </w:tr>
      <w:tr w14:paraId="73FF253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E362A12">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4E10DD46">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236971EE">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联系电话</w:t>
            </w:r>
          </w:p>
        </w:tc>
        <w:tc>
          <w:tcPr>
            <w:tcW w:w="2116" w:type="dxa"/>
            <w:tcBorders>
              <w:top w:val="single" w:color="auto" w:sz="2" w:space="0"/>
              <w:left w:val="single" w:color="auto" w:sz="2" w:space="0"/>
              <w:bottom w:val="single" w:color="auto" w:sz="2" w:space="0"/>
            </w:tcBorders>
            <w:vAlign w:val="center"/>
          </w:tcPr>
          <w:p w14:paraId="6034D4CE">
            <w:pPr>
              <w:adjustRightInd w:val="0"/>
              <w:snapToGrid w:val="0"/>
              <w:spacing w:line="300" w:lineRule="exact"/>
              <w:jc w:val="center"/>
              <w:outlineLvl w:val="9"/>
              <w:rPr>
                <w:rFonts w:hint="eastAsia" w:ascii="微软雅黑" w:hAnsi="微软雅黑" w:eastAsia="微软雅黑" w:cs="微软雅黑"/>
                <w:color w:val="auto"/>
                <w:spacing w:val="20"/>
                <w:sz w:val="24"/>
                <w:szCs w:val="24"/>
                <w:highlight w:val="none"/>
              </w:rPr>
            </w:pPr>
          </w:p>
        </w:tc>
      </w:tr>
      <w:tr w14:paraId="46D6230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6AE0522">
            <w:pPr>
              <w:adjustRightInd w:val="0"/>
              <w:snapToGrid w:val="0"/>
              <w:spacing w:line="300" w:lineRule="exact"/>
              <w:jc w:val="center"/>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6113F415">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75F78CE6">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通信地址</w:t>
            </w:r>
          </w:p>
        </w:tc>
        <w:tc>
          <w:tcPr>
            <w:tcW w:w="2116" w:type="dxa"/>
            <w:tcBorders>
              <w:top w:val="single" w:color="auto" w:sz="2" w:space="0"/>
              <w:left w:val="single" w:color="auto" w:sz="2" w:space="0"/>
              <w:bottom w:val="single" w:color="auto" w:sz="2" w:space="0"/>
            </w:tcBorders>
            <w:vAlign w:val="center"/>
          </w:tcPr>
          <w:p w14:paraId="3BB95D6F">
            <w:pPr>
              <w:adjustRightInd w:val="0"/>
              <w:snapToGrid w:val="0"/>
              <w:spacing w:line="300" w:lineRule="exact"/>
              <w:jc w:val="center"/>
              <w:outlineLvl w:val="9"/>
              <w:rPr>
                <w:rFonts w:hint="eastAsia" w:ascii="微软雅黑" w:hAnsi="微软雅黑" w:eastAsia="微软雅黑" w:cs="微软雅黑"/>
                <w:color w:val="auto"/>
                <w:spacing w:val="20"/>
                <w:sz w:val="24"/>
                <w:szCs w:val="24"/>
                <w:highlight w:val="none"/>
              </w:rPr>
            </w:pPr>
          </w:p>
        </w:tc>
      </w:tr>
      <w:tr w14:paraId="787A370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92E6F96">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7072B373">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564DA7B8">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邮政编码</w:t>
            </w:r>
          </w:p>
        </w:tc>
        <w:tc>
          <w:tcPr>
            <w:tcW w:w="2116" w:type="dxa"/>
            <w:tcBorders>
              <w:top w:val="single" w:color="auto" w:sz="2" w:space="0"/>
              <w:left w:val="single" w:color="auto" w:sz="2" w:space="0"/>
              <w:bottom w:val="single" w:color="auto" w:sz="2" w:space="0"/>
            </w:tcBorders>
            <w:vAlign w:val="center"/>
          </w:tcPr>
          <w:p w14:paraId="55694276">
            <w:pPr>
              <w:adjustRightInd w:val="0"/>
              <w:snapToGrid w:val="0"/>
              <w:spacing w:line="300" w:lineRule="exact"/>
              <w:jc w:val="center"/>
              <w:outlineLvl w:val="9"/>
              <w:rPr>
                <w:rFonts w:hint="eastAsia" w:ascii="微软雅黑" w:hAnsi="微软雅黑" w:eastAsia="微软雅黑" w:cs="微软雅黑"/>
                <w:color w:val="auto"/>
                <w:spacing w:val="20"/>
                <w:sz w:val="24"/>
                <w:szCs w:val="24"/>
                <w:highlight w:val="none"/>
              </w:rPr>
            </w:pPr>
          </w:p>
        </w:tc>
      </w:tr>
      <w:tr w14:paraId="59C4653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E174EDB">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4AE9316B">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23102DAE">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电子邮箱</w:t>
            </w:r>
          </w:p>
        </w:tc>
        <w:tc>
          <w:tcPr>
            <w:tcW w:w="2116" w:type="dxa"/>
            <w:tcBorders>
              <w:top w:val="single" w:color="auto" w:sz="2" w:space="0"/>
              <w:left w:val="single" w:color="auto" w:sz="2" w:space="0"/>
              <w:bottom w:val="single" w:color="auto" w:sz="2" w:space="0"/>
            </w:tcBorders>
            <w:vAlign w:val="center"/>
          </w:tcPr>
          <w:p w14:paraId="7343A94A">
            <w:pPr>
              <w:adjustRightInd w:val="0"/>
              <w:snapToGrid w:val="0"/>
              <w:spacing w:line="300" w:lineRule="exact"/>
              <w:jc w:val="center"/>
              <w:outlineLvl w:val="9"/>
              <w:rPr>
                <w:rFonts w:hint="eastAsia" w:ascii="微软雅黑" w:hAnsi="微软雅黑" w:eastAsia="微软雅黑" w:cs="微软雅黑"/>
                <w:color w:val="auto"/>
                <w:spacing w:val="20"/>
                <w:sz w:val="24"/>
                <w:szCs w:val="24"/>
                <w:highlight w:val="none"/>
              </w:rPr>
            </w:pPr>
          </w:p>
        </w:tc>
      </w:tr>
      <w:tr w14:paraId="1335D8A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323B2A9">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2AA9CD8C">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3C90BD6E">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统一社会信用代码</w:t>
            </w:r>
          </w:p>
        </w:tc>
        <w:tc>
          <w:tcPr>
            <w:tcW w:w="2116" w:type="dxa"/>
            <w:tcBorders>
              <w:top w:val="single" w:color="auto" w:sz="2" w:space="0"/>
              <w:left w:val="single" w:color="auto" w:sz="2" w:space="0"/>
              <w:bottom w:val="single" w:color="auto" w:sz="2" w:space="0"/>
            </w:tcBorders>
            <w:vAlign w:val="center"/>
          </w:tcPr>
          <w:p w14:paraId="7E5C802A">
            <w:pPr>
              <w:adjustRightInd w:val="0"/>
              <w:snapToGrid w:val="0"/>
              <w:spacing w:line="300" w:lineRule="exact"/>
              <w:jc w:val="center"/>
              <w:outlineLvl w:val="9"/>
              <w:rPr>
                <w:rFonts w:hint="eastAsia" w:ascii="微软雅黑" w:hAnsi="微软雅黑" w:eastAsia="微软雅黑" w:cs="微软雅黑"/>
                <w:color w:val="auto"/>
                <w:spacing w:val="20"/>
                <w:sz w:val="24"/>
                <w:szCs w:val="24"/>
                <w:highlight w:val="none"/>
              </w:rPr>
            </w:pPr>
          </w:p>
        </w:tc>
      </w:tr>
      <w:tr w14:paraId="142A2A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DFD1FB5">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445D1834">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4C4BFCBB">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开户名称</w:t>
            </w:r>
          </w:p>
        </w:tc>
        <w:tc>
          <w:tcPr>
            <w:tcW w:w="2116" w:type="dxa"/>
            <w:tcBorders>
              <w:top w:val="single" w:color="auto" w:sz="2" w:space="0"/>
              <w:left w:val="single" w:color="auto" w:sz="2" w:space="0"/>
              <w:bottom w:val="single" w:color="auto" w:sz="2" w:space="0"/>
            </w:tcBorders>
            <w:vAlign w:val="center"/>
          </w:tcPr>
          <w:p w14:paraId="1A1EACA9">
            <w:pPr>
              <w:adjustRightInd w:val="0"/>
              <w:snapToGrid w:val="0"/>
              <w:spacing w:line="300" w:lineRule="exact"/>
              <w:jc w:val="center"/>
              <w:outlineLvl w:val="9"/>
              <w:rPr>
                <w:rFonts w:hint="eastAsia" w:ascii="微软雅黑" w:hAnsi="微软雅黑" w:eastAsia="微软雅黑" w:cs="微软雅黑"/>
                <w:color w:val="auto"/>
                <w:spacing w:val="20"/>
                <w:sz w:val="24"/>
                <w:szCs w:val="24"/>
                <w:highlight w:val="none"/>
              </w:rPr>
            </w:pPr>
          </w:p>
        </w:tc>
      </w:tr>
      <w:tr w14:paraId="2D89005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9B3B9F8">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4F3B0ADB">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0AD880E8">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开户银行</w:t>
            </w:r>
          </w:p>
        </w:tc>
        <w:tc>
          <w:tcPr>
            <w:tcW w:w="2116" w:type="dxa"/>
            <w:tcBorders>
              <w:top w:val="single" w:color="auto" w:sz="2" w:space="0"/>
              <w:left w:val="single" w:color="auto" w:sz="2" w:space="0"/>
              <w:bottom w:val="single" w:color="auto" w:sz="2" w:space="0"/>
            </w:tcBorders>
            <w:vAlign w:val="center"/>
          </w:tcPr>
          <w:p w14:paraId="4ED2AB0D">
            <w:pPr>
              <w:adjustRightInd w:val="0"/>
              <w:snapToGrid w:val="0"/>
              <w:spacing w:line="300" w:lineRule="exact"/>
              <w:jc w:val="center"/>
              <w:outlineLvl w:val="9"/>
              <w:rPr>
                <w:rFonts w:hint="eastAsia" w:ascii="微软雅黑" w:hAnsi="微软雅黑" w:eastAsia="微软雅黑" w:cs="微软雅黑"/>
                <w:color w:val="auto"/>
                <w:spacing w:val="20"/>
                <w:sz w:val="24"/>
                <w:szCs w:val="24"/>
                <w:highlight w:val="none"/>
              </w:rPr>
            </w:pPr>
          </w:p>
        </w:tc>
      </w:tr>
      <w:tr w14:paraId="46026B8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5B2F594">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362F4DAC">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7C32E3EB">
            <w:pPr>
              <w:adjustRightInd w:val="0"/>
              <w:snapToGrid w:val="0"/>
              <w:spacing w:line="300" w:lineRule="exact"/>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银行账号</w:t>
            </w:r>
          </w:p>
        </w:tc>
        <w:tc>
          <w:tcPr>
            <w:tcW w:w="2116" w:type="dxa"/>
            <w:tcBorders>
              <w:top w:val="single" w:color="auto" w:sz="2" w:space="0"/>
              <w:left w:val="single" w:color="auto" w:sz="2" w:space="0"/>
              <w:bottom w:val="single" w:color="auto" w:sz="2" w:space="0"/>
            </w:tcBorders>
            <w:vAlign w:val="center"/>
          </w:tcPr>
          <w:p w14:paraId="1E86323B">
            <w:pPr>
              <w:adjustRightInd w:val="0"/>
              <w:snapToGrid w:val="0"/>
              <w:spacing w:line="300" w:lineRule="exact"/>
              <w:jc w:val="center"/>
              <w:outlineLvl w:val="9"/>
              <w:rPr>
                <w:rFonts w:hint="eastAsia" w:ascii="微软雅黑" w:hAnsi="微软雅黑" w:eastAsia="微软雅黑" w:cs="微软雅黑"/>
                <w:color w:val="auto"/>
                <w:spacing w:val="20"/>
                <w:sz w:val="24"/>
                <w:szCs w:val="24"/>
                <w:highlight w:val="none"/>
              </w:rPr>
            </w:pPr>
          </w:p>
        </w:tc>
      </w:tr>
      <w:tr w14:paraId="4DF272B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20FA4D08">
            <w:pPr>
              <w:pStyle w:val="13"/>
              <w:adjustRightInd w:val="0"/>
              <w:snapToGrid w:val="0"/>
              <w:spacing w:before="156" w:beforeLines="50" w:after="0" w:line="360" w:lineRule="auto"/>
              <w:ind w:left="0" w:leftChars="0"/>
              <w:jc w:val="left"/>
              <w:outlineLvl w:val="9"/>
              <w:rPr>
                <w:rFonts w:hint="eastAsia" w:ascii="微软雅黑" w:hAnsi="微软雅黑" w:eastAsia="微软雅黑" w:cs="微软雅黑"/>
                <w:color w:val="auto"/>
                <w:spacing w:val="20"/>
                <w:sz w:val="24"/>
                <w:szCs w:val="24"/>
                <w:highlight w:val="none"/>
              </w:rPr>
            </w:pPr>
            <w:r>
              <w:rPr>
                <w:rFonts w:hint="eastAsia" w:ascii="微软雅黑" w:hAnsi="微软雅黑" w:eastAsia="微软雅黑" w:cs="微软雅黑"/>
                <w:color w:val="auto"/>
                <w:sz w:val="24"/>
                <w:szCs w:val="24"/>
                <w:highlight w:val="none"/>
              </w:rPr>
              <w:t>注：涉及联合体或其他合同主体的信息应按上表格式加列。</w:t>
            </w:r>
          </w:p>
        </w:tc>
      </w:tr>
    </w:tbl>
    <w:p w14:paraId="6C07ED0F">
      <w:pPr>
        <w:adjustRightInd w:val="0"/>
        <w:snapToGrid w:val="0"/>
        <w:spacing w:before="156" w:beforeLines="50"/>
        <w:jc w:val="center"/>
        <w:outlineLvl w:val="9"/>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4"/>
          <w:szCs w:val="24"/>
          <w:highlight w:val="none"/>
          <w:u w:val="single"/>
        </w:rPr>
        <w:br w:type="page"/>
      </w:r>
      <w:bookmarkStart w:id="2074" w:name="_Toc27624"/>
      <w:r>
        <w:rPr>
          <w:rFonts w:hint="eastAsia" w:ascii="微软雅黑" w:hAnsi="微软雅黑" w:eastAsia="微软雅黑" w:cs="微软雅黑"/>
          <w:b w:val="0"/>
          <w:bCs w:val="0"/>
          <w:color w:val="auto"/>
          <w:sz w:val="28"/>
          <w:szCs w:val="28"/>
          <w:highlight w:val="none"/>
        </w:rPr>
        <w:t>第二节 政府采购合同通用条款</w:t>
      </w:r>
      <w:bookmarkEnd w:id="2074"/>
    </w:p>
    <w:p w14:paraId="4436F264">
      <w:pPr>
        <w:tabs>
          <w:tab w:val="left" w:pos="8820"/>
          <w:tab w:val="left" w:pos="9345"/>
          <w:tab w:val="left" w:pos="9765"/>
        </w:tabs>
        <w:adjustRightInd w:val="0"/>
        <w:snapToGrid w:val="0"/>
        <w:spacing w:before="0" w:line="400" w:lineRule="exact"/>
        <w:jc w:val="left"/>
        <w:outlineLvl w:val="9"/>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color w:val="auto"/>
          <w:sz w:val="24"/>
          <w:szCs w:val="24"/>
          <w:highlight w:val="none"/>
        </w:rPr>
        <w:t>1.</w:t>
      </w:r>
      <w:r>
        <w:rPr>
          <w:rFonts w:hint="eastAsia" w:ascii="微软雅黑" w:hAnsi="微软雅黑" w:eastAsia="微软雅黑" w:cs="微软雅黑"/>
          <w:b/>
          <w:color w:val="auto"/>
          <w:sz w:val="24"/>
          <w:szCs w:val="24"/>
          <w:highlight w:val="none"/>
          <w:lang w:val="en-US" w:eastAsia="zh-CN"/>
        </w:rPr>
        <w:t xml:space="preserve"> </w:t>
      </w:r>
      <w:r>
        <w:rPr>
          <w:rFonts w:hint="eastAsia" w:ascii="微软雅黑" w:hAnsi="微软雅黑" w:eastAsia="微软雅黑" w:cs="微软雅黑"/>
          <w:b/>
          <w:bCs/>
          <w:color w:val="auto"/>
          <w:sz w:val="24"/>
          <w:szCs w:val="24"/>
          <w:highlight w:val="none"/>
        </w:rPr>
        <w:t>定义</w:t>
      </w:r>
    </w:p>
    <w:p w14:paraId="3712FB50">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1.1合同当事人</w:t>
      </w:r>
    </w:p>
    <w:p w14:paraId="20E3D5B2">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（1）采购人（以下称甲方）是指使用财政性资金，通过政府采购方式向供应商购买货物</w:t>
      </w:r>
      <w:r>
        <w:rPr>
          <w:rFonts w:hint="eastAsia" w:ascii="微软雅黑" w:hAnsi="微软雅黑" w:eastAsia="微软雅黑" w:cs="微软雅黑"/>
          <w:color w:val="auto"/>
          <w:sz w:val="24"/>
          <w:szCs w:val="24"/>
          <w:highlight w:val="none"/>
          <w:lang w:val="en-US" w:eastAsia="zh-CN"/>
        </w:rPr>
        <w:t>及其相关服务的</w:t>
      </w:r>
      <w:r>
        <w:rPr>
          <w:rFonts w:hint="eastAsia" w:ascii="微软雅黑" w:hAnsi="微软雅黑" w:eastAsia="微软雅黑" w:cs="微软雅黑"/>
          <w:color w:val="auto"/>
          <w:sz w:val="24"/>
          <w:szCs w:val="24"/>
          <w:highlight w:val="none"/>
        </w:rPr>
        <w:t>国家机关、事业单位、团体组织。</w:t>
      </w:r>
    </w:p>
    <w:p w14:paraId="7DDC9168">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（2）供应商（以下称</w:t>
      </w:r>
      <w:r>
        <w:rPr>
          <w:rFonts w:hint="eastAsia" w:ascii="微软雅黑" w:hAnsi="微软雅黑" w:eastAsia="微软雅黑" w:cs="微软雅黑"/>
          <w:color w:val="auto"/>
          <w:sz w:val="24"/>
          <w:szCs w:val="24"/>
          <w:highlight w:val="none"/>
          <w:lang w:eastAsia="zh-CN"/>
        </w:rPr>
        <w:t>乙</w:t>
      </w:r>
      <w:r>
        <w:rPr>
          <w:rFonts w:hint="eastAsia" w:ascii="微软雅黑" w:hAnsi="微软雅黑" w:eastAsia="微软雅黑" w:cs="微软雅黑"/>
          <w:color w:val="auto"/>
          <w:sz w:val="24"/>
          <w:szCs w:val="24"/>
          <w:highlight w:val="none"/>
        </w:rPr>
        <w:t>方）是指参加政府采购活动并且中标（成交），向采购人提供</w:t>
      </w:r>
      <w:r>
        <w:rPr>
          <w:rFonts w:hint="eastAsia" w:ascii="微软雅黑" w:hAnsi="微软雅黑" w:eastAsia="微软雅黑" w:cs="微软雅黑"/>
          <w:color w:val="auto"/>
          <w:sz w:val="24"/>
          <w:szCs w:val="24"/>
          <w:highlight w:val="none"/>
          <w:lang w:val="en-US" w:eastAsia="zh-CN"/>
        </w:rPr>
        <w:t>合同约定的货物及其相关服务的法人、非法人组织或者自然人</w:t>
      </w:r>
      <w:r>
        <w:rPr>
          <w:rFonts w:hint="eastAsia" w:ascii="微软雅黑" w:hAnsi="微软雅黑" w:eastAsia="微软雅黑" w:cs="微软雅黑"/>
          <w:color w:val="auto"/>
          <w:sz w:val="24"/>
          <w:szCs w:val="24"/>
          <w:highlight w:val="none"/>
        </w:rPr>
        <w:t>。</w:t>
      </w:r>
    </w:p>
    <w:p w14:paraId="72DCF7CF">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（3）其他合同主体是指除采购人和供应商以外，</w:t>
      </w:r>
      <w:r>
        <w:rPr>
          <w:rFonts w:hint="eastAsia" w:ascii="微软雅黑" w:hAnsi="微软雅黑" w:eastAsia="微软雅黑" w:cs="微软雅黑"/>
          <w:bCs/>
          <w:color w:val="auto"/>
          <w:sz w:val="24"/>
          <w:szCs w:val="24"/>
          <w:highlight w:val="none"/>
        </w:rPr>
        <w:t>依法参与合同缔结或履行，享有权利、承担义务的合同当事人</w:t>
      </w:r>
      <w:r>
        <w:rPr>
          <w:rFonts w:hint="eastAsia" w:ascii="微软雅黑" w:hAnsi="微软雅黑" w:eastAsia="微软雅黑" w:cs="微软雅黑"/>
          <w:color w:val="auto"/>
          <w:sz w:val="24"/>
          <w:szCs w:val="24"/>
          <w:highlight w:val="none"/>
        </w:rPr>
        <w:t>。</w:t>
      </w:r>
    </w:p>
    <w:p w14:paraId="6341AB51">
      <w:pPr>
        <w:tabs>
          <w:tab w:val="left" w:pos="570"/>
          <w:tab w:val="left" w:pos="9240"/>
          <w:tab w:val="left" w:pos="9555"/>
        </w:tabs>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1.2本合同下列术语应解释为：</w:t>
      </w:r>
    </w:p>
    <w:p w14:paraId="3F29CF3A">
      <w:pPr>
        <w:adjustRightInd w:val="0"/>
        <w:snapToGrid w:val="0"/>
        <w:spacing w:before="0" w:beforeLines="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（1）“合同”系指</w:t>
      </w:r>
      <w:r>
        <w:rPr>
          <w:rFonts w:hint="eastAsia" w:ascii="微软雅黑" w:hAnsi="微软雅黑" w:eastAsia="微软雅黑" w:cs="微软雅黑"/>
          <w:bCs/>
          <w:color w:val="auto"/>
          <w:sz w:val="24"/>
          <w:szCs w:val="24"/>
          <w:highlight w:val="none"/>
        </w:rPr>
        <w:t>合同当事人意思表示达成一致的任何协议，包括签署的</w:t>
      </w:r>
      <w:r>
        <w:rPr>
          <w:rFonts w:hint="eastAsia" w:ascii="微软雅黑" w:hAnsi="微软雅黑" w:eastAsia="微软雅黑" w:cs="微软雅黑"/>
          <w:color w:val="auto"/>
          <w:sz w:val="24"/>
          <w:szCs w:val="24"/>
          <w:highlight w:val="none"/>
          <w:lang w:eastAsia="zh-CN"/>
        </w:rPr>
        <w:t>政府采购</w:t>
      </w:r>
      <w:r>
        <w:rPr>
          <w:rFonts w:hint="eastAsia" w:ascii="微软雅黑" w:hAnsi="微软雅黑" w:eastAsia="微软雅黑" w:cs="微软雅黑"/>
          <w:color w:val="auto"/>
          <w:sz w:val="24"/>
          <w:szCs w:val="24"/>
          <w:highlight w:val="none"/>
        </w:rPr>
        <w:t>合同协议书及其变更、补充</w:t>
      </w:r>
      <w:r>
        <w:rPr>
          <w:rFonts w:hint="eastAsia" w:ascii="微软雅黑" w:hAnsi="微软雅黑" w:eastAsia="微软雅黑" w:cs="微软雅黑"/>
          <w:color w:val="auto"/>
          <w:sz w:val="24"/>
          <w:szCs w:val="24"/>
          <w:highlight w:val="none"/>
          <w:lang w:eastAsia="zh-CN"/>
        </w:rPr>
        <w:t>协议，</w:t>
      </w:r>
      <w:r>
        <w:rPr>
          <w:rFonts w:hint="eastAsia" w:ascii="微软雅黑" w:hAnsi="微软雅黑" w:eastAsia="微软雅黑" w:cs="微软雅黑"/>
          <w:color w:val="auto"/>
          <w:sz w:val="24"/>
          <w:szCs w:val="24"/>
          <w:highlight w:val="none"/>
        </w:rPr>
        <w:t>政府采购合同专用条款</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政府采购合同通用条款</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中标</w:t>
      </w:r>
      <w:r>
        <w:rPr>
          <w:rFonts w:hint="eastAsia" w:ascii="微软雅黑" w:hAnsi="微软雅黑" w:eastAsia="微软雅黑" w:cs="微软雅黑"/>
          <w:color w:val="auto"/>
          <w:sz w:val="24"/>
          <w:szCs w:val="24"/>
          <w:highlight w:val="none"/>
          <w:lang w:eastAsia="zh-CN"/>
        </w:rPr>
        <w:t>（成交）</w:t>
      </w:r>
      <w:r>
        <w:rPr>
          <w:rFonts w:hint="eastAsia" w:ascii="微软雅黑" w:hAnsi="微软雅黑" w:eastAsia="微软雅黑" w:cs="微软雅黑"/>
          <w:color w:val="auto"/>
          <w:sz w:val="24"/>
          <w:szCs w:val="24"/>
          <w:highlight w:val="none"/>
        </w:rPr>
        <w:t>通知书</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投标（响应）文件</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采购文件</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有关技术文件</w:t>
      </w:r>
      <w:r>
        <w:rPr>
          <w:rFonts w:hint="eastAsia" w:ascii="微软雅黑" w:hAnsi="微软雅黑" w:eastAsia="微软雅黑" w:cs="微软雅黑"/>
          <w:color w:val="auto"/>
          <w:sz w:val="24"/>
          <w:szCs w:val="24"/>
          <w:highlight w:val="none"/>
          <w:lang w:eastAsia="zh-CN"/>
        </w:rPr>
        <w:t>和</w:t>
      </w:r>
      <w:r>
        <w:rPr>
          <w:rFonts w:hint="eastAsia" w:ascii="微软雅黑" w:hAnsi="微软雅黑" w:eastAsia="微软雅黑" w:cs="微软雅黑"/>
          <w:color w:val="auto"/>
          <w:sz w:val="24"/>
          <w:szCs w:val="24"/>
          <w:highlight w:val="none"/>
        </w:rPr>
        <w:t>图纸</w:t>
      </w:r>
      <w:r>
        <w:rPr>
          <w:rFonts w:hint="eastAsia" w:ascii="微软雅黑" w:hAnsi="微软雅黑" w:eastAsia="微软雅黑" w:cs="微软雅黑"/>
          <w:color w:val="auto"/>
          <w:sz w:val="24"/>
          <w:szCs w:val="24"/>
          <w:highlight w:val="none"/>
          <w:lang w:eastAsia="zh-CN"/>
        </w:rPr>
        <w:t>，以及</w:t>
      </w:r>
      <w:r>
        <w:rPr>
          <w:rFonts w:hint="eastAsia" w:ascii="微软雅黑" w:hAnsi="微软雅黑" w:eastAsia="微软雅黑" w:cs="微软雅黑"/>
          <w:bCs w:val="0"/>
          <w:color w:val="auto"/>
          <w:kern w:val="2"/>
          <w:sz w:val="24"/>
          <w:szCs w:val="24"/>
          <w:highlight w:val="none"/>
          <w:lang w:eastAsia="zh-CN"/>
        </w:rPr>
        <w:t>国家法律、行政法规和规章制度规定或合同约定的作为合同组成部分的其他文件</w:t>
      </w:r>
      <w:r>
        <w:rPr>
          <w:rFonts w:hint="eastAsia" w:ascii="微软雅黑" w:hAnsi="微软雅黑" w:eastAsia="微软雅黑" w:cs="微软雅黑"/>
          <w:color w:val="auto"/>
          <w:sz w:val="24"/>
          <w:szCs w:val="24"/>
          <w:highlight w:val="none"/>
        </w:rPr>
        <w:t>。</w:t>
      </w:r>
    </w:p>
    <w:p w14:paraId="6255C4F6">
      <w:pPr>
        <w:tabs>
          <w:tab w:val="left" w:pos="570"/>
          <w:tab w:val="left" w:pos="9240"/>
          <w:tab w:val="left" w:pos="9555"/>
        </w:tabs>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rPr>
        <w:t>）“合同价</w:t>
      </w:r>
      <w:r>
        <w:rPr>
          <w:rFonts w:hint="eastAsia" w:ascii="微软雅黑" w:hAnsi="微软雅黑" w:eastAsia="微软雅黑" w:cs="微软雅黑"/>
          <w:color w:val="auto"/>
          <w:sz w:val="24"/>
          <w:szCs w:val="24"/>
          <w:highlight w:val="none"/>
          <w:lang w:val="en-US" w:eastAsia="zh-CN"/>
        </w:rPr>
        <w:t>款</w:t>
      </w:r>
      <w:r>
        <w:rPr>
          <w:rFonts w:hint="eastAsia" w:ascii="微软雅黑" w:hAnsi="微软雅黑" w:eastAsia="微软雅黑" w:cs="微软雅黑"/>
          <w:color w:val="auto"/>
          <w:sz w:val="24"/>
          <w:szCs w:val="24"/>
          <w:highlight w:val="none"/>
        </w:rPr>
        <w:t>”系指根据本合同规定乙方在全面履行合同义务后甲方应支付给乙方的价款。</w:t>
      </w:r>
    </w:p>
    <w:p w14:paraId="6AC69013">
      <w:pPr>
        <w:tabs>
          <w:tab w:val="left" w:pos="570"/>
          <w:tab w:val="left" w:pos="9240"/>
          <w:tab w:val="left" w:pos="9555"/>
        </w:tabs>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）“货物”系指乙方根据本合同规定须向甲方提供的各种形态和种类的物品，包括原材料、设备、产品（包括软件）及相关的其备品备件、工具、手册及</w:t>
      </w:r>
      <w:r>
        <w:rPr>
          <w:rFonts w:hint="eastAsia" w:ascii="微软雅黑" w:hAnsi="微软雅黑" w:eastAsia="微软雅黑" w:cs="微软雅黑"/>
          <w:color w:val="auto"/>
          <w:sz w:val="24"/>
          <w:szCs w:val="24"/>
          <w:highlight w:val="none"/>
          <w:lang w:val="en"/>
        </w:rPr>
        <w:t>其他</w:t>
      </w:r>
      <w:r>
        <w:rPr>
          <w:rFonts w:hint="eastAsia" w:ascii="微软雅黑" w:hAnsi="微软雅黑" w:eastAsia="微软雅黑" w:cs="微软雅黑"/>
          <w:color w:val="auto"/>
          <w:sz w:val="24"/>
          <w:szCs w:val="24"/>
          <w:highlight w:val="none"/>
        </w:rPr>
        <w:t>技术资料和材料</w:t>
      </w:r>
      <w:r>
        <w:rPr>
          <w:rFonts w:hint="eastAsia" w:ascii="微软雅黑" w:hAnsi="微软雅黑" w:eastAsia="微软雅黑" w:cs="微软雅黑"/>
          <w:color w:val="auto"/>
          <w:sz w:val="24"/>
          <w:szCs w:val="24"/>
          <w:highlight w:val="none"/>
          <w:lang w:eastAsia="zh-CN"/>
        </w:rPr>
        <w:t>等</w:t>
      </w:r>
      <w:r>
        <w:rPr>
          <w:rFonts w:hint="eastAsia" w:ascii="微软雅黑" w:hAnsi="微软雅黑" w:eastAsia="微软雅黑" w:cs="微软雅黑"/>
          <w:color w:val="auto"/>
          <w:sz w:val="24"/>
          <w:szCs w:val="24"/>
          <w:highlight w:val="none"/>
        </w:rPr>
        <w:t>。</w:t>
      </w:r>
    </w:p>
    <w:p w14:paraId="65FBF01F">
      <w:pPr>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4</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相关</w:t>
      </w:r>
      <w:r>
        <w:rPr>
          <w:rFonts w:hint="eastAsia" w:ascii="微软雅黑" w:hAnsi="微软雅黑" w:eastAsia="微软雅黑" w:cs="微软雅黑"/>
          <w:color w:val="auto"/>
          <w:sz w:val="24"/>
          <w:szCs w:val="24"/>
          <w:highlight w:val="none"/>
        </w:rPr>
        <w:t>服务”系指根据合同规定，乙方应提供的</w:t>
      </w:r>
      <w:r>
        <w:rPr>
          <w:rFonts w:hint="eastAsia" w:ascii="微软雅黑" w:hAnsi="微软雅黑" w:eastAsia="微软雅黑" w:cs="微软雅黑"/>
          <w:color w:val="auto"/>
          <w:sz w:val="24"/>
          <w:szCs w:val="24"/>
          <w:highlight w:val="none"/>
          <w:lang w:val="en-US" w:eastAsia="zh-CN"/>
        </w:rPr>
        <w:t>与货物有关的</w:t>
      </w:r>
      <w:r>
        <w:rPr>
          <w:rFonts w:hint="eastAsia" w:ascii="微软雅黑" w:hAnsi="微软雅黑" w:eastAsia="微软雅黑" w:cs="微软雅黑"/>
          <w:color w:val="auto"/>
          <w:sz w:val="24"/>
          <w:szCs w:val="24"/>
          <w:highlight w:val="none"/>
        </w:rPr>
        <w:t>技术、管理和</w:t>
      </w:r>
      <w:r>
        <w:rPr>
          <w:rFonts w:hint="eastAsia" w:ascii="微软雅黑" w:hAnsi="微软雅黑" w:eastAsia="微软雅黑" w:cs="微软雅黑"/>
          <w:color w:val="auto"/>
          <w:sz w:val="24"/>
          <w:szCs w:val="24"/>
          <w:highlight w:val="none"/>
          <w:lang w:val="en"/>
        </w:rPr>
        <w:t>其他</w:t>
      </w:r>
      <w:r>
        <w:rPr>
          <w:rFonts w:hint="eastAsia" w:ascii="微软雅黑" w:hAnsi="微软雅黑" w:eastAsia="微软雅黑" w:cs="微软雅黑"/>
          <w:color w:val="auto"/>
          <w:sz w:val="24"/>
          <w:szCs w:val="24"/>
          <w:highlight w:val="none"/>
        </w:rPr>
        <w:t>服务，包括但不限于：管理和质量保证、运输、保险、检验、现场准备、安装、集成、调试、培训、维修、</w:t>
      </w:r>
      <w:r>
        <w:rPr>
          <w:rFonts w:hint="eastAsia" w:ascii="微软雅黑" w:hAnsi="微软雅黑" w:eastAsia="微软雅黑" w:cs="微软雅黑"/>
          <w:color w:val="auto"/>
          <w:sz w:val="24"/>
          <w:szCs w:val="24"/>
          <w:highlight w:val="none"/>
          <w:lang w:eastAsia="zh-CN"/>
        </w:rPr>
        <w:t>废弃处置、</w:t>
      </w:r>
      <w:r>
        <w:rPr>
          <w:rFonts w:hint="eastAsia" w:ascii="微软雅黑" w:hAnsi="微软雅黑" w:eastAsia="微软雅黑" w:cs="微软雅黑"/>
          <w:color w:val="auto"/>
          <w:sz w:val="24"/>
          <w:szCs w:val="24"/>
          <w:highlight w:val="none"/>
        </w:rPr>
        <w:t>技术支持等以及合同中规定乙方应承担的</w:t>
      </w:r>
      <w:r>
        <w:rPr>
          <w:rFonts w:hint="eastAsia" w:ascii="微软雅黑" w:hAnsi="微软雅黑" w:eastAsia="微软雅黑" w:cs="微软雅黑"/>
          <w:color w:val="auto"/>
          <w:sz w:val="24"/>
          <w:szCs w:val="24"/>
          <w:highlight w:val="none"/>
          <w:lang w:val="en"/>
        </w:rPr>
        <w:t>其他</w:t>
      </w:r>
      <w:r>
        <w:rPr>
          <w:rFonts w:hint="eastAsia" w:ascii="微软雅黑" w:hAnsi="微软雅黑" w:eastAsia="微软雅黑" w:cs="微软雅黑"/>
          <w:color w:val="auto"/>
          <w:sz w:val="24"/>
          <w:szCs w:val="24"/>
          <w:highlight w:val="none"/>
        </w:rPr>
        <w:t>义务。</w:t>
      </w:r>
    </w:p>
    <w:p w14:paraId="3E285D4B">
      <w:pPr>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5</w:t>
      </w:r>
      <w:r>
        <w:rPr>
          <w:rFonts w:hint="eastAsia" w:ascii="微软雅黑" w:hAnsi="微软雅黑" w:eastAsia="微软雅黑" w:cs="微软雅黑"/>
          <w:color w:val="auto"/>
          <w:sz w:val="24"/>
          <w:szCs w:val="24"/>
          <w:highlight w:val="none"/>
        </w:rPr>
        <w:t>）“分包”系指中标</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成交</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供应商按采购文件、投标（响应）文件的规定，根据分包意向协议，将中标</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成交</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项目中的部分履约内容，分给具有相应资质条件的供应商履行合同的行为。</w:t>
      </w:r>
    </w:p>
    <w:p w14:paraId="5087F71B">
      <w:pPr>
        <w:tabs>
          <w:tab w:val="left" w:pos="570"/>
          <w:tab w:val="left" w:pos="9240"/>
          <w:tab w:val="left" w:pos="9555"/>
        </w:tabs>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6</w:t>
      </w:r>
      <w:r>
        <w:rPr>
          <w:rFonts w:hint="eastAsia" w:ascii="微软雅黑" w:hAnsi="微软雅黑" w:eastAsia="微软雅黑" w:cs="微软雅黑"/>
          <w:color w:val="auto"/>
          <w:sz w:val="24"/>
          <w:szCs w:val="24"/>
          <w:highlight w:val="none"/>
        </w:rPr>
        <w:t>）“联合体”系指</w:t>
      </w:r>
      <w:r>
        <w:rPr>
          <w:rFonts w:hint="eastAsia" w:ascii="微软雅黑" w:hAnsi="微软雅黑" w:eastAsia="微软雅黑" w:cs="微软雅黑"/>
          <w:color w:val="auto"/>
          <w:sz w:val="24"/>
          <w:szCs w:val="24"/>
          <w:highlight w:val="none"/>
          <w:lang w:eastAsia="zh-CN"/>
        </w:rPr>
        <w:t>由</w:t>
      </w:r>
      <w:r>
        <w:rPr>
          <w:rFonts w:hint="eastAsia" w:ascii="微软雅黑" w:hAnsi="微软雅黑" w:eastAsia="微软雅黑" w:cs="微软雅黑"/>
          <w:color w:val="auto"/>
          <w:sz w:val="24"/>
          <w:szCs w:val="24"/>
          <w:highlight w:val="none"/>
        </w:rPr>
        <w:t>两个以上的自然人、法人或者</w:t>
      </w:r>
      <w:r>
        <w:rPr>
          <w:rFonts w:hint="eastAsia" w:ascii="微软雅黑" w:hAnsi="微软雅黑" w:eastAsia="微软雅黑" w:cs="微软雅黑"/>
          <w:color w:val="auto"/>
          <w:sz w:val="24"/>
          <w:szCs w:val="24"/>
          <w:highlight w:val="none"/>
          <w:lang w:val="en-US" w:eastAsia="zh-CN"/>
        </w:rPr>
        <w:t>非法人</w:t>
      </w:r>
      <w:r>
        <w:rPr>
          <w:rFonts w:hint="eastAsia" w:ascii="微软雅黑" w:hAnsi="微软雅黑" w:eastAsia="微软雅黑" w:cs="微软雅黑"/>
          <w:color w:val="auto"/>
          <w:sz w:val="24"/>
          <w:szCs w:val="24"/>
          <w:highlight w:val="none"/>
        </w:rPr>
        <w:t>组织组成，</w:t>
      </w:r>
      <w:r>
        <w:rPr>
          <w:rFonts w:hint="eastAsia" w:ascii="微软雅黑" w:hAnsi="微软雅黑" w:eastAsia="微软雅黑" w:cs="微软雅黑"/>
          <w:color w:val="auto"/>
          <w:sz w:val="24"/>
          <w:szCs w:val="24"/>
          <w:highlight w:val="none"/>
          <w:lang w:eastAsia="zh-CN"/>
        </w:rPr>
        <w:t>以一个供应商的身份共同参加政府采购的主体。</w:t>
      </w:r>
      <w:r>
        <w:rPr>
          <w:rFonts w:hint="eastAsia" w:ascii="微软雅黑" w:hAnsi="微软雅黑" w:eastAsia="微软雅黑" w:cs="微软雅黑"/>
          <w:color w:val="auto"/>
          <w:sz w:val="24"/>
          <w:szCs w:val="24"/>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微软雅黑" w:hAnsi="微软雅黑" w:eastAsia="微软雅黑" w:cs="微软雅黑"/>
          <w:color w:val="auto"/>
          <w:sz w:val="24"/>
          <w:szCs w:val="24"/>
          <w:highlight w:val="none"/>
          <w:lang w:eastAsia="zh-CN"/>
        </w:rPr>
        <w:t>甲方</w:t>
      </w:r>
      <w:r>
        <w:rPr>
          <w:rFonts w:hint="eastAsia" w:ascii="微软雅黑" w:hAnsi="微软雅黑" w:eastAsia="微软雅黑" w:cs="微软雅黑"/>
          <w:color w:val="auto"/>
          <w:sz w:val="24"/>
          <w:szCs w:val="24"/>
          <w:highlight w:val="none"/>
        </w:rPr>
        <w:t>承担连带责任。联合体具体要求见【</w:t>
      </w:r>
      <w:r>
        <w:rPr>
          <w:rFonts w:hint="eastAsia" w:ascii="微软雅黑" w:hAnsi="微软雅黑" w:eastAsia="微软雅黑" w:cs="微软雅黑"/>
          <w:b/>
          <w:bCs/>
          <w:color w:val="auto"/>
          <w:sz w:val="24"/>
          <w:szCs w:val="24"/>
          <w:highlight w:val="none"/>
        </w:rPr>
        <w:t>政府采购合同专用条款</w:t>
      </w:r>
      <w:r>
        <w:rPr>
          <w:rFonts w:hint="eastAsia" w:ascii="微软雅黑" w:hAnsi="微软雅黑" w:eastAsia="微软雅黑" w:cs="微软雅黑"/>
          <w:color w:val="auto"/>
          <w:sz w:val="24"/>
          <w:szCs w:val="24"/>
          <w:highlight w:val="none"/>
        </w:rPr>
        <w:t>】。</w:t>
      </w:r>
    </w:p>
    <w:p w14:paraId="3F3A253F">
      <w:pPr>
        <w:tabs>
          <w:tab w:val="left" w:pos="570"/>
          <w:tab w:val="left" w:pos="9240"/>
          <w:tab w:val="left" w:pos="9555"/>
        </w:tabs>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7</w:t>
      </w:r>
      <w:r>
        <w:rPr>
          <w:rFonts w:hint="eastAsia" w:ascii="微软雅黑" w:hAnsi="微软雅黑" w:eastAsia="微软雅黑" w:cs="微软雅黑"/>
          <w:color w:val="auto"/>
          <w:sz w:val="24"/>
          <w:szCs w:val="24"/>
          <w:highlight w:val="none"/>
        </w:rPr>
        <w:t>）其他术语解释，见【</w:t>
      </w:r>
      <w:r>
        <w:rPr>
          <w:rFonts w:hint="eastAsia" w:ascii="微软雅黑" w:hAnsi="微软雅黑" w:eastAsia="微软雅黑" w:cs="微软雅黑"/>
          <w:b/>
          <w:bCs/>
          <w:color w:val="auto"/>
          <w:sz w:val="24"/>
          <w:szCs w:val="24"/>
          <w:highlight w:val="none"/>
        </w:rPr>
        <w:t>政府采购合同专用条款</w:t>
      </w:r>
      <w:r>
        <w:rPr>
          <w:rFonts w:hint="eastAsia" w:ascii="微软雅黑" w:hAnsi="微软雅黑" w:eastAsia="微软雅黑" w:cs="微软雅黑"/>
          <w:color w:val="auto"/>
          <w:sz w:val="24"/>
          <w:szCs w:val="24"/>
          <w:highlight w:val="none"/>
        </w:rPr>
        <w:t>】。</w:t>
      </w:r>
    </w:p>
    <w:p w14:paraId="7184E6FA">
      <w:pPr>
        <w:numPr>
          <w:ilvl w:val="0"/>
          <w:numId w:val="10"/>
        </w:numPr>
        <w:autoSpaceDE w:val="0"/>
        <w:autoSpaceDN w:val="0"/>
        <w:adjustRightInd w:val="0"/>
        <w:snapToGrid w:val="0"/>
        <w:spacing w:before="0" w:line="400" w:lineRule="exact"/>
        <w:jc w:val="left"/>
        <w:outlineLvl w:val="9"/>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color w:val="auto"/>
          <w:sz w:val="24"/>
          <w:szCs w:val="24"/>
          <w:highlight w:val="none"/>
        </w:rPr>
        <w:t>合同标的及金额</w:t>
      </w:r>
    </w:p>
    <w:p w14:paraId="55086D9F">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b/>
          <w:bCs/>
          <w:i/>
          <w:iCs/>
          <w:color w:val="auto"/>
          <w:sz w:val="24"/>
          <w:szCs w:val="24"/>
          <w:highlight w:val="none"/>
        </w:rPr>
      </w:pPr>
      <w:r>
        <w:rPr>
          <w:rFonts w:hint="eastAsia" w:ascii="微软雅黑" w:hAnsi="微软雅黑" w:eastAsia="微软雅黑" w:cs="微软雅黑"/>
          <w:color w:val="auto"/>
          <w:sz w:val="24"/>
          <w:szCs w:val="24"/>
          <w:highlight w:val="none"/>
          <w:lang w:eastAsia="zh-CN"/>
        </w:rPr>
        <w:t>2</w:t>
      </w:r>
      <w:r>
        <w:rPr>
          <w:rFonts w:hint="eastAsia" w:ascii="微软雅黑" w:hAnsi="微软雅黑" w:eastAsia="微软雅黑" w:cs="微软雅黑"/>
          <w:color w:val="auto"/>
          <w:sz w:val="24"/>
          <w:szCs w:val="24"/>
          <w:highlight w:val="none"/>
        </w:rPr>
        <w:t>.1 合同标的及金额应与中标（成交）结果一致。乙方为履行本合同而发生的所有费用均应包含在合同</w:t>
      </w:r>
      <w:r>
        <w:rPr>
          <w:rFonts w:hint="eastAsia" w:ascii="微软雅黑" w:hAnsi="微软雅黑" w:eastAsia="微软雅黑" w:cs="微软雅黑"/>
          <w:color w:val="auto"/>
          <w:sz w:val="24"/>
          <w:szCs w:val="24"/>
          <w:highlight w:val="none"/>
          <w:lang w:eastAsia="zh-CN"/>
        </w:rPr>
        <w:t>价款</w:t>
      </w:r>
      <w:r>
        <w:rPr>
          <w:rFonts w:hint="eastAsia" w:ascii="微软雅黑" w:hAnsi="微软雅黑" w:eastAsia="微软雅黑" w:cs="微软雅黑"/>
          <w:color w:val="auto"/>
          <w:sz w:val="24"/>
          <w:szCs w:val="24"/>
          <w:highlight w:val="none"/>
        </w:rPr>
        <w:t>中，甲方不再另行支付</w:t>
      </w:r>
      <w:r>
        <w:rPr>
          <w:rFonts w:hint="eastAsia" w:ascii="微软雅黑" w:hAnsi="微软雅黑" w:eastAsia="微软雅黑" w:cs="微软雅黑"/>
          <w:color w:val="auto"/>
          <w:sz w:val="24"/>
          <w:szCs w:val="24"/>
          <w:highlight w:val="none"/>
          <w:lang w:val="en"/>
        </w:rPr>
        <w:t>其他</w:t>
      </w:r>
      <w:r>
        <w:rPr>
          <w:rFonts w:hint="eastAsia" w:ascii="微软雅黑" w:hAnsi="微软雅黑" w:eastAsia="微软雅黑" w:cs="微软雅黑"/>
          <w:color w:val="auto"/>
          <w:sz w:val="24"/>
          <w:szCs w:val="24"/>
          <w:highlight w:val="none"/>
        </w:rPr>
        <w:t>任何费用。</w:t>
      </w:r>
    </w:p>
    <w:p w14:paraId="5EBDEE0E">
      <w:pPr>
        <w:adjustRightInd w:val="0"/>
        <w:snapToGrid w:val="0"/>
        <w:spacing w:before="0" w:line="400" w:lineRule="exact"/>
        <w:jc w:val="left"/>
        <w:outlineLvl w:val="9"/>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lang w:eastAsia="zh-CN"/>
        </w:rPr>
        <w:t>3</w:t>
      </w:r>
      <w:r>
        <w:rPr>
          <w:rFonts w:hint="eastAsia" w:ascii="微软雅黑" w:hAnsi="微软雅黑" w:eastAsia="微软雅黑" w:cs="微软雅黑"/>
          <w:b/>
          <w:color w:val="auto"/>
          <w:sz w:val="24"/>
          <w:szCs w:val="24"/>
          <w:highlight w:val="none"/>
          <w:lang w:val="en-US" w:eastAsia="zh-CN"/>
        </w:rPr>
        <w:t xml:space="preserve">. </w:t>
      </w:r>
      <w:r>
        <w:rPr>
          <w:rFonts w:hint="eastAsia" w:ascii="微软雅黑" w:hAnsi="微软雅黑" w:eastAsia="微软雅黑" w:cs="微软雅黑"/>
          <w:b/>
          <w:color w:val="auto"/>
          <w:sz w:val="24"/>
          <w:szCs w:val="24"/>
          <w:highlight w:val="none"/>
        </w:rPr>
        <w:t>履行合同的时间、地点和方式</w:t>
      </w:r>
    </w:p>
    <w:p w14:paraId="6DC496F6">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3</w:t>
      </w:r>
      <w:r>
        <w:rPr>
          <w:rFonts w:hint="eastAsia" w:ascii="微软雅黑" w:hAnsi="微软雅黑" w:eastAsia="微软雅黑" w:cs="微软雅黑"/>
          <w:color w:val="auto"/>
          <w:sz w:val="24"/>
          <w:szCs w:val="24"/>
          <w:highlight w:val="none"/>
        </w:rPr>
        <w:t>.1 乙方应当在约定的时间、地点</w:t>
      </w:r>
      <w:r>
        <w:rPr>
          <w:rFonts w:hint="eastAsia" w:ascii="微软雅黑" w:hAnsi="微软雅黑" w:eastAsia="微软雅黑" w:cs="微软雅黑"/>
          <w:color w:val="auto"/>
          <w:sz w:val="24"/>
          <w:szCs w:val="24"/>
          <w:highlight w:val="none"/>
          <w:lang w:eastAsia="zh-CN"/>
        </w:rPr>
        <w:t>，按照约定</w:t>
      </w:r>
      <w:r>
        <w:rPr>
          <w:rFonts w:hint="eastAsia" w:ascii="微软雅黑" w:hAnsi="微软雅黑" w:eastAsia="微软雅黑" w:cs="微软雅黑"/>
          <w:color w:val="auto"/>
          <w:sz w:val="24"/>
          <w:szCs w:val="24"/>
          <w:highlight w:val="none"/>
        </w:rPr>
        <w:t>方式履行合同。</w:t>
      </w:r>
    </w:p>
    <w:p w14:paraId="0EC5D36C">
      <w:pPr>
        <w:autoSpaceDE w:val="0"/>
        <w:autoSpaceDN w:val="0"/>
        <w:adjustRightInd w:val="0"/>
        <w:snapToGrid w:val="0"/>
        <w:spacing w:before="0" w:line="400" w:lineRule="exact"/>
        <w:jc w:val="left"/>
        <w:outlineLvl w:val="9"/>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lang w:eastAsia="zh-CN"/>
        </w:rPr>
        <w:t>4</w:t>
      </w:r>
      <w:r>
        <w:rPr>
          <w:rFonts w:hint="eastAsia" w:ascii="微软雅黑" w:hAnsi="微软雅黑" w:eastAsia="微软雅黑" w:cs="微软雅黑"/>
          <w:b/>
          <w:bCs/>
          <w:color w:val="auto"/>
          <w:sz w:val="24"/>
          <w:szCs w:val="24"/>
          <w:highlight w:val="none"/>
          <w:lang w:val="en-US" w:eastAsia="zh-CN"/>
        </w:rPr>
        <w:t xml:space="preserve">. </w:t>
      </w:r>
      <w:r>
        <w:rPr>
          <w:rFonts w:hint="eastAsia" w:ascii="微软雅黑" w:hAnsi="微软雅黑" w:eastAsia="微软雅黑" w:cs="微软雅黑"/>
          <w:b/>
          <w:bCs/>
          <w:color w:val="auto"/>
          <w:sz w:val="24"/>
          <w:szCs w:val="24"/>
          <w:highlight w:val="none"/>
        </w:rPr>
        <w:t>甲方的权利和义务</w:t>
      </w:r>
    </w:p>
    <w:p w14:paraId="0C9702FF">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4</w:t>
      </w:r>
      <w:r>
        <w:rPr>
          <w:rFonts w:hint="eastAsia" w:ascii="微软雅黑" w:hAnsi="微软雅黑" w:eastAsia="微软雅黑" w:cs="微软雅黑"/>
          <w:color w:val="auto"/>
          <w:sz w:val="24"/>
          <w:szCs w:val="24"/>
          <w:highlight w:val="none"/>
        </w:rPr>
        <w:t>.1 签署合同后，甲方</w:t>
      </w:r>
      <w:r>
        <w:rPr>
          <w:rFonts w:hint="eastAsia" w:ascii="微软雅黑" w:hAnsi="微软雅黑" w:eastAsia="微软雅黑" w:cs="微软雅黑"/>
          <w:color w:val="auto"/>
          <w:sz w:val="24"/>
          <w:szCs w:val="24"/>
          <w:highlight w:val="none"/>
          <w:lang w:eastAsia="zh-CN"/>
        </w:rPr>
        <w:t>应</w:t>
      </w:r>
      <w:r>
        <w:rPr>
          <w:rFonts w:hint="eastAsia" w:ascii="微软雅黑" w:hAnsi="微软雅黑" w:eastAsia="微软雅黑" w:cs="微软雅黑"/>
          <w:color w:val="auto"/>
          <w:sz w:val="24"/>
          <w:szCs w:val="24"/>
          <w:highlight w:val="none"/>
        </w:rPr>
        <w:t>确定</w:t>
      </w:r>
      <w:r>
        <w:rPr>
          <w:rFonts w:hint="eastAsia" w:ascii="微软雅黑" w:hAnsi="微软雅黑" w:eastAsia="微软雅黑" w:cs="微软雅黑"/>
          <w:color w:val="auto"/>
          <w:sz w:val="24"/>
          <w:szCs w:val="24"/>
          <w:highlight w:val="none"/>
          <w:lang w:val="en-US" w:eastAsia="zh-CN"/>
        </w:rPr>
        <w:t>项目负责人（或项目联系人）</w:t>
      </w:r>
      <w:r>
        <w:rPr>
          <w:rFonts w:hint="eastAsia" w:ascii="微软雅黑" w:hAnsi="微软雅黑" w:eastAsia="微软雅黑" w:cs="微软雅黑"/>
          <w:color w:val="auto"/>
          <w:sz w:val="24"/>
          <w:szCs w:val="24"/>
          <w:highlight w:val="none"/>
        </w:rPr>
        <w:t>，负责与本合同有关的事务。甲方有权对乙方的履约行为进行检查，并及时确认乙方提交的事项。甲方应当配合乙方完成相关项目实施工作。</w:t>
      </w:r>
    </w:p>
    <w:p w14:paraId="63C0D0FD">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4</w:t>
      </w:r>
      <w:r>
        <w:rPr>
          <w:rFonts w:hint="eastAsia" w:ascii="微软雅黑" w:hAnsi="微软雅黑" w:eastAsia="微软雅黑" w:cs="微软雅黑"/>
          <w:color w:val="auto"/>
          <w:sz w:val="24"/>
          <w:szCs w:val="24"/>
          <w:highlight w:val="none"/>
        </w:rPr>
        <w:t>.2 甲方有权要求乙方按时提交各阶段有关安排计划，并有权定期核对乙方提供货物数量、规格、质量等内容。甲方有权督促乙方工作并要求乙方更换不符合要求的货物。</w:t>
      </w:r>
    </w:p>
    <w:p w14:paraId="4211E4E8">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4</w:t>
      </w:r>
      <w:r>
        <w:rPr>
          <w:rFonts w:hint="eastAsia" w:ascii="微软雅黑" w:hAnsi="微软雅黑" w:eastAsia="微软雅黑" w:cs="微软雅黑"/>
          <w:color w:val="auto"/>
          <w:sz w:val="24"/>
          <w:szCs w:val="24"/>
          <w:highlight w:val="none"/>
        </w:rPr>
        <w:t>.3 甲方有权要求乙方对缺陷部分予以修复，并按合同约定享有货物保修及其他合同约定的权利。</w:t>
      </w:r>
    </w:p>
    <w:p w14:paraId="02C1B7B0">
      <w:pPr>
        <w:snapToGrid w:val="0"/>
        <w:spacing w:line="400" w:lineRule="exact"/>
        <w:ind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4.4 甲方应当按照合同约定及时对交付的货物进行验收，</w:t>
      </w:r>
      <w:r>
        <w:rPr>
          <w:rFonts w:hint="eastAsia" w:ascii="微软雅黑" w:hAnsi="微软雅黑" w:eastAsia="微软雅黑" w:cs="微软雅黑"/>
          <w:b w:val="0"/>
          <w:bCs w:val="0"/>
          <w:color w:val="auto"/>
          <w:sz w:val="24"/>
          <w:szCs w:val="24"/>
          <w:highlight w:val="none"/>
          <w:lang w:eastAsia="zh-CN"/>
        </w:rPr>
        <w:t>未</w:t>
      </w:r>
      <w:r>
        <w:rPr>
          <w:rFonts w:hint="eastAsia" w:ascii="微软雅黑" w:hAnsi="微软雅黑" w:eastAsia="微软雅黑" w:cs="微软雅黑"/>
          <w:color w:val="auto"/>
          <w:sz w:val="24"/>
          <w:szCs w:val="24"/>
          <w:highlight w:val="none"/>
          <w:lang w:val="en-US" w:eastAsia="zh-CN"/>
        </w:rPr>
        <w:t>在</w:t>
      </w:r>
      <w:r>
        <w:rPr>
          <w:rFonts w:hint="eastAsia" w:ascii="微软雅黑" w:hAnsi="微软雅黑" w:eastAsia="微软雅黑" w:cs="微软雅黑"/>
          <w:b/>
          <w:bCs/>
          <w:color w:val="auto"/>
          <w:sz w:val="24"/>
          <w:szCs w:val="24"/>
          <w:highlight w:val="none"/>
        </w:rPr>
        <w:t>【政府采购合同专用条款】</w:t>
      </w:r>
      <w:r>
        <w:rPr>
          <w:rFonts w:hint="eastAsia" w:ascii="微软雅黑" w:hAnsi="微软雅黑" w:eastAsia="微软雅黑" w:cs="微软雅黑"/>
          <w:b w:val="0"/>
          <w:bCs w:val="0"/>
          <w:color w:val="auto"/>
          <w:sz w:val="24"/>
          <w:szCs w:val="24"/>
          <w:highlight w:val="none"/>
          <w:lang w:eastAsia="zh-CN"/>
        </w:rPr>
        <w:t>约定的期限内对乙方履约提出任何异议或者向乙方作出任何说明的，</w:t>
      </w:r>
      <w:r>
        <w:rPr>
          <w:rFonts w:hint="eastAsia" w:ascii="微软雅黑" w:hAnsi="微软雅黑" w:eastAsia="微软雅黑" w:cs="微软雅黑"/>
          <w:color w:val="auto"/>
          <w:sz w:val="24"/>
          <w:szCs w:val="24"/>
          <w:highlight w:val="none"/>
          <w:lang w:val="en-US" w:eastAsia="zh-CN"/>
        </w:rPr>
        <w:t>视为验收通过。</w:t>
      </w:r>
    </w:p>
    <w:p w14:paraId="718DAF6C">
      <w:pPr>
        <w:autoSpaceDE w:val="0"/>
        <w:autoSpaceDN w:val="0"/>
        <w:adjustRightInd w:val="0"/>
        <w:snapToGrid w:val="0"/>
        <w:spacing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4</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5</w:t>
      </w:r>
      <w:r>
        <w:rPr>
          <w:rFonts w:hint="eastAsia" w:ascii="微软雅黑" w:hAnsi="微软雅黑" w:eastAsia="微软雅黑" w:cs="微软雅黑"/>
          <w:color w:val="auto"/>
          <w:sz w:val="24"/>
          <w:szCs w:val="24"/>
          <w:highlight w:val="none"/>
        </w:rPr>
        <w:t xml:space="preserve"> 甲方应当根据合同约定</w:t>
      </w:r>
      <w:r>
        <w:rPr>
          <w:rFonts w:hint="eastAsia" w:ascii="微软雅黑" w:hAnsi="微软雅黑" w:eastAsia="微软雅黑" w:cs="微软雅黑"/>
          <w:color w:val="auto"/>
          <w:sz w:val="24"/>
          <w:szCs w:val="24"/>
          <w:highlight w:val="none"/>
          <w:lang w:eastAsia="zh-CN"/>
        </w:rPr>
        <w:t>及</w:t>
      </w:r>
      <w:r>
        <w:rPr>
          <w:rFonts w:hint="eastAsia" w:ascii="微软雅黑" w:hAnsi="微软雅黑" w:eastAsia="微软雅黑" w:cs="微软雅黑"/>
          <w:color w:val="auto"/>
          <w:sz w:val="24"/>
          <w:szCs w:val="24"/>
          <w:highlight w:val="none"/>
        </w:rPr>
        <w:t>时向乙方支付</w:t>
      </w:r>
      <w:r>
        <w:rPr>
          <w:rFonts w:hint="eastAsia" w:ascii="微软雅黑" w:hAnsi="微软雅黑" w:eastAsia="微软雅黑" w:cs="微软雅黑"/>
          <w:color w:val="auto"/>
          <w:sz w:val="24"/>
          <w:szCs w:val="24"/>
          <w:highlight w:val="none"/>
          <w:lang w:eastAsia="zh-CN"/>
        </w:rPr>
        <w:t>合同价款，不得以内部人员变更、履行内部付款流程等为由，拒绝或迟延支付。</w:t>
      </w:r>
    </w:p>
    <w:p w14:paraId="75BD61F9">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4</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6</w:t>
      </w:r>
      <w:r>
        <w:rPr>
          <w:rFonts w:hint="eastAsia" w:ascii="微软雅黑" w:hAnsi="微软雅黑" w:eastAsia="微软雅黑" w:cs="微软雅黑"/>
          <w:color w:val="auto"/>
          <w:sz w:val="24"/>
          <w:szCs w:val="24"/>
          <w:highlight w:val="none"/>
        </w:rPr>
        <w:t xml:space="preserve"> 国家法律法规规定</w:t>
      </w:r>
      <w:r>
        <w:rPr>
          <w:rFonts w:hint="eastAsia" w:ascii="微软雅黑" w:hAnsi="微软雅黑" w:eastAsia="微软雅黑" w:cs="微软雅黑"/>
          <w:color w:val="auto"/>
          <w:sz w:val="24"/>
          <w:szCs w:val="24"/>
          <w:highlight w:val="none"/>
          <w:lang w:eastAsia="zh-CN"/>
        </w:rPr>
        <w:t>及</w:t>
      </w:r>
      <w:r>
        <w:rPr>
          <w:rFonts w:hint="eastAsia" w:ascii="微软雅黑" w:hAnsi="微软雅黑" w:eastAsia="微软雅黑" w:cs="微软雅黑"/>
          <w:b/>
          <w:bCs/>
          <w:color w:val="auto"/>
          <w:sz w:val="24"/>
          <w:szCs w:val="24"/>
          <w:highlight w:val="none"/>
        </w:rPr>
        <w:t>【政府采购合同专用条款】</w:t>
      </w:r>
      <w:r>
        <w:rPr>
          <w:rFonts w:hint="eastAsia" w:ascii="微软雅黑" w:hAnsi="微软雅黑" w:eastAsia="微软雅黑" w:cs="微软雅黑"/>
          <w:color w:val="auto"/>
          <w:sz w:val="24"/>
          <w:szCs w:val="24"/>
          <w:highlight w:val="none"/>
          <w:lang w:eastAsia="zh-CN"/>
        </w:rPr>
        <w:t>约定应</w:t>
      </w:r>
      <w:r>
        <w:rPr>
          <w:rFonts w:hint="eastAsia" w:ascii="微软雅黑" w:hAnsi="微软雅黑" w:eastAsia="微软雅黑" w:cs="微软雅黑"/>
          <w:color w:val="auto"/>
          <w:sz w:val="24"/>
          <w:szCs w:val="24"/>
          <w:highlight w:val="none"/>
        </w:rPr>
        <w:t>由甲方承担的其他义务和责任。</w:t>
      </w:r>
    </w:p>
    <w:p w14:paraId="4D0E03F3">
      <w:pPr>
        <w:autoSpaceDE w:val="0"/>
        <w:autoSpaceDN w:val="0"/>
        <w:adjustRightInd w:val="0"/>
        <w:snapToGrid w:val="0"/>
        <w:spacing w:before="0" w:line="400" w:lineRule="exact"/>
        <w:jc w:val="left"/>
        <w:outlineLvl w:val="9"/>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lang w:eastAsia="zh-CN"/>
        </w:rPr>
        <w:t>5</w:t>
      </w:r>
      <w:r>
        <w:rPr>
          <w:rFonts w:hint="eastAsia" w:ascii="微软雅黑" w:hAnsi="微软雅黑" w:eastAsia="微软雅黑" w:cs="微软雅黑"/>
          <w:b/>
          <w:bCs/>
          <w:color w:val="auto"/>
          <w:sz w:val="24"/>
          <w:szCs w:val="24"/>
          <w:highlight w:val="none"/>
          <w:lang w:val="en-US" w:eastAsia="zh-CN"/>
        </w:rPr>
        <w:t xml:space="preserve">. </w:t>
      </w:r>
      <w:r>
        <w:rPr>
          <w:rFonts w:hint="eastAsia" w:ascii="微软雅黑" w:hAnsi="微软雅黑" w:eastAsia="微软雅黑" w:cs="微软雅黑"/>
          <w:b/>
          <w:bCs/>
          <w:color w:val="auto"/>
          <w:sz w:val="24"/>
          <w:szCs w:val="24"/>
          <w:highlight w:val="none"/>
        </w:rPr>
        <w:t>乙方的权利和义务</w:t>
      </w:r>
    </w:p>
    <w:p w14:paraId="78211313">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5</w:t>
      </w:r>
      <w:r>
        <w:rPr>
          <w:rFonts w:hint="eastAsia" w:ascii="微软雅黑" w:hAnsi="微软雅黑" w:eastAsia="微软雅黑" w:cs="微软雅黑"/>
          <w:color w:val="auto"/>
          <w:sz w:val="24"/>
          <w:szCs w:val="24"/>
          <w:highlight w:val="none"/>
        </w:rPr>
        <w:t>.1 签署合同后，乙方</w:t>
      </w:r>
      <w:r>
        <w:rPr>
          <w:rFonts w:hint="eastAsia" w:ascii="微软雅黑" w:hAnsi="微软雅黑" w:eastAsia="微软雅黑" w:cs="微软雅黑"/>
          <w:color w:val="auto"/>
          <w:sz w:val="24"/>
          <w:szCs w:val="24"/>
          <w:highlight w:val="none"/>
          <w:lang w:eastAsia="zh-CN"/>
        </w:rPr>
        <w:t>应</w:t>
      </w:r>
      <w:r>
        <w:rPr>
          <w:rFonts w:hint="eastAsia" w:ascii="微软雅黑" w:hAnsi="微软雅黑" w:eastAsia="微软雅黑" w:cs="微软雅黑"/>
          <w:color w:val="auto"/>
          <w:sz w:val="24"/>
          <w:szCs w:val="24"/>
          <w:highlight w:val="none"/>
        </w:rPr>
        <w:t>确定</w:t>
      </w:r>
      <w:r>
        <w:rPr>
          <w:rFonts w:hint="eastAsia" w:ascii="微软雅黑" w:hAnsi="微软雅黑" w:eastAsia="微软雅黑" w:cs="微软雅黑"/>
          <w:color w:val="auto"/>
          <w:sz w:val="24"/>
          <w:szCs w:val="24"/>
          <w:highlight w:val="none"/>
          <w:lang w:val="en-US" w:eastAsia="zh-CN"/>
        </w:rPr>
        <w:t>项目负责人（或项目联系人）</w:t>
      </w:r>
      <w:r>
        <w:rPr>
          <w:rFonts w:hint="eastAsia" w:ascii="微软雅黑" w:hAnsi="微软雅黑" w:eastAsia="微软雅黑" w:cs="微软雅黑"/>
          <w:color w:val="auto"/>
          <w:sz w:val="24"/>
          <w:szCs w:val="24"/>
          <w:highlight w:val="none"/>
        </w:rPr>
        <w:t>，负责与本合同有关的事务。</w:t>
      </w:r>
    </w:p>
    <w:p w14:paraId="699890DD">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5</w:t>
      </w:r>
      <w:r>
        <w:rPr>
          <w:rFonts w:hint="eastAsia" w:ascii="微软雅黑" w:hAnsi="微软雅黑" w:eastAsia="微软雅黑" w:cs="微软雅黑"/>
          <w:color w:val="auto"/>
          <w:sz w:val="24"/>
          <w:szCs w:val="24"/>
          <w:highlight w:val="none"/>
        </w:rPr>
        <w:t>.2 乙方应按照合同要求履约，充分合理安排，确保提供的货物</w:t>
      </w:r>
      <w:r>
        <w:rPr>
          <w:rFonts w:hint="eastAsia" w:ascii="微软雅黑" w:hAnsi="微软雅黑" w:eastAsia="微软雅黑" w:cs="微软雅黑"/>
          <w:color w:val="auto"/>
          <w:sz w:val="24"/>
          <w:szCs w:val="24"/>
          <w:highlight w:val="none"/>
          <w:lang w:eastAsia="zh-CN"/>
        </w:rPr>
        <w:t>及相关</w:t>
      </w:r>
      <w:r>
        <w:rPr>
          <w:rFonts w:hint="eastAsia" w:ascii="微软雅黑" w:hAnsi="微软雅黑" w:eastAsia="微软雅黑" w:cs="微软雅黑"/>
          <w:color w:val="auto"/>
          <w:sz w:val="24"/>
          <w:szCs w:val="24"/>
          <w:highlight w:val="none"/>
        </w:rPr>
        <w:t>服务符合合同</w:t>
      </w:r>
      <w:r>
        <w:rPr>
          <w:rFonts w:hint="eastAsia" w:ascii="微软雅黑" w:hAnsi="微软雅黑" w:eastAsia="微软雅黑" w:cs="微软雅黑"/>
          <w:color w:val="auto"/>
          <w:sz w:val="24"/>
          <w:szCs w:val="24"/>
          <w:highlight w:val="none"/>
          <w:lang w:eastAsia="zh-CN"/>
        </w:rPr>
        <w:t>有关</w:t>
      </w:r>
      <w:r>
        <w:rPr>
          <w:rFonts w:hint="eastAsia" w:ascii="微软雅黑" w:hAnsi="微软雅黑" w:eastAsia="微软雅黑" w:cs="微软雅黑"/>
          <w:color w:val="auto"/>
          <w:sz w:val="24"/>
          <w:szCs w:val="24"/>
          <w:highlight w:val="none"/>
        </w:rPr>
        <w:t>要求。接受项目行业管理部门及政府有关部门的指导，配合甲方的履约检查</w:t>
      </w:r>
      <w:r>
        <w:rPr>
          <w:rFonts w:hint="eastAsia" w:ascii="微软雅黑" w:hAnsi="微软雅黑" w:eastAsia="微软雅黑" w:cs="微软雅黑"/>
          <w:color w:val="auto"/>
          <w:sz w:val="24"/>
          <w:szCs w:val="24"/>
          <w:highlight w:val="none"/>
          <w:lang w:eastAsia="zh-CN"/>
        </w:rPr>
        <w:t>及验收</w:t>
      </w:r>
      <w:r>
        <w:rPr>
          <w:rFonts w:hint="eastAsia" w:ascii="微软雅黑" w:hAnsi="微软雅黑" w:eastAsia="微软雅黑" w:cs="微软雅黑"/>
          <w:color w:val="auto"/>
          <w:sz w:val="24"/>
          <w:szCs w:val="24"/>
          <w:highlight w:val="none"/>
        </w:rPr>
        <w:t>，并负责项目实施过程中的所有协调工作。</w:t>
      </w:r>
    </w:p>
    <w:p w14:paraId="5874C4C7">
      <w:pPr>
        <w:pStyle w:val="12"/>
        <w:spacing w:after="0" w:line="400" w:lineRule="exact"/>
        <w:ind w:firstLine="422" w:firstLineChars="176"/>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5</w:t>
      </w:r>
      <w:r>
        <w:rPr>
          <w:rFonts w:hint="eastAsia" w:ascii="微软雅黑" w:hAnsi="微软雅黑" w:eastAsia="微软雅黑" w:cs="微软雅黑"/>
          <w:color w:val="auto"/>
          <w:sz w:val="24"/>
          <w:szCs w:val="24"/>
          <w:highlight w:val="none"/>
        </w:rPr>
        <w:t>.3乙方有权根据合同约定向甲方收取</w:t>
      </w:r>
      <w:r>
        <w:rPr>
          <w:rFonts w:hint="eastAsia" w:ascii="微软雅黑" w:hAnsi="微软雅黑" w:eastAsia="微软雅黑" w:cs="微软雅黑"/>
          <w:color w:val="auto"/>
          <w:sz w:val="24"/>
          <w:szCs w:val="24"/>
          <w:highlight w:val="none"/>
          <w:lang w:eastAsia="zh-CN"/>
        </w:rPr>
        <w:t>合同价款</w:t>
      </w:r>
      <w:r>
        <w:rPr>
          <w:rFonts w:hint="eastAsia" w:ascii="微软雅黑" w:hAnsi="微软雅黑" w:eastAsia="微软雅黑" w:cs="微软雅黑"/>
          <w:color w:val="auto"/>
          <w:sz w:val="24"/>
          <w:szCs w:val="24"/>
          <w:highlight w:val="none"/>
        </w:rPr>
        <w:t>。</w:t>
      </w:r>
    </w:p>
    <w:p w14:paraId="2025CFD3">
      <w:pPr>
        <w:pStyle w:val="12"/>
        <w:spacing w:after="0" w:line="400" w:lineRule="exact"/>
        <w:ind w:firstLine="422" w:firstLineChars="176"/>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5</w:t>
      </w:r>
      <w:r>
        <w:rPr>
          <w:rFonts w:hint="eastAsia" w:ascii="微软雅黑" w:hAnsi="微软雅黑" w:eastAsia="微软雅黑" w:cs="微软雅黑"/>
          <w:color w:val="auto"/>
          <w:sz w:val="24"/>
          <w:szCs w:val="24"/>
          <w:highlight w:val="none"/>
        </w:rPr>
        <w:t>.4国家法律法规规定</w:t>
      </w:r>
      <w:r>
        <w:rPr>
          <w:rFonts w:hint="eastAsia" w:ascii="微软雅黑" w:hAnsi="微软雅黑" w:eastAsia="微软雅黑" w:cs="微软雅黑"/>
          <w:color w:val="auto"/>
          <w:sz w:val="24"/>
          <w:szCs w:val="24"/>
          <w:highlight w:val="none"/>
          <w:lang w:eastAsia="zh-CN"/>
        </w:rPr>
        <w:t>及</w:t>
      </w:r>
      <w:r>
        <w:rPr>
          <w:rFonts w:hint="eastAsia" w:ascii="微软雅黑" w:hAnsi="微软雅黑" w:eastAsia="微软雅黑" w:cs="微软雅黑"/>
          <w:b/>
          <w:bCs/>
          <w:color w:val="auto"/>
          <w:sz w:val="24"/>
          <w:szCs w:val="24"/>
          <w:highlight w:val="none"/>
        </w:rPr>
        <w:t>【政府采购合同专用条款】</w:t>
      </w:r>
      <w:r>
        <w:rPr>
          <w:rFonts w:hint="eastAsia" w:ascii="微软雅黑" w:hAnsi="微软雅黑" w:eastAsia="微软雅黑" w:cs="微软雅黑"/>
          <w:b w:val="0"/>
          <w:bCs w:val="0"/>
          <w:color w:val="auto"/>
          <w:sz w:val="24"/>
          <w:szCs w:val="24"/>
          <w:highlight w:val="none"/>
          <w:lang w:eastAsia="zh-CN"/>
        </w:rPr>
        <w:t>约定应</w:t>
      </w:r>
      <w:r>
        <w:rPr>
          <w:rFonts w:hint="eastAsia" w:ascii="微软雅黑" w:hAnsi="微软雅黑" w:eastAsia="微软雅黑" w:cs="微软雅黑"/>
          <w:color w:val="auto"/>
          <w:sz w:val="24"/>
          <w:szCs w:val="24"/>
          <w:highlight w:val="none"/>
        </w:rPr>
        <w:t>由乙方承担的其他义务和责任。</w:t>
      </w:r>
    </w:p>
    <w:p w14:paraId="7F623737">
      <w:pPr>
        <w:numPr>
          <w:ilvl w:val="0"/>
          <w:numId w:val="11"/>
        </w:numPr>
        <w:autoSpaceDE w:val="0"/>
        <w:autoSpaceDN w:val="0"/>
        <w:adjustRightInd w:val="0"/>
        <w:snapToGrid w:val="0"/>
        <w:spacing w:before="0" w:line="400" w:lineRule="exact"/>
        <w:jc w:val="left"/>
        <w:outlineLvl w:val="9"/>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t>合同履</w:t>
      </w:r>
      <w:r>
        <w:rPr>
          <w:rFonts w:hint="eastAsia" w:ascii="微软雅黑" w:hAnsi="微软雅黑" w:eastAsia="微软雅黑" w:cs="微软雅黑"/>
          <w:b/>
          <w:bCs/>
          <w:color w:val="auto"/>
          <w:sz w:val="24"/>
          <w:szCs w:val="24"/>
          <w:highlight w:val="none"/>
          <w:lang w:val="en-US" w:eastAsia="zh-CN"/>
        </w:rPr>
        <w:t>行</w:t>
      </w:r>
    </w:p>
    <w:p w14:paraId="7A54F5FE">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6</w:t>
      </w:r>
      <w:r>
        <w:rPr>
          <w:rFonts w:hint="eastAsia" w:ascii="微软雅黑" w:hAnsi="微软雅黑" w:eastAsia="微软雅黑" w:cs="微软雅黑"/>
          <w:color w:val="auto"/>
          <w:sz w:val="24"/>
          <w:szCs w:val="24"/>
          <w:highlight w:val="none"/>
        </w:rPr>
        <w:t>.1 甲乙双方应当按照</w:t>
      </w:r>
      <w:r>
        <w:rPr>
          <w:rFonts w:hint="eastAsia" w:ascii="微软雅黑" w:hAnsi="微软雅黑" w:eastAsia="微软雅黑" w:cs="微软雅黑"/>
          <w:b/>
          <w:bCs/>
          <w:color w:val="auto"/>
          <w:sz w:val="24"/>
          <w:szCs w:val="24"/>
          <w:highlight w:val="none"/>
        </w:rPr>
        <w:t>【政府采购合同专用条款】</w:t>
      </w:r>
      <w:r>
        <w:rPr>
          <w:rFonts w:hint="eastAsia" w:ascii="微软雅黑" w:hAnsi="微软雅黑" w:eastAsia="微软雅黑" w:cs="微软雅黑"/>
          <w:color w:val="auto"/>
          <w:sz w:val="24"/>
          <w:szCs w:val="24"/>
          <w:highlight w:val="none"/>
        </w:rPr>
        <w:t>约定顺序履行合同义务；如果没有先后顺序的，应当同时履行。</w:t>
      </w:r>
    </w:p>
    <w:p w14:paraId="028B268C">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6</w:t>
      </w:r>
      <w:r>
        <w:rPr>
          <w:rFonts w:hint="eastAsia" w:ascii="微软雅黑" w:hAnsi="微软雅黑" w:eastAsia="微软雅黑" w:cs="微软雅黑"/>
          <w:color w:val="auto"/>
          <w:sz w:val="24"/>
          <w:szCs w:val="24"/>
          <w:highlight w:val="none"/>
        </w:rPr>
        <w:t>.2 甲乙双方按照合同约定顺序履行合同义务时，应当先履行一方未履行的，后履行一方有权拒绝其履行请求。先履行一方履行不符合约定的，后履行一方有权拒绝其相应的履行请求。</w:t>
      </w:r>
    </w:p>
    <w:p w14:paraId="7811EC5A">
      <w:pPr>
        <w:adjustRightInd w:val="0"/>
        <w:snapToGrid w:val="0"/>
        <w:spacing w:before="0" w:line="400" w:lineRule="exact"/>
        <w:jc w:val="left"/>
        <w:outlineLvl w:val="9"/>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lang w:eastAsia="zh-CN"/>
        </w:rPr>
        <w:t>7</w:t>
      </w:r>
      <w:r>
        <w:rPr>
          <w:rFonts w:hint="eastAsia" w:ascii="微软雅黑" w:hAnsi="微软雅黑" w:eastAsia="微软雅黑" w:cs="微软雅黑"/>
          <w:b/>
          <w:bCs/>
          <w:color w:val="auto"/>
          <w:sz w:val="24"/>
          <w:szCs w:val="24"/>
          <w:highlight w:val="none"/>
          <w:lang w:val="en-US" w:eastAsia="zh-CN"/>
        </w:rPr>
        <w:t xml:space="preserve">. </w:t>
      </w:r>
      <w:r>
        <w:rPr>
          <w:rFonts w:hint="eastAsia" w:ascii="微软雅黑" w:hAnsi="微软雅黑" w:eastAsia="微软雅黑" w:cs="微软雅黑"/>
          <w:b/>
          <w:bCs/>
          <w:color w:val="auto"/>
          <w:sz w:val="24"/>
          <w:szCs w:val="24"/>
          <w:highlight w:val="none"/>
        </w:rPr>
        <w:t>货物包装、运输</w:t>
      </w:r>
      <w:r>
        <w:rPr>
          <w:rFonts w:hint="eastAsia" w:ascii="微软雅黑" w:hAnsi="微软雅黑" w:eastAsia="微软雅黑" w:cs="微软雅黑"/>
          <w:b/>
          <w:bCs/>
          <w:color w:val="auto"/>
          <w:sz w:val="24"/>
          <w:szCs w:val="24"/>
          <w:highlight w:val="none"/>
          <w:lang w:eastAsia="zh-CN"/>
        </w:rPr>
        <w:t>、</w:t>
      </w:r>
      <w:r>
        <w:rPr>
          <w:rFonts w:hint="eastAsia" w:ascii="微软雅黑" w:hAnsi="微软雅黑" w:eastAsia="微软雅黑" w:cs="微软雅黑"/>
          <w:b/>
          <w:bCs/>
          <w:color w:val="auto"/>
          <w:sz w:val="24"/>
          <w:szCs w:val="24"/>
          <w:highlight w:val="none"/>
        </w:rPr>
        <w:t>保险</w:t>
      </w:r>
      <w:r>
        <w:rPr>
          <w:rFonts w:hint="eastAsia" w:ascii="微软雅黑" w:hAnsi="微软雅黑" w:eastAsia="微软雅黑" w:cs="微软雅黑"/>
          <w:b/>
          <w:bCs/>
          <w:color w:val="auto"/>
          <w:sz w:val="24"/>
          <w:szCs w:val="24"/>
          <w:highlight w:val="none"/>
          <w:lang w:eastAsia="zh-CN"/>
        </w:rPr>
        <w:t>和交付</w:t>
      </w:r>
      <w:r>
        <w:rPr>
          <w:rFonts w:hint="eastAsia" w:ascii="微软雅黑" w:hAnsi="微软雅黑" w:eastAsia="微软雅黑" w:cs="微软雅黑"/>
          <w:b/>
          <w:bCs/>
          <w:color w:val="auto"/>
          <w:sz w:val="24"/>
          <w:szCs w:val="24"/>
          <w:highlight w:val="none"/>
        </w:rPr>
        <w:t>要求</w:t>
      </w:r>
    </w:p>
    <w:p w14:paraId="029E5E91">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7</w:t>
      </w:r>
      <w:r>
        <w:rPr>
          <w:rFonts w:hint="eastAsia" w:ascii="微软雅黑" w:hAnsi="微软雅黑" w:eastAsia="微软雅黑" w:cs="微软雅黑"/>
          <w:color w:val="auto"/>
          <w:sz w:val="24"/>
          <w:szCs w:val="24"/>
          <w:highlight w:val="none"/>
        </w:rPr>
        <w:t>.1 本合同</w:t>
      </w:r>
      <w:r>
        <w:rPr>
          <w:rFonts w:hint="eastAsia" w:ascii="微软雅黑" w:hAnsi="微软雅黑" w:eastAsia="微软雅黑" w:cs="微软雅黑"/>
          <w:bCs/>
          <w:color w:val="auto"/>
          <w:sz w:val="24"/>
          <w:szCs w:val="24"/>
          <w:highlight w:val="none"/>
        </w:rPr>
        <w:t>涉及商品包装</w:t>
      </w:r>
      <w:r>
        <w:rPr>
          <w:rFonts w:hint="eastAsia" w:ascii="微软雅黑" w:hAnsi="微软雅黑" w:eastAsia="微软雅黑" w:cs="微软雅黑"/>
          <w:bCs/>
          <w:color w:val="auto"/>
          <w:sz w:val="24"/>
          <w:szCs w:val="24"/>
          <w:highlight w:val="none"/>
          <w:lang w:eastAsia="zh-CN"/>
        </w:rPr>
        <w:t>、</w:t>
      </w:r>
      <w:r>
        <w:rPr>
          <w:rFonts w:hint="eastAsia" w:ascii="微软雅黑" w:hAnsi="微软雅黑" w:eastAsia="微软雅黑" w:cs="微软雅黑"/>
          <w:bCs/>
          <w:color w:val="auto"/>
          <w:sz w:val="24"/>
          <w:szCs w:val="24"/>
          <w:highlight w:val="none"/>
        </w:rPr>
        <w:t>快递包装的，</w:t>
      </w:r>
      <w:r>
        <w:rPr>
          <w:rFonts w:hint="eastAsia" w:ascii="微软雅黑" w:hAnsi="微软雅黑" w:eastAsia="微软雅黑" w:cs="微软雅黑"/>
          <w:color w:val="auto"/>
          <w:sz w:val="24"/>
          <w:szCs w:val="24"/>
          <w:highlight w:val="none"/>
        </w:rPr>
        <w:t>除</w:t>
      </w:r>
      <w:r>
        <w:rPr>
          <w:rFonts w:hint="eastAsia" w:ascii="微软雅黑" w:hAnsi="微软雅黑" w:eastAsia="微软雅黑" w:cs="微软雅黑"/>
          <w:b/>
          <w:color w:val="auto"/>
          <w:sz w:val="24"/>
          <w:szCs w:val="24"/>
          <w:highlight w:val="none"/>
        </w:rPr>
        <w:t>【政府采购合同专用条款】</w:t>
      </w:r>
      <w:r>
        <w:rPr>
          <w:rFonts w:hint="eastAsia" w:ascii="微软雅黑" w:hAnsi="微软雅黑" w:eastAsia="微软雅黑" w:cs="微软雅黑"/>
          <w:bCs/>
          <w:color w:val="auto"/>
          <w:sz w:val="24"/>
          <w:szCs w:val="24"/>
          <w:highlight w:val="none"/>
        </w:rPr>
        <w:t>另有</w:t>
      </w:r>
      <w:r>
        <w:rPr>
          <w:rFonts w:hint="eastAsia" w:ascii="微软雅黑" w:hAnsi="微软雅黑" w:eastAsia="微软雅黑" w:cs="微软雅黑"/>
          <w:bCs/>
          <w:color w:val="auto"/>
          <w:sz w:val="24"/>
          <w:szCs w:val="24"/>
          <w:highlight w:val="none"/>
          <w:lang w:eastAsia="zh-CN"/>
        </w:rPr>
        <w:t>约</w:t>
      </w:r>
      <w:r>
        <w:rPr>
          <w:rFonts w:hint="eastAsia" w:ascii="微软雅黑" w:hAnsi="微软雅黑" w:eastAsia="微软雅黑" w:cs="微软雅黑"/>
          <w:bCs/>
          <w:color w:val="auto"/>
          <w:sz w:val="24"/>
          <w:szCs w:val="24"/>
          <w:highlight w:val="none"/>
        </w:rPr>
        <w:t>定</w:t>
      </w:r>
      <w:r>
        <w:rPr>
          <w:rFonts w:hint="eastAsia" w:ascii="微软雅黑" w:hAnsi="微软雅黑" w:eastAsia="微软雅黑" w:cs="微软雅黑"/>
          <w:bCs/>
          <w:color w:val="auto"/>
          <w:sz w:val="24"/>
          <w:szCs w:val="24"/>
          <w:highlight w:val="none"/>
          <w:lang w:eastAsia="zh-CN"/>
        </w:rPr>
        <w:t>外</w:t>
      </w:r>
      <w:r>
        <w:rPr>
          <w:rFonts w:hint="eastAsia" w:ascii="微软雅黑" w:hAnsi="微软雅黑" w:eastAsia="微软雅黑" w:cs="微软雅黑"/>
          <w:bCs/>
          <w:color w:val="auto"/>
          <w:sz w:val="24"/>
          <w:szCs w:val="24"/>
          <w:highlight w:val="none"/>
        </w:rPr>
        <w:t>，</w:t>
      </w:r>
      <w:r>
        <w:rPr>
          <w:rFonts w:hint="eastAsia" w:ascii="微软雅黑" w:hAnsi="微软雅黑" w:eastAsia="微软雅黑" w:cs="微软雅黑"/>
          <w:color w:val="auto"/>
          <w:sz w:val="24"/>
          <w:szCs w:val="24"/>
          <w:highlight w:val="none"/>
        </w:rPr>
        <w:t>包装应适应远距离运输、防潮、防震、防锈和防野蛮装卸等要求，确保货物安全无损地运抵</w:t>
      </w:r>
      <w:r>
        <w:rPr>
          <w:rFonts w:hint="eastAsia" w:ascii="微软雅黑" w:hAnsi="微软雅黑" w:eastAsia="微软雅黑" w:cs="微软雅黑"/>
          <w:b/>
          <w:color w:val="auto"/>
          <w:sz w:val="24"/>
          <w:szCs w:val="24"/>
          <w:highlight w:val="none"/>
        </w:rPr>
        <w:t>【政府采购合同专用条款】</w:t>
      </w:r>
      <w:r>
        <w:rPr>
          <w:rFonts w:hint="eastAsia" w:ascii="微软雅黑" w:hAnsi="微软雅黑" w:eastAsia="微软雅黑" w:cs="微软雅黑"/>
          <w:b w:val="0"/>
          <w:bCs/>
          <w:color w:val="auto"/>
          <w:sz w:val="24"/>
          <w:szCs w:val="24"/>
          <w:highlight w:val="none"/>
          <w:lang w:eastAsia="zh-CN"/>
        </w:rPr>
        <w:t>约定的</w:t>
      </w:r>
      <w:r>
        <w:rPr>
          <w:rFonts w:hint="eastAsia" w:ascii="微软雅黑" w:hAnsi="微软雅黑" w:eastAsia="微软雅黑" w:cs="微软雅黑"/>
          <w:color w:val="auto"/>
          <w:sz w:val="24"/>
          <w:szCs w:val="24"/>
          <w:highlight w:val="none"/>
        </w:rPr>
        <w:t>指定现场。</w:t>
      </w:r>
    </w:p>
    <w:p w14:paraId="0850B01A">
      <w:pPr>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7</w:t>
      </w:r>
      <w:r>
        <w:rPr>
          <w:rFonts w:hint="eastAsia" w:ascii="微软雅黑" w:hAnsi="微软雅黑" w:eastAsia="微软雅黑" w:cs="微软雅黑"/>
          <w:color w:val="auto"/>
          <w:sz w:val="24"/>
          <w:szCs w:val="24"/>
          <w:highlight w:val="none"/>
        </w:rPr>
        <w:t>.2 除</w:t>
      </w:r>
      <w:r>
        <w:rPr>
          <w:rFonts w:hint="eastAsia" w:ascii="微软雅黑" w:hAnsi="微软雅黑" w:eastAsia="微软雅黑" w:cs="微软雅黑"/>
          <w:b/>
          <w:color w:val="auto"/>
          <w:sz w:val="24"/>
          <w:szCs w:val="24"/>
          <w:highlight w:val="none"/>
        </w:rPr>
        <w:t>【政府采购合同专用条款】</w:t>
      </w:r>
      <w:r>
        <w:rPr>
          <w:rFonts w:hint="eastAsia" w:ascii="微软雅黑" w:hAnsi="微软雅黑" w:eastAsia="微软雅黑" w:cs="微软雅黑"/>
          <w:bCs/>
          <w:color w:val="auto"/>
          <w:sz w:val="24"/>
          <w:szCs w:val="24"/>
          <w:highlight w:val="none"/>
        </w:rPr>
        <w:t>另有</w:t>
      </w:r>
      <w:r>
        <w:rPr>
          <w:rFonts w:hint="eastAsia" w:ascii="微软雅黑" w:hAnsi="微软雅黑" w:eastAsia="微软雅黑" w:cs="微软雅黑"/>
          <w:bCs/>
          <w:color w:val="auto"/>
          <w:sz w:val="24"/>
          <w:szCs w:val="24"/>
          <w:highlight w:val="none"/>
          <w:lang w:eastAsia="zh-CN"/>
        </w:rPr>
        <w:t>约</w:t>
      </w:r>
      <w:r>
        <w:rPr>
          <w:rFonts w:hint="eastAsia" w:ascii="微软雅黑" w:hAnsi="微软雅黑" w:eastAsia="微软雅黑" w:cs="微软雅黑"/>
          <w:bCs/>
          <w:color w:val="auto"/>
          <w:sz w:val="24"/>
          <w:szCs w:val="24"/>
          <w:highlight w:val="none"/>
        </w:rPr>
        <w:t>定</w:t>
      </w:r>
      <w:r>
        <w:rPr>
          <w:rFonts w:hint="eastAsia" w:ascii="微软雅黑" w:hAnsi="微软雅黑" w:eastAsia="微软雅黑" w:cs="微软雅黑"/>
          <w:bCs/>
          <w:color w:val="auto"/>
          <w:sz w:val="24"/>
          <w:szCs w:val="24"/>
          <w:highlight w:val="none"/>
          <w:lang w:eastAsia="zh-CN"/>
        </w:rPr>
        <w:t>外</w:t>
      </w:r>
      <w:r>
        <w:rPr>
          <w:rFonts w:hint="eastAsia" w:ascii="微软雅黑" w:hAnsi="微软雅黑" w:eastAsia="微软雅黑" w:cs="微软雅黑"/>
          <w:bCs/>
          <w:color w:val="auto"/>
          <w:sz w:val="24"/>
          <w:szCs w:val="24"/>
          <w:highlight w:val="none"/>
        </w:rPr>
        <w:t>，</w:t>
      </w:r>
      <w:r>
        <w:rPr>
          <w:rFonts w:hint="eastAsia" w:ascii="微软雅黑" w:hAnsi="微软雅黑" w:eastAsia="微软雅黑" w:cs="微软雅黑"/>
          <w:color w:val="auto"/>
          <w:sz w:val="24"/>
          <w:szCs w:val="24"/>
          <w:highlight w:val="none"/>
        </w:rPr>
        <w:t>乙方负责办理将货物运抵本合同规定的交货地点</w:t>
      </w:r>
      <w:r>
        <w:rPr>
          <w:rFonts w:hint="eastAsia" w:ascii="微软雅黑" w:hAnsi="微软雅黑" w:eastAsia="微软雅黑" w:cs="微软雅黑"/>
          <w:color w:val="auto"/>
          <w:sz w:val="24"/>
          <w:szCs w:val="24"/>
          <w:highlight w:val="none"/>
          <w:lang w:eastAsia="zh-CN"/>
        </w:rPr>
        <w:t>，并装卸、交付至甲方</w:t>
      </w:r>
      <w:r>
        <w:rPr>
          <w:rFonts w:hint="eastAsia" w:ascii="微软雅黑" w:hAnsi="微软雅黑" w:eastAsia="微软雅黑" w:cs="微软雅黑"/>
          <w:color w:val="auto"/>
          <w:sz w:val="24"/>
          <w:szCs w:val="24"/>
          <w:highlight w:val="none"/>
        </w:rPr>
        <w:t>的一切运输事项，相关费用应</w:t>
      </w:r>
      <w:r>
        <w:rPr>
          <w:rFonts w:hint="eastAsia" w:ascii="微软雅黑" w:hAnsi="微软雅黑" w:eastAsia="微软雅黑" w:cs="微软雅黑"/>
          <w:color w:val="auto"/>
          <w:sz w:val="24"/>
          <w:szCs w:val="24"/>
          <w:highlight w:val="none"/>
          <w:lang w:eastAsia="zh-CN"/>
        </w:rPr>
        <w:t>包含</w:t>
      </w:r>
      <w:r>
        <w:rPr>
          <w:rFonts w:hint="eastAsia" w:ascii="微软雅黑" w:hAnsi="微软雅黑" w:eastAsia="微软雅黑" w:cs="微软雅黑"/>
          <w:color w:val="auto"/>
          <w:sz w:val="24"/>
          <w:szCs w:val="24"/>
          <w:highlight w:val="none"/>
        </w:rPr>
        <w:t>在合同</w:t>
      </w:r>
      <w:r>
        <w:rPr>
          <w:rFonts w:hint="eastAsia" w:ascii="微软雅黑" w:hAnsi="微软雅黑" w:eastAsia="微软雅黑" w:cs="微软雅黑"/>
          <w:color w:val="auto"/>
          <w:sz w:val="24"/>
          <w:szCs w:val="24"/>
          <w:highlight w:val="none"/>
          <w:lang w:eastAsia="zh-CN"/>
        </w:rPr>
        <w:t>价款</w:t>
      </w:r>
      <w:r>
        <w:rPr>
          <w:rFonts w:hint="eastAsia" w:ascii="微软雅黑" w:hAnsi="微软雅黑" w:eastAsia="微软雅黑" w:cs="微软雅黑"/>
          <w:color w:val="auto"/>
          <w:sz w:val="24"/>
          <w:szCs w:val="24"/>
          <w:highlight w:val="none"/>
        </w:rPr>
        <w:t>中。</w:t>
      </w:r>
    </w:p>
    <w:p w14:paraId="159C1AF2">
      <w:pPr>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7</w:t>
      </w:r>
      <w:r>
        <w:rPr>
          <w:rFonts w:hint="eastAsia" w:ascii="微软雅黑" w:hAnsi="微软雅黑" w:eastAsia="微软雅黑" w:cs="微软雅黑"/>
          <w:color w:val="auto"/>
          <w:sz w:val="24"/>
          <w:szCs w:val="24"/>
          <w:highlight w:val="none"/>
        </w:rPr>
        <w:t>.3 货物保险要求按</w:t>
      </w:r>
      <w:r>
        <w:rPr>
          <w:rFonts w:hint="eastAsia" w:ascii="微软雅黑" w:hAnsi="微软雅黑" w:eastAsia="微软雅黑" w:cs="微软雅黑"/>
          <w:b/>
          <w:color w:val="auto"/>
          <w:sz w:val="24"/>
          <w:szCs w:val="24"/>
          <w:highlight w:val="none"/>
        </w:rPr>
        <w:t>【政府采购合同专用条款】</w:t>
      </w:r>
      <w:r>
        <w:rPr>
          <w:rFonts w:hint="eastAsia" w:ascii="微软雅黑" w:hAnsi="微软雅黑" w:eastAsia="微软雅黑" w:cs="微软雅黑"/>
          <w:bCs/>
          <w:color w:val="auto"/>
          <w:sz w:val="24"/>
          <w:szCs w:val="24"/>
          <w:highlight w:val="none"/>
        </w:rPr>
        <w:t>规定执行</w:t>
      </w:r>
      <w:r>
        <w:rPr>
          <w:rFonts w:hint="eastAsia" w:ascii="微软雅黑" w:hAnsi="微软雅黑" w:eastAsia="微软雅黑" w:cs="微软雅黑"/>
          <w:color w:val="auto"/>
          <w:sz w:val="24"/>
          <w:szCs w:val="24"/>
          <w:highlight w:val="none"/>
        </w:rPr>
        <w:t>。</w:t>
      </w:r>
    </w:p>
    <w:p w14:paraId="46F41127">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7</w:t>
      </w:r>
      <w:r>
        <w:rPr>
          <w:rFonts w:hint="eastAsia" w:ascii="微软雅黑" w:hAnsi="微软雅黑" w:eastAsia="微软雅黑" w:cs="微软雅黑"/>
          <w:color w:val="auto"/>
          <w:sz w:val="24"/>
          <w:szCs w:val="24"/>
          <w:highlight w:val="none"/>
        </w:rPr>
        <w:t xml:space="preserve">.4 </w:t>
      </w:r>
      <w:r>
        <w:rPr>
          <w:rFonts w:hint="eastAsia" w:ascii="微软雅黑" w:hAnsi="微软雅黑" w:eastAsia="微软雅黑" w:cs="微软雅黑"/>
          <w:color w:val="auto"/>
          <w:sz w:val="24"/>
          <w:szCs w:val="24"/>
          <w:highlight w:val="none"/>
          <w:lang w:val="en-US" w:eastAsia="zh-CN"/>
        </w:rPr>
        <w:t>除采购活动</w:t>
      </w:r>
      <w:r>
        <w:rPr>
          <w:rFonts w:hint="eastAsia" w:ascii="微软雅黑" w:hAnsi="微软雅黑" w:eastAsia="微软雅黑" w:cs="微软雅黑"/>
          <w:color w:val="auto"/>
          <w:sz w:val="24"/>
          <w:szCs w:val="24"/>
          <w:highlight w:val="none"/>
        </w:rPr>
        <w:t>对商品包装</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快递包装</w:t>
      </w:r>
      <w:r>
        <w:rPr>
          <w:rFonts w:hint="eastAsia" w:ascii="微软雅黑" w:hAnsi="微软雅黑" w:eastAsia="微软雅黑" w:cs="微软雅黑"/>
          <w:color w:val="auto"/>
          <w:sz w:val="24"/>
          <w:szCs w:val="24"/>
          <w:highlight w:val="none"/>
          <w:lang w:val="en-US" w:eastAsia="zh-CN"/>
        </w:rPr>
        <w:t>达成具体约定外</w:t>
      </w:r>
      <w:r>
        <w:rPr>
          <w:rFonts w:hint="eastAsia" w:ascii="微软雅黑" w:hAnsi="微软雅黑" w:eastAsia="微软雅黑" w:cs="微软雅黑"/>
          <w:color w:val="auto"/>
          <w:sz w:val="24"/>
          <w:szCs w:val="24"/>
          <w:highlight w:val="none"/>
        </w:rPr>
        <w:t>，乙方提供产品及相关快递服务</w:t>
      </w:r>
      <w:r>
        <w:rPr>
          <w:rFonts w:hint="eastAsia" w:ascii="微软雅黑" w:hAnsi="微软雅黑" w:eastAsia="微软雅黑" w:cs="微软雅黑"/>
          <w:color w:val="auto"/>
          <w:sz w:val="24"/>
          <w:szCs w:val="24"/>
          <w:highlight w:val="none"/>
          <w:lang w:val="en-US" w:eastAsia="zh-CN"/>
        </w:rPr>
        <w:t>涉及到</w:t>
      </w:r>
      <w:r>
        <w:rPr>
          <w:rFonts w:hint="eastAsia" w:ascii="微软雅黑" w:hAnsi="微软雅黑" w:eastAsia="微软雅黑" w:cs="微软雅黑"/>
          <w:color w:val="auto"/>
          <w:sz w:val="24"/>
          <w:szCs w:val="24"/>
          <w:highlight w:val="none"/>
        </w:rPr>
        <w:t>具体包装要求</w:t>
      </w:r>
      <w:r>
        <w:rPr>
          <w:rFonts w:hint="eastAsia" w:ascii="微软雅黑" w:hAnsi="微软雅黑" w:eastAsia="微软雅黑" w:cs="微软雅黑"/>
          <w:color w:val="auto"/>
          <w:sz w:val="24"/>
          <w:szCs w:val="24"/>
          <w:highlight w:val="none"/>
          <w:lang w:val="en-US" w:eastAsia="zh-CN"/>
        </w:rPr>
        <w:t>的，</w:t>
      </w:r>
      <w:r>
        <w:rPr>
          <w:rFonts w:hint="eastAsia" w:ascii="微软雅黑" w:hAnsi="微软雅黑" w:eastAsia="微软雅黑" w:cs="微软雅黑"/>
          <w:color w:val="auto"/>
          <w:sz w:val="24"/>
          <w:szCs w:val="24"/>
          <w:highlight w:val="none"/>
        </w:rPr>
        <w:t>应</w:t>
      </w:r>
      <w:r>
        <w:rPr>
          <w:rFonts w:hint="eastAsia" w:ascii="微软雅黑" w:hAnsi="微软雅黑" w:eastAsia="微软雅黑" w:cs="微软雅黑"/>
          <w:color w:val="auto"/>
          <w:sz w:val="24"/>
          <w:szCs w:val="24"/>
          <w:highlight w:val="none"/>
          <w:lang w:val="en-US" w:eastAsia="zh-CN"/>
        </w:rPr>
        <w:t>不低于</w:t>
      </w:r>
      <w:r>
        <w:rPr>
          <w:rFonts w:hint="eastAsia" w:ascii="微软雅黑" w:hAnsi="微软雅黑" w:eastAsia="微软雅黑" w:cs="微软雅黑"/>
          <w:color w:val="auto"/>
          <w:sz w:val="24"/>
          <w:szCs w:val="24"/>
          <w:highlight w:val="none"/>
        </w:rPr>
        <w:t>《商品包装政府采购需求标准（试行）</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快递包装政府采购需求标准（试行）》</w:t>
      </w:r>
      <w:r>
        <w:rPr>
          <w:rFonts w:hint="eastAsia" w:ascii="微软雅黑" w:hAnsi="微软雅黑" w:eastAsia="微软雅黑" w:cs="微软雅黑"/>
          <w:color w:val="auto"/>
          <w:sz w:val="24"/>
          <w:szCs w:val="24"/>
          <w:highlight w:val="none"/>
          <w:lang w:val="en-US" w:eastAsia="zh-CN"/>
        </w:rPr>
        <w:t>标准</w:t>
      </w:r>
      <w:r>
        <w:rPr>
          <w:rFonts w:hint="eastAsia" w:ascii="微软雅黑" w:hAnsi="微软雅黑" w:eastAsia="微软雅黑" w:cs="微软雅黑"/>
          <w:color w:val="auto"/>
          <w:sz w:val="24"/>
          <w:szCs w:val="24"/>
          <w:highlight w:val="none"/>
        </w:rPr>
        <w:t>，并作为履约验收的内容，必要时甲方可以要求乙方在履约验收环节出具检测报告。</w:t>
      </w:r>
    </w:p>
    <w:p w14:paraId="17FFF460">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 xml:space="preserve">7.5 </w:t>
      </w:r>
      <w:r>
        <w:rPr>
          <w:rFonts w:hint="eastAsia" w:ascii="微软雅黑" w:hAnsi="微软雅黑" w:eastAsia="微软雅黑" w:cs="微软雅黑"/>
          <w:color w:val="auto"/>
          <w:sz w:val="24"/>
          <w:szCs w:val="24"/>
          <w:highlight w:val="none"/>
        </w:rPr>
        <w:t>乙方在运输到达之前</w:t>
      </w:r>
      <w:r>
        <w:rPr>
          <w:rFonts w:hint="eastAsia" w:ascii="微软雅黑" w:hAnsi="微软雅黑" w:eastAsia="微软雅黑" w:cs="微软雅黑"/>
          <w:color w:val="auto"/>
          <w:sz w:val="24"/>
          <w:szCs w:val="24"/>
          <w:highlight w:val="none"/>
          <w:lang w:eastAsia="zh-CN"/>
        </w:rPr>
        <w:t>应</w:t>
      </w:r>
      <w:r>
        <w:rPr>
          <w:rFonts w:hint="eastAsia" w:ascii="微软雅黑" w:hAnsi="微软雅黑" w:eastAsia="微软雅黑" w:cs="微软雅黑"/>
          <w:color w:val="auto"/>
          <w:sz w:val="24"/>
          <w:szCs w:val="24"/>
          <w:highlight w:val="none"/>
        </w:rPr>
        <w:t>提前通知</w:t>
      </w:r>
      <w:r>
        <w:rPr>
          <w:rFonts w:hint="eastAsia" w:ascii="微软雅黑" w:hAnsi="微软雅黑" w:eastAsia="微软雅黑" w:cs="微软雅黑"/>
          <w:color w:val="auto"/>
          <w:sz w:val="24"/>
          <w:szCs w:val="24"/>
          <w:highlight w:val="none"/>
          <w:lang w:eastAsia="zh-CN"/>
        </w:rPr>
        <w:t>甲方</w:t>
      </w:r>
      <w:r>
        <w:rPr>
          <w:rFonts w:hint="eastAsia" w:ascii="微软雅黑" w:hAnsi="微软雅黑" w:eastAsia="微软雅黑" w:cs="微软雅黑"/>
          <w:color w:val="auto"/>
          <w:sz w:val="24"/>
          <w:szCs w:val="24"/>
          <w:highlight w:val="none"/>
        </w:rPr>
        <w:t>，并提示货物运输装卸的注意事项</w:t>
      </w:r>
      <w:r>
        <w:rPr>
          <w:rFonts w:hint="eastAsia" w:ascii="微软雅黑" w:hAnsi="微软雅黑" w:eastAsia="微软雅黑" w:cs="微软雅黑"/>
          <w:color w:val="auto"/>
          <w:sz w:val="24"/>
          <w:szCs w:val="24"/>
          <w:highlight w:val="none"/>
          <w:lang w:eastAsia="zh-CN"/>
        </w:rPr>
        <w:t>，甲方配合乙方做好货物的接收工作。</w:t>
      </w:r>
    </w:p>
    <w:p w14:paraId="59BB5502">
      <w:pPr>
        <w:pStyle w:val="117"/>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kern w:val="2"/>
          <w:sz w:val="24"/>
          <w:szCs w:val="24"/>
          <w:highlight w:val="none"/>
          <w:lang w:val="en-US" w:eastAsia="zh-CN"/>
        </w:rPr>
        <w:t xml:space="preserve">7.6 </w:t>
      </w:r>
      <w:r>
        <w:rPr>
          <w:rFonts w:hint="eastAsia" w:ascii="微软雅黑" w:hAnsi="微软雅黑" w:eastAsia="微软雅黑" w:cs="微软雅黑"/>
          <w:color w:val="auto"/>
          <w:kern w:val="2"/>
          <w:sz w:val="24"/>
          <w:szCs w:val="24"/>
          <w:highlight w:val="none"/>
        </w:rPr>
        <w:t>如因包装</w:t>
      </w:r>
      <w:r>
        <w:rPr>
          <w:rFonts w:hint="eastAsia" w:ascii="微软雅黑" w:hAnsi="微软雅黑" w:eastAsia="微软雅黑" w:cs="微软雅黑"/>
          <w:color w:val="auto"/>
          <w:kern w:val="2"/>
          <w:sz w:val="24"/>
          <w:szCs w:val="24"/>
          <w:highlight w:val="none"/>
          <w:lang w:eastAsia="zh-CN"/>
        </w:rPr>
        <w:t>、运输</w:t>
      </w:r>
      <w:r>
        <w:rPr>
          <w:rFonts w:hint="eastAsia" w:ascii="微软雅黑" w:hAnsi="微软雅黑" w:eastAsia="微软雅黑" w:cs="微软雅黑"/>
          <w:color w:val="auto"/>
          <w:kern w:val="2"/>
          <w:sz w:val="24"/>
          <w:szCs w:val="24"/>
          <w:highlight w:val="none"/>
        </w:rPr>
        <w:t>问题导致货物</w:t>
      </w:r>
      <w:r>
        <w:rPr>
          <w:rFonts w:hint="eastAsia" w:ascii="微软雅黑" w:hAnsi="微软雅黑" w:eastAsia="微软雅黑" w:cs="微软雅黑"/>
          <w:color w:val="auto"/>
          <w:kern w:val="2"/>
          <w:sz w:val="24"/>
          <w:szCs w:val="24"/>
          <w:highlight w:val="none"/>
          <w:lang w:eastAsia="zh-CN"/>
        </w:rPr>
        <w:t>损毁、丢失</w:t>
      </w:r>
      <w:r>
        <w:rPr>
          <w:rFonts w:hint="eastAsia" w:ascii="微软雅黑" w:hAnsi="微软雅黑" w:eastAsia="微软雅黑" w:cs="微软雅黑"/>
          <w:color w:val="auto"/>
          <w:kern w:val="2"/>
          <w:sz w:val="24"/>
          <w:szCs w:val="24"/>
          <w:highlight w:val="none"/>
        </w:rPr>
        <w:t>或者品质下降，</w:t>
      </w:r>
      <w:r>
        <w:rPr>
          <w:rFonts w:hint="eastAsia" w:ascii="微软雅黑" w:hAnsi="微软雅黑" w:eastAsia="微软雅黑" w:cs="微软雅黑"/>
          <w:color w:val="auto"/>
          <w:kern w:val="2"/>
          <w:sz w:val="24"/>
          <w:szCs w:val="24"/>
          <w:highlight w:val="none"/>
          <w:lang w:eastAsia="zh-CN"/>
        </w:rPr>
        <w:t>甲方</w:t>
      </w:r>
      <w:r>
        <w:rPr>
          <w:rFonts w:hint="eastAsia" w:ascii="微软雅黑" w:hAnsi="微软雅黑" w:eastAsia="微软雅黑" w:cs="微软雅黑"/>
          <w:color w:val="auto"/>
          <w:kern w:val="2"/>
          <w:sz w:val="24"/>
          <w:szCs w:val="24"/>
          <w:highlight w:val="none"/>
        </w:rPr>
        <w:t>有权要求降价、换货、拒收部分或整批货物，由此</w:t>
      </w:r>
      <w:r>
        <w:rPr>
          <w:rFonts w:hint="eastAsia" w:ascii="微软雅黑" w:hAnsi="微软雅黑" w:eastAsia="微软雅黑" w:cs="微软雅黑"/>
          <w:color w:val="auto"/>
          <w:kern w:val="2"/>
          <w:sz w:val="24"/>
          <w:szCs w:val="24"/>
          <w:highlight w:val="none"/>
          <w:lang w:eastAsia="zh-CN"/>
        </w:rPr>
        <w:t>产生</w:t>
      </w:r>
      <w:r>
        <w:rPr>
          <w:rFonts w:hint="eastAsia" w:ascii="微软雅黑" w:hAnsi="微软雅黑" w:eastAsia="微软雅黑" w:cs="微软雅黑"/>
          <w:color w:val="auto"/>
          <w:kern w:val="2"/>
          <w:sz w:val="24"/>
          <w:szCs w:val="24"/>
          <w:highlight w:val="none"/>
        </w:rPr>
        <w:t>的费用和损失，均由</w:t>
      </w:r>
      <w:r>
        <w:rPr>
          <w:rFonts w:hint="eastAsia" w:ascii="微软雅黑" w:hAnsi="微软雅黑" w:eastAsia="微软雅黑" w:cs="微软雅黑"/>
          <w:color w:val="auto"/>
          <w:kern w:val="2"/>
          <w:sz w:val="24"/>
          <w:szCs w:val="24"/>
          <w:highlight w:val="none"/>
          <w:lang w:eastAsia="zh-CN"/>
        </w:rPr>
        <w:t>乙方</w:t>
      </w:r>
      <w:r>
        <w:rPr>
          <w:rFonts w:hint="eastAsia" w:ascii="微软雅黑" w:hAnsi="微软雅黑" w:eastAsia="微软雅黑" w:cs="微软雅黑"/>
          <w:color w:val="auto"/>
          <w:kern w:val="2"/>
          <w:sz w:val="24"/>
          <w:szCs w:val="24"/>
          <w:highlight w:val="none"/>
        </w:rPr>
        <w:t>承担。</w:t>
      </w:r>
    </w:p>
    <w:p w14:paraId="02172FEA">
      <w:pPr>
        <w:adjustRightInd w:val="0"/>
        <w:snapToGrid w:val="0"/>
        <w:spacing w:before="0" w:line="400" w:lineRule="exact"/>
        <w:jc w:val="left"/>
        <w:outlineLvl w:val="9"/>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lang w:eastAsia="zh-CN"/>
        </w:rPr>
        <w:t>8</w:t>
      </w:r>
      <w:r>
        <w:rPr>
          <w:rFonts w:hint="eastAsia" w:ascii="微软雅黑" w:hAnsi="微软雅黑" w:eastAsia="微软雅黑" w:cs="微软雅黑"/>
          <w:b/>
          <w:color w:val="auto"/>
          <w:sz w:val="24"/>
          <w:szCs w:val="24"/>
          <w:highlight w:val="none"/>
          <w:lang w:val="en-US" w:eastAsia="zh-CN"/>
        </w:rPr>
        <w:t xml:space="preserve">. </w:t>
      </w:r>
      <w:r>
        <w:rPr>
          <w:rFonts w:hint="eastAsia" w:ascii="微软雅黑" w:hAnsi="微软雅黑" w:eastAsia="微软雅黑" w:cs="微软雅黑"/>
          <w:b/>
          <w:color w:val="auto"/>
          <w:sz w:val="24"/>
          <w:szCs w:val="24"/>
          <w:highlight w:val="none"/>
        </w:rPr>
        <w:t>质量标准和保证</w:t>
      </w:r>
    </w:p>
    <w:p w14:paraId="3A96D4E2">
      <w:pPr>
        <w:pStyle w:val="16"/>
        <w:adjustRightInd w:val="0"/>
        <w:snapToGrid w:val="0"/>
        <w:spacing w:before="0" w:line="400" w:lineRule="exact"/>
        <w:ind w:firstLine="480" w:firstLineChars="200"/>
        <w:jc w:val="left"/>
        <w:outlineLvl w:val="9"/>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color w:val="auto"/>
          <w:sz w:val="24"/>
          <w:szCs w:val="24"/>
          <w:highlight w:val="none"/>
          <w:lang w:eastAsia="zh-CN"/>
        </w:rPr>
        <w:t>8</w:t>
      </w:r>
      <w:r>
        <w:rPr>
          <w:rFonts w:hint="eastAsia" w:ascii="微软雅黑" w:hAnsi="微软雅黑" w:eastAsia="微软雅黑" w:cs="微软雅黑"/>
          <w:color w:val="auto"/>
          <w:sz w:val="24"/>
          <w:szCs w:val="24"/>
          <w:highlight w:val="none"/>
        </w:rPr>
        <w:t>.1 质量标准</w:t>
      </w:r>
    </w:p>
    <w:p w14:paraId="309BE469">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（1）本合同下</w:t>
      </w:r>
      <w:r>
        <w:rPr>
          <w:rFonts w:hint="eastAsia" w:ascii="微软雅黑" w:hAnsi="微软雅黑" w:eastAsia="微软雅黑" w:cs="微软雅黑"/>
          <w:color w:val="auto"/>
          <w:sz w:val="24"/>
          <w:szCs w:val="24"/>
          <w:highlight w:val="none"/>
          <w:lang w:eastAsia="zh-CN"/>
        </w:rPr>
        <w:t>提供</w:t>
      </w:r>
      <w:r>
        <w:rPr>
          <w:rFonts w:hint="eastAsia" w:ascii="微软雅黑" w:hAnsi="微软雅黑" w:eastAsia="微软雅黑" w:cs="微软雅黑"/>
          <w:color w:val="auto"/>
          <w:sz w:val="24"/>
          <w:szCs w:val="24"/>
          <w:highlight w:val="none"/>
        </w:rPr>
        <w:t>的货物应符合</w:t>
      </w:r>
      <w:r>
        <w:rPr>
          <w:rFonts w:hint="eastAsia" w:ascii="微软雅黑" w:hAnsi="微软雅黑" w:eastAsia="微软雅黑" w:cs="微软雅黑"/>
          <w:color w:val="auto"/>
          <w:sz w:val="24"/>
          <w:szCs w:val="24"/>
          <w:highlight w:val="none"/>
          <w:lang w:eastAsia="zh-CN"/>
        </w:rPr>
        <w:t>合同约</w:t>
      </w:r>
      <w:r>
        <w:rPr>
          <w:rFonts w:hint="eastAsia" w:ascii="微软雅黑" w:hAnsi="微软雅黑" w:eastAsia="微软雅黑" w:cs="微软雅黑"/>
          <w:color w:val="auto"/>
          <w:sz w:val="24"/>
          <w:szCs w:val="24"/>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微软雅黑" w:hAnsi="微软雅黑" w:eastAsia="微软雅黑" w:cs="微软雅黑"/>
          <w:color w:val="auto"/>
          <w:sz w:val="24"/>
          <w:szCs w:val="24"/>
          <w:highlight w:val="none"/>
          <w:lang w:eastAsia="zh-CN"/>
        </w:rPr>
        <w:t>。</w:t>
      </w:r>
    </w:p>
    <w:p w14:paraId="09DADD9F">
      <w:pPr>
        <w:pStyle w:val="16"/>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（2）采用中华人民共和国法定计量单位。</w:t>
      </w:r>
    </w:p>
    <w:p w14:paraId="62B0FA6E">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（3）乙方所</w:t>
      </w:r>
      <w:r>
        <w:rPr>
          <w:rFonts w:hint="eastAsia" w:ascii="微软雅黑" w:hAnsi="微软雅黑" w:eastAsia="微软雅黑" w:cs="微软雅黑"/>
          <w:color w:val="auto"/>
          <w:sz w:val="24"/>
          <w:szCs w:val="24"/>
          <w:highlight w:val="none"/>
          <w:lang w:eastAsia="zh-CN"/>
        </w:rPr>
        <w:t>提供</w:t>
      </w:r>
      <w:r>
        <w:rPr>
          <w:rFonts w:hint="eastAsia" w:ascii="微软雅黑" w:hAnsi="微软雅黑" w:eastAsia="微软雅黑" w:cs="微软雅黑"/>
          <w:color w:val="auto"/>
          <w:sz w:val="24"/>
          <w:szCs w:val="24"/>
          <w:highlight w:val="none"/>
        </w:rPr>
        <w:t>的货物应符合国家有关安全、环保、卫生</w:t>
      </w:r>
      <w:r>
        <w:rPr>
          <w:rFonts w:hint="eastAsia" w:ascii="微软雅黑" w:hAnsi="微软雅黑" w:eastAsia="微软雅黑" w:cs="微软雅黑"/>
          <w:color w:val="auto"/>
          <w:sz w:val="24"/>
          <w:szCs w:val="24"/>
          <w:highlight w:val="none"/>
          <w:lang w:eastAsia="zh-CN"/>
        </w:rPr>
        <w:t>的</w:t>
      </w:r>
      <w:r>
        <w:rPr>
          <w:rFonts w:hint="eastAsia" w:ascii="微软雅黑" w:hAnsi="微软雅黑" w:eastAsia="微软雅黑" w:cs="微软雅黑"/>
          <w:color w:val="auto"/>
          <w:sz w:val="24"/>
          <w:szCs w:val="24"/>
          <w:highlight w:val="none"/>
        </w:rPr>
        <w:t>规定。</w:t>
      </w:r>
    </w:p>
    <w:p w14:paraId="12B8F413">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（4）乙方应向甲方提交所</w:t>
      </w:r>
      <w:r>
        <w:rPr>
          <w:rFonts w:hint="eastAsia" w:ascii="微软雅黑" w:hAnsi="微软雅黑" w:eastAsia="微软雅黑" w:cs="微软雅黑"/>
          <w:color w:val="auto"/>
          <w:sz w:val="24"/>
          <w:szCs w:val="24"/>
          <w:highlight w:val="none"/>
          <w:lang w:eastAsia="zh-CN"/>
        </w:rPr>
        <w:t>提供</w:t>
      </w:r>
      <w:r>
        <w:rPr>
          <w:rFonts w:hint="eastAsia" w:ascii="微软雅黑" w:hAnsi="微软雅黑" w:eastAsia="微软雅黑" w:cs="微软雅黑"/>
          <w:color w:val="auto"/>
          <w:sz w:val="24"/>
          <w:szCs w:val="24"/>
          <w:highlight w:val="none"/>
        </w:rPr>
        <w:t>货物的技术文件，包括相应的中文技术文件，如：产品目录、图纸、操作手册、使用说明、维护手册或服务指南</w:t>
      </w:r>
      <w:r>
        <w:rPr>
          <w:rFonts w:hint="eastAsia" w:ascii="微软雅黑" w:hAnsi="微软雅黑" w:eastAsia="微软雅黑" w:cs="微软雅黑"/>
          <w:color w:val="auto"/>
          <w:sz w:val="24"/>
          <w:szCs w:val="24"/>
          <w:highlight w:val="none"/>
          <w:lang w:eastAsia="zh-CN"/>
        </w:rPr>
        <w:t>等</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eastAsia="zh-CN"/>
        </w:rPr>
        <w:t>上述</w:t>
      </w:r>
      <w:r>
        <w:rPr>
          <w:rFonts w:hint="eastAsia" w:ascii="微软雅黑" w:hAnsi="微软雅黑" w:eastAsia="微软雅黑" w:cs="微软雅黑"/>
          <w:color w:val="auto"/>
          <w:sz w:val="24"/>
          <w:szCs w:val="24"/>
          <w:highlight w:val="none"/>
        </w:rPr>
        <w:t>文件应包装好随货物一同发运。</w:t>
      </w:r>
    </w:p>
    <w:p w14:paraId="5C513B4F">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8</w:t>
      </w:r>
      <w:r>
        <w:rPr>
          <w:rFonts w:hint="eastAsia" w:ascii="微软雅黑" w:hAnsi="微软雅黑" w:eastAsia="微软雅黑" w:cs="微软雅黑"/>
          <w:color w:val="auto"/>
          <w:sz w:val="24"/>
          <w:szCs w:val="24"/>
          <w:highlight w:val="none"/>
        </w:rPr>
        <w:t>.2 保证</w:t>
      </w:r>
    </w:p>
    <w:p w14:paraId="79A4BA8B">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（1）乙方应保证</w:t>
      </w:r>
      <w:r>
        <w:rPr>
          <w:rFonts w:hint="eastAsia" w:ascii="微软雅黑" w:hAnsi="微软雅黑" w:eastAsia="微软雅黑" w:cs="微软雅黑"/>
          <w:color w:val="auto"/>
          <w:sz w:val="24"/>
          <w:szCs w:val="24"/>
          <w:highlight w:val="none"/>
          <w:lang w:eastAsia="zh-CN"/>
        </w:rPr>
        <w:t>提供的货物</w:t>
      </w:r>
      <w:r>
        <w:rPr>
          <w:rFonts w:hint="eastAsia" w:ascii="微软雅黑" w:hAnsi="微软雅黑" w:eastAsia="微软雅黑" w:cs="微软雅黑"/>
          <w:color w:val="auto"/>
          <w:sz w:val="24"/>
          <w:szCs w:val="24"/>
          <w:highlight w:val="none"/>
        </w:rPr>
        <w:t>完全符合合同规定的质量、规格和性能要求。乙方应保证货物在正确安装、正常使用和保养条件下，在其使用寿命期内具</w:t>
      </w:r>
      <w:r>
        <w:rPr>
          <w:rFonts w:hint="eastAsia" w:ascii="微软雅黑" w:hAnsi="微软雅黑" w:eastAsia="微软雅黑" w:cs="微软雅黑"/>
          <w:color w:val="auto"/>
          <w:sz w:val="24"/>
          <w:szCs w:val="24"/>
          <w:highlight w:val="none"/>
          <w:lang w:eastAsia="zh-CN"/>
        </w:rPr>
        <w:t>备合同约定</w:t>
      </w:r>
      <w:r>
        <w:rPr>
          <w:rFonts w:hint="eastAsia" w:ascii="微软雅黑" w:hAnsi="微软雅黑" w:eastAsia="微软雅黑" w:cs="微软雅黑"/>
          <w:color w:val="auto"/>
          <w:sz w:val="24"/>
          <w:szCs w:val="24"/>
          <w:highlight w:val="none"/>
        </w:rPr>
        <w:t>的性能。</w:t>
      </w:r>
      <w:r>
        <w:rPr>
          <w:rFonts w:hint="eastAsia" w:ascii="微软雅黑" w:hAnsi="微软雅黑" w:eastAsia="微软雅黑" w:cs="微软雅黑"/>
          <w:color w:val="auto"/>
          <w:sz w:val="24"/>
          <w:szCs w:val="24"/>
          <w:highlight w:val="none"/>
          <w:lang w:eastAsia="zh-CN"/>
        </w:rPr>
        <w:t>存在</w:t>
      </w:r>
      <w:r>
        <w:rPr>
          <w:rFonts w:hint="eastAsia" w:ascii="微软雅黑" w:hAnsi="微软雅黑" w:eastAsia="微软雅黑" w:cs="微软雅黑"/>
          <w:color w:val="auto"/>
          <w:sz w:val="24"/>
          <w:szCs w:val="24"/>
          <w:highlight w:val="none"/>
        </w:rPr>
        <w:t>质量保证期的，货物最终交付验收</w:t>
      </w:r>
      <w:r>
        <w:rPr>
          <w:rFonts w:hint="eastAsia" w:ascii="微软雅黑" w:hAnsi="微软雅黑" w:eastAsia="微软雅黑" w:cs="微软雅黑"/>
          <w:color w:val="auto"/>
          <w:sz w:val="24"/>
          <w:szCs w:val="24"/>
          <w:highlight w:val="none"/>
          <w:lang w:eastAsia="zh-CN"/>
        </w:rPr>
        <w:t>合格</w:t>
      </w:r>
      <w:r>
        <w:rPr>
          <w:rFonts w:hint="eastAsia" w:ascii="微软雅黑" w:hAnsi="微软雅黑" w:eastAsia="微软雅黑" w:cs="微软雅黑"/>
          <w:color w:val="auto"/>
          <w:sz w:val="24"/>
          <w:szCs w:val="24"/>
          <w:highlight w:val="none"/>
        </w:rPr>
        <w:t>后</w:t>
      </w:r>
      <w:r>
        <w:rPr>
          <w:rFonts w:hint="eastAsia" w:ascii="微软雅黑" w:hAnsi="微软雅黑" w:eastAsia="微软雅黑" w:cs="微软雅黑"/>
          <w:color w:val="auto"/>
          <w:sz w:val="24"/>
          <w:szCs w:val="24"/>
          <w:highlight w:val="none"/>
          <w:lang w:eastAsia="zh-CN"/>
        </w:rPr>
        <w:t>在</w:t>
      </w:r>
      <w:r>
        <w:rPr>
          <w:rFonts w:hint="eastAsia" w:ascii="微软雅黑" w:hAnsi="微软雅黑" w:eastAsia="微软雅黑" w:cs="微软雅黑"/>
          <w:b/>
          <w:color w:val="auto"/>
          <w:sz w:val="24"/>
          <w:szCs w:val="24"/>
          <w:highlight w:val="none"/>
        </w:rPr>
        <w:t>【政府采购合同专用条款】</w:t>
      </w:r>
      <w:r>
        <w:rPr>
          <w:rFonts w:hint="eastAsia" w:ascii="微软雅黑" w:hAnsi="微软雅黑" w:eastAsia="微软雅黑" w:cs="微软雅黑"/>
          <w:color w:val="auto"/>
          <w:sz w:val="24"/>
          <w:szCs w:val="24"/>
          <w:highlight w:val="none"/>
        </w:rPr>
        <w:t>规定或乙方</w:t>
      </w:r>
      <w:r>
        <w:rPr>
          <w:rFonts w:hint="eastAsia" w:ascii="微软雅黑" w:hAnsi="微软雅黑" w:eastAsia="微软雅黑" w:cs="微软雅黑"/>
          <w:color w:val="auto"/>
          <w:sz w:val="24"/>
          <w:szCs w:val="24"/>
          <w:highlight w:val="none"/>
          <w:lang w:eastAsia="zh-CN"/>
        </w:rPr>
        <w:t>书面</w:t>
      </w:r>
      <w:r>
        <w:rPr>
          <w:rFonts w:hint="eastAsia" w:ascii="微软雅黑" w:hAnsi="微软雅黑" w:eastAsia="微软雅黑" w:cs="微软雅黑"/>
          <w:color w:val="auto"/>
          <w:sz w:val="24"/>
          <w:szCs w:val="24"/>
          <w:highlight w:val="none"/>
        </w:rPr>
        <w:t>承诺（两者以较长的为准）的质量保证期内，本保证保持有效。</w:t>
      </w:r>
    </w:p>
    <w:p w14:paraId="2F3A54E4">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（2）在质量保证期内所发现的缺陷，甲方应尽快以书面形式通知乙方。</w:t>
      </w:r>
    </w:p>
    <w:p w14:paraId="167FD502">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（3）乙方收到通知后</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应在</w:t>
      </w:r>
      <w:r>
        <w:rPr>
          <w:rFonts w:hint="eastAsia" w:ascii="微软雅黑" w:hAnsi="微软雅黑" w:eastAsia="微软雅黑" w:cs="微软雅黑"/>
          <w:b/>
          <w:color w:val="auto"/>
          <w:sz w:val="24"/>
          <w:szCs w:val="24"/>
          <w:highlight w:val="none"/>
        </w:rPr>
        <w:t>【政府采购合同专用条款】</w:t>
      </w:r>
      <w:r>
        <w:rPr>
          <w:rFonts w:hint="eastAsia" w:ascii="微软雅黑" w:hAnsi="微软雅黑" w:eastAsia="微软雅黑" w:cs="微软雅黑"/>
          <w:color w:val="auto"/>
          <w:sz w:val="24"/>
          <w:szCs w:val="24"/>
          <w:highlight w:val="none"/>
        </w:rPr>
        <w:t>规定的响应时间内以合理的速度免费维修或更换有缺陷的货物或部件。</w:t>
      </w:r>
    </w:p>
    <w:p w14:paraId="229B74EE">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（4）在质量保证期内，如果货物的质量或规格与合同不符，或证实货物是有缺陷的，包括潜在的缺陷或使用不符合要求的材料等，甲方可以根据本合同第1</w:t>
      </w:r>
      <w:r>
        <w:rPr>
          <w:rFonts w:hint="eastAsia" w:ascii="微软雅黑" w:hAnsi="微软雅黑" w:eastAsia="微软雅黑" w:cs="微软雅黑"/>
          <w:color w:val="auto"/>
          <w:sz w:val="24"/>
          <w:szCs w:val="24"/>
          <w:highlight w:val="none"/>
          <w:lang w:val="en-US" w:eastAsia="zh-CN"/>
        </w:rPr>
        <w:t>5</w:t>
      </w:r>
      <w:r>
        <w:rPr>
          <w:rFonts w:hint="eastAsia" w:ascii="微软雅黑" w:hAnsi="微软雅黑" w:eastAsia="微软雅黑" w:cs="微软雅黑"/>
          <w:color w:val="auto"/>
          <w:sz w:val="24"/>
          <w:szCs w:val="24"/>
          <w:highlight w:val="none"/>
        </w:rPr>
        <w:t>.1条规定以书面形式</w:t>
      </w:r>
      <w:r>
        <w:rPr>
          <w:rFonts w:hint="eastAsia" w:ascii="微软雅黑" w:hAnsi="微软雅黑" w:eastAsia="微软雅黑" w:cs="微软雅黑"/>
          <w:color w:val="auto"/>
          <w:sz w:val="24"/>
          <w:szCs w:val="24"/>
          <w:highlight w:val="none"/>
          <w:lang w:eastAsia="zh-CN"/>
        </w:rPr>
        <w:t>追究</w:t>
      </w:r>
      <w:r>
        <w:rPr>
          <w:rFonts w:hint="eastAsia" w:ascii="微软雅黑" w:hAnsi="微软雅黑" w:eastAsia="微软雅黑" w:cs="微软雅黑"/>
          <w:color w:val="auto"/>
          <w:sz w:val="24"/>
          <w:szCs w:val="24"/>
          <w:highlight w:val="none"/>
        </w:rPr>
        <w:t>乙方</w:t>
      </w:r>
      <w:r>
        <w:rPr>
          <w:rFonts w:hint="eastAsia" w:ascii="微软雅黑" w:hAnsi="微软雅黑" w:eastAsia="微软雅黑" w:cs="微软雅黑"/>
          <w:color w:val="auto"/>
          <w:sz w:val="24"/>
          <w:szCs w:val="24"/>
          <w:highlight w:val="none"/>
          <w:lang w:eastAsia="zh-CN"/>
        </w:rPr>
        <w:t>的违约责任</w:t>
      </w:r>
      <w:r>
        <w:rPr>
          <w:rFonts w:hint="eastAsia" w:ascii="微软雅黑" w:hAnsi="微软雅黑" w:eastAsia="微软雅黑" w:cs="微软雅黑"/>
          <w:color w:val="auto"/>
          <w:sz w:val="24"/>
          <w:szCs w:val="24"/>
          <w:highlight w:val="none"/>
        </w:rPr>
        <w:t>。</w:t>
      </w:r>
    </w:p>
    <w:p w14:paraId="08C00D48">
      <w:pPr>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（5）乙方在约定的时间内未能弥补缺陷，甲方可采取必要的补救措施，但其风险和费用将由乙方承担，甲方根据合同</w:t>
      </w:r>
      <w:r>
        <w:rPr>
          <w:rFonts w:hint="eastAsia" w:ascii="微软雅黑" w:hAnsi="微软雅黑" w:eastAsia="微软雅黑" w:cs="微软雅黑"/>
          <w:color w:val="auto"/>
          <w:sz w:val="24"/>
          <w:szCs w:val="24"/>
          <w:highlight w:val="none"/>
          <w:lang w:eastAsia="zh-CN"/>
        </w:rPr>
        <w:t>约定</w:t>
      </w:r>
      <w:r>
        <w:rPr>
          <w:rFonts w:hint="eastAsia" w:ascii="微软雅黑" w:hAnsi="微软雅黑" w:eastAsia="微软雅黑" w:cs="微软雅黑"/>
          <w:color w:val="auto"/>
          <w:sz w:val="24"/>
          <w:szCs w:val="24"/>
          <w:highlight w:val="none"/>
        </w:rPr>
        <w:t>对乙方行使的其他权利不受影响。</w:t>
      </w:r>
    </w:p>
    <w:p w14:paraId="1D504A40">
      <w:pPr>
        <w:adjustRightInd w:val="0"/>
        <w:snapToGrid w:val="0"/>
        <w:spacing w:before="0" w:line="400" w:lineRule="exact"/>
        <w:jc w:val="left"/>
        <w:outlineLvl w:val="9"/>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lang w:eastAsia="zh-CN"/>
        </w:rPr>
        <w:t>9</w:t>
      </w:r>
      <w:r>
        <w:rPr>
          <w:rFonts w:hint="eastAsia" w:ascii="微软雅黑" w:hAnsi="微软雅黑" w:eastAsia="微软雅黑" w:cs="微软雅黑"/>
          <w:b/>
          <w:bCs/>
          <w:color w:val="auto"/>
          <w:sz w:val="24"/>
          <w:szCs w:val="24"/>
          <w:highlight w:val="none"/>
        </w:rPr>
        <w:t>.</w:t>
      </w:r>
      <w:r>
        <w:rPr>
          <w:rFonts w:hint="eastAsia" w:ascii="微软雅黑" w:hAnsi="微软雅黑" w:eastAsia="微软雅黑" w:cs="微软雅黑"/>
          <w:b/>
          <w:bCs/>
          <w:color w:val="auto"/>
          <w:sz w:val="24"/>
          <w:szCs w:val="24"/>
          <w:highlight w:val="none"/>
          <w:lang w:val="en-US" w:eastAsia="zh-CN"/>
        </w:rPr>
        <w:t xml:space="preserve"> </w:t>
      </w:r>
      <w:r>
        <w:rPr>
          <w:rFonts w:hint="eastAsia" w:ascii="微软雅黑" w:hAnsi="微软雅黑" w:eastAsia="微软雅黑" w:cs="微软雅黑"/>
          <w:b/>
          <w:bCs/>
          <w:color w:val="auto"/>
          <w:sz w:val="24"/>
          <w:szCs w:val="24"/>
          <w:highlight w:val="none"/>
        </w:rPr>
        <w:t>权利瑕疵担保</w:t>
      </w:r>
    </w:p>
    <w:p w14:paraId="2C3DBF50">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9</w:t>
      </w:r>
      <w:r>
        <w:rPr>
          <w:rFonts w:hint="eastAsia" w:ascii="微软雅黑" w:hAnsi="微软雅黑" w:eastAsia="微软雅黑" w:cs="微软雅黑"/>
          <w:color w:val="auto"/>
          <w:sz w:val="24"/>
          <w:szCs w:val="24"/>
          <w:highlight w:val="none"/>
        </w:rPr>
        <w:t>.1 乙方保证对其出售的货物享有合法的权利。</w:t>
      </w:r>
    </w:p>
    <w:p w14:paraId="78F373B8">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9</w:t>
      </w:r>
      <w:r>
        <w:rPr>
          <w:rFonts w:hint="eastAsia" w:ascii="微软雅黑" w:hAnsi="微软雅黑" w:eastAsia="微软雅黑" w:cs="微软雅黑"/>
          <w:color w:val="auto"/>
          <w:sz w:val="24"/>
          <w:szCs w:val="24"/>
          <w:highlight w:val="none"/>
        </w:rPr>
        <w:t>.2 乙方保证在交付的货物上不存在抵押权等担保物权。</w:t>
      </w:r>
    </w:p>
    <w:p w14:paraId="029F5DF2">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9</w:t>
      </w:r>
      <w:r>
        <w:rPr>
          <w:rFonts w:hint="eastAsia" w:ascii="微软雅黑" w:hAnsi="微软雅黑" w:eastAsia="微软雅黑" w:cs="微软雅黑"/>
          <w:color w:val="auto"/>
          <w:sz w:val="24"/>
          <w:szCs w:val="24"/>
          <w:highlight w:val="none"/>
        </w:rPr>
        <w:t>.3 如甲方使用</w:t>
      </w:r>
      <w:r>
        <w:rPr>
          <w:rFonts w:hint="eastAsia" w:ascii="微软雅黑" w:hAnsi="微软雅黑" w:eastAsia="微软雅黑" w:cs="微软雅黑"/>
          <w:color w:val="auto"/>
          <w:sz w:val="24"/>
          <w:szCs w:val="24"/>
          <w:highlight w:val="none"/>
          <w:lang w:val="en-US" w:eastAsia="zh-CN"/>
        </w:rPr>
        <w:t>上述</w:t>
      </w:r>
      <w:r>
        <w:rPr>
          <w:rFonts w:hint="eastAsia" w:ascii="微软雅黑" w:hAnsi="微软雅黑" w:eastAsia="微软雅黑" w:cs="微软雅黑"/>
          <w:color w:val="auto"/>
          <w:sz w:val="24"/>
          <w:szCs w:val="24"/>
          <w:highlight w:val="none"/>
        </w:rPr>
        <w:t>货物构成</w:t>
      </w:r>
      <w:r>
        <w:rPr>
          <w:rFonts w:hint="eastAsia" w:ascii="微软雅黑" w:hAnsi="微软雅黑" w:eastAsia="微软雅黑" w:cs="微软雅黑"/>
          <w:color w:val="auto"/>
          <w:sz w:val="24"/>
          <w:szCs w:val="24"/>
          <w:highlight w:val="none"/>
          <w:lang w:val="en-US" w:eastAsia="zh-CN"/>
        </w:rPr>
        <w:t>对第三人</w:t>
      </w:r>
      <w:r>
        <w:rPr>
          <w:rFonts w:hint="eastAsia" w:ascii="微软雅黑" w:hAnsi="微软雅黑" w:eastAsia="微软雅黑" w:cs="微软雅黑"/>
          <w:color w:val="auto"/>
          <w:sz w:val="24"/>
          <w:szCs w:val="24"/>
          <w:highlight w:val="none"/>
        </w:rPr>
        <w:t>侵权的，则由乙方承担全部责任。</w:t>
      </w:r>
    </w:p>
    <w:p w14:paraId="2F51901F">
      <w:pPr>
        <w:autoSpaceDE w:val="0"/>
        <w:autoSpaceDN w:val="0"/>
        <w:adjustRightInd w:val="0"/>
        <w:snapToGrid w:val="0"/>
        <w:spacing w:before="0" w:line="400" w:lineRule="exact"/>
        <w:jc w:val="left"/>
        <w:outlineLvl w:val="9"/>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t>1</w:t>
      </w:r>
      <w:r>
        <w:rPr>
          <w:rFonts w:hint="eastAsia" w:ascii="微软雅黑" w:hAnsi="微软雅黑" w:eastAsia="微软雅黑" w:cs="微软雅黑"/>
          <w:b/>
          <w:bCs/>
          <w:color w:val="auto"/>
          <w:sz w:val="24"/>
          <w:szCs w:val="24"/>
          <w:highlight w:val="none"/>
          <w:lang w:eastAsia="zh-CN"/>
        </w:rPr>
        <w:t>0</w:t>
      </w:r>
      <w:r>
        <w:rPr>
          <w:rFonts w:hint="eastAsia" w:ascii="微软雅黑" w:hAnsi="微软雅黑" w:eastAsia="微软雅黑" w:cs="微软雅黑"/>
          <w:b/>
          <w:bCs/>
          <w:color w:val="auto"/>
          <w:sz w:val="24"/>
          <w:szCs w:val="24"/>
          <w:highlight w:val="none"/>
        </w:rPr>
        <w:t>.</w:t>
      </w:r>
      <w:r>
        <w:rPr>
          <w:rFonts w:hint="eastAsia" w:ascii="微软雅黑" w:hAnsi="微软雅黑" w:eastAsia="微软雅黑" w:cs="微软雅黑"/>
          <w:b/>
          <w:bCs/>
          <w:color w:val="auto"/>
          <w:sz w:val="24"/>
          <w:szCs w:val="24"/>
          <w:highlight w:val="none"/>
          <w:lang w:val="en-US" w:eastAsia="zh-CN"/>
        </w:rPr>
        <w:t xml:space="preserve"> </w:t>
      </w:r>
      <w:r>
        <w:rPr>
          <w:rFonts w:hint="eastAsia" w:ascii="微软雅黑" w:hAnsi="微软雅黑" w:eastAsia="微软雅黑" w:cs="微软雅黑"/>
          <w:b/>
          <w:bCs/>
          <w:color w:val="auto"/>
          <w:sz w:val="24"/>
          <w:szCs w:val="24"/>
          <w:highlight w:val="none"/>
        </w:rPr>
        <w:t>知识产权保护</w:t>
      </w:r>
    </w:p>
    <w:p w14:paraId="058A8725">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eastAsia="zh-CN"/>
        </w:rPr>
        <w:t>0</w:t>
      </w:r>
      <w:r>
        <w:rPr>
          <w:rFonts w:hint="eastAsia" w:ascii="微软雅黑" w:hAnsi="微软雅黑" w:eastAsia="微软雅黑" w:cs="微软雅黑"/>
          <w:color w:val="auto"/>
          <w:sz w:val="24"/>
          <w:szCs w:val="24"/>
          <w:highlight w:val="none"/>
        </w:rPr>
        <w:t>.1 乙方对其所销售的货物应当享有知识产权或经权利人合法授权，保证没有侵犯任何第三人的知识产权等权利。</w:t>
      </w:r>
      <w:bookmarkStart w:id="2075" w:name="_Hlk163047038"/>
      <w:r>
        <w:rPr>
          <w:rFonts w:hint="eastAsia" w:ascii="微软雅黑" w:hAnsi="微软雅黑" w:eastAsia="微软雅黑" w:cs="微软雅黑"/>
          <w:color w:val="auto"/>
          <w:sz w:val="24"/>
          <w:szCs w:val="24"/>
          <w:highlight w:val="none"/>
        </w:rPr>
        <w:t>因违反前述约定对第三人构成侵权的，应当由乙方向第三人承担法律责任；甲方依法向第三人赔偿后，有权向乙方追偿。甲方有其他损失的，乙方应当赔偿</w:t>
      </w:r>
      <w:bookmarkEnd w:id="2075"/>
      <w:r>
        <w:rPr>
          <w:rFonts w:hint="eastAsia" w:ascii="微软雅黑" w:hAnsi="微软雅黑" w:eastAsia="微软雅黑" w:cs="微软雅黑"/>
          <w:color w:val="auto"/>
          <w:sz w:val="24"/>
          <w:szCs w:val="24"/>
          <w:highlight w:val="none"/>
        </w:rPr>
        <w:t>。</w:t>
      </w:r>
    </w:p>
    <w:p w14:paraId="2623739A">
      <w:pPr>
        <w:autoSpaceDE w:val="0"/>
        <w:autoSpaceDN w:val="0"/>
        <w:adjustRightInd w:val="0"/>
        <w:snapToGrid w:val="0"/>
        <w:spacing w:before="0" w:line="400" w:lineRule="exact"/>
        <w:jc w:val="left"/>
        <w:outlineLvl w:val="9"/>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t>1</w:t>
      </w:r>
      <w:r>
        <w:rPr>
          <w:rFonts w:hint="eastAsia" w:ascii="微软雅黑" w:hAnsi="微软雅黑" w:eastAsia="微软雅黑" w:cs="微软雅黑"/>
          <w:b/>
          <w:bCs/>
          <w:color w:val="auto"/>
          <w:sz w:val="24"/>
          <w:szCs w:val="24"/>
          <w:highlight w:val="none"/>
          <w:lang w:eastAsia="zh-CN"/>
        </w:rPr>
        <w:t>1</w:t>
      </w:r>
      <w:r>
        <w:rPr>
          <w:rFonts w:hint="eastAsia" w:ascii="微软雅黑" w:hAnsi="微软雅黑" w:eastAsia="微软雅黑" w:cs="微软雅黑"/>
          <w:b/>
          <w:bCs/>
          <w:color w:val="auto"/>
          <w:sz w:val="24"/>
          <w:szCs w:val="24"/>
          <w:highlight w:val="none"/>
        </w:rPr>
        <w:t>.</w:t>
      </w:r>
      <w:r>
        <w:rPr>
          <w:rFonts w:hint="eastAsia" w:ascii="微软雅黑" w:hAnsi="微软雅黑" w:eastAsia="微软雅黑" w:cs="微软雅黑"/>
          <w:b/>
          <w:bCs/>
          <w:color w:val="auto"/>
          <w:sz w:val="24"/>
          <w:szCs w:val="24"/>
          <w:highlight w:val="none"/>
          <w:lang w:val="en-US" w:eastAsia="zh-CN"/>
        </w:rPr>
        <w:t xml:space="preserve"> </w:t>
      </w:r>
      <w:r>
        <w:rPr>
          <w:rFonts w:hint="eastAsia" w:ascii="微软雅黑" w:hAnsi="微软雅黑" w:eastAsia="微软雅黑" w:cs="微软雅黑"/>
          <w:b/>
          <w:bCs/>
          <w:color w:val="auto"/>
          <w:sz w:val="24"/>
          <w:szCs w:val="24"/>
          <w:highlight w:val="none"/>
        </w:rPr>
        <w:t>保密义务</w:t>
      </w:r>
    </w:p>
    <w:p w14:paraId="45C5497C">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 xml:space="preserve">11.1 </w:t>
      </w:r>
      <w:r>
        <w:rPr>
          <w:rFonts w:hint="eastAsia" w:ascii="微软雅黑" w:hAnsi="微软雅黑" w:eastAsia="微软雅黑" w:cs="微软雅黑"/>
          <w:color w:val="auto"/>
          <w:sz w:val="24"/>
          <w:szCs w:val="24"/>
          <w:highlight w:val="none"/>
        </w:rPr>
        <w:t>甲、乙双方</w:t>
      </w:r>
      <w:r>
        <w:rPr>
          <w:rFonts w:hint="eastAsia" w:ascii="微软雅黑" w:hAnsi="微软雅黑" w:eastAsia="微软雅黑" w:cs="微软雅黑"/>
          <w:color w:val="auto"/>
          <w:sz w:val="24"/>
          <w:szCs w:val="24"/>
          <w:highlight w:val="none"/>
          <w:lang w:eastAsia="zh-CN"/>
        </w:rPr>
        <w:t>对</w:t>
      </w:r>
      <w:r>
        <w:rPr>
          <w:rFonts w:hint="eastAsia" w:ascii="微软雅黑" w:hAnsi="微软雅黑" w:eastAsia="微软雅黑" w:cs="微软雅黑"/>
          <w:color w:val="auto"/>
          <w:sz w:val="24"/>
          <w:szCs w:val="24"/>
          <w:highlight w:val="none"/>
        </w:rPr>
        <w:t>采购和合同履行过程中所获悉的</w:t>
      </w:r>
      <w:r>
        <w:rPr>
          <w:rFonts w:hint="eastAsia" w:ascii="微软雅黑" w:hAnsi="微软雅黑" w:eastAsia="微软雅黑" w:cs="微软雅黑"/>
          <w:color w:val="auto"/>
          <w:sz w:val="24"/>
          <w:szCs w:val="24"/>
          <w:highlight w:val="none"/>
          <w:lang w:eastAsia="zh-CN"/>
        </w:rPr>
        <w:t>国家秘密、工作秘密、</w:t>
      </w:r>
      <w:r>
        <w:rPr>
          <w:rFonts w:hint="eastAsia" w:ascii="微软雅黑" w:hAnsi="微软雅黑" w:eastAsia="微软雅黑" w:cs="微软雅黑"/>
          <w:color w:val="auto"/>
          <w:sz w:val="24"/>
          <w:szCs w:val="24"/>
          <w:highlight w:val="none"/>
        </w:rPr>
        <w:t>商业秘密或者其他应当保密的信息，均有保密义务</w:t>
      </w:r>
      <w:r>
        <w:rPr>
          <w:rFonts w:hint="eastAsia" w:ascii="微软雅黑" w:hAnsi="微软雅黑" w:eastAsia="微软雅黑" w:cs="微软雅黑"/>
          <w:color w:val="auto"/>
          <w:sz w:val="24"/>
          <w:szCs w:val="24"/>
          <w:highlight w:val="none"/>
          <w:lang w:eastAsia="zh-CN"/>
        </w:rPr>
        <w:t>且不受合同有效期所限，直至该信息成为公开信息</w:t>
      </w:r>
      <w:r>
        <w:rPr>
          <w:rFonts w:hint="eastAsia" w:ascii="微软雅黑" w:hAnsi="微软雅黑" w:eastAsia="微软雅黑" w:cs="微软雅黑"/>
          <w:color w:val="auto"/>
          <w:sz w:val="24"/>
          <w:szCs w:val="24"/>
          <w:highlight w:val="none"/>
        </w:rPr>
        <w:t>。泄露、不正当地使用</w:t>
      </w:r>
      <w:r>
        <w:rPr>
          <w:rFonts w:hint="eastAsia" w:ascii="微软雅黑" w:hAnsi="微软雅黑" w:eastAsia="微软雅黑" w:cs="微软雅黑"/>
          <w:color w:val="auto"/>
          <w:sz w:val="24"/>
          <w:szCs w:val="24"/>
          <w:highlight w:val="none"/>
          <w:lang w:eastAsia="zh-CN"/>
        </w:rPr>
        <w:t>国家秘密、工作秘密、</w:t>
      </w:r>
      <w:r>
        <w:rPr>
          <w:rFonts w:hint="eastAsia" w:ascii="微软雅黑" w:hAnsi="微软雅黑" w:eastAsia="微软雅黑" w:cs="微软雅黑"/>
          <w:color w:val="auto"/>
          <w:sz w:val="24"/>
          <w:szCs w:val="24"/>
          <w:highlight w:val="none"/>
        </w:rPr>
        <w:t>商业秘密或者</w:t>
      </w:r>
      <w:r>
        <w:rPr>
          <w:rFonts w:hint="eastAsia" w:ascii="微软雅黑" w:hAnsi="微软雅黑" w:eastAsia="微软雅黑" w:cs="微软雅黑"/>
          <w:color w:val="auto"/>
          <w:sz w:val="24"/>
          <w:szCs w:val="24"/>
          <w:highlight w:val="none"/>
          <w:lang w:eastAsia="zh-CN"/>
        </w:rPr>
        <w:t>其他应当保密的</w:t>
      </w:r>
      <w:r>
        <w:rPr>
          <w:rFonts w:hint="eastAsia" w:ascii="微软雅黑" w:hAnsi="微软雅黑" w:eastAsia="微软雅黑" w:cs="微软雅黑"/>
          <w:color w:val="auto"/>
          <w:sz w:val="24"/>
          <w:szCs w:val="24"/>
          <w:highlight w:val="none"/>
        </w:rPr>
        <w:t>信息，应当承担</w:t>
      </w:r>
      <w:r>
        <w:rPr>
          <w:rFonts w:hint="eastAsia" w:ascii="微软雅黑" w:hAnsi="微软雅黑" w:eastAsia="微软雅黑" w:cs="微软雅黑"/>
          <w:color w:val="auto"/>
          <w:sz w:val="24"/>
          <w:szCs w:val="24"/>
          <w:highlight w:val="none"/>
          <w:lang w:eastAsia="zh-CN"/>
        </w:rPr>
        <w:t>相应</w:t>
      </w:r>
      <w:r>
        <w:rPr>
          <w:rFonts w:hint="eastAsia" w:ascii="微软雅黑" w:hAnsi="微软雅黑" w:eastAsia="微软雅黑" w:cs="微软雅黑"/>
          <w:color w:val="auto"/>
          <w:sz w:val="24"/>
          <w:szCs w:val="24"/>
          <w:highlight w:val="none"/>
        </w:rPr>
        <w:t>责任。其他应当保密的信息由双方在</w:t>
      </w:r>
      <w:r>
        <w:rPr>
          <w:rFonts w:hint="eastAsia" w:ascii="微软雅黑" w:hAnsi="微软雅黑" w:eastAsia="微软雅黑" w:cs="微软雅黑"/>
          <w:b/>
          <w:bCs/>
          <w:color w:val="auto"/>
          <w:sz w:val="24"/>
          <w:szCs w:val="24"/>
          <w:highlight w:val="none"/>
        </w:rPr>
        <w:t>【政府采购合同专用条款】</w:t>
      </w:r>
      <w:r>
        <w:rPr>
          <w:rFonts w:hint="eastAsia" w:ascii="微软雅黑" w:hAnsi="微软雅黑" w:eastAsia="微软雅黑" w:cs="微软雅黑"/>
          <w:color w:val="auto"/>
          <w:sz w:val="24"/>
          <w:szCs w:val="24"/>
          <w:highlight w:val="none"/>
        </w:rPr>
        <w:t>中约定。</w:t>
      </w:r>
    </w:p>
    <w:p w14:paraId="6B90D4C2">
      <w:pPr>
        <w:autoSpaceDE w:val="0"/>
        <w:autoSpaceDN w:val="0"/>
        <w:adjustRightInd w:val="0"/>
        <w:snapToGrid w:val="0"/>
        <w:spacing w:before="0" w:line="400" w:lineRule="exact"/>
        <w:jc w:val="left"/>
        <w:outlineLvl w:val="9"/>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t>1</w:t>
      </w:r>
      <w:r>
        <w:rPr>
          <w:rFonts w:hint="eastAsia" w:ascii="微软雅黑" w:hAnsi="微软雅黑" w:eastAsia="微软雅黑" w:cs="微软雅黑"/>
          <w:b/>
          <w:bCs/>
          <w:color w:val="auto"/>
          <w:sz w:val="24"/>
          <w:szCs w:val="24"/>
          <w:highlight w:val="none"/>
          <w:lang w:eastAsia="zh-CN"/>
        </w:rPr>
        <w:t>2</w:t>
      </w:r>
      <w:r>
        <w:rPr>
          <w:rFonts w:hint="eastAsia" w:ascii="微软雅黑" w:hAnsi="微软雅黑" w:eastAsia="微软雅黑" w:cs="微软雅黑"/>
          <w:b/>
          <w:bCs/>
          <w:color w:val="auto"/>
          <w:sz w:val="24"/>
          <w:szCs w:val="24"/>
          <w:highlight w:val="none"/>
        </w:rPr>
        <w:t>.</w:t>
      </w:r>
      <w:r>
        <w:rPr>
          <w:rFonts w:hint="eastAsia" w:ascii="微软雅黑" w:hAnsi="微软雅黑" w:eastAsia="微软雅黑" w:cs="微软雅黑"/>
          <w:b/>
          <w:bCs/>
          <w:color w:val="auto"/>
          <w:sz w:val="24"/>
          <w:szCs w:val="24"/>
          <w:highlight w:val="none"/>
          <w:lang w:val="en-US" w:eastAsia="zh-CN"/>
        </w:rPr>
        <w:t xml:space="preserve"> </w:t>
      </w:r>
      <w:r>
        <w:rPr>
          <w:rFonts w:hint="eastAsia" w:ascii="微软雅黑" w:hAnsi="微软雅黑" w:eastAsia="微软雅黑" w:cs="微软雅黑"/>
          <w:b/>
          <w:bCs/>
          <w:color w:val="auto"/>
          <w:sz w:val="24"/>
          <w:szCs w:val="24"/>
          <w:highlight w:val="none"/>
        </w:rPr>
        <w:t>合同价款支付</w:t>
      </w:r>
    </w:p>
    <w:p w14:paraId="5340FB4A">
      <w:pPr>
        <w:autoSpaceDE/>
        <w:autoSpaceDN/>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eastAsia="zh-CN"/>
        </w:rPr>
        <w:t>2</w:t>
      </w:r>
      <w:r>
        <w:rPr>
          <w:rFonts w:hint="eastAsia" w:ascii="微软雅黑" w:hAnsi="微软雅黑" w:eastAsia="微软雅黑" w:cs="微软雅黑"/>
          <w:color w:val="auto"/>
          <w:sz w:val="24"/>
          <w:szCs w:val="24"/>
          <w:highlight w:val="none"/>
        </w:rPr>
        <w:t xml:space="preserve">.1 </w:t>
      </w:r>
      <w:r>
        <w:rPr>
          <w:rFonts w:hint="eastAsia" w:ascii="微软雅黑" w:hAnsi="微软雅黑" w:eastAsia="微软雅黑" w:cs="微软雅黑"/>
          <w:color w:val="auto"/>
          <w:sz w:val="24"/>
          <w:szCs w:val="24"/>
          <w:highlight w:val="none"/>
          <w:lang w:eastAsia="zh-CN"/>
        </w:rPr>
        <w:t>合同价款支付</w:t>
      </w:r>
      <w:r>
        <w:rPr>
          <w:rFonts w:hint="eastAsia" w:ascii="微软雅黑" w:hAnsi="微软雅黑" w:eastAsia="微软雅黑" w:cs="微软雅黑"/>
          <w:color w:val="auto"/>
          <w:sz w:val="24"/>
          <w:szCs w:val="24"/>
          <w:highlight w:val="none"/>
        </w:rPr>
        <w:t>按照国库集中支付</w:t>
      </w:r>
      <w:r>
        <w:rPr>
          <w:rFonts w:hint="eastAsia" w:ascii="微软雅黑" w:hAnsi="微软雅黑" w:eastAsia="微软雅黑" w:cs="微软雅黑"/>
          <w:color w:val="auto"/>
          <w:sz w:val="24"/>
          <w:szCs w:val="24"/>
          <w:highlight w:val="none"/>
          <w:lang w:eastAsia="zh-CN"/>
        </w:rPr>
        <w:t>制度及财政管理相关</w:t>
      </w:r>
      <w:r>
        <w:rPr>
          <w:rFonts w:hint="eastAsia" w:ascii="微软雅黑" w:hAnsi="微软雅黑" w:eastAsia="微软雅黑" w:cs="微软雅黑"/>
          <w:color w:val="auto"/>
          <w:sz w:val="24"/>
          <w:szCs w:val="24"/>
          <w:highlight w:val="none"/>
        </w:rPr>
        <w:t>规定执行。</w:t>
      </w:r>
    </w:p>
    <w:p w14:paraId="6F081011">
      <w:pPr>
        <w:spacing w:line="400" w:lineRule="exact"/>
        <w:ind w:firstLine="480" w:firstLineChars="200"/>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b w:val="0"/>
          <w:bCs w:val="0"/>
          <w:color w:val="auto"/>
          <w:sz w:val="24"/>
          <w:szCs w:val="24"/>
          <w:highlight w:val="none"/>
          <w:lang w:val="en-US" w:eastAsia="zh-CN"/>
        </w:rPr>
        <w:t xml:space="preserve">12.2 </w:t>
      </w:r>
      <w:r>
        <w:rPr>
          <w:rFonts w:hint="eastAsia" w:ascii="微软雅黑" w:hAnsi="微软雅黑" w:eastAsia="微软雅黑" w:cs="微软雅黑"/>
          <w:b w:val="0"/>
          <w:bCs w:val="0"/>
          <w:color w:val="auto"/>
          <w:kern w:val="2"/>
          <w:sz w:val="24"/>
          <w:szCs w:val="24"/>
          <w:highlight w:val="none"/>
        </w:rPr>
        <w:t>对于满足合同约定支付条件的，</w:t>
      </w:r>
      <w:r>
        <w:rPr>
          <w:rFonts w:hint="eastAsia" w:ascii="微软雅黑" w:hAnsi="微软雅黑" w:eastAsia="微软雅黑" w:cs="微软雅黑"/>
          <w:b w:val="0"/>
          <w:bCs w:val="0"/>
          <w:color w:val="auto"/>
          <w:kern w:val="2"/>
          <w:sz w:val="24"/>
          <w:szCs w:val="24"/>
          <w:highlight w:val="none"/>
          <w:lang w:val="en-US" w:eastAsia="zh-CN"/>
        </w:rPr>
        <w:t>甲方</w:t>
      </w:r>
      <w:r>
        <w:rPr>
          <w:rFonts w:hint="eastAsia" w:ascii="微软雅黑" w:hAnsi="微软雅黑" w:eastAsia="微软雅黑" w:cs="微软雅黑"/>
          <w:b w:val="0"/>
          <w:bCs w:val="0"/>
          <w:i w:val="0"/>
          <w:iCs w:val="0"/>
          <w:caps w:val="0"/>
          <w:color w:val="auto"/>
          <w:spacing w:val="0"/>
          <w:sz w:val="24"/>
          <w:szCs w:val="24"/>
          <w:highlight w:val="none"/>
          <w:shd w:val="clear"/>
          <w:vertAlign w:val="baseline"/>
        </w:rPr>
        <w:t>原则上应当自收到发票后10个工作日内</w:t>
      </w:r>
      <w:r>
        <w:rPr>
          <w:rFonts w:hint="eastAsia" w:ascii="微软雅黑" w:hAnsi="微软雅黑" w:eastAsia="微软雅黑" w:cs="微软雅黑"/>
          <w:b w:val="0"/>
          <w:bCs w:val="0"/>
          <w:color w:val="auto"/>
          <w:kern w:val="2"/>
          <w:sz w:val="24"/>
          <w:szCs w:val="24"/>
          <w:highlight w:val="none"/>
        </w:rPr>
        <w:t>将资金支付到合同约定的</w:t>
      </w:r>
      <w:r>
        <w:rPr>
          <w:rFonts w:hint="eastAsia" w:ascii="微软雅黑" w:hAnsi="微软雅黑" w:eastAsia="微软雅黑" w:cs="微软雅黑"/>
          <w:b w:val="0"/>
          <w:bCs w:val="0"/>
          <w:color w:val="auto"/>
          <w:kern w:val="2"/>
          <w:sz w:val="24"/>
          <w:szCs w:val="24"/>
          <w:highlight w:val="none"/>
          <w:lang w:eastAsia="zh-CN"/>
        </w:rPr>
        <w:t>乙方</w:t>
      </w:r>
      <w:r>
        <w:rPr>
          <w:rFonts w:hint="eastAsia" w:ascii="微软雅黑" w:hAnsi="微软雅黑" w:eastAsia="微软雅黑" w:cs="微软雅黑"/>
          <w:b w:val="0"/>
          <w:bCs w:val="0"/>
          <w:color w:val="auto"/>
          <w:kern w:val="2"/>
          <w:sz w:val="24"/>
          <w:szCs w:val="24"/>
          <w:highlight w:val="none"/>
        </w:rPr>
        <w:t>账户，不得以机构变动、人员更替、政策调整等为由迟延付款，不得将采购文件和合同中未规定的义务作为向</w:t>
      </w:r>
      <w:r>
        <w:rPr>
          <w:rFonts w:hint="eastAsia" w:ascii="微软雅黑" w:hAnsi="微软雅黑" w:eastAsia="微软雅黑" w:cs="微软雅黑"/>
          <w:b w:val="0"/>
          <w:bCs w:val="0"/>
          <w:color w:val="auto"/>
          <w:kern w:val="2"/>
          <w:sz w:val="24"/>
          <w:szCs w:val="24"/>
          <w:highlight w:val="none"/>
          <w:lang w:val="en-US" w:eastAsia="zh-CN"/>
        </w:rPr>
        <w:t>乙方</w:t>
      </w:r>
      <w:r>
        <w:rPr>
          <w:rFonts w:hint="eastAsia" w:ascii="微软雅黑" w:hAnsi="微软雅黑" w:eastAsia="微软雅黑" w:cs="微软雅黑"/>
          <w:b w:val="0"/>
          <w:bCs w:val="0"/>
          <w:color w:val="auto"/>
          <w:kern w:val="2"/>
          <w:sz w:val="24"/>
          <w:szCs w:val="24"/>
          <w:highlight w:val="none"/>
        </w:rPr>
        <w:t>付款的条件。具体合同价款支付时间在【</w:t>
      </w:r>
      <w:r>
        <w:rPr>
          <w:rFonts w:hint="eastAsia" w:ascii="微软雅黑" w:hAnsi="微软雅黑" w:eastAsia="微软雅黑" w:cs="微软雅黑"/>
          <w:b/>
          <w:bCs/>
          <w:color w:val="auto"/>
          <w:kern w:val="2"/>
          <w:sz w:val="24"/>
          <w:szCs w:val="24"/>
          <w:highlight w:val="none"/>
        </w:rPr>
        <w:t>政府采购合同专用条款</w:t>
      </w:r>
      <w:r>
        <w:rPr>
          <w:rFonts w:hint="eastAsia" w:ascii="微软雅黑" w:hAnsi="微软雅黑" w:eastAsia="微软雅黑" w:cs="微软雅黑"/>
          <w:b w:val="0"/>
          <w:bCs w:val="0"/>
          <w:color w:val="auto"/>
          <w:kern w:val="2"/>
          <w:sz w:val="24"/>
          <w:szCs w:val="24"/>
          <w:highlight w:val="none"/>
        </w:rPr>
        <w:t>】中</w:t>
      </w:r>
      <w:r>
        <w:rPr>
          <w:rFonts w:hint="eastAsia" w:ascii="微软雅黑" w:hAnsi="微软雅黑" w:eastAsia="微软雅黑" w:cs="微软雅黑"/>
          <w:b w:val="0"/>
          <w:bCs w:val="0"/>
          <w:color w:val="auto"/>
          <w:kern w:val="2"/>
          <w:sz w:val="24"/>
          <w:szCs w:val="24"/>
          <w:highlight w:val="none"/>
          <w:lang w:eastAsia="zh-CN"/>
        </w:rPr>
        <w:t>约</w:t>
      </w:r>
      <w:r>
        <w:rPr>
          <w:rFonts w:hint="eastAsia" w:ascii="微软雅黑" w:hAnsi="微软雅黑" w:eastAsia="微软雅黑" w:cs="微软雅黑"/>
          <w:b w:val="0"/>
          <w:bCs w:val="0"/>
          <w:color w:val="auto"/>
          <w:kern w:val="2"/>
          <w:sz w:val="24"/>
          <w:szCs w:val="24"/>
          <w:highlight w:val="none"/>
        </w:rPr>
        <w:t>定。</w:t>
      </w:r>
    </w:p>
    <w:p w14:paraId="3AA4A155">
      <w:pPr>
        <w:pStyle w:val="12"/>
        <w:spacing w:after="0" w:line="400" w:lineRule="exact"/>
        <w:outlineLvl w:val="9"/>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t>1</w:t>
      </w:r>
      <w:r>
        <w:rPr>
          <w:rFonts w:hint="eastAsia" w:ascii="微软雅黑" w:hAnsi="微软雅黑" w:eastAsia="微软雅黑" w:cs="微软雅黑"/>
          <w:b/>
          <w:bCs/>
          <w:color w:val="auto"/>
          <w:sz w:val="24"/>
          <w:szCs w:val="24"/>
          <w:highlight w:val="none"/>
          <w:lang w:eastAsia="zh-CN"/>
        </w:rPr>
        <w:t>3</w:t>
      </w:r>
      <w:r>
        <w:rPr>
          <w:rFonts w:hint="eastAsia" w:ascii="微软雅黑" w:hAnsi="微软雅黑" w:eastAsia="微软雅黑" w:cs="微软雅黑"/>
          <w:b/>
          <w:bCs/>
          <w:color w:val="auto"/>
          <w:sz w:val="24"/>
          <w:szCs w:val="24"/>
          <w:highlight w:val="none"/>
        </w:rPr>
        <w:t>.</w:t>
      </w:r>
      <w:r>
        <w:rPr>
          <w:rFonts w:hint="eastAsia" w:ascii="微软雅黑" w:hAnsi="微软雅黑" w:eastAsia="微软雅黑" w:cs="微软雅黑"/>
          <w:b/>
          <w:bCs/>
          <w:color w:val="auto"/>
          <w:sz w:val="24"/>
          <w:szCs w:val="24"/>
          <w:highlight w:val="none"/>
          <w:lang w:val="en-US" w:eastAsia="zh-CN"/>
        </w:rPr>
        <w:t xml:space="preserve"> </w:t>
      </w:r>
      <w:r>
        <w:rPr>
          <w:rFonts w:hint="eastAsia" w:ascii="微软雅黑" w:hAnsi="微软雅黑" w:eastAsia="微软雅黑" w:cs="微软雅黑"/>
          <w:b/>
          <w:bCs/>
          <w:color w:val="auto"/>
          <w:sz w:val="24"/>
          <w:szCs w:val="24"/>
          <w:highlight w:val="none"/>
        </w:rPr>
        <w:t>履约保证金</w:t>
      </w:r>
    </w:p>
    <w:p w14:paraId="144937D4">
      <w:pPr>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eastAsia="zh-CN"/>
        </w:rPr>
        <w:t>3</w:t>
      </w:r>
      <w:r>
        <w:rPr>
          <w:rFonts w:hint="eastAsia" w:ascii="微软雅黑" w:hAnsi="微软雅黑" w:eastAsia="微软雅黑" w:cs="微软雅黑"/>
          <w:color w:val="auto"/>
          <w:sz w:val="24"/>
          <w:szCs w:val="24"/>
          <w:highlight w:val="none"/>
        </w:rPr>
        <w:t>.1 乙方应当以支票、汇票、本票或者金融机构、担保机构出具的保函等非现金形式提交。</w:t>
      </w:r>
    </w:p>
    <w:p w14:paraId="03F513CF">
      <w:pPr>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eastAsia="zh-CN"/>
        </w:rPr>
        <w:t>3</w:t>
      </w:r>
      <w:r>
        <w:rPr>
          <w:rFonts w:hint="eastAsia" w:ascii="微软雅黑" w:hAnsi="微软雅黑" w:eastAsia="微软雅黑" w:cs="微软雅黑"/>
          <w:color w:val="auto"/>
          <w:sz w:val="24"/>
          <w:szCs w:val="24"/>
          <w:highlight w:val="none"/>
        </w:rPr>
        <w:t>.2 如果乙方</w:t>
      </w:r>
      <w:r>
        <w:rPr>
          <w:rFonts w:hint="eastAsia" w:ascii="微软雅黑" w:hAnsi="微软雅黑" w:eastAsia="微软雅黑" w:cs="微软雅黑"/>
          <w:color w:val="auto"/>
          <w:sz w:val="24"/>
          <w:szCs w:val="24"/>
          <w:highlight w:val="none"/>
          <w:lang w:eastAsia="zh-CN"/>
        </w:rPr>
        <w:t>出现</w:t>
      </w:r>
      <w:r>
        <w:rPr>
          <w:rFonts w:hint="eastAsia" w:ascii="微软雅黑" w:hAnsi="微软雅黑" w:eastAsia="微软雅黑" w:cs="微软雅黑"/>
          <w:b/>
          <w:bCs/>
          <w:color w:val="auto"/>
          <w:sz w:val="24"/>
          <w:szCs w:val="24"/>
          <w:highlight w:val="none"/>
        </w:rPr>
        <w:t>【政府采购合同专用条款】</w:t>
      </w:r>
      <w:r>
        <w:rPr>
          <w:rFonts w:hint="eastAsia" w:ascii="微软雅黑" w:hAnsi="微软雅黑" w:eastAsia="微软雅黑" w:cs="微软雅黑"/>
          <w:b w:val="0"/>
          <w:bCs w:val="0"/>
          <w:color w:val="auto"/>
          <w:sz w:val="24"/>
          <w:szCs w:val="24"/>
          <w:highlight w:val="none"/>
          <w:lang w:eastAsia="zh-CN"/>
        </w:rPr>
        <w:t>约定情形的</w:t>
      </w:r>
      <w:r>
        <w:rPr>
          <w:rFonts w:hint="eastAsia" w:ascii="微软雅黑" w:hAnsi="微软雅黑" w:eastAsia="微软雅黑" w:cs="微软雅黑"/>
          <w:color w:val="auto"/>
          <w:sz w:val="24"/>
          <w:szCs w:val="24"/>
          <w:highlight w:val="none"/>
        </w:rPr>
        <w:t>，履约保证金不予退还；如果乙方未能按合同约定全面履行义务，甲方有权从履约保证金中取得补偿或赔偿，</w:t>
      </w:r>
      <w:r>
        <w:rPr>
          <w:rFonts w:hint="eastAsia" w:ascii="微软雅黑" w:hAnsi="微软雅黑" w:eastAsia="微软雅黑" w:cs="微软雅黑"/>
          <w:color w:val="auto"/>
          <w:sz w:val="24"/>
          <w:szCs w:val="24"/>
          <w:highlight w:val="none"/>
          <w:lang w:eastAsia="zh-CN"/>
        </w:rPr>
        <w:t>且</w:t>
      </w:r>
      <w:r>
        <w:rPr>
          <w:rFonts w:hint="eastAsia" w:ascii="微软雅黑" w:hAnsi="微软雅黑" w:eastAsia="微软雅黑" w:cs="微软雅黑"/>
          <w:color w:val="auto"/>
          <w:sz w:val="24"/>
          <w:szCs w:val="24"/>
          <w:highlight w:val="none"/>
        </w:rPr>
        <w:t>不影响甲方要求乙方承担合同约定的超过履约保证金的违约责任的权利。</w:t>
      </w:r>
    </w:p>
    <w:p w14:paraId="38382991">
      <w:pPr>
        <w:spacing w:line="400" w:lineRule="exact"/>
        <w:ind w:firstLine="42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eastAsia="zh-CN"/>
        </w:rPr>
        <w:t>3</w:t>
      </w:r>
      <w:r>
        <w:rPr>
          <w:rFonts w:hint="eastAsia" w:ascii="微软雅黑" w:hAnsi="微软雅黑" w:eastAsia="微软雅黑" w:cs="微软雅黑"/>
          <w:color w:val="auto"/>
          <w:sz w:val="24"/>
          <w:szCs w:val="24"/>
          <w:highlight w:val="none"/>
        </w:rPr>
        <w:t>.3 甲方在项目通过验收后按照</w:t>
      </w:r>
      <w:r>
        <w:rPr>
          <w:rFonts w:hint="eastAsia" w:ascii="微软雅黑" w:hAnsi="微软雅黑" w:eastAsia="微软雅黑" w:cs="微软雅黑"/>
          <w:b/>
          <w:color w:val="auto"/>
          <w:sz w:val="24"/>
          <w:szCs w:val="24"/>
          <w:highlight w:val="none"/>
        </w:rPr>
        <w:t>【政府采购合同专用条款】</w:t>
      </w:r>
      <w:r>
        <w:rPr>
          <w:rFonts w:hint="eastAsia" w:ascii="微软雅黑" w:hAnsi="微软雅黑" w:eastAsia="微软雅黑" w:cs="微软雅黑"/>
          <w:color w:val="auto"/>
          <w:sz w:val="24"/>
          <w:szCs w:val="24"/>
          <w:highlight w:val="none"/>
        </w:rPr>
        <w:t>规定的时间内将履约保证金退还乙方；逾期退还的，乙方可要求甲方支付违约金，违约金按照</w:t>
      </w:r>
      <w:r>
        <w:rPr>
          <w:rFonts w:hint="eastAsia" w:ascii="微软雅黑" w:hAnsi="微软雅黑" w:eastAsia="微软雅黑" w:cs="微软雅黑"/>
          <w:b/>
          <w:color w:val="auto"/>
          <w:sz w:val="24"/>
          <w:szCs w:val="24"/>
          <w:highlight w:val="none"/>
        </w:rPr>
        <w:t>【政府采购合同专用条款】</w:t>
      </w:r>
      <w:r>
        <w:rPr>
          <w:rFonts w:hint="eastAsia" w:ascii="微软雅黑" w:hAnsi="微软雅黑" w:eastAsia="微软雅黑" w:cs="微软雅黑"/>
          <w:color w:val="auto"/>
          <w:sz w:val="24"/>
          <w:szCs w:val="24"/>
          <w:highlight w:val="none"/>
        </w:rPr>
        <w:t>规定支付。</w:t>
      </w:r>
    </w:p>
    <w:p w14:paraId="30E50B9A">
      <w:pPr>
        <w:autoSpaceDE w:val="0"/>
        <w:autoSpaceDN w:val="0"/>
        <w:adjustRightInd w:val="0"/>
        <w:snapToGrid w:val="0"/>
        <w:spacing w:before="0" w:line="400" w:lineRule="exact"/>
        <w:jc w:val="left"/>
        <w:outlineLvl w:val="9"/>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bCs/>
          <w:color w:val="auto"/>
          <w:sz w:val="24"/>
          <w:szCs w:val="24"/>
          <w:highlight w:val="none"/>
        </w:rPr>
        <w:t>1</w:t>
      </w:r>
      <w:r>
        <w:rPr>
          <w:rFonts w:hint="eastAsia" w:ascii="微软雅黑" w:hAnsi="微软雅黑" w:eastAsia="微软雅黑" w:cs="微软雅黑"/>
          <w:b/>
          <w:bCs/>
          <w:color w:val="auto"/>
          <w:sz w:val="24"/>
          <w:szCs w:val="24"/>
          <w:highlight w:val="none"/>
          <w:lang w:eastAsia="zh-CN"/>
        </w:rPr>
        <w:t>4</w:t>
      </w:r>
      <w:r>
        <w:rPr>
          <w:rFonts w:hint="eastAsia" w:ascii="微软雅黑" w:hAnsi="微软雅黑" w:eastAsia="微软雅黑" w:cs="微软雅黑"/>
          <w:b/>
          <w:bCs/>
          <w:color w:val="auto"/>
          <w:sz w:val="24"/>
          <w:szCs w:val="24"/>
          <w:highlight w:val="none"/>
        </w:rPr>
        <w:t>.</w:t>
      </w:r>
      <w:r>
        <w:rPr>
          <w:rFonts w:hint="eastAsia" w:ascii="微软雅黑" w:hAnsi="微软雅黑" w:eastAsia="微软雅黑" w:cs="微软雅黑"/>
          <w:b/>
          <w:bCs/>
          <w:color w:val="auto"/>
          <w:sz w:val="24"/>
          <w:szCs w:val="24"/>
          <w:highlight w:val="none"/>
          <w:lang w:val="en-US" w:eastAsia="zh-CN"/>
        </w:rPr>
        <w:t xml:space="preserve"> </w:t>
      </w:r>
      <w:r>
        <w:rPr>
          <w:rFonts w:hint="eastAsia" w:ascii="微软雅黑" w:hAnsi="微软雅黑" w:eastAsia="微软雅黑" w:cs="微软雅黑"/>
          <w:b/>
          <w:color w:val="auto"/>
          <w:sz w:val="24"/>
          <w:szCs w:val="24"/>
          <w:highlight w:val="none"/>
        </w:rPr>
        <w:t>售后服务</w:t>
      </w:r>
    </w:p>
    <w:p w14:paraId="1AFF5BC8">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eastAsia="zh-CN"/>
        </w:rPr>
        <w:t>4</w:t>
      </w:r>
      <w:r>
        <w:rPr>
          <w:rFonts w:hint="eastAsia" w:ascii="微软雅黑" w:hAnsi="微软雅黑" w:eastAsia="微软雅黑" w:cs="微软雅黑"/>
          <w:color w:val="auto"/>
          <w:sz w:val="24"/>
          <w:szCs w:val="24"/>
          <w:highlight w:val="none"/>
        </w:rPr>
        <w:t>.1 除项目不涉及或采购活动中明确约定无须承担外，乙方还应提供下列服务：</w:t>
      </w:r>
    </w:p>
    <w:p w14:paraId="17590AD6">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（1）货物的现场移动、安装、调试、启动监督及技术支持；</w:t>
      </w:r>
    </w:p>
    <w:p w14:paraId="52723E38">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（2）提供货物组装和维修所需的专用工具和辅助材料；</w:t>
      </w:r>
    </w:p>
    <w:p w14:paraId="1346BB64">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（3）在</w:t>
      </w:r>
      <w:r>
        <w:rPr>
          <w:rFonts w:hint="eastAsia" w:ascii="微软雅黑" w:hAnsi="微软雅黑" w:eastAsia="微软雅黑" w:cs="微软雅黑"/>
          <w:b/>
          <w:bCs/>
          <w:color w:val="auto"/>
          <w:sz w:val="24"/>
          <w:szCs w:val="24"/>
          <w:highlight w:val="none"/>
        </w:rPr>
        <w:t>【政府采购合同专用条款】</w:t>
      </w:r>
      <w:r>
        <w:rPr>
          <w:rFonts w:hint="eastAsia" w:ascii="微软雅黑" w:hAnsi="微软雅黑" w:eastAsia="微软雅黑" w:cs="微软雅黑"/>
          <w:color w:val="auto"/>
          <w:sz w:val="24"/>
          <w:szCs w:val="24"/>
          <w:highlight w:val="none"/>
          <w:lang w:eastAsia="zh-CN"/>
        </w:rPr>
        <w:t>约定</w:t>
      </w:r>
      <w:r>
        <w:rPr>
          <w:rFonts w:hint="eastAsia" w:ascii="微软雅黑" w:hAnsi="微软雅黑" w:eastAsia="微软雅黑" w:cs="微软雅黑"/>
          <w:color w:val="auto"/>
          <w:sz w:val="24"/>
          <w:szCs w:val="24"/>
          <w:highlight w:val="none"/>
        </w:rPr>
        <w:t>的期限内对所有的货物实施运行监督、维修，但前提条件是该服务并不能免除乙方在质量保证期内所承担的义务；</w:t>
      </w:r>
    </w:p>
    <w:p w14:paraId="12F5D381">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（4）在制造商</w:t>
      </w:r>
      <w:r>
        <w:rPr>
          <w:rFonts w:hint="eastAsia" w:ascii="微软雅黑" w:hAnsi="微软雅黑" w:eastAsia="微软雅黑" w:cs="微软雅黑"/>
          <w:color w:val="auto"/>
          <w:sz w:val="24"/>
          <w:szCs w:val="24"/>
          <w:highlight w:val="none"/>
          <w:lang w:eastAsia="zh-CN"/>
        </w:rPr>
        <w:t>所在地</w:t>
      </w:r>
      <w:r>
        <w:rPr>
          <w:rFonts w:hint="eastAsia" w:ascii="微软雅黑" w:hAnsi="微软雅黑" w:eastAsia="微软雅黑" w:cs="微软雅黑"/>
          <w:color w:val="auto"/>
          <w:sz w:val="24"/>
          <w:szCs w:val="24"/>
          <w:highlight w:val="none"/>
        </w:rPr>
        <w:t>或</w:t>
      </w:r>
      <w:r>
        <w:rPr>
          <w:rFonts w:hint="eastAsia" w:ascii="微软雅黑" w:hAnsi="微软雅黑" w:eastAsia="微软雅黑" w:cs="微软雅黑"/>
          <w:color w:val="auto"/>
          <w:sz w:val="24"/>
          <w:szCs w:val="24"/>
          <w:highlight w:val="none"/>
          <w:lang w:eastAsia="zh-CN"/>
        </w:rPr>
        <w:t>指定</w:t>
      </w:r>
      <w:r>
        <w:rPr>
          <w:rFonts w:hint="eastAsia" w:ascii="微软雅黑" w:hAnsi="微软雅黑" w:eastAsia="微软雅黑" w:cs="微软雅黑"/>
          <w:color w:val="auto"/>
          <w:sz w:val="24"/>
          <w:szCs w:val="24"/>
          <w:highlight w:val="none"/>
        </w:rPr>
        <w:t>现场就货物的安装、启动、运营、维护</w:t>
      </w:r>
      <w:r>
        <w:rPr>
          <w:rFonts w:hint="eastAsia" w:ascii="微软雅黑" w:hAnsi="微软雅黑" w:eastAsia="微软雅黑" w:cs="微软雅黑"/>
          <w:color w:val="auto"/>
          <w:sz w:val="24"/>
          <w:szCs w:val="24"/>
          <w:highlight w:val="none"/>
          <w:lang w:eastAsia="zh-CN"/>
        </w:rPr>
        <w:t>、废弃处置等</w:t>
      </w:r>
      <w:r>
        <w:rPr>
          <w:rFonts w:hint="eastAsia" w:ascii="微软雅黑" w:hAnsi="微软雅黑" w:eastAsia="微软雅黑" w:cs="微软雅黑"/>
          <w:color w:val="auto"/>
          <w:sz w:val="24"/>
          <w:szCs w:val="24"/>
          <w:highlight w:val="none"/>
        </w:rPr>
        <w:t>对甲方操作人员进行培训</w:t>
      </w:r>
      <w:r>
        <w:rPr>
          <w:rFonts w:hint="eastAsia" w:ascii="微软雅黑" w:hAnsi="微软雅黑" w:eastAsia="微软雅黑" w:cs="微软雅黑"/>
          <w:color w:val="auto"/>
          <w:sz w:val="24"/>
          <w:szCs w:val="24"/>
          <w:highlight w:val="none"/>
          <w:lang w:eastAsia="zh-CN"/>
        </w:rPr>
        <w:t>；</w:t>
      </w:r>
    </w:p>
    <w:p w14:paraId="7E105E5B">
      <w:pPr>
        <w:pStyle w:val="117"/>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（5）依照法律、行政法规的规定或者按照</w:t>
      </w:r>
      <w:r>
        <w:rPr>
          <w:rFonts w:hint="eastAsia" w:ascii="微软雅黑" w:hAnsi="微软雅黑" w:eastAsia="微软雅黑" w:cs="微软雅黑"/>
          <w:b/>
          <w:bCs/>
          <w:color w:val="auto"/>
          <w:sz w:val="24"/>
          <w:szCs w:val="24"/>
          <w:highlight w:val="none"/>
        </w:rPr>
        <w:t>【政府采购合同专用条款】</w:t>
      </w:r>
      <w:r>
        <w:rPr>
          <w:rFonts w:hint="eastAsia" w:ascii="微软雅黑" w:hAnsi="微软雅黑" w:eastAsia="微软雅黑" w:cs="微软雅黑"/>
          <w:color w:val="auto"/>
          <w:sz w:val="24"/>
          <w:szCs w:val="24"/>
          <w:highlight w:val="none"/>
        </w:rPr>
        <w:t>约定，货物在有效使用年限届满后应予回收的，乙方负有自行或者委托第三人对货物予以回收的义务；</w:t>
      </w:r>
    </w:p>
    <w:p w14:paraId="254B3855">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6</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b/>
          <w:color w:val="auto"/>
          <w:sz w:val="24"/>
          <w:szCs w:val="24"/>
          <w:highlight w:val="none"/>
        </w:rPr>
        <w:t>【政府采购合同专用条款】</w:t>
      </w:r>
      <w:r>
        <w:rPr>
          <w:rFonts w:hint="eastAsia" w:ascii="微软雅黑" w:hAnsi="微软雅黑" w:eastAsia="微软雅黑" w:cs="微软雅黑"/>
          <w:color w:val="auto"/>
          <w:sz w:val="24"/>
          <w:szCs w:val="24"/>
          <w:highlight w:val="none"/>
        </w:rPr>
        <w:t>规定由乙方提供的其他服务。</w:t>
      </w:r>
    </w:p>
    <w:p w14:paraId="564D7DBB">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val="en-US" w:eastAsia="zh-CN"/>
        </w:rPr>
        <w:t>4</w:t>
      </w:r>
      <w:r>
        <w:rPr>
          <w:rFonts w:hint="eastAsia" w:ascii="微软雅黑" w:hAnsi="微软雅黑" w:eastAsia="微软雅黑" w:cs="微软雅黑"/>
          <w:color w:val="auto"/>
          <w:sz w:val="24"/>
          <w:szCs w:val="24"/>
          <w:highlight w:val="none"/>
        </w:rPr>
        <w:t>.2 乙方提供的</w:t>
      </w:r>
      <w:r>
        <w:rPr>
          <w:rFonts w:hint="eastAsia" w:ascii="微软雅黑" w:hAnsi="微软雅黑" w:eastAsia="微软雅黑" w:cs="微软雅黑"/>
          <w:color w:val="auto"/>
          <w:sz w:val="24"/>
          <w:szCs w:val="24"/>
          <w:highlight w:val="none"/>
          <w:lang w:eastAsia="zh-CN"/>
        </w:rPr>
        <w:t>售后</w:t>
      </w:r>
      <w:r>
        <w:rPr>
          <w:rFonts w:hint="eastAsia" w:ascii="微软雅黑" w:hAnsi="微软雅黑" w:eastAsia="微软雅黑" w:cs="微软雅黑"/>
          <w:color w:val="auto"/>
          <w:sz w:val="24"/>
          <w:szCs w:val="24"/>
          <w:highlight w:val="none"/>
        </w:rPr>
        <w:t>服务的费用</w:t>
      </w:r>
      <w:r>
        <w:rPr>
          <w:rFonts w:hint="eastAsia" w:ascii="微软雅黑" w:hAnsi="微软雅黑" w:eastAsia="微软雅黑" w:cs="微软雅黑"/>
          <w:color w:val="auto"/>
          <w:sz w:val="24"/>
          <w:szCs w:val="24"/>
          <w:highlight w:val="none"/>
          <w:lang w:val="en-US" w:eastAsia="zh-CN"/>
        </w:rPr>
        <w:t>已</w:t>
      </w:r>
      <w:r>
        <w:rPr>
          <w:rFonts w:hint="eastAsia" w:ascii="微软雅黑" w:hAnsi="微软雅黑" w:eastAsia="微软雅黑" w:cs="微软雅黑"/>
          <w:color w:val="auto"/>
          <w:sz w:val="24"/>
          <w:szCs w:val="24"/>
          <w:highlight w:val="none"/>
        </w:rPr>
        <w:t>包含在合同价款中，甲方不再另行支付。</w:t>
      </w:r>
    </w:p>
    <w:p w14:paraId="770362F0">
      <w:pPr>
        <w:adjustRightInd w:val="0"/>
        <w:snapToGrid w:val="0"/>
        <w:spacing w:before="0" w:line="400" w:lineRule="exact"/>
        <w:jc w:val="left"/>
        <w:outlineLvl w:val="9"/>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t>1</w:t>
      </w:r>
      <w:r>
        <w:rPr>
          <w:rFonts w:hint="eastAsia" w:ascii="微软雅黑" w:hAnsi="微软雅黑" w:eastAsia="微软雅黑" w:cs="微软雅黑"/>
          <w:b/>
          <w:bCs/>
          <w:color w:val="auto"/>
          <w:sz w:val="24"/>
          <w:szCs w:val="24"/>
          <w:highlight w:val="none"/>
          <w:lang w:eastAsia="zh-CN"/>
        </w:rPr>
        <w:t>5</w:t>
      </w:r>
      <w:r>
        <w:rPr>
          <w:rFonts w:hint="eastAsia" w:ascii="微软雅黑" w:hAnsi="微软雅黑" w:eastAsia="微软雅黑" w:cs="微软雅黑"/>
          <w:b/>
          <w:bCs/>
          <w:color w:val="auto"/>
          <w:sz w:val="24"/>
          <w:szCs w:val="24"/>
          <w:highlight w:val="none"/>
        </w:rPr>
        <w:t>.</w:t>
      </w:r>
      <w:r>
        <w:rPr>
          <w:rFonts w:hint="eastAsia" w:ascii="微软雅黑" w:hAnsi="微软雅黑" w:eastAsia="微软雅黑" w:cs="微软雅黑"/>
          <w:b/>
          <w:bCs/>
          <w:color w:val="auto"/>
          <w:sz w:val="24"/>
          <w:szCs w:val="24"/>
          <w:highlight w:val="none"/>
          <w:lang w:val="en-US" w:eastAsia="zh-CN"/>
        </w:rPr>
        <w:t xml:space="preserve"> </w:t>
      </w:r>
      <w:r>
        <w:rPr>
          <w:rFonts w:hint="eastAsia" w:ascii="微软雅黑" w:hAnsi="微软雅黑" w:eastAsia="微软雅黑" w:cs="微软雅黑"/>
          <w:b/>
          <w:bCs/>
          <w:color w:val="auto"/>
          <w:sz w:val="24"/>
          <w:szCs w:val="24"/>
          <w:highlight w:val="none"/>
        </w:rPr>
        <w:t>违约责任</w:t>
      </w:r>
    </w:p>
    <w:p w14:paraId="33D1C369">
      <w:pPr>
        <w:adjustRightInd w:val="0"/>
        <w:snapToGrid w:val="0"/>
        <w:spacing w:before="0" w:line="400" w:lineRule="exact"/>
        <w:ind w:firstLine="480" w:firstLineChars="200"/>
        <w:jc w:val="left"/>
        <w:outlineLvl w:val="9"/>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1</w:t>
      </w:r>
      <w:r>
        <w:rPr>
          <w:rFonts w:hint="eastAsia" w:ascii="微软雅黑" w:hAnsi="微软雅黑" w:eastAsia="微软雅黑" w:cs="微软雅黑"/>
          <w:bCs/>
          <w:color w:val="auto"/>
          <w:sz w:val="24"/>
          <w:szCs w:val="24"/>
          <w:highlight w:val="none"/>
          <w:lang w:eastAsia="zh-CN"/>
        </w:rPr>
        <w:t>5</w:t>
      </w:r>
      <w:r>
        <w:rPr>
          <w:rFonts w:hint="eastAsia" w:ascii="微软雅黑" w:hAnsi="微软雅黑" w:eastAsia="微软雅黑" w:cs="微软雅黑"/>
          <w:bCs/>
          <w:color w:val="auto"/>
          <w:sz w:val="24"/>
          <w:szCs w:val="24"/>
          <w:highlight w:val="none"/>
        </w:rPr>
        <w:t>.1质量瑕疵的</w:t>
      </w:r>
      <w:r>
        <w:rPr>
          <w:rFonts w:hint="eastAsia" w:ascii="微软雅黑" w:hAnsi="微软雅黑" w:eastAsia="微软雅黑" w:cs="微软雅黑"/>
          <w:bCs/>
          <w:color w:val="auto"/>
          <w:sz w:val="24"/>
          <w:szCs w:val="24"/>
          <w:highlight w:val="none"/>
          <w:lang w:eastAsia="zh-CN"/>
        </w:rPr>
        <w:t>违约责任</w:t>
      </w:r>
    </w:p>
    <w:p w14:paraId="37984216">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乙方</w:t>
      </w:r>
      <w:r>
        <w:rPr>
          <w:rFonts w:hint="eastAsia" w:ascii="微软雅黑" w:hAnsi="微软雅黑" w:eastAsia="微软雅黑" w:cs="微软雅黑"/>
          <w:color w:val="auto"/>
          <w:sz w:val="24"/>
          <w:szCs w:val="24"/>
          <w:highlight w:val="none"/>
          <w:lang w:eastAsia="zh-CN"/>
        </w:rPr>
        <w:t>提供</w:t>
      </w:r>
      <w:r>
        <w:rPr>
          <w:rFonts w:hint="eastAsia" w:ascii="微软雅黑" w:hAnsi="微软雅黑" w:eastAsia="微软雅黑" w:cs="微软雅黑"/>
          <w:color w:val="auto"/>
          <w:sz w:val="24"/>
          <w:szCs w:val="24"/>
          <w:highlight w:val="none"/>
        </w:rPr>
        <w:t>的产品不符合</w:t>
      </w:r>
      <w:r>
        <w:rPr>
          <w:rFonts w:hint="eastAsia" w:ascii="微软雅黑" w:hAnsi="微软雅黑" w:eastAsia="微软雅黑" w:cs="微软雅黑"/>
          <w:color w:val="auto"/>
          <w:sz w:val="24"/>
          <w:szCs w:val="24"/>
          <w:highlight w:val="none"/>
          <w:lang w:eastAsia="zh-CN"/>
        </w:rPr>
        <w:t>合同约定的</w:t>
      </w:r>
      <w:r>
        <w:rPr>
          <w:rFonts w:hint="eastAsia" w:ascii="微软雅黑" w:hAnsi="微软雅黑" w:eastAsia="微软雅黑" w:cs="微软雅黑"/>
          <w:color w:val="auto"/>
          <w:sz w:val="24"/>
          <w:szCs w:val="24"/>
          <w:highlight w:val="none"/>
        </w:rPr>
        <w:t>质量标准或存在产品质量缺陷，</w:t>
      </w:r>
      <w:r>
        <w:rPr>
          <w:rFonts w:hint="eastAsia" w:ascii="微软雅黑" w:hAnsi="微软雅黑" w:eastAsia="微软雅黑" w:cs="微软雅黑"/>
          <w:color w:val="auto"/>
          <w:sz w:val="24"/>
          <w:szCs w:val="24"/>
          <w:highlight w:val="none"/>
          <w:lang w:eastAsia="zh-CN"/>
        </w:rPr>
        <w:t>甲方有权要求乙方根据</w:t>
      </w:r>
      <w:r>
        <w:rPr>
          <w:rFonts w:hint="eastAsia" w:ascii="微软雅黑" w:hAnsi="微软雅黑" w:eastAsia="微软雅黑" w:cs="微软雅黑"/>
          <w:b/>
          <w:color w:val="auto"/>
          <w:sz w:val="24"/>
          <w:szCs w:val="24"/>
          <w:highlight w:val="none"/>
        </w:rPr>
        <w:t>【政府采购合同专用条款】</w:t>
      </w:r>
      <w:r>
        <w:rPr>
          <w:rFonts w:hint="eastAsia" w:ascii="微软雅黑" w:hAnsi="微软雅黑" w:eastAsia="微软雅黑" w:cs="微软雅黑"/>
          <w:b w:val="0"/>
          <w:bCs/>
          <w:color w:val="auto"/>
          <w:sz w:val="24"/>
          <w:szCs w:val="24"/>
          <w:highlight w:val="none"/>
          <w:lang w:eastAsia="zh-CN"/>
        </w:rPr>
        <w:t>要求</w:t>
      </w:r>
      <w:r>
        <w:rPr>
          <w:rFonts w:hint="eastAsia" w:ascii="微软雅黑" w:hAnsi="微软雅黑" w:eastAsia="微软雅黑" w:cs="微软雅黑"/>
          <w:color w:val="auto"/>
          <w:sz w:val="24"/>
          <w:szCs w:val="24"/>
          <w:highlight w:val="none"/>
          <w:lang w:eastAsia="zh-CN"/>
        </w:rPr>
        <w:t>及时修理、重作、更换，并承担由此给甲</w:t>
      </w:r>
      <w:r>
        <w:rPr>
          <w:rFonts w:hint="eastAsia" w:ascii="微软雅黑" w:hAnsi="微软雅黑" w:eastAsia="微软雅黑" w:cs="微软雅黑"/>
          <w:color w:val="auto"/>
          <w:sz w:val="24"/>
          <w:szCs w:val="24"/>
          <w:highlight w:val="none"/>
        </w:rPr>
        <w:t>方</w:t>
      </w:r>
      <w:r>
        <w:rPr>
          <w:rFonts w:hint="eastAsia" w:ascii="微软雅黑" w:hAnsi="微软雅黑" w:eastAsia="微软雅黑" w:cs="微软雅黑"/>
          <w:color w:val="auto"/>
          <w:sz w:val="24"/>
          <w:szCs w:val="24"/>
          <w:highlight w:val="none"/>
          <w:lang w:eastAsia="zh-CN"/>
        </w:rPr>
        <w:t>造成的损失</w:t>
      </w:r>
      <w:r>
        <w:rPr>
          <w:rFonts w:hint="eastAsia" w:ascii="微软雅黑" w:hAnsi="微软雅黑" w:eastAsia="微软雅黑" w:cs="微软雅黑"/>
          <w:color w:val="auto"/>
          <w:sz w:val="24"/>
          <w:szCs w:val="24"/>
          <w:highlight w:val="none"/>
        </w:rPr>
        <w:t>。</w:t>
      </w:r>
    </w:p>
    <w:p w14:paraId="3A01949B">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1</w:t>
      </w:r>
      <w:r>
        <w:rPr>
          <w:rFonts w:hint="eastAsia" w:ascii="微软雅黑" w:hAnsi="微软雅黑" w:eastAsia="微软雅黑" w:cs="微软雅黑"/>
          <w:bCs/>
          <w:color w:val="auto"/>
          <w:sz w:val="24"/>
          <w:szCs w:val="24"/>
          <w:highlight w:val="none"/>
          <w:lang w:eastAsia="zh-CN"/>
        </w:rPr>
        <w:t>5</w:t>
      </w:r>
      <w:r>
        <w:rPr>
          <w:rFonts w:hint="eastAsia" w:ascii="微软雅黑" w:hAnsi="微软雅黑" w:eastAsia="微软雅黑" w:cs="微软雅黑"/>
          <w:bCs/>
          <w:color w:val="auto"/>
          <w:sz w:val="24"/>
          <w:szCs w:val="24"/>
          <w:highlight w:val="none"/>
        </w:rPr>
        <w:t>.2 迟延交货的违约责任</w:t>
      </w:r>
    </w:p>
    <w:p w14:paraId="35ED4B7C">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（1）乙方应按照本合同规定的时间、地点交货和提供</w:t>
      </w:r>
      <w:r>
        <w:rPr>
          <w:rFonts w:hint="eastAsia" w:ascii="微软雅黑" w:hAnsi="微软雅黑" w:eastAsia="微软雅黑" w:cs="微软雅黑"/>
          <w:color w:val="auto"/>
          <w:sz w:val="24"/>
          <w:szCs w:val="24"/>
          <w:highlight w:val="none"/>
          <w:lang w:eastAsia="zh-CN"/>
        </w:rPr>
        <w:t>相关</w:t>
      </w:r>
      <w:r>
        <w:rPr>
          <w:rFonts w:hint="eastAsia" w:ascii="微软雅黑" w:hAnsi="微软雅黑" w:eastAsia="微软雅黑" w:cs="微软雅黑"/>
          <w:color w:val="auto"/>
          <w:sz w:val="24"/>
          <w:szCs w:val="24"/>
          <w:highlight w:val="none"/>
        </w:rPr>
        <w:t>服务。在履行合同过程中，如果乙方遇到可能</w:t>
      </w:r>
      <w:r>
        <w:rPr>
          <w:rFonts w:hint="eastAsia" w:ascii="微软雅黑" w:hAnsi="微软雅黑" w:eastAsia="微软雅黑" w:cs="微软雅黑"/>
          <w:color w:val="auto"/>
          <w:sz w:val="24"/>
          <w:szCs w:val="24"/>
          <w:highlight w:val="none"/>
          <w:lang w:eastAsia="zh-CN"/>
        </w:rPr>
        <w:t>影响</w:t>
      </w:r>
      <w:r>
        <w:rPr>
          <w:rFonts w:hint="eastAsia" w:ascii="微软雅黑" w:hAnsi="微软雅黑" w:eastAsia="微软雅黑" w:cs="微软雅黑"/>
          <w:color w:val="auto"/>
          <w:sz w:val="24"/>
          <w:szCs w:val="24"/>
          <w:highlight w:val="none"/>
        </w:rPr>
        <w:t>按时交货和提供服务的情形时，应及时以书面形式将迟延的事实、可能迟延的期限和理由通知甲方。甲方在收到乙方通知后，应尽快对情况进行评价，并确定是否同意延</w:t>
      </w:r>
      <w:r>
        <w:rPr>
          <w:rFonts w:hint="eastAsia" w:ascii="微软雅黑" w:hAnsi="微软雅黑" w:eastAsia="微软雅黑" w:cs="微软雅黑"/>
          <w:color w:val="auto"/>
          <w:sz w:val="24"/>
          <w:szCs w:val="24"/>
          <w:highlight w:val="none"/>
          <w:lang w:eastAsia="zh-CN"/>
        </w:rPr>
        <w:t>长</w:t>
      </w:r>
      <w:r>
        <w:rPr>
          <w:rFonts w:hint="eastAsia" w:ascii="微软雅黑" w:hAnsi="微软雅黑" w:eastAsia="微软雅黑" w:cs="微软雅黑"/>
          <w:color w:val="auto"/>
          <w:sz w:val="24"/>
          <w:szCs w:val="24"/>
          <w:highlight w:val="none"/>
        </w:rPr>
        <w:t>交货时间或延期提供服务。</w:t>
      </w:r>
    </w:p>
    <w:p w14:paraId="428B3E2B">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rPr>
        <w:t>（2）如果乙方没有按照合同规定的时间交货和提供</w:t>
      </w:r>
      <w:r>
        <w:rPr>
          <w:rFonts w:hint="eastAsia" w:ascii="微软雅黑" w:hAnsi="微软雅黑" w:eastAsia="微软雅黑" w:cs="微软雅黑"/>
          <w:color w:val="auto"/>
          <w:sz w:val="24"/>
          <w:szCs w:val="24"/>
          <w:highlight w:val="none"/>
          <w:lang w:eastAsia="zh-CN"/>
        </w:rPr>
        <w:t>相关</w:t>
      </w:r>
      <w:r>
        <w:rPr>
          <w:rFonts w:hint="eastAsia" w:ascii="微软雅黑" w:hAnsi="微软雅黑" w:eastAsia="微软雅黑" w:cs="微软雅黑"/>
          <w:color w:val="auto"/>
          <w:sz w:val="24"/>
          <w:szCs w:val="24"/>
          <w:highlight w:val="none"/>
        </w:rPr>
        <w:t>服务，甲方有权从货款中扣除误期赔偿费而不影响合同项下的其他补救方法，赔偿费按</w:t>
      </w:r>
      <w:r>
        <w:rPr>
          <w:rFonts w:hint="eastAsia" w:ascii="微软雅黑" w:hAnsi="微软雅黑" w:eastAsia="微软雅黑" w:cs="微软雅黑"/>
          <w:b/>
          <w:color w:val="auto"/>
          <w:sz w:val="24"/>
          <w:szCs w:val="24"/>
          <w:highlight w:val="none"/>
        </w:rPr>
        <w:t>【政府采购合同专用条款】</w:t>
      </w:r>
      <w:r>
        <w:rPr>
          <w:rFonts w:hint="eastAsia" w:ascii="微软雅黑" w:hAnsi="微软雅黑" w:eastAsia="微软雅黑" w:cs="微软雅黑"/>
          <w:color w:val="auto"/>
          <w:sz w:val="24"/>
          <w:szCs w:val="24"/>
          <w:highlight w:val="none"/>
        </w:rPr>
        <w:t>规定执行。如果涉及公共利益，且赔偿金额无法弥补公共利益损失，</w:t>
      </w:r>
      <w:r>
        <w:rPr>
          <w:rFonts w:hint="eastAsia" w:ascii="微软雅黑" w:hAnsi="微软雅黑" w:eastAsia="微软雅黑" w:cs="微软雅黑"/>
          <w:color w:val="auto"/>
          <w:sz w:val="24"/>
          <w:szCs w:val="24"/>
          <w:highlight w:val="none"/>
          <w:lang w:eastAsia="zh-CN"/>
        </w:rPr>
        <w:t>甲方</w:t>
      </w:r>
      <w:r>
        <w:rPr>
          <w:rFonts w:hint="eastAsia" w:ascii="微软雅黑" w:hAnsi="微软雅黑" w:eastAsia="微软雅黑" w:cs="微软雅黑"/>
          <w:color w:val="auto"/>
          <w:sz w:val="24"/>
          <w:szCs w:val="24"/>
          <w:highlight w:val="none"/>
        </w:rPr>
        <w:t>可要求继续履行或者</w:t>
      </w:r>
      <w:r>
        <w:rPr>
          <w:rFonts w:hint="eastAsia" w:ascii="微软雅黑" w:hAnsi="微软雅黑" w:eastAsia="微软雅黑" w:cs="微软雅黑"/>
          <w:color w:val="auto"/>
          <w:sz w:val="24"/>
          <w:szCs w:val="24"/>
          <w:highlight w:val="none"/>
          <w:lang w:eastAsia="zh-CN"/>
        </w:rPr>
        <w:t>采取其他补救措施</w:t>
      </w:r>
      <w:r>
        <w:rPr>
          <w:rFonts w:hint="eastAsia" w:ascii="微软雅黑" w:hAnsi="微软雅黑" w:eastAsia="微软雅黑" w:cs="微软雅黑"/>
          <w:color w:val="auto"/>
          <w:sz w:val="24"/>
          <w:szCs w:val="24"/>
          <w:highlight w:val="none"/>
        </w:rPr>
        <w:t>。</w:t>
      </w:r>
    </w:p>
    <w:p w14:paraId="4108B279">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eastAsia="zh-CN"/>
        </w:rPr>
        <w:t>5</w:t>
      </w:r>
      <w:r>
        <w:rPr>
          <w:rFonts w:hint="eastAsia" w:ascii="微软雅黑" w:hAnsi="微软雅黑" w:eastAsia="微软雅黑" w:cs="微软雅黑"/>
          <w:color w:val="auto"/>
          <w:sz w:val="24"/>
          <w:szCs w:val="24"/>
          <w:highlight w:val="none"/>
        </w:rPr>
        <w:t>.3 迟延支付的违约责任</w:t>
      </w:r>
    </w:p>
    <w:p w14:paraId="418EB253">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甲方存在迟延支付乙方合同款项的，应当承担</w:t>
      </w:r>
      <w:r>
        <w:rPr>
          <w:rFonts w:hint="eastAsia" w:ascii="微软雅黑" w:hAnsi="微软雅黑" w:eastAsia="微软雅黑" w:cs="微软雅黑"/>
          <w:b/>
          <w:bCs/>
          <w:color w:val="auto"/>
          <w:sz w:val="24"/>
          <w:szCs w:val="24"/>
          <w:highlight w:val="none"/>
        </w:rPr>
        <w:t>【政府采购合同专用条款】</w:t>
      </w:r>
      <w:r>
        <w:rPr>
          <w:rFonts w:hint="eastAsia" w:ascii="微软雅黑" w:hAnsi="微软雅黑" w:eastAsia="微软雅黑" w:cs="微软雅黑"/>
          <w:color w:val="auto"/>
          <w:sz w:val="24"/>
          <w:szCs w:val="24"/>
          <w:highlight w:val="none"/>
        </w:rPr>
        <w:t>规定的逾期付款利息。</w:t>
      </w:r>
    </w:p>
    <w:p w14:paraId="35998DC3">
      <w:pPr>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bCs/>
          <w:color w:val="auto"/>
          <w:sz w:val="24"/>
          <w:szCs w:val="24"/>
          <w:highlight w:val="none"/>
        </w:rPr>
        <w:t>1</w:t>
      </w:r>
      <w:r>
        <w:rPr>
          <w:rFonts w:hint="eastAsia" w:ascii="微软雅黑" w:hAnsi="微软雅黑" w:eastAsia="微软雅黑" w:cs="微软雅黑"/>
          <w:bCs/>
          <w:color w:val="auto"/>
          <w:sz w:val="24"/>
          <w:szCs w:val="24"/>
          <w:highlight w:val="none"/>
          <w:lang w:eastAsia="zh-CN"/>
        </w:rPr>
        <w:t>5</w:t>
      </w:r>
      <w:r>
        <w:rPr>
          <w:rFonts w:hint="eastAsia" w:ascii="微软雅黑" w:hAnsi="微软雅黑" w:eastAsia="微软雅黑" w:cs="微软雅黑"/>
          <w:bCs/>
          <w:color w:val="auto"/>
          <w:sz w:val="24"/>
          <w:szCs w:val="24"/>
          <w:highlight w:val="none"/>
        </w:rPr>
        <w:t>.4其他违约责任根据项目实际需要按</w:t>
      </w:r>
      <w:r>
        <w:rPr>
          <w:rFonts w:hint="eastAsia" w:ascii="微软雅黑" w:hAnsi="微软雅黑" w:eastAsia="微软雅黑" w:cs="微软雅黑"/>
          <w:b/>
          <w:bCs/>
          <w:color w:val="auto"/>
          <w:sz w:val="24"/>
          <w:szCs w:val="24"/>
          <w:highlight w:val="none"/>
        </w:rPr>
        <w:t>【政府采购合同专用条款】</w:t>
      </w:r>
      <w:r>
        <w:rPr>
          <w:rFonts w:hint="eastAsia" w:ascii="微软雅黑" w:hAnsi="微软雅黑" w:eastAsia="微软雅黑" w:cs="微软雅黑"/>
          <w:color w:val="auto"/>
          <w:sz w:val="24"/>
          <w:szCs w:val="24"/>
          <w:highlight w:val="none"/>
        </w:rPr>
        <w:t>规定执行。</w:t>
      </w:r>
    </w:p>
    <w:p w14:paraId="62D67A27">
      <w:pPr>
        <w:numPr>
          <w:ilvl w:val="0"/>
          <w:numId w:val="12"/>
        </w:numPr>
        <w:autoSpaceDE w:val="0"/>
        <w:autoSpaceDN w:val="0"/>
        <w:adjustRightInd w:val="0"/>
        <w:snapToGrid w:val="0"/>
        <w:spacing w:before="0" w:line="400" w:lineRule="exact"/>
        <w:jc w:val="left"/>
        <w:outlineLvl w:val="9"/>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rPr>
        <w:t>合同变更</w:t>
      </w:r>
      <w:r>
        <w:rPr>
          <w:rFonts w:hint="eastAsia" w:ascii="微软雅黑" w:hAnsi="微软雅黑" w:eastAsia="微软雅黑" w:cs="微软雅黑"/>
          <w:b/>
          <w:color w:val="auto"/>
          <w:sz w:val="24"/>
          <w:szCs w:val="24"/>
          <w:highlight w:val="none"/>
          <w:lang w:eastAsia="zh-CN"/>
        </w:rPr>
        <w:t>、中止与终止</w:t>
      </w:r>
    </w:p>
    <w:p w14:paraId="44D6D8C6">
      <w:pPr>
        <w:autoSpaceDE/>
        <w:autoSpaceDN/>
        <w:adjustRightInd w:val="0"/>
        <w:snapToGrid w:val="0"/>
        <w:spacing w:before="0" w:line="400" w:lineRule="exact"/>
        <w:ind w:firstLine="0" w:firstLineChars="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val="en-US" w:eastAsia="zh-CN"/>
        </w:rPr>
        <w:t>6</w:t>
      </w:r>
      <w:r>
        <w:rPr>
          <w:rFonts w:hint="eastAsia" w:ascii="微软雅黑" w:hAnsi="微软雅黑" w:eastAsia="微软雅黑" w:cs="微软雅黑"/>
          <w:color w:val="auto"/>
          <w:sz w:val="24"/>
          <w:szCs w:val="24"/>
          <w:highlight w:val="none"/>
        </w:rPr>
        <w:t>.1合同的</w:t>
      </w:r>
      <w:r>
        <w:rPr>
          <w:rFonts w:hint="eastAsia" w:ascii="微软雅黑" w:hAnsi="微软雅黑" w:eastAsia="微软雅黑" w:cs="微软雅黑"/>
          <w:color w:val="auto"/>
          <w:sz w:val="24"/>
          <w:szCs w:val="24"/>
          <w:highlight w:val="none"/>
          <w:lang w:eastAsia="zh-CN"/>
        </w:rPr>
        <w:t>变更</w:t>
      </w:r>
    </w:p>
    <w:p w14:paraId="274C1EC4">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政府采购合同履行中，</w:t>
      </w:r>
      <w:r>
        <w:rPr>
          <w:rFonts w:hint="eastAsia" w:ascii="微软雅黑" w:hAnsi="微软雅黑" w:eastAsia="微软雅黑" w:cs="微软雅黑"/>
          <w:color w:val="auto"/>
          <w:sz w:val="24"/>
          <w:szCs w:val="24"/>
          <w:highlight w:val="none"/>
        </w:rPr>
        <w:t>在不改变合同其他条款的前提下，甲方可以在合同价款10%的范围内追加与合同标的相同的货物，并就此与乙方协商</w:t>
      </w:r>
      <w:r>
        <w:rPr>
          <w:rFonts w:hint="eastAsia" w:ascii="微软雅黑" w:hAnsi="微软雅黑" w:eastAsia="微软雅黑" w:cs="微软雅黑"/>
          <w:color w:val="auto"/>
          <w:sz w:val="24"/>
          <w:szCs w:val="24"/>
          <w:highlight w:val="none"/>
          <w:lang w:eastAsia="zh-CN"/>
        </w:rPr>
        <w:t>一致后</w:t>
      </w:r>
      <w:r>
        <w:rPr>
          <w:rFonts w:hint="eastAsia" w:ascii="微软雅黑" w:hAnsi="微软雅黑" w:eastAsia="微软雅黑" w:cs="微软雅黑"/>
          <w:color w:val="auto"/>
          <w:sz w:val="24"/>
          <w:szCs w:val="24"/>
          <w:highlight w:val="none"/>
        </w:rPr>
        <w:t>签订补充协议。</w:t>
      </w:r>
    </w:p>
    <w:p w14:paraId="326A4615">
      <w:pPr>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val="en-US" w:eastAsia="zh-CN"/>
        </w:rPr>
        <w:t>6</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rPr>
        <w:t>合同的中止</w:t>
      </w:r>
    </w:p>
    <w:p w14:paraId="68B3D9E6">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（1）合同履行过程中因供应商就采购文件、采购过程或结果提起投诉的，甲方认为有必要的，</w:t>
      </w:r>
      <w:r>
        <w:rPr>
          <w:rFonts w:hint="eastAsia" w:ascii="微软雅黑" w:hAnsi="微软雅黑" w:eastAsia="微软雅黑" w:cs="微软雅黑"/>
          <w:color w:val="auto"/>
          <w:sz w:val="24"/>
          <w:szCs w:val="24"/>
          <w:highlight w:val="none"/>
          <w:lang w:eastAsia="zh-CN"/>
        </w:rPr>
        <w:t>可以</w:t>
      </w:r>
      <w:r>
        <w:rPr>
          <w:rFonts w:hint="eastAsia" w:ascii="微软雅黑" w:hAnsi="微软雅黑" w:eastAsia="微软雅黑" w:cs="微软雅黑"/>
          <w:color w:val="auto"/>
          <w:sz w:val="24"/>
          <w:szCs w:val="24"/>
          <w:highlight w:val="none"/>
        </w:rPr>
        <w:t>中止合同的履行。</w:t>
      </w:r>
    </w:p>
    <w:p w14:paraId="6E5FBA7A">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w:t>
      </w:r>
      <w:r>
        <w:rPr>
          <w:rFonts w:hint="eastAsia" w:ascii="微软雅黑" w:hAnsi="微软雅黑" w:eastAsia="微软雅黑" w:cs="微软雅黑"/>
          <w:color w:val="auto"/>
          <w:sz w:val="24"/>
          <w:szCs w:val="24"/>
          <w:highlight w:val="none"/>
          <w:lang w:val="en-US" w:eastAsia="zh-CN"/>
        </w:rPr>
        <w:t>合同履行过程中，</w:t>
      </w:r>
      <w:r>
        <w:rPr>
          <w:rFonts w:hint="eastAsia" w:ascii="微软雅黑" w:hAnsi="微软雅黑" w:eastAsia="微软雅黑" w:cs="微软雅黑"/>
          <w:color w:val="auto"/>
          <w:sz w:val="24"/>
          <w:szCs w:val="24"/>
          <w:highlight w:val="none"/>
        </w:rPr>
        <w:t>如果乙方出现以下情形之一的：1．经营状况严重恶化；2．转移财产、抽逃资金，以逃避债务；3．丧失商业信誉；4．有丧失或者可能丧失履约能力的其他情形</w:t>
      </w:r>
      <w:r>
        <w:rPr>
          <w:rFonts w:hint="eastAsia" w:ascii="微软雅黑" w:hAnsi="微软雅黑" w:eastAsia="微软雅黑" w:cs="微软雅黑"/>
          <w:color w:val="auto"/>
          <w:sz w:val="24"/>
          <w:szCs w:val="24"/>
          <w:highlight w:val="none"/>
          <w:lang w:eastAsia="zh-CN"/>
        </w:rPr>
        <w:t>，乙方有义务及时告知甲方</w:t>
      </w:r>
      <w:r>
        <w:rPr>
          <w:rFonts w:hint="eastAsia" w:ascii="微软雅黑" w:hAnsi="微软雅黑" w:eastAsia="微软雅黑" w:cs="微软雅黑"/>
          <w:color w:val="auto"/>
          <w:sz w:val="24"/>
          <w:szCs w:val="24"/>
          <w:highlight w:val="none"/>
        </w:rPr>
        <w:t>。甲方</w:t>
      </w:r>
      <w:r>
        <w:rPr>
          <w:rFonts w:hint="eastAsia" w:ascii="微软雅黑" w:hAnsi="微软雅黑" w:eastAsia="微软雅黑" w:cs="微软雅黑"/>
          <w:color w:val="auto"/>
          <w:sz w:val="24"/>
          <w:szCs w:val="24"/>
          <w:highlight w:val="none"/>
          <w:lang w:eastAsia="zh-CN"/>
        </w:rPr>
        <w:t>有权</w:t>
      </w:r>
      <w:r>
        <w:rPr>
          <w:rFonts w:hint="eastAsia" w:ascii="微软雅黑" w:hAnsi="微软雅黑" w:eastAsia="微软雅黑" w:cs="微软雅黑"/>
          <w:color w:val="auto"/>
          <w:sz w:val="24"/>
          <w:szCs w:val="24"/>
          <w:highlight w:val="none"/>
        </w:rPr>
        <w:t>以书面形式通知乙方中止合同</w:t>
      </w:r>
      <w:r>
        <w:rPr>
          <w:rFonts w:hint="eastAsia" w:ascii="微软雅黑" w:hAnsi="微软雅黑" w:eastAsia="微软雅黑" w:cs="微软雅黑"/>
          <w:color w:val="auto"/>
          <w:sz w:val="24"/>
          <w:szCs w:val="24"/>
          <w:highlight w:val="none"/>
          <w:lang w:eastAsia="zh-CN"/>
        </w:rPr>
        <w:t>并要求乙方在合理期限内消除相关情形或者提供适当担保。</w:t>
      </w:r>
      <w:r>
        <w:rPr>
          <w:rFonts w:hint="eastAsia" w:ascii="微软雅黑" w:hAnsi="微软雅黑" w:eastAsia="微软雅黑" w:cs="微软雅黑"/>
          <w:color w:val="auto"/>
          <w:sz w:val="24"/>
          <w:szCs w:val="24"/>
          <w:highlight w:val="none"/>
        </w:rPr>
        <w:t>乙方提供适当担保的，</w:t>
      </w:r>
      <w:r>
        <w:rPr>
          <w:rFonts w:hint="eastAsia" w:ascii="微软雅黑" w:hAnsi="微软雅黑" w:eastAsia="微软雅黑" w:cs="微软雅黑"/>
          <w:color w:val="auto"/>
          <w:sz w:val="24"/>
          <w:szCs w:val="24"/>
          <w:highlight w:val="none"/>
          <w:lang w:eastAsia="zh-CN"/>
        </w:rPr>
        <w:t>合同继续</w:t>
      </w:r>
      <w:r>
        <w:rPr>
          <w:rFonts w:hint="eastAsia" w:ascii="微软雅黑" w:hAnsi="微软雅黑" w:eastAsia="微软雅黑" w:cs="微软雅黑"/>
          <w:color w:val="auto"/>
          <w:sz w:val="24"/>
          <w:szCs w:val="24"/>
          <w:highlight w:val="none"/>
        </w:rPr>
        <w:t>履行</w:t>
      </w:r>
      <w:r>
        <w:rPr>
          <w:rFonts w:hint="eastAsia" w:ascii="微软雅黑" w:hAnsi="微软雅黑" w:eastAsia="微软雅黑" w:cs="微软雅黑"/>
          <w:color w:val="auto"/>
          <w:sz w:val="24"/>
          <w:szCs w:val="24"/>
          <w:highlight w:val="none"/>
          <w:lang w:eastAsia="zh-CN"/>
        </w:rPr>
        <w:t>；乙</w:t>
      </w:r>
      <w:r>
        <w:rPr>
          <w:rFonts w:hint="eastAsia" w:ascii="微软雅黑" w:hAnsi="微软雅黑" w:eastAsia="微软雅黑" w:cs="微软雅黑"/>
          <w:color w:val="auto"/>
          <w:sz w:val="24"/>
          <w:szCs w:val="24"/>
          <w:highlight w:val="none"/>
        </w:rPr>
        <w:t>方在合理期限内未恢复履约能力且未提供适当担保的，视为拒绝</w:t>
      </w:r>
      <w:r>
        <w:rPr>
          <w:rFonts w:hint="eastAsia" w:ascii="微软雅黑" w:hAnsi="微软雅黑" w:eastAsia="微软雅黑" w:cs="微软雅黑"/>
          <w:color w:val="auto"/>
          <w:sz w:val="24"/>
          <w:szCs w:val="24"/>
          <w:highlight w:val="none"/>
          <w:lang w:eastAsia="zh-CN"/>
        </w:rPr>
        <w:t>继续</w:t>
      </w:r>
      <w:r>
        <w:rPr>
          <w:rFonts w:hint="eastAsia" w:ascii="微软雅黑" w:hAnsi="微软雅黑" w:eastAsia="微软雅黑" w:cs="微软雅黑"/>
          <w:color w:val="auto"/>
          <w:sz w:val="24"/>
          <w:szCs w:val="24"/>
          <w:highlight w:val="none"/>
        </w:rPr>
        <w:t>履约，甲方</w:t>
      </w:r>
      <w:r>
        <w:rPr>
          <w:rFonts w:hint="eastAsia" w:ascii="微软雅黑" w:hAnsi="微软雅黑" w:eastAsia="微软雅黑" w:cs="微软雅黑"/>
          <w:color w:val="auto"/>
          <w:sz w:val="24"/>
          <w:szCs w:val="24"/>
          <w:highlight w:val="none"/>
          <w:lang w:eastAsia="zh-CN"/>
        </w:rPr>
        <w:t>有权</w:t>
      </w:r>
      <w:r>
        <w:rPr>
          <w:rFonts w:hint="eastAsia" w:ascii="微软雅黑" w:hAnsi="微软雅黑" w:eastAsia="微软雅黑" w:cs="微软雅黑"/>
          <w:color w:val="auto"/>
          <w:sz w:val="24"/>
          <w:szCs w:val="24"/>
          <w:highlight w:val="none"/>
        </w:rPr>
        <w:t>解除合同并要求乙方承担</w:t>
      </w:r>
      <w:r>
        <w:rPr>
          <w:rFonts w:hint="eastAsia" w:ascii="微软雅黑" w:hAnsi="微软雅黑" w:eastAsia="微软雅黑" w:cs="微软雅黑"/>
          <w:color w:val="auto"/>
          <w:sz w:val="24"/>
          <w:szCs w:val="24"/>
          <w:highlight w:val="none"/>
          <w:lang w:eastAsia="zh-CN"/>
        </w:rPr>
        <w:t>由此给甲方造成的损失</w:t>
      </w:r>
      <w:r>
        <w:rPr>
          <w:rFonts w:hint="eastAsia" w:ascii="微软雅黑" w:hAnsi="微软雅黑" w:eastAsia="微软雅黑" w:cs="微软雅黑"/>
          <w:color w:val="auto"/>
          <w:sz w:val="24"/>
          <w:szCs w:val="24"/>
          <w:highlight w:val="none"/>
        </w:rPr>
        <w:t>。</w:t>
      </w:r>
    </w:p>
    <w:p w14:paraId="3F2C4BCE">
      <w:pPr>
        <w:pStyle w:val="117"/>
        <w:jc w:val="both"/>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（3）乙方分立、合并或者变更住所的，应当及时以书面形式告知甲方。乙方没有</w:t>
      </w:r>
      <w:r>
        <w:rPr>
          <w:rFonts w:hint="eastAsia" w:ascii="微软雅黑" w:hAnsi="微软雅黑" w:eastAsia="微软雅黑" w:cs="微软雅黑"/>
          <w:color w:val="auto"/>
          <w:sz w:val="24"/>
          <w:szCs w:val="24"/>
          <w:highlight w:val="none"/>
          <w:lang w:eastAsia="zh-CN"/>
        </w:rPr>
        <w:t>及时告知</w:t>
      </w:r>
      <w:r>
        <w:rPr>
          <w:rFonts w:hint="eastAsia" w:ascii="微软雅黑" w:hAnsi="微软雅黑" w:eastAsia="微软雅黑" w:cs="微软雅黑"/>
          <w:color w:val="auto"/>
          <w:sz w:val="24"/>
          <w:szCs w:val="24"/>
          <w:highlight w:val="none"/>
        </w:rPr>
        <w:t>甲方，致使</w:t>
      </w:r>
      <w:r>
        <w:rPr>
          <w:rFonts w:hint="eastAsia" w:ascii="微软雅黑" w:hAnsi="微软雅黑" w:eastAsia="微软雅黑" w:cs="微软雅黑"/>
          <w:color w:val="auto"/>
          <w:sz w:val="24"/>
          <w:szCs w:val="24"/>
          <w:highlight w:val="none"/>
          <w:lang w:eastAsia="zh-CN"/>
        </w:rPr>
        <w:t>合同</w:t>
      </w:r>
      <w:r>
        <w:rPr>
          <w:rFonts w:hint="eastAsia" w:ascii="微软雅黑" w:hAnsi="微软雅黑" w:eastAsia="微软雅黑" w:cs="微软雅黑"/>
          <w:color w:val="auto"/>
          <w:sz w:val="24"/>
          <w:szCs w:val="24"/>
          <w:highlight w:val="none"/>
        </w:rPr>
        <w:t>履行发生困难的，甲方可以中止合同履行并要求乙方承担由此给甲方造成的损失。</w:t>
      </w:r>
    </w:p>
    <w:p w14:paraId="716986E0">
      <w:pPr>
        <w:snapToGrid w:val="0"/>
        <w:spacing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4</w:t>
      </w:r>
      <w:r>
        <w:rPr>
          <w:rFonts w:hint="eastAsia" w:ascii="微软雅黑" w:hAnsi="微软雅黑" w:eastAsia="微软雅黑" w:cs="微软雅黑"/>
          <w:color w:val="auto"/>
          <w:sz w:val="24"/>
          <w:szCs w:val="24"/>
          <w:highlight w:val="none"/>
        </w:rPr>
        <w:t>）甲方不得以行政区划调整、政府换届、机构或者职能调整以及相关责任人更替为由中止合同。</w:t>
      </w:r>
    </w:p>
    <w:p w14:paraId="5094A036">
      <w:pPr>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val="en-US" w:eastAsia="zh-CN"/>
        </w:rPr>
        <w:t>6</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合同的终止</w:t>
      </w:r>
    </w:p>
    <w:p w14:paraId="696913F7">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（1）合同因有效期限届满而终止；</w:t>
      </w:r>
    </w:p>
    <w:p w14:paraId="4241D246">
      <w:pPr>
        <w:snapToGrid w:val="0"/>
        <w:spacing w:line="400" w:lineRule="exact"/>
        <w:ind w:firstLine="480" w:firstLineChars="200"/>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rPr>
        <w:t>（2）乙方未</w:t>
      </w:r>
      <w:r>
        <w:rPr>
          <w:rFonts w:hint="eastAsia" w:ascii="微软雅黑" w:hAnsi="微软雅黑" w:eastAsia="微软雅黑" w:cs="微软雅黑"/>
          <w:color w:val="auto"/>
          <w:sz w:val="24"/>
          <w:szCs w:val="24"/>
          <w:highlight w:val="none"/>
          <w:lang w:eastAsia="zh-CN"/>
        </w:rPr>
        <w:t>按</w:t>
      </w:r>
      <w:r>
        <w:rPr>
          <w:rFonts w:hint="eastAsia" w:ascii="微软雅黑" w:hAnsi="微软雅黑" w:eastAsia="微软雅黑" w:cs="微软雅黑"/>
          <w:color w:val="auto"/>
          <w:sz w:val="24"/>
          <w:szCs w:val="24"/>
          <w:highlight w:val="none"/>
        </w:rPr>
        <w:t>合同约定履行，构成根本性违约的，甲方有权终止合同</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并追究乙方的违约责</w:t>
      </w:r>
      <w:r>
        <w:rPr>
          <w:rFonts w:hint="eastAsia" w:ascii="微软雅黑" w:hAnsi="微软雅黑" w:eastAsia="微软雅黑" w:cs="微软雅黑"/>
          <w:color w:val="auto"/>
          <w:sz w:val="24"/>
          <w:szCs w:val="24"/>
          <w:highlight w:val="none"/>
          <w:lang w:val="en-US" w:eastAsia="zh-CN"/>
        </w:rPr>
        <w:t>任</w:t>
      </w:r>
      <w:r>
        <w:rPr>
          <w:rFonts w:hint="eastAsia" w:ascii="微软雅黑" w:hAnsi="微软雅黑" w:eastAsia="微软雅黑" w:cs="微软雅黑"/>
          <w:color w:val="auto"/>
          <w:sz w:val="24"/>
          <w:szCs w:val="24"/>
          <w:highlight w:val="none"/>
        </w:rPr>
        <w:t>。</w:t>
      </w:r>
    </w:p>
    <w:p w14:paraId="2492192A">
      <w:pPr>
        <w:pStyle w:val="117"/>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xml:space="preserve">16.4 </w:t>
      </w:r>
      <w:r>
        <w:rPr>
          <w:rFonts w:hint="eastAsia" w:ascii="微软雅黑" w:hAnsi="微软雅黑" w:eastAsia="微软雅黑" w:cs="微软雅黑"/>
          <w:color w:val="auto"/>
          <w:kern w:val="2"/>
          <w:sz w:val="24"/>
          <w:szCs w:val="24"/>
          <w:highlight w:val="none"/>
          <w:lang w:val="en-US" w:eastAsia="zh-CN"/>
        </w:rPr>
        <w:t>涉及国家利益、社会公共利益的情形</w:t>
      </w:r>
    </w:p>
    <w:p w14:paraId="2EF94B85">
      <w:pPr>
        <w:pStyle w:val="117"/>
        <w:jc w:val="both"/>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政府采购合同继续履行将损害国家利益和社会公共利益的，双方当事人</w:t>
      </w:r>
      <w:r>
        <w:rPr>
          <w:rFonts w:hint="eastAsia" w:ascii="微软雅黑" w:hAnsi="微软雅黑" w:eastAsia="微软雅黑" w:cs="微软雅黑"/>
          <w:color w:val="auto"/>
          <w:sz w:val="24"/>
          <w:szCs w:val="24"/>
          <w:highlight w:val="none"/>
          <w:lang w:val="en-US" w:eastAsia="zh-CN"/>
        </w:rPr>
        <w:t>应当变更、</w:t>
      </w:r>
      <w:r>
        <w:rPr>
          <w:rFonts w:hint="eastAsia" w:ascii="微软雅黑" w:hAnsi="微软雅黑" w:eastAsia="微软雅黑" w:cs="微软雅黑"/>
          <w:color w:val="auto"/>
          <w:sz w:val="24"/>
          <w:szCs w:val="24"/>
          <w:highlight w:val="none"/>
        </w:rPr>
        <w:t>中止</w:t>
      </w:r>
      <w:r>
        <w:rPr>
          <w:rFonts w:hint="eastAsia" w:ascii="微软雅黑" w:hAnsi="微软雅黑" w:eastAsia="微软雅黑" w:cs="微软雅黑"/>
          <w:color w:val="auto"/>
          <w:sz w:val="24"/>
          <w:szCs w:val="24"/>
          <w:highlight w:val="none"/>
          <w:lang w:eastAsia="zh-CN"/>
        </w:rPr>
        <w:t>或者终止</w:t>
      </w:r>
      <w:r>
        <w:rPr>
          <w:rFonts w:hint="eastAsia" w:ascii="微软雅黑" w:hAnsi="微软雅黑" w:eastAsia="微软雅黑" w:cs="微软雅黑"/>
          <w:color w:val="auto"/>
          <w:sz w:val="24"/>
          <w:szCs w:val="24"/>
          <w:highlight w:val="none"/>
        </w:rPr>
        <w:t>合同。有过错的一方应当承担赔偿责任，双方都有过错的，各自承担相应的责任。</w:t>
      </w:r>
    </w:p>
    <w:p w14:paraId="705F1C51">
      <w:pPr>
        <w:autoSpaceDE w:val="0"/>
        <w:autoSpaceDN w:val="0"/>
        <w:adjustRightInd w:val="0"/>
        <w:snapToGrid w:val="0"/>
        <w:spacing w:before="0" w:line="400" w:lineRule="exact"/>
        <w:jc w:val="left"/>
        <w:outlineLvl w:val="9"/>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t>1</w:t>
      </w:r>
      <w:r>
        <w:rPr>
          <w:rFonts w:hint="eastAsia" w:ascii="微软雅黑" w:hAnsi="微软雅黑" w:eastAsia="微软雅黑" w:cs="微软雅黑"/>
          <w:b/>
          <w:bCs/>
          <w:color w:val="auto"/>
          <w:sz w:val="24"/>
          <w:szCs w:val="24"/>
          <w:highlight w:val="none"/>
          <w:lang w:val="en-US" w:eastAsia="zh-CN"/>
        </w:rPr>
        <w:t>7</w:t>
      </w:r>
      <w:r>
        <w:rPr>
          <w:rFonts w:hint="eastAsia" w:ascii="微软雅黑" w:hAnsi="微软雅黑" w:eastAsia="微软雅黑" w:cs="微软雅黑"/>
          <w:b/>
          <w:bCs/>
          <w:color w:val="auto"/>
          <w:sz w:val="24"/>
          <w:szCs w:val="24"/>
          <w:highlight w:val="none"/>
        </w:rPr>
        <w:t>.</w:t>
      </w:r>
      <w:r>
        <w:rPr>
          <w:rFonts w:hint="eastAsia" w:ascii="微软雅黑" w:hAnsi="微软雅黑" w:eastAsia="微软雅黑" w:cs="微软雅黑"/>
          <w:b/>
          <w:bCs/>
          <w:color w:val="auto"/>
          <w:sz w:val="24"/>
          <w:szCs w:val="24"/>
          <w:highlight w:val="none"/>
          <w:lang w:val="en-US" w:eastAsia="zh-CN"/>
        </w:rPr>
        <w:t xml:space="preserve"> </w:t>
      </w:r>
      <w:r>
        <w:rPr>
          <w:rFonts w:hint="eastAsia" w:ascii="微软雅黑" w:hAnsi="微软雅黑" w:eastAsia="微软雅黑" w:cs="微软雅黑"/>
          <w:b/>
          <w:bCs/>
          <w:color w:val="auto"/>
          <w:sz w:val="24"/>
          <w:szCs w:val="24"/>
          <w:highlight w:val="none"/>
        </w:rPr>
        <w:t>合同分包</w:t>
      </w:r>
    </w:p>
    <w:p w14:paraId="76403AAC">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val="en-US" w:eastAsia="zh-CN"/>
        </w:rPr>
        <w:t>7</w:t>
      </w:r>
      <w:r>
        <w:rPr>
          <w:rFonts w:hint="eastAsia" w:ascii="微软雅黑" w:hAnsi="微软雅黑" w:eastAsia="微软雅黑" w:cs="微软雅黑"/>
          <w:color w:val="auto"/>
          <w:sz w:val="24"/>
          <w:szCs w:val="24"/>
          <w:highlight w:val="none"/>
        </w:rPr>
        <w:t>.1 乙方不得</w:t>
      </w:r>
      <w:r>
        <w:rPr>
          <w:rFonts w:hint="eastAsia" w:ascii="微软雅黑" w:hAnsi="微软雅黑" w:eastAsia="微软雅黑" w:cs="微软雅黑"/>
          <w:color w:val="auto"/>
          <w:sz w:val="24"/>
          <w:szCs w:val="24"/>
          <w:highlight w:val="none"/>
          <w:lang w:eastAsia="zh-CN"/>
        </w:rPr>
        <w:t>将合同转包给其他供应商。涉及合同分包的，乙方</w:t>
      </w:r>
      <w:r>
        <w:rPr>
          <w:rFonts w:hint="eastAsia" w:ascii="微软雅黑" w:hAnsi="微软雅黑" w:eastAsia="微软雅黑" w:cs="微软雅黑"/>
          <w:color w:val="auto"/>
          <w:sz w:val="24"/>
          <w:szCs w:val="24"/>
          <w:highlight w:val="none"/>
          <w:lang w:val="en-US" w:eastAsia="zh-CN"/>
        </w:rPr>
        <w:t>应</w:t>
      </w:r>
      <w:r>
        <w:rPr>
          <w:rFonts w:hint="eastAsia" w:ascii="微软雅黑" w:hAnsi="微软雅黑" w:eastAsia="微软雅黑" w:cs="微软雅黑"/>
          <w:color w:val="auto"/>
          <w:sz w:val="24"/>
          <w:szCs w:val="24"/>
          <w:highlight w:val="none"/>
          <w:lang w:eastAsia="zh-CN"/>
        </w:rPr>
        <w:t>根据采购文件和投标（响应）文件规定进行</w:t>
      </w:r>
      <w:r>
        <w:rPr>
          <w:rFonts w:hint="eastAsia" w:ascii="微软雅黑" w:hAnsi="微软雅黑" w:eastAsia="微软雅黑" w:cs="微软雅黑"/>
          <w:color w:val="auto"/>
          <w:sz w:val="24"/>
          <w:szCs w:val="24"/>
          <w:highlight w:val="none"/>
        </w:rPr>
        <w:t>合同分包。</w:t>
      </w:r>
    </w:p>
    <w:p w14:paraId="2EBA64DE">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val="en-US" w:eastAsia="zh-CN"/>
        </w:rPr>
        <w:t>7</w:t>
      </w:r>
      <w:r>
        <w:rPr>
          <w:rFonts w:hint="eastAsia" w:ascii="微软雅黑" w:hAnsi="微软雅黑" w:eastAsia="微软雅黑" w:cs="微软雅黑"/>
          <w:color w:val="auto"/>
          <w:sz w:val="24"/>
          <w:szCs w:val="24"/>
          <w:highlight w:val="none"/>
        </w:rPr>
        <w:t>.2 乙方执行政府采购政策向中小企业依法分包的</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乙方应当按采购文件</w:t>
      </w:r>
      <w:r>
        <w:rPr>
          <w:rFonts w:hint="eastAsia" w:ascii="微软雅黑" w:hAnsi="微软雅黑" w:eastAsia="微软雅黑" w:cs="微软雅黑"/>
          <w:color w:val="auto"/>
          <w:sz w:val="24"/>
          <w:szCs w:val="24"/>
          <w:highlight w:val="none"/>
          <w:lang w:eastAsia="zh-CN"/>
        </w:rPr>
        <w:t>和</w:t>
      </w:r>
      <w:r>
        <w:rPr>
          <w:rFonts w:hint="eastAsia" w:ascii="微软雅黑" w:hAnsi="微软雅黑" w:eastAsia="微软雅黑" w:cs="微软雅黑"/>
          <w:color w:val="auto"/>
          <w:sz w:val="24"/>
          <w:szCs w:val="24"/>
          <w:highlight w:val="none"/>
        </w:rPr>
        <w:t>投标（响应）文件签订分包</w:t>
      </w:r>
      <w:r>
        <w:rPr>
          <w:rFonts w:hint="eastAsia" w:ascii="微软雅黑" w:hAnsi="微软雅黑" w:eastAsia="微软雅黑" w:cs="微软雅黑"/>
          <w:color w:val="auto"/>
          <w:sz w:val="24"/>
          <w:szCs w:val="24"/>
          <w:highlight w:val="none"/>
          <w:lang w:eastAsia="zh-CN"/>
        </w:rPr>
        <w:t>意向</w:t>
      </w:r>
      <w:r>
        <w:rPr>
          <w:rFonts w:hint="eastAsia" w:ascii="微软雅黑" w:hAnsi="微软雅黑" w:eastAsia="微软雅黑" w:cs="微软雅黑"/>
          <w:color w:val="auto"/>
          <w:sz w:val="24"/>
          <w:szCs w:val="24"/>
          <w:highlight w:val="none"/>
        </w:rPr>
        <w:t>协议，分包</w:t>
      </w:r>
      <w:r>
        <w:rPr>
          <w:rFonts w:hint="eastAsia" w:ascii="微软雅黑" w:hAnsi="微软雅黑" w:eastAsia="微软雅黑" w:cs="微软雅黑"/>
          <w:color w:val="auto"/>
          <w:sz w:val="24"/>
          <w:szCs w:val="24"/>
          <w:highlight w:val="none"/>
          <w:lang w:eastAsia="zh-CN"/>
        </w:rPr>
        <w:t>意向</w:t>
      </w:r>
      <w:r>
        <w:rPr>
          <w:rFonts w:hint="eastAsia" w:ascii="微软雅黑" w:hAnsi="微软雅黑" w:eastAsia="微软雅黑" w:cs="微软雅黑"/>
          <w:color w:val="auto"/>
          <w:sz w:val="24"/>
          <w:szCs w:val="24"/>
          <w:highlight w:val="none"/>
        </w:rPr>
        <w:t>协议属于本合同组成部分。</w:t>
      </w:r>
    </w:p>
    <w:p w14:paraId="5D54D3EA">
      <w:pPr>
        <w:autoSpaceDE w:val="0"/>
        <w:autoSpaceDN w:val="0"/>
        <w:adjustRightInd w:val="0"/>
        <w:snapToGrid w:val="0"/>
        <w:spacing w:before="0" w:line="400" w:lineRule="exact"/>
        <w:jc w:val="left"/>
        <w:outlineLvl w:val="9"/>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lang w:eastAsia="zh-CN"/>
        </w:rPr>
        <w:t>1</w:t>
      </w:r>
      <w:r>
        <w:rPr>
          <w:rFonts w:hint="eastAsia" w:ascii="微软雅黑" w:hAnsi="微软雅黑" w:eastAsia="微软雅黑" w:cs="微软雅黑"/>
          <w:b/>
          <w:bCs/>
          <w:color w:val="auto"/>
          <w:sz w:val="24"/>
          <w:szCs w:val="24"/>
          <w:highlight w:val="none"/>
          <w:lang w:val="en-US" w:eastAsia="zh-CN"/>
        </w:rPr>
        <w:t>8</w:t>
      </w:r>
      <w:r>
        <w:rPr>
          <w:rFonts w:hint="eastAsia" w:ascii="微软雅黑" w:hAnsi="微软雅黑" w:eastAsia="微软雅黑" w:cs="微软雅黑"/>
          <w:b/>
          <w:bCs/>
          <w:color w:val="auto"/>
          <w:sz w:val="24"/>
          <w:szCs w:val="24"/>
          <w:highlight w:val="none"/>
        </w:rPr>
        <w:t>.</w:t>
      </w:r>
      <w:r>
        <w:rPr>
          <w:rFonts w:hint="eastAsia" w:ascii="微软雅黑" w:hAnsi="微软雅黑" w:eastAsia="微软雅黑" w:cs="微软雅黑"/>
          <w:b/>
          <w:bCs/>
          <w:color w:val="auto"/>
          <w:sz w:val="24"/>
          <w:szCs w:val="24"/>
          <w:highlight w:val="none"/>
          <w:lang w:val="en-US" w:eastAsia="zh-CN"/>
        </w:rPr>
        <w:t xml:space="preserve"> </w:t>
      </w:r>
      <w:r>
        <w:rPr>
          <w:rFonts w:hint="eastAsia" w:ascii="微软雅黑" w:hAnsi="微软雅黑" w:eastAsia="微软雅黑" w:cs="微软雅黑"/>
          <w:b/>
          <w:bCs/>
          <w:color w:val="auto"/>
          <w:sz w:val="24"/>
          <w:szCs w:val="24"/>
          <w:highlight w:val="none"/>
        </w:rPr>
        <w:t>不可抗力</w:t>
      </w:r>
    </w:p>
    <w:p w14:paraId="70F0ED45">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1</w:t>
      </w:r>
      <w:r>
        <w:rPr>
          <w:rFonts w:hint="eastAsia" w:ascii="微软雅黑" w:hAnsi="微软雅黑" w:eastAsia="微软雅黑" w:cs="微软雅黑"/>
          <w:color w:val="auto"/>
          <w:sz w:val="24"/>
          <w:szCs w:val="24"/>
          <w:highlight w:val="none"/>
          <w:lang w:val="en-US" w:eastAsia="zh-CN"/>
        </w:rPr>
        <w:t>8</w:t>
      </w:r>
      <w:r>
        <w:rPr>
          <w:rFonts w:hint="eastAsia" w:ascii="微软雅黑" w:hAnsi="微软雅黑" w:eastAsia="微软雅黑" w:cs="微软雅黑"/>
          <w:color w:val="auto"/>
          <w:sz w:val="24"/>
          <w:szCs w:val="24"/>
          <w:highlight w:val="none"/>
        </w:rPr>
        <w:t>.1 不可抗力是指合同双方不能预见、不能避免且不能克服的客观情况。</w:t>
      </w:r>
    </w:p>
    <w:p w14:paraId="51DCAF3C">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1</w:t>
      </w:r>
      <w:r>
        <w:rPr>
          <w:rFonts w:hint="eastAsia" w:ascii="微软雅黑" w:hAnsi="微软雅黑" w:eastAsia="微软雅黑" w:cs="微软雅黑"/>
          <w:color w:val="auto"/>
          <w:sz w:val="24"/>
          <w:szCs w:val="24"/>
          <w:highlight w:val="none"/>
          <w:lang w:val="en-US" w:eastAsia="zh-CN"/>
        </w:rPr>
        <w:t>8</w:t>
      </w:r>
      <w:r>
        <w:rPr>
          <w:rFonts w:hint="eastAsia" w:ascii="微软雅黑" w:hAnsi="微软雅黑" w:eastAsia="微软雅黑" w:cs="微软雅黑"/>
          <w:color w:val="auto"/>
          <w:sz w:val="24"/>
          <w:szCs w:val="24"/>
          <w:highlight w:val="none"/>
        </w:rPr>
        <w:t>.2 任何一方对由于不可抗力造成的部分或全部不能履行合同不承担违约责任。但迟延履行后发生不可抗力的，不能免除责任。</w:t>
      </w:r>
    </w:p>
    <w:p w14:paraId="1DA73303">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1</w:t>
      </w:r>
      <w:r>
        <w:rPr>
          <w:rFonts w:hint="eastAsia" w:ascii="微软雅黑" w:hAnsi="微软雅黑" w:eastAsia="微软雅黑" w:cs="微软雅黑"/>
          <w:color w:val="auto"/>
          <w:sz w:val="24"/>
          <w:szCs w:val="24"/>
          <w:highlight w:val="none"/>
          <w:lang w:val="en-US" w:eastAsia="zh-CN"/>
        </w:rPr>
        <w:t>8</w:t>
      </w:r>
      <w:r>
        <w:rPr>
          <w:rFonts w:hint="eastAsia" w:ascii="微软雅黑" w:hAnsi="微软雅黑" w:eastAsia="微软雅黑" w:cs="微软雅黑"/>
          <w:color w:val="auto"/>
          <w:sz w:val="24"/>
          <w:szCs w:val="24"/>
          <w:highlight w:val="none"/>
        </w:rPr>
        <w:t>.3 遇有不可抗力的一方，应及时将事件情况以书面形式</w:t>
      </w:r>
      <w:r>
        <w:rPr>
          <w:rFonts w:hint="eastAsia" w:ascii="微软雅黑" w:hAnsi="微软雅黑" w:eastAsia="微软雅黑" w:cs="微软雅黑"/>
          <w:color w:val="auto"/>
          <w:sz w:val="24"/>
          <w:szCs w:val="24"/>
          <w:highlight w:val="none"/>
          <w:lang w:eastAsia="zh-CN"/>
        </w:rPr>
        <w:t>告</w:t>
      </w:r>
      <w:r>
        <w:rPr>
          <w:rFonts w:hint="eastAsia" w:ascii="微软雅黑" w:hAnsi="微软雅黑" w:eastAsia="微软雅黑" w:cs="微软雅黑"/>
          <w:color w:val="auto"/>
          <w:sz w:val="24"/>
          <w:szCs w:val="24"/>
          <w:highlight w:val="none"/>
        </w:rPr>
        <w:t>知另一方，并在事件发生后及时向另一方提交合同不能履行或部分不能履行或需要延期履行</w:t>
      </w:r>
      <w:r>
        <w:rPr>
          <w:rFonts w:hint="eastAsia" w:ascii="微软雅黑" w:hAnsi="微软雅黑" w:eastAsia="微软雅黑" w:cs="微软雅黑"/>
          <w:color w:val="auto"/>
          <w:sz w:val="24"/>
          <w:szCs w:val="24"/>
          <w:highlight w:val="none"/>
          <w:lang w:eastAsia="zh-CN"/>
        </w:rPr>
        <w:t>的详细</w:t>
      </w:r>
      <w:r>
        <w:rPr>
          <w:rFonts w:hint="eastAsia" w:ascii="微软雅黑" w:hAnsi="微软雅黑" w:eastAsia="微软雅黑" w:cs="微软雅黑"/>
          <w:color w:val="auto"/>
          <w:sz w:val="24"/>
          <w:szCs w:val="24"/>
          <w:highlight w:val="none"/>
        </w:rPr>
        <w:t>报告</w:t>
      </w:r>
      <w:r>
        <w:rPr>
          <w:rFonts w:hint="eastAsia" w:ascii="微软雅黑" w:hAnsi="微软雅黑" w:eastAsia="微软雅黑" w:cs="微软雅黑"/>
          <w:color w:val="auto"/>
          <w:sz w:val="24"/>
          <w:szCs w:val="24"/>
          <w:highlight w:val="none"/>
          <w:lang w:eastAsia="zh-CN"/>
        </w:rPr>
        <w:t>，以</w:t>
      </w:r>
      <w:r>
        <w:rPr>
          <w:rFonts w:hint="eastAsia" w:ascii="微软雅黑" w:hAnsi="微软雅黑" w:eastAsia="微软雅黑" w:cs="微软雅黑"/>
          <w:color w:val="auto"/>
          <w:sz w:val="24"/>
          <w:szCs w:val="24"/>
          <w:highlight w:val="none"/>
          <w:lang w:val="en-US" w:eastAsia="zh-CN"/>
        </w:rPr>
        <w:t>及证明不可抗力发生及其持续时间的证据</w:t>
      </w:r>
      <w:r>
        <w:rPr>
          <w:rFonts w:hint="eastAsia" w:ascii="微软雅黑" w:hAnsi="微软雅黑" w:eastAsia="微软雅黑" w:cs="微软雅黑"/>
          <w:color w:val="auto"/>
          <w:sz w:val="24"/>
          <w:szCs w:val="24"/>
          <w:highlight w:val="none"/>
        </w:rPr>
        <w:t>。</w:t>
      </w:r>
    </w:p>
    <w:p w14:paraId="0E0FE05D">
      <w:pPr>
        <w:autoSpaceDE w:val="0"/>
        <w:autoSpaceDN w:val="0"/>
        <w:adjustRightInd w:val="0"/>
        <w:snapToGrid w:val="0"/>
        <w:spacing w:before="0" w:line="400" w:lineRule="exact"/>
        <w:jc w:val="left"/>
        <w:outlineLvl w:val="9"/>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lang w:val="en-US" w:eastAsia="zh-CN"/>
        </w:rPr>
        <w:t>19</w:t>
      </w:r>
      <w:r>
        <w:rPr>
          <w:rFonts w:hint="eastAsia" w:ascii="微软雅黑" w:hAnsi="微软雅黑" w:eastAsia="微软雅黑" w:cs="微软雅黑"/>
          <w:b/>
          <w:bCs/>
          <w:color w:val="auto"/>
          <w:sz w:val="24"/>
          <w:szCs w:val="24"/>
          <w:highlight w:val="none"/>
        </w:rPr>
        <w:t>.</w:t>
      </w:r>
      <w:r>
        <w:rPr>
          <w:rFonts w:hint="eastAsia" w:ascii="微软雅黑" w:hAnsi="微软雅黑" w:eastAsia="微软雅黑" w:cs="微软雅黑"/>
          <w:b/>
          <w:bCs/>
          <w:color w:val="auto"/>
          <w:sz w:val="24"/>
          <w:szCs w:val="24"/>
          <w:highlight w:val="none"/>
          <w:lang w:val="en-US" w:eastAsia="zh-CN"/>
        </w:rPr>
        <w:t xml:space="preserve"> </w:t>
      </w:r>
      <w:r>
        <w:rPr>
          <w:rFonts w:hint="eastAsia" w:ascii="微软雅黑" w:hAnsi="微软雅黑" w:eastAsia="微软雅黑" w:cs="微软雅黑"/>
          <w:b/>
          <w:bCs/>
          <w:color w:val="auto"/>
          <w:sz w:val="24"/>
          <w:szCs w:val="24"/>
          <w:highlight w:val="none"/>
        </w:rPr>
        <w:t>解决争议的方法</w:t>
      </w:r>
    </w:p>
    <w:p w14:paraId="7C8A5185">
      <w:pPr>
        <w:pStyle w:val="117"/>
        <w:jc w:val="both"/>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19</w:t>
      </w:r>
      <w:r>
        <w:rPr>
          <w:rFonts w:hint="eastAsia" w:ascii="微软雅黑" w:hAnsi="微软雅黑" w:eastAsia="微软雅黑" w:cs="微软雅黑"/>
          <w:color w:val="auto"/>
          <w:sz w:val="24"/>
          <w:szCs w:val="24"/>
          <w:highlight w:val="none"/>
        </w:rPr>
        <w:t>.1 因本合同及合同有关事项发生的争议，由</w:t>
      </w:r>
      <w:r>
        <w:rPr>
          <w:rFonts w:hint="eastAsia" w:ascii="微软雅黑" w:hAnsi="微软雅黑" w:eastAsia="微软雅黑" w:cs="微软雅黑"/>
          <w:color w:val="auto"/>
          <w:sz w:val="24"/>
          <w:szCs w:val="24"/>
          <w:highlight w:val="none"/>
          <w:lang w:eastAsia="zh-CN"/>
        </w:rPr>
        <w:t>甲乙双</w:t>
      </w:r>
      <w:r>
        <w:rPr>
          <w:rFonts w:hint="eastAsia" w:ascii="微软雅黑" w:hAnsi="微软雅黑" w:eastAsia="微软雅黑" w:cs="微软雅黑"/>
          <w:color w:val="auto"/>
          <w:sz w:val="24"/>
          <w:szCs w:val="24"/>
          <w:highlight w:val="none"/>
        </w:rPr>
        <w:t>方友好协商解决。协商不成时，可以</w:t>
      </w:r>
      <w:r>
        <w:rPr>
          <w:rFonts w:hint="eastAsia" w:ascii="微软雅黑" w:hAnsi="微软雅黑" w:eastAsia="微软雅黑" w:cs="微软雅黑"/>
          <w:color w:val="auto"/>
          <w:sz w:val="24"/>
          <w:szCs w:val="24"/>
          <w:highlight w:val="none"/>
          <w:lang w:eastAsia="zh-CN"/>
        </w:rPr>
        <w:t>向有关组织申请</w:t>
      </w:r>
      <w:r>
        <w:rPr>
          <w:rFonts w:hint="eastAsia" w:ascii="微软雅黑" w:hAnsi="微软雅黑" w:eastAsia="微软雅黑" w:cs="微软雅黑"/>
          <w:color w:val="auto"/>
          <w:sz w:val="24"/>
          <w:szCs w:val="24"/>
          <w:highlight w:val="none"/>
        </w:rPr>
        <w:t>调解。合同一方或</w:t>
      </w:r>
      <w:r>
        <w:rPr>
          <w:rFonts w:hint="eastAsia" w:ascii="微软雅黑" w:hAnsi="微软雅黑" w:eastAsia="微软雅黑" w:cs="微软雅黑"/>
          <w:color w:val="auto"/>
          <w:sz w:val="24"/>
          <w:szCs w:val="24"/>
          <w:highlight w:val="none"/>
          <w:lang w:eastAsia="zh-CN"/>
        </w:rPr>
        <w:t>双</w:t>
      </w:r>
      <w:r>
        <w:rPr>
          <w:rFonts w:hint="eastAsia" w:ascii="微软雅黑" w:hAnsi="微软雅黑" w:eastAsia="微软雅黑" w:cs="微软雅黑"/>
          <w:color w:val="auto"/>
          <w:sz w:val="24"/>
          <w:szCs w:val="24"/>
          <w:highlight w:val="none"/>
        </w:rPr>
        <w:t>方不愿调解或调解不成的，可以通过仲裁或诉讼的方式解决争议。</w:t>
      </w:r>
    </w:p>
    <w:p w14:paraId="15758867">
      <w:pPr>
        <w:pStyle w:val="117"/>
        <w:jc w:val="both"/>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19</w:t>
      </w:r>
      <w:r>
        <w:rPr>
          <w:rFonts w:hint="eastAsia" w:ascii="微软雅黑" w:hAnsi="微软雅黑" w:eastAsia="微软雅黑" w:cs="微软雅黑"/>
          <w:color w:val="auto"/>
          <w:sz w:val="24"/>
          <w:szCs w:val="24"/>
          <w:highlight w:val="none"/>
        </w:rPr>
        <w:t>.2 选择仲裁的，应在</w:t>
      </w:r>
      <w:r>
        <w:rPr>
          <w:rFonts w:hint="eastAsia" w:ascii="微软雅黑" w:hAnsi="微软雅黑" w:eastAsia="微软雅黑" w:cs="微软雅黑"/>
          <w:b/>
          <w:bCs/>
          <w:color w:val="auto"/>
          <w:sz w:val="24"/>
          <w:szCs w:val="24"/>
          <w:highlight w:val="none"/>
        </w:rPr>
        <w:t>【政府采购合同专用条款】</w:t>
      </w:r>
      <w:r>
        <w:rPr>
          <w:rFonts w:hint="eastAsia" w:ascii="微软雅黑" w:hAnsi="微软雅黑" w:eastAsia="微软雅黑" w:cs="微软雅黑"/>
          <w:color w:val="auto"/>
          <w:sz w:val="24"/>
          <w:szCs w:val="24"/>
          <w:highlight w:val="none"/>
        </w:rPr>
        <w:t>中明确仲裁机构及仲裁地；通过诉讼方式解决的，可以在</w:t>
      </w:r>
      <w:r>
        <w:rPr>
          <w:rFonts w:hint="eastAsia" w:ascii="微软雅黑" w:hAnsi="微软雅黑" w:eastAsia="微软雅黑" w:cs="微软雅黑"/>
          <w:b/>
          <w:bCs/>
          <w:color w:val="auto"/>
          <w:sz w:val="24"/>
          <w:szCs w:val="24"/>
          <w:highlight w:val="none"/>
        </w:rPr>
        <w:t>【政府采购合同专用条款】</w:t>
      </w:r>
      <w:r>
        <w:rPr>
          <w:rFonts w:hint="eastAsia" w:ascii="微软雅黑" w:hAnsi="微软雅黑" w:eastAsia="微软雅黑" w:cs="微软雅黑"/>
          <w:color w:val="auto"/>
          <w:sz w:val="24"/>
          <w:szCs w:val="24"/>
          <w:highlight w:val="none"/>
        </w:rPr>
        <w:t>中进一步约定选择与争议有实际联系的地点的人民法院管辖，但管辖法院的约定不得违反级别管辖和专属管辖的规定。</w:t>
      </w:r>
    </w:p>
    <w:p w14:paraId="0F7E07F6">
      <w:pPr>
        <w:pStyle w:val="117"/>
        <w:jc w:val="both"/>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19</w:t>
      </w:r>
      <w:r>
        <w:rPr>
          <w:rFonts w:hint="eastAsia" w:ascii="微软雅黑" w:hAnsi="微软雅黑" w:eastAsia="微软雅黑" w:cs="微软雅黑"/>
          <w:color w:val="auto"/>
          <w:sz w:val="24"/>
          <w:szCs w:val="24"/>
          <w:highlight w:val="none"/>
        </w:rPr>
        <w:t>.3 如</w:t>
      </w:r>
      <w:r>
        <w:rPr>
          <w:rFonts w:hint="eastAsia" w:ascii="微软雅黑" w:hAnsi="微软雅黑" w:eastAsia="微软雅黑" w:cs="微软雅黑"/>
          <w:color w:val="auto"/>
          <w:sz w:val="24"/>
          <w:szCs w:val="24"/>
          <w:highlight w:val="none"/>
          <w:lang w:eastAsia="zh-CN"/>
        </w:rPr>
        <w:t>甲乙双方</w:t>
      </w:r>
      <w:r>
        <w:rPr>
          <w:rFonts w:hint="eastAsia" w:ascii="微软雅黑" w:hAnsi="微软雅黑" w:eastAsia="微软雅黑" w:cs="微软雅黑"/>
          <w:color w:val="auto"/>
          <w:sz w:val="24"/>
          <w:szCs w:val="24"/>
          <w:highlight w:val="none"/>
        </w:rPr>
        <w:t>有争议的事项不影响合同其他部分的履行，在争议解决期间，合同其他部分应</w:t>
      </w:r>
      <w:r>
        <w:rPr>
          <w:rFonts w:hint="eastAsia" w:ascii="微软雅黑" w:hAnsi="微软雅黑" w:eastAsia="微软雅黑" w:cs="微软雅黑"/>
          <w:color w:val="auto"/>
          <w:sz w:val="24"/>
          <w:szCs w:val="24"/>
          <w:highlight w:val="none"/>
          <w:lang w:eastAsia="zh-CN"/>
        </w:rPr>
        <w:t>当</w:t>
      </w:r>
      <w:r>
        <w:rPr>
          <w:rFonts w:hint="eastAsia" w:ascii="微软雅黑" w:hAnsi="微软雅黑" w:eastAsia="微软雅黑" w:cs="微软雅黑"/>
          <w:color w:val="auto"/>
          <w:sz w:val="24"/>
          <w:szCs w:val="24"/>
          <w:highlight w:val="none"/>
        </w:rPr>
        <w:t>继续履行。</w:t>
      </w:r>
    </w:p>
    <w:p w14:paraId="577E9017">
      <w:pPr>
        <w:autoSpaceDE w:val="0"/>
        <w:autoSpaceDN w:val="0"/>
        <w:adjustRightInd w:val="0"/>
        <w:snapToGrid w:val="0"/>
        <w:spacing w:before="0" w:line="400" w:lineRule="exact"/>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b/>
          <w:color w:val="auto"/>
          <w:sz w:val="24"/>
          <w:szCs w:val="24"/>
          <w:highlight w:val="none"/>
          <w:lang w:val="en-US" w:eastAsia="zh-CN"/>
        </w:rPr>
        <w:t>20</w:t>
      </w:r>
      <w:r>
        <w:rPr>
          <w:rFonts w:hint="eastAsia" w:ascii="微软雅黑" w:hAnsi="微软雅黑" w:eastAsia="微软雅黑" w:cs="微软雅黑"/>
          <w:b/>
          <w:color w:val="auto"/>
          <w:sz w:val="24"/>
          <w:szCs w:val="24"/>
          <w:highlight w:val="none"/>
        </w:rPr>
        <w:t>.</w:t>
      </w:r>
      <w:r>
        <w:rPr>
          <w:rFonts w:hint="eastAsia" w:ascii="微软雅黑" w:hAnsi="微软雅黑" w:eastAsia="微软雅黑" w:cs="微软雅黑"/>
          <w:b/>
          <w:color w:val="auto"/>
          <w:sz w:val="24"/>
          <w:szCs w:val="24"/>
          <w:highlight w:val="none"/>
          <w:lang w:val="en-US" w:eastAsia="zh-CN"/>
        </w:rPr>
        <w:t xml:space="preserve"> </w:t>
      </w:r>
      <w:r>
        <w:rPr>
          <w:rFonts w:hint="eastAsia" w:ascii="微软雅黑" w:hAnsi="微软雅黑" w:eastAsia="微软雅黑" w:cs="微软雅黑"/>
          <w:b/>
          <w:color w:val="auto"/>
          <w:sz w:val="24"/>
          <w:szCs w:val="24"/>
          <w:highlight w:val="none"/>
        </w:rPr>
        <w:t>政府采购政策</w:t>
      </w:r>
    </w:p>
    <w:p w14:paraId="25E2E83A">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xml:space="preserve">20.1 </w:t>
      </w:r>
      <w:r>
        <w:rPr>
          <w:rFonts w:hint="eastAsia" w:ascii="微软雅黑" w:hAnsi="微软雅黑" w:eastAsia="微软雅黑" w:cs="微软雅黑"/>
          <w:color w:val="auto"/>
          <w:sz w:val="24"/>
          <w:szCs w:val="24"/>
          <w:highlight w:val="none"/>
          <w:lang w:val="en-GB"/>
        </w:rPr>
        <w:t>本合同应当按照规定执行政府采购政策。</w:t>
      </w:r>
    </w:p>
    <w:p w14:paraId="2A2197EC">
      <w:pPr>
        <w:autoSpaceDE w:val="0"/>
        <w:autoSpaceDN w:val="0"/>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w:t>
      </w:r>
      <w:r>
        <w:rPr>
          <w:rFonts w:hint="eastAsia" w:ascii="微软雅黑" w:hAnsi="微软雅黑" w:eastAsia="微软雅黑" w:cs="微软雅黑"/>
          <w:color w:val="auto"/>
          <w:sz w:val="24"/>
          <w:szCs w:val="24"/>
          <w:highlight w:val="none"/>
          <w:lang w:val="en-US" w:eastAsia="zh-CN"/>
        </w:rPr>
        <w:t>0</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rPr>
        <w:t xml:space="preserve"> 本合同依法执行政府采购政策的方式和内容，属于合同履约验收的范围。</w:t>
      </w:r>
      <w:r>
        <w:rPr>
          <w:rFonts w:hint="eastAsia" w:ascii="微软雅黑" w:hAnsi="微软雅黑" w:eastAsia="微软雅黑" w:cs="微软雅黑"/>
          <w:color w:val="auto"/>
          <w:sz w:val="24"/>
          <w:szCs w:val="24"/>
          <w:highlight w:val="none"/>
          <w:lang w:eastAsia="zh-CN"/>
        </w:rPr>
        <w:t>甲乙双方</w:t>
      </w:r>
      <w:r>
        <w:rPr>
          <w:rFonts w:hint="eastAsia" w:ascii="微软雅黑" w:hAnsi="微软雅黑" w:eastAsia="微软雅黑" w:cs="微软雅黑"/>
          <w:color w:val="auto"/>
          <w:sz w:val="24"/>
          <w:szCs w:val="24"/>
          <w:highlight w:val="none"/>
          <w:lang w:val="en-GB"/>
        </w:rPr>
        <w:t>未按规定要求执行政府采购政策造成损失的</w:t>
      </w:r>
      <w:r>
        <w:rPr>
          <w:rFonts w:hint="eastAsia" w:ascii="微软雅黑" w:hAnsi="微软雅黑" w:eastAsia="微软雅黑" w:cs="微软雅黑"/>
          <w:color w:val="auto"/>
          <w:sz w:val="24"/>
          <w:szCs w:val="24"/>
          <w:highlight w:val="none"/>
        </w:rPr>
        <w:t>，有过错的一方应当承担赔偿责任，双方都有过错的，各自承担相应的责任。</w:t>
      </w:r>
    </w:p>
    <w:p w14:paraId="1C6CDB90">
      <w:pPr>
        <w:pStyle w:val="12"/>
        <w:spacing w:after="0" w:line="400" w:lineRule="exact"/>
        <w:ind w:firstLine="480" w:firstLineChars="20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w:t>
      </w:r>
      <w:r>
        <w:rPr>
          <w:rFonts w:hint="eastAsia" w:ascii="微软雅黑" w:hAnsi="微软雅黑" w:eastAsia="微软雅黑" w:cs="微软雅黑"/>
          <w:color w:val="auto"/>
          <w:sz w:val="24"/>
          <w:szCs w:val="24"/>
          <w:highlight w:val="none"/>
          <w:lang w:val="en-US" w:eastAsia="zh-CN"/>
        </w:rPr>
        <w:t>0</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 xml:space="preserve"> 对于</w:t>
      </w:r>
      <w:r>
        <w:rPr>
          <w:rFonts w:hint="eastAsia" w:ascii="微软雅黑" w:hAnsi="微软雅黑" w:eastAsia="微软雅黑" w:cs="微软雅黑"/>
          <w:color w:val="auto"/>
          <w:sz w:val="24"/>
          <w:szCs w:val="24"/>
          <w:highlight w:val="none"/>
          <w:lang w:eastAsia="zh-CN"/>
        </w:rPr>
        <w:t>为落实中小企业支持政策，</w:t>
      </w:r>
      <w:r>
        <w:rPr>
          <w:rFonts w:hint="eastAsia" w:ascii="微软雅黑" w:hAnsi="微软雅黑" w:eastAsia="微软雅黑" w:cs="微软雅黑"/>
          <w:color w:val="auto"/>
          <w:sz w:val="24"/>
          <w:szCs w:val="24"/>
          <w:highlight w:val="none"/>
        </w:rPr>
        <w:t>通过采购项目</w:t>
      </w:r>
      <w:r>
        <w:rPr>
          <w:rFonts w:hint="eastAsia" w:ascii="微软雅黑" w:hAnsi="微软雅黑" w:eastAsia="微软雅黑" w:cs="微软雅黑"/>
          <w:color w:val="auto"/>
          <w:sz w:val="24"/>
          <w:szCs w:val="24"/>
          <w:highlight w:val="none"/>
          <w:lang w:eastAsia="zh-CN"/>
        </w:rPr>
        <w:t>整体</w:t>
      </w:r>
      <w:r>
        <w:rPr>
          <w:rFonts w:hint="eastAsia" w:ascii="微软雅黑" w:hAnsi="微软雅黑" w:eastAsia="微软雅黑" w:cs="微软雅黑"/>
          <w:color w:val="auto"/>
          <w:sz w:val="24"/>
          <w:szCs w:val="24"/>
          <w:highlight w:val="none"/>
        </w:rPr>
        <w:t>预留、</w:t>
      </w:r>
      <w:r>
        <w:rPr>
          <w:rFonts w:hint="eastAsia" w:ascii="微软雅黑" w:hAnsi="微软雅黑" w:eastAsia="微软雅黑" w:cs="微软雅黑"/>
          <w:color w:val="auto"/>
          <w:sz w:val="24"/>
          <w:szCs w:val="24"/>
          <w:highlight w:val="none"/>
          <w:lang w:eastAsia="zh-CN"/>
        </w:rPr>
        <w:t>设置</w:t>
      </w:r>
      <w:r>
        <w:rPr>
          <w:rFonts w:hint="eastAsia" w:ascii="微软雅黑" w:hAnsi="微软雅黑" w:eastAsia="微软雅黑" w:cs="微软雅黑"/>
          <w:color w:val="auto"/>
          <w:sz w:val="24"/>
          <w:szCs w:val="24"/>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450C61F">
      <w:pPr>
        <w:autoSpaceDE w:val="0"/>
        <w:autoSpaceDN w:val="0"/>
        <w:adjustRightInd w:val="0"/>
        <w:snapToGrid w:val="0"/>
        <w:spacing w:before="0" w:line="400" w:lineRule="exact"/>
        <w:jc w:val="left"/>
        <w:outlineLvl w:val="9"/>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rPr>
        <w:t>2</w:t>
      </w:r>
      <w:r>
        <w:rPr>
          <w:rFonts w:hint="eastAsia" w:ascii="微软雅黑" w:hAnsi="微软雅黑" w:eastAsia="微软雅黑" w:cs="微软雅黑"/>
          <w:b/>
          <w:color w:val="auto"/>
          <w:sz w:val="24"/>
          <w:szCs w:val="24"/>
          <w:highlight w:val="none"/>
          <w:lang w:val="en-US" w:eastAsia="zh-CN"/>
        </w:rPr>
        <w:t>1</w:t>
      </w:r>
      <w:r>
        <w:rPr>
          <w:rFonts w:hint="eastAsia" w:ascii="微软雅黑" w:hAnsi="微软雅黑" w:eastAsia="微软雅黑" w:cs="微软雅黑"/>
          <w:b/>
          <w:color w:val="auto"/>
          <w:sz w:val="24"/>
          <w:szCs w:val="24"/>
          <w:highlight w:val="none"/>
        </w:rPr>
        <w:t>.</w:t>
      </w:r>
      <w:r>
        <w:rPr>
          <w:rFonts w:hint="eastAsia" w:ascii="微软雅黑" w:hAnsi="微软雅黑" w:eastAsia="微软雅黑" w:cs="微软雅黑"/>
          <w:b/>
          <w:color w:val="auto"/>
          <w:sz w:val="24"/>
          <w:szCs w:val="24"/>
          <w:highlight w:val="none"/>
          <w:lang w:val="en-US" w:eastAsia="zh-CN"/>
        </w:rPr>
        <w:t xml:space="preserve"> </w:t>
      </w:r>
      <w:r>
        <w:rPr>
          <w:rFonts w:hint="eastAsia" w:ascii="微软雅黑" w:hAnsi="微软雅黑" w:eastAsia="微软雅黑" w:cs="微软雅黑"/>
          <w:b/>
          <w:color w:val="auto"/>
          <w:sz w:val="24"/>
          <w:szCs w:val="24"/>
          <w:highlight w:val="none"/>
        </w:rPr>
        <w:t>法律适用</w:t>
      </w:r>
    </w:p>
    <w:p w14:paraId="31DA68B4">
      <w:pPr>
        <w:pStyle w:val="117"/>
        <w:jc w:val="both"/>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w:t>
      </w:r>
      <w:r>
        <w:rPr>
          <w:rFonts w:hint="eastAsia" w:ascii="微软雅黑" w:hAnsi="微软雅黑" w:eastAsia="微软雅黑" w:cs="微软雅黑"/>
          <w:color w:val="auto"/>
          <w:sz w:val="24"/>
          <w:szCs w:val="24"/>
          <w:highlight w:val="none"/>
          <w:lang w:val="en-US" w:eastAsia="zh-CN"/>
        </w:rPr>
        <w:t>1</w:t>
      </w:r>
      <w:r>
        <w:rPr>
          <w:rFonts w:hint="eastAsia" w:ascii="微软雅黑" w:hAnsi="微软雅黑" w:eastAsia="微软雅黑" w:cs="微软雅黑"/>
          <w:color w:val="auto"/>
          <w:sz w:val="24"/>
          <w:szCs w:val="24"/>
          <w:highlight w:val="none"/>
        </w:rPr>
        <w:t>.1 本合同的订立、生效、解释、履行及与本合同有关的争议解决，均适用法律、行政法规。</w:t>
      </w:r>
    </w:p>
    <w:p w14:paraId="72017BDB">
      <w:pPr>
        <w:pStyle w:val="117"/>
        <w:jc w:val="both"/>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w:t>
      </w:r>
      <w:r>
        <w:rPr>
          <w:rFonts w:hint="eastAsia" w:ascii="微软雅黑" w:hAnsi="微软雅黑" w:eastAsia="微软雅黑" w:cs="微软雅黑"/>
          <w:color w:val="auto"/>
          <w:sz w:val="24"/>
          <w:szCs w:val="24"/>
          <w:highlight w:val="none"/>
          <w:lang w:val="en-US" w:eastAsia="zh-CN"/>
        </w:rPr>
        <w:t>1</w:t>
      </w:r>
      <w:r>
        <w:rPr>
          <w:rFonts w:hint="eastAsia" w:ascii="微软雅黑" w:hAnsi="微软雅黑" w:eastAsia="微软雅黑" w:cs="微软雅黑"/>
          <w:color w:val="auto"/>
          <w:sz w:val="24"/>
          <w:szCs w:val="24"/>
          <w:highlight w:val="none"/>
        </w:rPr>
        <w:t>.2 本合同条款与法律、行政法规的强制性规定不一致的，双方当事人应按照法律、行政法规的强制性规定修改本合同的相关条款。</w:t>
      </w:r>
    </w:p>
    <w:p w14:paraId="37B00619">
      <w:pPr>
        <w:numPr>
          <w:ilvl w:val="-1"/>
          <w:numId w:val="0"/>
        </w:numPr>
        <w:autoSpaceDE w:val="0"/>
        <w:autoSpaceDN w:val="0"/>
        <w:adjustRightInd w:val="0"/>
        <w:snapToGrid w:val="0"/>
        <w:spacing w:before="0" w:line="400" w:lineRule="exact"/>
        <w:jc w:val="left"/>
        <w:outlineLvl w:val="9"/>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lang w:val="en-US" w:eastAsia="zh-CN"/>
        </w:rPr>
        <w:t xml:space="preserve">22. </w:t>
      </w:r>
      <w:r>
        <w:rPr>
          <w:rFonts w:hint="eastAsia" w:ascii="微软雅黑" w:hAnsi="微软雅黑" w:eastAsia="微软雅黑" w:cs="微软雅黑"/>
          <w:b/>
          <w:color w:val="auto"/>
          <w:sz w:val="24"/>
          <w:szCs w:val="24"/>
          <w:highlight w:val="none"/>
        </w:rPr>
        <w:t>通知</w:t>
      </w:r>
    </w:p>
    <w:p w14:paraId="4ACE6367">
      <w:pPr>
        <w:pStyle w:val="117"/>
        <w:jc w:val="both"/>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本合同任何一方向对方发出的通知、信件、数据电文等，应当发送至本合同第一部分《政府采购合同协议书》所约定的通讯地址、联系人、联系电话或电子邮箱。</w:t>
      </w:r>
    </w:p>
    <w:p w14:paraId="66522EC8">
      <w:pPr>
        <w:pStyle w:val="117"/>
        <w:ind w:firstLine="0" w:firstLineChars="0"/>
        <w:jc w:val="both"/>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2</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rPr>
        <w:t>.2</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一方当事人变更名称、</w:t>
      </w:r>
      <w:r>
        <w:rPr>
          <w:rFonts w:hint="eastAsia" w:ascii="微软雅黑" w:hAnsi="微软雅黑" w:eastAsia="微软雅黑" w:cs="微软雅黑"/>
          <w:color w:val="auto"/>
          <w:sz w:val="24"/>
          <w:szCs w:val="24"/>
          <w:highlight w:val="none"/>
          <w:lang w:eastAsia="zh-CN"/>
        </w:rPr>
        <w:t>住所</w:t>
      </w:r>
      <w:r>
        <w:rPr>
          <w:rFonts w:hint="eastAsia" w:ascii="微软雅黑" w:hAnsi="微软雅黑" w:eastAsia="微软雅黑" w:cs="微软雅黑"/>
          <w:color w:val="auto"/>
          <w:sz w:val="24"/>
          <w:szCs w:val="24"/>
          <w:highlight w:val="none"/>
        </w:rPr>
        <w:t>、联系人、联系电话或电子邮箱</w:t>
      </w:r>
      <w:r>
        <w:rPr>
          <w:rFonts w:hint="eastAsia" w:ascii="微软雅黑" w:hAnsi="微软雅黑" w:eastAsia="微软雅黑" w:cs="微软雅黑"/>
          <w:color w:val="auto"/>
          <w:sz w:val="24"/>
          <w:szCs w:val="24"/>
          <w:highlight w:val="none"/>
          <w:lang w:eastAsia="zh-CN"/>
        </w:rPr>
        <w:t>等信息</w:t>
      </w:r>
      <w:r>
        <w:rPr>
          <w:rFonts w:hint="eastAsia" w:ascii="微软雅黑" w:hAnsi="微软雅黑" w:eastAsia="微软雅黑" w:cs="微软雅黑"/>
          <w:color w:val="auto"/>
          <w:sz w:val="24"/>
          <w:szCs w:val="24"/>
          <w:highlight w:val="none"/>
        </w:rPr>
        <w:t>的，应当在变更后3日内及时书面通知对方，对方实际收到变更通知前的送达仍为有效送达。</w:t>
      </w:r>
    </w:p>
    <w:p w14:paraId="53490733">
      <w:pPr>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本合同一方给另一方的通知均应采用书面形式，传真或快递送到本合同中规定的对方的地址和办理签收手续。</w:t>
      </w:r>
    </w:p>
    <w:p w14:paraId="00A3C4B9">
      <w:pPr>
        <w:adjustRightInd w:val="0"/>
        <w:snapToGrid w:val="0"/>
        <w:spacing w:before="0" w:line="400" w:lineRule="exact"/>
        <w:ind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4</w:t>
      </w:r>
      <w:r>
        <w:rPr>
          <w:rFonts w:hint="eastAsia" w:ascii="微软雅黑" w:hAnsi="微软雅黑" w:eastAsia="微软雅黑" w:cs="微软雅黑"/>
          <w:color w:val="auto"/>
          <w:sz w:val="24"/>
          <w:szCs w:val="24"/>
          <w:highlight w:val="none"/>
        </w:rPr>
        <w:t>通知以送达之日或通知书中规定的生效之日起生效，两者中以较迟之日为准。</w:t>
      </w:r>
    </w:p>
    <w:p w14:paraId="21F4F67D">
      <w:pPr>
        <w:numPr>
          <w:ilvl w:val="0"/>
          <w:numId w:val="13"/>
        </w:numPr>
        <w:adjustRightInd w:val="0"/>
        <w:snapToGrid w:val="0"/>
        <w:spacing w:before="0" w:line="400" w:lineRule="exact"/>
        <w:jc w:val="left"/>
        <w:outlineLvl w:val="9"/>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t>合同未尽事项</w:t>
      </w:r>
    </w:p>
    <w:p w14:paraId="1CED421A">
      <w:pPr>
        <w:adjustRightInd w:val="0"/>
        <w:snapToGrid w:val="0"/>
        <w:spacing w:before="0" w:line="400" w:lineRule="exact"/>
        <w:ind w:firstLine="480" w:firstLineChars="200"/>
        <w:jc w:val="left"/>
        <w:outlineLvl w:val="9"/>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2</w:t>
      </w:r>
      <w:r>
        <w:rPr>
          <w:rFonts w:hint="eastAsia" w:ascii="微软雅黑" w:hAnsi="微软雅黑" w:eastAsia="微软雅黑" w:cs="微软雅黑"/>
          <w:bCs/>
          <w:color w:val="auto"/>
          <w:sz w:val="24"/>
          <w:szCs w:val="24"/>
          <w:highlight w:val="none"/>
          <w:lang w:val="en-US" w:eastAsia="zh-CN"/>
        </w:rPr>
        <w:t>3</w:t>
      </w:r>
      <w:r>
        <w:rPr>
          <w:rFonts w:hint="eastAsia" w:ascii="微软雅黑" w:hAnsi="微软雅黑" w:eastAsia="微软雅黑" w:cs="微软雅黑"/>
          <w:bCs/>
          <w:color w:val="auto"/>
          <w:sz w:val="24"/>
          <w:szCs w:val="24"/>
          <w:highlight w:val="none"/>
        </w:rPr>
        <w:t>.1合同未尽事项见</w:t>
      </w:r>
      <w:r>
        <w:rPr>
          <w:rFonts w:hint="eastAsia" w:ascii="微软雅黑" w:hAnsi="微软雅黑" w:eastAsia="微软雅黑" w:cs="微软雅黑"/>
          <w:b/>
          <w:color w:val="auto"/>
          <w:sz w:val="24"/>
          <w:szCs w:val="24"/>
          <w:highlight w:val="none"/>
        </w:rPr>
        <w:t>【政府采购合同专用条款】</w:t>
      </w:r>
      <w:r>
        <w:rPr>
          <w:rFonts w:hint="eastAsia" w:ascii="微软雅黑" w:hAnsi="微软雅黑" w:eastAsia="微软雅黑" w:cs="微软雅黑"/>
          <w:bCs/>
          <w:color w:val="auto"/>
          <w:sz w:val="24"/>
          <w:szCs w:val="24"/>
          <w:highlight w:val="none"/>
        </w:rPr>
        <w:t>。</w:t>
      </w:r>
    </w:p>
    <w:p w14:paraId="637FC58B">
      <w:pPr>
        <w:adjustRightInd w:val="0"/>
        <w:snapToGrid w:val="0"/>
        <w:spacing w:line="400" w:lineRule="exact"/>
        <w:ind w:firstLine="0" w:firstLineChars="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bCs/>
          <w:color w:val="auto"/>
          <w:sz w:val="24"/>
          <w:szCs w:val="24"/>
          <w:highlight w:val="none"/>
          <w:lang w:val="en-US" w:eastAsia="zh-CN"/>
        </w:rPr>
        <w:t xml:space="preserve">    23.2 合同附件与合同正文具有同等的法律效力。</w:t>
      </w:r>
      <w:bookmarkStart w:id="2076" w:name="_Toc20313"/>
    </w:p>
    <w:p w14:paraId="7D5FC03C">
      <w:pPr>
        <w:adjustRightInd w:val="0"/>
        <w:snapToGrid w:val="0"/>
        <w:jc w:val="center"/>
        <w:outlineLvl w:val="9"/>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color w:val="auto"/>
          <w:sz w:val="24"/>
          <w:szCs w:val="24"/>
          <w:highlight w:val="none"/>
        </w:rPr>
        <w:br w:type="page"/>
      </w:r>
    </w:p>
    <w:p w14:paraId="30798D21">
      <w:pPr>
        <w:adjustRightInd w:val="0"/>
        <w:snapToGrid w:val="0"/>
        <w:jc w:val="center"/>
        <w:outlineLvl w:val="9"/>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color w:val="auto"/>
          <w:sz w:val="24"/>
          <w:szCs w:val="24"/>
          <w:highlight w:val="none"/>
        </w:rPr>
        <w:t>第三节 政府采购合同专用条款</w:t>
      </w:r>
      <w:bookmarkEnd w:id="2076"/>
    </w:p>
    <w:tbl>
      <w:tblPr>
        <w:tblStyle w:val="31"/>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12EB2A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1282AC6">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第二节</w:t>
            </w:r>
          </w:p>
          <w:p w14:paraId="299046E8">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第1.2（</w:t>
            </w:r>
            <w:r>
              <w:rPr>
                <w:rFonts w:hint="eastAsia" w:ascii="微软雅黑" w:hAnsi="微软雅黑" w:eastAsia="微软雅黑" w:cs="微软雅黑"/>
                <w:color w:val="auto"/>
                <w:sz w:val="24"/>
                <w:szCs w:val="24"/>
                <w:highlight w:val="none"/>
                <w:lang w:val="en-US" w:eastAsia="zh-CN"/>
              </w:rPr>
              <w:t>6</w:t>
            </w:r>
            <w:r>
              <w:rPr>
                <w:rFonts w:hint="eastAsia" w:ascii="微软雅黑" w:hAnsi="微软雅黑" w:eastAsia="微软雅黑" w:cs="微软雅黑"/>
                <w:color w:val="auto"/>
                <w:sz w:val="24"/>
                <w:szCs w:val="24"/>
                <w:highlight w:val="none"/>
              </w:rPr>
              <w:t>）项</w:t>
            </w:r>
          </w:p>
        </w:tc>
        <w:tc>
          <w:tcPr>
            <w:tcW w:w="1742" w:type="dxa"/>
            <w:vAlign w:val="center"/>
          </w:tcPr>
          <w:p w14:paraId="74DEBEED">
            <w:pPr>
              <w:adjustRightInd w:val="0"/>
              <w:snapToGrid w:val="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联合体具体要求</w:t>
            </w:r>
          </w:p>
        </w:tc>
        <w:tc>
          <w:tcPr>
            <w:tcW w:w="5170" w:type="dxa"/>
            <w:vAlign w:val="center"/>
          </w:tcPr>
          <w:p w14:paraId="0B4694C4">
            <w:pPr>
              <w:adjustRightInd w:val="0"/>
              <w:snapToGrid w:val="0"/>
              <w:jc w:val="left"/>
              <w:outlineLvl w:val="9"/>
              <w:rPr>
                <w:rFonts w:hint="eastAsia" w:ascii="微软雅黑" w:hAnsi="微软雅黑" w:eastAsia="微软雅黑" w:cs="微软雅黑"/>
                <w:color w:val="auto"/>
                <w:sz w:val="24"/>
                <w:szCs w:val="24"/>
                <w:highlight w:val="none"/>
              </w:rPr>
            </w:pPr>
          </w:p>
        </w:tc>
      </w:tr>
      <w:tr w14:paraId="6E78FB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7947AAB4">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第二节</w:t>
            </w:r>
          </w:p>
          <w:p w14:paraId="06FFD5A9">
            <w:pPr>
              <w:adjustRightInd w:val="0"/>
              <w:snapToGrid w:val="0"/>
              <w:jc w:val="center"/>
              <w:outlineLvl w:val="9"/>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sz w:val="24"/>
                <w:szCs w:val="24"/>
                <w:highlight w:val="none"/>
              </w:rPr>
              <w:t>第1.2（</w:t>
            </w:r>
            <w:r>
              <w:rPr>
                <w:rFonts w:hint="eastAsia" w:ascii="微软雅黑" w:hAnsi="微软雅黑" w:eastAsia="微软雅黑" w:cs="微软雅黑"/>
                <w:color w:val="auto"/>
                <w:sz w:val="24"/>
                <w:szCs w:val="24"/>
                <w:highlight w:val="none"/>
                <w:lang w:val="en-US" w:eastAsia="zh-CN"/>
              </w:rPr>
              <w:t>7</w:t>
            </w:r>
            <w:r>
              <w:rPr>
                <w:rFonts w:hint="eastAsia" w:ascii="微软雅黑" w:hAnsi="微软雅黑" w:eastAsia="微软雅黑" w:cs="微软雅黑"/>
                <w:color w:val="auto"/>
                <w:sz w:val="24"/>
                <w:szCs w:val="24"/>
                <w:highlight w:val="none"/>
              </w:rPr>
              <w:t>）项</w:t>
            </w:r>
          </w:p>
        </w:tc>
        <w:tc>
          <w:tcPr>
            <w:tcW w:w="1742" w:type="dxa"/>
            <w:vAlign w:val="center"/>
          </w:tcPr>
          <w:p w14:paraId="446B578E">
            <w:pPr>
              <w:adjustRightInd w:val="0"/>
              <w:snapToGrid w:val="0"/>
              <w:jc w:val="left"/>
              <w:outlineLvl w:val="9"/>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sz w:val="24"/>
                <w:szCs w:val="24"/>
                <w:highlight w:val="none"/>
              </w:rPr>
              <w:t>其他术语解释</w:t>
            </w:r>
          </w:p>
        </w:tc>
        <w:tc>
          <w:tcPr>
            <w:tcW w:w="5170" w:type="dxa"/>
            <w:vAlign w:val="center"/>
          </w:tcPr>
          <w:p w14:paraId="089FDFE7">
            <w:pPr>
              <w:adjustRightInd w:val="0"/>
              <w:snapToGrid w:val="0"/>
              <w:jc w:val="left"/>
              <w:outlineLvl w:val="9"/>
              <w:rPr>
                <w:rFonts w:hint="eastAsia" w:ascii="微软雅黑" w:hAnsi="微软雅黑" w:eastAsia="微软雅黑" w:cs="微软雅黑"/>
                <w:color w:val="auto"/>
                <w:kern w:val="2"/>
                <w:sz w:val="24"/>
                <w:szCs w:val="24"/>
                <w:highlight w:val="none"/>
                <w:lang w:val="en-US" w:eastAsia="zh-CN" w:bidi="ar-SA"/>
              </w:rPr>
            </w:pPr>
          </w:p>
        </w:tc>
      </w:tr>
      <w:tr w14:paraId="0D33003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0C1E368">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第二节</w:t>
            </w:r>
          </w:p>
          <w:p w14:paraId="4F1440E6">
            <w:pPr>
              <w:adjustRightInd w:val="0"/>
              <w:snapToGrid w:val="0"/>
              <w:jc w:val="center"/>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eastAsia="zh-CN"/>
              </w:rPr>
              <w:t>第</w:t>
            </w:r>
            <w:r>
              <w:rPr>
                <w:rFonts w:hint="eastAsia" w:ascii="微软雅黑" w:hAnsi="微软雅黑" w:eastAsia="微软雅黑" w:cs="微软雅黑"/>
                <w:color w:val="auto"/>
                <w:sz w:val="24"/>
                <w:szCs w:val="24"/>
                <w:highlight w:val="none"/>
                <w:lang w:val="en-US" w:eastAsia="zh-CN"/>
              </w:rPr>
              <w:t>4.4款</w:t>
            </w:r>
          </w:p>
        </w:tc>
        <w:tc>
          <w:tcPr>
            <w:tcW w:w="1742" w:type="dxa"/>
            <w:vAlign w:val="center"/>
          </w:tcPr>
          <w:p w14:paraId="29C3939E">
            <w:pPr>
              <w:adjustRightInd w:val="0"/>
              <w:snapToGrid w:val="0"/>
              <w:jc w:val="left"/>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履约验收中甲方提出异议或作出说明的期限</w:t>
            </w:r>
          </w:p>
        </w:tc>
        <w:tc>
          <w:tcPr>
            <w:tcW w:w="5170" w:type="dxa"/>
            <w:vAlign w:val="center"/>
          </w:tcPr>
          <w:p w14:paraId="7FBCF964">
            <w:pPr>
              <w:adjustRightInd w:val="0"/>
              <w:snapToGrid w:val="0"/>
              <w:jc w:val="left"/>
              <w:outlineLvl w:val="9"/>
              <w:rPr>
                <w:rFonts w:hint="eastAsia" w:ascii="微软雅黑" w:hAnsi="微软雅黑" w:eastAsia="微软雅黑" w:cs="微软雅黑"/>
                <w:color w:val="auto"/>
                <w:kern w:val="2"/>
                <w:sz w:val="24"/>
                <w:szCs w:val="24"/>
                <w:highlight w:val="none"/>
                <w:lang w:val="en-US" w:eastAsia="zh-CN" w:bidi="ar-SA"/>
              </w:rPr>
            </w:pPr>
          </w:p>
        </w:tc>
      </w:tr>
      <w:tr w14:paraId="25E133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D47DC48">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第二节</w:t>
            </w:r>
          </w:p>
          <w:p w14:paraId="280874A6">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第</w:t>
            </w:r>
            <w:r>
              <w:rPr>
                <w:rFonts w:hint="eastAsia" w:ascii="微软雅黑" w:hAnsi="微软雅黑" w:eastAsia="微软雅黑" w:cs="微软雅黑"/>
                <w:color w:val="auto"/>
                <w:sz w:val="24"/>
                <w:szCs w:val="24"/>
                <w:highlight w:val="none"/>
                <w:lang w:val="en-US" w:eastAsia="zh-CN"/>
              </w:rPr>
              <w:t>4.6款</w:t>
            </w:r>
          </w:p>
        </w:tc>
        <w:tc>
          <w:tcPr>
            <w:tcW w:w="1742" w:type="dxa"/>
            <w:vAlign w:val="center"/>
          </w:tcPr>
          <w:p w14:paraId="264EB469">
            <w:pPr>
              <w:adjustRightInd w:val="0"/>
              <w:snapToGrid w:val="0"/>
              <w:jc w:val="left"/>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约定甲方承担的其他义务和责任</w:t>
            </w:r>
          </w:p>
        </w:tc>
        <w:tc>
          <w:tcPr>
            <w:tcW w:w="5170" w:type="dxa"/>
            <w:vAlign w:val="center"/>
          </w:tcPr>
          <w:p w14:paraId="19B1F7CD">
            <w:pPr>
              <w:adjustRightInd w:val="0"/>
              <w:snapToGrid w:val="0"/>
              <w:jc w:val="left"/>
              <w:outlineLvl w:val="9"/>
              <w:rPr>
                <w:rFonts w:hint="eastAsia" w:ascii="微软雅黑" w:hAnsi="微软雅黑" w:eastAsia="微软雅黑" w:cs="微软雅黑"/>
                <w:color w:val="auto"/>
                <w:kern w:val="2"/>
                <w:sz w:val="24"/>
                <w:szCs w:val="24"/>
                <w:highlight w:val="none"/>
                <w:lang w:val="en-US" w:eastAsia="zh-CN" w:bidi="ar-SA"/>
              </w:rPr>
            </w:pPr>
          </w:p>
        </w:tc>
      </w:tr>
      <w:tr w14:paraId="5BFECF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4A894E0">
            <w:pPr>
              <w:adjustRightInd w:val="0"/>
              <w:snapToGrid w:val="0"/>
              <w:jc w:val="center"/>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第二节</w:t>
            </w:r>
          </w:p>
          <w:p w14:paraId="210CAA15">
            <w:pPr>
              <w:snapToGrid w:val="0"/>
              <w:jc w:val="center"/>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eastAsia="zh-CN"/>
              </w:rPr>
              <w:t>第</w:t>
            </w:r>
            <w:r>
              <w:rPr>
                <w:rFonts w:hint="eastAsia" w:ascii="微软雅黑" w:hAnsi="微软雅黑" w:eastAsia="微软雅黑" w:cs="微软雅黑"/>
                <w:color w:val="auto"/>
                <w:sz w:val="24"/>
                <w:szCs w:val="24"/>
                <w:highlight w:val="none"/>
                <w:lang w:val="en-US" w:eastAsia="zh-CN"/>
              </w:rPr>
              <w:t>5.4款</w:t>
            </w:r>
          </w:p>
        </w:tc>
        <w:tc>
          <w:tcPr>
            <w:tcW w:w="1742" w:type="dxa"/>
            <w:vAlign w:val="center"/>
          </w:tcPr>
          <w:p w14:paraId="61C73BA4">
            <w:pPr>
              <w:adjustRightInd w:val="0"/>
              <w:snapToGrid w:val="0"/>
              <w:jc w:val="left"/>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约定乙方承担的其他义务和责任</w:t>
            </w:r>
          </w:p>
        </w:tc>
        <w:tc>
          <w:tcPr>
            <w:tcW w:w="5170" w:type="dxa"/>
            <w:vAlign w:val="center"/>
          </w:tcPr>
          <w:p w14:paraId="62C4FB83">
            <w:pPr>
              <w:adjustRightInd w:val="0"/>
              <w:snapToGrid w:val="0"/>
              <w:jc w:val="left"/>
              <w:outlineLvl w:val="9"/>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1.乙方在交付产品的同时需向甲方提供有关货物的附随资料，包括但不限于：商品目录、质量证明及其他与商品质量有关的资料，如未提供则视为乙方未提供相关货物。并且乙方交付产品时还应一并向甲方交付供货清单，供货清单须经甲方验收代表与乙方共同签字，作为后续结算的凭证。</w:t>
            </w:r>
          </w:p>
          <w:p w14:paraId="7A31D1A8">
            <w:pPr>
              <w:pStyle w:val="3"/>
              <w:ind w:left="0" w:leftChars="0" w:firstLine="0" w:firstLineChars="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2.乙方提供的产品或材料必须符合国家、地区、行业规定的相关标准，若乙方提供的产品或材料不符合合同约定或甲方要求，乙方应无条件包退包换货，并对由此引起的合理索赔及相关损失负责任。</w:t>
            </w:r>
          </w:p>
          <w:p w14:paraId="7630D861">
            <w:pPr>
              <w:pStyle w:val="3"/>
              <w:ind w:left="0" w:leftChars="0" w:firstLine="0" w:firstLineChars="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3.乙方应对所供合同货物进行妥善包装，使之能承受所采用的运输条件，确保货物不受任何损伤或损坏。乙方应在包装物外表刷有明显的收货人、收货人地址、合同号等字样，并应按相关规范在包装物外侧标明“勿倒置”、“防雨”、“小心轻放”以及其他适用的国际通用标志。</w:t>
            </w:r>
          </w:p>
          <w:p w14:paraId="69C6BB9F">
            <w:pPr>
              <w:pStyle w:val="3"/>
              <w:ind w:left="0" w:leftChars="0" w:firstLine="0" w:firstLineChars="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4.乙方应就所提供货物及本合同的履行承担全部责任，确保所提供产品或材料的权属清楚。为本合同的履行，乙方不得侵害他人的合法权益，如产生发生任何纠纷或安全事故，则全部责任由乙方自行承担，如因此给甲方造成损害的，甲方可向乙方进行追偿，追偿费用包括但不限于甲方实际垫付的费用、律师费、交通费。</w:t>
            </w:r>
          </w:p>
          <w:p w14:paraId="4E6D091D">
            <w:pPr>
              <w:pStyle w:val="3"/>
              <w:ind w:left="0" w:leftChars="0" w:firstLine="0" w:firstLineChars="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5.乙方应在将产品移交甲方之前或同时，将与该产品有关的全部法律证件提交甲方审核确认。如乙方所供货物为原装进口产品的,应提供相关的进口证明文件。经甲方审核认为上述文件不全或存在瑕疵的，甲方有权拒绝支付货款。甲方对上述文件的审核并不解除乙方对产品所负的权利担保责任。</w:t>
            </w:r>
          </w:p>
          <w:p w14:paraId="4C71479E">
            <w:pPr>
              <w:pStyle w:val="3"/>
              <w:ind w:left="0" w:leftChars="0" w:firstLine="0" w:firstLineChars="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6.不管甲方是否根据本合同对乙方所供产品进行了检验，也不管检验结果如何，都不能解除乙方对所供产品本身及质量缺陷所应承担的责任。</w:t>
            </w:r>
          </w:p>
          <w:p w14:paraId="2F27372D">
            <w:pPr>
              <w:pStyle w:val="3"/>
              <w:ind w:left="0" w:leftChars="0" w:firstLine="0" w:firstLineChars="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7.乙方负责所有产品的运输、装卸及安装、装饰等工作，且承诺所提产品的技术标准符合国家与行业规定，提供的产品是全新、未经使用过的，完全符合甲方所需产品所需产品技术、性能要求。</w:t>
            </w:r>
          </w:p>
        </w:tc>
      </w:tr>
      <w:tr w14:paraId="4813DF8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E33FB7">
            <w:pPr>
              <w:adjustRightInd w:val="0"/>
              <w:snapToGrid w:val="0"/>
              <w:jc w:val="center"/>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第二节</w:t>
            </w:r>
          </w:p>
          <w:p w14:paraId="192884F9">
            <w:pPr>
              <w:snapToGrid w:val="0"/>
              <w:jc w:val="center"/>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第</w:t>
            </w:r>
            <w:r>
              <w:rPr>
                <w:rFonts w:hint="eastAsia" w:ascii="微软雅黑" w:hAnsi="微软雅黑" w:eastAsia="微软雅黑" w:cs="微软雅黑"/>
                <w:color w:val="auto"/>
                <w:sz w:val="24"/>
                <w:szCs w:val="24"/>
                <w:highlight w:val="none"/>
                <w:lang w:val="en-US" w:eastAsia="zh-CN"/>
              </w:rPr>
              <w:t>6.1款</w:t>
            </w:r>
          </w:p>
        </w:tc>
        <w:tc>
          <w:tcPr>
            <w:tcW w:w="1742" w:type="dxa"/>
            <w:vAlign w:val="center"/>
          </w:tcPr>
          <w:p w14:paraId="5E0D899D">
            <w:pPr>
              <w:adjustRightInd w:val="0"/>
              <w:snapToGrid w:val="0"/>
              <w:jc w:val="left"/>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履行合同义务的顺序</w:t>
            </w:r>
          </w:p>
        </w:tc>
        <w:tc>
          <w:tcPr>
            <w:tcW w:w="5170" w:type="dxa"/>
            <w:vAlign w:val="center"/>
          </w:tcPr>
          <w:p w14:paraId="7B72323F">
            <w:pPr>
              <w:adjustRightInd w:val="0"/>
              <w:snapToGrid w:val="0"/>
              <w:jc w:val="left"/>
              <w:outlineLvl w:val="9"/>
              <w:rPr>
                <w:rFonts w:hint="eastAsia" w:ascii="微软雅黑" w:hAnsi="微软雅黑" w:eastAsia="微软雅黑" w:cs="微软雅黑"/>
                <w:color w:val="auto"/>
                <w:kern w:val="2"/>
                <w:sz w:val="24"/>
                <w:szCs w:val="24"/>
                <w:highlight w:val="none"/>
                <w:lang w:val="en-US" w:eastAsia="zh-CN" w:bidi="ar-SA"/>
              </w:rPr>
            </w:pPr>
          </w:p>
        </w:tc>
      </w:tr>
      <w:tr w14:paraId="656846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7D0D224E">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第二节</w:t>
            </w:r>
          </w:p>
          <w:p w14:paraId="57772AA1">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w:t>
            </w:r>
            <w:r>
              <w:rPr>
                <w:rFonts w:hint="eastAsia" w:ascii="微软雅黑" w:hAnsi="微软雅黑" w:eastAsia="微软雅黑" w:cs="微软雅黑"/>
                <w:color w:val="auto"/>
                <w:sz w:val="24"/>
                <w:szCs w:val="24"/>
                <w:highlight w:val="none"/>
                <w:lang w:val="en-US" w:eastAsia="zh-CN"/>
              </w:rPr>
              <w:t>7</w:t>
            </w: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val="en-US" w:eastAsia="zh-CN"/>
              </w:rPr>
              <w:t>款</w:t>
            </w:r>
          </w:p>
        </w:tc>
        <w:tc>
          <w:tcPr>
            <w:tcW w:w="1742" w:type="dxa"/>
            <w:vAlign w:val="center"/>
          </w:tcPr>
          <w:p w14:paraId="5C36C55D">
            <w:pPr>
              <w:adjustRightInd w:val="0"/>
              <w:snapToGrid w:val="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包装</w:t>
            </w:r>
            <w:r>
              <w:rPr>
                <w:rFonts w:hint="eastAsia" w:ascii="微软雅黑" w:hAnsi="微软雅黑" w:eastAsia="微软雅黑" w:cs="微软雅黑"/>
                <w:color w:val="auto"/>
                <w:sz w:val="24"/>
                <w:szCs w:val="24"/>
                <w:highlight w:val="none"/>
                <w:lang w:eastAsia="zh-CN"/>
              </w:rPr>
              <w:t>特殊要求</w:t>
            </w:r>
          </w:p>
        </w:tc>
        <w:tc>
          <w:tcPr>
            <w:tcW w:w="5170" w:type="dxa"/>
            <w:vAlign w:val="center"/>
          </w:tcPr>
          <w:p w14:paraId="368A6A7D">
            <w:pPr>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货物的包装应适于长途运输和反复装卸，并且乙方应根据货物不同的特性和要求采取防潮、防雨、防锈、防震、防腐等保护措施，以保证货物安全无损地到达甲方指定地点。乙方将承担因包装不当导致交付的合同标的物受损的责任（包括但不限于运输费、装卸费、保险费）。</w:t>
            </w:r>
          </w:p>
        </w:tc>
      </w:tr>
      <w:tr w14:paraId="5EE004B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29D5DD05">
            <w:pPr>
              <w:adjustRightInd w:val="0"/>
              <w:snapToGrid w:val="0"/>
              <w:jc w:val="center"/>
              <w:outlineLvl w:val="9"/>
              <w:rPr>
                <w:rFonts w:hint="eastAsia" w:ascii="微软雅黑" w:hAnsi="微软雅黑" w:eastAsia="微软雅黑" w:cs="微软雅黑"/>
                <w:color w:val="auto"/>
                <w:sz w:val="24"/>
                <w:szCs w:val="24"/>
                <w:highlight w:val="none"/>
              </w:rPr>
            </w:pPr>
          </w:p>
        </w:tc>
        <w:tc>
          <w:tcPr>
            <w:tcW w:w="1742" w:type="dxa"/>
            <w:vAlign w:val="center"/>
          </w:tcPr>
          <w:p w14:paraId="3E73285D">
            <w:pPr>
              <w:adjustRightInd w:val="0"/>
              <w:snapToGrid w:val="0"/>
              <w:jc w:val="left"/>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指定现场</w:t>
            </w:r>
          </w:p>
        </w:tc>
        <w:tc>
          <w:tcPr>
            <w:tcW w:w="5170" w:type="dxa"/>
            <w:vAlign w:val="center"/>
          </w:tcPr>
          <w:p w14:paraId="4FEE575A">
            <w:pPr>
              <w:outlineLvl w:val="9"/>
              <w:rPr>
                <w:rFonts w:hint="eastAsia" w:ascii="微软雅黑" w:hAnsi="微软雅黑" w:eastAsia="微软雅黑" w:cs="微软雅黑"/>
                <w:color w:val="auto"/>
                <w:sz w:val="24"/>
                <w:szCs w:val="24"/>
                <w:highlight w:val="none"/>
              </w:rPr>
            </w:pPr>
          </w:p>
        </w:tc>
      </w:tr>
      <w:tr w14:paraId="65D563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D9E7FBA">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第二节</w:t>
            </w:r>
          </w:p>
          <w:p w14:paraId="51385B95">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w:t>
            </w:r>
            <w:r>
              <w:rPr>
                <w:rFonts w:hint="eastAsia" w:ascii="微软雅黑" w:hAnsi="微软雅黑" w:eastAsia="微软雅黑" w:cs="微软雅黑"/>
                <w:color w:val="auto"/>
                <w:sz w:val="24"/>
                <w:szCs w:val="24"/>
                <w:highlight w:val="none"/>
                <w:lang w:val="en-US" w:eastAsia="zh-CN"/>
              </w:rPr>
              <w:t>7</w:t>
            </w:r>
            <w:r>
              <w:rPr>
                <w:rFonts w:hint="eastAsia" w:ascii="微软雅黑" w:hAnsi="微软雅黑" w:eastAsia="微软雅黑" w:cs="微软雅黑"/>
                <w:color w:val="auto"/>
                <w:sz w:val="24"/>
                <w:szCs w:val="24"/>
                <w:highlight w:val="none"/>
              </w:rPr>
              <w:t>.2</w:t>
            </w:r>
            <w:r>
              <w:rPr>
                <w:rFonts w:hint="eastAsia" w:ascii="微软雅黑" w:hAnsi="微软雅黑" w:eastAsia="微软雅黑" w:cs="微软雅黑"/>
                <w:color w:val="auto"/>
                <w:sz w:val="24"/>
                <w:szCs w:val="24"/>
                <w:highlight w:val="none"/>
                <w:lang w:val="en-US" w:eastAsia="zh-CN"/>
              </w:rPr>
              <w:t>款</w:t>
            </w:r>
          </w:p>
        </w:tc>
        <w:tc>
          <w:tcPr>
            <w:tcW w:w="1742" w:type="dxa"/>
            <w:vAlign w:val="center"/>
          </w:tcPr>
          <w:p w14:paraId="395712CA">
            <w:pPr>
              <w:adjustRightInd w:val="0"/>
              <w:snapToGrid w:val="0"/>
              <w:jc w:val="left"/>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运输特殊要求</w:t>
            </w:r>
          </w:p>
        </w:tc>
        <w:tc>
          <w:tcPr>
            <w:tcW w:w="5170" w:type="dxa"/>
            <w:vAlign w:val="center"/>
          </w:tcPr>
          <w:p w14:paraId="7A7459C8">
            <w:pPr>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陆运</w:t>
            </w:r>
            <w:r>
              <w:rPr>
                <w:rFonts w:hint="eastAsia" w:ascii="微软雅黑" w:hAnsi="微软雅黑" w:eastAsia="微软雅黑" w:cs="微软雅黑"/>
                <w:color w:val="auto"/>
                <w:sz w:val="24"/>
                <w:szCs w:val="24"/>
                <w:highlight w:val="none"/>
              </w:rPr>
              <w:sym w:font="Wingdings" w:char="00A8"/>
            </w:r>
            <w:r>
              <w:rPr>
                <w:rFonts w:hint="eastAsia" w:ascii="微软雅黑" w:hAnsi="微软雅黑" w:eastAsia="微软雅黑" w:cs="微软雅黑"/>
                <w:color w:val="auto"/>
                <w:sz w:val="24"/>
                <w:szCs w:val="24"/>
                <w:highlight w:val="none"/>
                <w:lang w:val="en-US" w:eastAsia="zh-CN"/>
              </w:rPr>
              <w:t xml:space="preserve">  空运</w:t>
            </w:r>
            <w:r>
              <w:rPr>
                <w:rFonts w:hint="eastAsia" w:ascii="微软雅黑" w:hAnsi="微软雅黑" w:eastAsia="微软雅黑" w:cs="微软雅黑"/>
                <w:color w:val="auto"/>
                <w:sz w:val="24"/>
                <w:szCs w:val="24"/>
                <w:highlight w:val="none"/>
              </w:rPr>
              <w:sym w:font="Wingdings" w:char="00A8"/>
            </w:r>
          </w:p>
          <w:p w14:paraId="470BDBAE">
            <w:pP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运输风险：货物风险自甲方验收合格后，转移至甲方。</w:t>
            </w:r>
          </w:p>
        </w:tc>
      </w:tr>
      <w:tr w14:paraId="6E238A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351F4998">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第二节</w:t>
            </w:r>
          </w:p>
          <w:p w14:paraId="19C543D4">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w:t>
            </w:r>
            <w:r>
              <w:rPr>
                <w:rFonts w:hint="eastAsia" w:ascii="微软雅黑" w:hAnsi="微软雅黑" w:eastAsia="微软雅黑" w:cs="微软雅黑"/>
                <w:color w:val="auto"/>
                <w:sz w:val="24"/>
                <w:szCs w:val="24"/>
                <w:highlight w:val="none"/>
                <w:lang w:val="en-US" w:eastAsia="zh-CN"/>
              </w:rPr>
              <w:t>7</w:t>
            </w:r>
            <w:r>
              <w:rPr>
                <w:rFonts w:hint="eastAsia" w:ascii="微软雅黑" w:hAnsi="微软雅黑" w:eastAsia="微软雅黑" w:cs="微软雅黑"/>
                <w:color w:val="auto"/>
                <w:sz w:val="24"/>
                <w:szCs w:val="24"/>
                <w:highlight w:val="none"/>
              </w:rPr>
              <w:t>.3</w:t>
            </w:r>
            <w:r>
              <w:rPr>
                <w:rFonts w:hint="eastAsia" w:ascii="微软雅黑" w:hAnsi="微软雅黑" w:eastAsia="微软雅黑" w:cs="微软雅黑"/>
                <w:color w:val="auto"/>
                <w:sz w:val="24"/>
                <w:szCs w:val="24"/>
                <w:highlight w:val="none"/>
                <w:lang w:val="en-US" w:eastAsia="zh-CN"/>
              </w:rPr>
              <w:t>款</w:t>
            </w:r>
          </w:p>
        </w:tc>
        <w:tc>
          <w:tcPr>
            <w:tcW w:w="1742" w:type="dxa"/>
            <w:vAlign w:val="center"/>
          </w:tcPr>
          <w:p w14:paraId="59D53257">
            <w:pPr>
              <w:adjustRightInd w:val="0"/>
              <w:snapToGrid w:val="0"/>
              <w:jc w:val="left"/>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保险要求</w:t>
            </w:r>
          </w:p>
        </w:tc>
        <w:tc>
          <w:tcPr>
            <w:tcW w:w="5170" w:type="dxa"/>
            <w:vAlign w:val="center"/>
          </w:tcPr>
          <w:p w14:paraId="3ADBC672">
            <w:pPr>
              <w:outlineLvl w:val="9"/>
              <w:rPr>
                <w:rFonts w:hint="eastAsia" w:ascii="微软雅黑" w:hAnsi="微软雅黑" w:eastAsia="微软雅黑" w:cs="微软雅黑"/>
                <w:color w:val="auto"/>
                <w:sz w:val="24"/>
                <w:szCs w:val="24"/>
                <w:highlight w:val="none"/>
              </w:rPr>
            </w:pPr>
          </w:p>
        </w:tc>
      </w:tr>
      <w:tr w14:paraId="43C8679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EAEBA67">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第二节</w:t>
            </w:r>
          </w:p>
          <w:p w14:paraId="59C5211B">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w:t>
            </w:r>
            <w:r>
              <w:rPr>
                <w:rFonts w:hint="eastAsia" w:ascii="微软雅黑" w:hAnsi="微软雅黑" w:eastAsia="微软雅黑" w:cs="微软雅黑"/>
                <w:color w:val="auto"/>
                <w:sz w:val="24"/>
                <w:szCs w:val="24"/>
                <w:highlight w:val="none"/>
                <w:lang w:val="en-US" w:eastAsia="zh-CN"/>
              </w:rPr>
              <w:t>8</w:t>
            </w:r>
            <w:r>
              <w:rPr>
                <w:rFonts w:hint="eastAsia" w:ascii="微软雅黑" w:hAnsi="微软雅黑" w:eastAsia="微软雅黑" w:cs="微软雅黑"/>
                <w:color w:val="auto"/>
                <w:sz w:val="24"/>
                <w:szCs w:val="24"/>
                <w:highlight w:val="none"/>
              </w:rPr>
              <w:t>.2（1）项</w:t>
            </w:r>
          </w:p>
        </w:tc>
        <w:tc>
          <w:tcPr>
            <w:tcW w:w="1742" w:type="dxa"/>
            <w:vAlign w:val="center"/>
          </w:tcPr>
          <w:p w14:paraId="7514C85C">
            <w:pPr>
              <w:adjustRightInd w:val="0"/>
              <w:snapToGrid w:val="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质量保证期</w:t>
            </w:r>
          </w:p>
        </w:tc>
        <w:tc>
          <w:tcPr>
            <w:tcW w:w="5170" w:type="dxa"/>
            <w:vAlign w:val="center"/>
          </w:tcPr>
          <w:p w14:paraId="3EA967CB">
            <w:pPr>
              <w:autoSpaceDE w:val="0"/>
              <w:autoSpaceDN w:val="0"/>
              <w:adjustRightInd w:val="0"/>
              <w:snapToGrid w:val="0"/>
              <w:ind w:firstLine="480" w:firstLineChars="200"/>
              <w:jc w:val="left"/>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rPr>
              <w:t>货物质保期为</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个月，自到货验收合格或最终验收合格之日起算，在此期间凡属货物质量缺陷的，乙方必须进行更换并承担一切费用（包括人工、运输等费用）。</w:t>
            </w:r>
            <w:r>
              <w:rPr>
                <w:rFonts w:hint="eastAsia" w:ascii="微软雅黑" w:hAnsi="微软雅黑" w:eastAsia="微软雅黑" w:cs="微软雅黑"/>
                <w:color w:val="auto"/>
                <w:sz w:val="24"/>
                <w:szCs w:val="24"/>
                <w:highlight w:val="none"/>
                <w:lang w:eastAsia="zh-CN"/>
              </w:rPr>
              <w:t>更换后的货物需重新进行验收且质保期应重新计算。</w:t>
            </w:r>
          </w:p>
          <w:p w14:paraId="0F3F02BE">
            <w:pPr>
              <w:pStyle w:val="3"/>
              <w:ind w:left="0" w:leftChars="0" w:firstLine="0" w:firstLineChars="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质保期内，如出现任何质量问题，或因质量问题造成任何损失，乙方均应在接到甲方通知后24小时内向甲方以书面形式做出情况说明。</w:t>
            </w:r>
          </w:p>
          <w:p w14:paraId="53FD3950">
            <w:pPr>
              <w:pStyle w:val="4"/>
              <w:ind w:left="0" w:leftChars="0" w:firstLine="0" w:firstLineChars="0"/>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kern w:val="2"/>
                <w:sz w:val="24"/>
                <w:szCs w:val="24"/>
                <w:highlight w:val="none"/>
                <w:lang w:val="en-US" w:eastAsia="zh-CN" w:bidi="ar-SA"/>
              </w:rPr>
              <w:t>质保期满，乙方保证为设备终身供应零备件和正常的售后服务，不计人工费用。质保期满，如需更换配件和材料，费用另计，但不能超过甲方所在地市场成本价格。</w:t>
            </w:r>
          </w:p>
        </w:tc>
      </w:tr>
      <w:tr w14:paraId="52BA99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FC639C4">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第二节</w:t>
            </w:r>
          </w:p>
          <w:p w14:paraId="76791ABE">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w:t>
            </w:r>
            <w:r>
              <w:rPr>
                <w:rFonts w:hint="eastAsia" w:ascii="微软雅黑" w:hAnsi="微软雅黑" w:eastAsia="微软雅黑" w:cs="微软雅黑"/>
                <w:color w:val="auto"/>
                <w:sz w:val="24"/>
                <w:szCs w:val="24"/>
                <w:highlight w:val="none"/>
                <w:lang w:val="en-US" w:eastAsia="zh-CN"/>
              </w:rPr>
              <w:t>8</w:t>
            </w:r>
            <w:r>
              <w:rPr>
                <w:rFonts w:hint="eastAsia" w:ascii="微软雅黑" w:hAnsi="微软雅黑" w:eastAsia="微软雅黑" w:cs="微软雅黑"/>
                <w:color w:val="auto"/>
                <w:sz w:val="24"/>
                <w:szCs w:val="24"/>
                <w:highlight w:val="none"/>
              </w:rPr>
              <w:t>.2（3）项</w:t>
            </w:r>
          </w:p>
        </w:tc>
        <w:tc>
          <w:tcPr>
            <w:tcW w:w="1742" w:type="dxa"/>
            <w:vAlign w:val="center"/>
          </w:tcPr>
          <w:p w14:paraId="405AE6FA">
            <w:pPr>
              <w:adjustRightInd w:val="0"/>
              <w:snapToGrid w:val="0"/>
              <w:jc w:val="left"/>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货物质量缺陷</w:t>
            </w:r>
          </w:p>
          <w:p w14:paraId="415CCEC6">
            <w:pPr>
              <w:adjustRightInd w:val="0"/>
              <w:snapToGrid w:val="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响应时间</w:t>
            </w:r>
          </w:p>
        </w:tc>
        <w:tc>
          <w:tcPr>
            <w:tcW w:w="5170" w:type="dxa"/>
            <w:vAlign w:val="center"/>
          </w:tcPr>
          <w:p w14:paraId="50BFB561">
            <w:pPr>
              <w:adjustRightInd w:val="0"/>
              <w:snapToGrid w:val="0"/>
              <w:jc w:val="left"/>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rPr>
              <w:t>乙方承诺所售商品，自甲方收到商品之日起30日内可以无理由退、换货</w:t>
            </w:r>
            <w:r>
              <w:rPr>
                <w:rFonts w:hint="eastAsia" w:ascii="微软雅黑" w:hAnsi="微软雅黑" w:eastAsia="微软雅黑" w:cs="微软雅黑"/>
                <w:color w:val="auto"/>
                <w:sz w:val="24"/>
                <w:szCs w:val="24"/>
                <w:highlight w:val="none"/>
                <w:lang w:eastAsia="zh-CN"/>
              </w:rPr>
              <w:t>。</w:t>
            </w:r>
          </w:p>
        </w:tc>
      </w:tr>
      <w:tr w14:paraId="464AF0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2088C8A">
            <w:pPr>
              <w:snapToGrid w:val="0"/>
              <w:jc w:val="center"/>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第二节</w:t>
            </w:r>
          </w:p>
          <w:p w14:paraId="3694D386">
            <w:pPr>
              <w:pStyle w:val="117"/>
              <w:ind w:firstLine="0" w:firstLineChars="0"/>
              <w:jc w:val="center"/>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第11.1款</w:t>
            </w:r>
          </w:p>
        </w:tc>
        <w:tc>
          <w:tcPr>
            <w:tcW w:w="1742" w:type="dxa"/>
            <w:vAlign w:val="center"/>
          </w:tcPr>
          <w:p w14:paraId="6FF88691">
            <w:pPr>
              <w:adjustRightInd w:val="0"/>
              <w:snapToGrid w:val="0"/>
              <w:jc w:val="both"/>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其他应当保密的信息</w:t>
            </w:r>
          </w:p>
        </w:tc>
        <w:tc>
          <w:tcPr>
            <w:tcW w:w="5170" w:type="dxa"/>
            <w:vAlign w:val="center"/>
          </w:tcPr>
          <w:p w14:paraId="0C3588A2">
            <w:pPr>
              <w:adjustRightInd w:val="0"/>
              <w:snapToGrid w:val="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合同双方对本合同履行过程中所接触或获知的对方的任何商业信息均有保密义务，除非有明显的证据证明该等信息属于公知信息或者事先得到对方的书面授权。该保密义务在本合同终止后仍然继续有效。任何一方因违反保密义务而给对方造成损失的，均应当赔偿对方的相应损失。</w:t>
            </w:r>
          </w:p>
        </w:tc>
      </w:tr>
      <w:tr w14:paraId="14CDAE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BB7FD76">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第二节</w:t>
            </w:r>
          </w:p>
          <w:p w14:paraId="7DBE890A">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第1</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rPr>
              <w:t>.2款</w:t>
            </w:r>
          </w:p>
        </w:tc>
        <w:tc>
          <w:tcPr>
            <w:tcW w:w="1742" w:type="dxa"/>
            <w:vAlign w:val="center"/>
          </w:tcPr>
          <w:p w14:paraId="66B426B0">
            <w:pPr>
              <w:adjustRightInd w:val="0"/>
              <w:snapToGrid w:val="0"/>
              <w:jc w:val="left"/>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rPr>
              <w:t>合同价款支付</w:t>
            </w:r>
            <w:r>
              <w:rPr>
                <w:rFonts w:hint="eastAsia" w:ascii="微软雅黑" w:hAnsi="微软雅黑" w:eastAsia="微软雅黑" w:cs="微软雅黑"/>
                <w:color w:val="auto"/>
                <w:sz w:val="24"/>
                <w:szCs w:val="24"/>
                <w:highlight w:val="none"/>
                <w:lang w:eastAsia="zh-CN"/>
              </w:rPr>
              <w:t>时间</w:t>
            </w:r>
          </w:p>
        </w:tc>
        <w:tc>
          <w:tcPr>
            <w:tcW w:w="5170" w:type="dxa"/>
            <w:vAlign w:val="center"/>
          </w:tcPr>
          <w:p w14:paraId="37BAE6BF">
            <w:pPr>
              <w:adjustRightInd w:val="0"/>
              <w:snapToGrid w:val="0"/>
              <w:jc w:val="left"/>
              <w:outlineLvl w:val="9"/>
              <w:rPr>
                <w:rFonts w:hint="eastAsia" w:ascii="微软雅黑" w:hAnsi="微软雅黑" w:eastAsia="微软雅黑" w:cs="微软雅黑"/>
                <w:color w:val="auto"/>
                <w:sz w:val="24"/>
                <w:szCs w:val="24"/>
                <w:highlight w:val="none"/>
              </w:rPr>
            </w:pPr>
          </w:p>
        </w:tc>
      </w:tr>
      <w:tr w14:paraId="286720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6FE4ADC">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第二节</w:t>
            </w:r>
          </w:p>
          <w:p w14:paraId="1BDE19A7">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w:t>
            </w:r>
            <w:r>
              <w:rPr>
                <w:rFonts w:hint="eastAsia" w:ascii="微软雅黑" w:hAnsi="微软雅黑" w:eastAsia="微软雅黑" w:cs="微软雅黑"/>
                <w:color w:val="auto"/>
                <w:sz w:val="24"/>
                <w:szCs w:val="24"/>
                <w:highlight w:val="none"/>
                <w:lang w:val="en-US" w:eastAsia="zh-CN"/>
              </w:rPr>
              <w:t>13.2</w:t>
            </w:r>
            <w:r>
              <w:rPr>
                <w:rFonts w:hint="eastAsia" w:ascii="微软雅黑" w:hAnsi="微软雅黑" w:eastAsia="微软雅黑" w:cs="微软雅黑"/>
                <w:color w:val="auto"/>
                <w:sz w:val="24"/>
                <w:szCs w:val="24"/>
                <w:highlight w:val="none"/>
              </w:rPr>
              <w:t>款</w:t>
            </w:r>
          </w:p>
        </w:tc>
        <w:tc>
          <w:tcPr>
            <w:tcW w:w="1742" w:type="dxa"/>
            <w:vAlign w:val="center"/>
          </w:tcPr>
          <w:p w14:paraId="6F4C6C6B">
            <w:pPr>
              <w:adjustRightInd w:val="0"/>
              <w:snapToGrid w:val="0"/>
              <w:jc w:val="left"/>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履约保证金不予退还的情形</w:t>
            </w:r>
          </w:p>
        </w:tc>
        <w:tc>
          <w:tcPr>
            <w:tcW w:w="5170" w:type="dxa"/>
            <w:vAlign w:val="center"/>
          </w:tcPr>
          <w:p w14:paraId="720A7B89">
            <w:pPr>
              <w:adjustRightInd w:val="0"/>
              <w:snapToGrid w:val="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乙方没有履行本合同项下约定的责任和义务所需承担的违约金、赔偿金及其他费用，甲方有权直接从履约保证金中扣除，履约保证金不足以扣除的，甲方有权从任何一笔货款中扣除。</w:t>
            </w:r>
          </w:p>
        </w:tc>
      </w:tr>
      <w:tr w14:paraId="4ACB9F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452E135">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第二节</w:t>
            </w:r>
          </w:p>
          <w:p w14:paraId="1C63ECFA">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w:t>
            </w:r>
            <w:r>
              <w:rPr>
                <w:rFonts w:hint="eastAsia" w:ascii="微软雅黑" w:hAnsi="微软雅黑" w:eastAsia="微软雅黑" w:cs="微软雅黑"/>
                <w:color w:val="auto"/>
                <w:sz w:val="24"/>
                <w:szCs w:val="24"/>
                <w:highlight w:val="none"/>
                <w:lang w:val="en-US" w:eastAsia="zh-CN"/>
              </w:rPr>
              <w:t>13.3</w:t>
            </w:r>
            <w:r>
              <w:rPr>
                <w:rFonts w:hint="eastAsia" w:ascii="微软雅黑" w:hAnsi="微软雅黑" w:eastAsia="微软雅黑" w:cs="微软雅黑"/>
                <w:color w:val="auto"/>
                <w:sz w:val="24"/>
                <w:szCs w:val="24"/>
                <w:highlight w:val="none"/>
              </w:rPr>
              <w:t>款</w:t>
            </w:r>
          </w:p>
        </w:tc>
        <w:tc>
          <w:tcPr>
            <w:tcW w:w="1742" w:type="dxa"/>
            <w:vAlign w:val="center"/>
          </w:tcPr>
          <w:p w14:paraId="56DFA24A">
            <w:pPr>
              <w:adjustRightInd w:val="0"/>
              <w:snapToGrid w:val="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履约保证金退还时间及</w:t>
            </w:r>
            <w:r>
              <w:rPr>
                <w:rFonts w:hint="eastAsia" w:ascii="微软雅黑" w:hAnsi="微软雅黑" w:eastAsia="微软雅黑" w:cs="微软雅黑"/>
                <w:color w:val="auto"/>
                <w:sz w:val="24"/>
                <w:szCs w:val="24"/>
                <w:highlight w:val="none"/>
                <w:lang w:eastAsia="zh-CN"/>
              </w:rPr>
              <w:t>逾期退还的</w:t>
            </w:r>
            <w:r>
              <w:rPr>
                <w:rFonts w:hint="eastAsia" w:ascii="微软雅黑" w:hAnsi="微软雅黑" w:eastAsia="微软雅黑" w:cs="微软雅黑"/>
                <w:color w:val="auto"/>
                <w:sz w:val="24"/>
                <w:szCs w:val="24"/>
                <w:highlight w:val="none"/>
              </w:rPr>
              <w:t>违约金</w:t>
            </w:r>
          </w:p>
        </w:tc>
        <w:tc>
          <w:tcPr>
            <w:tcW w:w="5170" w:type="dxa"/>
            <w:vAlign w:val="center"/>
          </w:tcPr>
          <w:p w14:paraId="642CE5A3">
            <w:pPr>
              <w:adjustRightInd w:val="0"/>
              <w:snapToGrid w:val="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剩余履约保证金（如有）自合同约定的质保期届满后由甲方无息返还给乙方。</w:t>
            </w:r>
          </w:p>
        </w:tc>
      </w:tr>
      <w:tr w14:paraId="557D88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877" w:hRule="atLeast"/>
        </w:trPr>
        <w:tc>
          <w:tcPr>
            <w:tcW w:w="1607" w:type="dxa"/>
            <w:vAlign w:val="center"/>
          </w:tcPr>
          <w:p w14:paraId="21BCD5C6">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第二节</w:t>
            </w:r>
          </w:p>
          <w:p w14:paraId="48F189E3">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第1</w:t>
            </w:r>
            <w:r>
              <w:rPr>
                <w:rFonts w:hint="eastAsia" w:ascii="微软雅黑" w:hAnsi="微软雅黑" w:eastAsia="微软雅黑" w:cs="微软雅黑"/>
                <w:color w:val="auto"/>
                <w:sz w:val="24"/>
                <w:szCs w:val="24"/>
                <w:highlight w:val="none"/>
                <w:lang w:val="en-US" w:eastAsia="zh-CN"/>
              </w:rPr>
              <w:t>4</w:t>
            </w: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）项</w:t>
            </w:r>
          </w:p>
        </w:tc>
        <w:tc>
          <w:tcPr>
            <w:tcW w:w="1742" w:type="dxa"/>
            <w:vAlign w:val="center"/>
          </w:tcPr>
          <w:p w14:paraId="0087480A">
            <w:pPr>
              <w:adjustRightInd w:val="0"/>
              <w:snapToGrid w:val="0"/>
              <w:jc w:val="left"/>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运行监督、维修期限</w:t>
            </w:r>
          </w:p>
        </w:tc>
        <w:tc>
          <w:tcPr>
            <w:tcW w:w="5170" w:type="dxa"/>
            <w:vAlign w:val="center"/>
          </w:tcPr>
          <w:p w14:paraId="553F52F8">
            <w:pPr>
              <w:adjustRightInd w:val="0"/>
              <w:snapToGrid w:val="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1.</w:t>
            </w:r>
            <w:r>
              <w:rPr>
                <w:rFonts w:hint="eastAsia" w:ascii="微软雅黑" w:hAnsi="微软雅黑" w:eastAsia="微软雅黑" w:cs="微软雅黑"/>
                <w:color w:val="auto"/>
                <w:sz w:val="24"/>
                <w:szCs w:val="24"/>
                <w:highlight w:val="none"/>
              </w:rPr>
              <w:t>乙方每次为进行维护工作后，需对维护情况及所发现的问题出具书面报告，该报告需甲乙双方签字，作为维护工作的凭据。</w:t>
            </w:r>
          </w:p>
          <w:p w14:paraId="59B55ACD">
            <w:pPr>
              <w:adjustRightInd w:val="0"/>
              <w:snapToGrid w:val="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rPr>
              <w:t>质保期内，如设备因非人为因素出现故障而造成短期停用时（“短期”指2日以内，不满1日的按1日计算），则质保期和免费维护期相应顺延，如停用时间累计超过60天则质保期和免费维护期重新计算。</w:t>
            </w:r>
          </w:p>
          <w:p w14:paraId="69D435AC">
            <w:pPr>
              <w:adjustRightInd w:val="0"/>
              <w:snapToGrid w:val="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质保期内所有因货物质量问题而产生的费用（包括但不限于维护过程中更换配件的费用）均由乙方负责</w:t>
            </w:r>
          </w:p>
          <w:p w14:paraId="7F1D3F68">
            <w:pPr>
              <w:adjustRightInd w:val="0"/>
              <w:snapToGrid w:val="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4</w:t>
            </w:r>
            <w:r>
              <w:rPr>
                <w:rFonts w:hint="eastAsia" w:ascii="微软雅黑" w:hAnsi="微软雅黑" w:eastAsia="微软雅黑" w:cs="微软雅黑"/>
                <w:color w:val="auto"/>
                <w:sz w:val="24"/>
                <w:szCs w:val="24"/>
                <w:highlight w:val="none"/>
              </w:rPr>
              <w:t>.质保期内，乙方为甲方提供专业的售后服务。质保期内设备发生故障，乙方在接到通知后2小时内维修响应，自接到通知后6小时内到位检修，并在到位检修后24小时内处理完毕，否则乙方应于48小时内为甲方提供同等规格的备用设备。</w:t>
            </w:r>
          </w:p>
        </w:tc>
      </w:tr>
      <w:tr w14:paraId="357246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81FF688">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第二节</w:t>
            </w:r>
          </w:p>
          <w:p w14:paraId="4C57244A">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第1</w:t>
            </w:r>
            <w:r>
              <w:rPr>
                <w:rFonts w:hint="eastAsia" w:ascii="微软雅黑" w:hAnsi="微软雅黑" w:eastAsia="微软雅黑" w:cs="微软雅黑"/>
                <w:color w:val="auto"/>
                <w:sz w:val="24"/>
                <w:szCs w:val="24"/>
                <w:highlight w:val="none"/>
                <w:lang w:val="en-US" w:eastAsia="zh-CN"/>
              </w:rPr>
              <w:t>4</w:t>
            </w: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val="en-US" w:eastAsia="zh-CN"/>
              </w:rPr>
              <w:t>5</w:t>
            </w:r>
            <w:r>
              <w:rPr>
                <w:rFonts w:hint="eastAsia" w:ascii="微软雅黑" w:hAnsi="微软雅黑" w:eastAsia="微软雅黑" w:cs="微软雅黑"/>
                <w:color w:val="auto"/>
                <w:sz w:val="24"/>
                <w:szCs w:val="24"/>
                <w:highlight w:val="none"/>
              </w:rPr>
              <w:t>）项</w:t>
            </w:r>
          </w:p>
        </w:tc>
        <w:tc>
          <w:tcPr>
            <w:tcW w:w="1742" w:type="dxa"/>
            <w:vAlign w:val="center"/>
          </w:tcPr>
          <w:p w14:paraId="73EF211D">
            <w:pPr>
              <w:adjustRightInd w:val="0"/>
              <w:snapToGrid w:val="0"/>
              <w:jc w:val="left"/>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货物回收的约定</w:t>
            </w:r>
          </w:p>
        </w:tc>
        <w:tc>
          <w:tcPr>
            <w:tcW w:w="5170" w:type="dxa"/>
            <w:vAlign w:val="center"/>
          </w:tcPr>
          <w:p w14:paraId="02357F6B">
            <w:pPr>
              <w:adjustRightInd w:val="0"/>
              <w:snapToGrid w:val="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到货验收：甲方应在收到货物后5个工作日内进行到货验收。甲方仅对产品的数量和外观进行检验，并不因此减轻或免除乙方所应承担的质量保证责任。若乙方提供的货物不符合包装或质量标准（或双方约定），甲方应在验收后3日内通知乙方，并有权要求退货、换货或折价处理等，乙方应积极配合。因乙方所交付货物不符合本合同要求的，乙方应在接到甲方通知后3日内运回，否则视为乙方对该批货物的遗弃，甲方有权对此批货物自行处理，且不因此承担任何责任。</w:t>
            </w:r>
          </w:p>
        </w:tc>
      </w:tr>
      <w:tr w14:paraId="756FB42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B6514B9">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第二节</w:t>
            </w:r>
          </w:p>
          <w:p w14:paraId="61DA5C21">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第1</w:t>
            </w:r>
            <w:r>
              <w:rPr>
                <w:rFonts w:hint="eastAsia" w:ascii="微软雅黑" w:hAnsi="微软雅黑" w:eastAsia="微软雅黑" w:cs="微软雅黑"/>
                <w:color w:val="auto"/>
                <w:sz w:val="24"/>
                <w:szCs w:val="24"/>
                <w:highlight w:val="none"/>
                <w:lang w:val="en-US" w:eastAsia="zh-CN"/>
              </w:rPr>
              <w:t>4</w:t>
            </w: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sz w:val="24"/>
                <w:szCs w:val="24"/>
                <w:highlight w:val="none"/>
                <w:lang w:val="en-US" w:eastAsia="zh-CN"/>
              </w:rPr>
              <w:t>6</w:t>
            </w:r>
            <w:r>
              <w:rPr>
                <w:rFonts w:hint="eastAsia" w:ascii="微软雅黑" w:hAnsi="微软雅黑" w:eastAsia="微软雅黑" w:cs="微软雅黑"/>
                <w:color w:val="auto"/>
                <w:sz w:val="24"/>
                <w:szCs w:val="24"/>
                <w:highlight w:val="none"/>
              </w:rPr>
              <w:t>）项</w:t>
            </w:r>
          </w:p>
        </w:tc>
        <w:tc>
          <w:tcPr>
            <w:tcW w:w="1742" w:type="dxa"/>
            <w:vAlign w:val="center"/>
          </w:tcPr>
          <w:p w14:paraId="35D34028">
            <w:pPr>
              <w:adjustRightInd w:val="0"/>
              <w:snapToGrid w:val="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乙方提供的其他服务</w:t>
            </w:r>
          </w:p>
        </w:tc>
        <w:tc>
          <w:tcPr>
            <w:tcW w:w="5170" w:type="dxa"/>
            <w:vAlign w:val="center"/>
          </w:tcPr>
          <w:p w14:paraId="2470B7C0">
            <w:pPr>
              <w:adjustRightInd w:val="0"/>
              <w:snapToGrid w:val="0"/>
              <w:jc w:val="left"/>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rPr>
              <w:t>合同总价包含商品到达甲方并能正常使用所需的一切费用，包括但不限于商品购置费、包装费、运输费、装卸费、保险费</w:t>
            </w:r>
            <w:r>
              <w:rPr>
                <w:rFonts w:hint="eastAsia" w:ascii="微软雅黑" w:hAnsi="微软雅黑" w:eastAsia="微软雅黑" w:cs="微软雅黑"/>
                <w:color w:val="auto"/>
                <w:sz w:val="24"/>
                <w:szCs w:val="24"/>
                <w:highlight w:val="none"/>
                <w:lang w:eastAsia="zh-CN"/>
              </w:rPr>
              <w:t>、税费等。</w:t>
            </w:r>
          </w:p>
        </w:tc>
      </w:tr>
      <w:tr w14:paraId="73A9C4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AA4C67A">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第二节</w:t>
            </w:r>
          </w:p>
          <w:p w14:paraId="1A0529FA">
            <w:pPr>
              <w:adjustRightInd w:val="0"/>
              <w:snapToGrid w:val="0"/>
              <w:jc w:val="center"/>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rPr>
              <w:t>第1</w:t>
            </w:r>
            <w:r>
              <w:rPr>
                <w:rFonts w:hint="eastAsia" w:ascii="微软雅黑" w:hAnsi="微软雅黑" w:eastAsia="微软雅黑" w:cs="微软雅黑"/>
                <w:color w:val="auto"/>
                <w:sz w:val="24"/>
                <w:szCs w:val="24"/>
                <w:highlight w:val="none"/>
                <w:lang w:val="en-US" w:eastAsia="zh-CN"/>
              </w:rPr>
              <w:t>5</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1款</w:t>
            </w:r>
          </w:p>
        </w:tc>
        <w:tc>
          <w:tcPr>
            <w:tcW w:w="1742" w:type="dxa"/>
            <w:vAlign w:val="center"/>
          </w:tcPr>
          <w:p w14:paraId="35E56D3A">
            <w:pPr>
              <w:adjustRightInd w:val="0"/>
              <w:snapToGrid w:val="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修理、重作、更换相关具体规定</w:t>
            </w:r>
          </w:p>
        </w:tc>
        <w:tc>
          <w:tcPr>
            <w:tcW w:w="5170" w:type="dxa"/>
            <w:vAlign w:val="center"/>
          </w:tcPr>
          <w:p w14:paraId="1B05E3FE">
            <w:pPr>
              <w:adjustRightInd w:val="0"/>
              <w:snapToGrid w:val="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若乙方提供的货物不符合包装或质量标准（或双方约定），甲方应在验收后3日内通知乙方，并有权要求退货、换货或折价处理等，乙方应积极配合。因乙方所交付货物不符合本合同要求的，乙方应在接到甲方通知后3日内运回，否则视为乙方对该批货物的遗弃，甲方有权对此批货物自行处理，且不因此承担任何责任。</w:t>
            </w:r>
          </w:p>
        </w:tc>
      </w:tr>
      <w:tr w14:paraId="4FBB04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5448E70">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第二节</w:t>
            </w:r>
          </w:p>
          <w:p w14:paraId="0492EF01">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第1</w:t>
            </w:r>
            <w:r>
              <w:rPr>
                <w:rFonts w:hint="eastAsia" w:ascii="微软雅黑" w:hAnsi="微软雅黑" w:eastAsia="微软雅黑" w:cs="微软雅黑"/>
                <w:color w:val="auto"/>
                <w:sz w:val="24"/>
                <w:szCs w:val="24"/>
                <w:highlight w:val="none"/>
                <w:lang w:val="en-US" w:eastAsia="zh-CN"/>
              </w:rPr>
              <w:t>5</w:t>
            </w:r>
            <w:r>
              <w:rPr>
                <w:rFonts w:hint="eastAsia" w:ascii="微软雅黑" w:hAnsi="微软雅黑" w:eastAsia="微软雅黑" w:cs="微软雅黑"/>
                <w:color w:val="auto"/>
                <w:sz w:val="24"/>
                <w:szCs w:val="24"/>
                <w:highlight w:val="none"/>
              </w:rPr>
              <w:t>.2（2）项</w:t>
            </w:r>
          </w:p>
        </w:tc>
        <w:tc>
          <w:tcPr>
            <w:tcW w:w="1742" w:type="dxa"/>
            <w:vAlign w:val="center"/>
          </w:tcPr>
          <w:p w14:paraId="2C7E9FA4">
            <w:pPr>
              <w:adjustRightInd w:val="0"/>
              <w:snapToGrid w:val="0"/>
              <w:jc w:val="left"/>
              <w:outlineLvl w:val="9"/>
              <w:rPr>
                <w:rFonts w:hint="eastAsia" w:ascii="微软雅黑" w:hAnsi="微软雅黑" w:eastAsia="微软雅黑" w:cs="微软雅黑"/>
                <w:color w:val="auto"/>
                <w:sz w:val="24"/>
                <w:szCs w:val="24"/>
                <w:highlight w:val="none"/>
                <w:u w:val="none"/>
              </w:rPr>
            </w:pPr>
            <w:r>
              <w:rPr>
                <w:rFonts w:hint="eastAsia" w:ascii="微软雅黑" w:hAnsi="微软雅黑" w:eastAsia="微软雅黑" w:cs="微软雅黑"/>
                <w:color w:val="auto"/>
                <w:sz w:val="24"/>
                <w:szCs w:val="24"/>
                <w:highlight w:val="none"/>
                <w:lang w:eastAsia="zh-CN"/>
              </w:rPr>
              <w:t>迟延交货赔偿费</w:t>
            </w:r>
          </w:p>
        </w:tc>
        <w:tc>
          <w:tcPr>
            <w:tcW w:w="5170" w:type="dxa"/>
            <w:vAlign w:val="center"/>
          </w:tcPr>
          <w:p w14:paraId="0BA6BF18">
            <w:pPr>
              <w:adjustRightInd w:val="0"/>
              <w:snapToGrid w:val="0"/>
              <w:jc w:val="left"/>
              <w:outlineLvl w:val="9"/>
              <w:rPr>
                <w:rFonts w:hint="eastAsia" w:ascii="微软雅黑" w:hAnsi="微软雅黑" w:eastAsia="微软雅黑" w:cs="微软雅黑"/>
                <w:color w:val="auto"/>
                <w:sz w:val="24"/>
                <w:szCs w:val="24"/>
                <w:highlight w:val="none"/>
                <w:u w:val="none"/>
                <w:lang w:eastAsia="zh-CN"/>
              </w:rPr>
            </w:pPr>
            <w:r>
              <w:rPr>
                <w:rFonts w:hint="eastAsia" w:ascii="微软雅黑" w:hAnsi="微软雅黑" w:eastAsia="微软雅黑" w:cs="微软雅黑"/>
                <w:color w:val="auto"/>
                <w:sz w:val="24"/>
                <w:szCs w:val="24"/>
                <w:highlight w:val="none"/>
                <w:u w:val="none"/>
              </w:rPr>
              <w:t>乙方未按期履行基于本合同项下义务的，每逾期</w:t>
            </w:r>
            <w:r>
              <w:rPr>
                <w:rFonts w:hint="eastAsia" w:ascii="微软雅黑" w:hAnsi="微软雅黑" w:eastAsia="微软雅黑" w:cs="微软雅黑"/>
                <w:color w:val="auto"/>
                <w:sz w:val="24"/>
                <w:szCs w:val="24"/>
                <w:highlight w:val="none"/>
                <w:u w:val="none"/>
                <w:lang w:val="en-US" w:eastAsia="zh-CN"/>
              </w:rPr>
              <w:t>一</w:t>
            </w:r>
            <w:r>
              <w:rPr>
                <w:rFonts w:hint="eastAsia" w:ascii="微软雅黑" w:hAnsi="微软雅黑" w:eastAsia="微软雅黑" w:cs="微软雅黑"/>
                <w:color w:val="auto"/>
                <w:sz w:val="24"/>
                <w:szCs w:val="24"/>
                <w:highlight w:val="none"/>
                <w:u w:val="none"/>
              </w:rPr>
              <w:t>日，</w:t>
            </w:r>
            <w:r>
              <w:rPr>
                <w:rFonts w:hint="eastAsia" w:ascii="微软雅黑" w:hAnsi="微软雅黑" w:eastAsia="微软雅黑" w:cs="微软雅黑"/>
                <w:color w:val="auto"/>
                <w:sz w:val="24"/>
                <w:szCs w:val="24"/>
                <w:highlight w:val="none"/>
                <w:u w:val="none"/>
                <w:lang w:val="en-US" w:eastAsia="zh-CN"/>
              </w:rPr>
              <w:t>乙方应</w:t>
            </w:r>
            <w:r>
              <w:rPr>
                <w:rFonts w:hint="eastAsia" w:ascii="微软雅黑" w:hAnsi="微软雅黑" w:eastAsia="微软雅黑" w:cs="微软雅黑"/>
                <w:color w:val="auto"/>
                <w:sz w:val="24"/>
                <w:szCs w:val="24"/>
                <w:highlight w:val="none"/>
                <w:u w:val="none"/>
              </w:rPr>
              <w:t>向甲方偿付合同总价</w:t>
            </w:r>
            <w:r>
              <w:rPr>
                <w:rFonts w:hint="eastAsia" w:ascii="微软雅黑" w:hAnsi="微软雅黑" w:eastAsia="微软雅黑" w:cs="微软雅黑"/>
                <w:color w:val="auto"/>
                <w:sz w:val="24"/>
                <w:szCs w:val="24"/>
                <w:highlight w:val="none"/>
                <w:u w:val="none"/>
                <w:lang w:val="en-US" w:eastAsia="zh-CN"/>
              </w:rPr>
              <w:t>0.</w:t>
            </w:r>
            <w:r>
              <w:rPr>
                <w:rFonts w:hint="eastAsia" w:ascii="微软雅黑" w:hAnsi="微软雅黑" w:eastAsia="微软雅黑" w:cs="微软雅黑"/>
                <w:color w:val="auto"/>
                <w:sz w:val="24"/>
                <w:szCs w:val="24"/>
                <w:highlight w:val="none"/>
                <w:u w:val="none"/>
              </w:rPr>
              <w:t>3‰的违约金；乙方逾期7日以上，甲方有权解除本合同，乙方应向甲方支付合同总价30%的违约金</w:t>
            </w:r>
            <w:r>
              <w:rPr>
                <w:rFonts w:hint="eastAsia" w:ascii="微软雅黑" w:hAnsi="微软雅黑" w:eastAsia="微软雅黑" w:cs="微软雅黑"/>
                <w:color w:val="auto"/>
                <w:sz w:val="24"/>
                <w:szCs w:val="24"/>
                <w:highlight w:val="none"/>
                <w:u w:val="none"/>
                <w:lang w:eastAsia="zh-CN"/>
              </w:rPr>
              <w:t>。</w:t>
            </w:r>
          </w:p>
        </w:tc>
      </w:tr>
      <w:tr w14:paraId="522E58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54649C8">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第二节</w:t>
            </w:r>
          </w:p>
          <w:p w14:paraId="54D9BB41">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第1</w:t>
            </w:r>
            <w:r>
              <w:rPr>
                <w:rFonts w:hint="eastAsia" w:ascii="微软雅黑" w:hAnsi="微软雅黑" w:eastAsia="微软雅黑" w:cs="微软雅黑"/>
                <w:color w:val="auto"/>
                <w:sz w:val="24"/>
                <w:szCs w:val="24"/>
                <w:highlight w:val="none"/>
                <w:lang w:val="en-US" w:eastAsia="zh-CN"/>
              </w:rPr>
              <w:t>5</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3款</w:t>
            </w:r>
          </w:p>
        </w:tc>
        <w:tc>
          <w:tcPr>
            <w:tcW w:w="1742" w:type="dxa"/>
            <w:vAlign w:val="center"/>
          </w:tcPr>
          <w:p w14:paraId="4D26DCBB">
            <w:pPr>
              <w:adjustRightInd w:val="0"/>
              <w:snapToGrid w:val="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逾期付款利息</w:t>
            </w:r>
          </w:p>
        </w:tc>
        <w:tc>
          <w:tcPr>
            <w:tcW w:w="5170" w:type="dxa"/>
            <w:vAlign w:val="center"/>
          </w:tcPr>
          <w:p w14:paraId="799D9E27">
            <w:pPr>
              <w:adjustRightInd w:val="0"/>
              <w:snapToGrid w:val="0"/>
              <w:jc w:val="left"/>
              <w:outlineLvl w:val="9"/>
              <w:rPr>
                <w:rFonts w:hint="eastAsia" w:ascii="微软雅黑" w:hAnsi="微软雅黑" w:eastAsia="微软雅黑" w:cs="微软雅黑"/>
                <w:color w:val="auto"/>
                <w:sz w:val="24"/>
                <w:szCs w:val="24"/>
                <w:highlight w:val="none"/>
                <w:u w:val="single"/>
                <w:lang w:eastAsia="zh-CN"/>
              </w:rPr>
            </w:pPr>
            <w:r>
              <w:rPr>
                <w:rFonts w:hint="eastAsia" w:ascii="微软雅黑" w:hAnsi="微软雅黑" w:eastAsia="微软雅黑" w:cs="微软雅黑"/>
                <w:color w:val="auto"/>
                <w:sz w:val="24"/>
                <w:szCs w:val="24"/>
                <w:highlight w:val="none"/>
                <w:u w:val="none"/>
              </w:rPr>
              <w:t>除本合同约定情形外，甲方逾期支付（申请支付）货款的，每逾期一日</w:t>
            </w:r>
            <w:r>
              <w:rPr>
                <w:rFonts w:hint="eastAsia" w:ascii="微软雅黑" w:hAnsi="微软雅黑" w:eastAsia="微软雅黑" w:cs="微软雅黑"/>
                <w:color w:val="auto"/>
                <w:sz w:val="24"/>
                <w:szCs w:val="24"/>
                <w:highlight w:val="none"/>
                <w:u w:val="none"/>
                <w:lang w:eastAsia="zh-CN"/>
              </w:rPr>
              <w:t>，甲方应向乙方日偿付合同总价0.3‰的违约金；甲方无正当理由拒付货款的，乙方有权解除合同，且甲方应向乙方偿付合同总价1%的违约金。</w:t>
            </w:r>
          </w:p>
        </w:tc>
      </w:tr>
      <w:tr w14:paraId="09D7B3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30CB4DBC">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第二节</w:t>
            </w:r>
          </w:p>
          <w:p w14:paraId="49C6E8A7">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第1</w:t>
            </w:r>
            <w:r>
              <w:rPr>
                <w:rFonts w:hint="eastAsia" w:ascii="微软雅黑" w:hAnsi="微软雅黑" w:eastAsia="微软雅黑" w:cs="微软雅黑"/>
                <w:color w:val="auto"/>
                <w:sz w:val="24"/>
                <w:szCs w:val="24"/>
                <w:highlight w:val="none"/>
                <w:lang w:val="en-US" w:eastAsia="zh-CN"/>
              </w:rPr>
              <w:t>5</w:t>
            </w:r>
            <w:r>
              <w:rPr>
                <w:rFonts w:hint="eastAsia" w:ascii="微软雅黑" w:hAnsi="微软雅黑" w:eastAsia="微软雅黑" w:cs="微软雅黑"/>
                <w:color w:val="auto"/>
                <w:sz w:val="24"/>
                <w:szCs w:val="24"/>
                <w:highlight w:val="none"/>
              </w:rPr>
              <w:t>.4</w:t>
            </w:r>
            <w:r>
              <w:rPr>
                <w:rFonts w:hint="eastAsia" w:ascii="微软雅黑" w:hAnsi="微软雅黑" w:eastAsia="微软雅黑" w:cs="微软雅黑"/>
                <w:color w:val="auto"/>
                <w:sz w:val="24"/>
                <w:szCs w:val="24"/>
                <w:highlight w:val="none"/>
                <w:lang w:val="en-US" w:eastAsia="zh-CN"/>
              </w:rPr>
              <w:t>款</w:t>
            </w:r>
          </w:p>
        </w:tc>
        <w:tc>
          <w:tcPr>
            <w:tcW w:w="1742" w:type="dxa"/>
            <w:tcBorders>
              <w:left w:val="single" w:color="auto" w:sz="2" w:space="0"/>
              <w:bottom w:val="single" w:color="auto" w:sz="2" w:space="0"/>
              <w:right w:val="single" w:color="auto" w:sz="2" w:space="0"/>
            </w:tcBorders>
            <w:vAlign w:val="center"/>
          </w:tcPr>
          <w:p w14:paraId="098FDDF3">
            <w:pPr>
              <w:adjustRightInd w:val="0"/>
              <w:snapToGrid w:val="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其他违约责任</w:t>
            </w:r>
          </w:p>
        </w:tc>
        <w:tc>
          <w:tcPr>
            <w:tcW w:w="5170" w:type="dxa"/>
            <w:tcBorders>
              <w:left w:val="single" w:color="auto" w:sz="2" w:space="0"/>
              <w:bottom w:val="single" w:color="auto" w:sz="2" w:space="0"/>
            </w:tcBorders>
            <w:vAlign w:val="center"/>
          </w:tcPr>
          <w:p w14:paraId="5D34E111">
            <w:pPr>
              <w:adjustRightInd w:val="0"/>
              <w:snapToGrid w:val="0"/>
              <w:jc w:val="left"/>
              <w:outlineLvl w:val="9"/>
              <w:rPr>
                <w:rFonts w:hint="eastAsia" w:ascii="微软雅黑" w:hAnsi="微软雅黑" w:eastAsia="微软雅黑" w:cs="微软雅黑"/>
                <w:color w:val="auto"/>
                <w:sz w:val="24"/>
                <w:szCs w:val="24"/>
                <w:highlight w:val="none"/>
                <w:u w:val="none"/>
                <w:lang w:val="en-US" w:eastAsia="zh-CN"/>
              </w:rPr>
            </w:pPr>
            <w:r>
              <w:rPr>
                <w:rFonts w:hint="eastAsia" w:ascii="微软雅黑" w:hAnsi="微软雅黑" w:eastAsia="微软雅黑" w:cs="微软雅黑"/>
                <w:color w:val="auto"/>
                <w:sz w:val="24"/>
                <w:szCs w:val="24"/>
                <w:highlight w:val="none"/>
                <w:u w:val="none"/>
                <w:lang w:val="en-US" w:eastAsia="zh-CN"/>
              </w:rPr>
              <w:t>1.乙方所交货物质量违反本合同和招投标文件约定的，如果甲方同意利用应当按质论价；如果甲方不能利用的，应根据货物的具体情况，由乙方按甲方要求及甲方规定的时限负责换货或退货，并承担因此而产生的实际费用及损失。乙方所交货物质量或包装不符合规定达3次以上，则视为乙方无履约能力，甲方有权解除合同，并要求乙方按照合同总价款的30%支付违约金。</w:t>
            </w:r>
          </w:p>
          <w:p w14:paraId="742F191F">
            <w:pPr>
              <w:pStyle w:val="3"/>
              <w:ind w:left="0" w:leftChars="0" w:firstLine="0" w:firstLineChars="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2.乙方没有按承诺的价格或优惠率签订合同并供货的，甲方有权报经政府采购监管部门，按照相关政府采购法律法规的规定对其进行处罚。</w:t>
            </w:r>
          </w:p>
          <w:p w14:paraId="4DDFE3D0">
            <w:pPr>
              <w:pStyle w:val="4"/>
              <w:ind w:left="0" w:leftChars="0" w:firstLine="0" w:firstLineChars="0"/>
              <w:outlineLvl w:val="9"/>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3.乙方如擅自终止或解除本合同，则须按照合同总价款的30%向甲方支付违约金。</w:t>
            </w:r>
          </w:p>
          <w:p w14:paraId="22A157FF">
            <w:pPr>
              <w:outlineLvl w:val="9"/>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4.未经甲方同意，乙方擅自将基于本合同项下义务转托第三方，甲方有权解除合同，并要求乙方按合同总价款的30%支付违约金。</w:t>
            </w:r>
          </w:p>
          <w:p w14:paraId="5D692FF9">
            <w:pPr>
              <w:outlineLvl w:val="9"/>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5.因乙方或乙方工作人员（含指派人员）的任何不当行为或违约行为所造成的违约或赔偿责任，均由乙方承担。如因此给甲方造成损失则甲方可向乙方进行全额追偿，追偿范围包括但不限于甲方为此实际支出的费用、诉讼费、律师费等。</w:t>
            </w:r>
          </w:p>
          <w:p w14:paraId="2DA8CB94">
            <w:pPr>
              <w:outlineLvl w:val="9"/>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6.为本合同的履行，乙方不得侵害任何第三方的合法权益，否则造成的一切纠纷均由乙方自行承担。</w:t>
            </w:r>
          </w:p>
          <w:p w14:paraId="399E0DDA">
            <w:pPr>
              <w:outlineLvl w:val="9"/>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7.除上述约定外，如乙方违反其他基于本合同项下义务，每次需按照合同总价款的3%向甲方支付违约金，违约5次以上甲方有权解除合同，并要求乙方按照合同总价款的30%支付违约金</w:t>
            </w:r>
          </w:p>
          <w:p w14:paraId="3202B1D2">
            <w:pPr>
              <w:outlineLvl w:val="9"/>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8.因相关政策或上级单位指令原因，致使甲方解除本合同的，不视为甲方违约。</w:t>
            </w:r>
          </w:p>
          <w:p w14:paraId="09E44057">
            <w:pPr>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kern w:val="2"/>
                <w:sz w:val="24"/>
                <w:szCs w:val="24"/>
                <w:highlight w:val="none"/>
                <w:lang w:val="en-US" w:eastAsia="zh-CN" w:bidi="ar-SA"/>
              </w:rPr>
              <w:t>9.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tc>
      </w:tr>
      <w:tr w14:paraId="7067F6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482ADDED">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第二节</w:t>
            </w:r>
          </w:p>
          <w:p w14:paraId="7573A21D">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w:t>
            </w:r>
            <w:r>
              <w:rPr>
                <w:rFonts w:hint="eastAsia" w:ascii="微软雅黑" w:hAnsi="微软雅黑" w:eastAsia="微软雅黑" w:cs="微软雅黑"/>
                <w:color w:val="auto"/>
                <w:sz w:val="24"/>
                <w:szCs w:val="24"/>
                <w:highlight w:val="none"/>
                <w:lang w:val="en-US" w:eastAsia="zh-CN"/>
              </w:rPr>
              <w:t>19</w:t>
            </w:r>
            <w:r>
              <w:rPr>
                <w:rFonts w:hint="eastAsia" w:ascii="微软雅黑" w:hAnsi="微软雅黑" w:eastAsia="微软雅黑" w:cs="微软雅黑"/>
                <w:color w:val="auto"/>
                <w:sz w:val="24"/>
                <w:szCs w:val="24"/>
                <w:highlight w:val="none"/>
              </w:rPr>
              <w:t>.2</w:t>
            </w:r>
            <w:r>
              <w:rPr>
                <w:rFonts w:hint="eastAsia" w:ascii="微软雅黑" w:hAnsi="微软雅黑" w:eastAsia="微软雅黑" w:cs="微软雅黑"/>
                <w:color w:val="auto"/>
                <w:sz w:val="24"/>
                <w:szCs w:val="24"/>
                <w:highlight w:val="none"/>
                <w:lang w:val="en-US" w:eastAsia="zh-CN"/>
              </w:rPr>
              <w:t>款</w:t>
            </w:r>
          </w:p>
        </w:tc>
        <w:tc>
          <w:tcPr>
            <w:tcW w:w="1742" w:type="dxa"/>
            <w:tcBorders>
              <w:top w:val="single" w:color="auto" w:sz="2" w:space="0"/>
              <w:left w:val="single" w:color="auto" w:sz="2" w:space="0"/>
              <w:right w:val="single" w:color="auto" w:sz="2" w:space="0"/>
            </w:tcBorders>
            <w:vAlign w:val="center"/>
          </w:tcPr>
          <w:p w14:paraId="14681AB3">
            <w:pPr>
              <w:adjustRightInd w:val="0"/>
              <w:snapToGrid w:val="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解决争议的方法</w:t>
            </w:r>
          </w:p>
        </w:tc>
        <w:tc>
          <w:tcPr>
            <w:tcW w:w="5170" w:type="dxa"/>
            <w:tcBorders>
              <w:top w:val="single" w:color="auto" w:sz="2" w:space="0"/>
              <w:left w:val="single" w:color="auto" w:sz="2" w:space="0"/>
            </w:tcBorders>
            <w:vAlign w:val="center"/>
          </w:tcPr>
          <w:p w14:paraId="3B8C0FE5">
            <w:pPr>
              <w:autoSpaceDE w:val="0"/>
              <w:autoSpaceDN w:val="0"/>
              <w:adjustRightInd w:val="0"/>
              <w:snapToGrid w:val="0"/>
              <w:spacing w:line="400" w:lineRule="exact"/>
              <w:jc w:val="left"/>
              <w:outlineLvl w:val="9"/>
              <w:rPr>
                <w:rFonts w:hint="eastAsia" w:ascii="微软雅黑" w:hAnsi="微软雅黑" w:eastAsia="微软雅黑" w:cs="微软雅黑"/>
                <w:b w:val="0"/>
                <w:bCs w:val="0"/>
                <w:iCs/>
                <w:color w:val="auto"/>
                <w:sz w:val="24"/>
                <w:szCs w:val="24"/>
                <w:highlight w:val="none"/>
              </w:rPr>
            </w:pPr>
            <w:r>
              <w:rPr>
                <w:rFonts w:hint="eastAsia" w:ascii="微软雅黑" w:hAnsi="微软雅黑" w:eastAsia="微软雅黑" w:cs="微软雅黑"/>
                <w:b w:val="0"/>
                <w:bCs w:val="0"/>
                <w:iCs/>
                <w:color w:val="auto"/>
                <w:sz w:val="24"/>
                <w:szCs w:val="24"/>
                <w:highlight w:val="none"/>
              </w:rPr>
              <w:t>因本合同及合同有关事项发生的争议，按下列第</w:t>
            </w:r>
            <w:r>
              <w:rPr>
                <w:rFonts w:hint="eastAsia" w:ascii="微软雅黑" w:hAnsi="微软雅黑" w:eastAsia="微软雅黑" w:cs="微软雅黑"/>
                <w:b w:val="0"/>
                <w:bCs w:val="0"/>
                <w:iCs/>
                <w:color w:val="auto"/>
                <w:sz w:val="24"/>
                <w:szCs w:val="24"/>
                <w:highlight w:val="none"/>
                <w:u w:val="single"/>
              </w:rPr>
              <w:t xml:space="preserve">   </w:t>
            </w:r>
            <w:r>
              <w:rPr>
                <w:rFonts w:hint="eastAsia" w:ascii="微软雅黑" w:hAnsi="微软雅黑" w:eastAsia="微软雅黑" w:cs="微软雅黑"/>
                <w:b w:val="0"/>
                <w:bCs w:val="0"/>
                <w:iCs/>
                <w:color w:val="auto"/>
                <w:sz w:val="24"/>
                <w:szCs w:val="24"/>
                <w:highlight w:val="none"/>
              </w:rPr>
              <w:t>种方式解决：</w:t>
            </w:r>
          </w:p>
          <w:p w14:paraId="76BD623F">
            <w:pPr>
              <w:autoSpaceDE w:val="0"/>
              <w:autoSpaceDN w:val="0"/>
              <w:adjustRightInd w:val="0"/>
              <w:snapToGrid w:val="0"/>
              <w:spacing w:line="400" w:lineRule="exact"/>
              <w:jc w:val="left"/>
              <w:outlineLvl w:val="9"/>
              <w:rPr>
                <w:rFonts w:hint="eastAsia" w:ascii="微软雅黑" w:hAnsi="微软雅黑" w:eastAsia="微软雅黑" w:cs="微软雅黑"/>
                <w:b w:val="0"/>
                <w:bCs w:val="0"/>
                <w:iCs/>
                <w:color w:val="auto"/>
                <w:sz w:val="24"/>
                <w:szCs w:val="24"/>
                <w:highlight w:val="none"/>
              </w:rPr>
            </w:pPr>
            <w:r>
              <w:rPr>
                <w:rFonts w:hint="eastAsia" w:ascii="微软雅黑" w:hAnsi="微软雅黑" w:eastAsia="微软雅黑" w:cs="微软雅黑"/>
                <w:b w:val="0"/>
                <w:bCs w:val="0"/>
                <w:iCs/>
                <w:color w:val="auto"/>
                <w:sz w:val="24"/>
                <w:szCs w:val="24"/>
                <w:highlight w:val="none"/>
              </w:rPr>
              <w:t>（1）向</w:t>
            </w:r>
            <w:r>
              <w:rPr>
                <w:rFonts w:hint="eastAsia" w:ascii="微软雅黑" w:hAnsi="微软雅黑" w:eastAsia="微软雅黑" w:cs="微软雅黑"/>
                <w:b w:val="0"/>
                <w:bCs w:val="0"/>
                <w:iCs/>
                <w:color w:val="auto"/>
                <w:sz w:val="24"/>
                <w:szCs w:val="24"/>
                <w:highlight w:val="none"/>
                <w:u w:val="single"/>
              </w:rPr>
              <w:t xml:space="preserve">                    </w:t>
            </w:r>
            <w:r>
              <w:rPr>
                <w:rFonts w:hint="eastAsia" w:ascii="微软雅黑" w:hAnsi="微软雅黑" w:eastAsia="微软雅黑" w:cs="微软雅黑"/>
                <w:b w:val="0"/>
                <w:bCs w:val="0"/>
                <w:iCs/>
                <w:color w:val="auto"/>
                <w:sz w:val="24"/>
                <w:szCs w:val="24"/>
                <w:highlight w:val="none"/>
              </w:rPr>
              <w:t>仲裁委员会申请仲裁，仲裁地点为</w:t>
            </w:r>
            <w:r>
              <w:rPr>
                <w:rFonts w:hint="eastAsia" w:ascii="微软雅黑" w:hAnsi="微软雅黑" w:eastAsia="微软雅黑" w:cs="微软雅黑"/>
                <w:b w:val="0"/>
                <w:bCs w:val="0"/>
                <w:iCs/>
                <w:color w:val="auto"/>
                <w:sz w:val="24"/>
                <w:szCs w:val="24"/>
                <w:highlight w:val="none"/>
                <w:u w:val="single"/>
              </w:rPr>
              <w:t xml:space="preserve">           </w:t>
            </w:r>
            <w:r>
              <w:rPr>
                <w:rFonts w:hint="eastAsia" w:ascii="微软雅黑" w:hAnsi="微软雅黑" w:eastAsia="微软雅黑" w:cs="微软雅黑"/>
                <w:b w:val="0"/>
                <w:bCs w:val="0"/>
                <w:iCs/>
                <w:color w:val="auto"/>
                <w:sz w:val="24"/>
                <w:szCs w:val="24"/>
                <w:highlight w:val="none"/>
              </w:rPr>
              <w:t>；</w:t>
            </w:r>
          </w:p>
          <w:p w14:paraId="1CE9F357">
            <w:pPr>
              <w:adjustRightInd w:val="0"/>
              <w:snapToGrid w:val="0"/>
              <w:ind w:firstLine="0" w:firstLineChars="0"/>
              <w:jc w:val="left"/>
              <w:outlineLvl w:val="9"/>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b w:val="0"/>
                <w:bCs w:val="0"/>
                <w:iCs/>
                <w:color w:val="auto"/>
                <w:sz w:val="24"/>
                <w:szCs w:val="24"/>
                <w:highlight w:val="none"/>
              </w:rPr>
              <w:t>（2）向</w:t>
            </w:r>
            <w:r>
              <w:rPr>
                <w:rFonts w:hint="eastAsia" w:ascii="微软雅黑" w:hAnsi="微软雅黑" w:eastAsia="微软雅黑" w:cs="微软雅黑"/>
                <w:b w:val="0"/>
                <w:bCs w:val="0"/>
                <w:iCs/>
                <w:color w:val="auto"/>
                <w:sz w:val="24"/>
                <w:szCs w:val="24"/>
                <w:highlight w:val="none"/>
                <w:u w:val="single"/>
              </w:rPr>
              <w:t xml:space="preserve"> </w:t>
            </w:r>
            <w:r>
              <w:rPr>
                <w:rFonts w:hint="eastAsia" w:ascii="微软雅黑" w:hAnsi="微软雅黑" w:eastAsia="微软雅黑" w:cs="微软雅黑"/>
                <w:b w:val="0"/>
                <w:bCs w:val="0"/>
                <w:iCs/>
                <w:color w:val="auto"/>
                <w:sz w:val="24"/>
                <w:szCs w:val="24"/>
                <w:highlight w:val="none"/>
                <w:u w:val="single"/>
                <w:lang w:val="en-US" w:eastAsia="zh-CN"/>
              </w:rPr>
              <w:t>甲方</w:t>
            </w:r>
            <w:r>
              <w:rPr>
                <w:rFonts w:hint="eastAsia" w:ascii="微软雅黑" w:hAnsi="微软雅黑" w:eastAsia="微软雅黑" w:cs="微软雅黑"/>
                <w:b w:val="0"/>
                <w:bCs w:val="0"/>
                <w:iCs/>
                <w:color w:val="auto"/>
                <w:sz w:val="24"/>
                <w:szCs w:val="24"/>
                <w:highlight w:val="none"/>
              </w:rPr>
              <w:t>人民法院起诉。在纠纷解决过程中，除争议部分外，并不影响无争议部分的履行，双方应继续履行合同中的无争议部分。</w:t>
            </w:r>
            <w:r>
              <w:rPr>
                <w:rFonts w:hint="eastAsia" w:ascii="微软雅黑" w:hAnsi="微软雅黑" w:eastAsia="微软雅黑" w:cs="微软雅黑"/>
                <w:b w:val="0"/>
                <w:bCs w:val="0"/>
                <w:iCs/>
                <w:color w:val="auto"/>
                <w:sz w:val="24"/>
                <w:szCs w:val="24"/>
                <w:highlight w:val="none"/>
                <w:u w:val="single"/>
              </w:rPr>
              <w:t>守约方为实现本合同约定的权益，通过司法程序或其他手段，产生的律师费、诉讼费、鉴定费、评估费、交通费、公证费等全部费用，均由违约方承担。</w:t>
            </w:r>
          </w:p>
        </w:tc>
      </w:tr>
      <w:tr w14:paraId="4717D9D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6EB5FFEC">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第二节</w:t>
            </w:r>
          </w:p>
          <w:p w14:paraId="31DD33EA">
            <w:pPr>
              <w:adjustRightInd w:val="0"/>
              <w:snapToGrid w:val="0"/>
              <w:jc w:val="center"/>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第2</w:t>
            </w:r>
            <w:r>
              <w:rPr>
                <w:rFonts w:hint="eastAsia" w:ascii="微软雅黑" w:hAnsi="微软雅黑" w:eastAsia="微软雅黑" w:cs="微软雅黑"/>
                <w:color w:val="auto"/>
                <w:sz w:val="24"/>
                <w:szCs w:val="24"/>
                <w:highlight w:val="none"/>
                <w:lang w:val="en-US" w:eastAsia="zh-CN"/>
              </w:rPr>
              <w:t>3.1</w:t>
            </w:r>
            <w:r>
              <w:rPr>
                <w:rFonts w:hint="eastAsia" w:ascii="微软雅黑" w:hAnsi="微软雅黑" w:eastAsia="微软雅黑" w:cs="微软雅黑"/>
                <w:color w:val="auto"/>
                <w:sz w:val="24"/>
                <w:szCs w:val="24"/>
                <w:highlight w:val="none"/>
                <w:lang w:eastAsia="zh-CN"/>
              </w:rPr>
              <w:t>款</w:t>
            </w:r>
          </w:p>
        </w:tc>
        <w:tc>
          <w:tcPr>
            <w:tcW w:w="1742" w:type="dxa"/>
            <w:vAlign w:val="center"/>
          </w:tcPr>
          <w:p w14:paraId="2AC32465">
            <w:pPr>
              <w:adjustRightInd w:val="0"/>
              <w:snapToGrid w:val="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bCs/>
                <w:color w:val="auto"/>
                <w:sz w:val="24"/>
                <w:szCs w:val="24"/>
                <w:highlight w:val="none"/>
                <w:lang w:eastAsia="zh-CN"/>
              </w:rPr>
              <w:t>其他专用条款</w:t>
            </w:r>
          </w:p>
        </w:tc>
        <w:tc>
          <w:tcPr>
            <w:tcW w:w="5170" w:type="dxa"/>
            <w:vAlign w:val="center"/>
          </w:tcPr>
          <w:p w14:paraId="4F3DAE67">
            <w:pPr>
              <w:adjustRightInd w:val="0"/>
              <w:snapToGrid w:val="0"/>
              <w:jc w:val="left"/>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乙方保证向甲方交付的货物、软件、技术资料等，不会侵犯任何第三人的专利权、著作权、商标权、商业秘密、其他知识产权或者其他民事权利。如乙方违反上述规定，则乙方应负责并承担由此产生的一切责任，如因此给甲方造成任何损失，则甲方可向乙方进行全额追偿，包括但不限予甲方为此实际支出的费用、诉讼费、律师费。</w:t>
            </w:r>
          </w:p>
        </w:tc>
      </w:tr>
    </w:tbl>
    <w:p w14:paraId="449F4355">
      <w:pPr>
        <w:rPr>
          <w:rFonts w:hint="eastAsia" w:ascii="微软雅黑" w:hAnsi="微软雅黑" w:eastAsia="微软雅黑" w:cs="微软雅黑"/>
          <w:highlight w:val="none"/>
        </w:rPr>
      </w:pPr>
    </w:p>
    <w:p w14:paraId="399EBB03">
      <w:pPr>
        <w:outlineLvl w:val="9"/>
        <w:rPr>
          <w:rFonts w:hint="eastAsia" w:ascii="微软雅黑" w:hAnsi="微软雅黑" w:eastAsia="微软雅黑" w:cs="微软雅黑"/>
          <w:color w:val="auto"/>
          <w:sz w:val="22"/>
          <w:szCs w:val="22"/>
          <w:highlight w:val="none"/>
        </w:rPr>
      </w:pPr>
    </w:p>
    <w:sectPr>
      <w:headerReference r:id="rId7" w:type="default"/>
      <w:footerReference r:id="rId8" w:type="default"/>
      <w:pgSz w:w="11907" w:h="16840"/>
      <w:pgMar w:top="1474" w:right="1814" w:bottom="1474" w:left="1814" w:header="851" w:footer="851" w:gutter="0"/>
      <w:pgBorders>
        <w:top w:val="none" w:sz="0" w:space="0"/>
        <w:left w:val="none" w:sz="0" w:space="0"/>
        <w:bottom w:val="none" w:sz="0" w:space="0"/>
        <w:right w:val="none" w:sz="0" w:space="0"/>
      </w:pgBorders>
      <w:pgNumType w:fmt="decimal"/>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256BA41-797D-4112-A98B-4FD7338F8E15}"/>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D8BFC107-CE87-4AF4-BAAA-D0892093E5A8}"/>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embedRegular r:id="rId3" w:fontKey="{E3E83BC8-8BD4-427D-9D4C-8C808917A339}"/>
  </w:font>
  <w:font w:name="Arial Unicode MS">
    <w:altName w:val="宋体"/>
    <w:panose1 w:val="020B0604020202020204"/>
    <w:charset w:val="86"/>
    <w:family w:val="auto"/>
    <w:pitch w:val="default"/>
    <w:sig w:usb0="00000000" w:usb1="00000000" w:usb2="0000003F" w:usb3="00000000" w:csb0="603F01FF" w:csb1="FFFF0000"/>
  </w:font>
  <w:font w:name="pingfang sc">
    <w:altName w:val="宋体"/>
    <w:panose1 w:val="020B0400000000000000"/>
    <w:charset w:val="86"/>
    <w:family w:val="auto"/>
    <w:pitch w:val="default"/>
    <w:sig w:usb0="00000000" w:usb1="00000000" w:usb2="00000017" w:usb3="00000000" w:csb0="00040001" w:csb1="00000000"/>
  </w:font>
  <w:font w:name="Helvetica Neue">
    <w:altName w:val="Times New Roman"/>
    <w:panose1 w:val="00000000000000000000"/>
    <w:charset w:val="00"/>
    <w:family w:val="roman"/>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Batang">
    <w:altName w:val="Malgun Gothic"/>
    <w:panose1 w:val="02030600000101010101"/>
    <w:charset w:val="81"/>
    <w:family w:val="roman"/>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华文楷体">
    <w:panose1 w:val="02010600040101010101"/>
    <w:charset w:val="86"/>
    <w:family w:val="auto"/>
    <w:pitch w:val="default"/>
    <w:sig w:usb0="00000287" w:usb1="080F0000" w:usb2="00000000" w:usb3="00000000" w:csb0="0004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4DE7A">
    <w:pPr>
      <w:pStyle w:val="2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E49068">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6E49068">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86B1E">
    <w:pPr>
      <w:pStyle w:val="21"/>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F87873">
                          <w:pPr>
                            <w:pStyle w:val="21"/>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3F87873">
                    <w:pPr>
                      <w:pStyle w:val="21"/>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C7C6A">
    <w:pPr>
      <w:pStyle w:val="21"/>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842555">
                          <w:pPr>
                            <w:pStyle w:val="21"/>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6842555">
                    <w:pPr>
                      <w:pStyle w:val="21"/>
                    </w:pPr>
                    <w:r>
                      <w:fldChar w:fldCharType="begin"/>
                    </w:r>
                    <w:r>
                      <w:instrText xml:space="preserve"> PAGE  \* MERGEFORMAT </w:instrText>
                    </w:r>
                    <w:r>
                      <w:fldChar w:fldCharType="separate"/>
                    </w:r>
                    <w:r>
                      <w:t>76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8E81E">
    <w:pPr>
      <w:pStyle w:val="23"/>
      <w:pBdr>
        <w:bottom w:val="double" w:color="auto" w:sz="8" w:space="0"/>
      </w:pBdr>
      <w:jc w:val="left"/>
    </w:pPr>
    <w:r>
      <w:rPr>
        <w:rFonts w:hint="eastAsia"/>
      </w:rPr>
      <w:drawing>
        <wp:inline distT="0" distB="0" distL="0" distR="0">
          <wp:extent cx="2992755" cy="428625"/>
          <wp:effectExtent l="0" t="0" r="7620" b="0"/>
          <wp:docPr id="4100" name="图片 2" descr="7fb26b890cf49d76afa2453ec3c9120"/>
          <wp:cNvGraphicFramePr/>
          <a:graphic xmlns:a="http://schemas.openxmlformats.org/drawingml/2006/main">
            <a:graphicData uri="http://schemas.openxmlformats.org/drawingml/2006/picture">
              <pic:pic xmlns:pic="http://schemas.openxmlformats.org/drawingml/2006/picture">
                <pic:nvPicPr>
                  <pic:cNvPr id="4100" name="图片 2" descr="7fb26b890cf49d76afa2453ec3c9120"/>
                  <pic:cNvPicPr/>
                </pic:nvPicPr>
                <pic:blipFill>
                  <a:blip r:embed="rId1" cstate="print"/>
                  <a:srcRect/>
                  <a:stretch>
                    <a:fillRect/>
                  </a:stretch>
                </pic:blipFill>
                <pic:spPr>
                  <a:xfrm>
                    <a:off x="0" y="0"/>
                    <a:ext cx="2992755" cy="429259"/>
                  </a:xfrm>
                  <a:prstGeom prst="rect">
                    <a:avLst/>
                  </a:prstGeom>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D0DAE">
    <w:pPr>
      <w:pStyle w:val="23"/>
    </w:pPr>
    <w:r>
      <w:rPr>
        <w:rFonts w:hint="eastAsia"/>
      </w:rPr>
      <w:drawing>
        <wp:anchor distT="0" distB="0" distL="0" distR="0" simplePos="0" relativeHeight="251660288" behindDoc="0" locked="0" layoutInCell="1" allowOverlap="1">
          <wp:simplePos x="0" y="0"/>
          <wp:positionH relativeFrom="column">
            <wp:posOffset>45720</wp:posOffset>
          </wp:positionH>
          <wp:positionV relativeFrom="paragraph">
            <wp:posOffset>36830</wp:posOffset>
          </wp:positionV>
          <wp:extent cx="2992755" cy="428625"/>
          <wp:effectExtent l="0" t="0" r="7620" b="0"/>
          <wp:wrapNone/>
          <wp:docPr id="1" name="图片 2" descr="7fb26b890cf49d76afa2453ec3c9120"/>
          <wp:cNvGraphicFramePr/>
          <a:graphic xmlns:a="http://schemas.openxmlformats.org/drawingml/2006/main">
            <a:graphicData uri="http://schemas.openxmlformats.org/drawingml/2006/picture">
              <pic:pic xmlns:pic="http://schemas.openxmlformats.org/drawingml/2006/picture">
                <pic:nvPicPr>
                  <pic:cNvPr id="1" name="图片 2" descr="7fb26b890cf49d76afa2453ec3c9120"/>
                  <pic:cNvPicPr/>
                </pic:nvPicPr>
                <pic:blipFill>
                  <a:blip r:embed="rId1" cstate="print"/>
                  <a:srcRect/>
                  <a:stretch>
                    <a:fillRect/>
                  </a:stretch>
                </pic:blipFill>
                <pic:spPr>
                  <a:xfrm>
                    <a:off x="0" y="0"/>
                    <a:ext cx="2992755" cy="429259"/>
                  </a:xfrm>
                  <a:prstGeom prst="rect">
                    <a:avLst/>
                  </a:prstGeom>
                  <a:ln>
                    <a:noFill/>
                  </a:ln>
                </pic:spPr>
              </pic:pic>
            </a:graphicData>
          </a:graphic>
        </wp:anchor>
      </w:drawing>
    </w:r>
  </w:p>
  <w:p w14:paraId="2806CC63">
    <w:pPr>
      <w:pStyle w:val="23"/>
    </w:pPr>
  </w:p>
  <w:p w14:paraId="591B2E37">
    <w:pPr>
      <w:pStyle w:val="23"/>
      <w:jc w:val="both"/>
    </w:pPr>
  </w:p>
  <w:p w14:paraId="4673BF47">
    <w:pPr>
      <w:pStyle w:val="23"/>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65E8D">
    <w:pPr>
      <w:pStyle w:val="23"/>
      <w:pBdr>
        <w:bottom w:val="double" w:color="auto" w:sz="8" w:space="0"/>
      </w:pBdr>
      <w:jc w:val="left"/>
    </w:pPr>
    <w:r>
      <w:rPr>
        <w:rFonts w:hint="eastAsia"/>
      </w:rPr>
      <w:drawing>
        <wp:inline distT="0" distB="0" distL="0" distR="0">
          <wp:extent cx="2992755" cy="428625"/>
          <wp:effectExtent l="0" t="0" r="17145" b="8890"/>
          <wp:docPr id="4105" name="图片 4" descr="7fb26b890cf49d76afa2453ec3c9120"/>
          <wp:cNvGraphicFramePr/>
          <a:graphic xmlns:a="http://schemas.openxmlformats.org/drawingml/2006/main">
            <a:graphicData uri="http://schemas.openxmlformats.org/drawingml/2006/picture">
              <pic:pic xmlns:pic="http://schemas.openxmlformats.org/drawingml/2006/picture">
                <pic:nvPicPr>
                  <pic:cNvPr id="4105" name="图片 4" descr="7fb26b890cf49d76afa2453ec3c9120"/>
                  <pic:cNvPicPr/>
                </pic:nvPicPr>
                <pic:blipFill>
                  <a:blip r:embed="rId1" cstate="print"/>
                  <a:srcRect/>
                  <a:stretch>
                    <a:fillRect/>
                  </a:stretch>
                </pic:blipFill>
                <pic:spPr>
                  <a:xfrm>
                    <a:off x="0" y="0"/>
                    <a:ext cx="2992755" cy="429259"/>
                  </a:xfrm>
                  <a:prstGeom prst="rect">
                    <a:avLst/>
                  </a:prstGeom>
                  <a:ln>
                    <a:noFill/>
                  </a:ln>
                </pic:spPr>
              </pic:pic>
            </a:graphicData>
          </a:graphic>
        </wp:inline>
      </w:drawing>
    </w:r>
  </w:p>
  <w:p w14:paraId="344D89EE">
    <w:pPr>
      <w:pStyle w:val="23"/>
      <w:pBdr>
        <w:bottom w:val="none" w:color="auto" w:sz="0" w:space="0"/>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F47235"/>
    <w:multiLevelType w:val="singleLevel"/>
    <w:tmpl w:val="9AF47235"/>
    <w:lvl w:ilvl="0" w:tentative="0">
      <w:start w:val="2"/>
      <w:numFmt w:val="decimal"/>
      <w:suff w:val="nothing"/>
      <w:lvlText w:val="%1、"/>
      <w:lvlJc w:val="left"/>
    </w:lvl>
  </w:abstractNum>
  <w:abstractNum w:abstractNumId="1">
    <w:nsid w:val="BDF19F12"/>
    <w:multiLevelType w:val="singleLevel"/>
    <w:tmpl w:val="BDF19F12"/>
    <w:lvl w:ilvl="0" w:tentative="0">
      <w:start w:val="4"/>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00000006"/>
    <w:multiLevelType w:val="multilevel"/>
    <w:tmpl w:val="00000006"/>
    <w:lvl w:ilvl="0" w:tentative="0">
      <w:start w:val="1"/>
      <w:numFmt w:val="upperLetter"/>
      <w:pStyle w:val="44"/>
      <w:lvlText w:val="%1."/>
      <w:lvlJc w:val="left"/>
      <w:pPr>
        <w:widowControl/>
        <w:tabs>
          <w:tab w:val="left" w:pos="752"/>
        </w:tabs>
        <w:ind w:left="752" w:hanging="468"/>
        <w:textAlignment w:val="baseline"/>
      </w:pPr>
    </w:lvl>
    <w:lvl w:ilvl="1" w:tentative="0">
      <w:start w:val="1"/>
      <w:numFmt w:val="decimal"/>
      <w:lvlText w:val="%1."/>
      <w:lvlJc w:val="left"/>
      <w:pPr>
        <w:widowControl/>
        <w:tabs>
          <w:tab w:val="left" w:pos="1724"/>
        </w:tabs>
        <w:ind w:left="1724" w:hanging="360"/>
        <w:textAlignment w:val="baseline"/>
      </w:pPr>
    </w:lvl>
    <w:lvl w:ilvl="2" w:tentative="0">
      <w:start w:val="1"/>
      <w:numFmt w:val="decimal"/>
      <w:lvlText w:val="%1."/>
      <w:lvlJc w:val="left"/>
      <w:pPr>
        <w:widowControl/>
        <w:tabs>
          <w:tab w:val="left" w:pos="644"/>
        </w:tabs>
        <w:ind w:left="644" w:hanging="360"/>
        <w:textAlignment w:val="baseline"/>
      </w:pPr>
    </w:lvl>
    <w:lvl w:ilvl="3" w:tentative="0">
      <w:start w:val="1"/>
      <w:numFmt w:val="decimal"/>
      <w:lvlText w:val="%1."/>
      <w:lvlJc w:val="left"/>
      <w:pPr>
        <w:widowControl/>
        <w:tabs>
          <w:tab w:val="left" w:pos="3164"/>
        </w:tabs>
        <w:ind w:left="3164" w:hanging="360"/>
        <w:textAlignment w:val="baseline"/>
      </w:pPr>
    </w:lvl>
    <w:lvl w:ilvl="4" w:tentative="0">
      <w:start w:val="1"/>
      <w:numFmt w:val="decimal"/>
      <w:lvlText w:val="%1."/>
      <w:lvlJc w:val="left"/>
      <w:pPr>
        <w:widowControl/>
        <w:tabs>
          <w:tab w:val="left" w:pos="3884"/>
        </w:tabs>
        <w:ind w:left="3884" w:hanging="360"/>
        <w:textAlignment w:val="baseline"/>
      </w:pPr>
    </w:lvl>
    <w:lvl w:ilvl="5" w:tentative="0">
      <w:start w:val="1"/>
      <w:numFmt w:val="decimal"/>
      <w:lvlText w:val="%1."/>
      <w:lvlJc w:val="left"/>
      <w:pPr>
        <w:widowControl/>
        <w:tabs>
          <w:tab w:val="left" w:pos="4604"/>
        </w:tabs>
        <w:ind w:left="4604" w:hanging="360"/>
        <w:textAlignment w:val="baseline"/>
      </w:pPr>
    </w:lvl>
    <w:lvl w:ilvl="6" w:tentative="0">
      <w:start w:val="1"/>
      <w:numFmt w:val="decimal"/>
      <w:lvlText w:val="%1."/>
      <w:lvlJc w:val="left"/>
      <w:pPr>
        <w:widowControl/>
        <w:tabs>
          <w:tab w:val="left" w:pos="5324"/>
        </w:tabs>
        <w:ind w:left="5324" w:hanging="360"/>
        <w:textAlignment w:val="baseline"/>
      </w:pPr>
    </w:lvl>
    <w:lvl w:ilvl="7" w:tentative="0">
      <w:start w:val="1"/>
      <w:numFmt w:val="decimal"/>
      <w:lvlText w:val="%1."/>
      <w:lvlJc w:val="left"/>
      <w:pPr>
        <w:widowControl/>
        <w:tabs>
          <w:tab w:val="left" w:pos="6044"/>
        </w:tabs>
        <w:ind w:left="6044" w:hanging="360"/>
        <w:textAlignment w:val="baseline"/>
      </w:pPr>
    </w:lvl>
    <w:lvl w:ilvl="8" w:tentative="0">
      <w:start w:val="1"/>
      <w:numFmt w:val="decimal"/>
      <w:lvlText w:val="%1."/>
      <w:lvlJc w:val="left"/>
      <w:pPr>
        <w:widowControl/>
        <w:tabs>
          <w:tab w:val="left" w:pos="6764"/>
        </w:tabs>
        <w:ind w:left="6764" w:hanging="360"/>
        <w:textAlignment w:val="baseline"/>
      </w:pPr>
    </w:lvl>
  </w:abstractNum>
  <w:abstractNum w:abstractNumId="9">
    <w:nsid w:val="00000008"/>
    <w:multiLevelType w:val="multilevel"/>
    <w:tmpl w:val="00000008"/>
    <w:lvl w:ilvl="0" w:tentative="0">
      <w:start w:val="1"/>
      <w:numFmt w:val="decimal"/>
      <w:lvlText w:val="%1"/>
      <w:lvlJc w:val="left"/>
      <w:pPr>
        <w:ind w:left="432" w:hanging="432"/>
      </w:pPr>
      <w:rPr>
        <w:rFonts w:hint="eastAsia"/>
      </w:rPr>
    </w:lvl>
    <w:lvl w:ilvl="1" w:tentative="0">
      <w:start w:val="1"/>
      <w:numFmt w:val="decimal"/>
      <w:pStyle w:val="84"/>
      <w:lvlText w:val="%1.%2"/>
      <w:lvlJc w:val="left"/>
      <w:pPr>
        <w:ind w:left="576" w:hanging="576"/>
      </w:pPr>
      <w:rPr>
        <w:rFonts w:hint="eastAsia"/>
        <w:b/>
        <w:i w:val="0"/>
      </w:rPr>
    </w:lvl>
    <w:lvl w:ilvl="2" w:tentative="0">
      <w:start w:val="1"/>
      <w:numFmt w:val="decimal"/>
      <w:lvlText w:val="%1.%2.%3"/>
      <w:lvlJc w:val="left"/>
      <w:pPr>
        <w:ind w:left="720" w:hanging="720"/>
      </w:pPr>
      <w:rPr>
        <w:rFonts w:hint="eastAsia"/>
      </w:rPr>
    </w:lvl>
    <w:lvl w:ilvl="3" w:tentative="0">
      <w:start w:val="1"/>
      <w:numFmt w:val="decimal"/>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10">
    <w:nsid w:val="55828DFF"/>
    <w:multiLevelType w:val="multilevel"/>
    <w:tmpl w:val="55828DFF"/>
    <w:lvl w:ilvl="0" w:tentative="0">
      <w:start w:val="1"/>
      <w:numFmt w:val="decimal"/>
      <w:lvlText w:val="%1."/>
      <w:lvlJc w:val="left"/>
      <w:pPr>
        <w:tabs>
          <w:tab w:val="left" w:pos="432"/>
        </w:tabs>
        <w:ind w:left="432" w:hanging="432"/>
      </w:pPr>
      <w:rPr>
        <w:rFonts w:hint="default" w:ascii="Times New Roman" w:hAnsi="Times New Roman" w:cs="Times New Roman"/>
      </w:rPr>
    </w:lvl>
    <w:lvl w:ilvl="1" w:tentative="0">
      <w:start w:val="1"/>
      <w:numFmt w:val="decimal"/>
      <w:lvlText w:val="%1.%2."/>
      <w:lvlJc w:val="left"/>
      <w:pPr>
        <w:tabs>
          <w:tab w:val="left" w:pos="575"/>
        </w:tabs>
        <w:ind w:left="575" w:hanging="575"/>
      </w:pPr>
      <w:rPr>
        <w:rFonts w:hint="default" w:ascii="Times New Roman" w:hAnsi="Times New Roman" w:cs="Times New Roman"/>
        <w:lang w:val="en-US"/>
      </w:rPr>
    </w:lvl>
    <w:lvl w:ilvl="2" w:tentative="0">
      <w:start w:val="1"/>
      <w:numFmt w:val="decimal"/>
      <w:pStyle w:val="92"/>
      <w:lvlText w:val="%1.%2.%3."/>
      <w:lvlJc w:val="left"/>
      <w:pPr>
        <w:tabs>
          <w:tab w:val="left" w:pos="720"/>
        </w:tabs>
        <w:ind w:left="720" w:hanging="720"/>
      </w:pPr>
      <w:rPr>
        <w:rFonts w:hint="default" w:ascii="Times New Roman" w:hAnsi="Times New Roman" w:eastAsia="黑体" w:cs="Times New Roman"/>
        <w:b/>
        <w:bCs/>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decimal"/>
      <w:pStyle w:val="93"/>
      <w:lvlText w:val="%1.%2.%3.%4."/>
      <w:lvlJc w:val="left"/>
      <w:pPr>
        <w:tabs>
          <w:tab w:val="left" w:pos="864"/>
        </w:tabs>
        <w:ind w:left="864" w:hanging="864"/>
      </w:pPr>
      <w:rPr>
        <w:rFonts w:hint="default" w:ascii="Times New Roman" w:hAnsi="Times New Roman" w:eastAsia="黑体" w:cs="Times New Roman"/>
        <w:lang w:val="en-US"/>
      </w:rPr>
    </w:lvl>
    <w:lvl w:ilvl="4" w:tentative="0">
      <w:start w:val="1"/>
      <w:numFmt w:val="decimal"/>
      <w:lvlText w:val="%1.%2.%3.%4.%5."/>
      <w:lvlJc w:val="left"/>
      <w:pPr>
        <w:tabs>
          <w:tab w:val="left" w:pos="1008"/>
        </w:tabs>
        <w:ind w:left="1008" w:hanging="1008"/>
      </w:pPr>
      <w:rPr>
        <w:rFonts w:hint="default" w:ascii="Times New Roman" w:hAnsi="Times New Roman" w:cs="Times New Roman"/>
      </w:rPr>
    </w:lvl>
    <w:lvl w:ilvl="5" w:tentative="0">
      <w:start w:val="1"/>
      <w:numFmt w:val="decimal"/>
      <w:lvlText w:val="%1.%2.%3.%4.%5.%6."/>
      <w:lvlJc w:val="left"/>
      <w:pPr>
        <w:tabs>
          <w:tab w:val="left" w:pos="1151"/>
        </w:tabs>
        <w:ind w:left="1151" w:hanging="1151"/>
      </w:pPr>
      <w:rPr>
        <w:rFonts w:hint="default" w:ascii="Times New Roman" w:hAnsi="Times New Roman" w:cs="Times New Roman"/>
      </w:rPr>
    </w:lvl>
    <w:lvl w:ilvl="6" w:tentative="0">
      <w:start w:val="1"/>
      <w:numFmt w:val="decimal"/>
      <w:lvlText w:val="%1.%2.%3.%4.%5.%6.%7."/>
      <w:lvlJc w:val="left"/>
      <w:pPr>
        <w:tabs>
          <w:tab w:val="left" w:pos="1296"/>
        </w:tabs>
        <w:ind w:left="1296" w:hanging="1296"/>
      </w:pPr>
      <w:rPr>
        <w:rFonts w:hint="default" w:ascii="Times New Roman" w:hAnsi="Times New Roman" w:cs="Times New Roman"/>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3"/>
        </w:tabs>
        <w:ind w:left="1583" w:hanging="1583"/>
      </w:pPr>
      <w:rPr>
        <w:rFonts w:hint="default"/>
      </w:rPr>
    </w:lvl>
  </w:abstractNum>
  <w:abstractNum w:abstractNumId="11">
    <w:nsid w:val="6005F10E"/>
    <w:multiLevelType w:val="singleLevel"/>
    <w:tmpl w:val="6005F10E"/>
    <w:lvl w:ilvl="0" w:tentative="0">
      <w:start w:val="15"/>
      <w:numFmt w:val="decimal"/>
      <w:suff w:val="space"/>
      <w:lvlText w:val="%1."/>
      <w:lvlJc w:val="left"/>
    </w:lvl>
  </w:abstractNum>
  <w:abstractNum w:abstractNumId="12">
    <w:nsid w:val="7A0F6431"/>
    <w:multiLevelType w:val="singleLevel"/>
    <w:tmpl w:val="7A0F6431"/>
    <w:lvl w:ilvl="0" w:tentative="0">
      <w:start w:val="1"/>
      <w:numFmt w:val="decimal"/>
      <w:suff w:val="space"/>
      <w:lvlText w:val="%1."/>
      <w:lvlJc w:val="left"/>
      <w:pPr>
        <w:ind w:left="-1"/>
      </w:pPr>
    </w:lvl>
  </w:abstractNum>
  <w:num w:numId="1">
    <w:abstractNumId w:val="8"/>
  </w:num>
  <w:num w:numId="2">
    <w:abstractNumId w:val="9"/>
  </w:num>
  <w:num w:numId="3">
    <w:abstractNumId w:val="10"/>
  </w:num>
  <w:num w:numId="4">
    <w:abstractNumId w:val="11"/>
  </w:num>
  <w:num w:numId="5">
    <w:abstractNumId w:val="0"/>
  </w:num>
  <w:num w:numId="6">
    <w:abstractNumId w:val="12"/>
  </w:num>
  <w:num w:numId="7">
    <w:abstractNumId w:val="3"/>
  </w:num>
  <w:num w:numId="8">
    <w:abstractNumId w:val="7"/>
  </w:num>
  <w:num w:numId="9">
    <w:abstractNumId w:val="1"/>
  </w:num>
  <w:num w:numId="10">
    <w:abstractNumId w:val="5"/>
  </w:num>
  <w:num w:numId="11">
    <w:abstractNumId w:val="4"/>
  </w:num>
  <w:num w:numId="12">
    <w:abstractNumId w:val="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2"/>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xYzU5ZjYzYmExMTBlZDAxNWNmZWM4ZDFjY2U1NDQifQ=="/>
  </w:docVars>
  <w:rsids>
    <w:rsidRoot w:val="00000000"/>
    <w:rsid w:val="002145A0"/>
    <w:rsid w:val="00320039"/>
    <w:rsid w:val="003A4DB8"/>
    <w:rsid w:val="0041530C"/>
    <w:rsid w:val="005026A8"/>
    <w:rsid w:val="006360BD"/>
    <w:rsid w:val="006836D3"/>
    <w:rsid w:val="0073763C"/>
    <w:rsid w:val="007A0CF5"/>
    <w:rsid w:val="008E53B2"/>
    <w:rsid w:val="0090082A"/>
    <w:rsid w:val="00AB7A64"/>
    <w:rsid w:val="00B22F90"/>
    <w:rsid w:val="00BE1800"/>
    <w:rsid w:val="00C93863"/>
    <w:rsid w:val="00CA58C6"/>
    <w:rsid w:val="00E052D7"/>
    <w:rsid w:val="00E373BE"/>
    <w:rsid w:val="01071B29"/>
    <w:rsid w:val="010C0502"/>
    <w:rsid w:val="01113BE8"/>
    <w:rsid w:val="01330243"/>
    <w:rsid w:val="013766D4"/>
    <w:rsid w:val="014632E9"/>
    <w:rsid w:val="014E721F"/>
    <w:rsid w:val="01566194"/>
    <w:rsid w:val="015C3AD4"/>
    <w:rsid w:val="016116BD"/>
    <w:rsid w:val="01621A8C"/>
    <w:rsid w:val="018A7679"/>
    <w:rsid w:val="01AC75F0"/>
    <w:rsid w:val="01BF7451"/>
    <w:rsid w:val="01C05F2B"/>
    <w:rsid w:val="01C21421"/>
    <w:rsid w:val="01CA3F1A"/>
    <w:rsid w:val="01D60B10"/>
    <w:rsid w:val="01DB7ED5"/>
    <w:rsid w:val="01E24E4B"/>
    <w:rsid w:val="0200664D"/>
    <w:rsid w:val="02220DD4"/>
    <w:rsid w:val="02251CF9"/>
    <w:rsid w:val="0247556A"/>
    <w:rsid w:val="025B12D0"/>
    <w:rsid w:val="02914244"/>
    <w:rsid w:val="02C64F85"/>
    <w:rsid w:val="02C933CD"/>
    <w:rsid w:val="02D23F0E"/>
    <w:rsid w:val="02DD1F30"/>
    <w:rsid w:val="030B2A3C"/>
    <w:rsid w:val="031511C4"/>
    <w:rsid w:val="032338E1"/>
    <w:rsid w:val="032923D9"/>
    <w:rsid w:val="034956AB"/>
    <w:rsid w:val="034D6623"/>
    <w:rsid w:val="035277E1"/>
    <w:rsid w:val="035C0935"/>
    <w:rsid w:val="03635BA2"/>
    <w:rsid w:val="036A59B4"/>
    <w:rsid w:val="03701EE0"/>
    <w:rsid w:val="038107E5"/>
    <w:rsid w:val="039B2F0B"/>
    <w:rsid w:val="039B6747"/>
    <w:rsid w:val="03A17621"/>
    <w:rsid w:val="03A43768"/>
    <w:rsid w:val="03B376CF"/>
    <w:rsid w:val="03B74394"/>
    <w:rsid w:val="03E217A7"/>
    <w:rsid w:val="0418202A"/>
    <w:rsid w:val="0422003D"/>
    <w:rsid w:val="043164D2"/>
    <w:rsid w:val="0450662E"/>
    <w:rsid w:val="04697BD0"/>
    <w:rsid w:val="046A3BB4"/>
    <w:rsid w:val="046C67C9"/>
    <w:rsid w:val="047C150C"/>
    <w:rsid w:val="04956A61"/>
    <w:rsid w:val="04A071A7"/>
    <w:rsid w:val="04BE7505"/>
    <w:rsid w:val="04BF74DB"/>
    <w:rsid w:val="04C64E6C"/>
    <w:rsid w:val="04CF7D5B"/>
    <w:rsid w:val="04DA0DAB"/>
    <w:rsid w:val="04EA622B"/>
    <w:rsid w:val="04FD37FB"/>
    <w:rsid w:val="05205FDE"/>
    <w:rsid w:val="052B035A"/>
    <w:rsid w:val="0530521E"/>
    <w:rsid w:val="056A4325"/>
    <w:rsid w:val="057B7A05"/>
    <w:rsid w:val="05A539F3"/>
    <w:rsid w:val="05B918D7"/>
    <w:rsid w:val="05BF6C76"/>
    <w:rsid w:val="05E74AEF"/>
    <w:rsid w:val="05F0727E"/>
    <w:rsid w:val="06043E9E"/>
    <w:rsid w:val="06231E4A"/>
    <w:rsid w:val="062513A7"/>
    <w:rsid w:val="06264DDD"/>
    <w:rsid w:val="064979F7"/>
    <w:rsid w:val="065169B7"/>
    <w:rsid w:val="065232F6"/>
    <w:rsid w:val="066926B6"/>
    <w:rsid w:val="066E1317"/>
    <w:rsid w:val="067F5B8E"/>
    <w:rsid w:val="068C3E93"/>
    <w:rsid w:val="069963BC"/>
    <w:rsid w:val="069D39AB"/>
    <w:rsid w:val="06A27213"/>
    <w:rsid w:val="06B82B89"/>
    <w:rsid w:val="06BF5690"/>
    <w:rsid w:val="06ED4932"/>
    <w:rsid w:val="070E48A8"/>
    <w:rsid w:val="072C19AE"/>
    <w:rsid w:val="07562592"/>
    <w:rsid w:val="07577514"/>
    <w:rsid w:val="07623E5D"/>
    <w:rsid w:val="07666493"/>
    <w:rsid w:val="07715705"/>
    <w:rsid w:val="07A44D2D"/>
    <w:rsid w:val="07D96C64"/>
    <w:rsid w:val="07E51AAD"/>
    <w:rsid w:val="07EA2C20"/>
    <w:rsid w:val="08152EBB"/>
    <w:rsid w:val="08346591"/>
    <w:rsid w:val="084B1AA8"/>
    <w:rsid w:val="084B1D7B"/>
    <w:rsid w:val="084F33CB"/>
    <w:rsid w:val="08534C69"/>
    <w:rsid w:val="085424AB"/>
    <w:rsid w:val="08573CD6"/>
    <w:rsid w:val="08752E31"/>
    <w:rsid w:val="088968DD"/>
    <w:rsid w:val="08BA4587"/>
    <w:rsid w:val="08D150B4"/>
    <w:rsid w:val="08D60107"/>
    <w:rsid w:val="08D833C0"/>
    <w:rsid w:val="08DE2E88"/>
    <w:rsid w:val="08E55999"/>
    <w:rsid w:val="08E873D7"/>
    <w:rsid w:val="08F32F05"/>
    <w:rsid w:val="09033A4F"/>
    <w:rsid w:val="090B72F2"/>
    <w:rsid w:val="091A67F9"/>
    <w:rsid w:val="0924551B"/>
    <w:rsid w:val="09377D5D"/>
    <w:rsid w:val="093E463B"/>
    <w:rsid w:val="09477E58"/>
    <w:rsid w:val="09532A47"/>
    <w:rsid w:val="09671E04"/>
    <w:rsid w:val="0989582F"/>
    <w:rsid w:val="09A03C4E"/>
    <w:rsid w:val="09A07FFE"/>
    <w:rsid w:val="09C6272F"/>
    <w:rsid w:val="09DB78E1"/>
    <w:rsid w:val="09E029B5"/>
    <w:rsid w:val="09E65D3D"/>
    <w:rsid w:val="09E75075"/>
    <w:rsid w:val="09F510F6"/>
    <w:rsid w:val="0AA00E18"/>
    <w:rsid w:val="0AD07B6D"/>
    <w:rsid w:val="0ADA0003"/>
    <w:rsid w:val="0AED79CA"/>
    <w:rsid w:val="0AF04068"/>
    <w:rsid w:val="0B0C55A3"/>
    <w:rsid w:val="0B0F5E01"/>
    <w:rsid w:val="0B2B0CE1"/>
    <w:rsid w:val="0B3338D5"/>
    <w:rsid w:val="0B432F08"/>
    <w:rsid w:val="0B6E381F"/>
    <w:rsid w:val="0B894DF9"/>
    <w:rsid w:val="0BA61553"/>
    <w:rsid w:val="0BC83B46"/>
    <w:rsid w:val="0BD407E2"/>
    <w:rsid w:val="0BE04A65"/>
    <w:rsid w:val="0BE27694"/>
    <w:rsid w:val="0C1278F7"/>
    <w:rsid w:val="0C154D9D"/>
    <w:rsid w:val="0C1D5661"/>
    <w:rsid w:val="0C291FD0"/>
    <w:rsid w:val="0C4360FE"/>
    <w:rsid w:val="0C522904"/>
    <w:rsid w:val="0C5350CF"/>
    <w:rsid w:val="0C601702"/>
    <w:rsid w:val="0C7F4408"/>
    <w:rsid w:val="0C8A49D1"/>
    <w:rsid w:val="0C9E28EC"/>
    <w:rsid w:val="0CF84031"/>
    <w:rsid w:val="0CF956B3"/>
    <w:rsid w:val="0D065FC8"/>
    <w:rsid w:val="0D0E1995"/>
    <w:rsid w:val="0D103290"/>
    <w:rsid w:val="0D196859"/>
    <w:rsid w:val="0D1D0B59"/>
    <w:rsid w:val="0D4E2564"/>
    <w:rsid w:val="0D5A43A4"/>
    <w:rsid w:val="0D896A37"/>
    <w:rsid w:val="0D8B1867"/>
    <w:rsid w:val="0D9D2C7A"/>
    <w:rsid w:val="0DDA54E4"/>
    <w:rsid w:val="0E0F38A2"/>
    <w:rsid w:val="0E283894"/>
    <w:rsid w:val="0E6967BD"/>
    <w:rsid w:val="0E73449F"/>
    <w:rsid w:val="0E7C47EE"/>
    <w:rsid w:val="0E7E2F8C"/>
    <w:rsid w:val="0E981627"/>
    <w:rsid w:val="0EEF72C3"/>
    <w:rsid w:val="0EFC2CCF"/>
    <w:rsid w:val="0EFE3455"/>
    <w:rsid w:val="0F113188"/>
    <w:rsid w:val="0F125C24"/>
    <w:rsid w:val="0F143C29"/>
    <w:rsid w:val="0F2136B6"/>
    <w:rsid w:val="0F2A77D2"/>
    <w:rsid w:val="0F4935D9"/>
    <w:rsid w:val="0F543075"/>
    <w:rsid w:val="0F5B3F5D"/>
    <w:rsid w:val="0F862130"/>
    <w:rsid w:val="0F914696"/>
    <w:rsid w:val="0FB32592"/>
    <w:rsid w:val="0FC54741"/>
    <w:rsid w:val="0FD14C8B"/>
    <w:rsid w:val="0FDF09DB"/>
    <w:rsid w:val="0FE95EB3"/>
    <w:rsid w:val="0FF652C6"/>
    <w:rsid w:val="10280789"/>
    <w:rsid w:val="10444B40"/>
    <w:rsid w:val="105570A4"/>
    <w:rsid w:val="10901321"/>
    <w:rsid w:val="109149C6"/>
    <w:rsid w:val="10AE1E3E"/>
    <w:rsid w:val="10C7057C"/>
    <w:rsid w:val="10EA3C90"/>
    <w:rsid w:val="10EE70EA"/>
    <w:rsid w:val="11131669"/>
    <w:rsid w:val="112A6783"/>
    <w:rsid w:val="11335637"/>
    <w:rsid w:val="11375FBE"/>
    <w:rsid w:val="11484FD0"/>
    <w:rsid w:val="11503189"/>
    <w:rsid w:val="115F151F"/>
    <w:rsid w:val="116C28F7"/>
    <w:rsid w:val="11806BCC"/>
    <w:rsid w:val="119245C3"/>
    <w:rsid w:val="119769D9"/>
    <w:rsid w:val="11A2411E"/>
    <w:rsid w:val="11AB78C4"/>
    <w:rsid w:val="11B42C14"/>
    <w:rsid w:val="11C50105"/>
    <w:rsid w:val="11CE678B"/>
    <w:rsid w:val="11D04813"/>
    <w:rsid w:val="11FD4B29"/>
    <w:rsid w:val="11FF376C"/>
    <w:rsid w:val="12592360"/>
    <w:rsid w:val="12612878"/>
    <w:rsid w:val="126637EB"/>
    <w:rsid w:val="12A3218D"/>
    <w:rsid w:val="12A460C1"/>
    <w:rsid w:val="12AC5303"/>
    <w:rsid w:val="12C64289"/>
    <w:rsid w:val="12DD1CFF"/>
    <w:rsid w:val="12E4388F"/>
    <w:rsid w:val="12E7492B"/>
    <w:rsid w:val="12ED5CBA"/>
    <w:rsid w:val="12EF37E0"/>
    <w:rsid w:val="12FC31D3"/>
    <w:rsid w:val="13181334"/>
    <w:rsid w:val="132B295B"/>
    <w:rsid w:val="1377365B"/>
    <w:rsid w:val="13800B97"/>
    <w:rsid w:val="139A6651"/>
    <w:rsid w:val="13A16876"/>
    <w:rsid w:val="13AE369B"/>
    <w:rsid w:val="13B16CE7"/>
    <w:rsid w:val="13B642FE"/>
    <w:rsid w:val="13C44C6D"/>
    <w:rsid w:val="13D529D6"/>
    <w:rsid w:val="13DB225F"/>
    <w:rsid w:val="13DB3C17"/>
    <w:rsid w:val="13F84916"/>
    <w:rsid w:val="13F866C4"/>
    <w:rsid w:val="14027543"/>
    <w:rsid w:val="140530B1"/>
    <w:rsid w:val="141C5039"/>
    <w:rsid w:val="142A5FDC"/>
    <w:rsid w:val="142B2A40"/>
    <w:rsid w:val="145A112D"/>
    <w:rsid w:val="146E4BD8"/>
    <w:rsid w:val="148651F0"/>
    <w:rsid w:val="149169E7"/>
    <w:rsid w:val="14C8078D"/>
    <w:rsid w:val="14D8469C"/>
    <w:rsid w:val="15290693"/>
    <w:rsid w:val="153D570D"/>
    <w:rsid w:val="15673B02"/>
    <w:rsid w:val="156B119F"/>
    <w:rsid w:val="159A283B"/>
    <w:rsid w:val="15A44D56"/>
    <w:rsid w:val="15AD3816"/>
    <w:rsid w:val="15B900D5"/>
    <w:rsid w:val="15BF56EC"/>
    <w:rsid w:val="161B48EC"/>
    <w:rsid w:val="1628780E"/>
    <w:rsid w:val="16421E79"/>
    <w:rsid w:val="16552373"/>
    <w:rsid w:val="1662577E"/>
    <w:rsid w:val="166B7621"/>
    <w:rsid w:val="166C2D6C"/>
    <w:rsid w:val="1679118E"/>
    <w:rsid w:val="16A00DA8"/>
    <w:rsid w:val="16A13043"/>
    <w:rsid w:val="16AB5C70"/>
    <w:rsid w:val="16B02706"/>
    <w:rsid w:val="16C50023"/>
    <w:rsid w:val="16C62406"/>
    <w:rsid w:val="16D02610"/>
    <w:rsid w:val="16D503AC"/>
    <w:rsid w:val="16D52CED"/>
    <w:rsid w:val="16D57BCB"/>
    <w:rsid w:val="17034C3C"/>
    <w:rsid w:val="170D15F4"/>
    <w:rsid w:val="171037CA"/>
    <w:rsid w:val="17131521"/>
    <w:rsid w:val="171F532F"/>
    <w:rsid w:val="172A128B"/>
    <w:rsid w:val="17384C14"/>
    <w:rsid w:val="173877C1"/>
    <w:rsid w:val="17577BA6"/>
    <w:rsid w:val="178914AD"/>
    <w:rsid w:val="178A7F7B"/>
    <w:rsid w:val="17961E8F"/>
    <w:rsid w:val="17A50638"/>
    <w:rsid w:val="17B374D2"/>
    <w:rsid w:val="17B7552F"/>
    <w:rsid w:val="17CD317F"/>
    <w:rsid w:val="17F6307E"/>
    <w:rsid w:val="18001D1C"/>
    <w:rsid w:val="18023FB5"/>
    <w:rsid w:val="1820443C"/>
    <w:rsid w:val="18283784"/>
    <w:rsid w:val="182D73C6"/>
    <w:rsid w:val="18551E05"/>
    <w:rsid w:val="185832A8"/>
    <w:rsid w:val="185E6D88"/>
    <w:rsid w:val="18695DE3"/>
    <w:rsid w:val="18780BAC"/>
    <w:rsid w:val="187A3B4C"/>
    <w:rsid w:val="187C5B16"/>
    <w:rsid w:val="18955D2D"/>
    <w:rsid w:val="18A427FE"/>
    <w:rsid w:val="18C20DAC"/>
    <w:rsid w:val="18CB43A7"/>
    <w:rsid w:val="18D13587"/>
    <w:rsid w:val="18F558C8"/>
    <w:rsid w:val="18F737C2"/>
    <w:rsid w:val="190B50EC"/>
    <w:rsid w:val="190D676E"/>
    <w:rsid w:val="19172397"/>
    <w:rsid w:val="194E5DAF"/>
    <w:rsid w:val="196F6835"/>
    <w:rsid w:val="19856C4C"/>
    <w:rsid w:val="19906178"/>
    <w:rsid w:val="19940C3D"/>
    <w:rsid w:val="1998697F"/>
    <w:rsid w:val="19A03A86"/>
    <w:rsid w:val="19A0795C"/>
    <w:rsid w:val="19CC0C9F"/>
    <w:rsid w:val="19D92AF4"/>
    <w:rsid w:val="19E54EBC"/>
    <w:rsid w:val="1A19736B"/>
    <w:rsid w:val="1A203775"/>
    <w:rsid w:val="1A343B58"/>
    <w:rsid w:val="1A4062D0"/>
    <w:rsid w:val="1A642D06"/>
    <w:rsid w:val="1A705133"/>
    <w:rsid w:val="1A823E03"/>
    <w:rsid w:val="1ACB387A"/>
    <w:rsid w:val="1AD03EF7"/>
    <w:rsid w:val="1AD2085D"/>
    <w:rsid w:val="1AEB0D31"/>
    <w:rsid w:val="1B1413CF"/>
    <w:rsid w:val="1B1B5E81"/>
    <w:rsid w:val="1B222DFA"/>
    <w:rsid w:val="1B2435A0"/>
    <w:rsid w:val="1B2F5D8A"/>
    <w:rsid w:val="1B4861BC"/>
    <w:rsid w:val="1B497395"/>
    <w:rsid w:val="1B4C4276"/>
    <w:rsid w:val="1B50328A"/>
    <w:rsid w:val="1B6850B8"/>
    <w:rsid w:val="1B70108C"/>
    <w:rsid w:val="1B8665A2"/>
    <w:rsid w:val="1BC17CE4"/>
    <w:rsid w:val="1BD22A4D"/>
    <w:rsid w:val="1BEA723A"/>
    <w:rsid w:val="1C2C1601"/>
    <w:rsid w:val="1C351FD5"/>
    <w:rsid w:val="1C38223B"/>
    <w:rsid w:val="1C38492A"/>
    <w:rsid w:val="1C485D0F"/>
    <w:rsid w:val="1C4F0B8B"/>
    <w:rsid w:val="1C5F46E4"/>
    <w:rsid w:val="1C65113A"/>
    <w:rsid w:val="1C753007"/>
    <w:rsid w:val="1C766D20"/>
    <w:rsid w:val="1C9A2A0F"/>
    <w:rsid w:val="1CB4652E"/>
    <w:rsid w:val="1CB50CC9"/>
    <w:rsid w:val="1CDC2147"/>
    <w:rsid w:val="1CDD0B4D"/>
    <w:rsid w:val="1CF07981"/>
    <w:rsid w:val="1D01040A"/>
    <w:rsid w:val="1D012A8E"/>
    <w:rsid w:val="1D4110DC"/>
    <w:rsid w:val="1D6D57C8"/>
    <w:rsid w:val="1D7432BE"/>
    <w:rsid w:val="1D813BCE"/>
    <w:rsid w:val="1D9C6BA7"/>
    <w:rsid w:val="1DB161A0"/>
    <w:rsid w:val="1DC5540C"/>
    <w:rsid w:val="1DC85359"/>
    <w:rsid w:val="1DC91D6E"/>
    <w:rsid w:val="1DCC4D99"/>
    <w:rsid w:val="1DD674FF"/>
    <w:rsid w:val="1DD95F2A"/>
    <w:rsid w:val="1DDC3E11"/>
    <w:rsid w:val="1DF95423"/>
    <w:rsid w:val="1DFE521F"/>
    <w:rsid w:val="1E081BFA"/>
    <w:rsid w:val="1E1965DF"/>
    <w:rsid w:val="1E1E22DC"/>
    <w:rsid w:val="1E371C26"/>
    <w:rsid w:val="1E374729"/>
    <w:rsid w:val="1E3C6860"/>
    <w:rsid w:val="1E3E6B81"/>
    <w:rsid w:val="1E496350"/>
    <w:rsid w:val="1E4B29BE"/>
    <w:rsid w:val="1E5E3995"/>
    <w:rsid w:val="1E613D0C"/>
    <w:rsid w:val="1E6A65D5"/>
    <w:rsid w:val="1E826E48"/>
    <w:rsid w:val="1E8618AA"/>
    <w:rsid w:val="1E982F7E"/>
    <w:rsid w:val="1EB936C7"/>
    <w:rsid w:val="1EBB10CB"/>
    <w:rsid w:val="1ECB04B0"/>
    <w:rsid w:val="1ED27475"/>
    <w:rsid w:val="1ED4389A"/>
    <w:rsid w:val="1ED45E22"/>
    <w:rsid w:val="1EE879B6"/>
    <w:rsid w:val="1EFF4DE5"/>
    <w:rsid w:val="1F0B3750"/>
    <w:rsid w:val="1F122FAF"/>
    <w:rsid w:val="1F3A674C"/>
    <w:rsid w:val="1F3C514D"/>
    <w:rsid w:val="1F4153C3"/>
    <w:rsid w:val="1F5F3584"/>
    <w:rsid w:val="1F6B0692"/>
    <w:rsid w:val="1F7B107E"/>
    <w:rsid w:val="1F865EA7"/>
    <w:rsid w:val="1F8E4D0D"/>
    <w:rsid w:val="1F8E612F"/>
    <w:rsid w:val="1F941997"/>
    <w:rsid w:val="1F9C6A9E"/>
    <w:rsid w:val="1FC2498B"/>
    <w:rsid w:val="1FF64400"/>
    <w:rsid w:val="1FFC578E"/>
    <w:rsid w:val="1FFE1506"/>
    <w:rsid w:val="20020FF7"/>
    <w:rsid w:val="20180B70"/>
    <w:rsid w:val="201C198C"/>
    <w:rsid w:val="2039352A"/>
    <w:rsid w:val="208F7B8F"/>
    <w:rsid w:val="209E033E"/>
    <w:rsid w:val="20A42F05"/>
    <w:rsid w:val="20BF553E"/>
    <w:rsid w:val="20E266AB"/>
    <w:rsid w:val="21102B07"/>
    <w:rsid w:val="21134B3E"/>
    <w:rsid w:val="211A228D"/>
    <w:rsid w:val="215007DF"/>
    <w:rsid w:val="215533A8"/>
    <w:rsid w:val="215E79BE"/>
    <w:rsid w:val="217732A7"/>
    <w:rsid w:val="21863561"/>
    <w:rsid w:val="219263AA"/>
    <w:rsid w:val="21A60BF8"/>
    <w:rsid w:val="21A80E9D"/>
    <w:rsid w:val="21AB49A6"/>
    <w:rsid w:val="21C44E06"/>
    <w:rsid w:val="21CB2917"/>
    <w:rsid w:val="21D12B03"/>
    <w:rsid w:val="21EB1616"/>
    <w:rsid w:val="2207555D"/>
    <w:rsid w:val="221A3B3A"/>
    <w:rsid w:val="22320DFF"/>
    <w:rsid w:val="2233118B"/>
    <w:rsid w:val="223D7C69"/>
    <w:rsid w:val="224E14AD"/>
    <w:rsid w:val="22813E3B"/>
    <w:rsid w:val="22943A5C"/>
    <w:rsid w:val="22B9223E"/>
    <w:rsid w:val="22C45A5A"/>
    <w:rsid w:val="22D4654E"/>
    <w:rsid w:val="22E907A2"/>
    <w:rsid w:val="22EC4F9D"/>
    <w:rsid w:val="22EE3A71"/>
    <w:rsid w:val="23137077"/>
    <w:rsid w:val="232E2F09"/>
    <w:rsid w:val="23330577"/>
    <w:rsid w:val="23381AFD"/>
    <w:rsid w:val="233F31F6"/>
    <w:rsid w:val="23573852"/>
    <w:rsid w:val="2378337E"/>
    <w:rsid w:val="237C4C1C"/>
    <w:rsid w:val="239D4280"/>
    <w:rsid w:val="23C422CA"/>
    <w:rsid w:val="23C87262"/>
    <w:rsid w:val="23F67FA6"/>
    <w:rsid w:val="23FA41B0"/>
    <w:rsid w:val="240069B4"/>
    <w:rsid w:val="241035B6"/>
    <w:rsid w:val="24187A22"/>
    <w:rsid w:val="244E158A"/>
    <w:rsid w:val="246F2824"/>
    <w:rsid w:val="248F6BD1"/>
    <w:rsid w:val="24985092"/>
    <w:rsid w:val="249C4BBB"/>
    <w:rsid w:val="24A03AF4"/>
    <w:rsid w:val="24A84D59"/>
    <w:rsid w:val="24AE5C38"/>
    <w:rsid w:val="24C06D8A"/>
    <w:rsid w:val="24D12167"/>
    <w:rsid w:val="24D8345E"/>
    <w:rsid w:val="24E02838"/>
    <w:rsid w:val="24F11781"/>
    <w:rsid w:val="25163BE4"/>
    <w:rsid w:val="25434F0D"/>
    <w:rsid w:val="254D531C"/>
    <w:rsid w:val="2564005E"/>
    <w:rsid w:val="256421C0"/>
    <w:rsid w:val="258119C1"/>
    <w:rsid w:val="25865F30"/>
    <w:rsid w:val="25A83B72"/>
    <w:rsid w:val="25C76444"/>
    <w:rsid w:val="25DE2665"/>
    <w:rsid w:val="25E91C5D"/>
    <w:rsid w:val="25ED5E93"/>
    <w:rsid w:val="26013AFE"/>
    <w:rsid w:val="26501372"/>
    <w:rsid w:val="26555BF8"/>
    <w:rsid w:val="265956E8"/>
    <w:rsid w:val="26746728"/>
    <w:rsid w:val="267E514F"/>
    <w:rsid w:val="268A7650"/>
    <w:rsid w:val="268C28C8"/>
    <w:rsid w:val="26937F25"/>
    <w:rsid w:val="26A271EE"/>
    <w:rsid w:val="26AB7EF8"/>
    <w:rsid w:val="26AC7F08"/>
    <w:rsid w:val="26CC5EBA"/>
    <w:rsid w:val="26EA4592"/>
    <w:rsid w:val="26ED0AC3"/>
    <w:rsid w:val="26EF4C92"/>
    <w:rsid w:val="270A0791"/>
    <w:rsid w:val="27306DB0"/>
    <w:rsid w:val="27383935"/>
    <w:rsid w:val="274707CE"/>
    <w:rsid w:val="276C144B"/>
    <w:rsid w:val="27895B59"/>
    <w:rsid w:val="27A22405"/>
    <w:rsid w:val="27AB7DB9"/>
    <w:rsid w:val="27CB4D62"/>
    <w:rsid w:val="27D14384"/>
    <w:rsid w:val="27E71828"/>
    <w:rsid w:val="2803474D"/>
    <w:rsid w:val="28080ACB"/>
    <w:rsid w:val="280B47C0"/>
    <w:rsid w:val="28414686"/>
    <w:rsid w:val="28645A37"/>
    <w:rsid w:val="28777889"/>
    <w:rsid w:val="28893937"/>
    <w:rsid w:val="288D78CB"/>
    <w:rsid w:val="28CA642A"/>
    <w:rsid w:val="28DB4EF1"/>
    <w:rsid w:val="28F25980"/>
    <w:rsid w:val="29071238"/>
    <w:rsid w:val="29213387"/>
    <w:rsid w:val="29253660"/>
    <w:rsid w:val="29315676"/>
    <w:rsid w:val="29337B71"/>
    <w:rsid w:val="29471761"/>
    <w:rsid w:val="29515CEB"/>
    <w:rsid w:val="29521364"/>
    <w:rsid w:val="295D5ECC"/>
    <w:rsid w:val="29B64C00"/>
    <w:rsid w:val="2A1C2CB5"/>
    <w:rsid w:val="2A361B14"/>
    <w:rsid w:val="2A391AB9"/>
    <w:rsid w:val="2A522E74"/>
    <w:rsid w:val="2A720B27"/>
    <w:rsid w:val="2A7A3E7F"/>
    <w:rsid w:val="2A824862"/>
    <w:rsid w:val="2A945EE4"/>
    <w:rsid w:val="2A9A007E"/>
    <w:rsid w:val="2A9F7DB4"/>
    <w:rsid w:val="2AAF7153"/>
    <w:rsid w:val="2AC918B2"/>
    <w:rsid w:val="2AD04172"/>
    <w:rsid w:val="2AD510B6"/>
    <w:rsid w:val="2AFB5C1B"/>
    <w:rsid w:val="2B1240B8"/>
    <w:rsid w:val="2B1716CE"/>
    <w:rsid w:val="2B3F3181"/>
    <w:rsid w:val="2B53368F"/>
    <w:rsid w:val="2B603075"/>
    <w:rsid w:val="2B6352AF"/>
    <w:rsid w:val="2B6716AF"/>
    <w:rsid w:val="2B715282"/>
    <w:rsid w:val="2B7408CF"/>
    <w:rsid w:val="2BC5112A"/>
    <w:rsid w:val="2BC649C1"/>
    <w:rsid w:val="2BD6635D"/>
    <w:rsid w:val="2BE45A54"/>
    <w:rsid w:val="2BFE65D6"/>
    <w:rsid w:val="2C14399F"/>
    <w:rsid w:val="2C175CE7"/>
    <w:rsid w:val="2C1A1476"/>
    <w:rsid w:val="2C1F4CDE"/>
    <w:rsid w:val="2C477D91"/>
    <w:rsid w:val="2C8B1E40"/>
    <w:rsid w:val="2C9A25B7"/>
    <w:rsid w:val="2CAB0E29"/>
    <w:rsid w:val="2CAE39BA"/>
    <w:rsid w:val="2CB73986"/>
    <w:rsid w:val="2CDA3B3F"/>
    <w:rsid w:val="2D00021B"/>
    <w:rsid w:val="2D0A13DA"/>
    <w:rsid w:val="2D18318D"/>
    <w:rsid w:val="2D300EFC"/>
    <w:rsid w:val="2D3F513B"/>
    <w:rsid w:val="2D421FD0"/>
    <w:rsid w:val="2D5B50F8"/>
    <w:rsid w:val="2D6B3960"/>
    <w:rsid w:val="2D742E08"/>
    <w:rsid w:val="2DA3724B"/>
    <w:rsid w:val="2DD62786"/>
    <w:rsid w:val="2DEB5BE1"/>
    <w:rsid w:val="2E034C51"/>
    <w:rsid w:val="2E0447EE"/>
    <w:rsid w:val="2E206017"/>
    <w:rsid w:val="2E224155"/>
    <w:rsid w:val="2E3879E0"/>
    <w:rsid w:val="2E3946DC"/>
    <w:rsid w:val="2E666C21"/>
    <w:rsid w:val="2E690493"/>
    <w:rsid w:val="2EB57CA5"/>
    <w:rsid w:val="2ECB1C20"/>
    <w:rsid w:val="2EDE7AFE"/>
    <w:rsid w:val="2EF23DB4"/>
    <w:rsid w:val="2F2A7575"/>
    <w:rsid w:val="2F4B1706"/>
    <w:rsid w:val="2F6E42FA"/>
    <w:rsid w:val="2F920C95"/>
    <w:rsid w:val="2FC16BFF"/>
    <w:rsid w:val="2FCF4325"/>
    <w:rsid w:val="2FD24AC8"/>
    <w:rsid w:val="2FE415BC"/>
    <w:rsid w:val="2FEF6776"/>
    <w:rsid w:val="300C37CC"/>
    <w:rsid w:val="302208F9"/>
    <w:rsid w:val="302D713B"/>
    <w:rsid w:val="30304791"/>
    <w:rsid w:val="303C1E9B"/>
    <w:rsid w:val="304F5466"/>
    <w:rsid w:val="305667F5"/>
    <w:rsid w:val="30654D09"/>
    <w:rsid w:val="3086532C"/>
    <w:rsid w:val="30963095"/>
    <w:rsid w:val="309C45E7"/>
    <w:rsid w:val="30A12166"/>
    <w:rsid w:val="30A13BD7"/>
    <w:rsid w:val="30AA7C27"/>
    <w:rsid w:val="30B71989"/>
    <w:rsid w:val="30CA0702"/>
    <w:rsid w:val="30D769D8"/>
    <w:rsid w:val="30E657F6"/>
    <w:rsid w:val="30F94BCC"/>
    <w:rsid w:val="311D0D4C"/>
    <w:rsid w:val="316E6437"/>
    <w:rsid w:val="31923740"/>
    <w:rsid w:val="319C3171"/>
    <w:rsid w:val="31BC6930"/>
    <w:rsid w:val="31C364EC"/>
    <w:rsid w:val="31D41044"/>
    <w:rsid w:val="31DC3FCC"/>
    <w:rsid w:val="31FB5844"/>
    <w:rsid w:val="320845A6"/>
    <w:rsid w:val="32153953"/>
    <w:rsid w:val="322F37A1"/>
    <w:rsid w:val="3243731A"/>
    <w:rsid w:val="32675E48"/>
    <w:rsid w:val="32780945"/>
    <w:rsid w:val="328041E5"/>
    <w:rsid w:val="329D28D8"/>
    <w:rsid w:val="32B36180"/>
    <w:rsid w:val="32B50D78"/>
    <w:rsid w:val="32B971A8"/>
    <w:rsid w:val="32D0288E"/>
    <w:rsid w:val="32E825DF"/>
    <w:rsid w:val="333E1EEE"/>
    <w:rsid w:val="33490375"/>
    <w:rsid w:val="335B18D2"/>
    <w:rsid w:val="337556F0"/>
    <w:rsid w:val="338355EF"/>
    <w:rsid w:val="33A37FA3"/>
    <w:rsid w:val="33D44600"/>
    <w:rsid w:val="33E515CA"/>
    <w:rsid w:val="33EA7980"/>
    <w:rsid w:val="33F94067"/>
    <w:rsid w:val="33FD557F"/>
    <w:rsid w:val="34041C9B"/>
    <w:rsid w:val="34082B44"/>
    <w:rsid w:val="341E0CBC"/>
    <w:rsid w:val="34237336"/>
    <w:rsid w:val="343C4A44"/>
    <w:rsid w:val="34463BA5"/>
    <w:rsid w:val="344B01E1"/>
    <w:rsid w:val="345F4E91"/>
    <w:rsid w:val="345F6B7A"/>
    <w:rsid w:val="34642367"/>
    <w:rsid w:val="347C7A35"/>
    <w:rsid w:val="34AD4D1F"/>
    <w:rsid w:val="34B429FA"/>
    <w:rsid w:val="34C10EE9"/>
    <w:rsid w:val="34D04DC8"/>
    <w:rsid w:val="34E6283D"/>
    <w:rsid w:val="34F226A3"/>
    <w:rsid w:val="34F339E5"/>
    <w:rsid w:val="34F64D07"/>
    <w:rsid w:val="34FE6F2B"/>
    <w:rsid w:val="351C2BB8"/>
    <w:rsid w:val="351D5CF4"/>
    <w:rsid w:val="351F0DD2"/>
    <w:rsid w:val="35243A1C"/>
    <w:rsid w:val="352D74C7"/>
    <w:rsid w:val="3530725E"/>
    <w:rsid w:val="3538296D"/>
    <w:rsid w:val="353A713F"/>
    <w:rsid w:val="353B55C8"/>
    <w:rsid w:val="35625F5F"/>
    <w:rsid w:val="35635C3C"/>
    <w:rsid w:val="358D3C5A"/>
    <w:rsid w:val="3592002F"/>
    <w:rsid w:val="35977F67"/>
    <w:rsid w:val="35AA397D"/>
    <w:rsid w:val="35B75774"/>
    <w:rsid w:val="35BF4E3C"/>
    <w:rsid w:val="35C360C5"/>
    <w:rsid w:val="35C44DEE"/>
    <w:rsid w:val="35F20D39"/>
    <w:rsid w:val="35F43F4A"/>
    <w:rsid w:val="35F5706B"/>
    <w:rsid w:val="35FD75B5"/>
    <w:rsid w:val="36221F90"/>
    <w:rsid w:val="363B44C3"/>
    <w:rsid w:val="364C1CE1"/>
    <w:rsid w:val="365C3BAD"/>
    <w:rsid w:val="366072AB"/>
    <w:rsid w:val="367F7DF8"/>
    <w:rsid w:val="368F1131"/>
    <w:rsid w:val="36983910"/>
    <w:rsid w:val="36AB243C"/>
    <w:rsid w:val="36C95B54"/>
    <w:rsid w:val="36DF192C"/>
    <w:rsid w:val="36E508D2"/>
    <w:rsid w:val="36EB4CDD"/>
    <w:rsid w:val="37094045"/>
    <w:rsid w:val="37133692"/>
    <w:rsid w:val="3715715D"/>
    <w:rsid w:val="3728009E"/>
    <w:rsid w:val="373331A0"/>
    <w:rsid w:val="37440BE0"/>
    <w:rsid w:val="374A67D1"/>
    <w:rsid w:val="375F68D7"/>
    <w:rsid w:val="378A2E68"/>
    <w:rsid w:val="378F1341"/>
    <w:rsid w:val="37914E1C"/>
    <w:rsid w:val="37955E55"/>
    <w:rsid w:val="37A60C4D"/>
    <w:rsid w:val="37B02C8E"/>
    <w:rsid w:val="380038E6"/>
    <w:rsid w:val="380958D5"/>
    <w:rsid w:val="38312021"/>
    <w:rsid w:val="3837515E"/>
    <w:rsid w:val="38380BDE"/>
    <w:rsid w:val="38513D9C"/>
    <w:rsid w:val="38575DB5"/>
    <w:rsid w:val="385D430A"/>
    <w:rsid w:val="388243D6"/>
    <w:rsid w:val="389F63DE"/>
    <w:rsid w:val="38AE5AAE"/>
    <w:rsid w:val="38C94ACB"/>
    <w:rsid w:val="38DD71EC"/>
    <w:rsid w:val="38EA0422"/>
    <w:rsid w:val="38FA3704"/>
    <w:rsid w:val="3938469D"/>
    <w:rsid w:val="39BB084F"/>
    <w:rsid w:val="39C0283A"/>
    <w:rsid w:val="39D0617D"/>
    <w:rsid w:val="39DA3FF3"/>
    <w:rsid w:val="39F23A32"/>
    <w:rsid w:val="39FF1E0A"/>
    <w:rsid w:val="3A105C66"/>
    <w:rsid w:val="3A1B0039"/>
    <w:rsid w:val="3A2700BD"/>
    <w:rsid w:val="3A2B6F44"/>
    <w:rsid w:val="3A347BA7"/>
    <w:rsid w:val="3A352DE2"/>
    <w:rsid w:val="3A444AE5"/>
    <w:rsid w:val="3A573895"/>
    <w:rsid w:val="3A591968"/>
    <w:rsid w:val="3A9C249A"/>
    <w:rsid w:val="3AAF5370"/>
    <w:rsid w:val="3ABB3136"/>
    <w:rsid w:val="3AC9630F"/>
    <w:rsid w:val="3ACC6DBE"/>
    <w:rsid w:val="3ADD1FEC"/>
    <w:rsid w:val="3AEC2176"/>
    <w:rsid w:val="3AFB60DC"/>
    <w:rsid w:val="3B2F16B7"/>
    <w:rsid w:val="3B36794F"/>
    <w:rsid w:val="3B583D69"/>
    <w:rsid w:val="3B604356"/>
    <w:rsid w:val="3B6C265C"/>
    <w:rsid w:val="3B765B81"/>
    <w:rsid w:val="3B7B3C9E"/>
    <w:rsid w:val="3B7F22D6"/>
    <w:rsid w:val="3B8C57C0"/>
    <w:rsid w:val="3B8E0275"/>
    <w:rsid w:val="3BDC15EE"/>
    <w:rsid w:val="3BE54A14"/>
    <w:rsid w:val="3C002431"/>
    <w:rsid w:val="3C014BC7"/>
    <w:rsid w:val="3C037302"/>
    <w:rsid w:val="3C0C4D5B"/>
    <w:rsid w:val="3C293BC2"/>
    <w:rsid w:val="3C2F4ACA"/>
    <w:rsid w:val="3C320C2F"/>
    <w:rsid w:val="3C386A02"/>
    <w:rsid w:val="3C3F6EED"/>
    <w:rsid w:val="3C5153AF"/>
    <w:rsid w:val="3C580792"/>
    <w:rsid w:val="3C6E5E43"/>
    <w:rsid w:val="3C6F3118"/>
    <w:rsid w:val="3C74613C"/>
    <w:rsid w:val="3C833F72"/>
    <w:rsid w:val="3C8F5568"/>
    <w:rsid w:val="3CA01012"/>
    <w:rsid w:val="3CA45516"/>
    <w:rsid w:val="3CA92DC9"/>
    <w:rsid w:val="3CB52AF5"/>
    <w:rsid w:val="3CBF6F46"/>
    <w:rsid w:val="3CD613E9"/>
    <w:rsid w:val="3CE401C5"/>
    <w:rsid w:val="3CE91981"/>
    <w:rsid w:val="3D207281"/>
    <w:rsid w:val="3D416546"/>
    <w:rsid w:val="3D7B789B"/>
    <w:rsid w:val="3D9657A9"/>
    <w:rsid w:val="3D9E5357"/>
    <w:rsid w:val="3DA36DA1"/>
    <w:rsid w:val="3DB00D18"/>
    <w:rsid w:val="3DB42D16"/>
    <w:rsid w:val="3DC9653B"/>
    <w:rsid w:val="3DC96858"/>
    <w:rsid w:val="3DD31EFC"/>
    <w:rsid w:val="3DD81F88"/>
    <w:rsid w:val="3DF1462F"/>
    <w:rsid w:val="3E433E82"/>
    <w:rsid w:val="3E45258B"/>
    <w:rsid w:val="3E636CAD"/>
    <w:rsid w:val="3EA36A08"/>
    <w:rsid w:val="3EA63C10"/>
    <w:rsid w:val="3ECA2888"/>
    <w:rsid w:val="3EDA1E89"/>
    <w:rsid w:val="3EFB2064"/>
    <w:rsid w:val="3F0A7DDC"/>
    <w:rsid w:val="3F2006FA"/>
    <w:rsid w:val="3F206BFE"/>
    <w:rsid w:val="3F2C3542"/>
    <w:rsid w:val="3F316DAB"/>
    <w:rsid w:val="3F403E2A"/>
    <w:rsid w:val="3F4826BB"/>
    <w:rsid w:val="3F4C7741"/>
    <w:rsid w:val="3F681887"/>
    <w:rsid w:val="3F6F38B1"/>
    <w:rsid w:val="3F815597"/>
    <w:rsid w:val="3F8C0675"/>
    <w:rsid w:val="3F956035"/>
    <w:rsid w:val="3F9E7FCA"/>
    <w:rsid w:val="3FA53259"/>
    <w:rsid w:val="3FB079C2"/>
    <w:rsid w:val="3FB65236"/>
    <w:rsid w:val="3FBE071F"/>
    <w:rsid w:val="3FCF2B71"/>
    <w:rsid w:val="3FD17C46"/>
    <w:rsid w:val="3FE639A2"/>
    <w:rsid w:val="3FF72D86"/>
    <w:rsid w:val="3FFA0F65"/>
    <w:rsid w:val="401E3421"/>
    <w:rsid w:val="403C77B5"/>
    <w:rsid w:val="4050500F"/>
    <w:rsid w:val="40552625"/>
    <w:rsid w:val="40784565"/>
    <w:rsid w:val="408745C2"/>
    <w:rsid w:val="408A15E0"/>
    <w:rsid w:val="409A6144"/>
    <w:rsid w:val="40A946DA"/>
    <w:rsid w:val="40AF442B"/>
    <w:rsid w:val="40BD01A1"/>
    <w:rsid w:val="40C774DF"/>
    <w:rsid w:val="40CD3FF4"/>
    <w:rsid w:val="40DE05B8"/>
    <w:rsid w:val="40E46DC7"/>
    <w:rsid w:val="40F0779A"/>
    <w:rsid w:val="40F77B80"/>
    <w:rsid w:val="4108613C"/>
    <w:rsid w:val="411F101A"/>
    <w:rsid w:val="41366171"/>
    <w:rsid w:val="4145334F"/>
    <w:rsid w:val="41511589"/>
    <w:rsid w:val="41605725"/>
    <w:rsid w:val="41760AA5"/>
    <w:rsid w:val="41853106"/>
    <w:rsid w:val="41993698"/>
    <w:rsid w:val="41A06140"/>
    <w:rsid w:val="41CA7043"/>
    <w:rsid w:val="41E35FAA"/>
    <w:rsid w:val="41E65108"/>
    <w:rsid w:val="41F3622B"/>
    <w:rsid w:val="41FD62FC"/>
    <w:rsid w:val="41FF65A5"/>
    <w:rsid w:val="42067245"/>
    <w:rsid w:val="42356F5E"/>
    <w:rsid w:val="423A0160"/>
    <w:rsid w:val="424505BE"/>
    <w:rsid w:val="425D0E63"/>
    <w:rsid w:val="426B6130"/>
    <w:rsid w:val="42B62EBF"/>
    <w:rsid w:val="42BF13A8"/>
    <w:rsid w:val="42C5397A"/>
    <w:rsid w:val="42DC004C"/>
    <w:rsid w:val="42DC527F"/>
    <w:rsid w:val="42F614D5"/>
    <w:rsid w:val="42F92679"/>
    <w:rsid w:val="42FD6AEA"/>
    <w:rsid w:val="43003DE3"/>
    <w:rsid w:val="43066BB7"/>
    <w:rsid w:val="43170066"/>
    <w:rsid w:val="43176CCF"/>
    <w:rsid w:val="431A1904"/>
    <w:rsid w:val="431C567C"/>
    <w:rsid w:val="43230BED"/>
    <w:rsid w:val="432A251A"/>
    <w:rsid w:val="43415AA0"/>
    <w:rsid w:val="43555E26"/>
    <w:rsid w:val="43670FED"/>
    <w:rsid w:val="4372194D"/>
    <w:rsid w:val="43887AA5"/>
    <w:rsid w:val="43A2266B"/>
    <w:rsid w:val="43BD0C0D"/>
    <w:rsid w:val="43BF5ACE"/>
    <w:rsid w:val="43CE7C83"/>
    <w:rsid w:val="43D30AB1"/>
    <w:rsid w:val="43F87AE8"/>
    <w:rsid w:val="442135DE"/>
    <w:rsid w:val="44242BF2"/>
    <w:rsid w:val="44242F80"/>
    <w:rsid w:val="4429081A"/>
    <w:rsid w:val="44295A18"/>
    <w:rsid w:val="443600D1"/>
    <w:rsid w:val="44374DE9"/>
    <w:rsid w:val="443F5AC6"/>
    <w:rsid w:val="44422052"/>
    <w:rsid w:val="444679D0"/>
    <w:rsid w:val="4447641D"/>
    <w:rsid w:val="447D1605"/>
    <w:rsid w:val="448C0A90"/>
    <w:rsid w:val="44B06AD7"/>
    <w:rsid w:val="44D0671E"/>
    <w:rsid w:val="44D4730C"/>
    <w:rsid w:val="44F763A1"/>
    <w:rsid w:val="45097E82"/>
    <w:rsid w:val="450E2C68"/>
    <w:rsid w:val="451F4D85"/>
    <w:rsid w:val="45251793"/>
    <w:rsid w:val="45380515"/>
    <w:rsid w:val="453F3F6E"/>
    <w:rsid w:val="454A606C"/>
    <w:rsid w:val="455870C9"/>
    <w:rsid w:val="455C26A8"/>
    <w:rsid w:val="4560463F"/>
    <w:rsid w:val="45706D26"/>
    <w:rsid w:val="45DE620E"/>
    <w:rsid w:val="45E701C3"/>
    <w:rsid w:val="45EB67D2"/>
    <w:rsid w:val="46144D30"/>
    <w:rsid w:val="46160AA8"/>
    <w:rsid w:val="462E7BA0"/>
    <w:rsid w:val="46412573"/>
    <w:rsid w:val="464F7B16"/>
    <w:rsid w:val="46525488"/>
    <w:rsid w:val="46554453"/>
    <w:rsid w:val="4658445E"/>
    <w:rsid w:val="465B6227"/>
    <w:rsid w:val="46615B41"/>
    <w:rsid w:val="46804174"/>
    <w:rsid w:val="46A6600E"/>
    <w:rsid w:val="46B9431C"/>
    <w:rsid w:val="46DD15C6"/>
    <w:rsid w:val="46E54DD7"/>
    <w:rsid w:val="46FD0452"/>
    <w:rsid w:val="46FE1EC1"/>
    <w:rsid w:val="47173339"/>
    <w:rsid w:val="471D19C3"/>
    <w:rsid w:val="471E5E67"/>
    <w:rsid w:val="473B6AF6"/>
    <w:rsid w:val="47662B41"/>
    <w:rsid w:val="47D247D3"/>
    <w:rsid w:val="48036ED9"/>
    <w:rsid w:val="48164D90"/>
    <w:rsid w:val="4819662E"/>
    <w:rsid w:val="48217413"/>
    <w:rsid w:val="4823125B"/>
    <w:rsid w:val="482B052A"/>
    <w:rsid w:val="48321BFE"/>
    <w:rsid w:val="483D5387"/>
    <w:rsid w:val="4840005F"/>
    <w:rsid w:val="484D0E76"/>
    <w:rsid w:val="484F2050"/>
    <w:rsid w:val="48523482"/>
    <w:rsid w:val="48535A80"/>
    <w:rsid w:val="485729AA"/>
    <w:rsid w:val="485E5E94"/>
    <w:rsid w:val="48677EF8"/>
    <w:rsid w:val="48790E7B"/>
    <w:rsid w:val="487A3570"/>
    <w:rsid w:val="487F60CE"/>
    <w:rsid w:val="48AB372A"/>
    <w:rsid w:val="48C70F09"/>
    <w:rsid w:val="48CA4059"/>
    <w:rsid w:val="48DF1625"/>
    <w:rsid w:val="48E10141"/>
    <w:rsid w:val="48E71DE0"/>
    <w:rsid w:val="48E955FE"/>
    <w:rsid w:val="48F7663F"/>
    <w:rsid w:val="490E5235"/>
    <w:rsid w:val="491D4662"/>
    <w:rsid w:val="491F5EC6"/>
    <w:rsid w:val="492D634D"/>
    <w:rsid w:val="493E1772"/>
    <w:rsid w:val="4959765F"/>
    <w:rsid w:val="49650D95"/>
    <w:rsid w:val="496C4D4B"/>
    <w:rsid w:val="49775F25"/>
    <w:rsid w:val="497C0C22"/>
    <w:rsid w:val="499A0AB6"/>
    <w:rsid w:val="499A6F4E"/>
    <w:rsid w:val="49B90082"/>
    <w:rsid w:val="49B948C6"/>
    <w:rsid w:val="49C47871"/>
    <w:rsid w:val="49E03FD4"/>
    <w:rsid w:val="49E74F73"/>
    <w:rsid w:val="4A05376F"/>
    <w:rsid w:val="4A053A5E"/>
    <w:rsid w:val="4A0C0490"/>
    <w:rsid w:val="4A2A2D74"/>
    <w:rsid w:val="4A3B4F46"/>
    <w:rsid w:val="4A9457E6"/>
    <w:rsid w:val="4ACB602B"/>
    <w:rsid w:val="4ACF6009"/>
    <w:rsid w:val="4AEF3676"/>
    <w:rsid w:val="4B0B4954"/>
    <w:rsid w:val="4B1765DE"/>
    <w:rsid w:val="4B1D3089"/>
    <w:rsid w:val="4B200A28"/>
    <w:rsid w:val="4B3B0743"/>
    <w:rsid w:val="4B4E4840"/>
    <w:rsid w:val="4B55797D"/>
    <w:rsid w:val="4B7324F9"/>
    <w:rsid w:val="4B8169C4"/>
    <w:rsid w:val="4B882CCA"/>
    <w:rsid w:val="4BA72426"/>
    <w:rsid w:val="4BA803F5"/>
    <w:rsid w:val="4BC06985"/>
    <w:rsid w:val="4BEF63DD"/>
    <w:rsid w:val="4C1710D6"/>
    <w:rsid w:val="4C23177E"/>
    <w:rsid w:val="4C266B6F"/>
    <w:rsid w:val="4C3979AF"/>
    <w:rsid w:val="4C417533"/>
    <w:rsid w:val="4C493FB8"/>
    <w:rsid w:val="4C4D6AA3"/>
    <w:rsid w:val="4C545E87"/>
    <w:rsid w:val="4C654AE9"/>
    <w:rsid w:val="4C83051A"/>
    <w:rsid w:val="4CAF54B5"/>
    <w:rsid w:val="4CBE77A4"/>
    <w:rsid w:val="4CCB5621"/>
    <w:rsid w:val="4CCD0192"/>
    <w:rsid w:val="4CD6614F"/>
    <w:rsid w:val="4CDB65A8"/>
    <w:rsid w:val="4CF11E01"/>
    <w:rsid w:val="4CF84A64"/>
    <w:rsid w:val="4D021466"/>
    <w:rsid w:val="4D147D15"/>
    <w:rsid w:val="4D2C6E03"/>
    <w:rsid w:val="4D2F6E4B"/>
    <w:rsid w:val="4D590218"/>
    <w:rsid w:val="4D5E6D65"/>
    <w:rsid w:val="4D6537ED"/>
    <w:rsid w:val="4D6C0273"/>
    <w:rsid w:val="4D7A191D"/>
    <w:rsid w:val="4D7C3091"/>
    <w:rsid w:val="4D7C3266"/>
    <w:rsid w:val="4D840509"/>
    <w:rsid w:val="4D9B2972"/>
    <w:rsid w:val="4D9F75D5"/>
    <w:rsid w:val="4DAB7D28"/>
    <w:rsid w:val="4DC87D7D"/>
    <w:rsid w:val="4DDD1EDB"/>
    <w:rsid w:val="4DE80F7C"/>
    <w:rsid w:val="4DFD3E60"/>
    <w:rsid w:val="4E1C52A3"/>
    <w:rsid w:val="4E1D2330"/>
    <w:rsid w:val="4E230DF5"/>
    <w:rsid w:val="4E2669EA"/>
    <w:rsid w:val="4E807407"/>
    <w:rsid w:val="4E8567CB"/>
    <w:rsid w:val="4E953BAD"/>
    <w:rsid w:val="4E964534"/>
    <w:rsid w:val="4EA330F5"/>
    <w:rsid w:val="4EAD2FAD"/>
    <w:rsid w:val="4EB35F20"/>
    <w:rsid w:val="4EB470B0"/>
    <w:rsid w:val="4ECE7984"/>
    <w:rsid w:val="4EDD3D64"/>
    <w:rsid w:val="4EDD573F"/>
    <w:rsid w:val="4EDF5419"/>
    <w:rsid w:val="4F0040A4"/>
    <w:rsid w:val="4F201784"/>
    <w:rsid w:val="4F2F0FF2"/>
    <w:rsid w:val="4F561F16"/>
    <w:rsid w:val="4F8A253C"/>
    <w:rsid w:val="4F8E5D80"/>
    <w:rsid w:val="4FCD6091"/>
    <w:rsid w:val="4FD572DE"/>
    <w:rsid w:val="4FD80D5F"/>
    <w:rsid w:val="4FDC066D"/>
    <w:rsid w:val="4FFF25AD"/>
    <w:rsid w:val="50024650"/>
    <w:rsid w:val="50094D34"/>
    <w:rsid w:val="500A32CB"/>
    <w:rsid w:val="502838B2"/>
    <w:rsid w:val="50436854"/>
    <w:rsid w:val="504A72AE"/>
    <w:rsid w:val="505C0F03"/>
    <w:rsid w:val="50870E47"/>
    <w:rsid w:val="508C2DDC"/>
    <w:rsid w:val="50943D1E"/>
    <w:rsid w:val="50B11AF9"/>
    <w:rsid w:val="50FE4613"/>
    <w:rsid w:val="511021C5"/>
    <w:rsid w:val="511469EB"/>
    <w:rsid w:val="512652E1"/>
    <w:rsid w:val="512953B4"/>
    <w:rsid w:val="515E4A9F"/>
    <w:rsid w:val="517A638F"/>
    <w:rsid w:val="51856C95"/>
    <w:rsid w:val="51894824"/>
    <w:rsid w:val="51A52218"/>
    <w:rsid w:val="51B11685"/>
    <w:rsid w:val="51BC69A8"/>
    <w:rsid w:val="51DB54AD"/>
    <w:rsid w:val="51E41A5B"/>
    <w:rsid w:val="51E868C0"/>
    <w:rsid w:val="5227392D"/>
    <w:rsid w:val="523607F8"/>
    <w:rsid w:val="524E0305"/>
    <w:rsid w:val="526A01B2"/>
    <w:rsid w:val="529A3FDC"/>
    <w:rsid w:val="52AB2578"/>
    <w:rsid w:val="52AB64C9"/>
    <w:rsid w:val="52AC3333"/>
    <w:rsid w:val="52C534B2"/>
    <w:rsid w:val="52DD4E28"/>
    <w:rsid w:val="52E71802"/>
    <w:rsid w:val="52F65D6E"/>
    <w:rsid w:val="52FF4DD7"/>
    <w:rsid w:val="530C1269"/>
    <w:rsid w:val="53154181"/>
    <w:rsid w:val="53206AC2"/>
    <w:rsid w:val="53234AA5"/>
    <w:rsid w:val="533A0733"/>
    <w:rsid w:val="53B35B89"/>
    <w:rsid w:val="53F97C7A"/>
    <w:rsid w:val="53FD14E1"/>
    <w:rsid w:val="542E2280"/>
    <w:rsid w:val="543D5452"/>
    <w:rsid w:val="544B02ED"/>
    <w:rsid w:val="544B7B6F"/>
    <w:rsid w:val="544C75C8"/>
    <w:rsid w:val="544F0695"/>
    <w:rsid w:val="547678F7"/>
    <w:rsid w:val="54770499"/>
    <w:rsid w:val="54782EE7"/>
    <w:rsid w:val="54A039C5"/>
    <w:rsid w:val="54AA699E"/>
    <w:rsid w:val="54AD4D7C"/>
    <w:rsid w:val="54B52D8E"/>
    <w:rsid w:val="54D14506"/>
    <w:rsid w:val="55056B6F"/>
    <w:rsid w:val="55076432"/>
    <w:rsid w:val="55424C4F"/>
    <w:rsid w:val="55564A1D"/>
    <w:rsid w:val="555E1B20"/>
    <w:rsid w:val="55801A9A"/>
    <w:rsid w:val="5592354D"/>
    <w:rsid w:val="559B34B7"/>
    <w:rsid w:val="55B300C2"/>
    <w:rsid w:val="55BC30AA"/>
    <w:rsid w:val="55EF275F"/>
    <w:rsid w:val="561A703D"/>
    <w:rsid w:val="5627460C"/>
    <w:rsid w:val="563E4C8A"/>
    <w:rsid w:val="565D1435"/>
    <w:rsid w:val="566B5F8F"/>
    <w:rsid w:val="566D200C"/>
    <w:rsid w:val="56A63783"/>
    <w:rsid w:val="56BA263F"/>
    <w:rsid w:val="56C70C24"/>
    <w:rsid w:val="56D54068"/>
    <w:rsid w:val="56F36D7A"/>
    <w:rsid w:val="571A5561"/>
    <w:rsid w:val="5725579B"/>
    <w:rsid w:val="574134AB"/>
    <w:rsid w:val="574376B4"/>
    <w:rsid w:val="578421FC"/>
    <w:rsid w:val="579E08FE"/>
    <w:rsid w:val="57B62A48"/>
    <w:rsid w:val="57B9742D"/>
    <w:rsid w:val="57D52F63"/>
    <w:rsid w:val="57E02CC4"/>
    <w:rsid w:val="57E746FC"/>
    <w:rsid w:val="57E87835"/>
    <w:rsid w:val="5814296E"/>
    <w:rsid w:val="582901C7"/>
    <w:rsid w:val="58403211"/>
    <w:rsid w:val="58824ECF"/>
    <w:rsid w:val="588540F9"/>
    <w:rsid w:val="588854DF"/>
    <w:rsid w:val="588F4B20"/>
    <w:rsid w:val="58A27F7A"/>
    <w:rsid w:val="59071FB3"/>
    <w:rsid w:val="590F61F2"/>
    <w:rsid w:val="591764DD"/>
    <w:rsid w:val="59480B21"/>
    <w:rsid w:val="595C45CC"/>
    <w:rsid w:val="59616AAB"/>
    <w:rsid w:val="596B480F"/>
    <w:rsid w:val="598D29D8"/>
    <w:rsid w:val="59A85A64"/>
    <w:rsid w:val="59C23767"/>
    <w:rsid w:val="59C33B6C"/>
    <w:rsid w:val="59F35A99"/>
    <w:rsid w:val="5A0B2F9A"/>
    <w:rsid w:val="5A0D651A"/>
    <w:rsid w:val="5A382944"/>
    <w:rsid w:val="5A4F0823"/>
    <w:rsid w:val="5A5333ED"/>
    <w:rsid w:val="5A663955"/>
    <w:rsid w:val="5A6951F3"/>
    <w:rsid w:val="5A6A06F6"/>
    <w:rsid w:val="5A6A7C37"/>
    <w:rsid w:val="5A731BCE"/>
    <w:rsid w:val="5A7B338F"/>
    <w:rsid w:val="5A7E7F78"/>
    <w:rsid w:val="5A851901"/>
    <w:rsid w:val="5A8B2ED6"/>
    <w:rsid w:val="5A955FE8"/>
    <w:rsid w:val="5AA1673B"/>
    <w:rsid w:val="5AAF4CA2"/>
    <w:rsid w:val="5AB4720D"/>
    <w:rsid w:val="5AB51A5D"/>
    <w:rsid w:val="5AC72DCD"/>
    <w:rsid w:val="5AD51B54"/>
    <w:rsid w:val="5AE67453"/>
    <w:rsid w:val="5B0873E3"/>
    <w:rsid w:val="5B0E7AA9"/>
    <w:rsid w:val="5B3A12E0"/>
    <w:rsid w:val="5B3C43F9"/>
    <w:rsid w:val="5B4F689D"/>
    <w:rsid w:val="5B616B9E"/>
    <w:rsid w:val="5B637E94"/>
    <w:rsid w:val="5B6836FC"/>
    <w:rsid w:val="5B6C2124"/>
    <w:rsid w:val="5B807C00"/>
    <w:rsid w:val="5B8E1F77"/>
    <w:rsid w:val="5B8E639F"/>
    <w:rsid w:val="5BA12AC7"/>
    <w:rsid w:val="5BFE2505"/>
    <w:rsid w:val="5C0E31E0"/>
    <w:rsid w:val="5C2515ED"/>
    <w:rsid w:val="5C7152F3"/>
    <w:rsid w:val="5CA70FFE"/>
    <w:rsid w:val="5CEE3405"/>
    <w:rsid w:val="5CF52527"/>
    <w:rsid w:val="5D1F1580"/>
    <w:rsid w:val="5D526B73"/>
    <w:rsid w:val="5D5F7D9C"/>
    <w:rsid w:val="5D6F0D72"/>
    <w:rsid w:val="5D973E25"/>
    <w:rsid w:val="5D975E66"/>
    <w:rsid w:val="5DA721EE"/>
    <w:rsid w:val="5DB76275"/>
    <w:rsid w:val="5DC23949"/>
    <w:rsid w:val="5DD92690"/>
    <w:rsid w:val="5DDA44C4"/>
    <w:rsid w:val="5DDC5CDC"/>
    <w:rsid w:val="5DDF5CD5"/>
    <w:rsid w:val="5E036058"/>
    <w:rsid w:val="5E040831"/>
    <w:rsid w:val="5E0D4729"/>
    <w:rsid w:val="5E27164D"/>
    <w:rsid w:val="5E2C1E54"/>
    <w:rsid w:val="5E3342DC"/>
    <w:rsid w:val="5E4541A5"/>
    <w:rsid w:val="5E622188"/>
    <w:rsid w:val="5E6A0C09"/>
    <w:rsid w:val="5E7D66E9"/>
    <w:rsid w:val="5E841F66"/>
    <w:rsid w:val="5E8B39A9"/>
    <w:rsid w:val="5EA902B4"/>
    <w:rsid w:val="5EAB2C63"/>
    <w:rsid w:val="5EC76A64"/>
    <w:rsid w:val="5ED846F5"/>
    <w:rsid w:val="5EF157B7"/>
    <w:rsid w:val="5F014280"/>
    <w:rsid w:val="5F04373C"/>
    <w:rsid w:val="5F082CB5"/>
    <w:rsid w:val="5F0C5367"/>
    <w:rsid w:val="5F3833E6"/>
    <w:rsid w:val="5F3C4F00"/>
    <w:rsid w:val="5F555D46"/>
    <w:rsid w:val="5F571ABE"/>
    <w:rsid w:val="5F606BB3"/>
    <w:rsid w:val="5F61742A"/>
    <w:rsid w:val="5F64678F"/>
    <w:rsid w:val="5F9871DA"/>
    <w:rsid w:val="5FA171DD"/>
    <w:rsid w:val="5FBC4017"/>
    <w:rsid w:val="5FC9726E"/>
    <w:rsid w:val="5FD73A75"/>
    <w:rsid w:val="5FF67EAC"/>
    <w:rsid w:val="5FF72267"/>
    <w:rsid w:val="5FFE018B"/>
    <w:rsid w:val="6036368B"/>
    <w:rsid w:val="60363DC9"/>
    <w:rsid w:val="60414D32"/>
    <w:rsid w:val="604A2DD9"/>
    <w:rsid w:val="60563C7B"/>
    <w:rsid w:val="6058765C"/>
    <w:rsid w:val="606472FC"/>
    <w:rsid w:val="60804663"/>
    <w:rsid w:val="60844814"/>
    <w:rsid w:val="6098238E"/>
    <w:rsid w:val="60986EE8"/>
    <w:rsid w:val="60C07B37"/>
    <w:rsid w:val="60E539A3"/>
    <w:rsid w:val="60E7371E"/>
    <w:rsid w:val="60FD0443"/>
    <w:rsid w:val="60FF244A"/>
    <w:rsid w:val="610B2185"/>
    <w:rsid w:val="610E1FC4"/>
    <w:rsid w:val="61226E6C"/>
    <w:rsid w:val="612F525A"/>
    <w:rsid w:val="61364C91"/>
    <w:rsid w:val="61380ADF"/>
    <w:rsid w:val="613A1697"/>
    <w:rsid w:val="61500EBB"/>
    <w:rsid w:val="615237D7"/>
    <w:rsid w:val="61783F6D"/>
    <w:rsid w:val="61883922"/>
    <w:rsid w:val="619E75CA"/>
    <w:rsid w:val="61A43492"/>
    <w:rsid w:val="61AE540E"/>
    <w:rsid w:val="61B431F8"/>
    <w:rsid w:val="61D355A0"/>
    <w:rsid w:val="61D657D6"/>
    <w:rsid w:val="61E403FB"/>
    <w:rsid w:val="61F16DAF"/>
    <w:rsid w:val="61F47A98"/>
    <w:rsid w:val="61F53810"/>
    <w:rsid w:val="61FF3526"/>
    <w:rsid w:val="61FF6585"/>
    <w:rsid w:val="62001846"/>
    <w:rsid w:val="620140DF"/>
    <w:rsid w:val="620F042E"/>
    <w:rsid w:val="621A7317"/>
    <w:rsid w:val="62253BCC"/>
    <w:rsid w:val="62597184"/>
    <w:rsid w:val="625C50B7"/>
    <w:rsid w:val="62620EA5"/>
    <w:rsid w:val="626647B3"/>
    <w:rsid w:val="62970423"/>
    <w:rsid w:val="62975F54"/>
    <w:rsid w:val="62A61D97"/>
    <w:rsid w:val="62B06A9B"/>
    <w:rsid w:val="62BD1642"/>
    <w:rsid w:val="62BF09F2"/>
    <w:rsid w:val="62D77953"/>
    <w:rsid w:val="62D82F16"/>
    <w:rsid w:val="62F022F5"/>
    <w:rsid w:val="630006BE"/>
    <w:rsid w:val="631C1015"/>
    <w:rsid w:val="6327409A"/>
    <w:rsid w:val="6329551F"/>
    <w:rsid w:val="633D546F"/>
    <w:rsid w:val="63471D15"/>
    <w:rsid w:val="634C4DBD"/>
    <w:rsid w:val="63514973"/>
    <w:rsid w:val="63676048"/>
    <w:rsid w:val="636B26DB"/>
    <w:rsid w:val="63784A9C"/>
    <w:rsid w:val="637D3ABD"/>
    <w:rsid w:val="637F15E3"/>
    <w:rsid w:val="63956756"/>
    <w:rsid w:val="63982D16"/>
    <w:rsid w:val="63A578CC"/>
    <w:rsid w:val="63AA345E"/>
    <w:rsid w:val="63B147CB"/>
    <w:rsid w:val="63E91153"/>
    <w:rsid w:val="63FE0C00"/>
    <w:rsid w:val="64145061"/>
    <w:rsid w:val="642D6531"/>
    <w:rsid w:val="644119FC"/>
    <w:rsid w:val="644F5459"/>
    <w:rsid w:val="6456039C"/>
    <w:rsid w:val="645C1924"/>
    <w:rsid w:val="645C3295"/>
    <w:rsid w:val="645E0594"/>
    <w:rsid w:val="64683C68"/>
    <w:rsid w:val="649138A8"/>
    <w:rsid w:val="649303EC"/>
    <w:rsid w:val="64A137DB"/>
    <w:rsid w:val="64B418D0"/>
    <w:rsid w:val="64DB0657"/>
    <w:rsid w:val="64E558BE"/>
    <w:rsid w:val="64FD3036"/>
    <w:rsid w:val="65156344"/>
    <w:rsid w:val="65295F8C"/>
    <w:rsid w:val="655A60B2"/>
    <w:rsid w:val="657D4955"/>
    <w:rsid w:val="657F4FCC"/>
    <w:rsid w:val="658514DA"/>
    <w:rsid w:val="658E3D60"/>
    <w:rsid w:val="65942EAE"/>
    <w:rsid w:val="65A8484C"/>
    <w:rsid w:val="65BA4B55"/>
    <w:rsid w:val="65BA6903"/>
    <w:rsid w:val="65C76335"/>
    <w:rsid w:val="66116E4D"/>
    <w:rsid w:val="66124586"/>
    <w:rsid w:val="6616725E"/>
    <w:rsid w:val="6656652C"/>
    <w:rsid w:val="66623A29"/>
    <w:rsid w:val="66737EE4"/>
    <w:rsid w:val="66763563"/>
    <w:rsid w:val="668141DE"/>
    <w:rsid w:val="66862C89"/>
    <w:rsid w:val="66BC48FC"/>
    <w:rsid w:val="66C24F70"/>
    <w:rsid w:val="67073DC9"/>
    <w:rsid w:val="67670D0C"/>
    <w:rsid w:val="67672ABA"/>
    <w:rsid w:val="67701B39"/>
    <w:rsid w:val="6771220F"/>
    <w:rsid w:val="67864576"/>
    <w:rsid w:val="67871E57"/>
    <w:rsid w:val="678D611D"/>
    <w:rsid w:val="678E6299"/>
    <w:rsid w:val="67B21482"/>
    <w:rsid w:val="67B27D0A"/>
    <w:rsid w:val="67EA1429"/>
    <w:rsid w:val="67EB36EB"/>
    <w:rsid w:val="67F02AB0"/>
    <w:rsid w:val="67FA7EE3"/>
    <w:rsid w:val="6800317F"/>
    <w:rsid w:val="680700DC"/>
    <w:rsid w:val="68126ECA"/>
    <w:rsid w:val="681E3FB6"/>
    <w:rsid w:val="682E35D8"/>
    <w:rsid w:val="683F6EE6"/>
    <w:rsid w:val="6841122D"/>
    <w:rsid w:val="685D03F9"/>
    <w:rsid w:val="686317AD"/>
    <w:rsid w:val="6878384E"/>
    <w:rsid w:val="68995C77"/>
    <w:rsid w:val="68AB0476"/>
    <w:rsid w:val="68CF05F3"/>
    <w:rsid w:val="68D92856"/>
    <w:rsid w:val="69112CDD"/>
    <w:rsid w:val="69273E73"/>
    <w:rsid w:val="694A2693"/>
    <w:rsid w:val="698856EE"/>
    <w:rsid w:val="699F28D9"/>
    <w:rsid w:val="69C55155"/>
    <w:rsid w:val="6A042842"/>
    <w:rsid w:val="6A130CD7"/>
    <w:rsid w:val="6A31115D"/>
    <w:rsid w:val="6A3F7D1E"/>
    <w:rsid w:val="6A436746"/>
    <w:rsid w:val="6A51640E"/>
    <w:rsid w:val="6A59707E"/>
    <w:rsid w:val="6A6B28C1"/>
    <w:rsid w:val="6A863A05"/>
    <w:rsid w:val="6AA638F9"/>
    <w:rsid w:val="6AA67D9D"/>
    <w:rsid w:val="6AAE60B2"/>
    <w:rsid w:val="6AB473D0"/>
    <w:rsid w:val="6AC344AB"/>
    <w:rsid w:val="6AD177C5"/>
    <w:rsid w:val="6AE13432"/>
    <w:rsid w:val="6AEA5EDC"/>
    <w:rsid w:val="6AEB2C75"/>
    <w:rsid w:val="6AF573BF"/>
    <w:rsid w:val="6B00125C"/>
    <w:rsid w:val="6B050FEE"/>
    <w:rsid w:val="6B0B04E3"/>
    <w:rsid w:val="6B201E3B"/>
    <w:rsid w:val="6B225DD0"/>
    <w:rsid w:val="6B252A70"/>
    <w:rsid w:val="6B293D9A"/>
    <w:rsid w:val="6B380873"/>
    <w:rsid w:val="6B421874"/>
    <w:rsid w:val="6B482C03"/>
    <w:rsid w:val="6B4A697B"/>
    <w:rsid w:val="6B531AB3"/>
    <w:rsid w:val="6B560266"/>
    <w:rsid w:val="6B5B7BB3"/>
    <w:rsid w:val="6B647ACE"/>
    <w:rsid w:val="6B9D4CFC"/>
    <w:rsid w:val="6BC7621D"/>
    <w:rsid w:val="6BCA4420"/>
    <w:rsid w:val="6BCE6D20"/>
    <w:rsid w:val="6BD34BC2"/>
    <w:rsid w:val="6BD82524"/>
    <w:rsid w:val="6BF012D0"/>
    <w:rsid w:val="6C0C513D"/>
    <w:rsid w:val="6C1A459F"/>
    <w:rsid w:val="6C233EB6"/>
    <w:rsid w:val="6C250955"/>
    <w:rsid w:val="6C2814C5"/>
    <w:rsid w:val="6C347ED9"/>
    <w:rsid w:val="6C4746C3"/>
    <w:rsid w:val="6C4B378C"/>
    <w:rsid w:val="6C4C3F45"/>
    <w:rsid w:val="6C553829"/>
    <w:rsid w:val="6C5D7747"/>
    <w:rsid w:val="6C5E6DEF"/>
    <w:rsid w:val="6C8C7F2F"/>
    <w:rsid w:val="6C9E6F7E"/>
    <w:rsid w:val="6CB03B82"/>
    <w:rsid w:val="6CCF0D79"/>
    <w:rsid w:val="6CDF7B13"/>
    <w:rsid w:val="6CE2170E"/>
    <w:rsid w:val="6CE85773"/>
    <w:rsid w:val="6CF3576D"/>
    <w:rsid w:val="6D166445"/>
    <w:rsid w:val="6D2E2EAE"/>
    <w:rsid w:val="6D322D38"/>
    <w:rsid w:val="6D4E1FD9"/>
    <w:rsid w:val="6D504C80"/>
    <w:rsid w:val="6D512BBB"/>
    <w:rsid w:val="6D605FE2"/>
    <w:rsid w:val="6D745F31"/>
    <w:rsid w:val="6D7E0B5E"/>
    <w:rsid w:val="6D8018C0"/>
    <w:rsid w:val="6DC1541F"/>
    <w:rsid w:val="6DCA36D7"/>
    <w:rsid w:val="6DDD6420"/>
    <w:rsid w:val="6DF32FA3"/>
    <w:rsid w:val="6E0A47B1"/>
    <w:rsid w:val="6E1A57AF"/>
    <w:rsid w:val="6E1B63AC"/>
    <w:rsid w:val="6E2071FE"/>
    <w:rsid w:val="6E213562"/>
    <w:rsid w:val="6E3A4A84"/>
    <w:rsid w:val="6E49547A"/>
    <w:rsid w:val="6E522ADB"/>
    <w:rsid w:val="6E7F3A9C"/>
    <w:rsid w:val="6ED870F8"/>
    <w:rsid w:val="6EDD73F8"/>
    <w:rsid w:val="6EE20FB0"/>
    <w:rsid w:val="6EE5266B"/>
    <w:rsid w:val="6F0C75E9"/>
    <w:rsid w:val="6F127BBD"/>
    <w:rsid w:val="6F1F1ECC"/>
    <w:rsid w:val="6F343BCA"/>
    <w:rsid w:val="6F5C6C7D"/>
    <w:rsid w:val="6F82139A"/>
    <w:rsid w:val="6F8A37EA"/>
    <w:rsid w:val="6FB60DD9"/>
    <w:rsid w:val="6FC860C0"/>
    <w:rsid w:val="6FD1766A"/>
    <w:rsid w:val="6FE13847"/>
    <w:rsid w:val="7034110A"/>
    <w:rsid w:val="70347EC5"/>
    <w:rsid w:val="7037325E"/>
    <w:rsid w:val="704C0A9F"/>
    <w:rsid w:val="704E09D6"/>
    <w:rsid w:val="70716758"/>
    <w:rsid w:val="70877D29"/>
    <w:rsid w:val="70932B0C"/>
    <w:rsid w:val="709F1517"/>
    <w:rsid w:val="70BA5135"/>
    <w:rsid w:val="70C865BA"/>
    <w:rsid w:val="70FF68A0"/>
    <w:rsid w:val="710359C7"/>
    <w:rsid w:val="710C4F64"/>
    <w:rsid w:val="7128175B"/>
    <w:rsid w:val="712832BA"/>
    <w:rsid w:val="712E7CE0"/>
    <w:rsid w:val="7138070D"/>
    <w:rsid w:val="7141684A"/>
    <w:rsid w:val="714B2F5B"/>
    <w:rsid w:val="714F4CEB"/>
    <w:rsid w:val="715948DA"/>
    <w:rsid w:val="716342F2"/>
    <w:rsid w:val="716408AF"/>
    <w:rsid w:val="71950A73"/>
    <w:rsid w:val="71A11A70"/>
    <w:rsid w:val="71BB56FA"/>
    <w:rsid w:val="71E260CC"/>
    <w:rsid w:val="71EE5316"/>
    <w:rsid w:val="726D67FC"/>
    <w:rsid w:val="72715C07"/>
    <w:rsid w:val="727934AD"/>
    <w:rsid w:val="72807BA3"/>
    <w:rsid w:val="729C3F60"/>
    <w:rsid w:val="72A44BC2"/>
    <w:rsid w:val="72B017B9"/>
    <w:rsid w:val="72B62B48"/>
    <w:rsid w:val="72BD5C84"/>
    <w:rsid w:val="72ED34B8"/>
    <w:rsid w:val="72FA32DB"/>
    <w:rsid w:val="73216213"/>
    <w:rsid w:val="73221F8B"/>
    <w:rsid w:val="732E26DE"/>
    <w:rsid w:val="733028FA"/>
    <w:rsid w:val="733046A8"/>
    <w:rsid w:val="73315854"/>
    <w:rsid w:val="73483566"/>
    <w:rsid w:val="7349146F"/>
    <w:rsid w:val="73657957"/>
    <w:rsid w:val="73896160"/>
    <w:rsid w:val="73B47087"/>
    <w:rsid w:val="73B60C7A"/>
    <w:rsid w:val="73C3551C"/>
    <w:rsid w:val="73C36379"/>
    <w:rsid w:val="73D25C8D"/>
    <w:rsid w:val="73FE0302"/>
    <w:rsid w:val="73FE6554"/>
    <w:rsid w:val="74235FBB"/>
    <w:rsid w:val="745373AE"/>
    <w:rsid w:val="74625466"/>
    <w:rsid w:val="74633F4C"/>
    <w:rsid w:val="74704AA1"/>
    <w:rsid w:val="74843CE8"/>
    <w:rsid w:val="748544EE"/>
    <w:rsid w:val="7491438D"/>
    <w:rsid w:val="749F246B"/>
    <w:rsid w:val="74A83B7E"/>
    <w:rsid w:val="74AF784E"/>
    <w:rsid w:val="74CD5FB0"/>
    <w:rsid w:val="74EE65C9"/>
    <w:rsid w:val="74F0721D"/>
    <w:rsid w:val="74F9044A"/>
    <w:rsid w:val="74FD680C"/>
    <w:rsid w:val="75267B11"/>
    <w:rsid w:val="758337D6"/>
    <w:rsid w:val="75A46F31"/>
    <w:rsid w:val="75A8117E"/>
    <w:rsid w:val="75ED4AD2"/>
    <w:rsid w:val="75F24464"/>
    <w:rsid w:val="75FA70B8"/>
    <w:rsid w:val="76000617"/>
    <w:rsid w:val="761E6A3A"/>
    <w:rsid w:val="762A2599"/>
    <w:rsid w:val="763B5B08"/>
    <w:rsid w:val="7641097A"/>
    <w:rsid w:val="76433C09"/>
    <w:rsid w:val="76465CA4"/>
    <w:rsid w:val="76527883"/>
    <w:rsid w:val="765909D8"/>
    <w:rsid w:val="766B47B6"/>
    <w:rsid w:val="767D5E56"/>
    <w:rsid w:val="76967AE3"/>
    <w:rsid w:val="76AF7FDA"/>
    <w:rsid w:val="76B068C0"/>
    <w:rsid w:val="76CE0A27"/>
    <w:rsid w:val="76CE66B2"/>
    <w:rsid w:val="76DB2B7D"/>
    <w:rsid w:val="76E01F41"/>
    <w:rsid w:val="76F5791C"/>
    <w:rsid w:val="771852A8"/>
    <w:rsid w:val="77256DE2"/>
    <w:rsid w:val="772F154E"/>
    <w:rsid w:val="773E62DA"/>
    <w:rsid w:val="773F7BB9"/>
    <w:rsid w:val="77471AC4"/>
    <w:rsid w:val="77737259"/>
    <w:rsid w:val="77992DCC"/>
    <w:rsid w:val="77A711E5"/>
    <w:rsid w:val="77BF1197"/>
    <w:rsid w:val="77BF3850"/>
    <w:rsid w:val="77CC63FB"/>
    <w:rsid w:val="77D26BAD"/>
    <w:rsid w:val="77D80CDC"/>
    <w:rsid w:val="77F122C3"/>
    <w:rsid w:val="77FA431C"/>
    <w:rsid w:val="782347DB"/>
    <w:rsid w:val="782C2386"/>
    <w:rsid w:val="784976D3"/>
    <w:rsid w:val="784F3822"/>
    <w:rsid w:val="786077AB"/>
    <w:rsid w:val="786170B2"/>
    <w:rsid w:val="78700AEC"/>
    <w:rsid w:val="78817E80"/>
    <w:rsid w:val="78881314"/>
    <w:rsid w:val="789B139E"/>
    <w:rsid w:val="78BC6A58"/>
    <w:rsid w:val="78FE4D5E"/>
    <w:rsid w:val="794970F6"/>
    <w:rsid w:val="796C21B2"/>
    <w:rsid w:val="797177C8"/>
    <w:rsid w:val="797C1FDC"/>
    <w:rsid w:val="798D11EF"/>
    <w:rsid w:val="799F634B"/>
    <w:rsid w:val="79B25E17"/>
    <w:rsid w:val="79BD47BC"/>
    <w:rsid w:val="79D85059"/>
    <w:rsid w:val="79E046C3"/>
    <w:rsid w:val="7A094CA8"/>
    <w:rsid w:val="7A1532E7"/>
    <w:rsid w:val="7A41010A"/>
    <w:rsid w:val="7A4C5587"/>
    <w:rsid w:val="7A5C5D83"/>
    <w:rsid w:val="7A635363"/>
    <w:rsid w:val="7A664E53"/>
    <w:rsid w:val="7A6E50FD"/>
    <w:rsid w:val="7A7652E0"/>
    <w:rsid w:val="7A8A4B6A"/>
    <w:rsid w:val="7A8D0632"/>
    <w:rsid w:val="7A9C77AE"/>
    <w:rsid w:val="7AB418D0"/>
    <w:rsid w:val="7AB73F37"/>
    <w:rsid w:val="7ADE09A6"/>
    <w:rsid w:val="7AEE7323"/>
    <w:rsid w:val="7AF8058E"/>
    <w:rsid w:val="7B67576E"/>
    <w:rsid w:val="7B684125"/>
    <w:rsid w:val="7B782ED4"/>
    <w:rsid w:val="7B7D31C4"/>
    <w:rsid w:val="7BA60171"/>
    <w:rsid w:val="7BE97AEA"/>
    <w:rsid w:val="7C013085"/>
    <w:rsid w:val="7C015831"/>
    <w:rsid w:val="7C057E14"/>
    <w:rsid w:val="7C0F0E79"/>
    <w:rsid w:val="7C1253BC"/>
    <w:rsid w:val="7C1B1A99"/>
    <w:rsid w:val="7C375E5E"/>
    <w:rsid w:val="7C423191"/>
    <w:rsid w:val="7C61562B"/>
    <w:rsid w:val="7C622D7E"/>
    <w:rsid w:val="7C8B6DF3"/>
    <w:rsid w:val="7C8C718A"/>
    <w:rsid w:val="7C9B5288"/>
    <w:rsid w:val="7C9B6DD9"/>
    <w:rsid w:val="7CB77BE8"/>
    <w:rsid w:val="7CCB2E87"/>
    <w:rsid w:val="7CE209E7"/>
    <w:rsid w:val="7CF445DA"/>
    <w:rsid w:val="7CFF1EC7"/>
    <w:rsid w:val="7D1A6F58"/>
    <w:rsid w:val="7D554834"/>
    <w:rsid w:val="7D741635"/>
    <w:rsid w:val="7D7D3C6D"/>
    <w:rsid w:val="7D831878"/>
    <w:rsid w:val="7D865993"/>
    <w:rsid w:val="7D982EFE"/>
    <w:rsid w:val="7DC12F45"/>
    <w:rsid w:val="7DCB394B"/>
    <w:rsid w:val="7DCB3A8A"/>
    <w:rsid w:val="7DD1096F"/>
    <w:rsid w:val="7DE10D4F"/>
    <w:rsid w:val="7DEF65D0"/>
    <w:rsid w:val="7E0B3610"/>
    <w:rsid w:val="7E176B90"/>
    <w:rsid w:val="7E3200C4"/>
    <w:rsid w:val="7E3A287F"/>
    <w:rsid w:val="7E703D97"/>
    <w:rsid w:val="7EAC1F50"/>
    <w:rsid w:val="7EB32155"/>
    <w:rsid w:val="7ECA0D46"/>
    <w:rsid w:val="7ED6616C"/>
    <w:rsid w:val="7EF97A8A"/>
    <w:rsid w:val="7F067F7C"/>
    <w:rsid w:val="7F2257ED"/>
    <w:rsid w:val="7F767868"/>
    <w:rsid w:val="7F8F4BF5"/>
    <w:rsid w:val="7F912972"/>
    <w:rsid w:val="7F982BE1"/>
    <w:rsid w:val="7F9E0BEB"/>
    <w:rsid w:val="7FA45B64"/>
    <w:rsid w:val="7FA53B5B"/>
    <w:rsid w:val="7FC215A3"/>
    <w:rsid w:val="7FC93EBA"/>
    <w:rsid w:val="7FCB5E84"/>
    <w:rsid w:val="7FD64829"/>
    <w:rsid w:val="7FDF548C"/>
    <w:rsid w:val="7FFB02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99"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106"/>
    <w:qFormat/>
    <w:uiPriority w:val="0"/>
    <w:pPr>
      <w:widowControl w:val="0"/>
      <w:jc w:val="both"/>
    </w:pPr>
    <w:rPr>
      <w:rFonts w:ascii="Calibri" w:hAnsi="Calibri" w:eastAsia="宋体" w:cs="Times New Roman"/>
      <w:kern w:val="2"/>
      <w:sz w:val="21"/>
      <w:szCs w:val="24"/>
      <w:lang w:val="en-US" w:eastAsia="zh-CN" w:bidi="ar-SA"/>
    </w:rPr>
  </w:style>
  <w:style w:type="paragraph" w:styleId="5">
    <w:name w:val="heading 1"/>
    <w:basedOn w:val="1"/>
    <w:next w:val="1"/>
    <w:link w:val="114"/>
    <w:qFormat/>
    <w:uiPriority w:val="0"/>
    <w:pPr>
      <w:keepNext/>
      <w:keepLines/>
      <w:autoSpaceDE w:val="0"/>
      <w:autoSpaceDN w:val="0"/>
      <w:adjustRightInd w:val="0"/>
      <w:spacing w:before="240" w:after="120" w:line="300" w:lineRule="auto"/>
      <w:jc w:val="center"/>
      <w:outlineLvl w:val="0"/>
    </w:pPr>
    <w:rPr>
      <w:rFonts w:ascii="宋体"/>
      <w:kern w:val="44"/>
      <w:sz w:val="32"/>
      <w:szCs w:val="20"/>
    </w:rPr>
  </w:style>
  <w:style w:type="paragraph" w:styleId="6">
    <w:name w:val="heading 2"/>
    <w:basedOn w:val="1"/>
    <w:next w:val="1"/>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2">
    <w:name w:val="heading 3"/>
    <w:basedOn w:val="1"/>
    <w:next w:val="3"/>
    <w:qFormat/>
    <w:uiPriority w:val="0"/>
    <w:pPr>
      <w:spacing w:before="360" w:after="120"/>
      <w:jc w:val="left"/>
      <w:outlineLvl w:val="2"/>
    </w:pPr>
    <w:rPr>
      <w:rFonts w:ascii="宋体" w:hAnsi="Times New Roman" w:eastAsia="宋体"/>
      <w:sz w:val="24"/>
      <w:u w:val="single"/>
    </w:rPr>
  </w:style>
  <w:style w:type="paragraph" w:styleId="7">
    <w:name w:val="heading 4"/>
    <w:basedOn w:val="1"/>
    <w:next w:val="1"/>
    <w:qFormat/>
    <w:uiPriority w:val="0"/>
    <w:pPr>
      <w:keepNext/>
      <w:keepLines/>
      <w:spacing w:before="280" w:beforeAutospacing="0" w:after="290" w:afterAutospacing="0" w:line="372" w:lineRule="auto"/>
      <w:outlineLvl w:val="3"/>
    </w:pPr>
    <w:rPr>
      <w:rFonts w:ascii="Arial" w:hAnsi="Arial" w:eastAsia="黑体"/>
      <w:b/>
      <w:sz w:val="28"/>
    </w:rPr>
  </w:style>
  <w:style w:type="paragraph" w:styleId="8">
    <w:name w:val="heading 5"/>
    <w:basedOn w:val="1"/>
    <w:next w:val="1"/>
    <w:semiHidden/>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33">
    <w:name w:val="Default Paragraph Font"/>
    <w:qFormat/>
    <w:uiPriority w:val="1"/>
  </w:style>
  <w:style w:type="table" w:default="1" w:styleId="31">
    <w:name w:val="Normal Table"/>
    <w:qFormat/>
    <w:uiPriority w:val="99"/>
    <w:tblPr>
      <w:tblCellMar>
        <w:top w:w="0" w:type="dxa"/>
        <w:left w:w="108" w:type="dxa"/>
        <w:bottom w:w="0" w:type="dxa"/>
        <w:right w:w="108" w:type="dxa"/>
      </w:tblCellMar>
    </w:tblPr>
  </w:style>
  <w:style w:type="paragraph" w:styleId="3">
    <w:name w:val="Normal Indent"/>
    <w:basedOn w:val="1"/>
    <w:next w:val="4"/>
    <w:qFormat/>
    <w:uiPriority w:val="0"/>
    <w:pPr>
      <w:autoSpaceDE w:val="0"/>
      <w:autoSpaceDN w:val="0"/>
      <w:adjustRightInd w:val="0"/>
      <w:ind w:firstLine="420"/>
      <w:jc w:val="left"/>
    </w:pPr>
    <w:rPr>
      <w:rFonts w:ascii="宋体" w:hAnsi="Times New Roman"/>
      <w:kern w:val="0"/>
      <w:sz w:val="24"/>
      <w:szCs w:val="20"/>
    </w:rPr>
  </w:style>
  <w:style w:type="paragraph" w:styleId="4">
    <w:name w:val="toa heading"/>
    <w:basedOn w:val="1"/>
    <w:next w:val="1"/>
    <w:qFormat/>
    <w:uiPriority w:val="0"/>
    <w:pPr>
      <w:widowControl/>
      <w:spacing w:before="120"/>
      <w:ind w:firstLine="3584"/>
    </w:pPr>
  </w:style>
  <w:style w:type="paragraph" w:styleId="9">
    <w:name w:val="annotation text"/>
    <w:basedOn w:val="1"/>
    <w:link w:val="71"/>
    <w:qFormat/>
    <w:uiPriority w:val="0"/>
    <w:pPr>
      <w:jc w:val="left"/>
    </w:pPr>
  </w:style>
  <w:style w:type="paragraph" w:styleId="10">
    <w:name w:val="index 6"/>
    <w:basedOn w:val="1"/>
    <w:next w:val="1"/>
    <w:qFormat/>
    <w:uiPriority w:val="99"/>
    <w:pPr>
      <w:ind w:left="2100"/>
    </w:pPr>
  </w:style>
  <w:style w:type="paragraph" w:styleId="11">
    <w:name w:val="Body Text 3"/>
    <w:basedOn w:val="1"/>
    <w:qFormat/>
    <w:uiPriority w:val="99"/>
    <w:pPr>
      <w:spacing w:after="120"/>
    </w:pPr>
    <w:rPr>
      <w:sz w:val="16"/>
      <w:szCs w:val="16"/>
    </w:rPr>
  </w:style>
  <w:style w:type="paragraph" w:styleId="12">
    <w:name w:val="Body Text"/>
    <w:basedOn w:val="1"/>
    <w:next w:val="1"/>
    <w:qFormat/>
    <w:uiPriority w:val="0"/>
    <w:pPr>
      <w:tabs>
        <w:tab w:val="left" w:pos="567"/>
      </w:tabs>
      <w:spacing w:before="120" w:line="22" w:lineRule="atLeast"/>
    </w:pPr>
    <w:rPr>
      <w:rFonts w:ascii="宋体" w:hAnsi="宋体"/>
      <w:sz w:val="24"/>
    </w:rPr>
  </w:style>
  <w:style w:type="paragraph" w:styleId="13">
    <w:name w:val="Body Text Indent"/>
    <w:basedOn w:val="1"/>
    <w:next w:val="14"/>
    <w:qFormat/>
    <w:uiPriority w:val="0"/>
    <w:pPr>
      <w:spacing w:line="360" w:lineRule="auto"/>
      <w:ind w:firstLine="570"/>
    </w:pPr>
    <w:rPr>
      <w:rFonts w:ascii="Times New Roman" w:hAnsi="Times New Roman"/>
      <w:sz w:val="24"/>
    </w:rPr>
  </w:style>
  <w:style w:type="paragraph" w:styleId="14">
    <w:name w:val="Body Text First Indent 2"/>
    <w:basedOn w:val="13"/>
    <w:next w:val="3"/>
    <w:qFormat/>
    <w:uiPriority w:val="0"/>
    <w:pPr>
      <w:ind w:firstLine="420" w:firstLineChars="200"/>
    </w:pPr>
  </w:style>
  <w:style w:type="paragraph" w:styleId="15">
    <w:name w:val="toc 3"/>
    <w:basedOn w:val="1"/>
    <w:next w:val="1"/>
    <w:qFormat/>
    <w:uiPriority w:val="0"/>
    <w:pPr>
      <w:ind w:left="840" w:leftChars="400"/>
    </w:pPr>
  </w:style>
  <w:style w:type="paragraph" w:styleId="16">
    <w:name w:val="Plain Text"/>
    <w:basedOn w:val="1"/>
    <w:qFormat/>
    <w:uiPriority w:val="0"/>
    <w:rPr>
      <w:rFonts w:ascii="宋体" w:hAnsi="Courier New"/>
      <w:szCs w:val="20"/>
    </w:rPr>
  </w:style>
  <w:style w:type="paragraph" w:styleId="17">
    <w:name w:val="toc 8"/>
    <w:basedOn w:val="1"/>
    <w:next w:val="1"/>
    <w:qFormat/>
    <w:uiPriority w:val="0"/>
    <w:pPr>
      <w:ind w:left="2940" w:leftChars="1400"/>
    </w:pPr>
  </w:style>
  <w:style w:type="paragraph" w:styleId="18">
    <w:name w:val="Date"/>
    <w:basedOn w:val="1"/>
    <w:next w:val="1"/>
    <w:qFormat/>
    <w:uiPriority w:val="0"/>
    <w:pPr>
      <w:ind w:left="100" w:leftChars="2500"/>
    </w:pPr>
    <w:rPr>
      <w:rFonts w:ascii="仿宋_GB2312" w:hAnsi="Courier New" w:eastAsia="仿宋_GB2312"/>
      <w:kern w:val="0"/>
      <w:sz w:val="24"/>
    </w:rPr>
  </w:style>
  <w:style w:type="paragraph" w:styleId="19">
    <w:name w:val="Body Text Indent 2"/>
    <w:basedOn w:val="1"/>
    <w:qFormat/>
    <w:uiPriority w:val="0"/>
    <w:pPr>
      <w:ind w:firstLine="360"/>
    </w:pPr>
    <w:rPr>
      <w:sz w:val="21"/>
    </w:rPr>
  </w:style>
  <w:style w:type="paragraph" w:styleId="20">
    <w:name w:val="Balloon Text"/>
    <w:basedOn w:val="1"/>
    <w:link w:val="70"/>
    <w:qFormat/>
    <w:uiPriority w:val="0"/>
    <w:rPr>
      <w:sz w:val="18"/>
      <w:szCs w:val="18"/>
    </w:rPr>
  </w:style>
  <w:style w:type="paragraph" w:styleId="21">
    <w:name w:val="footer"/>
    <w:basedOn w:val="1"/>
    <w:qFormat/>
    <w:uiPriority w:val="0"/>
    <w:pPr>
      <w:tabs>
        <w:tab w:val="center" w:pos="4153"/>
        <w:tab w:val="right" w:pos="8306"/>
      </w:tabs>
      <w:autoSpaceDE w:val="0"/>
      <w:autoSpaceDN w:val="0"/>
      <w:adjustRightInd w:val="0"/>
      <w:snapToGrid w:val="0"/>
      <w:jc w:val="left"/>
    </w:pPr>
    <w:rPr>
      <w:rFonts w:ascii="宋体" w:hAnsi="Times New Roman"/>
      <w:kern w:val="0"/>
      <w:sz w:val="18"/>
      <w:szCs w:val="20"/>
    </w:rPr>
  </w:style>
  <w:style w:type="paragraph" w:styleId="22">
    <w:name w:val="envelope return"/>
    <w:basedOn w:val="1"/>
    <w:qFormat/>
    <w:uiPriority w:val="0"/>
    <w:pPr>
      <w:snapToGrid w:val="0"/>
    </w:pPr>
    <w:rPr>
      <w:rFonts w:ascii="Arial" w:hAnsi="Arial"/>
    </w:rPr>
  </w:style>
  <w:style w:type="paragraph" w:styleId="23">
    <w:name w:val="header"/>
    <w:basedOn w:val="1"/>
    <w:qFormat/>
    <w:uiPriority w:val="0"/>
    <w:pPr>
      <w:pBdr>
        <w:bottom w:val="single" w:color="auto" w:sz="6" w:space="1"/>
      </w:pBdr>
      <w:tabs>
        <w:tab w:val="center" w:pos="4153"/>
        <w:tab w:val="right" w:pos="8306"/>
      </w:tabs>
      <w:snapToGrid w:val="0"/>
      <w:jc w:val="center"/>
    </w:pPr>
    <w:rPr>
      <w:rFonts w:ascii="Times New Roman" w:hAnsi="Times New Roman"/>
      <w:sz w:val="18"/>
      <w:szCs w:val="18"/>
    </w:rPr>
  </w:style>
  <w:style w:type="paragraph" w:styleId="24">
    <w:name w:val="toc 1"/>
    <w:basedOn w:val="1"/>
    <w:next w:val="1"/>
    <w:qFormat/>
    <w:uiPriority w:val="0"/>
    <w:rPr>
      <w:rFonts w:ascii="Times New Roman" w:hAnsi="Times New Roman"/>
    </w:rPr>
  </w:style>
  <w:style w:type="paragraph" w:styleId="25">
    <w:name w:val="footnote text"/>
    <w:basedOn w:val="1"/>
    <w:qFormat/>
    <w:uiPriority w:val="0"/>
    <w:pPr>
      <w:snapToGrid w:val="0"/>
      <w:jc w:val="left"/>
    </w:pPr>
    <w:rPr>
      <w:rFonts w:ascii="Times New Roman" w:hAnsi="Times New Roman"/>
      <w:sz w:val="18"/>
    </w:rPr>
  </w:style>
  <w:style w:type="paragraph" w:styleId="26">
    <w:name w:val="toc 2"/>
    <w:basedOn w:val="1"/>
    <w:next w:val="1"/>
    <w:qFormat/>
    <w:uiPriority w:val="0"/>
    <w:pPr>
      <w:ind w:left="420" w:leftChars="200"/>
    </w:pPr>
    <w:rPr>
      <w:rFonts w:ascii="Times New Roman" w:hAnsi="Times New Roman"/>
    </w:rPr>
  </w:style>
  <w:style w:type="paragraph" w:styleId="27">
    <w:name w:val="Normal (Web)"/>
    <w:basedOn w:val="1"/>
    <w:qFormat/>
    <w:uiPriority w:val="0"/>
    <w:pPr>
      <w:spacing w:beforeAutospacing="1" w:afterAutospacing="1"/>
      <w:jc w:val="left"/>
    </w:pPr>
    <w:rPr>
      <w:kern w:val="0"/>
      <w:sz w:val="24"/>
    </w:rPr>
  </w:style>
  <w:style w:type="paragraph" w:styleId="28">
    <w:name w:val="Title"/>
    <w:basedOn w:val="1"/>
    <w:next w:val="1"/>
    <w:qFormat/>
    <w:uiPriority w:val="10"/>
    <w:pPr>
      <w:spacing w:before="240" w:after="60"/>
      <w:jc w:val="center"/>
      <w:outlineLvl w:val="0"/>
    </w:pPr>
    <w:rPr>
      <w:rFonts w:ascii="Calibri Light" w:hAnsi="Calibri Light" w:eastAsia="宋体" w:cs="宋体"/>
      <w:b/>
      <w:bCs/>
      <w:sz w:val="32"/>
      <w:szCs w:val="32"/>
    </w:rPr>
  </w:style>
  <w:style w:type="paragraph" w:styleId="29">
    <w:name w:val="annotation subject"/>
    <w:basedOn w:val="9"/>
    <w:next w:val="9"/>
    <w:link w:val="72"/>
    <w:qFormat/>
    <w:uiPriority w:val="0"/>
    <w:rPr>
      <w:b/>
      <w:bCs/>
    </w:rPr>
  </w:style>
  <w:style w:type="paragraph" w:styleId="30">
    <w:name w:val="Body Text First Indent"/>
    <w:basedOn w:val="12"/>
    <w:qFormat/>
    <w:uiPriority w:val="0"/>
    <w:pPr>
      <w:spacing w:after="120" w:line="240" w:lineRule="auto"/>
      <w:ind w:firstLine="420" w:firstLineChars="100"/>
    </w:pPr>
    <w:rPr>
      <w:rFonts w:ascii="Calibri" w:hAnsi="Calibri"/>
      <w:sz w:val="18"/>
      <w:szCs w:val="18"/>
    </w:r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Strong"/>
    <w:basedOn w:val="33"/>
    <w:qFormat/>
    <w:uiPriority w:val="0"/>
    <w:rPr>
      <w:b/>
      <w:bCs/>
    </w:rPr>
  </w:style>
  <w:style w:type="character" w:styleId="35">
    <w:name w:val="page number"/>
    <w:basedOn w:val="33"/>
    <w:qFormat/>
    <w:uiPriority w:val="0"/>
    <w:rPr>
      <w:rFonts w:ascii="Times New Roman" w:hAnsi="Times New Roman" w:eastAsia="宋体" w:cs="Times New Roman"/>
    </w:rPr>
  </w:style>
  <w:style w:type="character" w:styleId="36">
    <w:name w:val="Emphasis"/>
    <w:qFormat/>
    <w:uiPriority w:val="20"/>
    <w:rPr>
      <w:i/>
      <w:iCs/>
    </w:rPr>
  </w:style>
  <w:style w:type="character" w:styleId="37">
    <w:name w:val="Hyperlink"/>
    <w:basedOn w:val="33"/>
    <w:qFormat/>
    <w:uiPriority w:val="0"/>
    <w:rPr>
      <w:color w:val="0000FF"/>
      <w:u w:val="single"/>
    </w:rPr>
  </w:style>
  <w:style w:type="character" w:styleId="38">
    <w:name w:val="annotation reference"/>
    <w:basedOn w:val="33"/>
    <w:qFormat/>
    <w:uiPriority w:val="0"/>
    <w:rPr>
      <w:sz w:val="21"/>
      <w:szCs w:val="21"/>
    </w:rPr>
  </w:style>
  <w:style w:type="character" w:styleId="39">
    <w:name w:val="HTML Sample"/>
    <w:basedOn w:val="33"/>
    <w:qFormat/>
    <w:uiPriority w:val="0"/>
    <w:rPr>
      <w:rFonts w:ascii="Courier New" w:hAnsi="Courier New"/>
    </w:rPr>
  </w:style>
  <w:style w:type="paragraph" w:customStyle="1" w:styleId="40">
    <w:name w:val="Default"/>
    <w:qFormat/>
    <w:uiPriority w:val="0"/>
    <w:pPr>
      <w:widowControl w:val="0"/>
      <w:autoSpaceDE w:val="0"/>
      <w:autoSpaceDN w:val="0"/>
    </w:pPr>
    <w:rPr>
      <w:rFonts w:ascii="宋体" w:hAnsi="Calibri" w:eastAsia="宋体" w:cs="宋体"/>
      <w:color w:val="000000"/>
      <w:sz w:val="24"/>
      <w:szCs w:val="24"/>
      <w:lang w:val="en-US" w:eastAsia="zh-CN" w:bidi="ar-SA"/>
    </w:rPr>
  </w:style>
  <w:style w:type="paragraph" w:customStyle="1" w:styleId="41">
    <w:name w:val="大标题"/>
    <w:basedOn w:val="1"/>
    <w:next w:val="14"/>
    <w:qFormat/>
    <w:uiPriority w:val="0"/>
    <w:pPr>
      <w:jc w:val="center"/>
    </w:pPr>
    <w:rPr>
      <w:rFonts w:ascii="Arial" w:hAnsi="Arial" w:eastAsia="宋体" w:cs="Times New Roman"/>
      <w:b/>
      <w:sz w:val="28"/>
      <w:szCs w:val="24"/>
    </w:rPr>
  </w:style>
  <w:style w:type="paragraph" w:customStyle="1" w:styleId="42">
    <w:name w:val="正文王森"/>
    <w:basedOn w:val="1"/>
    <w:qFormat/>
    <w:uiPriority w:val="0"/>
    <w:pPr>
      <w:spacing w:line="360" w:lineRule="auto"/>
      <w:ind w:firstLine="480" w:firstLineChars="200"/>
    </w:pPr>
    <w:rPr>
      <w:rFonts w:ascii="黑体" w:hAnsi="黑体" w:eastAsia="黑体"/>
      <w:sz w:val="24"/>
    </w:rPr>
  </w:style>
  <w:style w:type="paragraph" w:customStyle="1" w:styleId="43">
    <w:name w:val="List2"/>
    <w:basedOn w:val="1"/>
    <w:qFormat/>
    <w:uiPriority w:val="0"/>
    <w:pPr>
      <w:widowControl/>
      <w:ind w:left="100" w:leftChars="200" w:hanging="200" w:hangingChars="200"/>
      <w:contextualSpacing/>
      <w:textAlignment w:val="baseline"/>
    </w:pPr>
  </w:style>
  <w:style w:type="paragraph" w:customStyle="1" w:styleId="44">
    <w:name w:val="Heading3"/>
    <w:basedOn w:val="1"/>
    <w:next w:val="1"/>
    <w:qFormat/>
    <w:uiPriority w:val="0"/>
    <w:pPr>
      <w:keepNext/>
      <w:numPr>
        <w:ilvl w:val="0"/>
        <w:numId w:val="1"/>
      </w:numPr>
      <w:jc w:val="both"/>
      <w:textAlignment w:val="baseline"/>
    </w:pPr>
    <w:rPr>
      <w:rFonts w:cs="Times New Roman"/>
      <w:b/>
      <w:bCs/>
      <w:kern w:val="2"/>
      <w:sz w:val="28"/>
      <w:szCs w:val="24"/>
      <w:lang w:val="en-US" w:eastAsia="zh-CN" w:bidi="ar-SA"/>
    </w:rPr>
  </w:style>
  <w:style w:type="paragraph" w:customStyle="1" w:styleId="45">
    <w:name w:val="BodyText"/>
    <w:basedOn w:val="1"/>
    <w:qFormat/>
    <w:uiPriority w:val="0"/>
    <w:pPr>
      <w:spacing w:after="120"/>
    </w:pPr>
  </w:style>
  <w:style w:type="character" w:customStyle="1" w:styleId="46">
    <w:name w:val="标题 1 Char"/>
    <w:link w:val="5"/>
    <w:qFormat/>
    <w:uiPriority w:val="0"/>
    <w:rPr>
      <w:rFonts w:ascii="宋体"/>
      <w:b/>
      <w:kern w:val="44"/>
      <w:sz w:val="32"/>
      <w:szCs w:val="20"/>
    </w:rPr>
  </w:style>
  <w:style w:type="paragraph" w:customStyle="1" w:styleId="47">
    <w:name w:val="No Spacing_3b93350b-94da-44fa-8143-641484b951a0"/>
    <w:link w:val="64"/>
    <w:qFormat/>
    <w:uiPriority w:val="1"/>
    <w:pPr>
      <w:widowControl w:val="0"/>
      <w:jc w:val="both"/>
    </w:pPr>
    <w:rPr>
      <w:rFonts w:ascii="Calibri" w:hAnsi="Calibri" w:eastAsia="宋体" w:cs="Times New Roman"/>
      <w:kern w:val="2"/>
      <w:sz w:val="21"/>
      <w:szCs w:val="24"/>
      <w:lang w:val="en-US" w:eastAsia="zh-CN" w:bidi="ar-SA"/>
    </w:rPr>
  </w:style>
  <w:style w:type="character" w:customStyle="1" w:styleId="48">
    <w:name w:val="NormalCharacter"/>
    <w:link w:val="1"/>
    <w:qFormat/>
    <w:uiPriority w:val="0"/>
    <w:rPr>
      <w:rFonts w:ascii="Calibri" w:hAnsi="Calibri" w:eastAsia="宋体" w:cs="Times New Roman"/>
      <w:kern w:val="2"/>
      <w:sz w:val="21"/>
      <w:szCs w:val="24"/>
      <w:lang w:val="en-US" w:eastAsia="zh-CN" w:bidi="ar-SA"/>
    </w:rPr>
  </w:style>
  <w:style w:type="paragraph" w:customStyle="1" w:styleId="49">
    <w:name w:val="图例"/>
    <w:basedOn w:val="1"/>
    <w:qFormat/>
    <w:uiPriority w:val="0"/>
    <w:pPr>
      <w:spacing w:before="120" w:after="120" w:line="360" w:lineRule="auto"/>
      <w:jc w:val="center"/>
    </w:pPr>
    <w:rPr>
      <w:rFonts w:eastAsia="仿宋_GB2312"/>
      <w:b/>
      <w:sz w:val="24"/>
    </w:rPr>
  </w:style>
  <w:style w:type="paragraph" w:customStyle="1" w:styleId="50">
    <w:name w:val="列出段落1"/>
    <w:basedOn w:val="1"/>
    <w:qFormat/>
    <w:uiPriority w:val="0"/>
    <w:pPr>
      <w:ind w:firstLine="420" w:firstLineChars="200"/>
    </w:pPr>
  </w:style>
  <w:style w:type="paragraph" w:customStyle="1" w:styleId="51">
    <w:name w:val="List Paragraph_7aecd6e6-fc70-4df6-be05-ef790174fbad"/>
    <w:basedOn w:val="1"/>
    <w:qFormat/>
    <w:uiPriority w:val="34"/>
    <w:pPr>
      <w:ind w:firstLine="420" w:firstLineChars="200"/>
    </w:pPr>
  </w:style>
  <w:style w:type="paragraph" w:customStyle="1" w:styleId="52">
    <w:name w:val="正文-manu"/>
    <w:basedOn w:val="1"/>
    <w:qFormat/>
    <w:uiPriority w:val="0"/>
    <w:pPr>
      <w:spacing w:line="300" w:lineRule="auto"/>
    </w:pPr>
    <w:rPr>
      <w:b/>
      <w:snapToGrid w:val="0"/>
      <w:kern w:val="0"/>
      <w:sz w:val="24"/>
      <w:szCs w:val="20"/>
    </w:rPr>
  </w:style>
  <w:style w:type="character" w:customStyle="1" w:styleId="53">
    <w:name w:val="font01"/>
    <w:basedOn w:val="33"/>
    <w:qFormat/>
    <w:uiPriority w:val="0"/>
    <w:rPr>
      <w:rFonts w:hint="default" w:ascii="Arial" w:hAnsi="Arial" w:cs="Arial"/>
      <w:color w:val="000000"/>
      <w:sz w:val="22"/>
      <w:szCs w:val="22"/>
      <w:u w:val="none"/>
    </w:rPr>
  </w:style>
  <w:style w:type="character" w:customStyle="1" w:styleId="54">
    <w:name w:val="font41"/>
    <w:basedOn w:val="33"/>
    <w:qFormat/>
    <w:uiPriority w:val="0"/>
    <w:rPr>
      <w:rFonts w:hint="eastAsia" w:ascii="宋体" w:hAnsi="宋体" w:eastAsia="宋体" w:cs="宋体"/>
      <w:color w:val="000000"/>
      <w:sz w:val="22"/>
      <w:szCs w:val="22"/>
      <w:u w:val="none"/>
    </w:rPr>
  </w:style>
  <w:style w:type="character" w:customStyle="1" w:styleId="55">
    <w:name w:val="font51"/>
    <w:basedOn w:val="33"/>
    <w:qFormat/>
    <w:uiPriority w:val="0"/>
    <w:rPr>
      <w:rFonts w:hint="eastAsia" w:ascii="宋体" w:hAnsi="宋体" w:eastAsia="宋体" w:cs="宋体"/>
      <w:color w:val="000000"/>
      <w:sz w:val="22"/>
      <w:szCs w:val="22"/>
      <w:u w:val="none"/>
    </w:rPr>
  </w:style>
  <w:style w:type="character" w:customStyle="1" w:styleId="56">
    <w:name w:val="font31"/>
    <w:basedOn w:val="33"/>
    <w:qFormat/>
    <w:uiPriority w:val="0"/>
    <w:rPr>
      <w:rFonts w:hint="default" w:ascii="Arial" w:hAnsi="Arial" w:cs="Arial"/>
      <w:b/>
      <w:color w:val="000000"/>
      <w:sz w:val="22"/>
      <w:szCs w:val="22"/>
      <w:u w:val="none"/>
    </w:rPr>
  </w:style>
  <w:style w:type="character" w:customStyle="1" w:styleId="57">
    <w:name w:val="font91"/>
    <w:basedOn w:val="33"/>
    <w:qFormat/>
    <w:uiPriority w:val="0"/>
    <w:rPr>
      <w:rFonts w:hint="default" w:ascii="Arial" w:hAnsi="Arial" w:cs="Arial"/>
      <w:color w:val="000000"/>
      <w:sz w:val="22"/>
      <w:szCs w:val="22"/>
      <w:u w:val="none"/>
    </w:rPr>
  </w:style>
  <w:style w:type="character" w:customStyle="1" w:styleId="58">
    <w:name w:val="font81"/>
    <w:basedOn w:val="33"/>
    <w:qFormat/>
    <w:uiPriority w:val="0"/>
    <w:rPr>
      <w:rFonts w:hint="eastAsia" w:ascii="宋体" w:hAnsi="宋体" w:eastAsia="宋体" w:cs="宋体"/>
      <w:color w:val="000000"/>
      <w:sz w:val="22"/>
      <w:szCs w:val="22"/>
      <w:u w:val="none"/>
    </w:rPr>
  </w:style>
  <w:style w:type="character" w:customStyle="1" w:styleId="59">
    <w:name w:val="font21"/>
    <w:basedOn w:val="33"/>
    <w:qFormat/>
    <w:uiPriority w:val="0"/>
    <w:rPr>
      <w:rFonts w:ascii="微软雅黑" w:hAnsi="微软雅黑" w:eastAsia="微软雅黑" w:cs="微软雅黑"/>
      <w:b/>
      <w:color w:val="000000"/>
      <w:sz w:val="24"/>
      <w:szCs w:val="24"/>
      <w:u w:val="none"/>
    </w:rPr>
  </w:style>
  <w:style w:type="character" w:customStyle="1" w:styleId="60">
    <w:name w:val="font61"/>
    <w:basedOn w:val="33"/>
    <w:qFormat/>
    <w:uiPriority w:val="0"/>
    <w:rPr>
      <w:rFonts w:hint="default" w:ascii="Times New Roman" w:hAnsi="Times New Roman" w:cs="Times New Roman"/>
      <w:b/>
      <w:color w:val="000000"/>
      <w:sz w:val="24"/>
      <w:szCs w:val="24"/>
      <w:u w:val="none"/>
    </w:rPr>
  </w:style>
  <w:style w:type="character" w:customStyle="1" w:styleId="61">
    <w:name w:val="font71"/>
    <w:basedOn w:val="33"/>
    <w:qFormat/>
    <w:uiPriority w:val="0"/>
    <w:rPr>
      <w:rFonts w:hint="eastAsia" w:ascii="微软雅黑" w:hAnsi="微软雅黑" w:eastAsia="微软雅黑" w:cs="微软雅黑"/>
      <w:color w:val="000000"/>
      <w:sz w:val="24"/>
      <w:szCs w:val="24"/>
      <w:u w:val="none"/>
    </w:rPr>
  </w:style>
  <w:style w:type="character" w:customStyle="1" w:styleId="62">
    <w:name w:val="font101"/>
    <w:basedOn w:val="33"/>
    <w:qFormat/>
    <w:uiPriority w:val="0"/>
    <w:rPr>
      <w:rFonts w:hint="default" w:ascii="Times New Roman" w:hAnsi="Times New Roman" w:cs="Times New Roman"/>
      <w:color w:val="000000"/>
      <w:sz w:val="24"/>
      <w:szCs w:val="24"/>
      <w:u w:val="none"/>
    </w:rPr>
  </w:style>
  <w:style w:type="paragraph" w:customStyle="1" w:styleId="63">
    <w:name w:val="_Style 1"/>
    <w:basedOn w:val="1"/>
    <w:qFormat/>
    <w:uiPriority w:val="34"/>
    <w:pPr>
      <w:ind w:firstLine="420" w:firstLineChars="200"/>
    </w:pPr>
  </w:style>
  <w:style w:type="character" w:customStyle="1" w:styleId="64">
    <w:name w:val="无间隔 Char"/>
    <w:link w:val="47"/>
    <w:qFormat/>
    <w:uiPriority w:val="1"/>
    <w:rPr>
      <w:rFonts w:ascii="Calibri" w:hAnsi="Calibri" w:eastAsia="宋体" w:cs="Times New Roman"/>
      <w:kern w:val="2"/>
      <w:sz w:val="21"/>
      <w:szCs w:val="24"/>
      <w:lang w:val="en-US" w:eastAsia="zh-CN" w:bidi="ar-SA"/>
    </w:rPr>
  </w:style>
  <w:style w:type="paragraph" w:customStyle="1" w:styleId="65">
    <w:name w:val="正文缩进1"/>
    <w:basedOn w:val="1"/>
    <w:qFormat/>
    <w:uiPriority w:val="0"/>
    <w:pPr>
      <w:autoSpaceDE w:val="0"/>
      <w:autoSpaceDN w:val="0"/>
      <w:adjustRightInd w:val="0"/>
      <w:ind w:firstLine="420"/>
      <w:jc w:val="left"/>
    </w:pPr>
    <w:rPr>
      <w:rFonts w:ascii="宋体"/>
      <w:kern w:val="0"/>
      <w:sz w:val="24"/>
      <w:szCs w:val="20"/>
    </w:rPr>
  </w:style>
  <w:style w:type="paragraph" w:customStyle="1" w:styleId="66">
    <w:name w:val="索引 11"/>
    <w:basedOn w:val="1"/>
    <w:next w:val="1"/>
    <w:qFormat/>
    <w:uiPriority w:val="0"/>
    <w:pPr>
      <w:spacing w:line="360" w:lineRule="auto"/>
    </w:pPr>
    <w:rPr>
      <w:rFonts w:ascii="仿宋_GB2312" w:eastAsia="仿宋_GB2312"/>
      <w:sz w:val="24"/>
      <w:szCs w:val="20"/>
    </w:rPr>
  </w:style>
  <w:style w:type="paragraph" w:customStyle="1" w:styleId="67">
    <w:name w:val="纯文本1"/>
    <w:basedOn w:val="1"/>
    <w:qFormat/>
    <w:uiPriority w:val="0"/>
    <w:rPr>
      <w:rFonts w:ascii="宋体" w:hAnsi="Courier New"/>
      <w:kern w:val="0"/>
      <w:sz w:val="20"/>
      <w:szCs w:val="20"/>
    </w:rPr>
  </w:style>
  <w:style w:type="paragraph" w:customStyle="1" w:styleId="68">
    <w:name w:val="段"/>
    <w:next w:val="1"/>
    <w:qFormat/>
    <w:uiPriority w:val="0"/>
    <w:pPr>
      <w:autoSpaceDE w:val="0"/>
      <w:autoSpaceDN w:val="0"/>
      <w:ind w:firstLine="420" w:firstLineChars="200"/>
      <w:jc w:val="both"/>
    </w:pPr>
    <w:rPr>
      <w:rFonts w:ascii="宋体" w:hAnsi="Calibri" w:eastAsia="宋体" w:cs="Times New Roman"/>
      <w:kern w:val="2"/>
      <w:sz w:val="21"/>
      <w:szCs w:val="21"/>
      <w:lang w:val="en-US" w:eastAsia="zh-CN" w:bidi="ar-SA"/>
    </w:rPr>
  </w:style>
  <w:style w:type="paragraph" w:customStyle="1" w:styleId="69">
    <w:name w:val="石墨文档正文"/>
    <w:qFormat/>
    <w:uiPriority w:val="0"/>
    <w:rPr>
      <w:rFonts w:ascii="微软雅黑" w:hAnsi="微软雅黑" w:eastAsia="微软雅黑" w:cs="微软雅黑"/>
      <w:sz w:val="24"/>
      <w:szCs w:val="24"/>
      <w:lang w:val="en-US" w:eastAsia="zh-CN" w:bidi="ar-SA"/>
    </w:rPr>
  </w:style>
  <w:style w:type="character" w:customStyle="1" w:styleId="70">
    <w:name w:val="批注框文本 Char"/>
    <w:basedOn w:val="33"/>
    <w:link w:val="20"/>
    <w:qFormat/>
    <w:uiPriority w:val="0"/>
    <w:rPr>
      <w:kern w:val="2"/>
      <w:sz w:val="18"/>
      <w:szCs w:val="18"/>
    </w:rPr>
  </w:style>
  <w:style w:type="character" w:customStyle="1" w:styleId="71">
    <w:name w:val="批注文字 Char"/>
    <w:basedOn w:val="33"/>
    <w:link w:val="9"/>
    <w:qFormat/>
    <w:uiPriority w:val="0"/>
    <w:rPr>
      <w:kern w:val="2"/>
      <w:sz w:val="21"/>
      <w:szCs w:val="24"/>
    </w:rPr>
  </w:style>
  <w:style w:type="character" w:customStyle="1" w:styleId="72">
    <w:name w:val="批注主题 Char"/>
    <w:basedOn w:val="71"/>
    <w:link w:val="29"/>
    <w:qFormat/>
    <w:uiPriority w:val="0"/>
    <w:rPr>
      <w:b/>
      <w:bCs/>
      <w:kern w:val="2"/>
      <w:sz w:val="21"/>
      <w:szCs w:val="24"/>
    </w:rPr>
  </w:style>
  <w:style w:type="paragraph" w:customStyle="1" w:styleId="73">
    <w:name w:val="CL标准正文首行缩进2字"/>
    <w:qFormat/>
    <w:uiPriority w:val="0"/>
    <w:pPr>
      <w:widowControl w:val="0"/>
      <w:spacing w:line="360" w:lineRule="auto"/>
      <w:ind w:firstLine="200"/>
      <w:jc w:val="both"/>
    </w:pPr>
    <w:rPr>
      <w:rFonts w:ascii="Arial" w:hAnsi="Arial" w:eastAsia="宋体" w:cs="Arial Unicode MS"/>
      <w:color w:val="000000"/>
      <w:kern w:val="2"/>
      <w:sz w:val="21"/>
      <w:szCs w:val="21"/>
      <w:u w:color="000000"/>
      <w:lang w:val="en-US" w:eastAsia="zh-CN" w:bidi="ar-SA"/>
    </w:rPr>
  </w:style>
  <w:style w:type="table" w:customStyle="1" w:styleId="74">
    <w:name w:val="Table Normal1"/>
    <w:qFormat/>
    <w:uiPriority w:val="0"/>
    <w:rPr>
      <w:rFonts w:ascii="Times New Roman" w:hAnsi="Times New Roman" w:cs="Times New Roman"/>
    </w:rPr>
    <w:tblPr>
      <w:tblCellMar>
        <w:top w:w="0" w:type="dxa"/>
        <w:left w:w="0" w:type="dxa"/>
        <w:bottom w:w="0" w:type="dxa"/>
        <w:right w:w="0" w:type="dxa"/>
      </w:tblCellMar>
    </w:tblPr>
  </w:style>
  <w:style w:type="paragraph" w:customStyle="1" w:styleId="75">
    <w:name w:val="样式 首行缩进:  2 字符"/>
    <w:basedOn w:val="1"/>
    <w:qFormat/>
    <w:uiPriority w:val="0"/>
    <w:pPr>
      <w:spacing w:line="360" w:lineRule="auto"/>
      <w:ind w:firstLine="480" w:firstLineChars="200"/>
      <w:jc w:val="left"/>
    </w:pPr>
    <w:rPr>
      <w:rFonts w:ascii="宋体" w:hAnsi="宋体" w:cs="宋体"/>
      <w:color w:val="000000"/>
      <w:sz w:val="24"/>
      <w:szCs w:val="20"/>
    </w:rPr>
  </w:style>
  <w:style w:type="paragraph" w:customStyle="1" w:styleId="76">
    <w:name w:val="p1"/>
    <w:basedOn w:val="1"/>
    <w:qFormat/>
    <w:uiPriority w:val="0"/>
    <w:pPr>
      <w:spacing w:before="0" w:beforeAutospacing="0" w:after="0" w:afterAutospacing="0"/>
      <w:ind w:left="0" w:right="0"/>
      <w:jc w:val="left"/>
    </w:pPr>
    <w:rPr>
      <w:rFonts w:ascii="pingfang sc" w:hAnsi="pingfang sc" w:eastAsia="pingfang sc" w:cs="pingfang sc"/>
      <w:kern w:val="0"/>
      <w:sz w:val="26"/>
      <w:szCs w:val="26"/>
      <w:lang w:val="en-US" w:eastAsia="zh-CN"/>
    </w:rPr>
  </w:style>
  <w:style w:type="character" w:customStyle="1" w:styleId="77">
    <w:name w:val="s1"/>
    <w:basedOn w:val="33"/>
    <w:qFormat/>
    <w:uiPriority w:val="0"/>
    <w:rPr>
      <w:rFonts w:ascii="pingfang sc" w:hAnsi="pingfang sc" w:eastAsia="pingfang sc" w:cs="pingfang sc"/>
      <w:sz w:val="40"/>
      <w:szCs w:val="40"/>
    </w:rPr>
  </w:style>
  <w:style w:type="character" w:customStyle="1" w:styleId="78">
    <w:name w:val="trans"/>
    <w:qFormat/>
    <w:uiPriority w:val="99"/>
  </w:style>
  <w:style w:type="paragraph" w:customStyle="1" w:styleId="79">
    <w:name w:val="正文 A"/>
    <w:qFormat/>
    <w:uiPriority w:val="0"/>
    <w:pPr>
      <w:keepNext w:val="0"/>
      <w:keepLines w:val="0"/>
      <w:pageBreakBefore w:val="0"/>
      <w:framePr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ascii="Times New Roman" w:hAnsi="Times New Roman" w:eastAsia="Arial Unicode MS" w:cs="Arial Unicode MS"/>
      <w:color w:val="000000"/>
      <w:spacing w:val="0"/>
      <w:w w:val="100"/>
      <w:kern w:val="2"/>
      <w:position w:val="0"/>
      <w:sz w:val="21"/>
      <w:szCs w:val="21"/>
      <w:u w:val="none" w:color="000000"/>
      <w:shd w:val="clear" w:color="auto" w:fill="auto"/>
      <w:vertAlign w:val="baseline"/>
      <w:lang w:val="en-US"/>
    </w:rPr>
  </w:style>
  <w:style w:type="paragraph" w:customStyle="1" w:styleId="80">
    <w:name w:val="页眉与页脚"/>
    <w:qFormat/>
    <w:uiPriority w:val="0"/>
    <w:pPr>
      <w:keepNext w:val="0"/>
      <w:keepLines w:val="0"/>
      <w:pageBreakBefore w:val="0"/>
      <w:framePr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9020"/>
      </w:tabs>
      <w:suppressAutoHyphens w:val="0"/>
      <w:bidi w:val="0"/>
      <w:spacing w:before="0" w:beforeAutospacing="0" w:after="0" w:afterAutospacing="0" w:line="240" w:lineRule="auto"/>
      <w:ind w:left="0" w:right="0" w:firstLine="0"/>
      <w:jc w:val="left"/>
      <w:outlineLvl w:val="9"/>
    </w:pPr>
    <w:rPr>
      <w:rFonts w:ascii="Helvetica Neue" w:hAnsi="Helvetica Neue" w:eastAsia="Arial Unicode MS" w:cs="Arial Unicode MS"/>
      <w:color w:val="000000"/>
      <w:spacing w:val="0"/>
      <w:w w:val="100"/>
      <w:kern w:val="0"/>
      <w:position w:val="0"/>
      <w:sz w:val="24"/>
      <w:szCs w:val="24"/>
      <w:u w:val="none" w:color="auto"/>
      <w:shd w:val="clear" w:color="auto" w:fill="auto"/>
      <w:vertAlign w:val="baseline"/>
    </w:rPr>
  </w:style>
  <w:style w:type="character" w:customStyle="1" w:styleId="81">
    <w:name w:val="PageNumber"/>
    <w:qFormat/>
    <w:uiPriority w:val="99"/>
    <w:rPr>
      <w:rFonts w:cs="Times New Roman"/>
    </w:rPr>
  </w:style>
  <w:style w:type="paragraph" w:customStyle="1" w:styleId="82">
    <w:name w:val="样式1"/>
    <w:basedOn w:val="6"/>
    <w:qFormat/>
    <w:uiPriority w:val="0"/>
    <w:pPr>
      <w:spacing w:before="100" w:beforeAutospacing="1" w:after="100" w:afterAutospacing="1"/>
      <w:ind w:right="100" w:rightChars="100"/>
    </w:pPr>
    <w:rPr>
      <w:sz w:val="21"/>
    </w:rPr>
  </w:style>
  <w:style w:type="paragraph" w:customStyle="1" w:styleId="83">
    <w:name w:val="UserStyle_15"/>
    <w:basedOn w:val="84"/>
    <w:qFormat/>
    <w:uiPriority w:val="0"/>
    <w:pPr>
      <w:keepNext/>
      <w:widowControl/>
      <w:numPr>
        <w:ilvl w:val="1"/>
        <w:numId w:val="2"/>
      </w:numPr>
      <w:spacing w:before="100" w:beforeAutospacing="1" w:after="100" w:afterAutospacing="1"/>
      <w:ind w:left="1710" w:right="100" w:rightChars="100"/>
      <w:textAlignment w:val="baseline"/>
    </w:pPr>
    <w:rPr>
      <w:rFonts w:ascii="Cambria" w:hAnsi="Cambria" w:cs="Times New Roman"/>
      <w:sz w:val="21"/>
      <w:szCs w:val="28"/>
      <w:lang w:bidi="ar-SA"/>
    </w:rPr>
  </w:style>
  <w:style w:type="paragraph" w:customStyle="1" w:styleId="84">
    <w:name w:val="Heading2"/>
    <w:basedOn w:val="1"/>
    <w:next w:val="1"/>
    <w:qFormat/>
    <w:uiPriority w:val="0"/>
    <w:pPr>
      <w:keepNext/>
      <w:widowControl/>
      <w:numPr>
        <w:ilvl w:val="1"/>
        <w:numId w:val="2"/>
      </w:numPr>
      <w:spacing w:before="240" w:after="60"/>
      <w:textAlignment w:val="baseline"/>
    </w:pPr>
    <w:rPr>
      <w:rFonts w:ascii="Cambria" w:hAnsi="Cambria" w:cs="Times New Roman"/>
      <w:b/>
      <w:bCs/>
      <w:i/>
      <w:iCs/>
      <w:sz w:val="28"/>
      <w:szCs w:val="28"/>
      <w:lang w:bidi="ar-SA"/>
    </w:rPr>
  </w:style>
  <w:style w:type="character" w:customStyle="1" w:styleId="85">
    <w:name w:val="UserStyle_2"/>
    <w:link w:val="86"/>
    <w:qFormat/>
    <w:uiPriority w:val="0"/>
    <w:rPr>
      <w:kern w:val="0"/>
      <w:sz w:val="20"/>
      <w:szCs w:val="24"/>
      <w:lang w:val="en-US" w:eastAsia="zh-CN" w:bidi="ar-SA"/>
    </w:rPr>
  </w:style>
  <w:style w:type="paragraph" w:customStyle="1" w:styleId="86">
    <w:name w:val="UserStyle_3"/>
    <w:basedOn w:val="1"/>
    <w:link w:val="85"/>
    <w:qFormat/>
    <w:uiPriority w:val="0"/>
    <w:pPr>
      <w:jc w:val="both"/>
      <w:textAlignment w:val="baseline"/>
    </w:pPr>
    <w:rPr>
      <w:kern w:val="0"/>
      <w:sz w:val="20"/>
      <w:szCs w:val="24"/>
      <w:lang w:val="en-US" w:eastAsia="zh-CN" w:bidi="ar-SA"/>
    </w:rPr>
  </w:style>
  <w:style w:type="paragraph" w:customStyle="1" w:styleId="87">
    <w:name w:val="List Paragraph1"/>
    <w:basedOn w:val="1"/>
    <w:qFormat/>
    <w:uiPriority w:val="0"/>
    <w:pPr>
      <w:ind w:firstLine="420" w:firstLineChars="200"/>
    </w:pPr>
  </w:style>
  <w:style w:type="paragraph" w:customStyle="1" w:styleId="88">
    <w:name w:val="List Paragraph"/>
    <w:basedOn w:val="1"/>
    <w:qFormat/>
    <w:uiPriority w:val="34"/>
    <w:pPr>
      <w:ind w:firstLine="420" w:firstLineChars="200"/>
    </w:pPr>
  </w:style>
  <w:style w:type="paragraph" w:styleId="89">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90">
    <w:name w:val="xl4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Times New Roman"/>
      <w:kern w:val="0"/>
      <w:sz w:val="24"/>
      <w:szCs w:val="24"/>
    </w:rPr>
  </w:style>
  <w:style w:type="paragraph" w:customStyle="1" w:styleId="91">
    <w:name w:val="TOC Heading"/>
    <w:basedOn w:val="5"/>
    <w:next w:val="1"/>
    <w:semiHidden/>
    <w:unhideWhenUsed/>
    <w:qFormat/>
    <w:uiPriority w:val="39"/>
    <w:pPr>
      <w:widowControl/>
      <w:numPr>
        <w:ilvl w:val="0"/>
        <w:numId w:val="0"/>
      </w:numPr>
      <w:spacing w:before="480" w:after="0" w:line="276" w:lineRule="auto"/>
      <w:jc w:val="left"/>
      <w:outlineLvl w:val="9"/>
    </w:pPr>
    <w:rPr>
      <w:rFonts w:ascii="Cambria" w:hAnsi="Cambria"/>
      <w:color w:val="365F91"/>
      <w:kern w:val="0"/>
      <w:sz w:val="28"/>
      <w:szCs w:val="28"/>
    </w:rPr>
  </w:style>
  <w:style w:type="paragraph" w:customStyle="1" w:styleId="92">
    <w:name w:val="标题33"/>
    <w:basedOn w:val="2"/>
    <w:next w:val="42"/>
    <w:qFormat/>
    <w:uiPriority w:val="0"/>
    <w:pPr>
      <w:numPr>
        <w:ilvl w:val="2"/>
        <w:numId w:val="3"/>
      </w:numPr>
      <w:tabs>
        <w:tab w:val="clear" w:pos="720"/>
      </w:tabs>
    </w:pPr>
    <w:rPr>
      <w:rFonts w:hAnsi="黑体" w:eastAsia="黑体"/>
      <w:sz w:val="30"/>
      <w:szCs w:val="30"/>
    </w:rPr>
  </w:style>
  <w:style w:type="paragraph" w:customStyle="1" w:styleId="93">
    <w:name w:val="标题44"/>
    <w:basedOn w:val="7"/>
    <w:next w:val="42"/>
    <w:qFormat/>
    <w:uiPriority w:val="0"/>
    <w:pPr>
      <w:numPr>
        <w:ilvl w:val="3"/>
        <w:numId w:val="3"/>
      </w:numPr>
    </w:pPr>
    <w:rPr>
      <w:sz w:val="30"/>
      <w:szCs w:val="30"/>
    </w:rPr>
  </w:style>
  <w:style w:type="paragraph" w:customStyle="1" w:styleId="94">
    <w:name w:val="表格文字"/>
    <w:basedOn w:val="1"/>
    <w:qFormat/>
    <w:uiPriority w:val="0"/>
    <w:pPr>
      <w:spacing w:before="25" w:after="25"/>
      <w:jc w:val="left"/>
    </w:pPr>
    <w:rPr>
      <w:bCs/>
      <w:spacing w:val="10"/>
      <w:kern w:val="0"/>
      <w:sz w:val="24"/>
    </w:rPr>
  </w:style>
  <w:style w:type="paragraph" w:customStyle="1" w:styleId="95">
    <w:name w:val="p0"/>
    <w:basedOn w:val="1"/>
    <w:qFormat/>
    <w:uiPriority w:val="0"/>
    <w:pPr>
      <w:widowControl/>
    </w:pPr>
    <w:rPr>
      <w:kern w:val="0"/>
      <w:szCs w:val="21"/>
    </w:rPr>
  </w:style>
  <w:style w:type="character" w:customStyle="1" w:styleId="96">
    <w:name w:val="font11"/>
    <w:basedOn w:val="33"/>
    <w:qFormat/>
    <w:uiPriority w:val="0"/>
    <w:rPr>
      <w:rFonts w:hint="eastAsia" w:ascii="宋体" w:hAnsi="宋体" w:eastAsia="宋体" w:cs="宋体"/>
      <w:color w:val="333333"/>
      <w:sz w:val="24"/>
      <w:szCs w:val="24"/>
      <w:u w:val="none"/>
    </w:rPr>
  </w:style>
  <w:style w:type="table" w:customStyle="1" w:styleId="97">
    <w:name w:val="Table Normal"/>
    <w:semiHidden/>
    <w:unhideWhenUsed/>
    <w:qFormat/>
    <w:uiPriority w:val="0"/>
    <w:tblPr>
      <w:tblCellMar>
        <w:top w:w="0" w:type="dxa"/>
        <w:left w:w="0" w:type="dxa"/>
        <w:bottom w:w="0" w:type="dxa"/>
        <w:right w:w="0" w:type="dxa"/>
      </w:tblCellMar>
    </w:tblPr>
  </w:style>
  <w:style w:type="paragraph" w:customStyle="1" w:styleId="98">
    <w:name w:val="ParaAttribute13"/>
    <w:qFormat/>
    <w:uiPriority w:val="0"/>
    <w:pPr>
      <w:widowControl w:val="0"/>
      <w:wordWrap w:val="0"/>
      <w:ind w:left="-106"/>
    </w:pPr>
    <w:rPr>
      <w:rFonts w:ascii="Times New Roman" w:hAnsi="Times New Roman" w:eastAsia="Batang" w:cs="Times New Roman"/>
      <w:sz w:val="21"/>
      <w:szCs w:val="22"/>
      <w:lang w:val="en-US" w:eastAsia="zh-CN" w:bidi="ar-SA"/>
    </w:rPr>
  </w:style>
  <w:style w:type="character" w:customStyle="1" w:styleId="99">
    <w:name w:val="CharAttribute0"/>
    <w:qFormat/>
    <w:uiPriority w:val="0"/>
    <w:rPr>
      <w:rFonts w:ascii="Times New Roman" w:eastAsia="宋体"/>
      <w:sz w:val="21"/>
    </w:rPr>
  </w:style>
  <w:style w:type="paragraph" w:customStyle="1" w:styleId="100">
    <w:name w:val="p15"/>
    <w:basedOn w:val="1"/>
    <w:qFormat/>
    <w:uiPriority w:val="0"/>
    <w:pPr>
      <w:widowControl/>
    </w:pPr>
    <w:rPr>
      <w:kern w:val="0"/>
      <w:szCs w:val="21"/>
    </w:rPr>
  </w:style>
  <w:style w:type="paragraph" w:customStyle="1" w:styleId="101">
    <w:name w:val="列出段落2"/>
    <w:basedOn w:val="1"/>
    <w:qFormat/>
    <w:uiPriority w:val="34"/>
    <w:pPr>
      <w:ind w:firstLine="420" w:firstLineChars="200"/>
    </w:pPr>
    <w:rPr>
      <w:kern w:val="0"/>
      <w:sz w:val="20"/>
    </w:rPr>
  </w:style>
  <w:style w:type="character" w:customStyle="1" w:styleId="102">
    <w:name w:val="font131"/>
    <w:basedOn w:val="33"/>
    <w:qFormat/>
    <w:uiPriority w:val="0"/>
    <w:rPr>
      <w:rFonts w:hint="eastAsia" w:ascii="宋体" w:hAnsi="宋体" w:eastAsia="宋体" w:cs="宋体"/>
      <w:b/>
      <w:bCs/>
      <w:color w:val="000000"/>
      <w:sz w:val="22"/>
      <w:szCs w:val="22"/>
      <w:u w:val="none"/>
    </w:rPr>
  </w:style>
  <w:style w:type="character" w:customStyle="1" w:styleId="103">
    <w:name w:val="Book Title"/>
    <w:basedOn w:val="33"/>
    <w:qFormat/>
    <w:uiPriority w:val="33"/>
    <w:rPr>
      <w:b/>
      <w:bCs/>
      <w:smallCaps/>
      <w:spacing w:val="5"/>
    </w:rPr>
  </w:style>
  <w:style w:type="paragraph" w:customStyle="1" w:styleId="104">
    <w:name w:val="NormalIndent"/>
    <w:basedOn w:val="1"/>
    <w:qFormat/>
    <w:uiPriority w:val="0"/>
    <w:pPr>
      <w:ind w:firstLine="420" w:firstLineChars="200"/>
      <w:jc w:val="both"/>
      <w:textAlignment w:val="baseline"/>
    </w:pPr>
  </w:style>
  <w:style w:type="paragraph" w:customStyle="1" w:styleId="105">
    <w:name w:val="UserStyle_4"/>
    <w:basedOn w:val="1"/>
    <w:qFormat/>
    <w:uiPriority w:val="0"/>
    <w:pPr>
      <w:ind w:firstLine="420" w:firstLineChars="200"/>
      <w:jc w:val="both"/>
      <w:textAlignment w:val="baseline"/>
    </w:pPr>
    <w:rPr>
      <w:rFonts w:ascii="Calibri" w:hAnsi="Calibri"/>
      <w:kern w:val="2"/>
      <w:sz w:val="21"/>
      <w:szCs w:val="22"/>
      <w:lang w:val="en-US" w:eastAsia="zh-CN" w:bidi="ar-SA"/>
    </w:rPr>
  </w:style>
  <w:style w:type="character" w:customStyle="1" w:styleId="106">
    <w:name w:val="UserStyle_0"/>
    <w:link w:val="1"/>
    <w:qFormat/>
    <w:uiPriority w:val="0"/>
    <w:rPr>
      <w:kern w:val="2"/>
      <w:sz w:val="21"/>
      <w:szCs w:val="24"/>
      <w:lang w:val="en-US" w:eastAsia="zh-CN" w:bidi="ar-SA"/>
    </w:rPr>
  </w:style>
  <w:style w:type="paragraph" w:customStyle="1" w:styleId="107">
    <w:name w:val="普通(网站)1"/>
    <w:basedOn w:val="1"/>
    <w:qFormat/>
    <w:uiPriority w:val="2"/>
    <w:pPr>
      <w:spacing w:before="75" w:after="75"/>
      <w:ind w:left="0" w:right="0" w:firstLine="0"/>
      <w:jc w:val="left"/>
    </w:pPr>
    <w:rPr>
      <w:kern w:val="0"/>
      <w:sz w:val="24"/>
      <w:lang w:val="en-US" w:eastAsia="zh-CN" w:bidi="ar"/>
    </w:rPr>
  </w:style>
  <w:style w:type="character" w:customStyle="1" w:styleId="108">
    <w:name w:val="font112"/>
    <w:basedOn w:val="33"/>
    <w:qFormat/>
    <w:uiPriority w:val="0"/>
    <w:rPr>
      <w:rFonts w:ascii="微软雅黑" w:hAnsi="微软雅黑" w:eastAsia="微软雅黑" w:cs="微软雅黑"/>
      <w:color w:val="000000"/>
      <w:sz w:val="18"/>
      <w:szCs w:val="18"/>
      <w:u w:val="none"/>
    </w:rPr>
  </w:style>
  <w:style w:type="character" w:customStyle="1" w:styleId="109">
    <w:name w:val="font121"/>
    <w:basedOn w:val="33"/>
    <w:qFormat/>
    <w:uiPriority w:val="0"/>
    <w:rPr>
      <w:rFonts w:ascii="宋体" w:hAnsi="宋体" w:eastAsia="宋体" w:cs="宋体"/>
      <w:color w:val="000000"/>
      <w:sz w:val="24"/>
      <w:szCs w:val="24"/>
      <w:u w:val="none"/>
    </w:rPr>
  </w:style>
  <w:style w:type="character" w:customStyle="1" w:styleId="110">
    <w:name w:val="font141"/>
    <w:basedOn w:val="33"/>
    <w:qFormat/>
    <w:uiPriority w:val="0"/>
    <w:rPr>
      <w:rFonts w:hint="default" w:ascii="Times New Roman" w:hAnsi="Times New Roman" w:cs="Times New Roman"/>
      <w:color w:val="000000"/>
      <w:sz w:val="20"/>
      <w:szCs w:val="20"/>
      <w:u w:val="none"/>
    </w:rPr>
  </w:style>
  <w:style w:type="character" w:customStyle="1" w:styleId="111">
    <w:name w:val="font151"/>
    <w:basedOn w:val="33"/>
    <w:qFormat/>
    <w:uiPriority w:val="0"/>
    <w:rPr>
      <w:rFonts w:ascii="宋体" w:hAnsi="宋体" w:eastAsia="宋体" w:cs="宋体"/>
      <w:color w:val="000000"/>
      <w:sz w:val="18"/>
      <w:szCs w:val="18"/>
      <w:u w:val="none"/>
    </w:rPr>
  </w:style>
  <w:style w:type="character" w:customStyle="1" w:styleId="112">
    <w:name w:val="font111"/>
    <w:basedOn w:val="33"/>
    <w:qFormat/>
    <w:uiPriority w:val="0"/>
    <w:rPr>
      <w:rFonts w:ascii="微软雅黑" w:hAnsi="微软雅黑" w:eastAsia="微软雅黑" w:cs="微软雅黑"/>
      <w:color w:val="000000"/>
      <w:sz w:val="18"/>
      <w:szCs w:val="18"/>
      <w:u w:val="none"/>
    </w:rPr>
  </w:style>
  <w:style w:type="character" w:customStyle="1" w:styleId="113">
    <w:name w:val="font132"/>
    <w:basedOn w:val="33"/>
    <w:qFormat/>
    <w:uiPriority w:val="0"/>
    <w:rPr>
      <w:rFonts w:ascii="宋体" w:hAnsi="宋体" w:eastAsia="宋体" w:cs="宋体"/>
      <w:color w:val="000000"/>
      <w:sz w:val="20"/>
      <w:szCs w:val="20"/>
      <w:u w:val="none"/>
    </w:rPr>
  </w:style>
  <w:style w:type="character" w:customStyle="1" w:styleId="114">
    <w:name w:val="Heading 1 Char"/>
    <w:link w:val="5"/>
    <w:qFormat/>
    <w:uiPriority w:val="0"/>
    <w:rPr>
      <w:rFonts w:ascii="宋体"/>
      <w:kern w:val="44"/>
      <w:sz w:val="32"/>
      <w:szCs w:val="20"/>
    </w:rPr>
  </w:style>
  <w:style w:type="paragraph" w:customStyle="1" w:styleId="115">
    <w:name w:val="Table Text"/>
    <w:basedOn w:val="1"/>
    <w:semiHidden/>
    <w:qFormat/>
    <w:uiPriority w:val="0"/>
    <w:rPr>
      <w:rFonts w:ascii="宋体" w:hAnsi="宋体" w:eastAsia="宋体" w:cs="宋体"/>
      <w:sz w:val="24"/>
      <w:szCs w:val="24"/>
      <w:lang w:val="en-US" w:eastAsia="en-US" w:bidi="ar-SA"/>
    </w:rPr>
  </w:style>
  <w:style w:type="paragraph" w:customStyle="1" w:styleId="116">
    <w:name w:val="列表段落1"/>
    <w:basedOn w:val="1"/>
    <w:qFormat/>
    <w:uiPriority w:val="34"/>
    <w:pPr>
      <w:ind w:firstLine="420" w:firstLineChars="200"/>
    </w:pPr>
  </w:style>
  <w:style w:type="paragraph" w:customStyle="1" w:styleId="117">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99</Pages>
  <Words>19786</Words>
  <Characters>21507</Characters>
  <Paragraphs>2159</Paragraphs>
  <TotalTime>2</TotalTime>
  <ScaleCrop>false</ScaleCrop>
  <LinksUpToDate>false</LinksUpToDate>
  <CharactersWithSpaces>24206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2021-06-23T11:44:00Z</dcterms:created>
  <dc:creator>WPS_1542621076</dc:creator>
  <cp:lastModifiedBy>新疆共建恒业信息咨询有限责任公司</cp:lastModifiedBy>
  <cp:lastPrinted>2024-09-14T11:26:00Z</cp:lastPrinted>
  <dcterms:modified xsi:type="dcterms:W3CDTF">2025-06-16T08:05:02Z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9C68718C9C8C4F6FB29735B7C0408D34_13</vt:lpwstr>
  </property>
  <property fmtid="{D5CDD505-2E9C-101B-9397-08002B2CF9AE}" pid="4" name="KSOTemplateDocerSaveRecord">
    <vt:lpwstr>eyJoZGlkIjoiZjIwMWYzYWI0MWY0YTY5ZjBkYjZjMTIwYjc4YjY2ZDMiLCJ1c2VySWQiOiIxNjE1NjUyMzEyIn0=</vt:lpwstr>
  </property>
</Properties>
</file>